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jc w:val="right"/>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sz w:val="84"/>
          <w:szCs w:val="8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0" w:name="_Toc16518"/>
      <w:r>
        <w:rPr>
          <w:rFonts w:hint="eastAsia" w:ascii="宋体" w:hAnsi="宋体"/>
          <w:b/>
          <w:bCs/>
          <w:sz w:val="32"/>
          <w:highlight w:val="none"/>
        </w:rPr>
        <w:t xml:space="preserve">编号：</w:t>
      </w:r>
      <w:bookmarkEnd w:id="0"/>
      <w:r>
        <w:rPr>
          <w:rFonts w:hint="eastAsia" w:ascii="宋体" w:hAnsi="宋体"/>
          <w:b/>
          <w:bCs/>
          <w:sz w:val="32"/>
          <w:highlight w:val="none"/>
        </w:rPr>
        <w:t xml:space="preserve">JSZC-321000-SJGG-G2026-0002</w:t>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bCs/>
          <w:color w:val="000000"/>
          <w:sz w:val="40"/>
          <w:szCs w:val="40"/>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bCs/>
          <w:color w:val="000000"/>
          <w:sz w:val="40"/>
          <w:szCs w:val="40"/>
          <w:highlight w:val="none"/>
          <w:lang w:eastAsia="zh-CN"/>
        </w:rPr>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bCs/>
          <w:color w:val="000000"/>
          <w:sz w:val="44"/>
          <w:szCs w:val="4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bCs/>
          <w:color w:val="000000"/>
          <w:sz w:val="44"/>
          <w:szCs w:val="44"/>
          <w:highlight w:val="none"/>
          <w:lang w:eastAsia="zh-CN"/>
        </w:rPr>
        <w:t xml:space="preserve">扬州市市场监督管理局2026年市级产品质量监督抽查</w:t>
      </w:r>
      <w:r>
        <w:rPr>
          <w:rFonts w:hint="eastAsia" w:asciiTheme="minorEastAsia" w:hAnsiTheme="minorEastAsia" w:eastAsiaTheme="minorEastAsia" w:cstheme="minorEastAsia"/>
          <w:b/>
          <w:bCs/>
          <w:color w:val="000000"/>
          <w:sz w:val="44"/>
          <w:szCs w:val="44"/>
          <w:highlight w:val="none"/>
          <w:lang w:val="en-US" w:eastAsia="zh-CN"/>
        </w:rPr>
        <w:t xml:space="preserve">招标文件</w:t>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sz w:val="84"/>
          <w:szCs w:val="8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mc:AlternateContent>
          <mc:Choice Requires="wpg">
            <w:drawing>
              <wp:inline xmlns:wp="http://schemas.openxmlformats.org/drawingml/2006/wordprocessingDrawing" distT="0" distB="0" distL="0" distR="0">
                <wp:extent cx="5545455" cy="2271395"/>
                <wp:effectExtent l="0" t="0" r="0" b="0"/>
                <wp:docPr id="2" name="图片 1" descr="扬州苏建工程管理有限公司 定稿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扬州苏建工程管理有限公司 定稿_画板 1"/>
                        <pic:cNvPicPr>
                          <a:picLocks noChangeAspect="1"/>
                        </pic:cNvPicPr>
                        <pic:nvPr/>
                      </pic:nvPicPr>
                      <pic:blipFill>
                        <a:blip r:embed="rId15"/>
                        <a:srcRect l="0" t="28821" r="0" b="30222"/>
                        <a:stretch/>
                      </pic:blipFill>
                      <pic:spPr bwMode="auto">
                        <a:xfrm>
                          <a:off x="0" y="0"/>
                          <a:ext cx="5545455" cy="227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6.6pt;height:178.8pt;mso-wrap-distance-left:0.0pt;mso-wrap-distance-top:0.0pt;mso-wrap-distance-right:0.0pt;mso-wrap-distance-bottom:0.0pt;" stroked="f">
                <v:path textboxrect="0,0,0,0"/>
                <v:imagedata r:id="rId15" o:title=""/>
              </v:shape>
            </w:pict>
          </mc:Fallback>
        </mc:AlternateContent>
      </w:r>
      <w:r/>
    </w:p>
    <w:p>
      <w:pPr>
        <w:pStyle w:val="765"/>
        <w:jc w:val="both"/>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bCs/>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bCs/>
          <w:color w:val="000000"/>
          <w:sz w:val="32"/>
          <w:szCs w:val="32"/>
          <w:highlight w:val="none"/>
        </w:rPr>
      </w:r>
      <w:r/>
    </w:p>
    <w:p>
      <w:pPr>
        <w:pStyle w:val="765"/>
        <w:keepLines w:val="0"/>
        <w:keepNext w:val="0"/>
        <w:spacing w:before="0" w:beforeAutospacing="0" w:after="0" w:afterAutospacing="0" w:line="360" w:lineRule="auto"/>
        <w:shd w:val="clear" w:color="auto"/>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765"/>
        <w:keepLines w:val="0"/>
        <w:keepNext w:val="0"/>
        <w:spacing w:before="0" w:beforeAutospacing="0" w:after="0" w:afterAutospacing="0" w:line="360" w:lineRule="auto"/>
        <w:shd w:val="clear" w:color="auto"/>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765"/>
        <w:keepLines w:val="0"/>
        <w:keepNext w:val="0"/>
        <w:spacing w:before="0" w:beforeAutospacing="0" w:after="0" w:afterAutospacing="0" w:line="360" w:lineRule="auto"/>
        <w:shd w:val="clear" w:color="auto"/>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ind w:firstLine="420"/>
        <w:shd w:val="clear" w:color="auto"/>
        <w:rPr>
          <w:rFonts w:hint="eastAsia" w:ascii="宋体" w:hAnsi="宋体" w:eastAsia="宋体" w:cs="宋体"/>
          <w:b/>
          <w:bCs/>
          <w:sz w:val="32"/>
          <w:szCs w:val="32"/>
          <w:highlight w:val="none"/>
          <w:lang w:eastAsia="zh-CN"/>
        </w:rPr>
        <w:outlineLvl w:val="9"/>
      </w:pPr>
      <w:r>
        <w:rPr>
          <w:rFonts w:hint="eastAsia" w:asciiTheme="minorEastAsia" w:hAnsiTheme="minorEastAsia" w:eastAsiaTheme="minorEastAsia" w:cstheme="minorEastAsia"/>
          <w:highlight w:val="none"/>
        </w:rPr>
        <w:t xml:space="preserve"> </w:t>
      </w: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lang w:eastAsia="zh-CN"/>
        </w:rPr>
        <w:t xml:space="preserve">扬州市市场监督管理局</w:t>
      </w:r>
      <w:r/>
    </w:p>
    <w:p>
      <w:pPr>
        <w:ind w:firstLine="579"/>
        <w:shd w:val="clear" w:color="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采购代理机构：</w:t>
      </w:r>
      <w:r>
        <w:rPr>
          <w:rFonts w:hint="eastAsia" w:ascii="宋体" w:hAnsi="宋体" w:cs="宋体"/>
          <w:b/>
          <w:bCs/>
          <w:sz w:val="32"/>
          <w:szCs w:val="32"/>
          <w:highlight w:val="none"/>
          <w:lang w:eastAsia="zh-CN"/>
        </w:rPr>
        <w:t xml:space="preserve">扬州苏建工程管理有限公司</w:t>
      </w:r>
      <w:r/>
    </w:p>
    <w:p>
      <w:pPr>
        <w:ind w:firstLine="579"/>
        <w:shd w:val="clear" w:color="auto"/>
        <w:rPr>
          <w:rFonts w:ascii="宋体" w:hAnsi="宋体" w:cs="宋体"/>
          <w:b/>
          <w:bCs/>
          <w:sz w:val="32"/>
          <w:szCs w:val="32"/>
          <w:highlight w:val="none"/>
        </w:rPr>
        <w:outlineLvl w:val="9"/>
      </w:pPr>
      <w:r/>
      <w:bookmarkStart w:id="1" w:name="_Toc3263"/>
      <w:r>
        <w:rPr>
          <w:rFonts w:hint="eastAsia" w:ascii="宋体" w:hAnsi="宋体" w:cs="宋体"/>
          <w:b/>
          <w:bCs/>
          <w:sz w:val="32"/>
          <w:szCs w:val="32"/>
          <w:highlight w:val="none"/>
        </w:rPr>
        <w:t xml:space="preserve">发 放 日 期：</w:t>
      </w:r>
      <w:bookmarkStart w:id="2" w:name="EB59c3faf64f2a4bd092a206fb1d0c3c03"/>
      <w:r>
        <w:rPr>
          <w:rFonts w:hint="eastAsia" w:ascii="宋体" w:hAnsi="宋体" w:cs="宋体"/>
          <w:b/>
          <w:bCs/>
          <w:sz w:val="32"/>
          <w:szCs w:val="32"/>
          <w:highlight w:val="none"/>
        </w:rPr>
        <w:t xml:space="preserve"> 202</w:t>
      </w:r>
      <w:r>
        <w:rPr>
          <w:rFonts w:hint="eastAsia" w:ascii="宋体" w:hAnsi="宋体" w:cs="宋体"/>
          <w:b/>
          <w:bCs/>
          <w:sz w:val="32"/>
          <w:szCs w:val="32"/>
          <w:highlight w:val="none"/>
          <w:lang w:val="en-US" w:eastAsia="zh-CN"/>
        </w:rPr>
        <w:t xml:space="preserve">6</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val="en-US" w:eastAsia="zh-CN"/>
        </w:rPr>
        <w:t xml:space="preserve">06</w:t>
      </w:r>
      <w:r>
        <w:rPr>
          <w:rFonts w:hint="eastAsia" w:ascii="宋体" w:hAnsi="宋体" w:cs="宋体"/>
          <w:b/>
          <w:bCs/>
          <w:sz w:val="32"/>
          <w:szCs w:val="32"/>
          <w:highlight w:val="none"/>
        </w:rPr>
        <w:t xml:space="preserve">月</w:t>
      </w:r>
      <w:bookmarkEnd w:id="2"/>
      <w:r>
        <w:rPr>
          <w:rFonts w:hint="eastAsia" w:ascii="宋体" w:hAnsi="宋体" w:cs="宋体"/>
          <w:b/>
          <w:bCs/>
          <w:sz w:val="32"/>
          <w:szCs w:val="32"/>
          <w:highlight w:val="none"/>
          <w:lang w:val="en-US" w:eastAsia="zh-CN"/>
        </w:rPr>
        <w:t xml:space="preserve">02</w:t>
      </w:r>
      <w:r>
        <w:rPr>
          <w:rFonts w:hint="eastAsia" w:ascii="宋体" w:hAnsi="宋体" w:cs="宋体"/>
          <w:b/>
          <w:bCs/>
          <w:sz w:val="32"/>
          <w:szCs w:val="32"/>
          <w:highlight w:val="none"/>
        </w:rPr>
        <w:t xml:space="preserve">日</w:t>
      </w:r>
      <w:bookmarkEnd w:id="1"/>
      <w:r/>
      <w:r/>
    </w:p>
    <w:p>
      <w:pPr>
        <w:jc w:val="center"/>
        <w:shd w:val="clear" w:color="auto"/>
        <w:rPr>
          <w:rFonts w:ascii="宋体" w:hAnsi="宋体"/>
          <w:highlight w:val="none"/>
        </w:rPr>
        <w:sectPr>
          <w:headerReference w:type="default" r:id="rId9"/>
          <w:headerReference w:type="first" r:id="rId10"/>
          <w:footerReference w:type="default" r:id="rId12"/>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highlight w:val="none"/>
        </w:rPr>
      </w:r>
      <w:r/>
    </w:p>
    <w:p>
      <w:pPr>
        <w:jc w:val="center"/>
        <w:spacing w:before="100" w:beforeAutospacing="1" w:after="100" w:afterAutospacing="1" w:line="360" w:lineRule="auto"/>
        <w:shd w:val="clear" w:color="auto"/>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目  录</w:t>
      </w:r>
      <w:r/>
    </w:p>
    <w:p>
      <w:pPr>
        <w:pStyle w:val="75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TOC \o "1-1" \h \z \u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_Toc408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第一章 投标邀请</w:t>
      </w:r>
      <w:r>
        <w:rPr>
          <w:sz w:val="28"/>
          <w:szCs w:val="28"/>
        </w:rPr>
        <w:tab/>
      </w:r>
      <w:r>
        <w:rPr>
          <w:sz w:val="28"/>
          <w:szCs w:val="28"/>
        </w:rPr>
        <w:fldChar w:fldCharType="begin"/>
      </w:r>
      <w:r>
        <w:rPr>
          <w:sz w:val="28"/>
          <w:szCs w:val="28"/>
        </w:rPr>
        <w:instrText xml:space="preserve"> PAGEREF _Toc408 \h </w:instrText>
      </w:r>
      <w:r>
        <w:rPr>
          <w:sz w:val="28"/>
          <w:szCs w:val="28"/>
        </w:rPr>
        <w:fldChar w:fldCharType="separate"/>
      </w:r>
      <w:r>
        <w:rPr>
          <w:sz w:val="28"/>
          <w:szCs w:val="28"/>
        </w:rPr>
        <w:t xml:space="preserve">1</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_Toc16207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_Toc16207 \h </w:instrText>
      </w:r>
      <w:r>
        <w:rPr>
          <w:sz w:val="28"/>
          <w:szCs w:val="28"/>
        </w:rPr>
        <w:fldChar w:fldCharType="separate"/>
      </w:r>
      <w:r>
        <w:rPr>
          <w:sz w:val="28"/>
          <w:szCs w:val="28"/>
        </w:rPr>
        <w:t xml:space="preserve">5</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_Toc5033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第三章 合同文本</w:t>
      </w:r>
      <w:r>
        <w:rPr>
          <w:sz w:val="28"/>
          <w:szCs w:val="28"/>
        </w:rPr>
        <w:tab/>
      </w:r>
      <w:r>
        <w:rPr>
          <w:sz w:val="28"/>
          <w:szCs w:val="28"/>
        </w:rPr>
        <w:fldChar w:fldCharType="begin"/>
      </w:r>
      <w:r>
        <w:rPr>
          <w:sz w:val="28"/>
          <w:szCs w:val="28"/>
        </w:rPr>
        <w:instrText xml:space="preserve"> PAGEREF _Toc5033 \h </w:instrText>
      </w:r>
      <w:r>
        <w:rPr>
          <w:sz w:val="28"/>
          <w:szCs w:val="28"/>
        </w:rPr>
        <w:fldChar w:fldCharType="separate"/>
      </w:r>
      <w:r>
        <w:rPr>
          <w:sz w:val="28"/>
          <w:szCs w:val="28"/>
        </w:rPr>
        <w:t xml:space="preserve">14</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_Toc7438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bCs/>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_Toc7438 \h </w:instrText>
      </w:r>
      <w:r>
        <w:rPr>
          <w:sz w:val="28"/>
          <w:szCs w:val="28"/>
        </w:rPr>
        <w:fldChar w:fldCharType="separate"/>
      </w:r>
      <w:r>
        <w:rPr>
          <w:sz w:val="28"/>
          <w:szCs w:val="28"/>
        </w:rPr>
        <w:t xml:space="preserve">20</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_Toc8374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第五章 评标方法及评分标准</w:t>
      </w:r>
      <w:r>
        <w:rPr>
          <w:sz w:val="28"/>
          <w:szCs w:val="28"/>
        </w:rPr>
        <w:tab/>
      </w:r>
      <w:r>
        <w:rPr>
          <w:sz w:val="28"/>
          <w:szCs w:val="28"/>
        </w:rPr>
        <w:fldChar w:fldCharType="begin"/>
      </w:r>
      <w:r>
        <w:rPr>
          <w:sz w:val="28"/>
          <w:szCs w:val="28"/>
        </w:rPr>
        <w:instrText xml:space="preserve"> PAGEREF _Toc8374 \h </w:instrText>
      </w:r>
      <w:r>
        <w:rPr>
          <w:sz w:val="28"/>
          <w:szCs w:val="28"/>
        </w:rPr>
        <w:fldChar w:fldCharType="separate"/>
      </w:r>
      <w:r>
        <w:rPr>
          <w:sz w:val="28"/>
          <w:szCs w:val="28"/>
        </w:rPr>
        <w:t xml:space="preserve">84</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tabs>
          <w:tab w:val="clear" w:pos="8302" w:leader="none"/>
          <w:tab w:val="right" w:pos="9638" w:leader="dot"/>
        </w:tabs>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_Toc23721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第六章 投标文件格式</w:t>
      </w:r>
      <w:r>
        <w:rPr>
          <w:sz w:val="28"/>
          <w:szCs w:val="28"/>
        </w:rPr>
        <w:tab/>
      </w:r>
      <w:r>
        <w:rPr>
          <w:sz w:val="28"/>
          <w:szCs w:val="28"/>
        </w:rPr>
        <w:fldChar w:fldCharType="begin"/>
      </w:r>
      <w:r>
        <w:rPr>
          <w:sz w:val="28"/>
          <w:szCs w:val="28"/>
        </w:rPr>
        <w:instrText xml:space="preserve"> PAGEREF _Toc23721 \h </w:instrText>
      </w:r>
      <w:r>
        <w:rPr>
          <w:sz w:val="28"/>
          <w:szCs w:val="28"/>
        </w:rPr>
        <w:fldChar w:fldCharType="separate"/>
      </w:r>
      <w:r>
        <w:rPr>
          <w:sz w:val="28"/>
          <w:szCs w:val="28"/>
        </w:rPr>
        <w:t xml:space="preserve">89</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spacing w:line="360" w:lineRule="auto"/>
        <w:shd w:val="clear" w:color="auto"/>
        <w:rPr>
          <w:rFonts w:hint="eastAsia" w:asciiTheme="minorEastAsia" w:hAnsiTheme="minorEastAsia" w:eastAsiaTheme="minorEastAsia" w:cstheme="minorEastAsia"/>
          <w:sz w:val="28"/>
          <w:highlight w:val="none"/>
        </w:rPr>
      </w:pPr>
      <w:r>
        <w:rPr>
          <w:rFonts w:hint="eastAsia" w:asciiTheme="minorEastAsia" w:hAnsiTheme="minorEastAsia" w:eastAsiaTheme="minorEastAsia" w:cstheme="minorEastAsia"/>
          <w:szCs w:val="28"/>
          <w:highlight w:val="none"/>
        </w:rPr>
        <w:fldChar w:fldCharType="end"/>
      </w:r>
      <w:r/>
    </w:p>
    <w:p>
      <w:pPr>
        <w:pStyle w:val="722"/>
        <w:jc w:val="center"/>
        <w:spacing w:before="120" w:after="100" w:afterAutospacing="1" w:line="240" w:lineRule="auto"/>
        <w:shd w:val="clear" w:color="auto"/>
        <w:rPr>
          <w:rFonts w:hint="eastAsia" w:asciiTheme="minorEastAsia" w:hAnsiTheme="minorEastAsia" w:eastAsiaTheme="minorEastAsia" w:cstheme="minorEastAsia"/>
          <w:sz w:val="32"/>
          <w:highlight w:val="none"/>
        </w:rPr>
        <w:sectPr>
          <w:headerReference w:type="default" r:id="rId11"/>
          <w:footnotePr/>
          <w:endnotePr/>
          <w:type w:val="nextPage"/>
          <w:pgSz w:w="11906" w:h="16838" w:orient="portrait"/>
          <w:pgMar w:top="1134" w:right="1134" w:bottom="1134" w:left="1134" w:header="851" w:footer="992" w:gutter="0"/>
          <w:pgNumType w:start="0"/>
          <w:cols w:num="1" w:sep="0" w:space="720" w:equalWidth="1"/>
          <w:docGrid w:linePitch="360"/>
          <w:titlePg/>
        </w:sectPr>
      </w:pPr>
      <w:r/>
      <w:bookmarkStart w:id="3" w:name="_Toc237917776"/>
      <w:r/>
      <w:r/>
    </w:p>
    <w:p>
      <w:pPr>
        <w:pStyle w:val="722"/>
        <w:jc w:val="center"/>
        <w:spacing w:before="120" w:after="100" w:afterAutospacing="1" w:line="240" w:lineRule="auto"/>
        <w:shd w:val="clear" w:color="auto"/>
        <w:rPr>
          <w:rFonts w:hint="eastAsia" w:asciiTheme="minorEastAsia" w:hAnsiTheme="minorEastAsia" w:eastAsiaTheme="minorEastAsia" w:cstheme="minorEastAsia"/>
          <w:sz w:val="32"/>
          <w:highlight w:val="none"/>
        </w:rPr>
      </w:pPr>
      <w:r/>
      <w:bookmarkStart w:id="4" w:name="_Toc408"/>
      <w:r>
        <w:rPr>
          <w:rFonts w:hint="eastAsia" w:asciiTheme="minorEastAsia" w:hAnsiTheme="minorEastAsia" w:eastAsiaTheme="minorEastAsia" w:cstheme="minorEastAsia"/>
          <w:sz w:val="32"/>
          <w:highlight w:val="none"/>
        </w:rPr>
        <w:t xml:space="preserve">第一章 投标邀请</w:t>
      </w:r>
      <w:bookmarkEnd w:id="3"/>
      <w:r/>
      <w:bookmarkEnd w:id="4"/>
      <w:r/>
      <w:r/>
    </w:p>
    <w:p>
      <w:pPr>
        <w:spacing w:line="360" w:lineRule="auto"/>
        <w:shd w:val="clear" w:color="auto"/>
        <w:rPr>
          <w:rFonts w:hint="eastAsia" w:asciiTheme="minorEastAsia" w:hAnsiTheme="minorEastAsia" w:eastAsiaTheme="minorEastAsia" w:cstheme="minorEastAsia"/>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Cs w:val="24"/>
          <w:highlight w:val="none"/>
        </w:rPr>
        <w:t xml:space="preserve">项目概况</w:t>
      </w:r>
      <w:r/>
    </w:p>
    <w:p>
      <w:pPr>
        <w:ind w:firstLine="422"/>
        <w:spacing w:line="360" w:lineRule="auto"/>
        <w:shd w:val="clear" w:color="auto"/>
        <w:rPr>
          <w:rFonts w:hint="eastAsia" w:asciiTheme="minorEastAsia" w:hAnsiTheme="minorEastAsia" w:eastAsiaTheme="minorEastAsia" w:cstheme="minorEastAsia"/>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highlight w:val="none"/>
          <w:u w:val="single"/>
          <w:lang w:eastAsia="zh-CN"/>
        </w:rPr>
        <w:t xml:space="preserve">扬州市市场监督管理局2026年市级产品质量监督抽查</w:t>
      </w:r>
      <w:r>
        <w:rPr>
          <w:rFonts w:hint="eastAsia" w:asciiTheme="minorEastAsia" w:hAnsiTheme="minorEastAsia" w:eastAsiaTheme="minorEastAsia" w:cstheme="minorEastAsia"/>
          <w:szCs w:val="24"/>
          <w:highlight w:val="none"/>
        </w:rPr>
        <w:t xml:space="preserve">的潜在投标人可在</w:t>
      </w:r>
      <w:r>
        <w:rPr>
          <w:rFonts w:hint="eastAsia" w:asciiTheme="minorEastAsia" w:hAnsiTheme="minorEastAsia" w:eastAsiaTheme="minorEastAsia" w:cstheme="minorEastAsia"/>
          <w:szCs w:val="24"/>
          <w:highlight w:val="none"/>
          <w:u w:val="single"/>
          <w:lang w:eastAsia="zh-CN"/>
        </w:rPr>
        <w:t xml:space="preserve">“扬州市政府采购网”、“江苏政府采购网”“中国政府采购网”</w:t>
      </w:r>
      <w:r>
        <w:rPr>
          <w:rFonts w:hint="eastAsia" w:asciiTheme="minorEastAsia" w:hAnsiTheme="minorEastAsia" w:eastAsiaTheme="minorEastAsia" w:cstheme="minorEastAsia"/>
          <w:szCs w:val="24"/>
          <w:highlight w:val="none"/>
          <w:u w:val="single"/>
        </w:rPr>
        <w:t xml:space="preserve">自行免费下载</w:t>
      </w:r>
      <w:r>
        <w:rPr>
          <w:rFonts w:hint="eastAsia" w:asciiTheme="minorEastAsia" w:hAnsiTheme="minorEastAsia" w:eastAsiaTheme="minorEastAsia" w:cstheme="minorEastAsia"/>
          <w:szCs w:val="24"/>
          <w:highlight w:val="none"/>
        </w:rPr>
        <w:t xml:space="preserve">招标文件，并于</w:t>
      </w:r>
      <w:r>
        <w:rPr>
          <w:rFonts w:hint="eastAsia" w:asciiTheme="minorEastAsia" w:hAnsiTheme="minorEastAsia" w:eastAsiaTheme="minorEastAsia" w:cstheme="minorEastAsia"/>
          <w:szCs w:val="24"/>
          <w:highlight w:val="none"/>
          <w:u w:val="single"/>
        </w:rPr>
        <w:t xml:space="preserve"> 202</w:t>
      </w:r>
      <w:r>
        <w:rPr>
          <w:rFonts w:hint="eastAsia" w:asciiTheme="minorEastAsia" w:hAnsiTheme="minorEastAsia" w:eastAsiaTheme="minorEastAsia" w:cstheme="minorEastAsia"/>
          <w:szCs w:val="24"/>
          <w:highlight w:val="none"/>
          <w:u w:val="single"/>
          <w:lang w:val="en-US" w:eastAsia="zh-CN"/>
        </w:rPr>
        <w:t xml:space="preserve">6</w:t>
      </w:r>
      <w:r>
        <w:rPr>
          <w:rFonts w:hint="eastAsia" w:asciiTheme="minorEastAsia" w:hAnsiTheme="minorEastAsia" w:eastAsiaTheme="minorEastAsia" w:cstheme="minorEastAsia"/>
          <w:bCs/>
          <w:szCs w:val="24"/>
          <w:highlight w:val="none"/>
          <w:u w:val="single"/>
        </w:rPr>
        <w:t xml:space="preserve">年</w:t>
      </w:r>
      <w:r>
        <w:rPr>
          <w:rFonts w:hint="eastAsia" w:asciiTheme="minorEastAsia" w:hAnsiTheme="minorEastAsia" w:eastAsiaTheme="minorEastAsia" w:cstheme="minorEastAsia"/>
          <w:bCs/>
          <w:szCs w:val="24"/>
          <w:highlight w:val="none"/>
          <w:u w:val="single"/>
          <w:lang w:val="en-US" w:eastAsia="zh-CN"/>
        </w:rPr>
        <w:t xml:space="preserve">06月23日9</w:t>
      </w:r>
      <w:r>
        <w:rPr>
          <w:rFonts w:hint="eastAsia" w:asciiTheme="minorEastAsia" w:hAnsiTheme="minorEastAsia" w:eastAsiaTheme="minorEastAsia" w:cstheme="minorEastAsia"/>
          <w:bCs/>
          <w:szCs w:val="24"/>
          <w:highlight w:val="none"/>
          <w:u w:val="single"/>
        </w:rPr>
        <w:t xml:space="preserve">点30分（</w:t>
      </w:r>
      <w:r>
        <w:rPr>
          <w:rFonts w:hint="eastAsia" w:asciiTheme="minorEastAsia" w:hAnsiTheme="minorEastAsia" w:eastAsiaTheme="minorEastAsia" w:cstheme="minorEastAsia"/>
          <w:bCs/>
          <w:szCs w:val="24"/>
          <w:highlight w:val="none"/>
        </w:rPr>
        <w:t xml:space="preserve">北京时间）前递交投标文件</w:t>
      </w:r>
      <w:r>
        <w:rPr>
          <w:rFonts w:hint="eastAsia" w:asciiTheme="minorEastAsia" w:hAnsiTheme="minorEastAsia" w:eastAsiaTheme="minorEastAsia" w:cstheme="minorEastAsia"/>
          <w:szCs w:val="24"/>
          <w:highlight w:val="none"/>
        </w:rPr>
        <w:t xml:space="preserve">。</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bookmarkStart w:id="5" w:name="_Toc38985263"/>
      <w:r/>
      <w:bookmarkStart w:id="6" w:name="_Toc35393621"/>
      <w:r/>
      <w:bookmarkStart w:id="7" w:name="_Toc28359079"/>
      <w:r/>
      <w:bookmarkStart w:id="8" w:name="_Toc35393790"/>
      <w:r/>
      <w:bookmarkStart w:id="9" w:name="_Toc28359002"/>
      <w:r/>
      <w:bookmarkStart w:id="10" w:name="_Hlk24379207"/>
      <w:r>
        <w:rPr>
          <w:rFonts w:hint="eastAsia" w:asciiTheme="minorEastAsia" w:hAnsiTheme="minorEastAsia" w:eastAsiaTheme="minorEastAsia" w:cstheme="minorEastAsia"/>
          <w:sz w:val="24"/>
          <w:highlight w:val="none"/>
        </w:rPr>
        <w:t xml:space="preserve">一、项目基本情况</w:t>
      </w:r>
      <w:bookmarkEnd w:id="5"/>
      <w:r/>
      <w:bookmarkEnd w:id="6"/>
      <w:r/>
      <w:bookmarkEnd w:id="7"/>
      <w:r/>
      <w:bookmarkEnd w:id="8"/>
      <w:r/>
      <w:bookmarkEnd w:id="9"/>
      <w:r/>
      <w:r/>
    </w:p>
    <w:p>
      <w:pPr>
        <w:ind w:firstLine="420"/>
        <w:spacing w:line="360" w:lineRule="auto"/>
        <w:shd w:val="clear" w:color="auto"/>
        <w:rPr>
          <w:rFonts w:hint="eastAsia" w:asciiTheme="minorEastAsia" w:hAnsiTheme="minorEastAsia" w:eastAsiaTheme="minorEastAsia" w:cstheme="minorEastAsia"/>
          <w:bCs/>
          <w:highlight w:val="none"/>
          <w:lang w:eastAsia="zh-CN"/>
        </w:rPr>
      </w:pPr>
      <w:r>
        <w:rPr>
          <w:rFonts w:hint="eastAsia" w:asciiTheme="minorEastAsia" w:hAnsiTheme="minorEastAsia" w:eastAsiaTheme="minorEastAsia" w:cstheme="minorEastAsia"/>
          <w:highlight w:val="none"/>
        </w:rPr>
        <w:t xml:space="preserve">1.项目编号：JSZC-321000-SJGG-G2026-0002</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2.项目名称：</w:t>
      </w:r>
      <w:bookmarkEnd w:id="10"/>
      <w:r>
        <w:rPr>
          <w:rFonts w:hint="eastAsia" w:asciiTheme="minorEastAsia" w:hAnsiTheme="minorEastAsia" w:eastAsiaTheme="minorEastAsia" w:cstheme="minorEastAsia"/>
          <w:highlight w:val="none"/>
          <w:lang w:eastAsia="zh-CN"/>
        </w:rPr>
        <w:t xml:space="preserve">扬州市市场监督管理局2026年市级产品质量监督抽查</w:t>
      </w:r>
      <w:r/>
    </w:p>
    <w:p>
      <w:pPr>
        <w:pStyle w:val="1186"/>
        <w:ind w:firstLine="420"/>
        <w:spacing w:line="360" w:lineRule="auto"/>
        <w:shd w:val="clear" w:color="auto"/>
        <w:rPr>
          <w:rFonts w:hint="eastAsia" w:asciiTheme="minorEastAsia" w:hAnsiTheme="minorEastAsia" w:eastAsiaTheme="minorEastAsia" w:cstheme="minorEastAsia"/>
          <w:sz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1" w:name="OLE_LINK1"/>
      <w:r>
        <w:rPr>
          <w:rFonts w:hint="eastAsia" w:asciiTheme="minorEastAsia" w:hAnsiTheme="minorEastAsia" w:eastAsiaTheme="minorEastAsia" w:cstheme="minorEastAsia"/>
          <w:sz w:val="21"/>
          <w:highlight w:val="none"/>
          <w:lang w:val="en-US" w:eastAsia="zh-CN" w:bidi="ar-SA"/>
        </w:rPr>
        <w:t xml:space="preserve">3.预算金额：241万元</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4.本项目设定最高限价：</w:t>
      </w:r>
      <w:r>
        <w:rPr>
          <w:rFonts w:hint="eastAsia" w:ascii="宋体" w:hAnsi="宋体" w:cs="宋体"/>
          <w:color w:val="auto"/>
          <w:sz w:val="21"/>
          <w:szCs w:val="21"/>
          <w:highlight w:val="none"/>
          <w:lang w:eastAsia="zh-CN"/>
        </w:rPr>
        <w:t xml:space="preserve">采购包1：</w:t>
      </w:r>
      <w:r>
        <w:rPr>
          <w:rFonts w:hint="eastAsia" w:ascii="宋体" w:hAnsi="宋体" w:cs="宋体"/>
          <w:color w:val="auto"/>
          <w:sz w:val="21"/>
          <w:szCs w:val="21"/>
          <w:highlight w:val="none"/>
          <w:lang w:val="en-US" w:eastAsia="zh-CN"/>
        </w:rPr>
        <w:t xml:space="preserve">82</w:t>
      </w:r>
      <w:r>
        <w:rPr>
          <w:rFonts w:hint="eastAsia" w:ascii="宋体" w:hAnsi="宋体" w:cs="宋体"/>
          <w:color w:val="auto"/>
          <w:sz w:val="21"/>
          <w:szCs w:val="21"/>
          <w:highlight w:val="none"/>
          <w:lang w:eastAsia="zh-CN"/>
        </w:rPr>
        <w:t xml:space="preserve">万元；采购包2：</w:t>
      </w:r>
      <w:r>
        <w:rPr>
          <w:rFonts w:hint="eastAsia" w:ascii="宋体" w:hAnsi="宋体" w:cs="宋体"/>
          <w:color w:val="auto"/>
          <w:sz w:val="21"/>
          <w:szCs w:val="21"/>
          <w:highlight w:val="none"/>
          <w:lang w:val="en-US" w:eastAsia="zh-CN"/>
        </w:rPr>
        <w:t xml:space="preserve">36</w:t>
      </w:r>
      <w:r>
        <w:rPr>
          <w:rFonts w:hint="eastAsia" w:ascii="宋体" w:hAnsi="宋体" w:cs="宋体"/>
          <w:color w:val="auto"/>
          <w:sz w:val="21"/>
          <w:szCs w:val="21"/>
          <w:highlight w:val="none"/>
          <w:lang w:eastAsia="zh-CN"/>
        </w:rPr>
        <w:t xml:space="preserve">万元；采购包3：</w:t>
      </w:r>
      <w:r>
        <w:rPr>
          <w:rFonts w:hint="eastAsia" w:ascii="宋体" w:hAnsi="宋体" w:cs="宋体"/>
          <w:color w:val="auto"/>
          <w:sz w:val="21"/>
          <w:szCs w:val="21"/>
          <w:highlight w:val="none"/>
          <w:lang w:val="en-US" w:eastAsia="zh-CN"/>
        </w:rPr>
        <w:t xml:space="preserve">28</w:t>
      </w:r>
      <w:r>
        <w:rPr>
          <w:rFonts w:hint="eastAsia" w:ascii="宋体" w:hAnsi="宋体" w:cs="宋体"/>
          <w:color w:val="auto"/>
          <w:sz w:val="21"/>
          <w:szCs w:val="21"/>
          <w:highlight w:val="none"/>
          <w:lang w:eastAsia="zh-CN"/>
        </w:rPr>
        <w:t xml:space="preserve">万元；采购包4：</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lang w:eastAsia="zh-CN"/>
        </w:rPr>
        <w:t xml:space="preserve">万元；采购包</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万元</w:t>
      </w:r>
      <w:r>
        <w:rPr>
          <w:rFonts w:hint="eastAsia" w:asciiTheme="minorEastAsia" w:hAnsiTheme="minorEastAsia" w:eastAsiaTheme="minorEastAsia" w:cstheme="minorEastAsia"/>
          <w:strike w:val="0"/>
          <w:color w:val="auto"/>
          <w:sz w:val="21"/>
          <w:highlight w:val="none"/>
          <w:lang w:eastAsia="zh-CN"/>
        </w:rPr>
        <w:t xml:space="preserve">，</w:t>
      </w:r>
      <w:r>
        <w:rPr>
          <w:rFonts w:hint="eastAsia" w:asciiTheme="minorEastAsia" w:hAnsiTheme="minorEastAsia" w:eastAsiaTheme="minorEastAsia" w:cstheme="minorEastAsia"/>
          <w:highlight w:val="none"/>
        </w:rPr>
        <w:t xml:space="preserve">报价超过限价的为无效报价，按照无效响应处理。</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5.</w:t>
      </w:r>
      <w:r>
        <w:rPr>
          <w:rFonts w:hint="eastAsia" w:asciiTheme="minorEastAsia" w:hAnsiTheme="minorEastAsia" w:eastAsiaTheme="minorEastAsia" w:cstheme="minorEastAsia"/>
          <w:bCs/>
          <w:highlight w:val="none"/>
        </w:rPr>
        <w:t xml:space="preserve">采购需求（简介）：</w:t>
      </w:r>
      <w:r>
        <w:rPr>
          <w:rFonts w:hint="eastAsia" w:asciiTheme="minorEastAsia" w:hAnsiTheme="minorEastAsia" w:eastAsiaTheme="minorEastAsia" w:cstheme="minorEastAsia"/>
          <w:color w:val="auto"/>
          <w:highlight w:val="none"/>
          <w:lang w:eastAsia="zh-CN"/>
        </w:rPr>
        <w:t xml:space="preserve">计划抽查12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lang w:eastAsia="zh-CN"/>
        </w:rPr>
        <w:t xml:space="preserve">种</w:t>
      </w:r>
      <w:r>
        <w:rPr>
          <w:rFonts w:hint="eastAsia" w:asciiTheme="minorEastAsia" w:hAnsiTheme="minorEastAsia" w:eastAsiaTheme="minorEastAsia" w:cstheme="minorEastAsia"/>
          <w:color w:val="auto"/>
          <w:highlight w:val="none"/>
          <w:lang w:val="en-US" w:eastAsia="zh-CN"/>
        </w:rPr>
        <w:t xml:space="preserve">1912</w:t>
      </w:r>
      <w:r>
        <w:rPr>
          <w:rFonts w:hint="eastAsia" w:asciiTheme="minorEastAsia" w:hAnsiTheme="minorEastAsia" w:eastAsiaTheme="minorEastAsia" w:cstheme="minorEastAsia"/>
          <w:color w:val="auto"/>
          <w:highlight w:val="none"/>
          <w:lang w:eastAsia="zh-CN"/>
        </w:rPr>
        <w:t xml:space="preserve">批次产品</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szCs w:val="21"/>
          <w:highlight w:val="none"/>
        </w:rPr>
        <w:t xml:space="preserve">详细内容见本招标文件第四章。</w:t>
      </w:r>
      <w:r/>
    </w:p>
    <w:p>
      <w:pPr>
        <w:ind w:firstLine="420"/>
        <w:spacing w:line="360" w:lineRule="auto"/>
        <w:shd w:val="clear" w:color="auto"/>
        <w:rPr>
          <w:rFonts w:hint="eastAsia" w:ascii="宋体" w:hAnsi="宋体" w:cs="宋体"/>
          <w:color w:val="auto"/>
          <w:sz w:val="21"/>
          <w:highlight w:val="none"/>
        </w:rPr>
      </w:pPr>
      <w:r>
        <w:rPr>
          <w:rFonts w:hint="eastAsia" w:ascii="宋体" w:hAnsi="宋体" w:cs="宋体"/>
          <w:color w:val="auto"/>
          <w:sz w:val="21"/>
          <w:szCs w:val="21"/>
          <w:highlight w:val="none"/>
          <w:lang w:eastAsia="zh-CN"/>
        </w:rPr>
        <w:t xml:space="preserve">采购包1：共对</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highlight w:val="none"/>
        </w:rPr>
        <w:t xml:space="preserve">个品种</w:t>
      </w:r>
      <w:r>
        <w:rPr>
          <w:rFonts w:hint="eastAsia" w:ascii="宋体" w:hAnsi="宋体" w:cs="宋体"/>
          <w:color w:val="auto"/>
          <w:sz w:val="21"/>
          <w:highlight w:val="none"/>
          <w:lang w:val="en-US" w:eastAsia="zh-CN"/>
        </w:rPr>
        <w:t xml:space="preserve">718批次进行监督抽查，</w:t>
      </w:r>
      <w:r>
        <w:rPr>
          <w:rFonts w:hint="eastAsia" w:ascii="宋体" w:hAnsi="宋体" w:cs="宋体"/>
          <w:color w:val="auto"/>
          <w:sz w:val="21"/>
          <w:highlight w:val="none"/>
        </w:rPr>
        <w:t xml:space="preserve">包括牙刷</w:t>
      </w:r>
      <w:r>
        <w:rPr>
          <w:rFonts w:hint="eastAsia" w:ascii="宋体" w:hAnsi="宋体" w:cs="宋体"/>
          <w:color w:val="auto"/>
          <w:sz w:val="21"/>
          <w:highlight w:val="none"/>
          <w:lang w:eastAsia="zh-CN"/>
        </w:rPr>
        <w:t xml:space="preserve">；卫生巾（护垫）；纸尿裤；口腔器具；儿童玩具（塑胶、毛绒玩具）；铝合金建筑型材；铝合金制品；热轧带肋钢筋；钢管；电力金具；铝合金窗；型钢；碟形弹簧</w:t>
      </w:r>
      <w:r>
        <w:rPr>
          <w:rFonts w:hint="eastAsia" w:ascii="宋体" w:hAnsi="宋体" w:cs="宋体"/>
          <w:color w:val="auto"/>
          <w:sz w:val="21"/>
          <w:highlight w:val="none"/>
          <w:lang w:val="en-US" w:eastAsia="zh-CN"/>
        </w:rPr>
        <w:t xml:space="preserve">；机床；弹簧支吊架；液压油缸；</w:t>
      </w:r>
      <w:r>
        <w:rPr>
          <w:rFonts w:hint="eastAsia" w:ascii="宋体" w:hAnsi="宋体" w:cs="宋体"/>
          <w:color w:val="auto"/>
          <w:sz w:val="21"/>
          <w:highlight w:val="none"/>
          <w:lang w:eastAsia="zh-CN"/>
        </w:rPr>
        <w:t xml:space="preserve">复合肥料；衣料用液体洗涤剂；皂类；卫生洁具清洗剂；洗手液；洗衣粉；橡胶护舷；砖和砌块；橡胶热水袋；建筑防水卷材；水泥；胶黏剂；防水涂料；橡胶密封制品；电线电缆（3C管理）；</w:t>
      </w:r>
      <w:r>
        <w:rPr>
          <w:rFonts w:hint="eastAsia" w:ascii="宋体" w:hAnsi="宋体" w:cs="宋体"/>
          <w:color w:val="auto"/>
          <w:sz w:val="21"/>
          <w:highlight w:val="none"/>
          <w:lang w:val="en-US" w:eastAsia="zh-CN"/>
        </w:rPr>
        <w:t xml:space="preserve">电</w:t>
      </w:r>
      <w:r>
        <w:rPr>
          <w:rFonts w:hint="eastAsia" w:ascii="宋体" w:hAnsi="宋体" w:cs="宋体"/>
          <w:color w:val="auto"/>
          <w:sz w:val="21"/>
          <w:highlight w:val="none"/>
          <w:lang w:eastAsia="zh-CN"/>
        </w:rPr>
        <w:t xml:space="preserve">线电缆用软聚氯乙烯塑料；电线电缆（工业产品生产许可证管理）；数字通信用聚烯烃绝缘水平对绞电缆；低压成套设备</w:t>
      </w:r>
      <w:r>
        <w:rPr>
          <w:rFonts w:hint="eastAsia" w:ascii="宋体" w:hAnsi="宋体" w:cs="宋体"/>
          <w:color w:val="auto"/>
          <w:sz w:val="21"/>
          <w:highlight w:val="none"/>
        </w:rPr>
        <w:t xml:space="preserve">。</w:t>
      </w:r>
      <w:r/>
    </w:p>
    <w:p>
      <w:pPr>
        <w:pStyle w:val="956"/>
        <w:spacing w:line="360" w:lineRule="auto"/>
        <w:shd w:val="clear" w:color="auto"/>
        <w:rPr>
          <w:rFonts w:hint="eastAsia" w:ascii="宋体" w:hAnsi="宋体" w:cs="宋体"/>
          <w:color w:val="auto"/>
          <w:sz w:val="21"/>
          <w:highlight w:val="none"/>
          <w:lang w:val="en-US" w:eastAsia="zh-CN"/>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highlight w:val="none"/>
        </w:rPr>
        <w:t xml:space="preserve">共对</w:t>
      </w:r>
      <w:r>
        <w:rPr>
          <w:rFonts w:hint="eastAsia" w:ascii="宋体" w:hAnsi="宋体" w:cs="宋体"/>
          <w:color w:val="auto"/>
          <w:sz w:val="21"/>
          <w:highlight w:val="none"/>
          <w:lang w:val="en-US" w:eastAsia="zh-CN"/>
        </w:rPr>
        <w:t xml:space="preserve">16</w:t>
      </w:r>
      <w:r>
        <w:rPr>
          <w:rFonts w:hint="eastAsia" w:ascii="宋体" w:hAnsi="宋体" w:cs="宋体"/>
          <w:color w:val="auto"/>
          <w:sz w:val="21"/>
          <w:highlight w:val="none"/>
        </w:rPr>
        <w:t xml:space="preserve">个品种</w:t>
      </w:r>
      <w:r>
        <w:rPr>
          <w:rFonts w:hint="eastAsia" w:ascii="宋体" w:hAnsi="宋体" w:cs="宋体"/>
          <w:color w:val="auto"/>
          <w:sz w:val="21"/>
          <w:highlight w:val="none"/>
          <w:lang w:val="en-US" w:eastAsia="zh-CN"/>
        </w:rPr>
        <w:t xml:space="preserve">170</w:t>
      </w:r>
      <w:r>
        <w:rPr>
          <w:rFonts w:hint="eastAsia" w:ascii="宋体" w:hAnsi="宋体" w:cs="宋体"/>
          <w:color w:val="auto"/>
          <w:sz w:val="21"/>
          <w:highlight w:val="none"/>
        </w:rPr>
        <w:t xml:space="preserve">批次进行监督抽查，包括</w:t>
      </w:r>
      <w:r>
        <w:rPr>
          <w:rFonts w:hint="eastAsia" w:ascii="宋体" w:hAnsi="宋体" w:cs="宋体"/>
          <w:color w:val="auto"/>
          <w:sz w:val="21"/>
          <w:highlight w:val="none"/>
          <w:lang w:val="en-US" w:eastAsia="zh-CN"/>
        </w:rPr>
        <w:t xml:space="preserve">耳机（有线耳机）（无线耳机）；平板电脑；移动电源；移动电话；电源适配器；消防软管卷盘；过滤式消防自救呼吸器；手提式干粉灭火器；无人机；危险化学品；家用电动洗衣机；电冰箱；房间空气调节器；车用柴油；车用尿素；车用汽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采购包3：共对9个品种175批次进行监督抽查，包括电动汽车充电桩充电枪；食品接触用塑料包装容器、工具等制品；危险化学品包装物；儿童家具；智能坐便器；读写台灯（护眼灯）；LED照明产品</w:t>
      </w:r>
      <w:r/>
    </w:p>
    <w:p>
      <w:pPr>
        <w:spacing w:line="360" w:lineRule="auto"/>
        <w:rPr>
          <w:rFonts w:hint="eastAsia"/>
          <w:lang w:val="en-US" w:eastAsia="zh-CN"/>
        </w:rPr>
      </w:pPr>
      <w:r>
        <w:rPr>
          <w:rFonts w:hint="eastAsia"/>
          <w:lang w:val="en-US" w:eastAsia="zh-CN"/>
        </w:rPr>
        <w:t xml:space="preserve">（含自镇流LED灯）；陶瓷片密封水嘴；淋浴用花洒。</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eastAsia="宋体" w:cs="宋体"/>
          <w:color w:val="auto"/>
          <w:sz w:val="21"/>
          <w:highlight w:val="none"/>
          <w:lang w:val="en-US" w:eastAsia="zh-CN"/>
        </w:rPr>
        <w:t xml:space="preserve">采购包4：</w:t>
      </w:r>
      <w:r>
        <w:rPr>
          <w:rFonts w:hint="eastAsia" w:ascii="宋体" w:hAnsi="宋体" w:eastAsia="宋体" w:cs="宋体"/>
          <w:color w:val="auto"/>
          <w:sz w:val="21"/>
          <w:highlight w:val="none"/>
          <w:lang w:val="en-US" w:eastAsia="zh-CN" w:bidi="ar-SA"/>
        </w:rPr>
        <w:t xml:space="preserve">共对13个品种122批次进行监督抽查，包括烟花爆竹；燃香；快热式电热水器；饮水机；足浴盆；储水式电热水器；吸油烟机；电饭锅；浴霸（风暖）；地漏；</w:t>
      </w:r>
      <w:r>
        <w:rPr>
          <w:rFonts w:hint="eastAsia" w:ascii="宋体" w:hAnsi="宋体" w:eastAsia="宋体" w:cs="宋体"/>
          <w:color w:val="auto"/>
          <w:szCs w:val="21"/>
          <w:highlight w:val="none"/>
          <w:lang w:val="en-US" w:eastAsia="zh-CN"/>
        </w:rPr>
        <w:t xml:space="preserve">轮胎</w:t>
      </w:r>
      <w:r>
        <w:rPr>
          <w:rFonts w:hint="eastAsia" w:ascii="宋体" w:hAnsi="宋体" w:eastAsia="宋体" w:cs="宋体"/>
          <w:color w:val="auto"/>
          <w:sz w:val="21"/>
          <w:highlight w:val="none"/>
          <w:lang w:val="en-US" w:eastAsia="zh-CN" w:bidi="ar-SA"/>
        </w:rPr>
        <w:t xml:space="preserve">；</w:t>
      </w:r>
      <w:r>
        <w:rPr>
          <w:rFonts w:hint="eastAsia" w:ascii="宋体" w:hAnsi="宋体" w:eastAsia="宋体" w:cs="宋体"/>
          <w:color w:val="auto"/>
          <w:szCs w:val="21"/>
          <w:highlight w:val="none"/>
          <w:lang w:val="en-US" w:eastAsia="zh-CN"/>
        </w:rPr>
        <w:t xml:space="preserve">汽车电线束；</w:t>
      </w:r>
      <w:r>
        <w:rPr>
          <w:rFonts w:hint="eastAsia" w:ascii="宋体" w:hAnsi="宋体" w:cs="宋体"/>
          <w:color w:val="auto"/>
          <w:szCs w:val="21"/>
          <w:highlight w:val="none"/>
          <w:lang w:val="en-US" w:eastAsia="zh-CN"/>
        </w:rPr>
        <w:t xml:space="preserve">汽车用制动器衬片。</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采购包5：共对10个品种204批次进行监督抽查，包括</w:t>
      </w:r>
      <w:r>
        <w:rPr>
          <w:rFonts w:hint="eastAsia" w:ascii="宋体" w:hAnsi="宋体" w:eastAsia="宋体" w:cs="宋体"/>
          <w:color w:val="auto"/>
          <w:szCs w:val="21"/>
          <w:highlight w:val="none"/>
          <w:lang w:val="en-US" w:eastAsia="zh-CN"/>
        </w:rPr>
        <w:t xml:space="preserve">泵；消防水带；消防水枪；消防接口；建筑保温材料；液化石油气；电磁灶；电热水壶；电风扇；塑料袋。</w:t>
      </w:r>
      <w:r/>
    </w:p>
    <w:p>
      <w:pPr>
        <w:ind w:firstLine="420"/>
        <w:keepLines w:val="0"/>
        <w:keepNext w:val="0"/>
        <w:pageBreakBefore w:val="0"/>
        <w:spacing w:line="360" w:lineRule="auto"/>
        <w:shd w:val="clear" w:color="auto"/>
        <w:widowControl w:val="off"/>
        <w:rPr>
          <w:rFonts w:hint="eastAsia" w:ascii="宋体" w:hAnsi="宋体" w:cs="宋体"/>
          <w:bCs/>
          <w:highlight w:val="none"/>
          <w:lang w:eastAsia="zh-CN"/>
        </w:rPr>
      </w:pPr>
      <w:r>
        <w:rPr>
          <w:rFonts w:hint="eastAsia" w:ascii="宋体" w:hAnsi="宋体" w:cs="宋体"/>
          <w:color w:val="auto"/>
          <w:szCs w:val="21"/>
          <w:highlight w:val="none"/>
          <w:lang w:val="en-US" w:eastAsia="zh-CN"/>
        </w:rPr>
        <w:t xml:space="preserve">采购包6：共对14个品种135批次进行监督抽查，包括</w:t>
      </w:r>
      <w:r>
        <w:rPr>
          <w:rFonts w:hint="eastAsia" w:ascii="宋体" w:hAnsi="宋体" w:cs="宋体"/>
          <w:highlight w:val="none"/>
        </w:rPr>
        <w:t xml:space="preserve">床上用品（蚕丝被）</w:t>
      </w:r>
      <w:r>
        <w:rPr>
          <w:rFonts w:hint="eastAsia" w:ascii="宋体" w:hAnsi="宋体" w:cs="宋体"/>
          <w:highlight w:val="none"/>
          <w:lang w:eastAsia="zh-CN"/>
        </w:rPr>
        <w:t xml:space="preserve">；</w:t>
      </w:r>
      <w:r>
        <w:rPr>
          <w:rFonts w:hint="eastAsia" w:ascii="宋体" w:hAnsi="宋体" w:cs="宋体"/>
          <w:highlight w:val="none"/>
        </w:rPr>
        <w:t xml:space="preserve">床上用品（四件套、床笠）</w:t>
      </w:r>
      <w:r>
        <w:rPr>
          <w:rFonts w:hint="eastAsia" w:ascii="宋体" w:hAnsi="宋体" w:cs="宋体"/>
          <w:highlight w:val="none"/>
          <w:lang w:eastAsia="zh-CN"/>
        </w:rPr>
        <w:t xml:space="preserve">；儿童及婴幼儿服装；女性内衣；校服；休闲服装；羊毛（绒）衫；羽绒服；羽绒被；</w:t>
      </w:r>
      <w:r>
        <w:rPr>
          <w:rFonts w:hint="eastAsia" w:ascii="宋体" w:hAnsi="宋体" w:cs="宋体"/>
          <w:highlight w:val="none"/>
        </w:rPr>
        <w:t xml:space="preserve">雨衣</w:t>
      </w:r>
      <w:r>
        <w:rPr>
          <w:rFonts w:hint="eastAsia" w:ascii="宋体" w:hAnsi="宋体" w:cs="宋体"/>
          <w:highlight w:val="none"/>
          <w:lang w:eastAsia="zh-CN"/>
        </w:rPr>
        <w:t xml:space="preserve">；</w:t>
      </w:r>
      <w:r>
        <w:rPr>
          <w:rFonts w:hint="eastAsia" w:ascii="宋体" w:hAnsi="宋体" w:cs="宋体"/>
          <w:highlight w:val="none"/>
        </w:rPr>
        <w:t xml:space="preserve">背提包（学生书包）</w:t>
      </w:r>
      <w:r>
        <w:rPr>
          <w:rFonts w:hint="eastAsia" w:ascii="宋体" w:hAnsi="宋体" w:cs="宋体"/>
          <w:highlight w:val="none"/>
          <w:lang w:eastAsia="zh-CN"/>
        </w:rPr>
        <w:t xml:space="preserve">；</w:t>
      </w:r>
      <w:r>
        <w:rPr>
          <w:rFonts w:hint="eastAsia" w:ascii="宋体" w:hAnsi="宋体" w:cs="宋体"/>
          <w:highlight w:val="none"/>
        </w:rPr>
        <w:t xml:space="preserve">老人健步鞋</w:t>
      </w:r>
      <w:r>
        <w:rPr>
          <w:rFonts w:hint="eastAsia" w:ascii="宋体" w:hAnsi="宋体" w:cs="宋体"/>
          <w:highlight w:val="none"/>
          <w:lang w:eastAsia="zh-CN"/>
        </w:rPr>
        <w:t xml:space="preserve">；</w:t>
      </w:r>
      <w:r>
        <w:rPr>
          <w:rFonts w:hint="eastAsia" w:ascii="宋体" w:hAnsi="宋体" w:cs="宋体"/>
          <w:highlight w:val="none"/>
        </w:rPr>
        <w:t xml:space="preserve">皮鞋</w:t>
      </w:r>
      <w:r>
        <w:rPr>
          <w:rFonts w:hint="eastAsia" w:ascii="宋体" w:hAnsi="宋体" w:cs="宋体"/>
          <w:highlight w:val="none"/>
          <w:lang w:eastAsia="zh-CN"/>
        </w:rPr>
        <w:t xml:space="preserve">，</w:t>
      </w:r>
      <w:r>
        <w:rPr>
          <w:rFonts w:hint="eastAsia" w:ascii="宋体" w:hAnsi="宋体" w:cs="宋体"/>
          <w:bCs/>
          <w:highlight w:val="none"/>
        </w:rPr>
        <w:t xml:space="preserve">童鞋</w:t>
      </w:r>
      <w:r>
        <w:rPr>
          <w:rFonts w:hint="eastAsia" w:ascii="宋体" w:hAnsi="宋体" w:cs="宋体"/>
          <w:bCs/>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cs="宋体"/>
          <w:color w:val="auto"/>
          <w:szCs w:val="21"/>
          <w:highlight w:val="none"/>
          <w:lang w:val="en-US" w:eastAsia="zh-CN"/>
        </w:rPr>
        <w:t xml:space="preserve">采购包7：共对11个品种68批次进行监督抽查，包括瓶装液化石油气调压器；燃气连接用软管；燃气灶具；气球（风险监测）；摩托车、电动车乘员头盔；</w:t>
      </w:r>
      <w:r>
        <w:rPr>
          <w:rFonts w:hint="eastAsia" w:ascii="宋体" w:hAnsi="宋体" w:eastAsia="宋体" w:cs="宋体"/>
          <w:i w:val="0"/>
          <w:iCs w:val="0"/>
          <w:color w:val="000000"/>
          <w:sz w:val="21"/>
          <w:szCs w:val="21"/>
          <w:highlight w:val="none"/>
          <w:u w:val="none"/>
          <w:lang w:val="en-US" w:eastAsia="zh-CN" w:bidi="ar-SA"/>
        </w:rPr>
        <w:t xml:space="preserve">板材；天然气；骨灰盒；水溶肥料；磷肥；活性炭。</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8：共对8个品种210批次进行监督抽查，包括学习用品（修正液、涂改制品、橡皮擦、胶黏剂、课业簿册、中性笔及笔芯、水彩笔、橡皮泥、学生书袋、文具盒、笔袋）（监督抽查）；奶嘴（监督抽查）；婴幼儿安抚奶嘴（监督抽查）；婴幼儿用塑料奶瓶（监督抽查）；玩具（电动玩具）（风险监测）；玩具彩泥（造型粘土）（风险监测）；童车（乘骑车辆玩具）（监督抽查）；乐器（竖笛、小提琴、古筝）（监督抽查）。</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采购包9：共对5个品种60批次进行监督抽查，包括湿巾；电动自行车；电动自行车充电器；电动自行车电池；蓄电池（除电动自行车)。</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采购包10：共对5个品种50批次进行监督抽查，包括车用汽油清净剂；机动车发动机冷却液；机动车发动机润滑油；机动车辆制动液；汽车风窗玻璃清洗液。</w:t>
      </w:r>
      <w:r/>
    </w:p>
    <w:p>
      <w:pPr>
        <w:ind w:firstLine="420"/>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投标人可多包兼投。评标时，按</w:t>
      </w:r>
      <w:r>
        <w:rPr>
          <w:rFonts w:hint="eastAsia" w:asciiTheme="minorEastAsia" w:hAnsiTheme="minorEastAsia" w:eastAsiaTheme="minorEastAsia" w:cstheme="minorEastAsia"/>
          <w:b/>
          <w:bCs/>
          <w:szCs w:val="21"/>
          <w:highlight w:val="none"/>
          <w:lang w:eastAsia="zh-CN"/>
        </w:rPr>
        <w:t xml:space="preserve">采购</w:t>
      </w:r>
      <w:r>
        <w:rPr>
          <w:rFonts w:hint="eastAsia" w:asciiTheme="minorEastAsia" w:hAnsiTheme="minorEastAsia" w:eastAsiaTheme="minorEastAsia" w:cstheme="minorEastAsia"/>
          <w:b/>
          <w:bCs/>
          <w:szCs w:val="21"/>
          <w:highlight w:val="none"/>
        </w:rPr>
        <w:t xml:space="preserve">包1到</w:t>
      </w:r>
      <w:r>
        <w:rPr>
          <w:rFonts w:hint="eastAsia" w:asciiTheme="minorEastAsia" w:hAnsiTheme="minorEastAsia" w:eastAsiaTheme="minorEastAsia" w:cstheme="minorEastAsia"/>
          <w:b/>
          <w:bCs/>
          <w:szCs w:val="21"/>
          <w:highlight w:val="none"/>
          <w:lang w:eastAsia="zh-CN"/>
        </w:rPr>
        <w:t xml:space="preserve">采购</w:t>
      </w:r>
      <w:r>
        <w:rPr>
          <w:rFonts w:hint="eastAsia" w:asciiTheme="minorEastAsia" w:hAnsiTheme="minorEastAsia" w:eastAsiaTheme="minorEastAsia" w:cstheme="minorEastAsia"/>
          <w:b/>
          <w:bCs/>
          <w:szCs w:val="21"/>
          <w:highlight w:val="none"/>
        </w:rPr>
        <w:t xml:space="preserve">包10的开标顺序</w:t>
      </w:r>
      <w:r>
        <w:rPr>
          <w:rFonts w:hint="eastAsia" w:asciiTheme="minorEastAsia" w:hAnsiTheme="minorEastAsia" w:eastAsiaTheme="minorEastAsia" w:cstheme="minorEastAsia"/>
          <w:b/>
          <w:bCs/>
          <w:szCs w:val="21"/>
          <w:highlight w:val="none"/>
          <w:lang w:eastAsia="zh-CN"/>
        </w:rPr>
        <w:t xml:space="preserve">评审</w:t>
      </w:r>
      <w:r>
        <w:rPr>
          <w:rFonts w:hint="eastAsia" w:asciiTheme="minorEastAsia" w:hAnsiTheme="minorEastAsia" w:eastAsiaTheme="minorEastAsia" w:cstheme="minorEastAsia"/>
          <w:b/>
          <w:bCs/>
          <w:szCs w:val="21"/>
          <w:highlight w:val="none"/>
        </w:rPr>
        <w:t xml:space="preserve">，同一投标人只能中一个包，不可</w:t>
      </w:r>
      <w:r>
        <w:rPr>
          <w:rFonts w:hint="eastAsia" w:asciiTheme="minorEastAsia" w:hAnsiTheme="minorEastAsia" w:eastAsiaTheme="minorEastAsia" w:cstheme="minorEastAsia"/>
          <w:b/>
          <w:bCs/>
          <w:szCs w:val="21"/>
          <w:highlight w:val="none"/>
          <w:lang w:eastAsia="zh-CN"/>
        </w:rPr>
        <w:t xml:space="preserve">兼中</w:t>
      </w:r>
      <w:r>
        <w:rPr>
          <w:rFonts w:hint="eastAsia" w:asciiTheme="minorEastAsia" w:hAnsiTheme="minorEastAsia" w:eastAsiaTheme="minorEastAsia" w:cstheme="minorEastAsia"/>
          <w:b/>
          <w:bCs/>
          <w:szCs w:val="21"/>
          <w:highlight w:val="none"/>
        </w:rPr>
        <w:t xml:space="preserve">。如同一投标人已中标前包的，则此包由第二中标候选人中标，以此类推。</w:t>
      </w:r>
      <w:bookmarkEnd w:id="11"/>
      <w:r/>
    </w:p>
    <w:p>
      <w:pPr>
        <w:ind w:firstLine="420"/>
        <w:spacing w:line="360" w:lineRule="auto"/>
        <w:shd w:val="clear" w:color="auto"/>
        <w:rPr>
          <w:rFonts w:hint="default" w:asciiTheme="minorEastAsia" w:hAnsiTheme="minorEastAsia" w:eastAsiaTheme="minorEastAsia" w:cstheme="minorEastAsia"/>
          <w:szCs w:val="21"/>
          <w:highlight w:val="none"/>
          <w:lang w:val="en" w:eastAsia="zh-CN"/>
        </w:rPr>
      </w:pPr>
      <w:r>
        <w:rPr>
          <w:rFonts w:hint="eastAsia" w:asciiTheme="minorEastAsia" w:hAnsiTheme="minorEastAsia" w:eastAsiaTheme="minorEastAsia" w:cstheme="minorEastAsia"/>
          <w:highlight w:val="none"/>
        </w:rPr>
        <w:t xml:space="preserve">6.合同履行期限：</w:t>
      </w:r>
      <w:r>
        <w:rPr>
          <w:rFonts w:hint="eastAsia" w:asciiTheme="minorEastAsia" w:hAnsiTheme="minorEastAsia" w:eastAsiaTheme="minorEastAsia" w:cstheme="minorEastAsia"/>
          <w:highlight w:val="none"/>
          <w:lang w:eastAsia="zh-CN"/>
        </w:rPr>
        <w:t xml:space="preserve">合同签订之日起至</w:t>
      </w:r>
      <w:r>
        <w:rPr>
          <w:rFonts w:hint="default" w:asciiTheme="minorEastAsia" w:hAnsiTheme="minorEastAsia" w:eastAsiaTheme="minorEastAsia" w:cstheme="minorEastAsia"/>
          <w:highlight w:val="none"/>
          <w:lang w:val="en" w:eastAsia="zh-CN"/>
        </w:rPr>
        <w:t xml:space="preserve">2026年12月20日</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7.本项目</w:t>
      </w:r>
      <w:r>
        <w:rPr>
          <w:rFonts w:hint="eastAsia" w:asciiTheme="minorEastAsia" w:hAnsiTheme="minorEastAsia" w:eastAsiaTheme="minorEastAsia" w:cstheme="minorEastAsia"/>
          <w:highlight w:val="none"/>
          <w:u w:val="single"/>
        </w:rPr>
        <w:t xml:space="preserve">不接受</w:t>
      </w:r>
      <w:r>
        <w:rPr>
          <w:rFonts w:hint="eastAsia" w:asciiTheme="minorEastAsia" w:hAnsiTheme="minorEastAsia" w:eastAsiaTheme="minorEastAsia" w:cstheme="minorEastAsia"/>
          <w:highlight w:val="none"/>
        </w:rPr>
        <w:t xml:space="preserve">联合体投标</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8.本项目</w:t>
      </w:r>
      <w:r>
        <w:rPr>
          <w:rFonts w:hint="eastAsia" w:asciiTheme="minorEastAsia" w:hAnsiTheme="minorEastAsia" w:eastAsiaTheme="minorEastAsia" w:cstheme="minorEastAsia"/>
          <w:highlight w:val="none"/>
          <w:u w:val="single"/>
        </w:rPr>
        <w:t xml:space="preserve">不接受</w:t>
      </w:r>
      <w:r>
        <w:rPr>
          <w:rFonts w:hint="eastAsia" w:asciiTheme="minorEastAsia" w:hAnsiTheme="minorEastAsia" w:eastAsiaTheme="minorEastAsia" w:cstheme="minorEastAsia"/>
          <w:highlight w:val="none"/>
        </w:rPr>
        <w:t xml:space="preserve">进口产品投标</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二、申请人的资格要求</w:t>
      </w:r>
      <w:r/>
    </w:p>
    <w:p>
      <w:pPr>
        <w:ind w:firstLine="420"/>
        <w:spacing w:line="360" w:lineRule="auto"/>
        <w:shd w:val="clear" w:color="auto"/>
        <w:rPr>
          <w:rFonts w:hint="eastAsia" w:asciiTheme="minorEastAsia" w:hAnsiTheme="minorEastAsia" w:eastAsiaTheme="minorEastAsia" w:cstheme="minorEastAsia"/>
          <w:szCs w:val="24"/>
          <w:highlight w:val="none"/>
        </w:rPr>
      </w:pPr>
      <w:r/>
      <w:bookmarkStart w:id="12" w:name="_Toc35393623"/>
      <w:r/>
      <w:bookmarkStart w:id="13" w:name="_Toc28359081"/>
      <w:r/>
      <w:bookmarkStart w:id="14" w:name="_Toc35393792"/>
      <w:r/>
      <w:bookmarkStart w:id="15" w:name="_Toc38985265"/>
      <w:r/>
      <w:bookmarkStart w:id="16" w:name="_Toc28359004"/>
      <w:r>
        <w:rPr>
          <w:rFonts w:hint="eastAsia" w:asciiTheme="minorEastAsia" w:hAnsiTheme="minorEastAsia" w:eastAsiaTheme="minorEastAsia" w:cstheme="minorEastAsia"/>
          <w:szCs w:val="24"/>
          <w:highlight w:val="none"/>
        </w:rPr>
        <w:t xml:space="preserve">（一）通用资格要求</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1.满足《中华人民共和国政府采购法》第二十二条规定，并提供下列材料：</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Cs w:val="21"/>
          <w:highlight w:val="none"/>
          <w:u w:val="single"/>
        </w:rPr>
      </w:pPr>
      <w:r>
        <w:rPr>
          <w:rFonts w:hint="eastAsia" w:asciiTheme="minorEastAsia" w:hAnsiTheme="minorEastAsia" w:eastAsiaTheme="minorEastAsia" w:cstheme="minorEastAsia"/>
          <w:i/>
          <w:iCs/>
          <w:szCs w:val="21"/>
          <w:highlight w:val="none"/>
          <w:u w:val="single"/>
          <w:lang w:val="en-US" w:eastAsia="zh-CN"/>
        </w:rPr>
        <w:t xml:space="preserve">1.1</w:t>
      </w:r>
      <w:r>
        <w:rPr>
          <w:rFonts w:hint="eastAsia" w:asciiTheme="minorEastAsia" w:hAnsiTheme="minorEastAsia" w:eastAsiaTheme="minorEastAsia" w:cstheme="minorEastAsia"/>
          <w:i/>
          <w:iCs/>
          <w:szCs w:val="21"/>
          <w:highlight w:val="none"/>
          <w:u w:val="single"/>
        </w:rPr>
        <w:t xml:space="preserve">法人或者其他组织的营业执照等证明文件，自然人的身份证明；</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Cs w:val="21"/>
          <w:highlight w:val="none"/>
          <w:u w:val="single"/>
        </w:rPr>
      </w:pPr>
      <w:r>
        <w:rPr>
          <w:rFonts w:hint="eastAsia" w:asciiTheme="minorEastAsia" w:hAnsiTheme="minorEastAsia" w:eastAsiaTheme="minorEastAsia" w:cstheme="minorEastAsia"/>
          <w:i/>
          <w:iCs/>
          <w:szCs w:val="21"/>
          <w:highlight w:val="none"/>
          <w:u w:val="single"/>
          <w:lang w:val="en-US" w:eastAsia="zh-CN"/>
        </w:rPr>
        <w:t xml:space="preserve">1.2</w:t>
      </w:r>
      <w:r>
        <w:rPr>
          <w:rFonts w:hint="eastAsia" w:asciiTheme="minorEastAsia" w:hAnsiTheme="minorEastAsia" w:eastAsiaTheme="minorEastAsia" w:cstheme="minorEastAsia"/>
          <w:i/>
          <w:iCs/>
          <w:szCs w:val="21"/>
          <w:highlight w:val="none"/>
          <w:u w:val="single"/>
        </w:rPr>
        <w:t xml:space="preserve">上一年度的财务报告情况（成立不满一年不需提供）；</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Cs w:val="21"/>
          <w:highlight w:val="none"/>
          <w:u w:val="single"/>
          <w:lang w:val="en-US" w:eastAsia="zh-CN"/>
        </w:rPr>
        <w:t xml:space="preserve">1.3</w:t>
      </w:r>
      <w:r>
        <w:rPr>
          <w:rFonts w:hint="eastAsia" w:asciiTheme="minorEastAsia" w:hAnsiTheme="minorEastAsia" w:eastAsiaTheme="minorEastAsia" w:cstheme="minorEastAsia"/>
          <w:i/>
          <w:iCs/>
          <w:szCs w:val="21"/>
          <w:highlight w:val="none"/>
          <w:u w:val="single"/>
        </w:rPr>
        <w:t xml:space="preserve">依法缴纳税收和社会保障资金的相关材料（提供提交响应文件截止时间前一年内至少一个月依法缴纳税收及缴纳社会保障资金的证明材料。投标人依法享受缓缴、免缴税收、社会保障资金</w:t>
      </w:r>
      <w:r>
        <w:rPr>
          <w:rFonts w:hint="eastAsia" w:asciiTheme="minorEastAsia" w:hAnsiTheme="minorEastAsia" w:eastAsiaTheme="minorEastAsia" w:cstheme="minorEastAsia"/>
          <w:i/>
          <w:iCs/>
          <w:sz w:val="21"/>
          <w:szCs w:val="21"/>
          <w:highlight w:val="none"/>
          <w:u w:val="single"/>
        </w:rPr>
        <w:t xml:space="preserve">的提供证明材料）；</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 w:val="21"/>
          <w:szCs w:val="21"/>
          <w:highlight w:val="none"/>
          <w:u w:val="single"/>
          <w:lang w:val="en-US" w:eastAsia="zh-CN"/>
        </w:rPr>
        <w:t xml:space="preserve">1.4</w:t>
      </w:r>
      <w:r>
        <w:rPr>
          <w:rFonts w:hint="eastAsia" w:asciiTheme="minorEastAsia" w:hAnsiTheme="minorEastAsia" w:eastAsiaTheme="minorEastAsia" w:cstheme="minorEastAsia"/>
          <w:i/>
          <w:iCs/>
          <w:sz w:val="21"/>
          <w:szCs w:val="21"/>
          <w:highlight w:val="none"/>
          <w:u w:val="single"/>
        </w:rPr>
        <w:t xml:space="preserve">具备履行合同所必需的设备和专业技术能力的书面声明；</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 w:val="21"/>
          <w:szCs w:val="21"/>
          <w:highlight w:val="none"/>
          <w:u w:val="single"/>
          <w:lang w:val="en-US" w:eastAsia="zh-CN"/>
        </w:rPr>
        <w:t xml:space="preserve">1.5</w:t>
      </w:r>
      <w:r>
        <w:rPr>
          <w:rFonts w:hint="eastAsia" w:asciiTheme="minorEastAsia" w:hAnsiTheme="minorEastAsia" w:eastAsiaTheme="minorEastAsia" w:cstheme="minorEastAsia"/>
          <w:i/>
          <w:iCs/>
          <w:sz w:val="21"/>
          <w:szCs w:val="21"/>
          <w:highlight w:val="none"/>
          <w:u w:val="single"/>
        </w:rPr>
        <w:t xml:space="preserve">参加本次政府采购活动前3年内在经营活动中没有重大违法记录的书面声明；</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 w:val="21"/>
          <w:szCs w:val="21"/>
          <w:highlight w:val="none"/>
          <w:u w:val="single"/>
          <w:lang w:val="en-US" w:eastAsia="zh-CN"/>
        </w:rPr>
        <w:t xml:space="preserve">1.6</w:t>
      </w:r>
      <w:r>
        <w:rPr>
          <w:rFonts w:hint="eastAsia" w:asciiTheme="minorEastAsia" w:hAnsiTheme="minorEastAsia" w:eastAsiaTheme="minorEastAsia" w:cstheme="minorEastAsia"/>
          <w:i/>
          <w:iCs/>
          <w:sz w:val="21"/>
          <w:szCs w:val="21"/>
          <w:highlight w:val="none"/>
          <w:u w:val="single"/>
        </w:rPr>
        <w:t xml:space="preserve">供应商信用承诺书；</w:t>
      </w:r>
      <w:r/>
    </w:p>
    <w:p>
      <w:pPr>
        <w:pStyle w:val="1179"/>
        <w:ind w:firstLine="420"/>
        <w:keepLines w:val="0"/>
        <w:keepNext w:val="0"/>
        <w:pageBreakBefore w:val="0"/>
        <w:spacing w:line="360" w:lineRule="auto"/>
        <w:shd w:val="clear" w:color="auto"/>
        <w:rPr>
          <w:rFonts w:hint="eastAsia" w:asciiTheme="minorEastAsia" w:hAnsiTheme="minorEastAsia" w:eastAsiaTheme="minorEastAsia" w:cstheme="minorEastAsia"/>
          <w:i/>
          <w:iCs/>
          <w:sz w:val="21"/>
          <w:szCs w:val="21"/>
          <w:highlight w:val="none"/>
          <w:u w:val="single"/>
          <w:lang w:eastAsia="zh-CN"/>
        </w:rPr>
      </w:pPr>
      <w:r>
        <w:rPr>
          <w:rFonts w:hint="eastAsia" w:asciiTheme="minorEastAsia" w:hAnsiTheme="minorEastAsia" w:eastAsiaTheme="minorEastAsia" w:cstheme="minorEastAsia"/>
          <w:i/>
          <w:iCs/>
          <w:sz w:val="21"/>
          <w:szCs w:val="21"/>
          <w:highlight w:val="none"/>
          <w:u w:val="single"/>
          <w:lang w:val="en-US" w:eastAsia="zh-CN"/>
        </w:rPr>
        <w:t xml:space="preserve">1.7</w:t>
      </w:r>
      <w:r>
        <w:rPr>
          <w:rFonts w:hint="eastAsia" w:asciiTheme="minorEastAsia" w:hAnsiTheme="minorEastAsia" w:eastAsiaTheme="minorEastAsia" w:cstheme="minorEastAsia"/>
          <w:i/>
          <w:iCs/>
          <w:sz w:val="21"/>
          <w:szCs w:val="21"/>
          <w:highlight w:val="none"/>
          <w:u w:val="single"/>
          <w:lang w:eastAsia="zh-CN"/>
        </w:rPr>
        <w:t xml:space="preserve">投标函</w:t>
      </w:r>
      <w:r/>
    </w:p>
    <w:p>
      <w:pPr>
        <w:pStyle w:val="1179"/>
        <w:ind w:firstLine="420"/>
        <w:keepLines w:val="0"/>
        <w:keepNext w:val="0"/>
        <w:pageBreakBefore w:val="0"/>
        <w:spacing w:line="360" w:lineRule="auto"/>
        <w:shd w:val="clear" w:color="auto"/>
        <w:rPr>
          <w:rFonts w:hint="eastAsia" w:asciiTheme="minorEastAsia" w:hAnsiTheme="minorEastAsia" w:eastAsiaTheme="minorEastAsia" w:cstheme="minorEastAsia"/>
          <w:i/>
          <w:iCs/>
          <w:sz w:val="21"/>
          <w:szCs w:val="21"/>
          <w:highlight w:val="none"/>
          <w:u w:val="single"/>
          <w:lang w:eastAsia="zh-CN"/>
        </w:rPr>
      </w:pPr>
      <w:r>
        <w:rPr>
          <w:rFonts w:hint="eastAsia" w:asciiTheme="minorEastAsia" w:hAnsiTheme="minorEastAsia" w:eastAsiaTheme="minorEastAsia" w:cstheme="minorEastAsia"/>
          <w:i/>
          <w:iCs/>
          <w:sz w:val="21"/>
          <w:szCs w:val="21"/>
          <w:highlight w:val="none"/>
          <w:u w:val="single"/>
          <w:lang w:val="en-US" w:eastAsia="zh-CN"/>
        </w:rPr>
        <w:t xml:space="preserve">1.8</w:t>
      </w:r>
      <w:r>
        <w:rPr>
          <w:rFonts w:hint="eastAsia" w:asciiTheme="minorEastAsia" w:hAnsiTheme="minorEastAsia" w:eastAsiaTheme="minorEastAsia" w:cstheme="minorEastAsia"/>
          <w:i/>
          <w:iCs/>
          <w:sz w:val="21"/>
          <w:szCs w:val="21"/>
          <w:highlight w:val="none"/>
          <w:u w:val="single"/>
          <w:lang w:eastAsia="zh-CN"/>
        </w:rPr>
        <w:t xml:space="preserve">法人授权书</w:t>
      </w:r>
      <w:r/>
    </w:p>
    <w:p>
      <w:pPr>
        <w:ind w:firstLine="420"/>
        <w:spacing w:line="360" w:lineRule="auto"/>
        <w:shd w:val="clear" w:color="auto"/>
        <w:widowControl/>
        <w:rPr>
          <w:rFonts w:hint="eastAsia" w:asciiTheme="minorEastAsia" w:hAnsiTheme="minorEastAsia" w:eastAsiaTheme="minorEastAsia" w:cstheme="minorEastAsia"/>
          <w:i/>
          <w:iCs/>
          <w:szCs w:val="21"/>
          <w:highlight w:val="none"/>
          <w:u w:val="single"/>
        </w:rPr>
      </w:pPr>
      <w:r>
        <w:rPr>
          <w:rFonts w:hint="eastAsia" w:asciiTheme="minorEastAsia" w:hAnsiTheme="minorEastAsia" w:eastAsiaTheme="minorEastAsia" w:cstheme="minorEastAsia"/>
          <w:i w:val="0"/>
          <w:iCs w:val="0"/>
          <w:sz w:val="21"/>
          <w:szCs w:val="21"/>
          <w:highlight w:val="none"/>
          <w:u w:val="none"/>
          <w:lang w:val="en-US" w:eastAsia="zh-CN"/>
        </w:rPr>
        <w:t xml:space="preserve">2.</w:t>
      </w:r>
      <w:r>
        <w:rPr>
          <w:rFonts w:hint="eastAsia" w:asciiTheme="minorEastAsia" w:hAnsiTheme="minorEastAsia" w:eastAsiaTheme="minorEastAsia" w:cstheme="minorEastAsia"/>
          <w:i w:val="0"/>
          <w:iCs w:val="0"/>
          <w:sz w:val="21"/>
          <w:szCs w:val="21"/>
          <w:highlight w:val="none"/>
          <w:u w:val="none"/>
          <w:lang w:eastAsia="zh-CN"/>
        </w:rPr>
        <w:t xml:space="preserve">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cstheme="minorEastAsia"/>
          <w:i w:val="0"/>
          <w:iCs w:val="0"/>
          <w:sz w:val="21"/>
          <w:szCs w:val="20"/>
          <w:highlight w:val="none"/>
          <w:u w:val="none"/>
        </w:rPr>
        <w:t xml:space="preserve">及其他不符合《中华人民共和国政府采购法》第二十二条规定条件的信用记录</w:t>
      </w:r>
      <w:r>
        <w:rPr>
          <w:rFonts w:hint="eastAsia" w:asciiTheme="minorEastAsia" w:hAnsiTheme="minorEastAsia" w:eastAsiaTheme="minorEastAsia" w:cstheme="minorEastAsia"/>
          <w:i w:val="0"/>
          <w:iCs w:val="0"/>
          <w:sz w:val="21"/>
          <w:szCs w:val="20"/>
          <w:highlight w:val="none"/>
          <w:u w:val="none"/>
          <w:lang w:eastAsia="zh-CN"/>
        </w:rPr>
        <w:t xml:space="preserve">。（响应文件中无需提供证明材料）</w:t>
      </w:r>
      <w:r/>
    </w:p>
    <w:p>
      <w:pPr>
        <w:ind w:left="420" w:firstLine="0"/>
        <w:spacing w:line="360" w:lineRule="auto"/>
        <w:shd w:val="clear" w:color="auto"/>
        <w:rPr>
          <w:rFonts w:hint="eastAsia" w:asciiTheme="minorEastAsia" w:hAnsiTheme="minorEastAsia" w:eastAsiaTheme="minorEastAsia" w:cstheme="minorEastAsia"/>
          <w:szCs w:val="24"/>
          <w:highlight w:val="none"/>
          <w:u w:val="single"/>
        </w:rPr>
      </w:pPr>
      <w:r>
        <w:rPr>
          <w:rFonts w:hint="eastAsia" w:asciiTheme="minorEastAsia" w:hAnsiTheme="minorEastAsia" w:eastAsiaTheme="minorEastAsia" w:cstheme="minorEastAsia"/>
          <w:highlight w:val="none"/>
        </w:rPr>
        <w:t xml:space="preserve">（二）</w:t>
      </w:r>
      <w:r>
        <w:rPr>
          <w:rFonts w:hint="eastAsia" w:asciiTheme="minorEastAsia" w:hAnsiTheme="minorEastAsia" w:eastAsiaTheme="minorEastAsia" w:cstheme="minorEastAsia"/>
          <w:sz w:val="21"/>
          <w:szCs w:val="21"/>
          <w:highlight w:val="none"/>
        </w:rPr>
        <w:t xml:space="preserve">落实政府采购政策需满足的资格要求：</w:t>
      </w:r>
      <w:r>
        <w:rPr>
          <w:rFonts w:hint="eastAsia" w:asciiTheme="minorEastAsia" w:hAnsiTheme="minorEastAsia" w:eastAsiaTheme="minorEastAsia" w:cstheme="minorEastAsia"/>
          <w:i/>
          <w:iCs/>
          <w:sz w:val="21"/>
          <w:szCs w:val="21"/>
          <w:highlight w:val="none"/>
          <w:u w:val="single"/>
          <w:lang w:eastAsia="zh-CN"/>
        </w:rPr>
        <w:t xml:space="preserve">无</w:t>
      </w:r>
      <w:r>
        <w:rPr>
          <w:rFonts w:hint="eastAsia" w:asciiTheme="minorEastAsia" w:hAnsiTheme="minorEastAsia" w:eastAsiaTheme="minorEastAsia" w:cstheme="minorEastAsia"/>
          <w:i/>
          <w:iCs/>
          <w:sz w:val="21"/>
          <w:szCs w:val="21"/>
          <w:highlight w:val="none"/>
          <w:u w:val="single"/>
          <w:lang w:eastAsia="zh-CN"/>
        </w:rPr>
        <w:br/>
      </w:r>
      <w:r>
        <w:rPr>
          <w:rFonts w:hint="eastAsia" w:asciiTheme="minorEastAsia" w:hAnsiTheme="minorEastAsia" w:eastAsiaTheme="minorEastAsia" w:cstheme="minorEastAsia"/>
          <w:szCs w:val="24"/>
          <w:highlight w:val="none"/>
        </w:rPr>
        <w:t xml:space="preserve">（三）本项目的特定资格要求：</w:t>
      </w:r>
      <w:r>
        <w:rPr>
          <w:rFonts w:hint="eastAsia" w:asciiTheme="minorEastAsia" w:hAnsiTheme="minorEastAsia" w:eastAsiaTheme="minorEastAsia" w:cstheme="minorEastAsia"/>
          <w:szCs w:val="24"/>
          <w:highlight w:val="none"/>
          <w:u w:val="single"/>
        </w:rPr>
        <w:t xml:space="preserve">无</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三、获取招标文件</w:t>
      </w:r>
      <w:bookmarkEnd w:id="12"/>
      <w:r/>
      <w:bookmarkEnd w:id="13"/>
      <w:r/>
      <w:bookmarkEnd w:id="14"/>
      <w:r/>
      <w:bookmarkEnd w:id="15"/>
      <w:r/>
      <w:bookmarkEnd w:id="16"/>
      <w:r/>
      <w:r/>
    </w:p>
    <w:p>
      <w:pPr>
        <w:ind w:firstLine="420"/>
        <w:spacing w:line="360" w:lineRule="auto"/>
        <w:shd w:val="clear" w:color="auto"/>
        <w:rPr>
          <w:rFonts w:hint="eastAsia" w:asciiTheme="minorEastAsia" w:hAnsiTheme="minorEastAsia" w:eastAsiaTheme="minorEastAsia" w:cstheme="minorEastAsia"/>
          <w:bCs/>
          <w:szCs w:val="24"/>
          <w:highlight w:val="none"/>
        </w:rPr>
      </w:pPr>
      <w:r/>
      <w:bookmarkStart w:id="17" w:name="_Toc28359005"/>
      <w:r/>
      <w:bookmarkStart w:id="18" w:name="_Toc28359082"/>
      <w:r/>
      <w:bookmarkStart w:id="19" w:name="_Toc35393793"/>
      <w:r/>
      <w:bookmarkStart w:id="20" w:name="_Toc35393624"/>
      <w:r/>
      <w:bookmarkStart w:id="21" w:name="_Toc38985266"/>
      <w:r>
        <w:rPr>
          <w:rFonts w:hint="eastAsia" w:asciiTheme="minorEastAsia" w:hAnsiTheme="minorEastAsia" w:eastAsiaTheme="minorEastAsia" w:cstheme="minorEastAsia"/>
          <w:bCs/>
          <w:szCs w:val="24"/>
          <w:highlight w:val="none"/>
        </w:rPr>
        <w:t xml:space="preserve">时间：自招标文件公告之日起五个工作日。</w:t>
      </w:r>
      <w:r/>
    </w:p>
    <w:p>
      <w:pPr>
        <w:ind w:firstLine="420"/>
        <w:spacing w:before="120" w:after="120" w:line="360" w:lineRule="auto"/>
        <w:shd w:val="clear" w:color="auto"/>
        <w:rPr>
          <w:rFonts w:hint="eastAsia" w:asciiTheme="minorEastAsia" w:hAnsiTheme="minorEastAsia" w:eastAsiaTheme="minorEastAsia" w:cstheme="minorEastAsia"/>
          <w:b w:val="0"/>
          <w:bCs/>
          <w:sz w:val="21"/>
          <w:szCs w:val="24"/>
          <w:highlight w:val="none"/>
          <w:lang w:val="en-US" w:eastAsia="zh-CN" w:bidi="ar-SA"/>
        </w:rPr>
        <w:outlineLvl w:val="9"/>
      </w:pPr>
      <w:r>
        <w:rPr>
          <w:rFonts w:hint="eastAsia" w:asciiTheme="minorEastAsia" w:hAnsiTheme="minorEastAsia" w:eastAsiaTheme="minorEastAsia" w:cstheme="minorEastAsia"/>
          <w:b w:val="0"/>
          <w:bCs/>
          <w:sz w:val="21"/>
          <w:szCs w:val="24"/>
          <w:highlight w:val="none"/>
          <w:lang w:val="en-US" w:eastAsia="zh-CN" w:bidi="ar-SA"/>
        </w:rPr>
        <w:t xml:space="preserve">地点：“扬州市政府采购网”、“江苏省政府采购网”、“中国政府采购网” </w:t>
      </w:r>
      <w:r/>
    </w:p>
    <w:p>
      <w:pPr>
        <w:ind w:firstLine="420"/>
        <w:spacing w:before="120" w:after="120" w:line="360" w:lineRule="auto"/>
        <w:shd w:val="clear" w:color="auto"/>
        <w:rPr>
          <w:rFonts w:hint="eastAsia" w:asciiTheme="minorEastAsia" w:hAnsiTheme="minorEastAsia" w:eastAsiaTheme="minorEastAsia" w:cstheme="minorEastAsia"/>
          <w:b w:val="0"/>
          <w:bCs/>
          <w:sz w:val="21"/>
          <w:szCs w:val="24"/>
          <w:highlight w:val="none"/>
          <w:lang w:val="en-US" w:eastAsia="zh-CN" w:bidi="ar-SA"/>
        </w:rPr>
        <w:outlineLvl w:val="9"/>
      </w:pPr>
      <w:r>
        <w:rPr>
          <w:rFonts w:hint="eastAsia" w:asciiTheme="minorEastAsia" w:hAnsiTheme="minorEastAsia" w:eastAsiaTheme="minorEastAsia" w:cstheme="minorEastAsia"/>
          <w:b w:val="0"/>
          <w:bCs/>
          <w:sz w:val="21"/>
          <w:szCs w:val="24"/>
          <w:highlight w:val="none"/>
          <w:lang w:val="en-US" w:eastAsia="zh-CN" w:bidi="ar-SA"/>
        </w:rPr>
        <w:t xml:space="preserve">方式：自行免费下载招标文件 </w:t>
      </w:r>
      <w:r/>
    </w:p>
    <w:p>
      <w:pPr>
        <w:ind w:firstLine="420"/>
        <w:spacing w:before="120" w:after="120" w:line="360" w:lineRule="auto"/>
        <w:shd w:val="clear" w:color="auto"/>
        <w:rPr>
          <w:rFonts w:hint="eastAsia" w:asciiTheme="minorEastAsia" w:hAnsiTheme="minorEastAsia" w:eastAsiaTheme="minorEastAsia" w:cstheme="minorEastAsia"/>
          <w:szCs w:val="24"/>
          <w:highlight w:val="none"/>
        </w:rPr>
        <w:outlineLvl w:val="9"/>
      </w:pPr>
      <w:r>
        <w:rPr>
          <w:rFonts w:hint="eastAsia" w:asciiTheme="minorEastAsia" w:hAnsiTheme="minorEastAsia" w:eastAsiaTheme="minorEastAsia" w:cstheme="minorEastAsia"/>
          <w:b w:val="0"/>
          <w:bCs/>
          <w:sz w:val="21"/>
          <w:szCs w:val="24"/>
          <w:highlight w:val="none"/>
          <w:lang w:val="en-US" w:eastAsia="zh-CN" w:bidi="ar-SA"/>
        </w:rPr>
        <w:t xml:space="preserve">售价：0.00元</w:t>
      </w:r>
      <w:r>
        <w:rPr>
          <w:rFonts w:hint="eastAsia" w:asciiTheme="minorEastAsia" w:hAnsiTheme="minorEastAsia" w:eastAsiaTheme="minorEastAsia" w:cstheme="minorEastAsia"/>
          <w:szCs w:val="24"/>
          <w:highlight w:val="none"/>
        </w:rPr>
        <w:t xml:space="preserve"> </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四、提交投标文件</w:t>
      </w:r>
      <w:bookmarkEnd w:id="17"/>
      <w:r/>
      <w:bookmarkEnd w:id="18"/>
      <w:r>
        <w:rPr>
          <w:rFonts w:hint="eastAsia" w:asciiTheme="minorEastAsia" w:hAnsiTheme="minorEastAsia" w:eastAsiaTheme="minorEastAsia" w:cstheme="minorEastAsia"/>
          <w:sz w:val="24"/>
          <w:highlight w:val="none"/>
        </w:rPr>
        <w:t xml:space="preserve">截止时间、开标时间和地点</w:t>
      </w:r>
      <w:bookmarkEnd w:id="19"/>
      <w:r/>
      <w:bookmarkEnd w:id="20"/>
      <w:r/>
      <w:bookmarkEnd w:id="21"/>
      <w:r/>
      <w:r/>
    </w:p>
    <w:p>
      <w:pPr>
        <w:ind w:firstLine="420"/>
        <w:spacing w:line="360" w:lineRule="auto"/>
        <w:shd w:val="clear" w:color="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202</w:t>
      </w:r>
      <w:r>
        <w:rPr>
          <w:rFonts w:hint="eastAsia" w:asciiTheme="minorEastAsia" w:hAnsiTheme="minorEastAsia" w:eastAsiaTheme="minorEastAsia" w:cstheme="minorEastAsia"/>
          <w:szCs w:val="24"/>
          <w:highlight w:val="none"/>
          <w:lang w:val="en-US" w:eastAsia="zh-CN"/>
        </w:rPr>
        <w:t xml:space="preserve">6</w:t>
      </w:r>
      <w:r>
        <w:rPr>
          <w:rFonts w:hint="eastAsia" w:asciiTheme="minorEastAsia" w:hAnsiTheme="minorEastAsia" w:eastAsiaTheme="minorEastAsia" w:cstheme="minorEastAsia"/>
          <w:szCs w:val="24"/>
          <w:highlight w:val="none"/>
        </w:rPr>
        <w:t xml:space="preserve">年</w:t>
      </w:r>
      <w:r>
        <w:rPr>
          <w:rFonts w:hint="eastAsia" w:asciiTheme="minorEastAsia" w:hAnsiTheme="minorEastAsia" w:eastAsiaTheme="minorEastAsia" w:cstheme="minorEastAsia"/>
          <w:szCs w:val="24"/>
          <w:highlight w:val="none"/>
          <w:lang w:val="en-US" w:eastAsia="zh-CN"/>
        </w:rPr>
        <w:t xml:space="preserve">06月23日9</w:t>
      </w:r>
      <w:r>
        <w:rPr>
          <w:rFonts w:hint="eastAsia" w:asciiTheme="minorEastAsia" w:hAnsiTheme="minorEastAsia" w:eastAsiaTheme="minorEastAsia" w:cstheme="minorEastAsia"/>
          <w:szCs w:val="24"/>
          <w:highlight w:val="none"/>
        </w:rPr>
        <w:t xml:space="preserve">点30分（（北京时间）</w:t>
      </w:r>
      <w:r/>
    </w:p>
    <w:p>
      <w:pPr>
        <w:ind w:firstLine="420"/>
        <w:spacing w:line="360" w:lineRule="auto"/>
        <w:shd w:val="clear" w:color="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地点：“苏采云”政府采购交易系统网上开标大厅。</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bookmarkStart w:id="22" w:name="_Toc35393625"/>
      <w:r/>
      <w:bookmarkStart w:id="23" w:name="_Toc35393794"/>
      <w:r/>
      <w:bookmarkStart w:id="24" w:name="_Toc38985267"/>
      <w:r/>
      <w:bookmarkStart w:id="25" w:name="_Toc28359007"/>
      <w:r/>
      <w:bookmarkStart w:id="26" w:name="_Toc28359084"/>
      <w:r>
        <w:rPr>
          <w:rFonts w:hint="eastAsia" w:asciiTheme="minorEastAsia" w:hAnsiTheme="minorEastAsia" w:eastAsiaTheme="minorEastAsia" w:cstheme="minorEastAsia"/>
          <w:sz w:val="24"/>
          <w:highlight w:val="none"/>
        </w:rPr>
        <w:t xml:space="preserve">五、公告期限</w:t>
      </w:r>
      <w:bookmarkEnd w:id="22"/>
      <w:r/>
      <w:bookmarkEnd w:id="23"/>
      <w:r/>
      <w:bookmarkEnd w:id="24"/>
      <w:r/>
      <w:bookmarkEnd w:id="25"/>
      <w:r/>
      <w:bookmarkEnd w:id="26"/>
      <w:r/>
      <w:r/>
    </w:p>
    <w:p>
      <w:pPr>
        <w:ind w:firstLine="540"/>
        <w:spacing w:line="360" w:lineRule="auto"/>
        <w:shd w:val="clear" w:color="auto"/>
        <w:rPr>
          <w:rFonts w:hint="eastAsia" w:asciiTheme="minorEastAsia" w:hAnsiTheme="minorEastAsia" w:eastAsiaTheme="minorEastAsia" w:cstheme="minorEastAsia"/>
          <w:szCs w:val="24"/>
          <w:highlight w:val="none"/>
        </w:rPr>
      </w:pPr>
      <w:r/>
      <w:bookmarkStart w:id="27" w:name="_Toc35393626"/>
      <w:r/>
      <w:bookmarkStart w:id="28" w:name="_Toc35393795"/>
      <w:r/>
      <w:bookmarkStart w:id="29" w:name="_Toc38985268"/>
      <w:r>
        <w:rPr>
          <w:rFonts w:hint="eastAsia" w:asciiTheme="minorEastAsia" w:hAnsiTheme="minorEastAsia" w:eastAsiaTheme="minorEastAsia" w:cstheme="minorEastAsia"/>
          <w:szCs w:val="24"/>
          <w:highlight w:val="none"/>
        </w:rPr>
        <w:t xml:space="preserve">自本公告发布之日起5个工作日。</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六、其他补充事宜</w:t>
      </w:r>
      <w:bookmarkEnd w:id="27"/>
      <w:r/>
      <w:bookmarkEnd w:id="28"/>
      <w:r/>
      <w:bookmarkEnd w:id="29"/>
      <w:r/>
      <w:r/>
    </w:p>
    <w:p>
      <w:pPr>
        <w:ind w:firstLine="422"/>
        <w:spacing w:line="360" w:lineRule="auto"/>
        <w:shd w:val="clear" w:color="auto"/>
        <w:rPr>
          <w:rFonts w:hint="eastAsia" w:asciiTheme="minorEastAsia" w:hAnsiTheme="minorEastAsia" w:eastAsiaTheme="minorEastAsia" w:cstheme="minorEastAsia"/>
          <w:b w:val="0"/>
          <w:bCs w:val="0"/>
          <w:szCs w:val="24"/>
          <w:highlight w:val="none"/>
        </w:rPr>
      </w:pPr>
      <w:r/>
      <w:bookmarkStart w:id="30" w:name="_Toc28359085"/>
      <w:r/>
      <w:bookmarkStart w:id="31" w:name="_Toc28359008"/>
      <w:r/>
      <w:bookmarkStart w:id="32" w:name="_Toc35393796"/>
      <w:r/>
      <w:bookmarkStart w:id="33" w:name="_Toc38985269"/>
      <w:r/>
      <w:bookmarkStart w:id="34" w:name="_Toc35393627"/>
      <w:r>
        <w:rPr>
          <w:rFonts w:hint="eastAsia" w:asciiTheme="minorEastAsia" w:hAnsiTheme="minorEastAsia" w:eastAsiaTheme="minorEastAsia" w:cstheme="minorEastAsia"/>
          <w:b w:val="0"/>
          <w:bCs w:val="0"/>
          <w:szCs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shd w:val="clear" w:color="auto"/>
        <w:widowControl/>
        <w:rPr>
          <w:rFonts w:hint="eastAsia" w:asciiTheme="minorEastAsia" w:hAnsiTheme="minorEastAsia" w:eastAsiaTheme="minorEastAsia" w:cstheme="minorEastAsia"/>
          <w:b w:val="0"/>
          <w:bCs w:val="0"/>
          <w:szCs w:val="24"/>
          <w:highlight w:val="none"/>
        </w:rPr>
      </w:pPr>
      <w:r>
        <w:rPr>
          <w:rFonts w:hint="eastAsia" w:asciiTheme="minorEastAsia" w:hAnsiTheme="minorEastAsia" w:eastAsiaTheme="minorEastAsia" w:cstheme="minorEastAsia"/>
          <w:b w:val="0"/>
          <w:bCs w:val="0"/>
          <w:szCs w:val="24"/>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shd w:val="clear" w:color="auto"/>
        <w:widowControl/>
        <w:rPr>
          <w:rFonts w:hint="eastAsia" w:asciiTheme="minorEastAsia" w:hAnsiTheme="minorEastAsia" w:eastAsiaTheme="minorEastAsia" w:cstheme="minorEastAsia"/>
          <w:b w:val="0"/>
          <w:bCs w:val="0"/>
          <w:szCs w:val="24"/>
          <w:highlight w:val="none"/>
        </w:rPr>
      </w:pPr>
      <w:r>
        <w:rPr>
          <w:rFonts w:hint="eastAsia" w:asciiTheme="minorEastAsia" w:hAnsiTheme="minorEastAsia" w:eastAsiaTheme="minorEastAsia" w:cstheme="minorEastAsia"/>
          <w:b w:val="0"/>
          <w:bCs w:val="0"/>
          <w:szCs w:val="24"/>
          <w:highlight w:val="none"/>
        </w:rPr>
        <w:t xml:space="preserve">3.潜在供应商对采购文件项目需求部分的询问、质疑请向采购人提出，由采购人负责答复。</w:t>
      </w:r>
      <w:r/>
    </w:p>
    <w:p>
      <w:pPr>
        <w:ind w:firstLine="420"/>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bCs/>
          <w:szCs w:val="24"/>
          <w:highlight w:val="none"/>
        </w:rPr>
        <w:t xml:space="preserve">4.</w:t>
      </w:r>
      <w:r>
        <w:rPr>
          <w:rFonts w:hint="eastAsia" w:asciiTheme="minorEastAsia" w:hAnsiTheme="minorEastAsia" w:eastAsiaTheme="minorEastAsia" w:cstheme="minorEastAsia"/>
          <w:szCs w:val="24"/>
          <w:highlight w:val="none"/>
        </w:rPr>
        <w:t xml:space="preserve">本次采购不收取保证金。</w:t>
      </w:r>
      <w:r/>
    </w:p>
    <w:p>
      <w:pPr>
        <w:ind w:firstLine="420"/>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szCs w:val="24"/>
          <w:highlight w:val="none"/>
        </w:rPr>
        <w:t xml:space="preserve">5.</w:t>
      </w:r>
      <w:r>
        <w:rPr>
          <w:rFonts w:hint="eastAsia" w:asciiTheme="minorEastAsia" w:hAnsiTheme="minorEastAsia" w:eastAsiaTheme="minorEastAsia" w:cstheme="minorEastAsia"/>
          <w:bCs/>
          <w:szCs w:val="24"/>
          <w:highlight w:val="none"/>
        </w:rPr>
        <w:t xml:space="preserve">有关本次采购的事项若存在变动或修改，敬请及时关注</w:t>
      </w:r>
      <w:r>
        <w:rPr>
          <w:rFonts w:hint="eastAsia" w:asciiTheme="minorEastAsia" w:hAnsiTheme="minorEastAsia" w:eastAsiaTheme="minorEastAsia" w:cstheme="minorEastAsia"/>
          <w:bCs/>
          <w:szCs w:val="24"/>
          <w:highlight w:val="none"/>
          <w:lang w:eastAsia="zh-CN"/>
        </w:rPr>
        <w:t xml:space="preserve">“扬州市政府采购网”、“江苏政府采购网”“中国政府采购网”</w:t>
      </w:r>
      <w:r>
        <w:rPr>
          <w:rFonts w:hint="eastAsia" w:asciiTheme="minorEastAsia" w:hAnsiTheme="minorEastAsia" w:eastAsiaTheme="minorEastAsia" w:cstheme="minorEastAsia"/>
          <w:bCs/>
          <w:szCs w:val="24"/>
          <w:highlight w:val="none"/>
        </w:rPr>
        <w:t xml:space="preserve">发布的信息。</w:t>
      </w:r>
      <w:r/>
    </w:p>
    <w:p>
      <w:pPr>
        <w:ind w:firstLine="422"/>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b/>
          <w:i/>
          <w:iCs/>
          <w:szCs w:val="24"/>
          <w:highlight w:val="none"/>
          <w:u w:val="single"/>
        </w:rPr>
        <w:t xml:space="preserve">6.本项目招标文件中所有斜体下划线部分为实质性条款，如不满足，则为无效响应。</w:t>
      </w:r>
      <w:r/>
    </w:p>
    <w:p>
      <w:pPr>
        <w:ind w:firstLine="420"/>
        <w:spacing w:line="360" w:lineRule="auto"/>
        <w:shd w:val="clear" w:color="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7.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shd w:val="clear" w:color="auto"/>
        <w:rPr>
          <w:rFonts w:hint="eastAsia" w:asciiTheme="minorEastAsia" w:hAnsiTheme="minorEastAsia" w:eastAsiaTheme="minorEastAsia" w:cstheme="minorEastAsia"/>
          <w:b w:val="0"/>
          <w:bCs w:val="0"/>
          <w:sz w:val="21"/>
          <w:szCs w:val="24"/>
          <w:highlight w:val="none"/>
          <w:lang w:val="en-US" w:eastAsia="zh-CN" w:bidi="ar-SA"/>
        </w:rPr>
      </w:pPr>
      <w:r>
        <w:rPr>
          <w:rFonts w:hint="eastAsia" w:asciiTheme="minorEastAsia" w:hAnsiTheme="minorEastAsia" w:eastAsiaTheme="minorEastAsia" w:cstheme="minorEastAsia"/>
          <w:b w:val="0"/>
          <w:bCs w:val="0"/>
          <w:sz w:val="21"/>
          <w:szCs w:val="24"/>
          <w:highlight w:val="none"/>
          <w:lang w:val="en-US" w:eastAsia="zh-CN" w:bidi="ar-SA"/>
        </w:rPr>
        <w:t xml:space="preserve">8.落实好政府采购履约资金扶持政策及其他相关政策。中标供应商可凭政府采购合同办理融资贷款，详见江苏政府采购网“政采贷”专栏。</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七、本次招标联系方式</w:t>
      </w:r>
      <w:bookmarkEnd w:id="30"/>
      <w:r/>
      <w:bookmarkEnd w:id="31"/>
      <w:r/>
      <w:bookmarkEnd w:id="32"/>
      <w:r/>
      <w:bookmarkEnd w:id="33"/>
      <w:r/>
      <w:bookmarkEnd w:id="34"/>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扬州市市场监督管理局</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江苏省扬州市邗江区文昌西路525号</w:t>
      </w:r>
      <w:r/>
    </w:p>
    <w:p>
      <w:pPr>
        <w:ind w:firstLine="420"/>
        <w:jc w:val="left"/>
        <w:spacing w:line="360" w:lineRule="auto"/>
        <w:shd w:val="clear" w:color="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olor w:val="auto"/>
          <w:szCs w:val="21"/>
          <w:highlight w:val="none"/>
          <w:lang w:eastAsia="zh-CN"/>
        </w:rPr>
        <w:t xml:space="preserve">王沁韵</w:t>
      </w:r>
      <w:r/>
    </w:p>
    <w:p>
      <w:pPr>
        <w:ind w:firstLine="420"/>
        <w:jc w:val="left"/>
        <w:spacing w:line="360" w:lineRule="auto"/>
        <w:shd w:val="clear" w:color="auto"/>
        <w:rPr>
          <w:rFonts w:ascii="宋体" w:hAnsi="宋体" w:cs="宋体"/>
          <w:color w:val="auto"/>
          <w:highlight w:val="none"/>
          <w:u w:val="single"/>
        </w:rPr>
      </w:pPr>
      <w:r>
        <w:rPr>
          <w:rFonts w:hint="eastAsia" w:ascii="宋体" w:hAnsi="宋体" w:cs="宋体"/>
          <w:color w:val="auto"/>
          <w:highlight w:val="none"/>
        </w:rPr>
        <w:t xml:space="preserve">联系方式：</w:t>
      </w:r>
      <w:r>
        <w:rPr>
          <w:rFonts w:hint="eastAsia" w:ascii="宋体" w:hAnsi="宋体"/>
          <w:color w:val="auto"/>
          <w:szCs w:val="21"/>
          <w:highlight w:val="none"/>
        </w:rPr>
        <w:t xml:space="preserve">0514-89332667</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2.采购代理机构信息</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名 称：</w:t>
      </w:r>
      <w:r>
        <w:rPr>
          <w:rFonts w:hint="eastAsia" w:asciiTheme="minorEastAsia" w:hAnsiTheme="minorEastAsia" w:eastAsiaTheme="minorEastAsia" w:cstheme="minorEastAsia"/>
          <w:highlight w:val="none"/>
          <w:lang w:eastAsia="zh-CN"/>
        </w:rPr>
        <w:t xml:space="preserve">扬州苏建工程管理有限公司</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地 址：</w:t>
      </w:r>
      <w:r>
        <w:rPr>
          <w:rFonts w:hint="eastAsia" w:asciiTheme="minorEastAsia" w:hAnsiTheme="minorEastAsia" w:eastAsiaTheme="minorEastAsia" w:cstheme="minorEastAsia"/>
          <w:color w:val="auto"/>
          <w:szCs w:val="21"/>
          <w:highlight w:val="none"/>
        </w:rPr>
        <w:t xml:space="preserve">扬州市广陵区江都路572号</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联系人：</w:t>
      </w:r>
      <w:r>
        <w:rPr>
          <w:rFonts w:hint="eastAsia" w:asciiTheme="minorEastAsia" w:hAnsiTheme="minorEastAsia" w:eastAsiaTheme="minorEastAsia" w:cstheme="minorEastAsia"/>
          <w:highlight w:val="none"/>
          <w:lang w:eastAsia="zh-CN"/>
        </w:rPr>
        <w:t xml:space="preserve">李云</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电 话：</w:t>
      </w:r>
      <w:r>
        <w:rPr>
          <w:rFonts w:hint="eastAsia" w:asciiTheme="minorEastAsia" w:hAnsiTheme="minorEastAsia" w:eastAsiaTheme="minorEastAsia" w:cstheme="minorEastAsia"/>
          <w:color w:val="auto"/>
          <w:szCs w:val="21"/>
          <w:highlight w:val="none"/>
        </w:rPr>
        <w:t xml:space="preserve">0514-82170020</w:t>
      </w:r>
      <w:r>
        <w:rPr>
          <w:rFonts w:hint="eastAsia" w:asciiTheme="minorEastAsia" w:hAnsiTheme="minorEastAsia" w:eastAsiaTheme="minorEastAsia" w:cstheme="minorEastAsia"/>
          <w:color w:val="auto"/>
          <w:szCs w:val="21"/>
          <w:highlight w:val="none"/>
          <w:lang w:eastAsia="zh-CN"/>
        </w:rPr>
        <w:t xml:space="preserve">，13338129845</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spacing w:before="120" w:after="100" w:afterAutospacing="1"/>
        <w:shd w:val="clear" w:color="auto"/>
        <w:rPr>
          <w:rFonts w:hint="eastAsia" w:asciiTheme="minorEastAsia" w:hAnsiTheme="minorEastAsia" w:eastAsiaTheme="minorEastAsia" w:cstheme="minorEastAsia"/>
          <w:sz w:val="32"/>
          <w:highlight w:val="none"/>
        </w:rPr>
      </w:pPr>
      <w:r>
        <w:rPr>
          <w:rFonts w:hint="eastAsia" w:asciiTheme="minorEastAsia" w:hAnsiTheme="minorEastAsia" w:eastAsiaTheme="minorEastAsia" w:cstheme="minorEastAsia"/>
          <w:sz w:val="24"/>
          <w:highlight w:val="none"/>
        </w:rPr>
        <w:br w:type="page" w:clear="all"/>
      </w:r>
      <w:bookmarkStart w:id="35" w:name="_Toc237917778"/>
      <w:r/>
      <w:bookmarkEnd w:id="35"/>
      <w:r/>
    </w:p>
    <w:p>
      <w:pPr>
        <w:pStyle w:val="722"/>
        <w:ind w:firstLine="643"/>
        <w:jc w:val="center"/>
        <w:spacing w:before="120" w:after="120" w:afterAutospacing="1"/>
        <w:shd w:val="clear" w:color="auto"/>
        <w:rPr>
          <w:rFonts w:hint="eastAsia" w:asciiTheme="minorEastAsia" w:hAnsiTheme="minorEastAsia" w:eastAsiaTheme="minorEastAsia" w:cstheme="minorEastAsia"/>
          <w:sz w:val="32"/>
          <w:highlight w:val="none"/>
        </w:rPr>
      </w:pPr>
      <w:r/>
      <w:bookmarkStart w:id="36" w:name="_Toc16207"/>
      <w:r/>
      <w:bookmarkStart w:id="37" w:name="_Toc153206576"/>
      <w:r>
        <w:rPr>
          <w:rFonts w:hint="eastAsia" w:asciiTheme="minorEastAsia" w:hAnsiTheme="minorEastAsia" w:eastAsiaTheme="minorEastAsia" w:cstheme="minorEastAsia"/>
          <w:sz w:val="32"/>
          <w:highlight w:val="none"/>
        </w:rPr>
        <w:t xml:space="preserve">第二章</w:t>
      </w:r>
      <w:bookmarkStart w:id="38" w:name="_Toc20823274"/>
      <w:r/>
      <w:bookmarkStart w:id="39" w:name="_Toc120614213"/>
      <w:r/>
      <w:bookmarkStart w:id="40" w:name="_Toc16938518"/>
      <w:r/>
      <w:bookmarkStart w:id="41" w:name="_Toc513029202"/>
      <w:r>
        <w:rPr>
          <w:rFonts w:hint="eastAsia" w:asciiTheme="minorEastAsia" w:hAnsiTheme="minorEastAsia" w:eastAsiaTheme="minorEastAsia" w:cstheme="minorEastAsia"/>
          <w:sz w:val="32"/>
          <w:highlight w:val="none"/>
        </w:rPr>
        <w:t xml:space="preserve"> 投标人须知</w:t>
      </w:r>
      <w:bookmarkEnd w:id="36"/>
      <w:r/>
      <w:bookmarkEnd w:id="37"/>
      <w:r/>
      <w:bookmarkEnd w:id="38"/>
      <w:r/>
      <w:bookmarkEnd w:id="39"/>
      <w:r/>
      <w:bookmarkEnd w:id="40"/>
      <w:r/>
      <w:bookmarkEnd w:id="41"/>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42" w:name="_Toc20823275"/>
      <w:r/>
      <w:bookmarkStart w:id="43" w:name="_Toc120614214"/>
      <w:r/>
      <w:bookmarkStart w:id="44" w:name="_Toc16938519"/>
      <w:r/>
      <w:bookmarkStart w:id="45" w:name="_Toc513029203"/>
      <w:r>
        <w:rPr>
          <w:rFonts w:hint="eastAsia" w:asciiTheme="minorEastAsia" w:hAnsiTheme="minorEastAsia" w:eastAsiaTheme="minorEastAsia" w:cstheme="minorEastAsia"/>
          <w:sz w:val="21"/>
          <w:szCs w:val="21"/>
          <w:highlight w:val="none"/>
        </w:rPr>
        <w:t xml:space="preserve">一、总则</w:t>
      </w:r>
      <w:bookmarkEnd w:id="42"/>
      <w:r/>
      <w:bookmarkEnd w:id="43"/>
      <w:r/>
      <w:bookmarkEnd w:id="44"/>
      <w:r/>
      <w:bookmarkEnd w:id="45"/>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46" w:name="_Hlt16619475"/>
      <w:r/>
      <w:bookmarkEnd w:id="46"/>
      <w:r/>
      <w:bookmarkStart w:id="47" w:name="_Toc458694821"/>
      <w:r/>
      <w:bookmarkStart w:id="48" w:name="_Toc20823276"/>
      <w:r/>
      <w:bookmarkStart w:id="49" w:name="_Toc16938520"/>
      <w:r/>
      <w:bookmarkStart w:id="50" w:name="_Toc513029204"/>
      <w:r>
        <w:rPr>
          <w:rFonts w:hint="eastAsia" w:asciiTheme="minorEastAsia" w:hAnsiTheme="minorEastAsia" w:eastAsiaTheme="minorEastAsia" w:cstheme="minorEastAsia"/>
          <w:b w:val="0"/>
          <w:bCs w:val="0"/>
          <w:sz w:val="21"/>
          <w:szCs w:val="21"/>
          <w:highlight w:val="none"/>
        </w:rPr>
        <w:t xml:space="preserve">1</w:t>
      </w:r>
      <w:bookmarkEnd w:id="47"/>
      <w:r>
        <w:rPr>
          <w:rFonts w:hint="eastAsia" w:asciiTheme="minorEastAsia" w:hAnsiTheme="minorEastAsia" w:eastAsiaTheme="minorEastAsia" w:cstheme="minorEastAsia"/>
          <w:b w:val="0"/>
          <w:bCs w:val="0"/>
          <w:sz w:val="21"/>
          <w:szCs w:val="21"/>
          <w:highlight w:val="none"/>
        </w:rPr>
        <w:t xml:space="preserve">、招标方式</w:t>
      </w:r>
      <w:bookmarkEnd w:id="48"/>
      <w:r/>
      <w:bookmarkEnd w:id="49"/>
      <w:r/>
      <w:bookmarkEnd w:id="50"/>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 本次招标采取公开招标方式，本招标文件仅适用于招标公告中所述项目。</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51" w:name="_Toc513029205"/>
      <w:r/>
      <w:bookmarkStart w:id="52" w:name="_Toc20823277"/>
      <w:r/>
      <w:bookmarkStart w:id="53" w:name="_Toc16938521"/>
      <w:r>
        <w:rPr>
          <w:rFonts w:hint="eastAsia" w:asciiTheme="minorEastAsia" w:hAnsiTheme="minorEastAsia" w:eastAsiaTheme="minorEastAsia" w:cstheme="minorEastAsia"/>
          <w:b w:val="0"/>
          <w:bCs w:val="0"/>
          <w:sz w:val="21"/>
          <w:szCs w:val="21"/>
          <w:highlight w:val="none"/>
        </w:rPr>
        <w:t xml:space="preserve">2、合格的投标人</w:t>
      </w:r>
      <w:bookmarkEnd w:id="51"/>
      <w:r/>
      <w:bookmarkEnd w:id="52"/>
      <w:r/>
      <w:bookmarkEnd w:id="53"/>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 满足招标公告中供应商的资格要求的规定。</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2.2 满足本文件实质性要求和条件的规定。</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54" w:name="_Toc513029206"/>
      <w:r/>
      <w:bookmarkStart w:id="55" w:name="_Toc20823278"/>
      <w:r/>
      <w:bookmarkStart w:id="56" w:name="_Toc16938522"/>
      <w:r>
        <w:rPr>
          <w:rFonts w:hint="eastAsia" w:asciiTheme="minorEastAsia" w:hAnsiTheme="minorEastAsia" w:eastAsiaTheme="minorEastAsia" w:cstheme="minorEastAsia"/>
          <w:b w:val="0"/>
          <w:bCs w:val="0"/>
          <w:sz w:val="21"/>
          <w:szCs w:val="21"/>
          <w:highlight w:val="none"/>
        </w:rPr>
        <w:t xml:space="preserve">3、适用法律</w:t>
      </w:r>
      <w:bookmarkEnd w:id="54"/>
      <w:r/>
      <w:bookmarkEnd w:id="55"/>
      <w:r/>
      <w:bookmarkEnd w:id="56"/>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3.1 本次招标及由此产生的合同受中华人民共和国有关的法律法规制约和保护。</w:t>
      </w:r>
      <w:r/>
    </w:p>
    <w:p>
      <w:pPr>
        <w:pStyle w:val="1178"/>
        <w:ind w:firstLine="420"/>
        <w:spacing w:before="120" w:after="120" w:line="360" w:lineRule="auto"/>
        <w:shd w:val="clear" w:color="auto"/>
      </w:pPr>
      <w:r/>
      <w:bookmarkStart w:id="0" w:name="undefined"/>
      <w:r/>
      <w:bookmarkStart w:id="0" w:name="undefined"/>
      <w:r/>
      <w:bookmarkStart w:id="0" w:name="undefined"/>
      <w:r/>
      <w:bookmarkStart w:id="0" w:name="undefined"/>
      <w:r>
        <w:rPr>
          <w:rFonts w:hint="eastAsia" w:asciiTheme="minorEastAsia" w:hAnsiTheme="minorEastAsia" w:eastAsiaTheme="minorEastAsia" w:cstheme="minorEastAsia"/>
          <w:b w:val="0"/>
          <w:bCs w:val="0"/>
          <w:sz w:val="21"/>
          <w:szCs w:val="21"/>
          <w:highlight w:val="none"/>
        </w:rPr>
        <w:t xml:space="preserve">4、投标费用</w:t>
      </w:r>
      <w:bookmarkEnd w:id="0"/>
      <w:r/>
      <w:bookmarkEnd w:id="0"/>
      <w:r/>
      <w:bookmarkEnd w:id="0"/>
      <w:r/>
      <w:bookmarkEnd w:id="0"/>
      <w:r>
        <w:rPr>
          <w:rFonts w:hint="eastAsia" w:asciiTheme="minorEastAsia" w:hAnsiTheme="minorEastAsia" w:eastAsiaTheme="minorEastAsia" w:cstheme="minorEastAsia"/>
          <w:b w:val="0"/>
          <w:bCs w:val="0"/>
          <w:sz w:val="21"/>
          <w:szCs w:val="21"/>
          <w:highlight w:val="none"/>
        </w:rPr>
      </w:r>
      <w:r/>
    </w:p>
    <w:p>
      <w:pPr>
        <w:pStyle w:val="1178"/>
        <w:ind w:firstLine="420"/>
        <w:spacing w:before="120" w:after="120" w:line="360" w:lineRule="auto"/>
        <w:shd w:val="clear" w:color="auto"/>
      </w:pPr>
      <w:r>
        <w:rPr>
          <w:rFonts w:hint="eastAsia" w:asciiTheme="minorEastAsia" w:hAnsiTheme="minorEastAsia" w:eastAsiaTheme="minorEastAsia" w:cstheme="minorEastAsia"/>
          <w:b w:val="0"/>
          <w:bCs w:val="0"/>
          <w:sz w:val="21"/>
          <w:szCs w:val="21"/>
          <w:highlight w:val="none"/>
          <w:lang w:val="en-US" w:eastAsia="zh-CN"/>
        </w:rPr>
        <w:t xml:space="preserve">4.1投标人应承担所有与参加本次投标有关的费用，采购代理机构在任何情况下均无义务和责任承担这些费用。</w:t>
      </w:r>
      <w:r>
        <w:rPr>
          <w:rFonts w:hint="eastAsia" w:asciiTheme="minorEastAsia" w:hAnsiTheme="minorEastAsia" w:eastAsiaTheme="minorEastAsia" w:cstheme="minorEastAsia"/>
          <w:b w:val="0"/>
          <w:bCs w:val="0"/>
          <w:sz w:val="21"/>
          <w:szCs w:val="21"/>
          <w:highlight w:val="none"/>
          <w:lang w:val="en-US" w:eastAsia="zh-CN"/>
        </w:rPr>
      </w:r>
      <w:r/>
    </w:p>
    <w:p>
      <w:pPr>
        <w:pStyle w:val="1178"/>
        <w:ind w:firstLine="420"/>
        <w:spacing w:before="120" w:after="120" w:line="360" w:lineRule="auto"/>
        <w:shd w:val="clear" w:color="auto"/>
        <w:rPr>
          <w:rFonts w:hint="eastAsia"/>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4.2依据《关于进一步规范政府采购活动相关费用管理的通知》（苏财规〔2026〕1号）相关规定，本项目为分散采购，代理服务费和专家评审费均由采购人直接支付给代理机构，不向投标人、中标人收取。</w:t>
      </w:r>
      <w:r>
        <w:rPr>
          <w:rFonts w:hint="eastAsia" w:asciiTheme="minorEastAsia" w:hAnsiTheme="minorEastAsia" w:eastAsiaTheme="minorEastAsia" w:cstheme="minorEastAsia"/>
          <w:b w:val="0"/>
          <w:bCs w:val="0"/>
          <w:sz w:val="21"/>
          <w:szCs w:val="21"/>
          <w:highlight w:val="none"/>
          <w:lang w:val="en-US" w:eastAsia="zh-CN"/>
        </w:rPr>
      </w:r>
      <w:r/>
      <w:r>
        <w:rPr>
          <w:rFonts w:hint="eastAsia" w:asciiTheme="minorEastAsia" w:hAnsiTheme="minorEastAsia" w:eastAsiaTheme="minorEastAsia" w:cstheme="minorEastAsia"/>
          <w:b w:val="0"/>
          <w:bCs w:val="0"/>
          <w:sz w:val="21"/>
          <w:szCs w:val="21"/>
          <w:highlight w:val="none"/>
          <w:lang w:val="en-US" w:eastAsia="zh-CN"/>
        </w:rPr>
      </w:r>
      <w:r/>
      <w:r>
        <w:rPr>
          <w:rFonts w:hint="eastAsia" w:asciiTheme="minorEastAsia" w:hAnsiTheme="minorEastAsia" w:eastAsiaTheme="minorEastAsia" w:cstheme="minorEastAsia"/>
          <w:b w:val="0"/>
          <w:bCs w:val="0"/>
          <w:sz w:val="21"/>
          <w:szCs w:val="21"/>
          <w:highlight w:val="none"/>
          <w:lang w:val="en-US" w:eastAsia="zh-CN"/>
        </w:rP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5、招标文件的约束力</w:t>
      </w:r>
      <w:bookmarkStart w:id="200" w:name="_GoBack"/>
      <w:r/>
      <w:bookmarkEnd w:id="200"/>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5.1 </w:t>
      </w:r>
      <w:r>
        <w:rPr>
          <w:rFonts w:hint="eastAsia" w:asciiTheme="minorEastAsia" w:hAnsiTheme="minorEastAsia" w:eastAsiaTheme="minorEastAsia" w:cstheme="minorEastAsia"/>
          <w:highlight w:val="none"/>
        </w:rPr>
        <w:t xml:space="preserve">投标人一旦参加本项目采购活动，即被认为接受了本招标文件的规定和约束。</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61" w:name="_Toc120614215"/>
      <w:r/>
      <w:bookmarkStart w:id="62" w:name="_Toc16938525"/>
      <w:r/>
      <w:bookmarkStart w:id="63" w:name="_Toc20823281"/>
      <w:r/>
      <w:bookmarkStart w:id="64" w:name="_Toc513029209"/>
      <w:r>
        <w:rPr>
          <w:rFonts w:hint="eastAsia" w:asciiTheme="minorEastAsia" w:hAnsiTheme="minorEastAsia" w:eastAsiaTheme="minorEastAsia" w:cstheme="minorEastAsia"/>
          <w:sz w:val="21"/>
          <w:szCs w:val="21"/>
          <w:highlight w:val="none"/>
        </w:rPr>
        <w:t xml:space="preserve">二、招标文件</w:t>
      </w:r>
      <w:bookmarkEnd w:id="61"/>
      <w:r/>
      <w:bookmarkEnd w:id="62"/>
      <w:r/>
      <w:bookmarkEnd w:id="63"/>
      <w:r/>
      <w:bookmarkEnd w:id="64"/>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65" w:name="_Toc20823282"/>
      <w:r/>
      <w:bookmarkStart w:id="66" w:name="_Toc513029210"/>
      <w:r/>
      <w:bookmarkStart w:id="67" w:name="_Toc16938526"/>
      <w:r>
        <w:rPr>
          <w:rFonts w:hint="eastAsia" w:asciiTheme="minorEastAsia" w:hAnsiTheme="minorEastAsia" w:eastAsiaTheme="minorEastAsia" w:cstheme="minorEastAsia"/>
          <w:b w:val="0"/>
          <w:bCs w:val="0"/>
          <w:sz w:val="21"/>
          <w:szCs w:val="21"/>
          <w:highlight w:val="none"/>
        </w:rPr>
        <w:t xml:space="preserve">6、招标文件构成</w:t>
      </w:r>
      <w:bookmarkEnd w:id="65"/>
      <w:r/>
      <w:bookmarkEnd w:id="66"/>
      <w:r/>
      <w:bookmarkEnd w:id="67"/>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6.1 招标文件由以下部分组成：</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（1）投标邀请</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（2）投标人须知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（3）合同文本</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（4）采购需求</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（5）评标方法与评标标准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（6）投标文件格式</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请仔细检查招标文件是否齐全，如有缺漏请立即与代理机构联系解决。</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6.2 </w:t>
      </w:r>
      <w:r>
        <w:rPr>
          <w:rFonts w:hint="eastAsia" w:asciiTheme="minorEastAsia" w:hAnsiTheme="minorEastAsia" w:eastAsiaTheme="minorEastAsia" w:cstheme="minorEastAsia"/>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68" w:name="_Toc20823283"/>
      <w:r/>
      <w:bookmarkStart w:id="69" w:name="_Toc16938527"/>
      <w:r/>
      <w:bookmarkStart w:id="70" w:name="_Toc462564070"/>
      <w:r/>
      <w:bookmarkStart w:id="71" w:name="_Toc513029211"/>
      <w:r>
        <w:rPr>
          <w:rFonts w:hint="eastAsia" w:asciiTheme="minorEastAsia" w:hAnsiTheme="minorEastAsia" w:eastAsiaTheme="minorEastAsia" w:cstheme="minorEastAsia"/>
          <w:b w:val="0"/>
          <w:bCs w:val="0"/>
          <w:sz w:val="21"/>
          <w:szCs w:val="21"/>
          <w:highlight w:val="none"/>
        </w:rPr>
        <w:t xml:space="preserve">7、招标文件的澄清</w:t>
      </w:r>
      <w:bookmarkEnd w:id="68"/>
      <w:r/>
      <w:bookmarkEnd w:id="69"/>
      <w:r/>
      <w:bookmarkEnd w:id="70"/>
      <w:r/>
      <w:bookmarkEnd w:id="71"/>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7.1 任何要求对招标文件进行澄清的投标人，应在投标截止期十日前按招标公告中的通讯地址，以书面形式通知代理机构。</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72" w:name="_Toc16938528"/>
      <w:r/>
      <w:bookmarkStart w:id="73" w:name="_Toc513029212"/>
      <w:r/>
      <w:bookmarkStart w:id="74" w:name="_Toc20823284"/>
      <w:r/>
      <w:bookmarkStart w:id="75" w:name="_Toc462564071"/>
      <w:r>
        <w:rPr>
          <w:rFonts w:hint="eastAsia" w:asciiTheme="minorEastAsia" w:hAnsiTheme="minorEastAsia" w:eastAsiaTheme="minorEastAsia" w:cstheme="minorEastAsia"/>
          <w:b w:val="0"/>
          <w:bCs w:val="0"/>
          <w:sz w:val="21"/>
          <w:szCs w:val="21"/>
          <w:highlight w:val="none"/>
        </w:rPr>
        <w:t xml:space="preserve">8、招标文件的修改</w:t>
      </w:r>
      <w:bookmarkEnd w:id="72"/>
      <w:r/>
      <w:bookmarkEnd w:id="73"/>
      <w:r/>
      <w:bookmarkEnd w:id="74"/>
      <w:r/>
      <w:bookmarkEnd w:id="75"/>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8.1 在投标截止时间前，采购人、代理机构可以对招标文件进行修改。</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8.2 采购人、代理机构有权按照法定的要求推迟投标截止日期和开标日期。</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8.3 招标文件的修改将在</w:t>
      </w:r>
      <w:r>
        <w:rPr>
          <w:rFonts w:hint="eastAsia" w:asciiTheme="minorEastAsia" w:hAnsiTheme="minorEastAsia" w:eastAsiaTheme="minorEastAsia" w:cstheme="minorEastAsia"/>
          <w:szCs w:val="21"/>
          <w:highlight w:val="none"/>
          <w:lang w:eastAsia="zh-CN"/>
        </w:rPr>
        <w:t xml:space="preserve">“扬州市政府采购网”、“江苏政府采购网”“中国政府采购网”</w:t>
      </w:r>
      <w:r>
        <w:rPr>
          <w:rFonts w:hint="eastAsia" w:asciiTheme="minorEastAsia" w:hAnsiTheme="minorEastAsia" w:eastAsiaTheme="minorEastAsia" w:cstheme="minorEastAsia"/>
          <w:highlight w:val="none"/>
        </w:rPr>
        <w:t xml:space="preserve">公布，补充文件将作为招标文件的组成部分，并对投标人具有约束力。</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76" w:name="_Toc462564072"/>
      <w:r/>
      <w:bookmarkStart w:id="77" w:name="_Toc120614216"/>
      <w:r/>
      <w:bookmarkStart w:id="78" w:name="_Toc513029213"/>
      <w:r/>
      <w:bookmarkStart w:id="79" w:name="_Toc16938529"/>
      <w:r/>
      <w:bookmarkStart w:id="80" w:name="_Toc20823285"/>
      <w:r>
        <w:rPr>
          <w:rFonts w:hint="eastAsia" w:asciiTheme="minorEastAsia" w:hAnsiTheme="minorEastAsia" w:eastAsiaTheme="minorEastAsia" w:cstheme="minorEastAsia"/>
          <w:sz w:val="21"/>
          <w:szCs w:val="21"/>
          <w:highlight w:val="none"/>
        </w:rPr>
        <w:t xml:space="preserve">三、投标文件的编制</w:t>
      </w:r>
      <w:bookmarkEnd w:id="76"/>
      <w:r/>
      <w:bookmarkEnd w:id="77"/>
      <w:r/>
      <w:bookmarkEnd w:id="78"/>
      <w:r/>
      <w:bookmarkEnd w:id="79"/>
      <w:r/>
      <w:bookmarkEnd w:id="80"/>
      <w:r/>
      <w:r/>
    </w:p>
    <w:p>
      <w:pPr>
        <w:pStyle w:val="1178"/>
        <w:ind w:firstLine="420"/>
        <w:spacing w:before="120" w:after="120" w:line="360" w:lineRule="auto"/>
        <w:shd w:val="clear" w:color="auto"/>
        <w:rPr>
          <w:rFonts w:hint="eastAsia" w:asciiTheme="minorEastAsia" w:hAnsiTheme="minorEastAsia" w:eastAsiaTheme="minorEastAsia" w:cstheme="minorEastAsia"/>
          <w:bCs w:val="0"/>
          <w:sz w:val="21"/>
          <w:szCs w:val="21"/>
          <w:highlight w:val="none"/>
        </w:rPr>
      </w:pPr>
      <w:r/>
      <w:bookmarkStart w:id="81" w:name="_Toc16938530"/>
      <w:r/>
      <w:bookmarkStart w:id="82" w:name="_Toc513029214"/>
      <w:r/>
      <w:bookmarkStart w:id="83" w:name="_Toc462564073"/>
      <w:r/>
      <w:bookmarkStart w:id="84" w:name="_Toc20823286"/>
      <w:r>
        <w:rPr>
          <w:rFonts w:hint="eastAsia" w:asciiTheme="minorEastAsia" w:hAnsiTheme="minorEastAsia" w:eastAsiaTheme="minorEastAsia" w:cstheme="minorEastAsia"/>
          <w:b w:val="0"/>
          <w:bCs w:val="0"/>
          <w:sz w:val="21"/>
          <w:szCs w:val="21"/>
          <w:highlight w:val="none"/>
        </w:rPr>
        <w:t xml:space="preserve">9、投标文件的语言及度量衡单位</w:t>
      </w:r>
      <w:bookmarkEnd w:id="81"/>
      <w:r/>
      <w:bookmarkEnd w:id="82"/>
      <w:r/>
      <w:bookmarkEnd w:id="83"/>
      <w:r/>
      <w:bookmarkEnd w:id="84"/>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9.1 投标人提交的投标文件以及投标人与代理机构就有关投标的所有来往通知、函件和文件均应使用简体中文。</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9.2 除技术性能另有规定外，投标文件所使用的度量衡单位，均须采用国家法定计量单位。</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85" w:name="_Toc462564074"/>
      <w:r/>
      <w:bookmarkStart w:id="86" w:name="_Toc16938531"/>
      <w:r/>
      <w:bookmarkStart w:id="87" w:name="_Toc20823287"/>
      <w:r/>
      <w:bookmarkStart w:id="88" w:name="_Toc513029215"/>
      <w:r>
        <w:rPr>
          <w:rFonts w:hint="eastAsia" w:asciiTheme="minorEastAsia" w:hAnsiTheme="minorEastAsia" w:eastAsiaTheme="minorEastAsia" w:cstheme="minorEastAsia"/>
          <w:b w:val="0"/>
          <w:bCs w:val="0"/>
          <w:sz w:val="21"/>
          <w:szCs w:val="21"/>
          <w:highlight w:val="none"/>
        </w:rPr>
        <w:t xml:space="preserve">10、投标文件构成</w:t>
      </w:r>
      <w:bookmarkEnd w:id="85"/>
      <w:r/>
      <w:bookmarkEnd w:id="86"/>
      <w:r/>
      <w:bookmarkEnd w:id="87"/>
      <w:r/>
      <w:bookmarkEnd w:id="88"/>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10.2 如标书制作工具中格式和内容与“扬州市政府采购网”、“江苏政府采购网”、“</w:t>
      </w:r>
      <w:r>
        <w:rPr>
          <w:rFonts w:hint="eastAsia" w:asciiTheme="minorEastAsia" w:hAnsiTheme="minorEastAsia" w:eastAsiaTheme="minorEastAsia" w:cstheme="minorEastAsia"/>
          <w:szCs w:val="24"/>
          <w:highlight w:val="none"/>
        </w:rPr>
        <w:t xml:space="preserve">中国政府采购网”</w:t>
      </w:r>
      <w:r>
        <w:rPr>
          <w:rFonts w:hint="eastAsia" w:asciiTheme="minorEastAsia" w:hAnsiTheme="minorEastAsia" w:eastAsiaTheme="minorEastAsia" w:cstheme="minorEastAsia"/>
          <w:highlight w:val="none"/>
        </w:rPr>
        <w:t xml:space="preserve">发布的招标文件不一致，请以“扬州市政府采购网”、“江苏政府采购网”、“</w:t>
      </w:r>
      <w:r>
        <w:rPr>
          <w:rFonts w:hint="eastAsia" w:asciiTheme="minorEastAsia" w:hAnsiTheme="minorEastAsia" w:eastAsiaTheme="minorEastAsia" w:cstheme="minorEastAsia"/>
          <w:szCs w:val="24"/>
          <w:highlight w:val="none"/>
        </w:rPr>
        <w:t xml:space="preserve">中国政府采购网”</w:t>
      </w:r>
      <w:r>
        <w:rPr>
          <w:rFonts w:hint="eastAsia" w:asciiTheme="minorEastAsia" w:hAnsiTheme="minorEastAsia" w:eastAsiaTheme="minorEastAsia" w:cstheme="minorEastAsia"/>
          <w:highlight w:val="none"/>
        </w:rPr>
        <w:t xml:space="preserve">发布的招标文件为准。</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89" w:name="_Hlt26670360"/>
      <w:r/>
      <w:bookmarkEnd w:id="89"/>
      <w:r/>
      <w:bookmarkStart w:id="90" w:name="_Hlt26668975"/>
      <w:r/>
      <w:bookmarkEnd w:id="90"/>
      <w:r/>
      <w:bookmarkStart w:id="91" w:name="_Hlt26954838"/>
      <w:r/>
      <w:bookmarkEnd w:id="91"/>
      <w:r/>
      <w:bookmarkStart w:id="92" w:name="_Toc513029216"/>
      <w:r/>
      <w:bookmarkStart w:id="93" w:name="_Toc14577357"/>
      <w:r/>
      <w:bookmarkStart w:id="94" w:name="_Toc49090507"/>
      <w:r/>
      <w:bookmarkStart w:id="95" w:name="_Toc14577354"/>
      <w:r/>
      <w:bookmarkStart w:id="96" w:name="_Toc49090509"/>
      <w:r/>
      <w:bookmarkStart w:id="97" w:name="_Toc513029219"/>
      <w:r>
        <w:rPr>
          <w:rFonts w:hint="eastAsia" w:asciiTheme="minorEastAsia" w:hAnsiTheme="minorEastAsia" w:eastAsiaTheme="minorEastAsia" w:cstheme="minorEastAsia"/>
          <w:b w:val="0"/>
          <w:bCs w:val="0"/>
          <w:sz w:val="21"/>
          <w:szCs w:val="21"/>
          <w:highlight w:val="none"/>
        </w:rPr>
        <w:t xml:space="preserve">11、证明投标人及投标标的符合招标文件规定的文件</w:t>
      </w:r>
      <w:bookmarkEnd w:id="92"/>
      <w:r/>
      <w:bookmarkEnd w:id="93"/>
      <w:r/>
      <w:bookmarkEnd w:id="94"/>
      <w:r/>
      <w:bookmarkEnd w:id="95"/>
      <w:r/>
      <w:bookmarkEnd w:id="96"/>
      <w:r/>
      <w:bookmarkEnd w:id="97"/>
      <w:r/>
      <w:r/>
    </w:p>
    <w:p>
      <w:pPr>
        <w:ind w:firstLine="422"/>
        <w:spacing w:line="360" w:lineRule="auto"/>
        <w:shd w:val="clear" w:color="auto"/>
        <w:rPr>
          <w:rFonts w:hint="eastAsia" w:asciiTheme="minorEastAsia" w:hAnsiTheme="minorEastAsia" w:eastAsiaTheme="minorEastAsia" w:cstheme="minorEastAsia"/>
          <w:bCs/>
          <w:highlight w:val="none"/>
        </w:rPr>
      </w:pPr>
      <w:r/>
      <w:bookmarkStart w:id="98" w:name="_Toc14577355"/>
      <w:r/>
      <w:bookmarkStart w:id="99" w:name="_Toc49090508"/>
      <w:r>
        <w:rPr>
          <w:rFonts w:hint="eastAsia" w:asciiTheme="minorEastAsia" w:hAnsiTheme="minorEastAsia" w:eastAsiaTheme="minorEastAsia" w:cstheme="minorEastAsia"/>
          <w:highlight w:val="none"/>
        </w:rPr>
        <w:t xml:space="preserve">11.1 投标人应按照招标文件要求提交证明文件，</w:t>
      </w:r>
      <w:r>
        <w:rPr>
          <w:rFonts w:hint="eastAsia" w:asciiTheme="minorEastAsia" w:hAnsiTheme="minorEastAsia" w:eastAsiaTheme="minorEastAsia" w:cstheme="minorEastAsia"/>
          <w:bCs/>
          <w:highlight w:val="none"/>
        </w:rPr>
        <w:t xml:space="preserve">证明其及投标标的符合招标文件规定。</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11.2 招标文件对证明文件无明确形式要求的，证明文件可以以文字资料、图纸和数据等形式提交。</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12、投标分项报价</w:t>
      </w:r>
      <w:bookmarkEnd w:id="98"/>
      <w:r/>
      <w:bookmarkStart w:id="100" w:name="_Hlt26670373"/>
      <w:r/>
      <w:bookmarkEnd w:id="100"/>
      <w:r>
        <w:rPr>
          <w:rFonts w:hint="eastAsia" w:asciiTheme="minorEastAsia" w:hAnsiTheme="minorEastAsia" w:eastAsiaTheme="minorEastAsia" w:cstheme="minorEastAsia"/>
          <w:b w:val="0"/>
          <w:bCs w:val="0"/>
          <w:sz w:val="21"/>
          <w:szCs w:val="21"/>
          <w:highlight w:val="none"/>
        </w:rPr>
        <w:t xml:space="preserve">表</w:t>
      </w:r>
      <w:bookmarkEnd w:id="99"/>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12.1</w:t>
      </w:r>
      <w:r>
        <w:rPr>
          <w:rFonts w:hint="eastAsia" w:asciiTheme="minorEastAsia" w:hAnsiTheme="minorEastAsia" w:eastAsiaTheme="minorEastAsia" w:cstheme="minorEastAsia"/>
          <w:highlight w:val="none"/>
        </w:rPr>
        <w:t xml:space="preserve"> 投</w:t>
      </w:r>
      <w:bookmarkStart w:id="101" w:name="_Hlt26954840"/>
      <w:r/>
      <w:bookmarkEnd w:id="101"/>
      <w:r>
        <w:rPr>
          <w:rFonts w:hint="eastAsia" w:asciiTheme="minorEastAsia" w:hAnsiTheme="minorEastAsia" w:eastAsiaTheme="minorEastAsia" w:cstheme="minorEastAsia"/>
          <w:highlight w:val="none"/>
        </w:rPr>
        <w:t xml:space="preserve">标人应按照招标文件规定格式填报投标分项报价表</w:t>
      </w:r>
      <w:bookmarkStart w:id="102" w:name="_Hlt26670399"/>
      <w:r/>
      <w:bookmarkEnd w:id="102"/>
      <w:r>
        <w:rPr>
          <w:rFonts w:hint="eastAsia" w:asciiTheme="minorEastAsia" w:hAnsiTheme="minorEastAsia" w:eastAsiaTheme="minorEastAsia" w:cstheme="minorEastAsia"/>
          <w:highlight w:val="none"/>
        </w:rPr>
        <w:t xml:space="preserve">。</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12.2 </w:t>
      </w:r>
      <w:r>
        <w:rPr>
          <w:rFonts w:hint="eastAsia" w:asciiTheme="minorEastAsia" w:hAnsiTheme="minorEastAsia" w:eastAsiaTheme="minorEastAsia" w:cstheme="minorEastAsia"/>
          <w:bCs/>
          <w:highlight w:val="none"/>
        </w:rPr>
        <w:t xml:space="preserve">投标货币。投标文件中的单价和总价无特殊规定的采用人民币报价，以元为单位标注。</w:t>
      </w:r>
      <w:r>
        <w:rPr>
          <w:rFonts w:hint="eastAsia" w:asciiTheme="minorEastAsia" w:hAnsiTheme="minorEastAsia" w:eastAsiaTheme="minorEastAsia" w:cstheme="minorEastAsia"/>
          <w:highlight w:val="none"/>
        </w:rPr>
        <w:t xml:space="preserve">招标文件中另有规定的按规定执行。</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03" w:name="_Hlt26954844"/>
      <w:r/>
      <w:bookmarkEnd w:id="103"/>
      <w:r/>
      <w:bookmarkStart w:id="104" w:name="_Hlt26668983"/>
      <w:r/>
      <w:bookmarkEnd w:id="104"/>
      <w:r/>
      <w:bookmarkStart w:id="105" w:name="_Hlt26954846"/>
      <w:r/>
      <w:bookmarkEnd w:id="105"/>
      <w:r/>
      <w:bookmarkStart w:id="106" w:name="_Hlt26670486"/>
      <w:r/>
      <w:bookmarkEnd w:id="106"/>
      <w:r/>
      <w:bookmarkStart w:id="107" w:name="_Hlt26670425"/>
      <w:r/>
      <w:bookmarkEnd w:id="107"/>
      <w:r/>
      <w:bookmarkStart w:id="108" w:name="_Hlt26670482"/>
      <w:r/>
      <w:bookmarkEnd w:id="108"/>
      <w:r/>
      <w:bookmarkStart w:id="109" w:name="_Hlt26954842"/>
      <w:r/>
      <w:bookmarkEnd w:id="109"/>
      <w:r/>
      <w:bookmarkStart w:id="110" w:name="_Hlt26954848"/>
      <w:r/>
      <w:bookmarkEnd w:id="110"/>
      <w:r/>
      <w:bookmarkStart w:id="111" w:name="_Hlt26954731"/>
      <w:r/>
      <w:bookmarkEnd w:id="111"/>
      <w:r/>
      <w:bookmarkStart w:id="112" w:name="_Hlt26670403"/>
      <w:r/>
      <w:bookmarkEnd w:id="112"/>
      <w:r>
        <w:rPr>
          <w:rFonts w:hint="eastAsia" w:asciiTheme="minorEastAsia" w:hAnsiTheme="minorEastAsia" w:eastAsiaTheme="minorEastAsia" w:cstheme="minorEastAsia"/>
          <w:b w:val="0"/>
          <w:bCs w:val="0"/>
          <w:sz w:val="21"/>
          <w:szCs w:val="21"/>
          <w:highlight w:val="none"/>
        </w:rPr>
        <w:t xml:space="preserve">13、技术要求响应及偏离表、商务要求响应及偏离表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13.1 投标人需对招标文件中的技术要求与商务要求逐项作出响应或偏离，并说明原因。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13.2 投标人可在投标文件中提供认为需要的其他技术文件或说明。</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13" w:name="_Toc14577359"/>
      <w:r/>
      <w:bookmarkStart w:id="114" w:name="_Toc49090510"/>
      <w:r>
        <w:rPr>
          <w:rFonts w:hint="eastAsia" w:asciiTheme="minorEastAsia" w:hAnsiTheme="minorEastAsia" w:eastAsiaTheme="minorEastAsia" w:cstheme="minorEastAsia"/>
          <w:b w:val="0"/>
          <w:bCs w:val="0"/>
          <w:sz w:val="21"/>
          <w:szCs w:val="21"/>
          <w:highlight w:val="none"/>
        </w:rPr>
        <w:t xml:space="preserve">14、服务承诺、培训计划、人员安排及其他 </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14.1 投标人需根据招标文件要求提供有关售后服务的管理制度，售后服务机构的分布情况， 售后服务人员的数量、素质、技术水平及售后服务的反应能力等。 </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14.2 投标人需根据招标文件要求提供培训计划。 </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14.3 投标人需根据招标文件要求提供所投标的的主要组成部分、功能设计、实现思路及关 键技术等。</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5</w:t>
      </w:r>
      <w:r>
        <w:rPr>
          <w:rFonts w:hint="eastAsia" w:asciiTheme="minorEastAsia" w:hAnsiTheme="minorEastAsia" w:eastAsiaTheme="minorEastAsia" w:cstheme="minorEastAsia"/>
          <w:b w:val="0"/>
          <w:bCs w:val="0"/>
          <w:sz w:val="21"/>
          <w:szCs w:val="21"/>
          <w:highlight w:val="none"/>
        </w:rPr>
        <w:t xml:space="preserve">、投标函和开标一览表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投标人应按照招标文件中提供的格式完整、正确填写投标函、开标一览表。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对于采用货币报价的项目，</w:t>
      </w:r>
      <w:r>
        <w:rPr>
          <w:rFonts w:hint="eastAsia" w:asciiTheme="minorEastAsia" w:hAnsiTheme="minorEastAsia" w:eastAsiaTheme="minorEastAsia" w:cstheme="minorEastAsia"/>
          <w:bCs/>
          <w:highlight w:val="none"/>
        </w:rPr>
        <w:t xml:space="preserve">开标一览表中的投标总报价应与投标分项报价表中的投标总报价一致，如不一致，</w:t>
      </w:r>
      <w:r>
        <w:rPr>
          <w:rFonts w:hint="eastAsia" w:asciiTheme="minorEastAsia" w:hAnsiTheme="minorEastAsia" w:eastAsiaTheme="minorEastAsia" w:cstheme="minorEastAsia"/>
          <w:highlight w:val="none"/>
        </w:rPr>
        <w:t xml:space="preserve">不作为无效投标处理</w:t>
      </w:r>
      <w:r>
        <w:rPr>
          <w:rFonts w:hint="eastAsia" w:asciiTheme="minorEastAsia" w:hAnsiTheme="minorEastAsia" w:eastAsiaTheme="minorEastAsia" w:cstheme="minorEastAsia"/>
          <w:bCs/>
          <w:highlight w:val="none"/>
        </w:rPr>
        <w:t xml:space="preserve">，但评标时按开标一览表中价格为准</w:t>
      </w:r>
      <w:r>
        <w:rPr>
          <w:rFonts w:hint="eastAsia" w:asciiTheme="minorEastAsia" w:hAnsiTheme="minorEastAsia" w:eastAsiaTheme="minorEastAsia" w:cstheme="minorEastAsia"/>
          <w:b/>
          <w:bCs/>
          <w:highlight w:val="none"/>
        </w:rPr>
        <w:t xml:space="preserve">。</w:t>
      </w:r>
      <w:bookmarkEnd w:id="113"/>
      <w:r/>
      <w:bookmarkEnd w:id="114"/>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15" w:name="_Hlt26670489"/>
      <w:r/>
      <w:bookmarkEnd w:id="115"/>
      <w:r/>
      <w:bookmarkStart w:id="116" w:name="_Hlt26954734"/>
      <w:r/>
      <w:bookmarkEnd w:id="116"/>
      <w:r/>
      <w:bookmarkStart w:id="117" w:name="_Hlt26954850"/>
      <w:r/>
      <w:bookmarkEnd w:id="117"/>
      <w:r/>
      <w:bookmarkStart w:id="118" w:name="_Toc49090511"/>
      <w:r/>
      <w:bookmarkStart w:id="119" w:name="_Toc14577360"/>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6</w:t>
      </w:r>
      <w:r>
        <w:rPr>
          <w:rFonts w:hint="eastAsia" w:asciiTheme="minorEastAsia" w:hAnsiTheme="minorEastAsia" w:eastAsiaTheme="minorEastAsia" w:cstheme="minorEastAsia"/>
          <w:b w:val="0"/>
          <w:bCs w:val="0"/>
          <w:sz w:val="21"/>
          <w:szCs w:val="21"/>
          <w:highlight w:val="none"/>
        </w:rPr>
        <w:t xml:space="preserve">、投标有效期</w:t>
      </w:r>
      <w:bookmarkEnd w:id="118"/>
      <w:r/>
      <w:bookmarkEnd w:id="119"/>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投标有效期为代理机构规定的开标之日后</w:t>
      </w:r>
      <w:r>
        <w:rPr>
          <w:rFonts w:hint="eastAsia" w:asciiTheme="minorEastAsia" w:hAnsiTheme="minorEastAsia" w:eastAsiaTheme="minorEastAsia" w:cstheme="minorEastAsia"/>
          <w:b/>
          <w:highlight w:val="none"/>
          <w:u w:val="single"/>
          <w:lang w:eastAsia="zh-CN"/>
        </w:rPr>
        <w:t xml:space="preserve">六</w:t>
      </w:r>
      <w:r>
        <w:rPr>
          <w:rFonts w:hint="eastAsia" w:asciiTheme="minorEastAsia" w:hAnsiTheme="minorEastAsia" w:eastAsiaTheme="minorEastAsia" w:cstheme="minorEastAsia"/>
          <w:b/>
          <w:highlight w:val="none"/>
          <w:u w:val="single"/>
        </w:rPr>
        <w:t xml:space="preserve">十（</w:t>
      </w:r>
      <w:r>
        <w:rPr>
          <w:rFonts w:hint="eastAsia" w:asciiTheme="minorEastAsia" w:hAnsiTheme="minorEastAsia" w:eastAsiaTheme="minorEastAsia" w:cstheme="minorEastAsia"/>
          <w:b/>
          <w:highlight w:val="none"/>
          <w:u w:val="single"/>
          <w:lang w:val="en-US" w:eastAsia="zh-CN"/>
        </w:rPr>
        <w:t xml:space="preserve">6</w:t>
      </w:r>
      <w:r>
        <w:rPr>
          <w:rFonts w:hint="eastAsia" w:asciiTheme="minorEastAsia" w:hAnsiTheme="minorEastAsia" w:eastAsiaTheme="minorEastAsia" w:cstheme="minorEastAsia"/>
          <w:b/>
          <w:highlight w:val="none"/>
          <w:u w:val="single"/>
        </w:rPr>
        <w:t xml:space="preserve">0）天</w:t>
      </w:r>
      <w:r>
        <w:rPr>
          <w:rFonts w:hint="eastAsia" w:asciiTheme="minorEastAsia" w:hAnsiTheme="minorEastAsia" w:eastAsiaTheme="minorEastAsia" w:cstheme="minorEastAsia"/>
          <w:bCs/>
          <w:highlight w:val="none"/>
        </w:rPr>
        <w:t xml:space="preserve">。投标有效期比规定短的将被视为未实质性响应招标文件而予以拒绝。</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7</w:t>
      </w:r>
      <w:r>
        <w:rPr>
          <w:rFonts w:hint="eastAsia" w:asciiTheme="minorEastAsia" w:hAnsiTheme="minorEastAsia" w:eastAsiaTheme="minorEastAsia" w:cstheme="minorEastAsia"/>
          <w:b w:val="0"/>
          <w:bCs w:val="0"/>
          <w:sz w:val="21"/>
          <w:szCs w:val="21"/>
          <w:highlight w:val="none"/>
        </w:rPr>
        <w:t xml:space="preserve">、投标有效期的延长</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7</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bCs/>
          <w:highlight w:val="none"/>
        </w:rPr>
        <w:t xml:space="preserve">同意延长投标有效期的投标人既不能要求也不允许修改其投标文件</w:t>
      </w:r>
      <w:r>
        <w:rPr>
          <w:rFonts w:hint="eastAsia" w:asciiTheme="minorEastAsia" w:hAnsiTheme="minorEastAsia" w:eastAsiaTheme="minorEastAsia" w:cstheme="minorEastAsia"/>
          <w:highlight w:val="none"/>
        </w:rPr>
        <w:t xml:space="preserve">，同时受投标有效期约束的所有权利与义务均延长至新的有效期</w:t>
      </w:r>
      <w:r>
        <w:rPr>
          <w:rFonts w:hint="eastAsia" w:asciiTheme="minorEastAsia" w:hAnsiTheme="minorEastAsia" w:eastAsiaTheme="minorEastAsia" w:cstheme="minorEastAsia"/>
          <w:bCs/>
          <w:highlight w:val="none"/>
        </w:rPr>
        <w:t xml:space="preserve">。</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20" w:name="_Hlt26954739"/>
      <w:r/>
      <w:bookmarkEnd w:id="120"/>
      <w:r/>
      <w:bookmarkStart w:id="121" w:name="_Hlt26954852"/>
      <w:r/>
      <w:bookmarkEnd w:id="121"/>
      <w:r/>
      <w:bookmarkStart w:id="122" w:name="_Toc513029224"/>
      <w:r/>
      <w:bookmarkStart w:id="123" w:name="_Toc20823296"/>
      <w:r/>
      <w:bookmarkStart w:id="124" w:name="_Toc16938540"/>
      <w:r/>
      <w:bookmarkStart w:id="125" w:name="_Toc120614217"/>
      <w:r>
        <w:rPr>
          <w:rFonts w:hint="eastAsia" w:asciiTheme="minorEastAsia" w:hAnsiTheme="minorEastAsia" w:eastAsiaTheme="minorEastAsia" w:cstheme="minorEastAsia"/>
          <w:sz w:val="21"/>
          <w:szCs w:val="21"/>
          <w:highlight w:val="none"/>
        </w:rPr>
        <w:t xml:space="preserve">四、投标文件的递交</w:t>
      </w:r>
      <w:bookmarkEnd w:id="122"/>
      <w:r/>
      <w:bookmarkEnd w:id="123"/>
      <w:r/>
      <w:bookmarkEnd w:id="124"/>
      <w:r/>
      <w:bookmarkEnd w:id="125"/>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26" w:name="_Toc16938541"/>
      <w:r/>
      <w:bookmarkStart w:id="127" w:name="_Toc462564084"/>
      <w:r/>
      <w:bookmarkStart w:id="128" w:name="_Toc20823297"/>
      <w:r/>
      <w:bookmarkStart w:id="129" w:name="_Toc513029225"/>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8</w:t>
      </w:r>
      <w:r>
        <w:rPr>
          <w:rFonts w:hint="eastAsia" w:asciiTheme="minorEastAsia" w:hAnsiTheme="minorEastAsia" w:eastAsiaTheme="minorEastAsia" w:cstheme="minorEastAsia"/>
          <w:b w:val="0"/>
          <w:bCs w:val="0"/>
          <w:sz w:val="21"/>
          <w:szCs w:val="21"/>
          <w:highlight w:val="none"/>
        </w:rPr>
        <w:t xml:space="preserve">、投标文件</w:t>
      </w:r>
      <w:bookmarkEnd w:id="126"/>
      <w:r/>
      <w:bookmarkEnd w:id="127"/>
      <w:r/>
      <w:bookmarkEnd w:id="128"/>
      <w:r/>
      <w:bookmarkEnd w:id="129"/>
      <w:r>
        <w:rPr>
          <w:rFonts w:hint="eastAsia" w:asciiTheme="minorEastAsia" w:hAnsiTheme="minorEastAsia" w:eastAsiaTheme="minorEastAsia" w:cstheme="minorEastAsia"/>
          <w:b w:val="0"/>
          <w:bCs w:val="0"/>
          <w:sz w:val="21"/>
          <w:szCs w:val="21"/>
          <w:highlight w:val="none"/>
        </w:rPr>
        <w:t xml:space="preserve">的递交</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.1 电子投标文件的递交</w:t>
      </w:r>
      <w:r/>
    </w:p>
    <w:p>
      <w:pPr>
        <w:pStyle w:val="1174"/>
        <w:ind w:left="525"/>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投标人应当按照《操作手册》规定，在投标截止时间前制作并上传电子投标文件。</w:t>
      </w:r>
      <w:bookmarkStart w:id="130" w:name="_Toc513029226"/>
      <w:r/>
      <w:bookmarkStart w:id="131" w:name="_Toc16938542"/>
      <w:r/>
      <w:bookmarkStart w:id="132" w:name="_Toc20823298"/>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9</w:t>
      </w:r>
      <w:r>
        <w:rPr>
          <w:rFonts w:hint="eastAsia" w:asciiTheme="minorEastAsia" w:hAnsiTheme="minorEastAsia" w:eastAsiaTheme="minorEastAsia" w:cstheme="minorEastAsia"/>
          <w:b w:val="0"/>
          <w:bCs w:val="0"/>
          <w:sz w:val="21"/>
          <w:szCs w:val="21"/>
          <w:highlight w:val="none"/>
        </w:rPr>
        <w:t xml:space="preserve">、投标截止</w:t>
      </w:r>
      <w:bookmarkEnd w:id="130"/>
      <w:r/>
      <w:bookmarkEnd w:id="131"/>
      <w:r/>
      <w:bookmarkEnd w:id="132"/>
      <w:r>
        <w:rPr>
          <w:rFonts w:hint="eastAsia" w:asciiTheme="minorEastAsia" w:hAnsiTheme="minorEastAsia" w:eastAsiaTheme="minorEastAsia" w:cstheme="minorEastAsia"/>
          <w:b w:val="0"/>
          <w:bCs w:val="0"/>
          <w:sz w:val="21"/>
          <w:szCs w:val="21"/>
          <w:highlight w:val="none"/>
        </w:rPr>
        <w:t xml:space="preserve">时间</w:t>
      </w:r>
      <w:r/>
    </w:p>
    <w:p>
      <w:pPr>
        <w:ind w:firstLine="422"/>
        <w:spacing w:line="360" w:lineRule="auto"/>
        <w:shd w:val="clear" w:color="auto"/>
        <w:rPr>
          <w:rFonts w:hint="eastAsia" w:asciiTheme="minorEastAsia" w:hAnsiTheme="minorEastAsia" w:eastAsiaTheme="minorEastAsia" w:cstheme="minorEastAsia"/>
          <w:bCs/>
          <w:i/>
          <w:highlight w:val="none"/>
          <w:u w:val="single"/>
        </w:rPr>
      </w:pPr>
      <w:r>
        <w:rPr>
          <w:rFonts w:hint="eastAsia" w:asciiTheme="minorEastAsia" w:hAnsiTheme="minorEastAsia" w:eastAsiaTheme="minorEastAsia" w:cstheme="minorEastAsia"/>
          <w:i/>
          <w:highlight w:val="none"/>
          <w:u w:val="single"/>
        </w:rPr>
        <w:t xml:space="preserve">1</w:t>
      </w:r>
      <w:r>
        <w:rPr>
          <w:rFonts w:hint="eastAsia" w:asciiTheme="minorEastAsia" w:hAnsiTheme="minorEastAsia" w:eastAsiaTheme="minorEastAsia" w:cstheme="minorEastAsia"/>
          <w:i/>
          <w:highlight w:val="none"/>
          <w:u w:val="single"/>
          <w:lang w:val="en-US" w:eastAsia="zh-CN"/>
        </w:rPr>
        <w:t xml:space="preserve">9</w:t>
      </w:r>
      <w:r>
        <w:rPr>
          <w:rFonts w:hint="eastAsia" w:asciiTheme="minorEastAsia" w:hAnsiTheme="minorEastAsia" w:eastAsiaTheme="minorEastAsia" w:cstheme="minorEastAsia"/>
          <w:i/>
          <w:highlight w:val="none"/>
          <w:u w:val="single"/>
        </w:rPr>
        <w:t xml:space="preserve">.1</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bCs/>
          <w:i/>
          <w:highlight w:val="none"/>
          <w:u w:val="single"/>
        </w:rPr>
        <w:t xml:space="preserve">投标人上传电子投标文件的时间不得迟于招标公告中规定的投标截止时间。</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投标人应充分考虑到网络环境、网络带宽等风险因素，如因投标人自身原因造成的电子投标文件上传不成功的按照本招标文件第二章第2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.1.2条规定做无效投标处理。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 </w:t>
      </w:r>
      <w:r>
        <w:rPr>
          <w:rFonts w:hint="eastAsia" w:asciiTheme="minorEastAsia" w:hAnsiTheme="minorEastAsia" w:eastAsiaTheme="minorEastAsia" w:cstheme="minorEastAsia"/>
          <w:bCs/>
          <w:highlight w:val="none"/>
        </w:rPr>
        <w:t xml:space="preserve">代理机构可以按照规定，通过修改招标文件酌情延长投标截止时间，在此情况下，投标人的所有权利和义务以及投标人受制的截止时间均应以延长后新的截止时间为准。</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33" w:name="_Toc20823299"/>
      <w:r/>
      <w:bookmarkStart w:id="134" w:name="_Toc513029227"/>
      <w:r/>
      <w:bookmarkStart w:id="135" w:name="_Toc16938543"/>
      <w:r>
        <w:rPr>
          <w:rFonts w:hint="eastAsia" w:asciiTheme="minorEastAsia" w:hAnsiTheme="minorEastAsia" w:eastAsiaTheme="minorEastAsia" w:cstheme="minorEastAsia"/>
          <w:b w:val="0"/>
          <w:bCs w:val="0"/>
          <w:sz w:val="21"/>
          <w:szCs w:val="21"/>
          <w:highlight w:val="none"/>
          <w:lang w:val="en-US" w:eastAsia="zh-CN"/>
        </w:rPr>
        <w:t xml:space="preserve">20</w:t>
      </w:r>
      <w:r>
        <w:rPr>
          <w:rFonts w:hint="eastAsia" w:asciiTheme="minorEastAsia" w:hAnsiTheme="minorEastAsia" w:eastAsiaTheme="minorEastAsia" w:cstheme="minorEastAsia"/>
          <w:b w:val="0"/>
          <w:bCs w:val="0"/>
          <w:sz w:val="21"/>
          <w:szCs w:val="21"/>
          <w:highlight w:val="none"/>
        </w:rPr>
        <w:t xml:space="preserve">、投标文件</w:t>
      </w:r>
      <w:bookmarkEnd w:id="133"/>
      <w:r/>
      <w:bookmarkEnd w:id="134"/>
      <w:r/>
      <w:bookmarkEnd w:id="135"/>
      <w:r>
        <w:rPr>
          <w:rFonts w:hint="eastAsia" w:asciiTheme="minorEastAsia" w:hAnsiTheme="minorEastAsia" w:eastAsiaTheme="minorEastAsia" w:cstheme="minorEastAsia"/>
          <w:b w:val="0"/>
          <w:bCs w:val="0"/>
          <w:sz w:val="21"/>
          <w:szCs w:val="21"/>
          <w:highlight w:val="none"/>
        </w:rPr>
        <w:t xml:space="preserve">的拒收</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lang w:val="en-US" w:eastAsia="zh-CN"/>
        </w:rPr>
        <w:t xml:space="preserve">20</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代理机构拒绝接收在其规定的投标截止时间后上传的任何投标文件。</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36" w:name="_Toc20823300"/>
      <w:r/>
      <w:bookmarkStart w:id="137" w:name="_Toc513029228"/>
      <w:r/>
      <w:bookmarkStart w:id="138" w:name="_Toc16938544"/>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1</w:t>
      </w:r>
      <w:r>
        <w:rPr>
          <w:rFonts w:hint="eastAsia" w:asciiTheme="minorEastAsia" w:hAnsiTheme="minorEastAsia" w:eastAsiaTheme="minorEastAsia" w:cstheme="minorEastAsia"/>
          <w:b w:val="0"/>
          <w:bCs w:val="0"/>
          <w:sz w:val="21"/>
          <w:szCs w:val="21"/>
          <w:highlight w:val="none"/>
        </w:rPr>
        <w:t xml:space="preserve">、投标文件的撤回和修改</w:t>
      </w:r>
      <w:bookmarkEnd w:id="136"/>
      <w:r/>
      <w:bookmarkEnd w:id="137"/>
      <w:r/>
      <w:bookmarkEnd w:id="138"/>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.1 投标文件的撤回</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21.1.1 电子投标文件的撤回</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投标人可在投标截止时间前，撤回其电子投标文件，具体操作方法见《操作手册》。</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21.1.2 投标人撤回电子投标文件，则认为其不再参与本项目投标活动。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 投标文件的修改</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.2.1 投标人可在投标截止时间前，对其电子投标文件进行修改，具体操作方法见《操作手册》。</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.2.2</w:t>
      </w:r>
      <w:r>
        <w:rPr>
          <w:rFonts w:hint="eastAsia" w:asciiTheme="minorEastAsia" w:hAnsiTheme="minorEastAsia" w:eastAsiaTheme="minorEastAsia" w:cstheme="minorEastAsia"/>
          <w:bCs/>
          <w:highlight w:val="none"/>
        </w:rPr>
        <w:t xml:space="preserve"> 在投标截止时间之后，投标人不得对其电子投标文件作任何修改。</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bCs/>
          <w:highlight w:val="none"/>
        </w:rPr>
        <w:t xml:space="preserve"> 在投标截止时间至招标文件中规定的投标有效期满之间的这段时间内，投标人不得撤回其投标。</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39" w:name="_Toc20823301"/>
      <w:r/>
      <w:bookmarkStart w:id="140" w:name="_Toc16938545"/>
      <w:r/>
      <w:bookmarkStart w:id="141" w:name="_Toc120614218"/>
      <w:r/>
      <w:bookmarkStart w:id="142" w:name="_Toc513029229"/>
      <w:r>
        <w:rPr>
          <w:rFonts w:hint="eastAsia" w:asciiTheme="minorEastAsia" w:hAnsiTheme="minorEastAsia" w:eastAsiaTheme="minorEastAsia" w:cstheme="minorEastAsia"/>
          <w:sz w:val="21"/>
          <w:szCs w:val="21"/>
          <w:highlight w:val="none"/>
        </w:rPr>
        <w:t xml:space="preserve">五、开标与评标</w:t>
      </w:r>
      <w:bookmarkEnd w:id="139"/>
      <w:r/>
      <w:bookmarkEnd w:id="140"/>
      <w:r/>
      <w:bookmarkEnd w:id="141"/>
      <w:r/>
      <w:bookmarkEnd w:id="142"/>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43" w:name="_Toc16938546"/>
      <w:r/>
      <w:bookmarkStart w:id="144" w:name="_Toc20823302"/>
      <w:r/>
      <w:bookmarkStart w:id="145" w:name="_Toc513029230"/>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2</w:t>
      </w:r>
      <w:r>
        <w:rPr>
          <w:rFonts w:hint="eastAsia" w:asciiTheme="minorEastAsia" w:hAnsiTheme="minorEastAsia" w:eastAsiaTheme="minorEastAsia" w:cstheme="minorEastAsia"/>
          <w:b w:val="0"/>
          <w:bCs w:val="0"/>
          <w:sz w:val="21"/>
          <w:szCs w:val="21"/>
          <w:highlight w:val="none"/>
        </w:rPr>
        <w:t xml:space="preserve">、开标</w:t>
      </w:r>
      <w:bookmarkEnd w:id="143"/>
      <w:r/>
      <w:bookmarkEnd w:id="144"/>
      <w:r/>
      <w:bookmarkEnd w:id="145"/>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代理机构将在招标公告中规定的时间和地点组织公开开标。投标人应当按照《操作手册》规定，参加开标活动和在苏采云系统规定的时间内对投标文件进行解密。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开标仪式由代理机构组织。苏采云系统将自动对项目进行开标，并宣布各投标人名称和投标价格。</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投标人在开标过程中涉及到的投标文件解密、开标结果确认等工作，应按照《操作手册》规定执行。</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.4</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投标人如果对开标过程和开标记录有疑义，应当根据《操作手册》规定提出，如苏采云系统中《开标记录表》宣布后5分钟内未提出的，视同认可开标结果。</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46" w:name="_Toc20823303"/>
      <w:r/>
      <w:bookmarkStart w:id="147" w:name="_Toc513029231"/>
      <w:r/>
      <w:bookmarkStart w:id="148" w:name="_Toc16938547"/>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3</w:t>
      </w:r>
      <w:r>
        <w:rPr>
          <w:rFonts w:hint="eastAsia" w:asciiTheme="minorEastAsia" w:hAnsiTheme="minorEastAsia" w:eastAsiaTheme="minorEastAsia" w:cstheme="minorEastAsia"/>
          <w:b w:val="0"/>
          <w:bCs w:val="0"/>
          <w:sz w:val="21"/>
          <w:szCs w:val="21"/>
          <w:highlight w:val="none"/>
        </w:rPr>
        <w:t xml:space="preserve">、评标委员会</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rPr>
        <w:t xml:space="preserve">.1 开标后，代理机构将立即组织评标委员会（以下简称评委会）进行评标。</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评委会由采购人代表和有关技术、经济等方面的专家组成，且人员构成符合政府采购有关规定。</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评委会独立工作，负责评审所有投标文件并确定中标候选人。</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4</w:t>
      </w:r>
      <w:r>
        <w:rPr>
          <w:rFonts w:hint="eastAsia" w:asciiTheme="minorEastAsia" w:hAnsiTheme="minorEastAsia" w:eastAsiaTheme="minorEastAsia" w:cstheme="minorEastAsia"/>
          <w:b w:val="0"/>
          <w:bCs w:val="0"/>
          <w:sz w:val="21"/>
          <w:szCs w:val="21"/>
          <w:highlight w:val="none"/>
        </w:rPr>
        <w:t xml:space="preserve">、评标过程的保密与公正</w:t>
      </w:r>
      <w:bookmarkEnd w:id="146"/>
      <w:r/>
      <w:bookmarkEnd w:id="147"/>
      <w:r/>
      <w:bookmarkEnd w:id="148"/>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凡是与审查、澄清、评价和比较投标的有关资料以及授标建议等，采购人、评委、代理机构均不得向投标人或与评标无关的其他人员透露。</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在评标过程中，投标人不得以任何行为影响评标过程，否则其投标文件将被作为无效投标文件。</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代理机构和评标委员会不向未中标的投标人解释未中标原因，也不公布评标过程中的相关细节。</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.4</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采用综合评分法的项目，未中标的投标人可于中标结果公告期限届满之日起通过苏采云系统查看自己的评审得分及排序情况。</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49" w:name="_Toc20823304"/>
      <w:r/>
      <w:bookmarkStart w:id="150" w:name="_Toc16938548"/>
      <w:r/>
      <w:bookmarkStart w:id="151" w:name="_Toc513029232"/>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5</w:t>
      </w:r>
      <w:r>
        <w:rPr>
          <w:rFonts w:hint="eastAsia" w:asciiTheme="minorEastAsia" w:hAnsiTheme="minorEastAsia" w:eastAsiaTheme="minorEastAsia" w:cstheme="minorEastAsia"/>
          <w:b w:val="0"/>
          <w:bCs w:val="0"/>
          <w:sz w:val="21"/>
          <w:szCs w:val="21"/>
          <w:highlight w:val="none"/>
        </w:rPr>
        <w:t xml:space="preserve">、投标文件的澄清</w:t>
      </w:r>
      <w:bookmarkEnd w:id="149"/>
      <w:r/>
      <w:bookmarkEnd w:id="150"/>
      <w:r/>
      <w:bookmarkEnd w:id="151"/>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5</w:t>
      </w:r>
      <w:r>
        <w:rPr>
          <w:rFonts w:hint="eastAsia" w:asciiTheme="minorEastAsia" w:hAnsiTheme="minorEastAsia" w:eastAsiaTheme="minorEastAsia" w:cstheme="minorEastAsia"/>
          <w:highlight w:val="none"/>
        </w:rPr>
        <w:t xml:space="preserve">.1 评标期间，评委会对投标文件中含义不明确、同类问题表述不一致或者有明显文字和计算错误的内容，有权要求投标人作出必要的澄清、说明或者补正。</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投标人的澄清、说明或者补正不得超出投标文件的范围或者改变投标文件的实质性内容。</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评标委员会并非对每个投标人都做澄清要求。</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接到评委会澄清、说明和补正要求的投标人如未按规定做出澄清、说明和补正，其风险由投标人自行承担。</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52" w:name="_Toc16938549"/>
      <w:r/>
      <w:bookmarkStart w:id="153" w:name="_Toc513029233"/>
      <w:r/>
      <w:bookmarkStart w:id="154" w:name="_Toc20823305"/>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6</w:t>
      </w:r>
      <w:r>
        <w:rPr>
          <w:rFonts w:hint="eastAsia" w:asciiTheme="minorEastAsia" w:hAnsiTheme="minorEastAsia" w:eastAsiaTheme="minorEastAsia" w:cstheme="minorEastAsia"/>
          <w:b w:val="0"/>
          <w:bCs w:val="0"/>
          <w:sz w:val="21"/>
          <w:szCs w:val="21"/>
          <w:highlight w:val="none"/>
        </w:rPr>
        <w:t xml:space="preserve">、对投标文件的初审</w:t>
      </w:r>
      <w:bookmarkEnd w:id="152"/>
      <w:r/>
      <w:bookmarkEnd w:id="153"/>
      <w:r/>
      <w:bookmarkEnd w:id="154"/>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投标文件初审分为资格审查和符合性审查。</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.1.1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资格审查：依据法律法规和招标文件的规定，由采购人对投标文件中的资格证明文件进行审查。资格审查的结论，采购人以书面形式向评委会进行反馈。</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采购人在进行资格性审查的同时，将在“信用中国”网站（www.creditchina.gov.cn）查询投标人的信用记录，以确定投标人是否具备投标资格,查询结果留存并归档。</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.1.2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符合性审查：依据招标文件的规定，由评委会从投标文件的有效性、完整性和对招标文件的响应程度进行审查，以确定是否对招标文件的实质性要求作出响应。</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.1.3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未通过资格审查或符合性审查的投标人，代理机构将在</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中告知未通过资格审查或符合性审查的原因，评标结束后，代理机构将不再告知未通过资格审查和符合性审查的原因。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.3 如果投标文件实质上没有响应招标文件的要求，评委会将予以拒绝，投标人不得通过修改或撤销不合要求的偏离或保留而使其投标成为实质性响应的投标。</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.4 </w:t>
      </w:r>
      <w:r>
        <w:rPr>
          <w:rFonts w:hint="eastAsia" w:asciiTheme="minorEastAsia" w:hAnsiTheme="minorEastAsia" w:eastAsiaTheme="minorEastAsia" w:cstheme="minorEastAsia"/>
          <w:bCs/>
          <w:highlight w:val="none"/>
        </w:rPr>
        <w:t xml:space="preserve">评委会将对确定为实质性响应的投标进行进一步审核，确定其是否有计算上或累加上的算术错误，修正错误的原则如下：</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（1）投标文件中开标一览表内容与投标文件中相应内容不一致的，以开标一览表为准。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（2）大写金额和小写金额不一致的，以大写金额为准。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（3）单价金额小数点或者百分比有明显错位的，以开标一览表的总价为准，并修改单价。</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（4）总价金额与按单价汇总金额不一致的，以单价金额计算结果为准。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同时出现两种以上错误的，按照前款规定的顺序修正。</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.5 </w:t>
      </w:r>
      <w:r>
        <w:rPr>
          <w:rFonts w:hint="eastAsia" w:asciiTheme="minorEastAsia" w:hAnsiTheme="minorEastAsia" w:eastAsiaTheme="minorEastAsia" w:cstheme="minorEastAsia"/>
          <w:bCs/>
          <w:highlight w:val="none"/>
        </w:rPr>
        <w:t xml:space="preserve">评委会将按上述修正错误的方法调整投标文件中的投标报价，并通过</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告知投标人，调整后的价格应对投标人具有约束力。如果投标人不接受修正后的价格，则其投标将被拒绝。</w:t>
      </w:r>
      <w:r/>
    </w:p>
    <w:p>
      <w:pPr>
        <w:ind w:firstLine="422"/>
        <w:spacing w:line="360" w:lineRule="auto"/>
        <w:shd w:val="clear" w:color="auto"/>
        <w:rPr>
          <w:rFonts w:hint="eastAsia" w:asciiTheme="minorEastAsia" w:hAnsiTheme="minorEastAsia" w:eastAsiaTheme="minorEastAsia" w:cstheme="minorEastAsia"/>
          <w:highlight w:val="none"/>
        </w:rPr>
      </w:pPr>
      <w:r/>
      <w:bookmarkStart w:id="155" w:name="_Toc513029234"/>
      <w:r/>
      <w:bookmarkStart w:id="156" w:name="_Toc20823306"/>
      <w:r/>
      <w:bookmarkStart w:id="157" w:name="_Toc16938550"/>
      <w:r>
        <w:rPr>
          <w:rFonts w:hint="eastAsia" w:asciiTheme="minorEastAsia" w:hAnsiTheme="minorEastAsia" w:eastAsiaTheme="minorEastAsia" w:cstheme="minorEastAsia"/>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非单一产品采购项目，招标文件中将载明其中的核心产品。多家投标人提供的核心产品品牌相同的，按前两款规定处理。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val="en-US" w:eastAsia="zh-CN"/>
        </w:rPr>
        <w:t xml:space="preserve">7</w:t>
      </w:r>
      <w:r>
        <w:rPr>
          <w:rFonts w:hint="eastAsia" w:asciiTheme="minorEastAsia" w:hAnsiTheme="minorEastAsia" w:eastAsiaTheme="minorEastAsia" w:cstheme="minorEastAsia"/>
          <w:highlight w:val="none"/>
        </w:rPr>
        <w:t xml:space="preserve"> 投标人在开、评标全过程中应保持通讯畅通，及时登录苏采云系统查阅、答复相关信息，并安排专人与代理机构及评标委员会联系。</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7</w:t>
      </w:r>
      <w:r>
        <w:rPr>
          <w:rFonts w:hint="eastAsia" w:asciiTheme="minorEastAsia" w:hAnsiTheme="minorEastAsia" w:eastAsiaTheme="minorEastAsia" w:cstheme="minorEastAsia"/>
          <w:b w:val="0"/>
          <w:bCs w:val="0"/>
          <w:sz w:val="21"/>
          <w:szCs w:val="21"/>
          <w:highlight w:val="none"/>
        </w:rPr>
        <w:t xml:space="preserve">、</w:t>
      </w:r>
      <w:bookmarkEnd w:id="155"/>
      <w:r/>
      <w:bookmarkEnd w:id="156"/>
      <w:r/>
      <w:bookmarkEnd w:id="157"/>
      <w:r>
        <w:rPr>
          <w:rFonts w:hint="eastAsia" w:asciiTheme="minorEastAsia" w:hAnsiTheme="minorEastAsia" w:eastAsiaTheme="minorEastAsia" w:cstheme="minorEastAsia"/>
          <w:b w:val="0"/>
          <w:bCs w:val="0"/>
          <w:sz w:val="21"/>
          <w:szCs w:val="21"/>
          <w:highlight w:val="none"/>
        </w:rPr>
        <w:t xml:space="preserve">无效投标条款和废标条款</w:t>
      </w:r>
      <w:r/>
    </w:p>
    <w:p>
      <w:pPr>
        <w:ind w:left="420"/>
        <w:spacing w:line="360" w:lineRule="auto"/>
        <w:shd w:val="clear" w:color="auto"/>
        <w:rPr>
          <w:rFonts w:hint="eastAsia" w:asciiTheme="minorEastAsia" w:hAnsiTheme="minorEastAsia" w:eastAsiaTheme="minorEastAsia" w:cstheme="minorEastAsia"/>
          <w:bCs/>
          <w:highlight w:val="none"/>
        </w:rPr>
      </w:pPr>
      <w:r/>
      <w:bookmarkStart w:id="158" w:name="_Toc513029235"/>
      <w:r/>
      <w:bookmarkStart w:id="159" w:name="_Toc16938551"/>
      <w:r/>
      <w:bookmarkStart w:id="160" w:name="_Toc20823307"/>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无效投标条款</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 投标人在</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规定的时间内未成功解密电子投标文件的。</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.1.2 投标人未按照招标文件要求上传电子投标文件的。</w:t>
      </w:r>
      <w:r/>
    </w:p>
    <w:p>
      <w:pPr>
        <w:ind w:left="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同一投标人提交两个（含两个）以上不同的投标报价的。</w:t>
      </w:r>
      <w:r/>
    </w:p>
    <w:p>
      <w:pPr>
        <w:ind w:left="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.1.4</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投标人不具备招标文件中规定资格要求的。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.1.5</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投标人的报价超过了</w:t>
      </w:r>
      <w:r>
        <w:rPr>
          <w:rFonts w:hint="eastAsia" w:asciiTheme="minorEastAsia" w:hAnsiTheme="minorEastAsia" w:eastAsiaTheme="minorEastAsia" w:cstheme="minorEastAsia"/>
          <w:bCs/>
          <w:szCs w:val="21"/>
          <w:highlight w:val="none"/>
        </w:rPr>
        <w:t xml:space="preserve">采购预算或最高限价的</w:t>
      </w:r>
      <w:r>
        <w:rPr>
          <w:rFonts w:hint="eastAsia" w:asciiTheme="minorEastAsia" w:hAnsiTheme="minorEastAsia" w:eastAsiaTheme="minorEastAsia" w:cstheme="minorEastAsia"/>
          <w:bCs/>
          <w:highlight w:val="none"/>
        </w:rPr>
        <w:t xml:space="preserve">。</w:t>
      </w:r>
      <w:r/>
    </w:p>
    <w:p>
      <w:pPr>
        <w:ind w:firstLine="422"/>
        <w:spacing w:line="360" w:lineRule="auto"/>
        <w:shd w:val="clear" w:color="auto"/>
        <w:rPr>
          <w:rFonts w:hint="eastAsia" w:asciiTheme="minorEastAsia" w:hAnsiTheme="minorEastAsia" w:eastAsiaTheme="minorEastAsia" w:cstheme="minorEastAsia"/>
          <w:bCs/>
          <w:i/>
          <w:highlight w:val="none"/>
          <w:u w:val="singl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.1.6</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未通过符合性审查的。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.1.7</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不符合招标文件中规定的实质性要求和条件的（</w:t>
      </w:r>
      <w:r>
        <w:rPr>
          <w:rFonts w:hint="eastAsia" w:asciiTheme="minorEastAsia" w:hAnsiTheme="minorEastAsia" w:eastAsiaTheme="minorEastAsia" w:cstheme="minorEastAsia"/>
          <w:bCs/>
          <w:i/>
          <w:highlight w:val="none"/>
          <w:u w:val="single"/>
        </w:rPr>
        <w:t xml:space="preserve">本招标文件中斜体且有下划线部分为实质性要求和条件</w:t>
      </w:r>
      <w:r>
        <w:rPr>
          <w:rFonts w:hint="eastAsia" w:asciiTheme="minorEastAsia" w:hAnsiTheme="minorEastAsia" w:eastAsiaTheme="minorEastAsia" w:cstheme="minorEastAsia"/>
          <w:bCs/>
          <w:highlight w:val="none"/>
        </w:rPr>
        <w:t xml:space="preserve">）。</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.1.9 投标文件含有采购人不能接受的附加条件的。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.1.10异常低价投标：</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color w:val="000000"/>
          <w:sz w:val="21"/>
          <w:szCs w:val="21"/>
          <w:highlight w:val="none"/>
        </w:rPr>
        <w:t xml:space="preserve">（一）评审过程中出现下列情形之一的，评审委员会应当启动异常低价投标（响应）审查程序：</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投标（响应）报价低于全部通过符合性审查供应商投标（响应）报价平均值50%的，即投标（响应）报价&lt;全部通过符合性审查供应商投标（响应）报价平均值×50%；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投标（响应）报价低于通过符合性审查的次低报价供应商投标（响应）报价50%的，即投标（响应）报价&lt;通过符合性审查的次低报价供应商投标（响应）报价×50%；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投标（响应）报价低于采购项目最高限价45%的，即投标（响应）报价&lt;采购项目最高限价×45%；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评审委员会基于专业判断，认为供应商报价过低，有可能影响产品质量或者不能诚信履约的其他情形。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相关法律法规对供应商报价有规定的，从其规定。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.1.11 投标文件未按照招标文件要求加盖CA电子公章的。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.1.12 其他法律、法规及本招标文件规定的属无效投标的情形。</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 废标条款</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.2.1 符合专业条件的供应商或者对招标文件作实质响应的供应商不足三家的。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.2.2 出现影响采购公正的违法、违规行为的。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.2.3 因重大变故，采购任务取消的。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.2.4 评标委员会认定招标文件存在歧义、重大缺陷导致评审工作无法进行。</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.2.5 因</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系统故障原因造成开标不成功的。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.3 投标截止时间结束后参加投标的供应商不足三家的处理：</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.3.1 如出现投标截止时间结束后参加投标的供应商或者在评标期间对招标文件做出实质响应的供应商不足三家情况，按政府采购相关规定执行。</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61" w:name="_Toc120614219"/>
      <w:r>
        <w:rPr>
          <w:rFonts w:hint="eastAsia" w:asciiTheme="minorEastAsia" w:hAnsiTheme="minorEastAsia" w:eastAsiaTheme="minorEastAsia" w:cstheme="minorEastAsia"/>
          <w:sz w:val="21"/>
          <w:szCs w:val="21"/>
          <w:highlight w:val="none"/>
        </w:rPr>
        <w:t xml:space="preserve">六、</w:t>
      </w:r>
      <w:bookmarkEnd w:id="158"/>
      <w:r/>
      <w:bookmarkEnd w:id="159"/>
      <w:r/>
      <w:bookmarkEnd w:id="160"/>
      <w:r>
        <w:rPr>
          <w:rFonts w:hint="eastAsia" w:asciiTheme="minorEastAsia" w:hAnsiTheme="minorEastAsia" w:eastAsiaTheme="minorEastAsia" w:cstheme="minorEastAsia"/>
          <w:sz w:val="21"/>
          <w:szCs w:val="21"/>
          <w:highlight w:val="none"/>
        </w:rPr>
        <w:t xml:space="preserve">定标</w:t>
      </w:r>
      <w:bookmarkEnd w:id="161"/>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62" w:name="_Toc513029238"/>
      <w:r/>
      <w:bookmarkStart w:id="163" w:name="_Toc16938554"/>
      <w:r/>
      <w:bookmarkStart w:id="164" w:name="_Toc20823310"/>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8</w:t>
      </w:r>
      <w:r>
        <w:rPr>
          <w:rFonts w:hint="eastAsia" w:asciiTheme="minorEastAsia" w:hAnsiTheme="minorEastAsia" w:eastAsiaTheme="minorEastAsia" w:cstheme="minorEastAsia"/>
          <w:b w:val="0"/>
          <w:bCs w:val="0"/>
          <w:sz w:val="21"/>
          <w:szCs w:val="21"/>
          <w:highlight w:val="none"/>
        </w:rPr>
        <w:t xml:space="preserve">、</w:t>
      </w:r>
      <w:bookmarkEnd w:id="162"/>
      <w:r>
        <w:rPr>
          <w:rFonts w:hint="eastAsia" w:asciiTheme="minorEastAsia" w:hAnsiTheme="minorEastAsia" w:eastAsiaTheme="minorEastAsia" w:cstheme="minorEastAsia"/>
          <w:b w:val="0"/>
          <w:bCs w:val="0"/>
          <w:sz w:val="21"/>
          <w:szCs w:val="21"/>
          <w:highlight w:val="none"/>
        </w:rPr>
        <w:t xml:space="preserve">确定</w:t>
      </w:r>
      <w:bookmarkEnd w:id="163"/>
      <w:r/>
      <w:bookmarkEnd w:id="164"/>
      <w:r>
        <w:rPr>
          <w:rFonts w:hint="eastAsia" w:asciiTheme="minorEastAsia" w:hAnsiTheme="minorEastAsia" w:eastAsiaTheme="minorEastAsia" w:cstheme="minorEastAsia"/>
          <w:b w:val="0"/>
          <w:bCs w:val="0"/>
          <w:sz w:val="21"/>
          <w:szCs w:val="21"/>
          <w:highlight w:val="none"/>
        </w:rPr>
        <w:t xml:space="preserve">中标单位</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8</w:t>
      </w:r>
      <w:r>
        <w:rPr>
          <w:rFonts w:hint="eastAsia" w:asciiTheme="minorEastAsia" w:hAnsiTheme="minorEastAsia" w:eastAsiaTheme="minorEastAsia" w:cstheme="minorEastAsia"/>
          <w:bCs/>
          <w:highlight w:val="none"/>
        </w:rPr>
        <w:t xml:space="preserve">.1 中标候选人的选取原则和数量见招标文件第五章规定。</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8</w:t>
      </w:r>
      <w:r>
        <w:rPr>
          <w:rFonts w:hint="eastAsia" w:asciiTheme="minorEastAsia" w:hAnsiTheme="minorEastAsia" w:eastAsiaTheme="minorEastAsia" w:cstheme="minorEastAsia"/>
          <w:bCs/>
          <w:highlight w:val="none"/>
        </w:rPr>
        <w:t xml:space="preserve">.2 采购人应根据评委会推荐的中标候选人确定中标人。</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8</w:t>
      </w:r>
      <w:r>
        <w:rPr>
          <w:rFonts w:hint="eastAsia" w:asciiTheme="minorEastAsia" w:hAnsiTheme="minorEastAsia" w:eastAsiaTheme="minorEastAsia" w:cstheme="minorEastAsia"/>
          <w:bCs/>
          <w:highlight w:val="none"/>
        </w:rPr>
        <w:t xml:space="preserve">.3 代理机构将在“扬州市政府采购网”、“江苏政府采购网”、</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szCs w:val="24"/>
          <w:highlight w:val="none"/>
        </w:rPr>
        <w:t xml:space="preserve">中国政府采购网”</w:t>
      </w:r>
      <w:r>
        <w:rPr>
          <w:rFonts w:hint="eastAsia" w:asciiTheme="minorEastAsia" w:hAnsiTheme="minorEastAsia" w:eastAsiaTheme="minorEastAsia" w:cstheme="minorEastAsia"/>
          <w:bCs/>
          <w:highlight w:val="none"/>
        </w:rPr>
        <w:t xml:space="preserve">发布中标公告，公告期限为1个工作日。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若有充分证据证明，中标人出现下列情况之一的，一经查实，将被取消中标资格：</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提供虚假材料谋取中标的。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向采购人、代理机构行贿或者提供其他不正当利益的。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.4.3</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属于本文件规定的无效条件，但在评标过程中又未被评委会发现的。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与采购人或者其他供应商恶意串通的。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.4.5</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采取不正当手段诋毁、排挤其他供应商的。</w:t>
      </w:r>
      <w:r/>
    </w:p>
    <w:p>
      <w:pPr>
        <w:ind w:firstLine="422"/>
        <w:spacing w:line="360" w:lineRule="auto"/>
        <w:shd w:val="clear" w:color="auto"/>
        <w:rPr>
          <w:rFonts w:hint="eastAsia" w:asciiTheme="minorEastAsia" w:hAnsiTheme="minorEastAsia" w:eastAsiaTheme="minorEastAsia" w:cstheme="minorEastAsia"/>
          <w:highlight w:val="none"/>
        </w:rPr>
      </w:pPr>
      <w:r/>
      <w:bookmarkStart w:id="165" w:name="_Toc200451960"/>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 有下列情形之一的，视为投标人串通投标，投标无效：</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不同投标人的投标文件由同一单位或者个人编制。</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不同投标人委托同一单位或者个人办理投标事宜。</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.5.3 不同投标人的投标文件载明的项目管理成员或者联系人员为同一人。</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不同投标人的投标文件异常一致或者投标报价呈规律性差异。</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9</w:t>
      </w:r>
      <w:r>
        <w:rPr>
          <w:rFonts w:hint="eastAsia" w:asciiTheme="minorEastAsia" w:hAnsiTheme="minorEastAsia" w:eastAsiaTheme="minorEastAsia" w:cstheme="minorEastAsia"/>
          <w:b w:val="0"/>
          <w:bCs w:val="0"/>
          <w:sz w:val="21"/>
          <w:szCs w:val="21"/>
          <w:highlight w:val="none"/>
        </w:rPr>
        <w:t xml:space="preserve">、质疑处理</w:t>
      </w:r>
      <w:bookmarkEnd w:id="165"/>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提出质疑的供应商应当是参与所质疑项目采购活动的供应商。潜在供应商依法获取其可质疑的采购文件的，可以对采购文件提出质疑。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供应商认为采购文件、采购过程和采购结果使自己的权益受到损害的，可以在知道或应知其权益受到损害之日起七个工作日内，以书面形式根据下述2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.4条款的规定向代理机构或采购人提出质疑。上述应知其权益受到损害之日，是指：</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对可以质疑的采购文件提出质疑的，为收到采购文件之日或者采购文件公告期限届满之日；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对采购过程提出质疑的，为各采购程序环节结束之日；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.2.3</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对中标或者成交结果提出质疑的，为中标或者成交结果公告期限届满之日。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质疑函必须按照财政部发布的《质疑函范本》要求的格式和内容进行填写。供应商如组成联合体参加投标，则《质疑函范本》中要求签字、盖章、加盖公章之处，联合体各方均须按要求签字、盖章、加盖公章。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供应商（含潜在供应商）对与本项目有关的所有询问、质疑均请向采购人提出，由采购人负责答复。</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代理机构及采购人只接收以纸质原件形式送达的质疑。同时需与采购代理机构经办人确认是否收到《质疑函》，如供应商未按上述要求去做，将自行承担所产生的风险。</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采购人质疑接收人及联系方式见招标文件第一章。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 以下情形的质疑不予受理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.5.1 内容不符合《政府采购质疑和投诉办法》第十二条规定的质疑。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.5.2 超出政府采购法定期限的质疑。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.5.3 以传真、电子邮件等方式递交的非原件形式的质疑。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.5.4 未参加投标活动的供应商或在投标活动中自身权益未受到损害的供应商所提出的质疑。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.5.5</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供应商组成联合体参加投标，联合体中任何一方或多方未按要求签字、盖章、加盖公章的质疑。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.6</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30</w:t>
      </w:r>
      <w:r>
        <w:rPr>
          <w:rFonts w:hint="eastAsia" w:asciiTheme="minorEastAsia" w:hAnsiTheme="minorEastAsia" w:eastAsiaTheme="minorEastAsia" w:cstheme="minorEastAsia"/>
          <w:b w:val="0"/>
          <w:bCs w:val="0"/>
          <w:sz w:val="21"/>
          <w:szCs w:val="21"/>
          <w:highlight w:val="none"/>
        </w:rPr>
        <w:t xml:space="preserve">、中标通知书</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30</w:t>
      </w:r>
      <w:r>
        <w:rPr>
          <w:rFonts w:hint="eastAsia" w:asciiTheme="minorEastAsia" w:hAnsiTheme="minorEastAsia" w:eastAsiaTheme="minorEastAsia" w:cstheme="minorEastAsia"/>
          <w:highlight w:val="none"/>
        </w:rPr>
        <w:t xml:space="preserve">.l</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中标结果确定后，代理机构将向中标人发出中标通知书。中标人可在“政府采购交易管理系统（苏采云）”中标通知书下载模块中自行下载中标通知书,因未及时下载而造成的不利后果由中标人自行承担。</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30</w:t>
      </w: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66" w:name="_Toc20823308"/>
      <w:r/>
      <w:bookmarkStart w:id="167" w:name="_Toc16938552"/>
      <w:r/>
      <w:bookmarkStart w:id="168" w:name="_Toc120614220"/>
      <w:r/>
      <w:bookmarkStart w:id="169" w:name="_Toc513029236"/>
      <w:r>
        <w:rPr>
          <w:rFonts w:hint="eastAsia" w:asciiTheme="minorEastAsia" w:hAnsiTheme="minorEastAsia" w:eastAsiaTheme="minorEastAsia" w:cstheme="minorEastAsia"/>
          <w:sz w:val="21"/>
          <w:szCs w:val="21"/>
          <w:highlight w:val="none"/>
        </w:rPr>
        <w:t xml:space="preserve">七、授予合同</w:t>
      </w:r>
      <w:bookmarkEnd w:id="166"/>
      <w:r/>
      <w:bookmarkEnd w:id="167"/>
      <w:r/>
      <w:bookmarkEnd w:id="168"/>
      <w:r/>
      <w:bookmarkEnd w:id="169"/>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70" w:name="_Toc20823309"/>
      <w:r/>
      <w:bookmarkStart w:id="171" w:name="_Toc513029237"/>
      <w:r/>
      <w:bookmarkStart w:id="172" w:name="_Toc16938553"/>
      <w:r>
        <w:rPr>
          <w:rFonts w:hint="eastAsia" w:asciiTheme="minorEastAsia" w:hAnsiTheme="minorEastAsia" w:eastAsiaTheme="minorEastAsia" w:cstheme="minorEastAsia"/>
          <w:b w:val="0"/>
          <w:bCs w:val="0"/>
          <w:sz w:val="21"/>
          <w:szCs w:val="21"/>
          <w:highlight w:val="none"/>
        </w:rPr>
        <w:t xml:space="preserve">3</w:t>
      </w:r>
      <w:r>
        <w:rPr>
          <w:rFonts w:hint="eastAsia" w:asciiTheme="minorEastAsia" w:hAnsiTheme="minorEastAsia" w:eastAsiaTheme="minorEastAsia" w:cstheme="minorEastAsia"/>
          <w:b w:val="0"/>
          <w:bCs w:val="0"/>
          <w:sz w:val="21"/>
          <w:szCs w:val="21"/>
          <w:highlight w:val="none"/>
          <w:lang w:val="en-US" w:eastAsia="zh-CN"/>
        </w:rPr>
        <w:t xml:space="preserve">1</w:t>
      </w:r>
      <w:r>
        <w:rPr>
          <w:rFonts w:hint="eastAsia" w:asciiTheme="minorEastAsia" w:hAnsiTheme="minorEastAsia" w:eastAsiaTheme="minorEastAsia" w:cstheme="minorEastAsia"/>
          <w:b w:val="0"/>
          <w:bCs w:val="0"/>
          <w:sz w:val="21"/>
          <w:szCs w:val="21"/>
          <w:highlight w:val="none"/>
        </w:rPr>
        <w:t xml:space="preserve">. 签订合同</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.1 中标人应当在中标通知书发出之日起三十日内，按照招标文件确定的事项与采购人签订政府采购合同。</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 招标文件、中标人的投标文件及招标过程中有关澄清、承诺文件均应作为合同附件。</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.3 签订合同后，</w:t>
      </w:r>
      <w:r>
        <w:rPr>
          <w:rFonts w:hint="eastAsia" w:asciiTheme="minorEastAsia" w:hAnsiTheme="minorEastAsia" w:eastAsiaTheme="minorEastAsia" w:cstheme="minorEastAsia"/>
          <w:i/>
          <w:highlight w:val="none"/>
          <w:u w:val="single"/>
        </w:rPr>
        <w:t xml:space="preserve">中标人不得将合同标的进行转包</w:t>
      </w:r>
      <w:r>
        <w:rPr>
          <w:rFonts w:hint="eastAsia" w:asciiTheme="minorEastAsia" w:hAnsiTheme="minorEastAsia" w:eastAsiaTheme="minorEastAsia" w:cstheme="minorEastAsia"/>
          <w:highlight w:val="none"/>
        </w:rPr>
        <w:t xml:space="preserve">。未经采购人同意，中标人也不得采用分包的形式履行合同，否则采购人有权终止合同。转包或分包造成采购人损失的，中标人应承担相应赔偿责任。</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3</w:t>
      </w:r>
      <w:r>
        <w:rPr>
          <w:rFonts w:hint="eastAsia" w:asciiTheme="minorEastAsia" w:hAnsiTheme="minorEastAsia" w:eastAsiaTheme="minorEastAsia" w:cstheme="minorEastAsia"/>
          <w:b w:val="0"/>
          <w:bCs w:val="0"/>
          <w:sz w:val="21"/>
          <w:szCs w:val="21"/>
          <w:highlight w:val="none"/>
          <w:lang w:val="en-US" w:eastAsia="zh-CN"/>
        </w:rPr>
        <w:t xml:space="preserve">2</w:t>
      </w:r>
      <w:r>
        <w:rPr>
          <w:rFonts w:hint="eastAsia" w:asciiTheme="minorEastAsia" w:hAnsiTheme="minorEastAsia" w:eastAsiaTheme="minorEastAsia" w:cstheme="minorEastAsia"/>
          <w:b w:val="0"/>
          <w:bCs w:val="0"/>
          <w:sz w:val="21"/>
          <w:szCs w:val="21"/>
          <w:highlight w:val="none"/>
        </w:rPr>
        <w:t xml:space="preserve">、货物和服务的追加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2</w:t>
      </w:r>
      <w:r>
        <w:rPr>
          <w:rFonts w:hint="eastAsia" w:asciiTheme="minorEastAsia" w:hAnsiTheme="minorEastAsia" w:eastAsiaTheme="minorEastAsia" w:cstheme="minorEastAsia"/>
          <w:highlight w:val="none"/>
        </w:rPr>
        <w:t xml:space="preserve">.1 政府采购合同履行中，采购人需追加与合同标的相同的货物和服务，在不改变合同其他条款的前提下，可以与中标人协商签订补充合同，但所有补充合同的采购金额不超过原合同金额10%。</w:t>
      </w:r>
      <w:bookmarkEnd w:id="170"/>
      <w:r/>
      <w:bookmarkEnd w:id="171"/>
      <w:r/>
      <w:bookmarkEnd w:id="172"/>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3</w:t>
      </w:r>
      <w:r>
        <w:rPr>
          <w:rFonts w:hint="eastAsia" w:asciiTheme="minorEastAsia" w:hAnsiTheme="minorEastAsia" w:eastAsiaTheme="minorEastAsia" w:cstheme="minorEastAsia"/>
          <w:b w:val="0"/>
          <w:bCs w:val="0"/>
          <w:sz w:val="21"/>
          <w:szCs w:val="21"/>
          <w:highlight w:val="none"/>
          <w:lang w:val="en-US" w:eastAsia="zh-CN"/>
        </w:rPr>
        <w:t xml:space="preserve">3</w:t>
      </w:r>
      <w:r>
        <w:rPr>
          <w:rFonts w:hint="eastAsia" w:asciiTheme="minorEastAsia" w:hAnsiTheme="minorEastAsia" w:eastAsiaTheme="minorEastAsia" w:cstheme="minorEastAsia"/>
          <w:b w:val="0"/>
          <w:bCs w:val="0"/>
          <w:sz w:val="21"/>
          <w:szCs w:val="21"/>
          <w:highlight w:val="none"/>
        </w:rPr>
        <w:t xml:space="preserve">、政府采购履约资金扶持政策</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3</w:t>
      </w:r>
      <w:r>
        <w:rPr>
          <w:rFonts w:hint="eastAsia" w:asciiTheme="minorEastAsia" w:hAnsiTheme="minorEastAsia" w:eastAsiaTheme="minorEastAsia" w:cstheme="minorEastAsia"/>
          <w:highlight w:val="none"/>
        </w:rPr>
        <w:t xml:space="preserve">.1 中标人可凭政府采购合同办理融资贷款，详情请见江苏政府采购网“政采贷”专栏。</w:t>
      </w:r>
      <w:r/>
    </w:p>
    <w:p>
      <w:pPr>
        <w:shd w:val="clear" w:color="auto"/>
        <w:rPr>
          <w:rFonts w:hint="eastAsia" w:asciiTheme="minorEastAsia" w:hAnsiTheme="minorEastAsia" w:eastAsiaTheme="minorEastAsia" w:cstheme="minorEastAsia"/>
          <w:sz w:val="32"/>
          <w:highlight w:val="none"/>
        </w:rPr>
      </w:pPr>
      <w:r/>
      <w:bookmarkStart w:id="173" w:name="_Toc153206577"/>
      <w:r/>
      <w:bookmarkStart w:id="174" w:name="_Toc518356804"/>
      <w:r/>
      <w:bookmarkStart w:id="175" w:name="_Toc261612672"/>
      <w:r>
        <w:rPr>
          <w:rFonts w:hint="eastAsia" w:asciiTheme="minorEastAsia" w:hAnsiTheme="minorEastAsia" w:eastAsiaTheme="minorEastAsia" w:cstheme="minorEastAsia"/>
          <w:sz w:val="32"/>
          <w:highlight w:val="none"/>
        </w:rPr>
        <w:br w:type="page" w:clear="all"/>
      </w:r>
      <w:r/>
    </w:p>
    <w:p>
      <w:pPr>
        <w:pStyle w:val="722"/>
        <w:jc w:val="center"/>
        <w:spacing w:before="120" w:after="120" w:afterAutospacing="1"/>
        <w:shd w:val="clear" w:color="auto"/>
        <w:rPr>
          <w:rFonts w:hint="eastAsia" w:asciiTheme="minorEastAsia" w:hAnsiTheme="minorEastAsia" w:eastAsiaTheme="minorEastAsia" w:cstheme="minorEastAsia"/>
          <w:szCs w:val="21"/>
          <w:highlight w:val="none"/>
        </w:rPr>
      </w:pPr>
      <w:r/>
      <w:bookmarkStart w:id="176" w:name="_Toc5033"/>
      <w:r>
        <w:rPr>
          <w:rFonts w:hint="eastAsia" w:asciiTheme="minorEastAsia" w:hAnsiTheme="minorEastAsia" w:eastAsiaTheme="minorEastAsia" w:cstheme="minorEastAsia"/>
          <w:sz w:val="32"/>
          <w:highlight w:val="none"/>
        </w:rPr>
        <w:t xml:space="preserve">第三章 合同文本</w:t>
      </w:r>
      <w:bookmarkEnd w:id="173"/>
      <w:r/>
      <w:bookmarkEnd w:id="176"/>
      <w:r/>
      <w:r/>
    </w:p>
    <w:p>
      <w:pPr>
        <w:ind w:firstLine="422"/>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扬州市政府采购合同（合同编号）</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项目名称：</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项目编号</w:t>
      </w:r>
      <w:r>
        <w:rPr>
          <w:rFonts w:hint="eastAsia" w:asciiTheme="minorEastAsia" w:hAnsiTheme="minorEastAsia" w:eastAsiaTheme="minorEastAsia" w:cstheme="minorEastAsia"/>
          <w:szCs w:val="21"/>
          <w:highlight w:val="none"/>
        </w:rPr>
        <w:t xml:space="preserve">：</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甲方（买方）：</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乙方（卖方）：</w:t>
      </w:r>
      <w:r/>
    </w:p>
    <w:p>
      <w:pPr>
        <w:ind w:firstLine="420"/>
        <w:spacing w:line="240" w:lineRule="auto"/>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见证方：</w:t>
      </w:r>
      <w:r>
        <w:rPr>
          <w:rFonts w:hint="eastAsia" w:asciiTheme="minorEastAsia" w:hAnsiTheme="minorEastAsia" w:eastAsiaTheme="minorEastAsia" w:cstheme="minorEastAsia"/>
          <w:szCs w:val="21"/>
          <w:highlight w:val="none"/>
          <w:lang w:eastAsia="zh-CN"/>
        </w:rPr>
        <w:t xml:space="preserve">扬州苏建工程管理有限公司</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甲、乙双方根据</w:t>
      </w:r>
      <w:r>
        <w:rPr>
          <w:rFonts w:hint="eastAsia" w:asciiTheme="minorEastAsia" w:hAnsiTheme="minorEastAsia" w:eastAsiaTheme="minorEastAsia" w:cstheme="minorEastAsia"/>
          <w:szCs w:val="21"/>
          <w:highlight w:val="none"/>
          <w:lang w:eastAsia="zh-CN"/>
        </w:rPr>
        <w:t xml:space="preserve">扬州苏建工程管理有限公司</w:t>
      </w:r>
      <w:r>
        <w:rPr>
          <w:rFonts w:hint="eastAsia" w:asciiTheme="minorEastAsia" w:hAnsiTheme="minorEastAsia" w:eastAsiaTheme="minorEastAsia" w:cstheme="minorEastAsia"/>
          <w:szCs w:val="21"/>
          <w:highlight w:val="none"/>
        </w:rPr>
        <w:t xml:space="preserve">关于</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公开招标的结果，签署本合同。</w:t>
      </w:r>
      <w:r/>
    </w:p>
    <w:p>
      <w:pPr>
        <w:pStyle w:val="1177"/>
        <w:ind w:firstLine="422"/>
        <w:spacing w:line="360" w:lineRule="auto"/>
        <w:shd w:val="clear" w:color="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t xml:space="preserve">一、服务及产品内容</w:t>
      </w:r>
      <w:r/>
    </w:p>
    <w:p>
      <w:pPr>
        <w:pStyle w:val="1177"/>
        <w:ind w:firstLine="420"/>
        <w:spacing w:line="24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 项目名称：</w:t>
      </w:r>
      <w:r/>
    </w:p>
    <w:p>
      <w:pPr>
        <w:pStyle w:val="1177"/>
        <w:ind w:firstLine="420"/>
        <w:spacing w:line="24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 项目服务内容：</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服务方（乙方）签订技术服务合同后，应依据《中华人民共和国产品质量法》、《产品质量监督抽查管理暂行办法》、《江苏省省级产品质量监督抽查工作规范》、相关产品扬州市市级监督抽查方案、抽查实施细则以及2026年市级产品质量监督抽查抽样、检验任务布置的要求开展抽样检验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1.2.1抽样工作应注意：</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（1）按照相关产品扬州市市级产品质量监督抽查/风险监测方案、抽查实施细则和招标文件要求，完成抽样工作。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（2）按照产品标准、抽查实施细则、产品质量监督抽查实施方案等相关工作文件要求，合理抽取、封存样品，并将抽样过程照片及视频影像资料及时上传“江苏省产品质量安全监督管理系统”。</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（3）在规定期限内且不影响整体检验进度的前提下，若所抽样品不符合抽样检验要求，或者因包装邮寄过失等造成样品失效，无法完成检验的，要及时与被抽查企业沟通，完成退样和补抽的工作。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（5）所抽样品涉及特殊参数信息和企业执行标准时，应对样品特殊信息和企业执行标准进行确认。</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1.2.2检验工作应注意：</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（1）样品的检验应依据产品所执行的相关标准、相关法律法规、相关产品抽查实施细则等进行判定，及时出具产品质量监督抽查检验报告。</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（2）按要求及时发放产品质量监督抽查检验结果。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（3）协助甲方完成异议处理工作。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（4）按甲方要求做好样品复检工作。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（5）按要求上报产品质量监督抽查结果汇总材料。</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（6）按照甲方要求做好样品保管、运输、处置工作。制定有关样品的接收入库、领用、检验、保存及处理的程序规定，并严格按程序执行。</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（7）及时向甲方反馈应急检验处理情况。</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 服务的质量保证：</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1.3.1甲方为乙方提供文件依据及要求等；</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1.3.2乙方承担项目任务的人员和设施条件等。</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1.3.3甲方为乙方提供文件依据及要求：</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（1）甲方应依照本合同向乙方提供所抽查产品的《产品质量监督抽查复查检验委托书》、抽查实施细则、《产品质量监督抽查通知书》。</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（2）甲方有权根据客观事实及工作实际要求对本合同进行调整和变更，调整和变更情况应当及时告知乙方，乙方如有不同意见应及时书面反馈，最终变更结果以双方商定结果为准。</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（3）甲方应当按照合同验收结果及时向乙方支付相关经费。</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1.3.4乙方承担项目任务的人员和设施条件及应尽责任：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（1）乙方应当具备开展本合同委托内容的下列条件：</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①乙方应具备一定抽样技术能力，人员配置、作业管理等应满足抽样技术要求，确保抽查工作的顺利开展。</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②乙方应具有国家认证认可监督管理委员会或省级市场监督管理部门颁发的有效期内（有效期能覆盖本次任务的完成）的检验检测机构资质认定证书（CMA）。</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③具有必备的仪器设备、人员（须经培训符合要求）和检测能力；</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④具有所需的组织管理机制和协调能力；</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⑤法律法规规定的其他条件。</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（2）乙方不得存在借承担扬州市市级产品质量监督抽查/风险监测工作之机为本机构拉客户、事先通知被抽查企业，直接或间接参与企业接待等违法违规行为。</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乙方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若因乙方原因造成样品失效、丢失或其他因素造成无法实施检验而影响检验进度的，甲方将有权追究乙方相关责任，且有权单方面解除合同。乙方应当严格按照本合同约定的内容承担相关工作，不得超范围开展产品质量监督抽查相关业务，由此给被抽查企业造成损失的，由乙方承担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（5）乙方在履行本合同期间不得与被抽查企业签订同类产品的有偿服务协议或者接受被抽查企业对同一产品的委托检验。</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（6）乙方应当对本次抽查信息严格保密，禁止以任何名义和形式事先泄露和通知被抽查企业，不得向企业颁发监督抽查合格证书。</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（7）乙方应当在本合同和招标文件中约定时限内，保质保量完成抽检任务。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（8）乙方由于虚假、错误的样品信息、检验数据和结论或者检验过程程序错误、缺失等原因而给被抽查企业造成损失的，或者给社会带来不良影响的，乙方应当负责赔偿，并承担相应法律责任。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9）乙方在投标文件中所承诺的事宜未兑现，甲方在认定其失信行为后，将解除所签订的技术服务合同，过程中所产生的费用甲方将不予支付。因其虚假承诺而造成甲方损失或影响甲方整体抽查工作的，将追究乙方相关责任，并禁止其3年内承担扬州市市级产品质量监督抽查/风险监测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除甲方书面许可外，乙方不能擅自将本合同全部或部分工作委托给第三方。乙方不得以任何形式分包本协议约定的所有检验项目、不得租赁或者借用他人检测设备。即使甲方书面同意乙方将本合同的部分工作委托转让给第三方，乙方仍受本合同的义务约束。</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（11）乙方应按照《江苏省省级产品质量监督抽查工作规范》工作文件要求，开展样品处置工作。</w:t>
      </w:r>
      <w:r/>
    </w:p>
    <w:p>
      <w:pPr>
        <w:pStyle w:val="110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1.4双方约定因履行本合同应遵守的保密任务：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1、乙方应严格保守产品质量扬州市市级产品质量监督抽查/风险监测信息，未经甲方同意，不得将抽查结果对外发布，不得将抽查结果提供给任何部门、单位及个人，同时不得外泄被抽查企业的商业秘密。</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2、如果因乙方原因，导致抽查结果及被检企业商业秘密被泄密的，甲方有权解除合同，乙方需承担因其所造成的一切后果，甲方有权对乙方保留诉讼的权利。</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3、乙方在开展扬州市市级产品质量监督抽查/风险监测工作过程中，存在违法、违规和违反合同行为的，甲方可以随时解除合同，乙方需承担因其所造成的损失。</w:t>
      </w:r>
      <w:r/>
    </w:p>
    <w:p>
      <w:pPr>
        <w:pStyle w:val="1177"/>
        <w:ind w:firstLine="422"/>
        <w:spacing w:line="360" w:lineRule="auto"/>
        <w:shd w:val="clear" w:color="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二、合同金额</w:t>
      </w:r>
      <w:r/>
    </w:p>
    <w:p>
      <w:pPr>
        <w:pStyle w:val="1177"/>
        <w:ind w:firstLine="420"/>
        <w:spacing w:line="24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 本合同金额为（大写）：_________圆（_______元）人民币。</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三、技术资料</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3.1乙方应按招标文件规定的时间向甲方提供使用货物及服务的有关技术资料。</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四、知识产权</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五、产权担保</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5.1 乙方保证所交付的货物及服务的所有权完全属于乙方且无任何抵押、查封等产权瑕疵。</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六、履约保证金</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6.4 履约保证金收取：无</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七、转包或分包</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7.1本合同范围的货物及服务，应由乙方直接供应，不得转让他人供应；</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7.2 除非得到甲方的书面同意，乙方不得部分分包给他人供应。</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7.3如有转让和未经甲方同意的分包行为，甲方有权给予终止合同。</w:t>
      </w:r>
      <w:r/>
    </w:p>
    <w:p>
      <w:pPr>
        <w:pStyle w:val="1020"/>
        <w:ind w:left="315" w:firstLine="105"/>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八、服务期</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8.1 服务期：合同签订之日起至</w:t>
      </w:r>
      <w:r>
        <w:rPr>
          <w:rFonts w:hint="default" w:asciiTheme="minorEastAsia" w:hAnsiTheme="minorEastAsia" w:eastAsiaTheme="minorEastAsia" w:cstheme="minorEastAsia"/>
          <w:sz w:val="21"/>
          <w:szCs w:val="21"/>
          <w:highlight w:val="none"/>
          <w:lang w:val="en" w:eastAsia="zh-CN" w:bidi="ar-SA"/>
        </w:rPr>
        <w:t xml:space="preserve">2026年12月20日</w:t>
      </w:r>
      <w:r>
        <w:rPr>
          <w:rFonts w:hint="eastAsia" w:asciiTheme="minorEastAsia" w:hAnsiTheme="minorEastAsia" w:eastAsiaTheme="minorEastAsia" w:cstheme="minorEastAsia"/>
          <w:sz w:val="21"/>
          <w:szCs w:val="21"/>
          <w:highlight w:val="none"/>
          <w:lang w:val="en-US" w:eastAsia="zh-CN" w:bidi="ar-SA"/>
        </w:rPr>
        <w:t xml:space="preserve">。</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九、货款支付</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10.1 本合同项下所有款项均以人民币支付。 </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10.2 本合同项下的采购资金由甲方支付，付款前乙方向甲方开具发票。</w:t>
      </w:r>
      <w:r/>
    </w:p>
    <w:p>
      <w:pPr>
        <w:pStyle w:val="102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10.3 甲方付款方式：</w:t>
      </w:r>
      <w:r/>
    </w:p>
    <w:p>
      <w:pPr>
        <w:ind w:firstLine="420"/>
        <w:jc w:val="left"/>
        <w:spacing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合同签订后收到中标供应商发票之日起10个工作日内，付合同报价的30%作为预付款，完成所有抽样、检验等工作，经甲方组织专家验收通过后付清剩余款项。</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十、税费</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10.1本合同执行中相关的一切税费均由乙方负担。</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十一、质量保证及售后服务</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11.1 乙方应按招标文件规定及响应文件承诺的技术性能、技术要求、质量标准向甲方提供服务；若无特殊说明，则按国家有关部门最新颁布的标准及规范为准。</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11.2乙方应保证其提供的服务是全面和规范的，并完全符合招投标文件。如因乙方提供的服务有瑕疵造成甲方损失的，所需费用由乙方承担。</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11.3 如在使用过程中发生质量问题，乙方在接到甲方通知后在___小时内到达甲方现场。</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十二、交付和验收</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12.1 乙方应当在合同签订后天内完成服务事项，招标文件有约定的，从其约定。</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在交付前，乙方应作出全面检查和对验收文件进行整理，并列出清单，作为甲方初验收和使用的技术条件依据，检验的结果交甲方。</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12.2 验收标准：按乙方投标文件的承诺，并不低于国家相关标准。</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对于乙方要交付的服务，甲乙双方须在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12.3 乙方按照招标文件要求负责安装并培训甲方的使用操作人员，乙方在甲方使用前进行调试，调试直到符合技术要求的甲方才做最终验收。</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12.5 甲乙双方关于调试和验收的其他约定：。</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十三、包装、发运及运输</w:t>
      </w:r>
      <w:r/>
    </w:p>
    <w:p>
      <w:pPr>
        <w:pStyle w:val="102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13.1 乙方应对其提供的服务所涉及物品在发运前对其进行满足运输距离、防潮、防震、防锈和防破损装卸等要求包装，以保证安全运达甲方指定地点。</w:t>
      </w:r>
      <w:r/>
    </w:p>
    <w:p>
      <w:pPr>
        <w:pStyle w:val="102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13.2 乙方交付时，使用说明书、检验证明书、随配附件和工具以及清单一并附于内。</w:t>
      </w:r>
      <w:r/>
    </w:p>
    <w:p>
      <w:pPr>
        <w:pStyle w:val="102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102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13.4 服务在交付甲方前发生的风险均由乙方负责。</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13.5 服务在规定的交付期限内由乙方送达甲方指定的地点。</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十四、违约责任</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14.1 乙方应本着科学性、准确性和真实性原则执行项目任务；并按合同书约定的时间向甲方提交技术服务完成成果。如乙方未按时提交技术服务成果，或技术服务成果不符合甲方要求，影响甲方采用的，甲方有权单方面解除合同，并视情况暂停乙方3年承担扬州市市级产品质量监督抽查/风险监测任务资格。甲方保留追究其法律责任的权利，严重者，将予以通报批评。</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14.2 乙方在实施承担任务过程中如取得重大进展、重要突破或发生其他重大事项，应及时向甲方报告；如因遭遇不可抗力或其他因素影响项目任务的正常执行进度，致使承担任务需要调整时，乙方应当及时向甲方提交书面报告，经甲方确定处理意见后执行。</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14.3 乙方应在规定期限内完成抽样、检验任务，同种产品的抽样检验机构应互相督促工作进度，若所承担产品的抽样检验工作逾期，甲方将追究相关问题环节机构的责任，并有权对其单方面解除合同，过程中所产生的费用甲方将不予支付。 </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14.4 乙方应严格按照投标文件中人员配置方案进行人员安排，未经甲方同意不得擅自更换人员。对存在虚报人员、逾期完成抽检任务或者未经甲方同意擅自更换人员的，甲方将视情况解除合同关系。</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14.5 乙方对承担项目任务经费应按合同书规定的服务内容及范围列支各项费用。</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14.6 甲方负责监督项目的实施。</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14.7 任何一方如有违反上述条款的行为，按有关法律法规协商解决，协商不成的，任何一方均可向甲方所在地有管辖权的人民法院提起诉讼。</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十五、不可抗力事件处理</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15.1 在合同有效期内，任何一方因不可抗力事件导致不能履行合同，则合同履行期可延长，其延长期与不可抗力影响期相同。</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15.2 不可抗力事件发生后，应立即通知对方，并寄送有关权威机构出具的证明。</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15.3 不可抗力事件延续120天以上，双方应通过友好协商，确定是否继续履行合同。</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十六、诉讼</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16.1 双方在执行合同中所发生的一切争议，应通过协商解决。双方在执行合同中所发生的一切争议，应通过协商解决。如果协商不能解决争议，向甲方所在地的人民法院提起诉讼，适用中华人民共和国法律。</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十七、合同生效及其它</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17.1 合同经双方法定代表人签章并加盖单位公章，并经扬州苏建工程管理有限公司见证盖章后生效。</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17.2本合同未尽事宜，遵照《民法典》有关条文执行。</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17.3 本合同正本一式七份，具有同等法律效力，甲方、乙方、见证方各执贰份，财政监管部门执一份。  </w:t>
      </w:r>
      <w:r/>
    </w:p>
    <w:p>
      <w:pPr>
        <w:shd w:val="clear" w:color="auto"/>
        <w:rPr>
          <w:rFonts w:hint="eastAsia"/>
          <w:highlight w:val="none"/>
          <w:lang w:val="en-US" w:eastAsia="zh-CN"/>
        </w:rPr>
      </w:pPr>
      <w:r>
        <w:rPr>
          <w:rFonts w:hint="eastAsia"/>
          <w:highlight w:val="none"/>
          <w:lang w:val="en-US" w:eastAsia="zh-CN"/>
        </w:rPr>
      </w:r>
      <w:r/>
    </w:p>
    <w:p>
      <w:pPr>
        <w:pStyle w:val="746"/>
        <w:ind w:left="420" w:hanging="210"/>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甲方：</w:t>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 xml:space="preserve">                           乙方： </w:t>
      </w:r>
      <w:r/>
    </w:p>
    <w:p>
      <w:pPr>
        <w:pStyle w:val="746"/>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  地址：</w:t>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 xml:space="preserve">                   地址： </w:t>
      </w:r>
      <w:r/>
    </w:p>
    <w:p>
      <w:pPr>
        <w:pStyle w:val="746"/>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  法定代表人或授权代表：                   法定代表人或授权代表：</w:t>
      </w:r>
      <w:r/>
    </w:p>
    <w:p>
      <w:pPr>
        <w:pStyle w:val="746"/>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  联系电话：                               联系电话：</w:t>
      </w:r>
      <w:r/>
    </w:p>
    <w:p>
      <w:pPr>
        <w:ind w:firstLine="210"/>
        <w:shd w:val="clear" w:color="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               日期：      年    月    日</w:t>
      </w:r>
      <w:r/>
    </w:p>
    <w:p>
      <w:pPr>
        <w:ind w:left="420" w:firstLine="422"/>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p>
      <w:pPr>
        <w:pStyle w:val="780"/>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177"/>
        <w:ind w:firstLine="420"/>
        <w:spacing w:before="120" w:after="120" w:line="360" w:lineRule="auto"/>
        <w:shd w:val="clear" w:color="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见证方：</w:t>
      </w:r>
      <w:r>
        <w:rPr>
          <w:rFonts w:hint="eastAsia" w:asciiTheme="minorEastAsia" w:hAnsiTheme="minorEastAsia" w:eastAsiaTheme="minorEastAsia" w:cstheme="minorEastAsia"/>
          <w:sz w:val="21"/>
          <w:szCs w:val="21"/>
          <w:highlight w:val="none"/>
          <w:lang w:eastAsia="zh-CN"/>
        </w:rPr>
        <w:t xml:space="preserve">扬州苏建工程管理有限公司</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szCs w:val="21"/>
          <w:highlight w:val="none"/>
        </w:rPr>
        <w:t xml:space="preserve">日期：      年    月    日</w:t>
      </w:r>
      <w:r/>
    </w:p>
    <w:p>
      <w:pPr>
        <w:pStyle w:val="1020"/>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End w:id="174"/>
      <w:bookmarkEnd w:id="175"/>
      <w:r/>
    </w:p>
    <w:p>
      <w:pPr>
        <w:jc w:val="center"/>
        <w:spacing w:before="120" w:after="100" w:afterAutospacing="1"/>
        <w:shd w:val="clear" w:color="auto"/>
        <w:rPr>
          <w:rFonts w:hint="eastAsia" w:asciiTheme="minorEastAsia" w:hAnsiTheme="minorEastAsia" w:eastAsiaTheme="minorEastAsia" w:cstheme="minorEastAsia"/>
          <w:sz w:val="32"/>
          <w:highlight w:val="none"/>
        </w:rPr>
        <w:outlineLvl w:val="0"/>
      </w:pPr>
      <w:r/>
      <w:bookmarkStart w:id="177" w:name="_Toc237917799"/>
      <w:r/>
      <w:bookmarkStart w:id="178" w:name="_Toc7438"/>
      <w:r>
        <w:rPr>
          <w:rFonts w:hint="eastAsia" w:asciiTheme="minorEastAsia" w:hAnsiTheme="minorEastAsia" w:eastAsiaTheme="minorEastAsia" w:cstheme="minorEastAsia"/>
          <w:b/>
          <w:bCs/>
          <w:sz w:val="32"/>
          <w:highlight w:val="none"/>
        </w:rPr>
        <w:t xml:space="preserve">第四章 </w:t>
      </w:r>
      <w:bookmarkEnd w:id="177"/>
      <w:r>
        <w:rPr>
          <w:rFonts w:hint="eastAsia" w:asciiTheme="minorEastAsia" w:hAnsiTheme="minorEastAsia" w:eastAsiaTheme="minorEastAsia" w:cstheme="minorEastAsia"/>
          <w:b/>
          <w:bCs/>
          <w:sz w:val="32"/>
          <w:highlight w:val="none"/>
        </w:rPr>
        <w:t xml:space="preserve">采购需求</w:t>
      </w:r>
      <w:bookmarkEnd w:id="178"/>
      <w:r/>
      <w:r/>
    </w:p>
    <w:p>
      <w:pP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1168"/>
        <w:ind w:left="0"/>
        <w:spacing w:line="360" w:lineRule="auto"/>
        <w:shd w:val="clear" w:color="auto"/>
        <w:rPr>
          <w:rFonts w:ascii="宋体" w:hAnsi="宋体" w:cs="宋体"/>
          <w:szCs w:val="21"/>
          <w:highlight w:val="none"/>
        </w:rPr>
      </w:pPr>
      <w:r>
        <w:rPr>
          <w:rFonts w:hint="eastAsia" w:ascii="宋体" w:hAnsi="宋体" w:cs="宋体"/>
          <w:szCs w:val="21"/>
          <w:highlight w:val="none"/>
        </w:rPr>
        <w:t xml:space="preserve">项目属性:服务类项目</w:t>
      </w:r>
      <w:r/>
    </w:p>
    <w:p>
      <w:pPr>
        <w:pStyle w:val="1168"/>
        <w:ind w:left="0"/>
        <w:spacing w:line="360" w:lineRule="auto"/>
        <w:shd w:val="clear" w:color="auto"/>
        <w:rPr>
          <w:rFonts w:ascii="宋体" w:hAnsi="宋体" w:cs="宋体"/>
          <w:szCs w:val="21"/>
          <w:highlight w:val="none"/>
        </w:rPr>
      </w:pPr>
      <w:r>
        <w:rPr>
          <w:rFonts w:hint="eastAsia" w:ascii="宋体" w:hAnsi="宋体" w:cs="宋体"/>
          <w:szCs w:val="21"/>
          <w:highlight w:val="none"/>
        </w:rPr>
        <w:t xml:space="preserve">其他要求</w:t>
      </w:r>
      <w:r/>
    </w:p>
    <w:p>
      <w:pPr>
        <w:pStyle w:val="1168"/>
        <w:ind w:left="0"/>
        <w:spacing w:line="360" w:lineRule="auto"/>
        <w:shd w:val="clear" w:color="auto"/>
        <w:rPr>
          <w:rFonts w:ascii="宋体" w:hAnsi="宋体" w:cs="宋体"/>
          <w:b/>
          <w:bCs/>
          <w:szCs w:val="21"/>
          <w:highlight w:val="none"/>
        </w:rPr>
      </w:pPr>
      <w:r>
        <w:rPr>
          <w:rFonts w:hint="eastAsia" w:ascii="宋体" w:hAnsi="宋体" w:cs="宋体"/>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i/>
          <w:iCs/>
          <w:szCs w:val="21"/>
          <w:highlight w:val="none"/>
          <w:u w:val="single"/>
        </w:rPr>
        <w:t xml:space="preserve">节能产品、环境标志产品品目清单以递交响应文件截止时已正式公布的最近一期信息为准，</w:t>
      </w:r>
      <w:r>
        <w:rPr>
          <w:rFonts w:hint="eastAsia" w:ascii="宋体" w:hAnsi="宋体" w:cs="宋体"/>
          <w:bCs/>
          <w:i/>
          <w:iCs/>
          <w:szCs w:val="21"/>
          <w:highlight w:val="none"/>
          <w:u w:val="single"/>
        </w:rPr>
        <w:t xml:space="preserve">如属政府强制采购产品未提供认证证书的或认证证书提供不全的将视为未实质性响应采购要求</w:t>
      </w:r>
      <w:r>
        <w:rPr>
          <w:rFonts w:hint="eastAsia" w:ascii="宋体" w:hAnsi="宋体" w:cs="宋体"/>
          <w:i/>
          <w:iCs/>
          <w:szCs w:val="21"/>
          <w:highlight w:val="none"/>
          <w:u w:val="single"/>
        </w:rPr>
        <w:t xml:space="preserve">。</w:t>
      </w:r>
      <w:r>
        <w:rPr>
          <w:rFonts w:hint="eastAsia" w:ascii="宋体" w:hAnsi="宋体" w:cs="宋体"/>
          <w:szCs w:val="21"/>
          <w:highlight w:val="none"/>
        </w:rPr>
        <w:t xml:space="preserve">其他条件相同情况下，应当优先采购节能产品、环境标志产品。</w:t>
      </w:r>
      <w:r/>
    </w:p>
    <w:p>
      <w:pPr>
        <w:pStyle w:val="1168"/>
        <w:ind w:left="0" w:firstLine="315"/>
        <w:spacing w:line="360" w:lineRule="auto"/>
        <w:shd w:val="clear" w:color="auto"/>
        <w:rPr>
          <w:rFonts w:ascii="宋体" w:hAnsi="宋体" w:cs="宋体"/>
          <w:szCs w:val="21"/>
          <w:highlight w:val="none"/>
        </w:rPr>
      </w:pPr>
      <w:r>
        <w:rPr>
          <w:rFonts w:hint="eastAsia" w:ascii="宋体" w:hAnsi="宋体" w:cs="宋体"/>
          <w:bCs/>
          <w:szCs w:val="21"/>
          <w:highlight w:val="none"/>
        </w:rPr>
        <w:t xml:space="preserve">供应商对于投标产品的包装应按照“财办库〔2020〕123号《关于印发《商品包装政府采购需求标准（试行）》《快递包装政府采购需求标准（试行）》的通知》”执行。</w:t>
      </w:r>
      <w:r/>
    </w:p>
    <w:p>
      <w:pPr>
        <w:pStyle w:val="723"/>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一、项目概况</w:t>
      </w:r>
      <w:r/>
    </w:p>
    <w:p>
      <w:pPr>
        <w:ind w:firstLine="420"/>
        <w:spacing w:line="360" w:lineRule="auto"/>
        <w:shd w:val="clear" w:color="auto"/>
        <w:rPr>
          <w:rFonts w:hint="eastAsia" w:asciiTheme="minorEastAsia" w:hAnsiTheme="minorEastAsia" w:eastAsiaTheme="minorEastAsia" w:cstheme="minorEastAsia"/>
          <w:bCs/>
          <w:highlight w:val="none"/>
          <w:lang w:eastAsia="zh-CN"/>
        </w:rPr>
      </w:pPr>
      <w:r>
        <w:rPr>
          <w:rFonts w:hint="eastAsia" w:asciiTheme="minorEastAsia" w:hAnsiTheme="minorEastAsia" w:eastAsiaTheme="minorEastAsia" w:cstheme="minorEastAsia"/>
          <w:highlight w:val="none"/>
        </w:rPr>
        <w:t xml:space="preserve">1.项目编号：JSZC-321000-SJGG-G2026-0002</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2.项目名称：</w:t>
      </w:r>
      <w:r>
        <w:rPr>
          <w:rFonts w:hint="eastAsia" w:asciiTheme="minorEastAsia" w:hAnsiTheme="minorEastAsia" w:eastAsiaTheme="minorEastAsia" w:cstheme="minorEastAsia"/>
          <w:highlight w:val="none"/>
          <w:lang w:eastAsia="zh-CN"/>
        </w:rPr>
        <w:t xml:space="preserve">扬州市市场监督管理局2026年市级产品质量监督抽查</w:t>
      </w:r>
      <w:r/>
    </w:p>
    <w:p>
      <w:pPr>
        <w:pStyle w:val="1186"/>
        <w:ind w:firstLine="420"/>
        <w:spacing w:line="360" w:lineRule="auto"/>
        <w:shd w:val="clear" w:color="auto"/>
        <w:rPr>
          <w:rFonts w:hint="eastAsia" w:asciiTheme="minorEastAsia" w:hAnsiTheme="minorEastAsia" w:eastAsiaTheme="minorEastAsia" w:cstheme="minorEastAsia"/>
          <w:sz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sz w:val="21"/>
          <w:highlight w:val="none"/>
          <w:lang w:val="en-US" w:eastAsia="zh-CN" w:bidi="ar-SA"/>
        </w:rPr>
        <w:t xml:space="preserve">3.预算金额：241万元</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4.本项目设定最高限价：</w:t>
      </w:r>
      <w:r>
        <w:rPr>
          <w:rFonts w:hint="eastAsia" w:ascii="宋体" w:hAnsi="宋体" w:cs="宋体"/>
          <w:color w:val="auto"/>
          <w:sz w:val="21"/>
          <w:szCs w:val="21"/>
          <w:highlight w:val="none"/>
          <w:lang w:eastAsia="zh-CN"/>
        </w:rPr>
        <w:t xml:space="preserve">采购包1：</w:t>
      </w:r>
      <w:r>
        <w:rPr>
          <w:rFonts w:hint="eastAsia" w:ascii="宋体" w:hAnsi="宋体" w:cs="宋体"/>
          <w:color w:val="auto"/>
          <w:sz w:val="21"/>
          <w:szCs w:val="21"/>
          <w:highlight w:val="none"/>
          <w:lang w:val="en-US" w:eastAsia="zh-CN"/>
        </w:rPr>
        <w:t xml:space="preserve">82</w:t>
      </w:r>
      <w:r>
        <w:rPr>
          <w:rFonts w:hint="eastAsia" w:ascii="宋体" w:hAnsi="宋体" w:cs="宋体"/>
          <w:color w:val="auto"/>
          <w:sz w:val="21"/>
          <w:szCs w:val="21"/>
          <w:highlight w:val="none"/>
          <w:lang w:eastAsia="zh-CN"/>
        </w:rPr>
        <w:t xml:space="preserve">万元；采购包2：</w:t>
      </w:r>
      <w:r>
        <w:rPr>
          <w:rFonts w:hint="eastAsia" w:ascii="宋体" w:hAnsi="宋体" w:cs="宋体"/>
          <w:color w:val="auto"/>
          <w:sz w:val="21"/>
          <w:szCs w:val="21"/>
          <w:highlight w:val="none"/>
          <w:lang w:val="en-US" w:eastAsia="zh-CN"/>
        </w:rPr>
        <w:t xml:space="preserve">36</w:t>
      </w:r>
      <w:r>
        <w:rPr>
          <w:rFonts w:hint="eastAsia" w:ascii="宋体" w:hAnsi="宋体" w:cs="宋体"/>
          <w:color w:val="auto"/>
          <w:sz w:val="21"/>
          <w:szCs w:val="21"/>
          <w:highlight w:val="none"/>
          <w:lang w:eastAsia="zh-CN"/>
        </w:rPr>
        <w:t xml:space="preserve">万元；采购包3：</w:t>
      </w:r>
      <w:r>
        <w:rPr>
          <w:rFonts w:hint="eastAsia" w:ascii="宋体" w:hAnsi="宋体" w:cs="宋体"/>
          <w:color w:val="auto"/>
          <w:sz w:val="21"/>
          <w:szCs w:val="21"/>
          <w:highlight w:val="none"/>
          <w:lang w:val="en-US" w:eastAsia="zh-CN"/>
        </w:rPr>
        <w:t xml:space="preserve">28</w:t>
      </w:r>
      <w:r>
        <w:rPr>
          <w:rFonts w:hint="eastAsia" w:ascii="宋体" w:hAnsi="宋体" w:cs="宋体"/>
          <w:color w:val="auto"/>
          <w:sz w:val="21"/>
          <w:szCs w:val="21"/>
          <w:highlight w:val="none"/>
          <w:lang w:eastAsia="zh-CN"/>
        </w:rPr>
        <w:t xml:space="preserve">万元；采购包4：</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lang w:eastAsia="zh-CN"/>
        </w:rPr>
        <w:t xml:space="preserve">万元；采购包</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万元</w:t>
      </w:r>
      <w:r>
        <w:rPr>
          <w:rFonts w:hint="eastAsia" w:asciiTheme="minorEastAsia" w:hAnsiTheme="minorEastAsia" w:eastAsiaTheme="minorEastAsia" w:cstheme="minorEastAsia"/>
          <w:strike w:val="0"/>
          <w:color w:val="auto"/>
          <w:sz w:val="21"/>
          <w:highlight w:val="none"/>
          <w:lang w:eastAsia="zh-CN"/>
        </w:rPr>
        <w:t xml:space="preserve">，</w:t>
      </w:r>
      <w:r>
        <w:rPr>
          <w:rFonts w:hint="eastAsia" w:asciiTheme="minorEastAsia" w:hAnsiTheme="minorEastAsia" w:eastAsiaTheme="minorEastAsia" w:cstheme="minorEastAsia"/>
          <w:highlight w:val="none"/>
        </w:rPr>
        <w:t xml:space="preserve">报价超过限价的为无效报价，按照无效响应处理。</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5.</w:t>
      </w:r>
      <w:r>
        <w:rPr>
          <w:rFonts w:hint="eastAsia" w:asciiTheme="minorEastAsia" w:hAnsiTheme="minorEastAsia" w:eastAsiaTheme="minorEastAsia" w:cstheme="minorEastAsia"/>
          <w:bCs/>
          <w:highlight w:val="none"/>
        </w:rPr>
        <w:t xml:space="preserve">采购需求（简介）：为确保扬州市202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年产品质量市级监督抽查工作顺利开展,现公开招标承接202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年产品质量市级监督抽查的抽样、检验等工作（包括购样费、抽样费、检测费及其它相关费用）</w:t>
      </w:r>
      <w:r>
        <w:rPr>
          <w:rFonts w:hint="eastAsia" w:asciiTheme="minorEastAsia" w:hAnsiTheme="minorEastAsia" w:eastAsiaTheme="minorEastAsia" w:cstheme="minorEastAsia"/>
          <w:color w:val="auto"/>
          <w:highlight w:val="none"/>
          <w:lang w:eastAsia="zh-CN"/>
        </w:rPr>
        <w:t xml:space="preserve">计划抽查12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lang w:eastAsia="zh-CN"/>
        </w:rPr>
        <w:t xml:space="preserve">种</w:t>
      </w:r>
      <w:r>
        <w:rPr>
          <w:rFonts w:hint="eastAsia" w:asciiTheme="minorEastAsia" w:hAnsiTheme="minorEastAsia" w:eastAsiaTheme="minorEastAsia" w:cstheme="minorEastAsia"/>
          <w:color w:val="auto"/>
          <w:highlight w:val="none"/>
          <w:lang w:val="en-US" w:eastAsia="zh-CN"/>
        </w:rPr>
        <w:t xml:space="preserve">1912</w:t>
      </w:r>
      <w:r>
        <w:rPr>
          <w:rFonts w:hint="eastAsia" w:asciiTheme="minorEastAsia" w:hAnsiTheme="minorEastAsia" w:eastAsiaTheme="minorEastAsia" w:cstheme="minorEastAsia"/>
          <w:color w:val="auto"/>
          <w:highlight w:val="none"/>
          <w:lang w:eastAsia="zh-CN"/>
        </w:rPr>
        <w:t xml:space="preserve">批次产品</w:t>
      </w:r>
      <w:r>
        <w:rPr>
          <w:rFonts w:hint="eastAsia" w:asciiTheme="minorEastAsia" w:hAnsiTheme="minorEastAsia" w:eastAsiaTheme="minorEastAsia" w:cstheme="minorEastAsia"/>
          <w:szCs w:val="21"/>
          <w:highlight w:val="none"/>
        </w:rPr>
        <w:t xml:space="preserve">。</w:t>
      </w:r>
      <w:r/>
    </w:p>
    <w:p>
      <w:pPr>
        <w:ind w:firstLine="420"/>
        <w:spacing w:line="360" w:lineRule="auto"/>
        <w:shd w:val="clear" w:color="auto"/>
        <w:rPr>
          <w:rFonts w:hint="eastAsia" w:ascii="宋体" w:hAnsi="宋体" w:cs="宋体"/>
          <w:color w:val="auto"/>
          <w:sz w:val="21"/>
          <w:highlight w:val="none"/>
        </w:rPr>
      </w:pPr>
      <w:r>
        <w:rPr>
          <w:rFonts w:hint="eastAsia" w:ascii="宋体" w:hAnsi="宋体" w:cs="宋体"/>
          <w:color w:val="auto"/>
          <w:sz w:val="21"/>
          <w:szCs w:val="21"/>
          <w:highlight w:val="none"/>
          <w:lang w:eastAsia="zh-CN"/>
        </w:rPr>
        <w:t xml:space="preserve">采购包1：共对</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highlight w:val="none"/>
        </w:rPr>
        <w:t xml:space="preserve">个品种</w:t>
      </w:r>
      <w:r>
        <w:rPr>
          <w:rFonts w:hint="eastAsia" w:ascii="宋体" w:hAnsi="宋体" w:cs="宋体"/>
          <w:color w:val="auto"/>
          <w:sz w:val="21"/>
          <w:highlight w:val="none"/>
          <w:lang w:val="en-US" w:eastAsia="zh-CN"/>
        </w:rPr>
        <w:t xml:space="preserve">718批次进行监督抽查，</w:t>
      </w:r>
      <w:r>
        <w:rPr>
          <w:rFonts w:hint="eastAsia" w:ascii="宋体" w:hAnsi="宋体" w:cs="宋体"/>
          <w:color w:val="auto"/>
          <w:sz w:val="21"/>
          <w:highlight w:val="none"/>
        </w:rPr>
        <w:t xml:space="preserve">包括牙刷</w:t>
      </w:r>
      <w:r>
        <w:rPr>
          <w:rFonts w:hint="eastAsia" w:ascii="宋体" w:hAnsi="宋体" w:cs="宋体"/>
          <w:color w:val="auto"/>
          <w:sz w:val="21"/>
          <w:highlight w:val="none"/>
          <w:lang w:eastAsia="zh-CN"/>
        </w:rPr>
        <w:t xml:space="preserve">；卫生巾（护垫）；纸尿裤；口腔器具；儿童玩具（塑胶、毛绒玩具）；铝合金建筑型材；铝合金制品；热轧带肋钢筋；钢管；电力金具；铝合金窗；型钢；碟形弹簧</w:t>
      </w:r>
      <w:r>
        <w:rPr>
          <w:rFonts w:hint="eastAsia" w:ascii="宋体" w:hAnsi="宋体" w:cs="宋体"/>
          <w:color w:val="auto"/>
          <w:sz w:val="21"/>
          <w:highlight w:val="none"/>
          <w:lang w:val="en-US" w:eastAsia="zh-CN"/>
        </w:rPr>
        <w:t xml:space="preserve">；机床；弹簧支吊架；液压油缸；</w:t>
      </w:r>
      <w:r>
        <w:rPr>
          <w:rFonts w:hint="eastAsia" w:ascii="宋体" w:hAnsi="宋体" w:cs="宋体"/>
          <w:color w:val="auto"/>
          <w:sz w:val="21"/>
          <w:highlight w:val="none"/>
          <w:lang w:eastAsia="zh-CN"/>
        </w:rPr>
        <w:t xml:space="preserve">复合肥料；衣料用液体洗涤剂；皂类；卫生洁具清洗剂；洗手液；洗衣粉；橡胶护舷；砖和砌块；橡胶热水袋；建筑防水卷材；水泥；胶黏剂；防水涂料；橡胶密封制品；电线电缆（3C管理）；</w:t>
      </w:r>
      <w:r>
        <w:rPr>
          <w:rFonts w:hint="eastAsia" w:ascii="宋体" w:hAnsi="宋体" w:cs="宋体"/>
          <w:color w:val="auto"/>
          <w:sz w:val="21"/>
          <w:highlight w:val="none"/>
          <w:lang w:val="en-US" w:eastAsia="zh-CN"/>
        </w:rPr>
        <w:t xml:space="preserve">电</w:t>
      </w:r>
      <w:r>
        <w:rPr>
          <w:rFonts w:hint="eastAsia" w:ascii="宋体" w:hAnsi="宋体" w:cs="宋体"/>
          <w:color w:val="auto"/>
          <w:sz w:val="21"/>
          <w:highlight w:val="none"/>
          <w:lang w:eastAsia="zh-CN"/>
        </w:rPr>
        <w:t xml:space="preserve">线电缆用软聚氯乙烯塑料；电线电缆（工业产品生产许可证管理）；数字通信用聚烯烃绝缘水平对绞电缆；低压成套设备</w:t>
      </w:r>
      <w:r>
        <w:rPr>
          <w:rFonts w:hint="eastAsia" w:ascii="宋体" w:hAnsi="宋体" w:cs="宋体"/>
          <w:color w:val="auto"/>
          <w:sz w:val="21"/>
          <w:highlight w:val="none"/>
        </w:rPr>
        <w:t xml:space="preserve">。</w:t>
      </w:r>
      <w:r/>
    </w:p>
    <w:p>
      <w:pPr>
        <w:pStyle w:val="956"/>
        <w:spacing w:line="360" w:lineRule="auto"/>
        <w:shd w:val="clear" w:color="auto"/>
        <w:rPr>
          <w:rFonts w:hint="eastAsia" w:ascii="宋体" w:hAnsi="宋体" w:cs="宋体"/>
          <w:color w:val="auto"/>
          <w:sz w:val="21"/>
          <w:highlight w:val="none"/>
          <w:lang w:val="en-US" w:eastAsia="zh-CN"/>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highlight w:val="none"/>
        </w:rPr>
        <w:t xml:space="preserve">共对</w:t>
      </w:r>
      <w:r>
        <w:rPr>
          <w:rFonts w:hint="eastAsia" w:ascii="宋体" w:hAnsi="宋体" w:cs="宋体"/>
          <w:color w:val="auto"/>
          <w:sz w:val="21"/>
          <w:highlight w:val="none"/>
          <w:lang w:val="en-US" w:eastAsia="zh-CN"/>
        </w:rPr>
        <w:t xml:space="preserve">16</w:t>
      </w:r>
      <w:r>
        <w:rPr>
          <w:rFonts w:hint="eastAsia" w:ascii="宋体" w:hAnsi="宋体" w:cs="宋体"/>
          <w:color w:val="auto"/>
          <w:sz w:val="21"/>
          <w:highlight w:val="none"/>
        </w:rPr>
        <w:t xml:space="preserve">个品种</w:t>
      </w:r>
      <w:r>
        <w:rPr>
          <w:rFonts w:hint="eastAsia" w:ascii="宋体" w:hAnsi="宋体" w:cs="宋体"/>
          <w:color w:val="auto"/>
          <w:sz w:val="21"/>
          <w:highlight w:val="none"/>
          <w:lang w:val="en-US" w:eastAsia="zh-CN"/>
        </w:rPr>
        <w:t xml:space="preserve">170</w:t>
      </w:r>
      <w:r>
        <w:rPr>
          <w:rFonts w:hint="eastAsia" w:ascii="宋体" w:hAnsi="宋体" w:cs="宋体"/>
          <w:color w:val="auto"/>
          <w:sz w:val="21"/>
          <w:highlight w:val="none"/>
        </w:rPr>
        <w:t xml:space="preserve">批次进行监督抽查，包括</w:t>
      </w:r>
      <w:r>
        <w:rPr>
          <w:rFonts w:hint="eastAsia" w:ascii="宋体" w:hAnsi="宋体" w:cs="宋体"/>
          <w:color w:val="auto"/>
          <w:sz w:val="21"/>
          <w:highlight w:val="none"/>
          <w:lang w:val="en-US" w:eastAsia="zh-CN"/>
        </w:rPr>
        <w:t xml:space="preserve">耳机（有线耳机）（无线耳机）；平板电脑；移动电源；移动电话；电源适配器；消防软管卷盘；过滤式消防自救呼吸器；手提式干粉灭火器；无人机；危险化学品；家用电动洗衣机；电冰箱；房间空气调节器；车用柴油；车用尿素；车用汽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采购包3：共对9个品种175批次进行监督抽查，包括电动汽车充电桩充电枪；食品接触用塑料包装容器、工具等制品；危险化学品包装物；儿童家具；智能坐便器；读写台灯（护眼灯）；LED照明产品</w:t>
      </w:r>
      <w:r/>
    </w:p>
    <w:p>
      <w:pPr>
        <w:spacing w:line="360" w:lineRule="auto"/>
        <w:rPr>
          <w:rFonts w:hint="eastAsia"/>
          <w:lang w:val="en-US" w:eastAsia="zh-CN"/>
        </w:rPr>
      </w:pPr>
      <w:r>
        <w:rPr>
          <w:rFonts w:hint="eastAsia"/>
          <w:lang w:val="en-US" w:eastAsia="zh-CN"/>
        </w:rPr>
        <w:t xml:space="preserve">（含自镇流LED灯）；陶瓷片密封水嘴；淋浴用花洒。</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eastAsia="宋体" w:cs="宋体"/>
          <w:color w:val="auto"/>
          <w:sz w:val="21"/>
          <w:highlight w:val="none"/>
          <w:lang w:val="en-US" w:eastAsia="zh-CN"/>
        </w:rPr>
        <w:t xml:space="preserve">采购包4：</w:t>
      </w:r>
      <w:r>
        <w:rPr>
          <w:rFonts w:hint="eastAsia" w:ascii="宋体" w:hAnsi="宋体" w:eastAsia="宋体" w:cs="宋体"/>
          <w:color w:val="auto"/>
          <w:sz w:val="21"/>
          <w:highlight w:val="none"/>
          <w:lang w:val="en-US" w:eastAsia="zh-CN" w:bidi="ar-SA"/>
        </w:rPr>
        <w:t xml:space="preserve">共对13个品种122批次进行监督抽查，包括烟花爆竹；燃香；快热式电热水器；饮水机；足浴盆；储水式电热水器；吸油烟机；电饭锅；浴霸（风暖）；地漏；</w:t>
      </w:r>
      <w:r>
        <w:rPr>
          <w:rFonts w:hint="eastAsia" w:ascii="宋体" w:hAnsi="宋体" w:eastAsia="宋体" w:cs="宋体"/>
          <w:color w:val="auto"/>
          <w:szCs w:val="21"/>
          <w:highlight w:val="none"/>
          <w:lang w:val="en-US" w:eastAsia="zh-CN"/>
        </w:rPr>
        <w:t xml:space="preserve">轮胎</w:t>
      </w:r>
      <w:r>
        <w:rPr>
          <w:rFonts w:hint="eastAsia" w:ascii="宋体" w:hAnsi="宋体" w:eastAsia="宋体" w:cs="宋体"/>
          <w:color w:val="auto"/>
          <w:sz w:val="21"/>
          <w:highlight w:val="none"/>
          <w:lang w:val="en-US" w:eastAsia="zh-CN" w:bidi="ar-SA"/>
        </w:rPr>
        <w:t xml:space="preserve">；</w:t>
      </w:r>
      <w:r>
        <w:rPr>
          <w:rFonts w:hint="eastAsia" w:ascii="宋体" w:hAnsi="宋体" w:eastAsia="宋体" w:cs="宋体"/>
          <w:color w:val="auto"/>
          <w:szCs w:val="21"/>
          <w:highlight w:val="none"/>
          <w:lang w:val="en-US" w:eastAsia="zh-CN"/>
        </w:rPr>
        <w:t xml:space="preserve">汽车电线束；</w:t>
      </w:r>
      <w:r>
        <w:rPr>
          <w:rFonts w:hint="eastAsia" w:ascii="宋体" w:hAnsi="宋体" w:cs="宋体"/>
          <w:color w:val="auto"/>
          <w:szCs w:val="21"/>
          <w:highlight w:val="none"/>
          <w:lang w:val="en-US" w:eastAsia="zh-CN"/>
        </w:rPr>
        <w:t xml:space="preserve">汽车用制动器衬片。</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采购包5：共对10个品种204批次进行监督抽查，包括</w:t>
      </w:r>
      <w:r>
        <w:rPr>
          <w:rFonts w:hint="eastAsia" w:ascii="宋体" w:hAnsi="宋体" w:eastAsia="宋体" w:cs="宋体"/>
          <w:color w:val="auto"/>
          <w:szCs w:val="21"/>
          <w:highlight w:val="none"/>
          <w:lang w:val="en-US" w:eastAsia="zh-CN"/>
        </w:rPr>
        <w:t xml:space="preserve">泵；消防水带；消防水枪；消防接口；建筑保温材料；液化石油气；电磁灶；电热水壶；电风扇；塑料袋。</w:t>
      </w:r>
      <w:r/>
    </w:p>
    <w:p>
      <w:pPr>
        <w:ind w:firstLine="420"/>
        <w:keepLines w:val="0"/>
        <w:keepNext w:val="0"/>
        <w:pageBreakBefore w:val="0"/>
        <w:spacing w:line="360" w:lineRule="auto"/>
        <w:shd w:val="clear" w:color="auto"/>
        <w:widowControl w:val="off"/>
        <w:rPr>
          <w:rFonts w:hint="eastAsia" w:ascii="宋体" w:hAnsi="宋体" w:cs="宋体"/>
          <w:bCs/>
          <w:highlight w:val="none"/>
          <w:lang w:eastAsia="zh-CN"/>
        </w:rPr>
      </w:pPr>
      <w:r>
        <w:rPr>
          <w:rFonts w:hint="eastAsia" w:ascii="宋体" w:hAnsi="宋体" w:cs="宋体"/>
          <w:color w:val="auto"/>
          <w:szCs w:val="21"/>
          <w:highlight w:val="none"/>
          <w:lang w:val="en-US" w:eastAsia="zh-CN"/>
        </w:rPr>
        <w:t xml:space="preserve">采购包6：共对14个品种135批次进行监督抽查，包括</w:t>
      </w:r>
      <w:r>
        <w:rPr>
          <w:rFonts w:hint="eastAsia" w:ascii="宋体" w:hAnsi="宋体" w:cs="宋体"/>
          <w:highlight w:val="none"/>
        </w:rPr>
        <w:t xml:space="preserve">床上用品（蚕丝被）</w:t>
      </w:r>
      <w:r>
        <w:rPr>
          <w:rFonts w:hint="eastAsia" w:ascii="宋体" w:hAnsi="宋体" w:cs="宋体"/>
          <w:highlight w:val="none"/>
          <w:lang w:eastAsia="zh-CN"/>
        </w:rPr>
        <w:t xml:space="preserve">；</w:t>
      </w:r>
      <w:r>
        <w:rPr>
          <w:rFonts w:hint="eastAsia" w:ascii="宋体" w:hAnsi="宋体" w:cs="宋体"/>
          <w:highlight w:val="none"/>
        </w:rPr>
        <w:t xml:space="preserve">床上用品（四件套、床笠）</w:t>
      </w:r>
      <w:r>
        <w:rPr>
          <w:rFonts w:hint="eastAsia" w:ascii="宋体" w:hAnsi="宋体" w:cs="宋体"/>
          <w:highlight w:val="none"/>
          <w:lang w:eastAsia="zh-CN"/>
        </w:rPr>
        <w:t xml:space="preserve">；儿童及婴幼儿服装；女性内衣；校服；休闲服装；羊毛（绒）衫；羽绒服；羽绒被；</w:t>
      </w:r>
      <w:r>
        <w:rPr>
          <w:rFonts w:hint="eastAsia" w:ascii="宋体" w:hAnsi="宋体" w:cs="宋体"/>
          <w:highlight w:val="none"/>
        </w:rPr>
        <w:t xml:space="preserve">雨衣</w:t>
      </w:r>
      <w:r>
        <w:rPr>
          <w:rFonts w:hint="eastAsia" w:ascii="宋体" w:hAnsi="宋体" w:cs="宋体"/>
          <w:highlight w:val="none"/>
          <w:lang w:eastAsia="zh-CN"/>
        </w:rPr>
        <w:t xml:space="preserve">；</w:t>
      </w:r>
      <w:r>
        <w:rPr>
          <w:rFonts w:hint="eastAsia" w:ascii="宋体" w:hAnsi="宋体" w:cs="宋体"/>
          <w:highlight w:val="none"/>
        </w:rPr>
        <w:t xml:space="preserve">背提包（学生书包）</w:t>
      </w:r>
      <w:r>
        <w:rPr>
          <w:rFonts w:hint="eastAsia" w:ascii="宋体" w:hAnsi="宋体" w:cs="宋体"/>
          <w:highlight w:val="none"/>
          <w:lang w:eastAsia="zh-CN"/>
        </w:rPr>
        <w:t xml:space="preserve">；</w:t>
      </w:r>
      <w:r>
        <w:rPr>
          <w:rFonts w:hint="eastAsia" w:ascii="宋体" w:hAnsi="宋体" w:cs="宋体"/>
          <w:highlight w:val="none"/>
        </w:rPr>
        <w:t xml:space="preserve">老人健步鞋</w:t>
      </w:r>
      <w:r>
        <w:rPr>
          <w:rFonts w:hint="eastAsia" w:ascii="宋体" w:hAnsi="宋体" w:cs="宋体"/>
          <w:highlight w:val="none"/>
          <w:lang w:eastAsia="zh-CN"/>
        </w:rPr>
        <w:t xml:space="preserve">；</w:t>
      </w:r>
      <w:r>
        <w:rPr>
          <w:rFonts w:hint="eastAsia" w:ascii="宋体" w:hAnsi="宋体" w:cs="宋体"/>
          <w:highlight w:val="none"/>
        </w:rPr>
        <w:t xml:space="preserve">皮鞋</w:t>
      </w:r>
      <w:r>
        <w:rPr>
          <w:rFonts w:hint="eastAsia" w:ascii="宋体" w:hAnsi="宋体" w:cs="宋体"/>
          <w:highlight w:val="none"/>
          <w:lang w:eastAsia="zh-CN"/>
        </w:rPr>
        <w:t xml:space="preserve">，</w:t>
      </w:r>
      <w:r>
        <w:rPr>
          <w:rFonts w:hint="eastAsia" w:ascii="宋体" w:hAnsi="宋体" w:cs="宋体"/>
          <w:bCs/>
          <w:highlight w:val="none"/>
        </w:rPr>
        <w:t xml:space="preserve">童鞋</w:t>
      </w:r>
      <w:r>
        <w:rPr>
          <w:rFonts w:hint="eastAsia" w:ascii="宋体" w:hAnsi="宋体" w:cs="宋体"/>
          <w:bCs/>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cs="宋体"/>
          <w:color w:val="auto"/>
          <w:szCs w:val="21"/>
          <w:highlight w:val="none"/>
          <w:lang w:val="en-US" w:eastAsia="zh-CN"/>
        </w:rPr>
        <w:t xml:space="preserve">采购包7：共对11个品种68批次进行监督抽查，包括瓶装液化石油气调压器；燃气连接用软管；燃气灶具；气球（风险监测）；摩托车、电动车乘员头盔；</w:t>
      </w:r>
      <w:r>
        <w:rPr>
          <w:rFonts w:hint="eastAsia" w:ascii="宋体" w:hAnsi="宋体" w:eastAsia="宋体" w:cs="宋体"/>
          <w:i w:val="0"/>
          <w:iCs w:val="0"/>
          <w:color w:val="000000"/>
          <w:sz w:val="21"/>
          <w:szCs w:val="21"/>
          <w:highlight w:val="none"/>
          <w:u w:val="none"/>
          <w:lang w:val="en-US" w:eastAsia="zh-CN" w:bidi="ar-SA"/>
        </w:rPr>
        <w:t xml:space="preserve">板材；天然气；骨灰盒；水溶肥料；磷肥；活性炭。</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8：共对8个品种210批次进行监督抽查，包括学习用品（修正液、涂改制品、橡皮擦、胶黏剂、课业簿册、中性笔及笔芯、水彩笔、橡皮泥、学生书袋、文具盒、笔袋）（监督抽查）；奶嘴（监督抽查）；婴幼儿安抚奶嘴（监督抽查）；婴幼儿用塑料奶瓶（监督抽查）；玩具（电动玩具）（风险监测）；玩具彩泥（造型粘土）（风险监测）；童车（乘骑车辆玩具）（监督抽查）；乐器（竖笛、小提琴、古筝）（监督抽查）。</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采购包9：共对5个品种60批次进行监督抽查，包括湿巾；电动自行车；电动自行车充电器；电动自行车电池；蓄电池（除电动自行车)。</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采购包10：共对5个品种50批次进行监督抽查，包括车用汽油清净剂；机动车发动机冷却液；机动车发动机润滑油；机动车辆制动液；汽车风窗玻璃清洗液。</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投标人可多包兼投。评标时，按</w:t>
      </w:r>
      <w:r>
        <w:rPr>
          <w:rFonts w:hint="eastAsia" w:asciiTheme="minorEastAsia" w:hAnsiTheme="minorEastAsia" w:eastAsiaTheme="minorEastAsia" w:cstheme="minorEastAsia"/>
          <w:szCs w:val="21"/>
          <w:highlight w:val="none"/>
          <w:lang w:eastAsia="zh-CN"/>
        </w:rPr>
        <w:t xml:space="preserve">采购</w:t>
      </w:r>
      <w:r>
        <w:rPr>
          <w:rFonts w:hint="eastAsia" w:asciiTheme="minorEastAsia" w:hAnsiTheme="minorEastAsia" w:eastAsiaTheme="minorEastAsia" w:cstheme="minorEastAsia"/>
          <w:szCs w:val="21"/>
          <w:highlight w:val="none"/>
        </w:rPr>
        <w:t xml:space="preserve">包1到</w:t>
      </w:r>
      <w:r>
        <w:rPr>
          <w:rFonts w:hint="eastAsia" w:asciiTheme="minorEastAsia" w:hAnsiTheme="minorEastAsia" w:eastAsiaTheme="minorEastAsia" w:cstheme="minorEastAsia"/>
          <w:szCs w:val="21"/>
          <w:highlight w:val="none"/>
          <w:lang w:eastAsia="zh-CN"/>
        </w:rPr>
        <w:t xml:space="preserve">采购</w:t>
      </w:r>
      <w:r>
        <w:rPr>
          <w:rFonts w:hint="eastAsia" w:asciiTheme="minorEastAsia" w:hAnsiTheme="minorEastAsia" w:eastAsiaTheme="minorEastAsia" w:cstheme="minorEastAsia"/>
          <w:szCs w:val="21"/>
          <w:highlight w:val="none"/>
        </w:rPr>
        <w:t xml:space="preserve">包10的开标顺序</w:t>
      </w:r>
      <w:r>
        <w:rPr>
          <w:rFonts w:hint="eastAsia" w:asciiTheme="minorEastAsia" w:hAnsiTheme="minorEastAsia" w:eastAsiaTheme="minorEastAsia" w:cstheme="minorEastAsia"/>
          <w:szCs w:val="21"/>
          <w:highlight w:val="none"/>
          <w:lang w:eastAsia="zh-CN"/>
        </w:rPr>
        <w:t xml:space="preserve">评审</w:t>
      </w:r>
      <w:r>
        <w:rPr>
          <w:rFonts w:hint="eastAsia" w:asciiTheme="minorEastAsia" w:hAnsiTheme="minorEastAsia" w:eastAsiaTheme="minorEastAsia" w:cstheme="minorEastAsia"/>
          <w:szCs w:val="21"/>
          <w:highlight w:val="none"/>
        </w:rPr>
        <w:t xml:space="preserve">，同一投标人只能中一个包，不可</w:t>
      </w:r>
      <w:r>
        <w:rPr>
          <w:rFonts w:hint="eastAsia" w:asciiTheme="minorEastAsia" w:hAnsiTheme="minorEastAsia" w:eastAsiaTheme="minorEastAsia" w:cstheme="minorEastAsia"/>
          <w:szCs w:val="21"/>
          <w:highlight w:val="none"/>
          <w:lang w:eastAsia="zh-CN"/>
        </w:rPr>
        <w:t xml:space="preserve">兼中</w:t>
      </w:r>
      <w:r>
        <w:rPr>
          <w:rFonts w:hint="eastAsia" w:asciiTheme="minorEastAsia" w:hAnsiTheme="minorEastAsia" w:eastAsiaTheme="minorEastAsia" w:cstheme="minorEastAsia"/>
          <w:szCs w:val="21"/>
          <w:highlight w:val="none"/>
        </w:rPr>
        <w:t xml:space="preserve">。如同一投标人已中标前包的，则此包由第二中标候选人中标，以此类推。</w:t>
      </w:r>
      <w:r/>
    </w:p>
    <w:p>
      <w:pPr>
        <w:pStyle w:val="723"/>
        <w:spacing w:line="360" w:lineRule="auto"/>
        <w:shd w:val="clear" w:color="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二、各包需求清单</w:t>
      </w:r>
      <w:r/>
    </w:p>
    <w:p>
      <w:pPr>
        <w:pStyle w:val="724"/>
        <w:shd w:val="clear" w:color="auto"/>
        <w:rPr>
          <w:rFonts w:hint="eastAsia"/>
          <w:sz w:val="21"/>
          <w:szCs w:val="21"/>
          <w:highlight w:val="none"/>
          <w:lang w:val="en-US" w:eastAsia="zh-CN"/>
        </w:rPr>
      </w:pPr>
      <w:r>
        <w:rPr>
          <w:rFonts w:hint="eastAsia"/>
          <w:sz w:val="21"/>
          <w:szCs w:val="21"/>
          <w:highlight w:val="none"/>
          <w:lang w:val="en-US" w:eastAsia="zh-CN"/>
        </w:rPr>
        <w:t xml:space="preserve">采购包1：</w:t>
      </w:r>
      <w:r/>
    </w:p>
    <w:tbl>
      <w:tblPr>
        <w:tblStyle w:val="7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3"/>
        <w:gridCol w:w="916"/>
        <w:gridCol w:w="886"/>
        <w:gridCol w:w="2366"/>
        <w:gridCol w:w="2003"/>
        <w:gridCol w:w="2421"/>
        <w:gridCol w:w="805"/>
      </w:tblGrid>
      <w:tr>
        <w:trPr>
          <w:trHeight w:val="900"/>
        </w:trPr>
        <w:tc>
          <w:tcPr>
            <w:shd w:val="clear" w:color="auto" w:fill="ffffff"/>
            <w:tcW w:w="23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gridSpan w:val="2"/>
            <w:shd w:val="clear" w:color="auto" w:fill="ffffff"/>
            <w:tcW w:w="92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产品名称</w:t>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检验项目</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检验检测依据</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检验检测方法</w:t>
            </w:r>
            <w:r/>
          </w:p>
        </w:tc>
        <w:tc>
          <w:tcPr>
            <w:shd w:val="clear" w:color="auto" w:fill="auto"/>
            <w:tcW w:w="413"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批次</w:t>
            </w:r>
            <w:r/>
          </w:p>
        </w:tc>
      </w:tr>
      <w:tr>
        <w:trPr>
          <w:trHeight w:val="840"/>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19342-2024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毛束拉力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6.5.1.1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颈部抗弯力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4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儿童牙刷刷头</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磨毛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6.5.3.1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磨尖丝</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6.5.3.2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3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边缘、尖端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6.6</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儿童用牙刷及口腔器具饰件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4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毛束强度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19342-2024 5.4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及附录A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 6.4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单丝弯曲恢复率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19342-2024 5.7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 6.7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7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产品销售包装标志</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19342-2024 7.1.1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 8.1.1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卫生巾（护垫）</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细菌菌落总数</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8939-2018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trHeight w:val="61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溶血性链球菌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pH值</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8939-2018 4.6及附录C</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甲醛含量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34448-2017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可迁移荧光性物质</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8939-2018 4.9及附录D</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背胶剥离强度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8939-2018 4.10及附录E</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纸尿裤</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婴幼儿纸尿裤</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细菌菌落总数</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28004.1-2021</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溶血性链球菌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28004.1-2021 7.5及附录 B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渗透性能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28004.1-2021 7.3及附录 A</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女性卫生裤</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细菌菌落总数</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39391-2020</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溶血性链球菌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39391-2020 5.3及附录C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吸收速度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39391-2020 5.2及附录A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口腔器具</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4748-2014</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牙线断裂强力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4748-2014 5.4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牙线棒</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4749-2014</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牙线棒断裂强力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4749-2014 5.4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刮舌器</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4745-2014</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颈部抗弯力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4745-2014 5.4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手动牙间刷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36992-2019</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主干牢度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36992-2019 6.5.1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gridSpan w:val="2"/>
            <w:shd w:val="clear" w:color="auto" w:fill="ffffff"/>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儿童玩具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（塑胶、毛绒玩具）</w:t>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机械与物理性能</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6675.2-2014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6675.2-2014</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易燃性能</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6675.3-2014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6675.3-2014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特定元素的迁移</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6675.1-2014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6675.4-2014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增塑剂</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6675.1-2014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gridSpan w:val="2"/>
            <w:shd w:val="clear" w:color="auto" w:fill="ffffff"/>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铝合金建筑型材</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5237.1-2017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5237.2-2017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5237.3-2017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5237.4-2017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5237.6-2017</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7999-2015</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16865-2023</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尺寸及允许偏差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5237.1-2017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膜层性能（阳极氧化）</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5237.2-2017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5237.2-2017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复合膜性能（电泳涂漆）</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5237.3-2017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5237.3-2017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膜层性能（喷粉）</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5237.4-2017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5237.4-2017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膜层性能（喷漆）</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5237.5-2017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5237.5-2017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纵向抗剪特征值（高温）</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5237.6-2017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5237.6-2017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gridSpan w:val="2"/>
            <w:shd w:val="clear" w:color="auto" w:fill="auto"/>
            <w:tcW w:w="92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铝合金制品</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3880.3-2024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3880.2-2024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3880.1-2023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3190-2020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3191-2019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6892-2015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4437.2-2017</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7999-2015</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16865-2023</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231.1-2018</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3880.3-2024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3880.1-2023</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弯曲性能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232-2024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热轧带肋钢筋</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1499.2-2024</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1499.2-2024</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工艺性能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晶粒度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外形及尺寸允许偏差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重量偏差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金相组织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钢管</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8163-2018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8162-2018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13793-2016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12770-2012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12771-2019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14976-2012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14975-2012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3090-2020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3091-2015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13296-2023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6725-2017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6728-2017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GB/T5312-2009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GB/T5310-2023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3087-2022</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4336-2016</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228.1-2010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冲击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229-2020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8163-2018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8162-2018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13793-2016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12770-2012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12771-2019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14976-2012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14975-2012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3091-2015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6725-2017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6728-2017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65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3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压扁试验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246-2017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电力金具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2314-2008</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2314-2008</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标称破坏载荷</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锌层厚度</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gridSpan w:val="2"/>
            <w:shd w:val="clear" w:color="auto" w:fill="auto"/>
            <w:tcW w:w="92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铝合金窗</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抗风压性能</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8478-2020</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8478-2020</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气密性能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水密性能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保温性能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材料与附件</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外观及表面质量</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装配质量</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构造</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gridSpan w:val="2"/>
            <w:shd w:val="clear" w:color="auto" w:fill="auto"/>
            <w:tcW w:w="92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型钢</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706-2016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GB/T11263-2017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GB/T6728-2017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13912-2020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4336-2016</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52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228.1-2021</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4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尺寸及偏差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706-2016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GB/T11263-2017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GB/T6728-2017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镀锌层厚度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13912-2020</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碟形弹簧</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尺寸的极限偏差</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1972-2005</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1972-2005</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表面粗糙度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强压处理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热处理硬度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脱碳层深度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机床</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基本参数检验</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JB/T3185.2-2014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10924-2010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10929-2010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12829.2-2016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2257.1-2014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5197.2-2015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4368.1-2013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6580.1-2014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1647.2-2012</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JB/T3185.2-2014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10924-2010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10929-2010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12829.2-2016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2257.1-2014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5197.2-2015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4368.1-2013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6580.1-2014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1647.2-2012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基本性能检验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配套件与配套性检验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安全与防护检验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噪声检验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零件加工检验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装配质量检验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空运转检验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精度检验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电气设备检验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液压系统、润滑系统、气动系统检验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铸件、锻件、焊接件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弹簧支吊架</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载荷偏差度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NB/T 47038-2019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NB/T 47039-2013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NB/T 47038-2019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NB/T 47039-2013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超载试验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焊接质量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载荷相对偏差度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弹簧垂直度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弹簧自由高度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液压油缸</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最低起动压力</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JB/T10205-2010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JB/T10205-2010</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活塞行程长度偏差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清洁度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涂层附着力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复合肥料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总氮</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15063-2020</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8572-2010</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有效磷</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15063-2020附录A</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钾含量</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8574-2024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8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总养分</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8572-2010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15063-2020附录A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8574-2024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水分</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8576-2010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粒度</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24891-2010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15063-2020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衣料用液体洗涤剂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总活性物</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 </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 </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总五氧化二磷</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规定污布的去污力</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 类</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干钠皂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2486-2008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2486-2008</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总有效物含量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水分和挥发物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总游离碱</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2486-2008</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游离苛性碱</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卫生洁具清洗剂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总酸度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总有效物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13173-2021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稳定性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腐蚀性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总五氧化二磷含量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13173-2021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洗手液</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总有效物</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34855-2017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2654-2013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34855-2017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2654</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汞</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砷</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镉</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耐热大肠菌群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霉菌和酵母菌总数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洗衣粉</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表观密度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13171.1-2022</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总活性物含量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非离子表面活性剂质量分数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总五氧化二磷质量分数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游离碱（以NaOH计）质量分数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pH值</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规定污布的去污力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表面张力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橡胶护舷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硬度（邵尔A）</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2866－2016</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2866－2016</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压缩永久变形  </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臭氧老化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砖和砌块</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烧结多孔砖和多孔砌块</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密度等级</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13544－2011</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13544－2011</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强度等级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孔型</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放射性核素限量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蒸压加气混凝土砌块</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干密度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11968-2020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6566－2010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11969-2020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6566－2010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抗压强度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抗冻性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放射性核素限量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混凝土实心砖</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抗压强度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21144-2023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21144-2023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吸水率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相对含水率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放射性核素限量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橡胶热水袋</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袋身最小厚度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2011-2009</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2011-2009</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容量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漏水试验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建筑防水卷材</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弹性体改性沥青防水卷材</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可溶物含量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18242-2025</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328.26-2007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328.14-2007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328.10-2007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328.8-2007</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低温柔性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高分子防水材料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拉伸强度（常温23℃)</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18173.1-2012</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18173.1-2012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拉断伸长率（常温23℃)</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撕裂强度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低温弯折</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抗折强度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175-2023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175-2023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抗压强度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细度（45μm方孔筛筛余）</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细度（比表面积）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凝结时间</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安定性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胶黏剂</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水溶性聚乙烯醇建筑胶粘剂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不挥发物含量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游离甲醛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甲苯+二甲苯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总挥发性有机物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聚乙酸乙烯酯乳液木材胶粘剂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不挥发物含量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2727－2010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2727－2010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游离甲醛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甲苯+二甲苯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总挥发性有机物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防水涂料</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聚氨酯防水涂料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19250-2013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19250-2013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聚合物水泥防水涂料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23445-2009</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23445-2009</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拉伸强度（无处理）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断裂伸长率（无处理）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低温柔性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水乳型沥青防水涂料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408-2005</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408-2005</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耐热度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低温柔度（标准条件）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断裂伸长率（标准条件）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聚合物乳液建筑防水涂料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拉伸强度（标准状态）</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864-2023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864-2023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9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断裂伸长率（标准状态）</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低温弯折</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橡胶密封制品</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机车车辆门窗用密封材料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TB/T 1422-2013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TB/T 1422-2013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拉断永久变形</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脆性温度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普通液压系统用O形橡胶密封圈</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硬度（邵尔A）</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2579-2008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2579-2008</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脆性温度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止水带</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硬度（邵尔A）</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18173.2-2014</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18173.2-2014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脆性温度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电线电缆（3C管理）</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标志</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5023.1-2008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5023.3-2008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5023.4-2008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5023.5-2008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8734.1-2016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8734.2-2016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8734.3-2016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8734.4-2016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8734.5-2016</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5023.1-2008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2951.11-2008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2951.12-2008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18380.12-2022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导体电阻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绝缘平均厚度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绝缘最薄处厚度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护套平均厚度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护套最薄处厚度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护套老化前后抗张强度变化率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曲挠试验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电缆的单根阻燃</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电线电缆用软聚氯乙烯塑料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拉伸强度（老化前后）</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8815-2008</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8815-2008</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断裂拉伸应变（老化前后）</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热老化质量损失</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冲击脆化性能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200℃时热稳定时间</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20℃时体积电阻率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工作温度时体积电阻率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电线电缆 （工业产品生产许可证管理）       </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绝缘平均厚度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12706.1-2020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9330-2020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12706.1-2020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2951.11-2008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2951.12-2008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2951.21-2008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2951.31-2008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2951.32-2008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18380.12-2022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绝缘最薄处厚度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护套平均厚度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非金属护套最薄厚度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导体电阻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4h电压试验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绝缘老化前抗张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绝缘老化前后抗张强度变化率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EPR，HEPR 和XLPE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绝缘热延伸</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非金属护套老化前抗张强度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3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前后抗张强度变化率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ST2 型 PVC 护套失重</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 护套热冲击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电缆的单根阻燃</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数字通信用聚烯烃绝缘水平对绞电缆</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护套抗张强度和断裂伸长率</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YD/T 1019-2023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2951.11-2008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YD/T 837.2-1996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YD/T 1019-2023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63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老化后护套抗张强度和断裂伸长率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介电强度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单根导体直流电阻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4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线对内两导体间直流电阻不平衡</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工作电容</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相时延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时延差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衰减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近端串音衰减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衰减远端串音比（等电平远端串音衰减）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特性阻抗</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回波损耗</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低压成套设备</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介电性能</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7251.3-2017</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7251.3-2017</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保护电路有效性</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电气间隙和爬电距离</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绝缘材料耐受非正常发热的验证</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ind w:firstLine="420"/>
        <w:spacing w:line="360" w:lineRule="auto"/>
        <w:shd w:val="clear" w:color="auto"/>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lang w:val="en-US" w:eastAsia="zh-CN"/>
        </w:rPr>
      </w:r>
      <w:r/>
    </w:p>
    <w:p>
      <w:pPr>
        <w:pStyle w:val="724"/>
        <w:spacing w:line="360" w:lineRule="auto"/>
        <w:shd w:val="clear" w:color="auto"/>
        <w:rPr>
          <w:rFonts w:hint="eastAsia"/>
          <w:highlight w:val="none"/>
          <w:lang w:val="en-US" w:eastAsia="zh-CN"/>
        </w:rPr>
      </w:pPr>
      <w:r>
        <w:rPr>
          <w:rFonts w:hint="eastAsia"/>
          <w:highlight w:val="none"/>
          <w:lang w:val="en-US" w:eastAsia="zh-CN"/>
        </w:rPr>
        <w:t xml:space="preserve">采购包2：</w:t>
      </w:r>
      <w:r/>
    </w:p>
    <w:tbl>
      <w:tblPr>
        <w:tblStyle w:val="73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05"/>
        <w:gridCol w:w="1158"/>
        <w:gridCol w:w="788"/>
        <w:gridCol w:w="1998"/>
        <w:gridCol w:w="2243"/>
        <w:gridCol w:w="2182"/>
        <w:gridCol w:w="798"/>
      </w:tblGrid>
      <w:tr>
        <w:trPr>
          <w:tblHeader/>
        </w:trPr>
        <w:tc>
          <w:tcPr>
            <w:shd w:val="clear" w:color="auto" w:fill="auto"/>
            <w:tcMar>
              <w:left w:w="120" w:type="dxa"/>
              <w:top w:w="120" w:type="dxa"/>
              <w:right w:w="120" w:type="dxa"/>
              <w:bottom w:w="120" w:type="dxa"/>
            </w:tcMar>
            <w:tcW w:w="357" w:type="pct"/>
            <w:vAlign w:val="center"/>
            <w:textDirection w:val="lrTb"/>
            <w:noWrap w:val="false"/>
          </w:tcPr>
          <w:p>
            <w:pPr>
              <w:jc w:val="center"/>
              <w:spacing w:line="280" w:lineRule="exact"/>
              <w:shd w:val="clear" w:color="auto"/>
              <w:rPr>
                <w:b/>
                <w:highlight w:val="none"/>
              </w:rPr>
            </w:pPr>
            <w:r>
              <w:rPr>
                <w:rFonts w:hint="eastAsia" w:cs="宋体" w:asciiTheme="minorEastAsia" w:hAnsiTheme="minorEastAsia" w:eastAsiaTheme="minorEastAsia"/>
                <w:sz w:val="18"/>
                <w:szCs w:val="18"/>
                <w:highlight w:val="none"/>
              </w:rPr>
              <w:t xml:space="preserve">序号</w:t>
            </w:r>
            <w:r/>
          </w:p>
        </w:tc>
        <w:tc>
          <w:tcPr>
            <w:shd w:val="clear" w:color="auto" w:fill="auto"/>
            <w:tcMar>
              <w:left w:w="120" w:type="dxa"/>
              <w:top w:w="120" w:type="dxa"/>
              <w:right w:w="120" w:type="dxa"/>
              <w:bottom w:w="120" w:type="dxa"/>
            </w:tcMar>
            <w:tcW w:w="586" w:type="pct"/>
            <w:vAlign w:val="center"/>
            <w:textDirection w:val="lrTb"/>
            <w:noWrap w:val="false"/>
          </w:tcPr>
          <w:p>
            <w:pPr>
              <w:jc w:val="center"/>
              <w:spacing w:line="280" w:lineRule="exact"/>
              <w:shd w:val="clear" w:color="auto"/>
              <w:rPr>
                <w:b/>
                <w:highlight w:val="none"/>
              </w:rPr>
            </w:pPr>
            <w:r>
              <w:rPr>
                <w:rFonts w:hint="eastAsia" w:cs="宋体" w:asciiTheme="minorEastAsia" w:hAnsiTheme="minorEastAsia" w:eastAsiaTheme="minorEastAsia"/>
                <w:sz w:val="18"/>
                <w:szCs w:val="18"/>
                <w:highlight w:val="none"/>
              </w:rPr>
              <w:t xml:space="preserve">产品名称</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b/>
                <w:highlight w:val="none"/>
              </w:rPr>
            </w:pPr>
            <w:r>
              <w:rPr>
                <w:rFonts w:hint="eastAsia" w:cs="宋体" w:asciiTheme="minorEastAsia" w:hAnsiTheme="minorEastAsia" w:eastAsiaTheme="minorEastAsia"/>
                <w:sz w:val="18"/>
                <w:szCs w:val="18"/>
                <w:highlight w:val="none"/>
              </w:rPr>
              <w:t xml:space="preserve">检验项目</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b/>
                <w:highlight w:val="none"/>
              </w:rPr>
            </w:pPr>
            <w:r>
              <w:rPr>
                <w:rFonts w:hint="eastAsia" w:cs="宋体" w:asciiTheme="minorEastAsia" w:hAnsiTheme="minorEastAsia" w:eastAsiaTheme="minorEastAsia"/>
                <w:sz w:val="18"/>
                <w:szCs w:val="18"/>
                <w:highlight w:val="none"/>
              </w:rPr>
              <w:t xml:space="preserve">检验依据</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b/>
                <w:highlight w:val="none"/>
              </w:rPr>
            </w:pPr>
            <w:r>
              <w:rPr>
                <w:rFonts w:hint="eastAsia" w:cs="宋体" w:asciiTheme="minorEastAsia" w:hAnsiTheme="minorEastAsia" w:eastAsiaTheme="minorEastAsia"/>
                <w:sz w:val="18"/>
                <w:szCs w:val="18"/>
                <w:highlight w:val="none"/>
              </w:rPr>
              <w:t xml:space="preserve">检验检测方法</w:t>
            </w:r>
            <w:r/>
          </w:p>
        </w:tc>
        <w:tc>
          <w:tcPr>
            <w:shd w:val="clear" w:color="auto" w:fill="auto"/>
            <w:tcMar>
              <w:left w:w="120" w:type="dxa"/>
              <w:top w:w="120" w:type="dxa"/>
              <w:right w:w="120" w:type="dxa"/>
              <w:bottom w:w="120" w:type="dxa"/>
            </w:tcMar>
            <w:tcW w:w="404"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
              </w:rPr>
            </w:pPr>
            <w:r>
              <w:rPr>
                <w:rFonts w:hint="default" w:cs="宋体" w:asciiTheme="minorEastAsia" w:hAnsiTheme="minorEastAsia" w:eastAsiaTheme="minorEastAsia"/>
                <w:sz w:val="18"/>
                <w:szCs w:val="18"/>
                <w:highlight w:val="none"/>
                <w:lang w:val="en"/>
              </w:rPr>
              <w:t xml:space="preserve">批次</w:t>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t xml:space="preserve">1</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耳机（有线耳机）</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听音检验</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14471-2013</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12060.7-2013</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额定阻抗</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声压级</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总谐波失真</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耳机（无线耳机）</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标记和说明</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跌落试验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接触温度限值</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声能量源的安全防护</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t xml:space="preserve">2</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平板电脑</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导体的固定</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电气间隙</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爬电距离</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抗电强度试验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t xml:space="preserve">3</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移动电源</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有效输出容量</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35590-2017</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35590-2017</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转换效率</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过充电保护</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4</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移动电话</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电气间隙</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爬电距离</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抗电强度试验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交流电源端口的传导发射</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22450.1-2008</w:t>
            </w:r>
            <w:r/>
          </w:p>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YD/T 2583.14-2013</w:t>
            </w:r>
            <w:r/>
          </w:p>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YD/T 2583.18-2024</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9254.1-2021</w:t>
            </w:r>
            <w:r/>
          </w:p>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17626.2-2018</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静电放电抗扰度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5</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电源适配器</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跌落试验</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电气间隙</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爬电距离</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抗电强度试验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6</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消防软管卷盘</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密封性能</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耐压性能</w:t>
            </w:r>
            <w:r/>
          </w:p>
        </w:tc>
        <w:tc>
          <w:tcPr>
            <w:shd w:val="clear" w:color="auto" w:fill="auto"/>
            <w:tcMar>
              <w:left w:w="120" w:type="dxa"/>
              <w:top w:w="120" w:type="dxa"/>
              <w:right w:w="120" w:type="dxa"/>
              <w:bottom w:w="120" w:type="dxa"/>
            </w:tcMar>
            <w:tcW w:w="1135" w:type="pct"/>
            <w:vAlign w:val="top"/>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软管耐压性能</w:t>
            </w:r>
            <w:r/>
          </w:p>
        </w:tc>
        <w:tc>
          <w:tcPr>
            <w:shd w:val="clear" w:color="auto" w:fill="auto"/>
            <w:tcMar>
              <w:left w:w="120" w:type="dxa"/>
              <w:top w:w="120" w:type="dxa"/>
              <w:right w:w="120" w:type="dxa"/>
              <w:bottom w:w="120" w:type="dxa"/>
            </w:tcMar>
            <w:tcW w:w="1135" w:type="pct"/>
            <w:vAlign w:val="top"/>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7</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过滤式消防自救呼吸器</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结构</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21976.7-2012</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21976.7-2012</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一氧化碳防护性能</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21976.7-2012</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21976.7-2012</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8</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手提式干粉灭火器</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充装要求</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4351-2023</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4351-2023</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灭火剂（干粉灭火剂）-第一主要组分含量</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4351-2023</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4351-2023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9</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无人机</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机体结构</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 42590-2023</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 42590-2023</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2</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工频磁场</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38909-2020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静电放电</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噪声试验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 42590-2023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10</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危险化学品</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氢气</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3634.2-20</w:t>
            </w:r>
            <w:r>
              <w:rPr>
                <w:rFonts w:hint="eastAsia" w:ascii="宋体" w:hAnsi="宋体" w:cs="宋体"/>
                <w:sz w:val="18"/>
                <w:szCs w:val="18"/>
                <w:highlight w:val="none"/>
              </w:rPr>
              <w:t xml:space="preserve">25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3634.2-20</w:t>
            </w:r>
            <w:r>
              <w:rPr>
                <w:rFonts w:hint="eastAsia" w:ascii="宋体" w:hAnsi="宋体" w:cs="宋体"/>
                <w:sz w:val="18"/>
                <w:szCs w:val="18"/>
                <w:highlight w:val="none"/>
              </w:rPr>
              <w:t xml:space="preserve">25</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邻二氯苯</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HG/T 3602-20</w:t>
            </w:r>
            <w:r>
              <w:rPr>
                <w:rFonts w:hint="eastAsia" w:ascii="宋体" w:hAnsi="宋体" w:cs="宋体"/>
                <w:sz w:val="18"/>
                <w:szCs w:val="18"/>
                <w:highlight w:val="none"/>
              </w:rPr>
              <w:t xml:space="preserve">25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HG/T 3602-20</w:t>
            </w:r>
            <w:r>
              <w:rPr>
                <w:rFonts w:hint="eastAsia" w:ascii="宋体" w:hAnsi="宋体" w:cs="宋体"/>
                <w:sz w:val="18"/>
                <w:szCs w:val="18"/>
                <w:highlight w:val="none"/>
              </w:rPr>
              <w:t xml:space="preserve">25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工业用环氧氯丙烷</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13097-2015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13097-2015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工业用顺丁烯二酸酐</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3676-2020</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3676-2020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工业用环氧乙烷</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13098-2006</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13098-2006</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工业用甲醛溶液</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9009-2011</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9009-2011</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高纯氢氧化钠</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11199-20</w:t>
            </w:r>
            <w:r>
              <w:rPr>
                <w:rFonts w:hint="eastAsia" w:ascii="宋体" w:hAnsi="宋体" w:cs="宋体"/>
                <w:sz w:val="18"/>
                <w:szCs w:val="18"/>
                <w:highlight w:val="none"/>
              </w:rPr>
              <w:t xml:space="preserve">24</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11199-20</w:t>
            </w:r>
            <w:r>
              <w:rPr>
                <w:rFonts w:hint="eastAsia" w:ascii="宋体" w:hAnsi="宋体" w:cs="宋体"/>
                <w:sz w:val="18"/>
                <w:szCs w:val="18"/>
                <w:highlight w:val="none"/>
              </w:rPr>
              <w:t xml:space="preserve">24</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工业用丙酮</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6026-2013</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ascii="宋体" w:hAnsi="宋体" w:cs="宋体"/>
                <w:sz w:val="18"/>
                <w:szCs w:val="18"/>
                <w:highlight w:val="none"/>
                <w:lang w:val="en"/>
              </w:rPr>
              <w:t xml:space="preserve"> </w:t>
            </w:r>
            <w:r>
              <w:rPr>
                <w:rFonts w:ascii="宋体" w:hAnsi="宋体" w:cs="宋体"/>
                <w:sz w:val="18"/>
                <w:szCs w:val="18"/>
                <w:highlight w:val="none"/>
              </w:rPr>
              <w:t xml:space="preserve">6026-2013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工业用合成苯酚</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339-2019</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339-2019</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工业磷酸</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2091-2008</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2091-2008</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工业用异丁醇</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HG/T 3270-2002</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HG/T 3270-2002</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化学试剂 乙醚</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12591-2002</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12591-2002</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次氯酸钠</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19106-2013</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19106-2013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工业液体二氧化碳</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6052-2011</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6052-2011</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11</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家用电动洗衣机</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输入功率和电流</w:t>
            </w:r>
            <w:r/>
          </w:p>
        </w:tc>
        <w:tc>
          <w:tcPr>
            <w:shd w:val="clear" w:color="auto" w:fill="auto"/>
            <w:tcMar>
              <w:left w:w="120" w:type="dxa"/>
              <w:top w:w="120" w:type="dxa"/>
              <w:right w:w="120" w:type="dxa"/>
              <w:bottom w:w="120" w:type="dxa"/>
            </w:tcMar>
            <w:tcW w:w="1135" w:type="pct"/>
            <w:vAlign w:val="top"/>
            <w:textDirection w:val="lrTb"/>
            <w:noWrap w:val="false"/>
          </w:tcPr>
          <w:p>
            <w:pPr>
              <w:ind w:left="-105" w:right="-113"/>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4706.1—2005</w:t>
            </w:r>
            <w:r/>
          </w:p>
          <w:p>
            <w:pPr>
              <w:ind w:left="-105" w:right="-113"/>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4706.24—2008</w:t>
            </w:r>
            <w:r/>
          </w:p>
          <w:p>
            <w:pPr>
              <w:ind w:left="-105" w:right="-113"/>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4706.26—2008</w:t>
            </w:r>
            <w:r/>
          </w:p>
          <w:p>
            <w:pPr>
              <w:ind w:left="-105" w:right="-113"/>
              <w:jc w:val="center"/>
              <w:spacing w:line="300" w:lineRule="exact"/>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4706.1—20</w:t>
            </w:r>
            <w:r>
              <w:rPr>
                <w:rFonts w:hint="eastAsia" w:ascii="宋体" w:hAnsi="宋体" w:cs="宋体"/>
                <w:sz w:val="18"/>
                <w:szCs w:val="18"/>
                <w:highlight w:val="none"/>
              </w:rPr>
              <w:t xml:space="preserve">24</w:t>
            </w:r>
            <w:r/>
          </w:p>
          <w:p>
            <w:pPr>
              <w:ind w:left="-105" w:right="-113"/>
              <w:jc w:val="center"/>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24</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p>
            <w:pPr>
              <w:ind w:left="-105" w:right="-113"/>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26</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tc>
        <w:tc>
          <w:tcPr>
            <w:shd w:val="clear" w:color="auto" w:fill="auto"/>
            <w:tcMar>
              <w:left w:w="120" w:type="dxa"/>
              <w:top w:w="120" w:type="dxa"/>
              <w:right w:w="120" w:type="dxa"/>
              <w:bottom w:w="120" w:type="dxa"/>
            </w:tcMar>
            <w:tcW w:w="1104" w:type="pct"/>
            <w:vAlign w:val="top"/>
            <w:textDirection w:val="lrTb"/>
            <w:noWrap w:val="false"/>
          </w:tcPr>
          <w:p>
            <w:pPr>
              <w:ind w:left="-105"/>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4706.1—2005</w:t>
            </w:r>
            <w:r/>
          </w:p>
          <w:p>
            <w:pPr>
              <w:ind w:left="-105"/>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4706.24—2008</w:t>
            </w:r>
            <w:r/>
          </w:p>
          <w:p>
            <w:pPr>
              <w:ind w:left="-105"/>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4706.26—2008</w:t>
            </w:r>
            <w:r/>
          </w:p>
          <w:p>
            <w:pPr>
              <w:ind w:left="-105"/>
              <w:jc w:val="center"/>
              <w:spacing w:line="300" w:lineRule="exact"/>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4706.1—20</w:t>
            </w:r>
            <w:r>
              <w:rPr>
                <w:rFonts w:hint="eastAsia" w:ascii="宋体" w:hAnsi="宋体" w:cs="宋体"/>
                <w:sz w:val="18"/>
                <w:szCs w:val="18"/>
                <w:highlight w:val="none"/>
              </w:rPr>
              <w:t xml:space="preserve">24</w:t>
            </w:r>
            <w:r/>
          </w:p>
          <w:p>
            <w:pPr>
              <w:ind w:left="-105"/>
              <w:jc w:val="center"/>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24</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p>
            <w:pPr>
              <w:ind w:left="-105"/>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26</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6</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端子骚扰电压（连续骚扰）</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或端口骚扰电压（连续骚扰）</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4343.1—2018</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 4343.1—2024</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4343.1—2018</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 4343.1—2024</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骚扰功率、辐射骚扰</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12</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电冰箱</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总容积</w:t>
            </w:r>
            <w:r/>
          </w:p>
        </w:tc>
        <w:tc>
          <w:tcPr>
            <w:shd w:val="clear" w:color="auto" w:fill="auto"/>
            <w:tcMar>
              <w:left w:w="120" w:type="dxa"/>
              <w:top w:w="120" w:type="dxa"/>
              <w:right w:w="120" w:type="dxa"/>
              <w:bottom w:w="120" w:type="dxa"/>
            </w:tcMar>
            <w:tcW w:w="1135" w:type="pct"/>
            <w:vAlign w:val="center"/>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12021.2—2015</w:t>
            </w:r>
            <w:r/>
          </w:p>
          <w:p>
            <w:pPr>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 12021.2—2025</w:t>
            </w:r>
            <w:r/>
          </w:p>
        </w:tc>
        <w:tc>
          <w:tcPr>
            <w:shd w:val="clear" w:color="auto" w:fill="auto"/>
            <w:tcMar>
              <w:left w:w="120" w:type="dxa"/>
              <w:top w:w="120" w:type="dxa"/>
              <w:right w:w="120" w:type="dxa"/>
              <w:bottom w:w="120" w:type="dxa"/>
            </w:tcMar>
            <w:tcW w:w="1104" w:type="pct"/>
            <w:vAlign w:val="center"/>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12021.2—2015</w:t>
            </w:r>
            <w:r/>
          </w:p>
          <w:p>
            <w:pPr>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 12021.2—2025</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6</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端子骚扰电压（连续骚扰）</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或端口骚扰电压（连续骚扰）</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4343.1—2018</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 4343.1—2024</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4343.1—2018</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 4343.1—2024</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骚扰功率、辐射骚扰</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13</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房间空气调节器</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对触及带电部件的防护</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4706.1—2005</w:t>
            </w:r>
            <w:r/>
          </w:p>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4706.32—2012</w:t>
            </w:r>
            <w:r/>
          </w:p>
          <w:p>
            <w:pPr>
              <w:jc w:val="center"/>
              <w:spacing w:line="300" w:lineRule="exact"/>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4706.1—20</w:t>
            </w:r>
            <w:r>
              <w:rPr>
                <w:rFonts w:hint="eastAsia" w:ascii="宋体" w:hAnsi="宋体" w:cs="宋体"/>
                <w:sz w:val="18"/>
                <w:szCs w:val="18"/>
                <w:highlight w:val="none"/>
              </w:rPr>
              <w:t xml:space="preserve">24</w:t>
            </w:r>
            <w:r/>
          </w:p>
          <w:p>
            <w:pPr>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32</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tc>
        <w:tc>
          <w:tcPr>
            <w:shd w:val="clear" w:color="auto" w:fill="auto"/>
            <w:tcMar>
              <w:left w:w="120" w:type="dxa"/>
              <w:top w:w="120" w:type="dxa"/>
              <w:right w:w="120" w:type="dxa"/>
              <w:bottom w:w="120" w:type="dxa"/>
            </w:tcMar>
            <w:tcW w:w="1104" w:type="pct"/>
            <w:vAlign w:val="center"/>
            <w:vMerge w:val="restart"/>
            <w:textDirection w:val="lrTb"/>
            <w:noWrap w:val="false"/>
          </w:tcPr>
          <w:p>
            <w:pPr>
              <w:ind w:left="-105"/>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4706.1—2005</w:t>
            </w:r>
            <w:r/>
          </w:p>
          <w:p>
            <w:pPr>
              <w:ind w:left="-105"/>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4706.32—2012</w:t>
            </w:r>
            <w:r/>
          </w:p>
          <w:p>
            <w:pPr>
              <w:ind w:left="-105"/>
              <w:jc w:val="center"/>
              <w:spacing w:line="300" w:lineRule="exact"/>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4706.1—20</w:t>
            </w:r>
            <w:r>
              <w:rPr>
                <w:rFonts w:hint="eastAsia" w:ascii="宋体" w:hAnsi="宋体" w:cs="宋体"/>
                <w:sz w:val="18"/>
                <w:szCs w:val="18"/>
                <w:highlight w:val="none"/>
              </w:rPr>
              <w:t xml:space="preserve">24</w:t>
            </w:r>
            <w:r/>
          </w:p>
          <w:p>
            <w:pPr>
              <w:ind w:left="-105"/>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32</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6</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工作温度下的泄漏电流和电气强度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耐潮湿</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泄漏电流和电气强度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机械强度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内部布线</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电源连接和外部软线</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外部导线用接线端子</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接地措施</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电气间隙、爬电距离和固体绝缘</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额定制冷量</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GB/T 7725—2004</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GB/T 7725—2022</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GB/T 7725—2004</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GB/T 7725—2022</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额定制冷消耗功率</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14</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车用柴油</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硫含量</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GB19147-2016</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SH/T 0689-2000</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t xml:space="preserve">20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酸度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258-2016</w:t>
            </w:r>
            <w:r/>
          </w:p>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258-2025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润滑性 磨斑直径</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NB/SH/T 0765-2021</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冷滤点</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NB/SH/T 0248-2019</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闪点（闭口）</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261-2021</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馏程</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6536-2010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密度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1884-2000</w:t>
            </w:r>
            <w:r/>
          </w:p>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1885-1998</w:t>
            </w:r>
            <w:r/>
          </w:p>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SH/T 0604-2000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十六烷指数</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SH/T 0694-2000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lang w:val="en-US" w:eastAsia="zh-CN"/>
              </w:rPr>
              <w:t xml:space="preserve">15</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lang w:val="en-US" w:eastAsia="zh-CN"/>
              </w:rPr>
              <w:t xml:space="preserve">车用尿素</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尿素含量</w:t>
            </w:r>
            <w:r>
              <w:rPr>
                <w:rFonts w:asciiTheme="minorEastAsia" w:hAnsiTheme="minorEastAsia" w:eastAsiaTheme="minorEastAsia"/>
                <w:sz w:val="18"/>
                <w:szCs w:val="18"/>
                <w:highlight w:val="none"/>
              </w:rPr>
              <w:t xml:space="preserve">（质量分数）</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29518—2013</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29518—2013</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t xml:space="preserve">10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密度</w:t>
            </w:r>
            <w:r>
              <w:rPr>
                <w:rFonts w:asciiTheme="minorEastAsia" w:hAnsiTheme="minorEastAsia" w:eastAsiaTheme="minorEastAsia"/>
                <w:sz w:val="18"/>
                <w:szCs w:val="18"/>
                <w:highlight w:val="none"/>
              </w:rPr>
              <w:t xml:space="preserve">（20</w:t>
            </w:r>
            <w:r>
              <w:rPr>
                <w:rFonts w:asciiTheme="minorEastAsia" w:hAnsiTheme="minorEastAsia" w:eastAsiaTheme="minorEastAsia"/>
                <w:sz w:val="18"/>
                <w:szCs w:val="18"/>
                <w:highlight w:val="none"/>
              </w:rPr>
              <w:t xml:space="preserve">℃</w:t>
            </w:r>
            <w:r>
              <w:rPr>
                <w:rFonts w:asciiTheme="minorEastAsia" w:hAnsiTheme="minorEastAsia" w:eastAsiaTheme="minorEastAsia"/>
                <w:sz w:val="18"/>
                <w:szCs w:val="18"/>
                <w:highlight w:val="none"/>
              </w:rPr>
              <w:t xml:space="preserve">）</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SH/T 0604—2000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折光率</w:t>
            </w:r>
            <w:r>
              <w:rPr>
                <w:rFonts w:asciiTheme="minorEastAsia" w:hAnsiTheme="minorEastAsia" w:eastAsiaTheme="minorEastAsia"/>
                <w:sz w:val="18"/>
                <w:szCs w:val="18"/>
                <w:highlight w:val="none"/>
                <w:vertAlign w:val="superscript"/>
              </w:rPr>
              <w:t xml:space="preserve">20</w:t>
            </w:r>
            <w:r>
              <w:rPr>
                <w:rFonts w:asciiTheme="minorEastAsia" w:hAnsiTheme="minorEastAsia" w:eastAsiaTheme="minorEastAsia"/>
                <w:sz w:val="18"/>
                <w:szCs w:val="18"/>
                <w:highlight w:val="none"/>
              </w:rPr>
              <w:t xml:space="preserve">n</w:t>
            </w:r>
            <w:r>
              <w:rPr>
                <w:rFonts w:asciiTheme="minorEastAsia" w:hAnsiTheme="minorEastAsia" w:eastAsiaTheme="minorEastAsia"/>
                <w:sz w:val="18"/>
                <w:szCs w:val="18"/>
                <w:highlight w:val="none"/>
                <w:vertAlign w:val="subscript"/>
              </w:rPr>
              <w:t xml:space="preserve">D</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GB/T 614—2021</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399" w:type="pct"/>
            <w:vAlign w:val="center"/>
            <w:vMerge w:val="restart"/>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lang w:val="en-US" w:eastAsia="zh-CN"/>
              </w:rPr>
            </w:pPr>
            <w:r>
              <w:rPr>
                <w:rFonts w:hint="default" w:asciiTheme="minorEastAsia" w:hAnsiTheme="minorEastAsia" w:eastAsiaTheme="minorEastAsia"/>
                <w:sz w:val="18"/>
                <w:szCs w:val="18"/>
                <w:highlight w:val="none"/>
                <w:lang w:val="en-US" w:eastAsia="zh-CN"/>
              </w:rPr>
              <w:t xml:space="preserve">杂质含量</w:t>
            </w:r>
            <w:r/>
          </w:p>
          <w:p>
            <w:pPr>
              <w:jc w:val="center"/>
              <w:spacing w:line="280" w:lineRule="exact"/>
              <w:shd w:val="clear" w:color="auto"/>
              <w:rPr>
                <w:rFonts w:hint="default" w:asciiTheme="minorEastAsia" w:hAnsiTheme="minorEastAsia" w:eastAsiaTheme="minorEastAsia"/>
                <w:sz w:val="18"/>
                <w:szCs w:val="18"/>
                <w:highlight w:val="none"/>
              </w:rPr>
            </w:pPr>
            <w:r>
              <w:rPr>
                <w:rFonts w:hint="default"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010" w:type="pct"/>
            <w:vAlign w:val="center"/>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lang w:val="en-US" w:eastAsia="zh-CN"/>
              </w:rPr>
            </w:pPr>
            <w:r>
              <w:rPr>
                <w:rFonts w:hint="default" w:asciiTheme="minorEastAsia" w:hAnsiTheme="minorEastAsia" w:eastAsiaTheme="minorEastAsia"/>
                <w:sz w:val="18"/>
                <w:szCs w:val="18"/>
                <w:highlight w:val="none"/>
                <w:lang w:val="en-US" w:eastAsia="zh-CN"/>
              </w:rPr>
              <w:t xml:space="preserve">缩二脲（质量分数）</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29518—2013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399" w:type="pct"/>
            <w:vAlign w:val="center"/>
            <w:vMerge w:val="continue"/>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rPr>
            </w:pPr>
            <w:r>
              <w:rPr>
                <w:rFonts w:hint="default"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010" w:type="pct"/>
            <w:vAlign w:val="center"/>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lang w:val="en-US" w:eastAsia="zh-CN"/>
              </w:rPr>
            </w:pPr>
            <w:r>
              <w:rPr>
                <w:rFonts w:hint="default" w:asciiTheme="minorEastAsia" w:hAnsiTheme="minorEastAsia" w:eastAsiaTheme="minorEastAsia"/>
                <w:sz w:val="18"/>
                <w:szCs w:val="18"/>
                <w:highlight w:val="none"/>
                <w:lang w:val="en-US" w:eastAsia="zh-CN"/>
              </w:rPr>
              <w:t xml:space="preserve">钙</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29518—2013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399" w:type="pct"/>
            <w:vAlign w:val="center"/>
            <w:vMerge w:val="continue"/>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rPr>
            </w:pPr>
            <w:r>
              <w:rPr>
                <w:rFonts w:hint="default"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010" w:type="pct"/>
            <w:vAlign w:val="center"/>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lang w:val="en-US" w:eastAsia="zh-CN"/>
              </w:rPr>
            </w:pPr>
            <w:r>
              <w:rPr>
                <w:rFonts w:hint="default" w:asciiTheme="minorEastAsia" w:hAnsiTheme="minorEastAsia" w:eastAsiaTheme="minorEastAsia"/>
                <w:sz w:val="18"/>
                <w:szCs w:val="18"/>
                <w:highlight w:val="none"/>
                <w:lang w:val="en-US" w:eastAsia="zh-CN"/>
              </w:rPr>
              <w:t xml:space="preserve">钠</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399" w:type="pct"/>
            <w:vAlign w:val="center"/>
            <w:vMerge w:val="continue"/>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rPr>
            </w:pPr>
            <w:r>
              <w:rPr>
                <w:rFonts w:hint="default"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010" w:type="pct"/>
            <w:vAlign w:val="center"/>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lang w:val="en-US" w:eastAsia="zh-CN"/>
              </w:rPr>
            </w:pPr>
            <w:r>
              <w:rPr>
                <w:rFonts w:hint="default" w:asciiTheme="minorEastAsia" w:hAnsiTheme="minorEastAsia" w:eastAsiaTheme="minorEastAsia"/>
                <w:sz w:val="18"/>
                <w:szCs w:val="18"/>
                <w:highlight w:val="none"/>
                <w:lang w:val="en-US" w:eastAsia="zh-CN"/>
              </w:rPr>
              <w:t xml:space="preserve">钾</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lang w:val="en-US" w:eastAsia="zh-CN" w:bidi="ar"/>
              </w:rPr>
              <w:t xml:space="preserve">一致性确认</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29518—2013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16</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车用汽油</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抗爆性-研究法辛烷值</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GB17930-2016 </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5487-2015</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t xml:space="preserve">20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馏程</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6536-2010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硫含量</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SH/T 0689-2000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硫醇（博士试验）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NB/SH/T 0174-2015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铜片腐蚀</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5096-2017</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水溶性酸或碱</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259-1988</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机械杂质及水分</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511-2010</w:t>
            </w:r>
            <w:r/>
          </w:p>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260-2016</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密度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SH/T 0604-2000或GB/T 1884-2000、GB/T 1885-1998</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lang w:val="en-US" w:eastAsia="zh-CN" w:bidi="ar"/>
              </w:rPr>
              <w:suppressLineNumbers w:val="0"/>
            </w:pPr>
            <w:r>
              <w:rPr>
                <w:rFonts w:hint="default" w:ascii="Times New Roman" w:hAnsi="Times New Roman" w:cs="Times New Roman" w:eastAsiaTheme="minorEastAsia"/>
                <w:sz w:val="18"/>
                <w:szCs w:val="18"/>
                <w:highlight w:val="none"/>
                <w:lang w:val="en-US" w:eastAsia="zh-CN" w:bidi="ar"/>
              </w:rPr>
            </w:r>
            <w:r/>
          </w:p>
        </w:tc>
      </w:tr>
    </w:tbl>
    <w:p>
      <w:pPr>
        <w:shd w:val="clear" w:color="auto"/>
        <w:rPr>
          <w:rFonts w:hint="eastAsia"/>
          <w:highlight w:val="none"/>
          <w:lang w:val="en-US" w:eastAsia="zh-CN"/>
        </w:rPr>
      </w:pPr>
      <w:r>
        <w:rPr>
          <w:rFonts w:hint="eastAsia"/>
          <w:highlight w:val="none"/>
          <w:lang w:val="en-US" w:eastAsia="zh-CN"/>
        </w:rPr>
      </w:r>
      <w:r/>
    </w:p>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采购包3：</w:t>
      </w:r>
      <w:r/>
    </w:p>
    <w:tbl>
      <w:tblPr>
        <w:tblStyle w:val="771"/>
        <w:tblpPr w:horzAnchor="page" w:tblpX="990" w:vertAnchor="text" w:tblpY="144"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3"/>
        <w:gridCol w:w="711"/>
        <w:gridCol w:w="1791"/>
        <w:gridCol w:w="1178"/>
        <w:gridCol w:w="1180"/>
        <w:gridCol w:w="1781"/>
        <w:gridCol w:w="2163"/>
        <w:gridCol w:w="543"/>
      </w:tblGrid>
      <w:tr>
        <w:trPr>
          <w:trHeight w:val="544"/>
        </w:trPr>
        <w:tc>
          <w:tcPr>
            <w:shd w:val="clear" w:color="auto" w:fill="auto"/>
            <w:tcW w:w="324" w:type="pct"/>
            <w:vAlign w:val="center"/>
            <w:textDirection w:val="lrTb"/>
            <w:noWrap w:val="false"/>
          </w:tcPr>
          <w:p>
            <w:pPr>
              <w:jc w:val="center"/>
              <w:spacing w:line="280" w:lineRule="exact"/>
              <w:shd w:val="clear" w:color="auto"/>
              <w:rPr>
                <w:rFonts w:ascii="宋体" w:hAnsi="宋体" w:eastAsia="宋体" w:cs="宋体"/>
                <w:sz w:val="20"/>
                <w:szCs w:val="21"/>
                <w:highlight w:val="none"/>
                <w:lang w:val="en-US" w:eastAsia="zh-CN" w:bidi="ar-SA"/>
              </w:rPr>
            </w:pPr>
            <w:r>
              <w:rPr>
                <w:rFonts w:hint="eastAsia" w:ascii="宋体" w:hAnsi="宋体" w:cs="宋体"/>
                <w:sz w:val="21"/>
                <w:szCs w:val="21"/>
                <w:highlight w:val="none"/>
              </w:rPr>
              <w:t xml:space="preserve">序号</w:t>
            </w:r>
            <w:r/>
          </w:p>
        </w:tc>
        <w:tc>
          <w:tcPr>
            <w:gridSpan w:val="2"/>
            <w:shd w:val="clear" w:color="auto" w:fill="auto"/>
            <w:tcW w:w="858" w:type="pct"/>
            <w:vAlign w:val="center"/>
            <w:textDirection w:val="lrTb"/>
            <w:noWrap w:val="false"/>
          </w:tcPr>
          <w:p>
            <w:pPr>
              <w:jc w:val="center"/>
              <w:shd w:val="clear" w:color="auto"/>
              <w:rPr>
                <w:rFonts w:ascii="宋体" w:hAnsi="宋体" w:eastAsia="宋体" w:cs="宋体"/>
                <w:sz w:val="20"/>
                <w:szCs w:val="21"/>
                <w:highlight w:val="none"/>
                <w:lang w:val="en-US" w:eastAsia="zh-CN" w:bidi="ar-SA"/>
              </w:rPr>
            </w:pPr>
            <w:r>
              <w:rPr>
                <w:rFonts w:hint="eastAsia" w:ascii="宋体" w:hAnsi="宋体" w:cs="宋体"/>
                <w:sz w:val="21"/>
                <w:szCs w:val="21"/>
                <w:highlight w:val="none"/>
              </w:rPr>
              <w:t xml:space="preserve">产品名称</w:t>
            </w:r>
            <w:r/>
          </w:p>
        </w:tc>
        <w:tc>
          <w:tcPr>
            <w:gridSpan w:val="2"/>
            <w:shd w:val="clear" w:color="auto" w:fill="auto"/>
            <w:tcW w:w="1333" w:type="pct"/>
            <w:vAlign w:val="center"/>
            <w:textDirection w:val="lrTb"/>
            <w:noWrap w:val="false"/>
          </w:tcPr>
          <w:p>
            <w:pPr>
              <w:jc w:val="center"/>
              <w:shd w:val="clear" w:color="auto"/>
              <w:rPr>
                <w:rFonts w:ascii="宋体" w:hAnsi="宋体" w:eastAsia="宋体" w:cs="宋体"/>
                <w:sz w:val="20"/>
                <w:szCs w:val="21"/>
                <w:highlight w:val="none"/>
                <w:lang w:val="en-US" w:eastAsia="zh-CN" w:bidi="ar-SA"/>
              </w:rPr>
            </w:pPr>
            <w:r>
              <w:rPr>
                <w:rFonts w:hint="eastAsia" w:ascii="宋体" w:hAnsi="宋体" w:cs="宋体"/>
                <w:sz w:val="21"/>
                <w:szCs w:val="21"/>
                <w:highlight w:val="none"/>
              </w:rPr>
              <w:t xml:space="preserve">检验项目</w:t>
            </w:r>
            <w:r/>
          </w:p>
        </w:tc>
        <w:tc>
          <w:tcPr>
            <w:shd w:val="clear" w:color="auto" w:fill="auto"/>
            <w:tcW w:w="972" w:type="pct"/>
            <w:vAlign w:val="center"/>
            <w:textDirection w:val="lrTb"/>
            <w:noWrap w:val="false"/>
          </w:tcPr>
          <w:p>
            <w:pPr>
              <w:jc w:val="center"/>
              <w:shd w:val="clear" w:color="auto"/>
              <w:rPr>
                <w:rFonts w:ascii="宋体" w:hAnsi="宋体" w:eastAsia="宋体" w:cs="宋体"/>
                <w:sz w:val="20"/>
                <w:szCs w:val="21"/>
                <w:highlight w:val="none"/>
                <w:lang w:val="en-US" w:eastAsia="zh-CN" w:bidi="ar-SA"/>
              </w:rPr>
            </w:pPr>
            <w:r>
              <w:rPr>
                <w:rFonts w:hint="eastAsia" w:ascii="宋体" w:hAnsi="宋体" w:cs="宋体"/>
                <w:sz w:val="21"/>
                <w:szCs w:val="21"/>
                <w:highlight w:val="none"/>
              </w:rPr>
              <w:t xml:space="preserve">检验依据</w:t>
            </w:r>
            <w:r/>
          </w:p>
        </w:tc>
        <w:tc>
          <w:tcPr>
            <w:shd w:val="clear" w:color="auto" w:fill="auto"/>
            <w:tcW w:w="1166" w:type="pct"/>
            <w:vAlign w:val="center"/>
            <w:textDirection w:val="lrTb"/>
            <w:noWrap w:val="false"/>
          </w:tcPr>
          <w:p>
            <w:pPr>
              <w:jc w:val="center"/>
              <w:shd w:val="clear" w:color="auto"/>
              <w:rPr>
                <w:rFonts w:ascii="宋体" w:hAnsi="宋体" w:eastAsia="宋体" w:cs="宋体"/>
                <w:sz w:val="20"/>
                <w:szCs w:val="21"/>
                <w:highlight w:val="none"/>
                <w:lang w:val="en-US" w:eastAsia="zh-CN" w:bidi="ar-SA"/>
              </w:rPr>
            </w:pPr>
            <w:r>
              <w:rPr>
                <w:rFonts w:hint="eastAsia" w:ascii="宋体" w:hAnsi="宋体" w:cs="宋体"/>
                <w:sz w:val="21"/>
                <w:szCs w:val="21"/>
                <w:highlight w:val="none"/>
              </w:rPr>
              <w:t xml:space="preserve">检验检测方法</w:t>
            </w:r>
            <w:r/>
          </w:p>
        </w:tc>
        <w:tc>
          <w:tcPr>
            <w:shd w:val="clear" w:color="auto" w:fill="auto"/>
            <w:tcW w:w="344" w:type="pct"/>
            <w:vAlign w:val="center"/>
            <w:textDirection w:val="lrTb"/>
            <w:noWrap w:val="false"/>
          </w:tcPr>
          <w:p>
            <w:pPr>
              <w:jc w:val="center"/>
              <w:shd w:val="clear" w:color="auto"/>
              <w:rPr>
                <w:rFonts w:hint="eastAsia" w:ascii="宋体" w:hAnsi="宋体" w:eastAsia="宋体" w:cs="宋体"/>
                <w:sz w:val="20"/>
                <w:szCs w:val="21"/>
                <w:highlight w:val="none"/>
                <w:lang w:val="en-US" w:eastAsia="zh-CN" w:bidi="ar-SA"/>
              </w:rPr>
            </w:pPr>
            <w:r>
              <w:rPr>
                <w:rFonts w:hint="eastAsia" w:ascii="宋体" w:hAnsi="宋体" w:cs="宋体"/>
                <w:sz w:val="21"/>
                <w:szCs w:val="21"/>
                <w:highlight w:val="none"/>
                <w:lang w:eastAsia="zh-CN"/>
              </w:rPr>
              <w:t xml:space="preserve">批次</w:t>
            </w:r>
            <w:r/>
          </w:p>
        </w:tc>
      </w:tr>
      <w:tr>
        <w:trPr>
          <w:trHeight w:val="79"/>
        </w:trPr>
        <w:tc>
          <w:tcPr>
            <w:tcW w:w="324" w:type="pct"/>
            <w:vAlign w:val="center"/>
            <w:vMerge w:val="restart"/>
            <w:textDirection w:val="lrTb"/>
            <w:noWrap w:val="false"/>
          </w:tcPr>
          <w:p>
            <w:pPr>
              <w:jc w:val="center"/>
              <w:shd w:val="clear" w:color="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p>
        </w:tc>
        <w:tc>
          <w:tcPr>
            <w:tcW w:w="429" w:type="pct"/>
            <w:vAlign w:val="center"/>
            <w:vMerge w:val="restart"/>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电动汽车充电桩充电枪</w:t>
            </w:r>
            <w:r/>
          </w:p>
          <w:p>
            <w:pPr>
              <w:jc w:val="both"/>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电动汽车交流充电桩（依据标准：GB/T 18487.1—2015）</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充电连接控制时序</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18487.1—2015</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rPr>
              <w:t xml:space="preserve">GB/T 18487.1—2015</w:t>
            </w:r>
            <w:r/>
          </w:p>
        </w:tc>
        <w:tc>
          <w:tcPr>
            <w:tcW w:w="344" w:type="pct"/>
            <w:vAlign w:val="center"/>
            <w:vMerge w:val="restart"/>
            <w:textDirection w:val="lrTb"/>
            <w:noWrap w:val="false"/>
          </w:tcPr>
          <w:p>
            <w:pPr>
              <w:jc w:val="center"/>
              <w:shd w:val="clear" w:color="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15</w:t>
            </w:r>
            <w:r/>
          </w:p>
        </w:tc>
      </w:tr>
      <w:tr>
        <w:trPr>
          <w:trHeight w:val="78"/>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介电强度</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冲击耐压</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非正常条件下充电结束或停止</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电动汽车供电设备供电电压消失</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68"/>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电动汽车交流充电桩（依据标准：GB/T 18487.1—2023）</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充电连接控制时序</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介电强度</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冲击耐压</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非正常条件下充电结束停机</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90"/>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供电网断电</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电动汽车交流充电桩（依据标准：GB 39752—2024、GB 44263—2024）</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控制导引电路检查</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工频耐压试验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冲击电压试验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设备侧 CP回路异常保护试验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2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供电网断电保护试验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输出过流保护试验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电动汽车直流充电桩（非车载充电机）（依据标准：GB/T 18487.1—2023）</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充电连接控制时序</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介电强度</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冲击耐压</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非正常条件下充电中止</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电动汽车直流充电桩（非车载充电机）（依据标准：GB/T 18487.1—2023）</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充电连接控制时序</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介电强度</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冲击耐压</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非正常条件下充电结束停机</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输出过压保护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输出过流保护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电动汽车直流充电桩（非车载充电机）（依据标准：GB 39752—2024、GB 44263—2024）</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控制导引电路检查</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工频耐压试验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冲击电压试验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通信超时保护试验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设备侧CC1回路异常保护试验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直流供电回路异常保护试验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输出过压保护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输出过流保护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eastAsia="宋体" w:cs="宋体"/>
                <w:color w:val="auto"/>
                <w:sz w:val="21"/>
                <w:szCs w:val="21"/>
                <w:highlight w:val="none"/>
              </w:rPr>
              <w:t xml:space="preserve">食品接触用塑料包装容器、工具等制品</w:t>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复合膜袋</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 4806.7—2023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 4806.13—2023</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 9685—2016</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10004—2008 GB/T 18192—2008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18454—2019 GB/T 18706—2008 GB/T 19741—2005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21302—2007 GB/T 26690—2011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26691—2011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28117—2011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28118—2011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30768—2014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41168—2021 GB/T 41169—2021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 BB/T 0012—2014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BB/T 0041—2021 BB/T 0052—2017 BB/T 0084—2021 QB/T 1871—1993 QB/T 2197—1996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4806.7—2023</w:t>
            </w:r>
            <w:r/>
          </w:p>
        </w:tc>
        <w:tc>
          <w:tcPr>
            <w:tcW w:w="344" w:type="pct"/>
            <w:vAlign w:val="center"/>
            <w:vMerge w:val="restart"/>
            <w:textDirection w:val="lrTb"/>
            <w:noWrap w:val="false"/>
          </w:tcPr>
          <w:p>
            <w:pPr>
              <w:jc w:val="center"/>
              <w:shd w:val="clear" w:color="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90</w:t>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溶剂残留量总量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10004—2008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31604.60—2024 </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苯类溶剂残留量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10004—2008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31604.60—2024</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特定迁移总量（以己内酰胺计）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（限含PA材质的产品）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31604.19—2016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氯乙烯特定迁移量（限含PVC、PVDC材质的产品）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31604.31—2016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邻苯类增塑剂特定迁移量（限含PVC材质的产品）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31604.30—2016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特定迁移总量（以对苯二甲酸计）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（限含PET、PBT材质的产品）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31604.21—2016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特定迁移总量（以1,2-乙二醇计）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（限含PET材质的产品）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31604.44—2016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特定迁移总量（以1,4-丁二醇计）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（限含PBT材质的产品）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31604.51—2021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微生物总数/菌落总数</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18706—2008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4789.2—2022</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致病菌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4789.4—2024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4789.5—2012</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4789.10—2016</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4789.11—2014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14934—2016</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18706—2008</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大肠菌群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18706—2008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4789.3—2016</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14934—2016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霉菌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18706—2008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4789.15—2016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酵母菌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18706—2008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4789.15—2016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阻隔性能（氧气）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1038—2000</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1038.1—2022</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19789—2005</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19789—2021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阻隔性能（水蒸气）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1037—1988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1037—2021</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21529—2008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26253—2010</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热封强度（仅对袋类产品）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QB/T 2358—1998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19741—2005</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非复合膜袋</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4806.7—2023</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9685—2016</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4456—2008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10003—2008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16958—2008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17030—2019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20218—2021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21661—2020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24984—2010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27740—2011 GB/T 38082—2019 BB/T 0002—2008 BB/T 0014—2011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BB/T 0030—2019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BB/T 0039—2013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QB/T 1956—1994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4806.7—2023</w:t>
            </w:r>
            <w:r/>
          </w:p>
        </w:tc>
        <w:tc>
          <w:tcPr>
            <w:tcW w:w="344"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特定迁移总量（以己内酰胺计）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（限PA材质）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氯乙烯特定迁移量（限PVC、PVDC材质）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邻苯类增塑剂特定迁移量(限PVC材质)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特定迁移总量（以对苯二甲酸计）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特定迁移总量（以1,2—乙二醇计）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31604.44—2016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特定迁移总量（以1,4—丁二醇计）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阻隔性能（氧气）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GB/T 1038—2000</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1038.1—2022</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19789—2005</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19789—2021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阻隔性能（水蒸气）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GB/T 1037—1988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1037—2021</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26253—2010</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热封强度（限袋类产品）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2358—1998</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保鲜膜</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4806.7—2023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9685—2016</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10457—2021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24334—2009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4806.7—2023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氯乙烯特定迁移量（限PVC、PVDC材质）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邻苯类增塑剂特定迁移量(限PVC材质)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特定迁移总量(以对苯二甲酸计) </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特定迁移总量（以1,4-丁二醇计）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阻隔性能（氧气）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GB/T 1038—2000</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1038.1—2022</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阻隔性能（水蒸气）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GB/T 1037—1988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1037—2021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密胺塑料餐具</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4806.7—2023</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41001—2021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QB/T 1999—1994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4806.7—2023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三聚氰胺特定迁移量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31604.15—2016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特定迁移总量（以甲醛计）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31604.48—2016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耐干热性</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1999—1994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41001—2021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耐低温性</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1999—1994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41001—2021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耐湿热性</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1999—1994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41001—2021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耐污染性</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1999—1994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41001—2021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翘曲（底部）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1999—1994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41001—2021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塑料一次性餐饮具</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4806.7—2023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9685—2016</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14934—2016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18006.1—2009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4806.7—2023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特定迁移总量（以己内酰胺计）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（限PA材质）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氯乙烯特定迁移量（限PVC、PVDC材质）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大肠菌群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14934—2016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沙门氏菌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14934—2016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霉菌计数</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4789.15—2016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特定迁移总量（以对苯二甲酸计）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特定迁移总量（以乙二醇计）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31604.44—2016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特定迁移总量（以1,4-丁二醇计）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1,3-丁二烯特定迁移量（限有丁二烯单体的聚合物）</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邻苯类增塑剂特定迁移量（限PVC材质）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塑料餐饮具</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4806.7—2023</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9685—2016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4806.7—2023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特定迁移总量（以己内酰胺计）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（限PA材质）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氯乙烯特定迁移量（限PVC、PVDC材质）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邻苯类增塑剂特定迁移量（限PVC材质）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特定迁移总量（以对苯二甲酸计）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特定迁移总量（以1,2-乙二醇计）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31604.44—2016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特定迁移总量（以1,4-丁二醇计）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双酚A特定迁移量（限PC材质）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苯酚特定迁移量（限PC材质）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31604.46—2023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1,3-丁二烯特定迁移量（限有丁二烯单体的聚合物）</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429"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危险化学品包装物</w:t>
            </w:r>
            <w:r/>
          </w:p>
        </w:tc>
        <w:tc>
          <w:tcPr>
            <w:tcW w:w="429"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钢桶</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气密试验</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325.1-2018</w:t>
            </w:r>
            <w:r/>
          </w:p>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325.1-2018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液压试验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325.1-2018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堆码试验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325.1-2018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跌落试验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325.1-2018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钢提桶</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气密性能</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GB/T 13252-2008</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13252-2008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耐液压性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13252-2008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耐跌落性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13252-2008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耐堆码性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13252-2008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提梁、提环强度</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13252-2008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金属方桶</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气密性能</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GB/T 17343-2023</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17343-2023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耐液压性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17343-2023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耐跌落性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17343-2023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耐堆码性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17343-2023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提环强度</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17343-2023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工业用薄钢板圆罐</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气密试验</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GB/T 15170-2007</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15170-2007</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液压试验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15170-2007</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跌落试验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15170-2007</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堆码试验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15170-2007</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提梁、提环强度试验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15170-2007</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方罐与扁圆罐</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气密性能</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BB/T 0019-2013</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0019-2013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液压性能</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0019-2013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跌落试验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0019-2013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堆码负载性能</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0019-2013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提环拉力</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0019-2013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钢质手提罐</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气密性能</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BB/T 0064-2013</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0064-2013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液压性能</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0064-2013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堆码性能</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0064-2013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跌落试验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0064-2013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提手拉力</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0064-2013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危险品包装用塑料桶、罐</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气密试验</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18191-2008</w:t>
            </w:r>
            <w:r/>
          </w:p>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GB 19160-2008</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18191-2008 6.2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19160-2008 6.2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液压试验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18191-2008 6.3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19160-2008 6.3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堆码试验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18191-2008 6.4</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19160-2008 6.4</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跌落试验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18191-2008 6.5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19160-2008 6.5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gridSpan w:val="2"/>
            <w:tcW w:w="858"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儿童家具</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通用安全要求-材料</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t xml:space="preserve">GB 28007-2024</w:t>
            </w:r>
            <w:r/>
          </w:p>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t xml:space="preserve">GB 18584-2024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28007-2024</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通用安全要求-边缘、尖端及外角</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28007-2024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通用安全要求-小零件</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28007-2024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甲醛</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总挥发性有机化合物（TVOC）</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可迁移有害元素</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苯</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甲苯</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二甲苯（邻、间、对二甲苯之和）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gridSpan w:val="2"/>
            <w:tcW w:w="858"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智能坐便器</w:t>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 </w:t>
            </w:r>
            <w:r/>
          </w:p>
        </w:tc>
        <w:tc>
          <w:tcPr>
            <w:shd w:val="clear" w:color="auto" w:fill="auto"/>
            <w:tcW w:w="972" w:type="pct"/>
            <w:vAlign w:val="center"/>
            <w:vMerge w:val="restart"/>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4706.53-2008</w:t>
            </w:r>
            <w:r/>
          </w:p>
          <w:p>
            <w:pPr>
              <w:jc w:val="center"/>
              <w:shd w:val="clear" w:color="auto"/>
              <w:tabs>
                <w:tab w:val="left" w:pos="737" w:leader="none"/>
                <w:tab w:val="center" w:pos="1314"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cs="宋体"/>
                <w:color w:val="auto"/>
                <w:sz w:val="21"/>
                <w:szCs w:val="21"/>
                <w:highlight w:val="none"/>
                <w:lang w:val="en-US" w:eastAsia="zh-CN"/>
              </w:rPr>
              <w:t xml:space="preserve">24</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4706.53-20</w:t>
            </w:r>
            <w:r>
              <w:rPr>
                <w:rFonts w:hint="eastAsia" w:ascii="宋体" w:hAnsi="宋体" w:cs="宋体"/>
                <w:color w:val="auto"/>
                <w:sz w:val="21"/>
                <w:szCs w:val="21"/>
                <w:highlight w:val="none"/>
                <w:lang w:val="en-US" w:eastAsia="zh-CN"/>
              </w:rPr>
              <w:t xml:space="preserve">24</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38448-2019</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4343.1-2018           GB 4343.1-2024</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6952-2015</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17625.1-2022</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17625.1-2012</w:t>
            </w:r>
            <w:r/>
          </w:p>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color w:val="auto"/>
                <w:sz w:val="21"/>
                <w:szCs w:val="21"/>
                <w:highlight w:val="none"/>
              </w:rPr>
              <w:t xml:space="preserve">GB/T 34549-2024</w:t>
            </w:r>
            <w:r/>
          </w:p>
        </w:tc>
        <w:tc>
          <w:tcPr>
            <w:shd w:val="clear" w:color="auto" w:fill="auto"/>
            <w:tcW w:w="1166" w:type="pct"/>
            <w:vAlign w:val="center"/>
            <w:vMerge w:val="restart"/>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4706.53-2008</w:t>
            </w:r>
            <w:r/>
          </w:p>
          <w:p>
            <w:pPr>
              <w:jc w:val="center"/>
              <w:shd w:val="clear" w:color="auto"/>
              <w:tabs>
                <w:tab w:val="left" w:pos="737" w:leader="none"/>
                <w:tab w:val="center" w:pos="1314"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cs="宋体"/>
                <w:color w:val="auto"/>
                <w:sz w:val="21"/>
                <w:szCs w:val="21"/>
                <w:highlight w:val="none"/>
                <w:lang w:val="en-US" w:eastAsia="zh-CN"/>
              </w:rPr>
              <w:t xml:space="preserve">24</w:t>
            </w:r>
            <w:r/>
          </w:p>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4706.53-20</w:t>
            </w:r>
            <w:r>
              <w:rPr>
                <w:rFonts w:hint="eastAsia" w:ascii="宋体" w:hAnsi="宋体" w:cs="宋体"/>
                <w:color w:val="auto"/>
                <w:sz w:val="21"/>
                <w:szCs w:val="21"/>
                <w:highlight w:val="none"/>
                <w:lang w:val="en-US" w:eastAsia="zh-CN"/>
              </w:rPr>
              <w:t xml:space="preserve">24</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发热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耐潮湿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泄漏电流和电气强度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非正常工作（不含 19.11 条款试验）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结构（不含 22.46 条款）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外部导线用接线端子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螺钉和连接</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水温特性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38448-2019</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6952-2015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 GB/T 34549-2024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喷头自洁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洗净功能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水封回复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污水置换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球排放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颗粒排放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混合介质排放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卫生纸排放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排水管道输送特性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坐圈加热功能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冲洗用水量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单位周期能耗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清洗用水量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水效等级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端子骚扰电压（连续骚扰）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4343.1-2018</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4343.1-2024</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17625.1-2022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GB 17625.1-2012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骚扰功率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谐波电流</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gridSpan w:val="2"/>
            <w:tcW w:w="858"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读写台灯（护眼灯）</w:t>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结构：走线槽</w:t>
            </w:r>
            <w:r/>
          </w:p>
        </w:tc>
        <w:tc>
          <w:tcPr>
            <w:shd w:val="clear" w:color="auto" w:fill="auto"/>
            <w:tcW w:w="972"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widowControl/>
              <w:rPr>
                <w:rFonts w:hint="eastAsia" w:ascii="宋体" w:hAnsi="宋体" w:eastAsia="宋体" w:cs="宋体"/>
                <w:sz w:val="21"/>
                <w:szCs w:val="21"/>
                <w:highlight w:val="none"/>
                <w:lang w:val="de-DE"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结构：平稳性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结构：夹紧力</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外部接线和内部接线：电源连接方法</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外部接线和内部接线：外部接线截面积</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外部接线和内部接线：软线固定架</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外部接线和内部接线:内部接线截面积</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防触电保护</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耐热、耐火和耐起痕:耐热</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耐热、耐火和耐起痕:耐燃烧、防引燃</w:t>
            </w:r>
            <w:r/>
          </w:p>
        </w:tc>
        <w:tc>
          <w:tcPr>
            <w:shd w:val="clear" w:color="auto" w:fill="auto"/>
            <w:tcW w:w="972"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de-DE" w:eastAsia="zh-CN" w:bidi="ar"/>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视网膜蓝光危害</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7</w:t>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LED照明产品</w:t>
            </w:r>
            <w:r/>
          </w:p>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含自镇流LED灯）</w:t>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固定式/嵌入式灯具</w:t>
            </w:r>
            <w:r/>
          </w:p>
        </w:tc>
        <w:tc>
          <w:tcPr>
            <w:shd w:val="clear" w:color="auto" w:fill="auto"/>
            <w:tcW w:w="666"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结构</w:t>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走线槽</w:t>
            </w:r>
            <w:r/>
          </w:p>
        </w:tc>
        <w:tc>
          <w:tcPr>
            <w:shd w:val="clear" w:color="auto" w:fill="auto"/>
            <w:tcW w:w="972"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shd w:val="clear" w:color="auto" w:fill="auto"/>
            <w:tcW w:w="1166"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20</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带有不可替换光源的灯具</w:t>
            </w:r>
            <w:r/>
          </w:p>
        </w:tc>
        <w:tc>
          <w:tcPr>
            <w:shd w:val="clear" w:color="auto" w:fill="auto"/>
            <w:tcW w:w="972"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11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带有非用户替换光源的灯具</w:t>
            </w:r>
            <w:r/>
          </w:p>
        </w:tc>
        <w:tc>
          <w:tcPr>
            <w:shd w:val="clear" w:color="auto" w:fill="auto"/>
            <w:tcW w:w="972"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11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视网膜蓝光危害</w:t>
            </w:r>
            <w:r/>
          </w:p>
        </w:tc>
        <w:tc>
          <w:tcPr>
            <w:shd w:val="clear" w:color="auto" w:fill="auto"/>
            <w:tcW w:w="972"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11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外部接线和内部接线</w:t>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电源连接方法</w:t>
            </w:r>
            <w:r/>
          </w:p>
        </w:tc>
        <w:tc>
          <w:tcPr>
            <w:shd w:val="clear" w:color="auto" w:fill="auto"/>
            <w:tcW w:w="972"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shd w:val="clear" w:color="auto" w:fill="auto"/>
            <w:tcW w:w="1166"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外部接线截面积</w:t>
            </w:r>
            <w:r/>
          </w:p>
        </w:tc>
        <w:tc>
          <w:tcPr>
            <w:shd w:val="clear" w:color="auto" w:fill="auto"/>
            <w:tcW w:w="972"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11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防触电保护</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耐久性试验和热试验</w:t>
            </w:r>
            <w:r/>
          </w:p>
        </w:tc>
        <w:tc>
          <w:tcPr>
            <w:shd w:val="clear" w:color="auto" w:fill="auto"/>
            <w:tcW w:w="6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耐久性试验</w:t>
            </w:r>
            <w:r/>
          </w:p>
        </w:tc>
        <w:tc>
          <w:tcPr>
            <w:shd w:val="clear" w:color="auto" w:fill="auto"/>
            <w:tcW w:w="972" w:type="pct"/>
            <w:vAlign w:val="center"/>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 7000.1</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2015</w:t>
            </w:r>
            <w:r/>
          </w:p>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7000.201-2008</w:t>
            </w:r>
            <w:r/>
          </w:p>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 7000.202</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2008</w:t>
            </w:r>
            <w:r/>
          </w:p>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GB/T 7000.1</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2023</w:t>
            </w:r>
            <w:r/>
          </w:p>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7000.201-2023</w:t>
            </w:r>
            <w:r/>
          </w:p>
          <w:p>
            <w:pPr>
              <w:jc w:val="center"/>
              <w:shd w:val="clear" w:color="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GB/T 7000.202</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2023</w:t>
            </w:r>
            <w:r/>
          </w:p>
        </w:tc>
        <w:tc>
          <w:tcPr>
            <w:shd w:val="clear" w:color="auto" w:fill="auto"/>
            <w:tcW w:w="1166" w:type="pct"/>
            <w:vAlign w:val="center"/>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 7000.1</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2015</w:t>
            </w:r>
            <w:r/>
          </w:p>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7000.201-2008</w:t>
            </w:r>
            <w:r/>
          </w:p>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 7000.202</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2008</w:t>
            </w:r>
            <w:r/>
          </w:p>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GB/T 7000.1</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2023</w:t>
            </w:r>
            <w:r/>
          </w:p>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7000.201-2023</w:t>
            </w:r>
            <w:r/>
          </w:p>
          <w:p>
            <w:pPr>
              <w:jc w:val="center"/>
              <w:shd w:val="clear" w:color="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GB/T 7000.202</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耐热、耐火和耐起痕</w:t>
            </w:r>
            <w:r/>
          </w:p>
        </w:tc>
        <w:tc>
          <w:tcPr>
            <w:shd w:val="clear" w:color="auto" w:fill="auto"/>
            <w:tcW w:w="6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耐热</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7000.201-2008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7000.202-2008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7000.1-2023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7000.201-2023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7000.202-2023</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7000.201-2008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7000.202-2008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7000.1-2023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7000.201-2023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7000.202-2023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耐燃烧、防引燃</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骚扰电压（电源接口）</w:t>
            </w:r>
            <w:r/>
          </w:p>
        </w:tc>
        <w:tc>
          <w:tcPr>
            <w:shd w:val="clear" w:color="auto" w:fill="auto"/>
            <w:tcW w:w="972"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17743-2021</w:t>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17743-2021</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highlight w:val="none"/>
              </w:rPr>
            </w:pPr>
            <w:r>
              <w:rPr>
                <w:rFonts w:hint="eastAsia" w:ascii="宋体" w:hAnsi="宋体" w:eastAsia="宋体" w:cs="宋体"/>
                <w:sz w:val="21"/>
                <w:szCs w:val="21"/>
                <w:highlight w:val="none"/>
                <w:lang w:val="en-US" w:eastAsia="zh-CN"/>
              </w:rPr>
              <w:t xml:space="preserve">谐波电流限值</w:t>
            </w:r>
            <w:r/>
          </w:p>
        </w:tc>
        <w:tc>
          <w:tcPr>
            <w:shd w:val="clear" w:color="auto" w:fill="auto"/>
            <w:tcW w:w="972"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17625.1-2012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17625.1-2022</w:t>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17625.1-2012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17625.1-2022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能效等级（光效）、能效限定值（光效）</w:t>
            </w:r>
            <w:r/>
          </w:p>
        </w:tc>
        <w:tc>
          <w:tcPr>
            <w:shd w:val="clear" w:color="auto" w:fill="auto"/>
            <w:tcW w:w="972"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30255-2019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38450-2019</w:t>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30255-2019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29293-2012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38450-2019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31897.201-2016</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自镇流LED灯</w:t>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标志</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互换性</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意外接触带电部件的防护</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潮湿处理后的绝缘电阻和介电强度</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机械强度</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防火与防燃</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灯功率</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功率因数</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初始光效/光通量</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颜色特征</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8</w:t>
            </w:r>
            <w:r/>
          </w:p>
        </w:tc>
        <w:tc>
          <w:tcPr>
            <w:gridSpan w:val="2"/>
            <w:tcW w:w="858"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陶瓷片密封水嘴</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管螺纹精度 </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18145-2014</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25501-2019 </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18145-2014</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25501-2019 </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冷热水标志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抗水压机械性能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密封性能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表面耐腐蚀性能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流量均匀性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流量（适用于GB 25501-2019）</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水效等级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9</w:t>
            </w:r>
            <w:r/>
          </w:p>
        </w:tc>
        <w:tc>
          <w:tcPr>
            <w:gridSpan w:val="2"/>
            <w:tcW w:w="858"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淋浴用花洒</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螺纹精度 </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23447-2009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23447-2023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28378-2019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18145-2014</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23447-2009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23447-2023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28378-2019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18145-2014</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表面涂镀层质量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密封性能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机械强度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手持式花洒防虹吸性能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流量（适用于GB 28378-2019）</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流量均匀性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淋浴器节水评价值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喷射力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淋浴器水效限定值</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热效率值</w:t>
            </w:r>
            <w:r/>
          </w:p>
        </w:tc>
        <w:tc>
          <w:tcPr>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12021.6-2017</w:t>
            </w:r>
            <w:r/>
          </w:p>
        </w:tc>
        <w:tc>
          <w:tcPr>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12021.6-2017</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待机功率</w:t>
            </w:r>
            <w:r/>
          </w:p>
        </w:tc>
        <w:tc>
          <w:tcPr>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保温能耗</w:t>
            </w:r>
            <w:r/>
          </w:p>
        </w:tc>
        <w:tc>
          <w:tcPr>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端子骚扰电压（连续骚扰）</w:t>
            </w:r>
            <w:r/>
          </w:p>
        </w:tc>
        <w:tc>
          <w:tcPr>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4343.1-2018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4343.1-2024</w:t>
            </w:r>
            <w:r/>
          </w:p>
        </w:tc>
        <w:tc>
          <w:tcPr>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4343.1-2018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4343.1-2024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断续骚扰电压</w:t>
            </w:r>
            <w:r/>
          </w:p>
        </w:tc>
        <w:tc>
          <w:tcPr>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骚扰功率</w:t>
            </w:r>
            <w:r/>
          </w:p>
        </w:tc>
        <w:tc>
          <w:tcPr>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17625.1-2022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17625.1-2012</w:t>
            </w:r>
            <w:r/>
          </w:p>
        </w:tc>
        <w:tc>
          <w:tcPr>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17625.1-2022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17625.1-2012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谐波电流</w:t>
            </w:r>
            <w:r/>
          </w:p>
        </w:tc>
        <w:tc>
          <w:tcPr>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采购包4：</w:t>
      </w:r>
      <w:r/>
    </w:p>
    <w:tbl>
      <w:tblPr>
        <w:tblStyle w:val="771"/>
        <w:tblpPr w:horzAnchor="page" w:tblpX="990" w:vertAnchor="text" w:tblpY="144"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37"/>
        <w:gridCol w:w="721"/>
        <w:gridCol w:w="952"/>
        <w:gridCol w:w="41"/>
        <w:gridCol w:w="1661"/>
        <w:gridCol w:w="2123"/>
        <w:gridCol w:w="2298"/>
        <w:gridCol w:w="678"/>
      </w:tblGrid>
      <w:tr>
        <w:trPr>
          <w:trHeight w:val="567"/>
          <w:tblHeader/>
        </w:trPr>
        <w:tc>
          <w:tcPr>
            <w:shd w:val="clear" w:color="auto" w:fill="auto"/>
            <w:tcW w:w="324" w:type="pct"/>
            <w:vAlign w:val="center"/>
            <w:textDirection w:val="lrTb"/>
            <w:noWrap w:val="false"/>
          </w:tcPr>
          <w:p>
            <w:pPr>
              <w:jc w:val="center"/>
              <w:spacing w:line="280" w:lineRule="exact"/>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序号</w:t>
            </w:r>
            <w:r/>
          </w:p>
        </w:tc>
        <w:tc>
          <w:tcPr>
            <w:gridSpan w:val="2"/>
            <w:shd w:val="clear" w:color="auto" w:fill="auto"/>
            <w:tcW w:w="740"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产品名称</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检验项目</w:t>
            </w:r>
            <w:r/>
          </w:p>
        </w:tc>
        <w:tc>
          <w:tcPr>
            <w:shd w:val="clear" w:color="auto" w:fill="auto"/>
            <w:tcW w:w="1077"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检验依据</w:t>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检验检测方法</w:t>
            </w:r>
            <w:r/>
          </w:p>
        </w:tc>
        <w:tc>
          <w:tcPr>
            <w:shd w:val="clear" w:color="auto" w:fill="auto"/>
            <w:tcW w:w="344"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eastAsia="zh-CN"/>
              </w:rPr>
              <w:t xml:space="preserve">批次</w:t>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p>
        </w:tc>
        <w:tc>
          <w:tcPr>
            <w:gridSpan w:val="2"/>
            <w:tcW w:w="740"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烟花爆竹</w:t>
            </w:r>
            <w:r/>
          </w:p>
        </w:tc>
        <w:tc>
          <w:tcPr>
            <w:gridSpan w:val="3"/>
            <w:shd w:val="clear" w:color="auto" w:fill="auto"/>
            <w:tcW w:w="134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销售包装标志</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504"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部件</w:t>
            </w:r>
            <w:r/>
          </w:p>
        </w:tc>
        <w:tc>
          <w:tcPr>
            <w:shd w:val="clear" w:color="auto" w:fill="auto"/>
            <w:tcW w:w="842"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引燃装置</w:t>
            </w:r>
            <w:r/>
          </w:p>
        </w:tc>
        <w:tc>
          <w:tcPr>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504"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842"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手持部位</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504"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842"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燃放导向装置</w:t>
            </w:r>
            <w:r/>
          </w:p>
        </w:tc>
        <w:tc>
          <w:tcPr>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en-US" w:bidi="ar"/>
              </w:rPr>
            </w:pPr>
            <w:r>
              <w:rPr>
                <w:rFonts w:hint="eastAsia" w:ascii="宋体" w:hAnsi="宋体" w:eastAsia="宋体" w:cs="宋体"/>
                <w:color w:val="auto"/>
                <w:sz w:val="21"/>
                <w:szCs w:val="21"/>
                <w:highlight w:val="none"/>
                <w:lang w:val="en-US" w:eastAsia="zh-CN" w:bidi="ar"/>
              </w:rPr>
              <w:t xml:space="preserve">结构</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药种（氯酸盐）</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21242-2019</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药量</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燃放性能</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燃香</w:t>
            </w:r>
            <w:r/>
          </w:p>
        </w:tc>
        <w:tc>
          <w:tcPr>
            <w:shd w:val="clear" w:color="auto" w:fill="auto"/>
            <w:tcBorders>
              <w:right w:val="single" w:color="auto" w:sz="4" w:space="0"/>
            </w:tcBorders>
            <w:tcW w:w="483"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燃烧后有害物质</w:t>
            </w:r>
            <w:r/>
          </w:p>
        </w:tc>
        <w:tc>
          <w:tcPr>
            <w:gridSpan w:val="2"/>
            <w:shd w:val="clear" w:color="auto" w:fill="auto"/>
            <w:tcBorders>
              <w:left w:val="single" w:color="auto" w:sz="4" w:space="0"/>
            </w:tcBorders>
            <w:tcW w:w="863"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甲醛</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GB/T 26393-2011</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right w:val="single" w:color="auto" w:sz="4" w:space="0"/>
            </w:tcBorders>
            <w:tcW w:w="483" w:type="pct"/>
            <w:vAlign w:val="center"/>
            <w:vMerge w:val="continue"/>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gridSpan w:val="2"/>
            <w:shd w:val="clear" w:color="auto" w:fill="auto"/>
            <w:tcBorders>
              <w:left w:val="single" w:color="auto" w:sz="4" w:space="0"/>
            </w:tcBorders>
            <w:tcW w:w="863"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苯</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GB/T 26393-2011</w:t>
            </w:r>
            <w:r/>
          </w:p>
        </w:tc>
        <w:tc>
          <w:tcPr>
            <w:tcW w:w="344" w:type="pct"/>
            <w:vAlign w:val="center"/>
            <w:vMerge w:val="continue"/>
            <w:textDirection w:val="lrTb"/>
            <w:noWrap w:val="false"/>
          </w:tcPr>
          <w:p>
            <w:pPr>
              <w:jc w:val="center"/>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right w:val="single" w:color="auto" w:sz="4" w:space="0"/>
            </w:tcBorders>
            <w:tcW w:w="483" w:type="pct"/>
            <w:vAlign w:val="center"/>
            <w:vMerge w:val="continue"/>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gridSpan w:val="2"/>
            <w:shd w:val="clear" w:color="auto" w:fill="auto"/>
            <w:tcBorders>
              <w:left w:val="single" w:color="auto" w:sz="4" w:space="0"/>
            </w:tcBorders>
            <w:tcW w:w="863"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甲苯</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GB/T 26393-2011</w:t>
            </w:r>
            <w:r/>
          </w:p>
        </w:tc>
        <w:tc>
          <w:tcPr>
            <w:tcW w:w="344" w:type="pct"/>
            <w:vAlign w:val="center"/>
            <w:vMerge w:val="continue"/>
            <w:textDirection w:val="lrTb"/>
            <w:noWrap w:val="false"/>
          </w:tcPr>
          <w:p>
            <w:pPr>
              <w:jc w:val="center"/>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right w:val="single" w:color="auto" w:sz="4" w:space="0"/>
            </w:tcBorders>
            <w:tcW w:w="483" w:type="pct"/>
            <w:vAlign w:val="center"/>
            <w:vMerge w:val="continue"/>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gridSpan w:val="2"/>
            <w:shd w:val="clear" w:color="auto" w:fill="auto"/>
            <w:tcBorders>
              <w:left w:val="single" w:color="auto" w:sz="4" w:space="0"/>
            </w:tcBorders>
            <w:tcW w:w="863"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二甲苯</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GB/T 26393-2011</w:t>
            </w:r>
            <w:r/>
          </w:p>
        </w:tc>
        <w:tc>
          <w:tcPr>
            <w:tcW w:w="344" w:type="pct"/>
            <w:vAlign w:val="center"/>
            <w:vMerge w:val="continue"/>
            <w:textDirection w:val="lrTb"/>
            <w:noWrap w:val="false"/>
          </w:tcPr>
          <w:p>
            <w:pPr>
              <w:jc w:val="center"/>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83"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可迁移元素</w:t>
            </w:r>
            <w:r/>
          </w:p>
        </w:tc>
        <w:tc>
          <w:tcPr>
            <w:gridSpan w:val="2"/>
            <w:shd w:val="clear" w:color="auto" w:fill="auto"/>
            <w:tcW w:w="863"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GB/T 26393-2011 </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83"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shd w:val="clear" w:color="auto" w:fill="auto"/>
            <w:tcW w:w="863"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GB/T 26393-2011 </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83"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863"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汞</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GB/T 26393-2011 </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83"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863"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铬</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GB/T 26393-2011 </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83"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863"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砷</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GB/T 26393-2011 </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快热式电热水器</w:t>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4706.11—2008</w:t>
            </w:r>
            <w:r/>
          </w:p>
          <w:p>
            <w:pPr>
              <w:jc w:val="center"/>
              <w:spacing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eastAsia="宋体" w:cs="宋体"/>
                <w:color w:val="auto"/>
                <w:sz w:val="21"/>
                <w:szCs w:val="21"/>
                <w:highlight w:val="none"/>
                <w:lang w:val="en-US" w:eastAsia="zh-CN"/>
              </w:rPr>
              <w:t xml:space="preserve">24</w:t>
            </w:r>
            <w:r/>
          </w:p>
          <w:p>
            <w:pPr>
              <w:jc w:val="center"/>
              <w:spacing w:line="300" w:lineRule="exact"/>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24</w:t>
            </w:r>
            <w:r/>
          </w:p>
        </w:tc>
        <w:tc>
          <w:tcPr>
            <w:shd w:val="clear" w:color="auto" w:fill="auto"/>
            <w:tcW w:w="1166"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4706.11—2008</w:t>
            </w:r>
            <w:r/>
          </w:p>
          <w:p>
            <w:pPr>
              <w:jc w:val="center"/>
              <w:spacing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eastAsia="宋体" w:cs="宋体"/>
                <w:color w:val="auto"/>
                <w:sz w:val="21"/>
                <w:szCs w:val="21"/>
                <w:highlight w:val="none"/>
                <w:lang w:val="en-US" w:eastAsia="zh-CN"/>
              </w:rPr>
              <w:t xml:space="preserve">24</w:t>
            </w:r>
            <w:r/>
          </w:p>
          <w:p>
            <w:pPr>
              <w:jc w:val="center"/>
              <w:spacing w:line="300" w:lineRule="exact"/>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结构（不包括第22.46条的试验）</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外部导线用接线端子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螺钉和连接</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4</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饮水机</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4706.19-2008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2024</w:t>
            </w:r>
            <w:r/>
          </w:p>
        </w:tc>
        <w:tc>
          <w:tcPr>
            <w:shd w:val="clear" w:color="auto" w:fill="auto"/>
            <w:tcW w:w="1166"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4706.19-2008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2024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外部导线用接线端子</w:t>
            </w:r>
            <w:r/>
          </w:p>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或外部导体用接线端子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832"/>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足浴盆</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4706.10—2008</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4706.1—2024</w:t>
            </w:r>
            <w:r/>
          </w:p>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GB/T 4706.10—2024</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4706.10—2008</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GB/T 4706.10—2024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r>
        <w:trPr>
          <w:trHeight w:val="770"/>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结构（不包括第22.46条试验）</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外部导线用接线端子</w:t>
            </w:r>
            <w:r/>
          </w:p>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或外部导体用接线端子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储水式电热水器</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1998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2006</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GB/T 4706.12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tc>
        <w:tc>
          <w:tcPr>
            <w:shd w:val="clear" w:color="auto" w:fill="auto"/>
            <w:tcW w:w="1166"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1998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2006</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GB/T 4706.12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both"/>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外部导线用接线端子</w:t>
            </w:r>
            <w:r/>
          </w:p>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或外部导体用接线端子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螺钉和连接</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吸油烟机</w:t>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contextualSpacing/>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4706.28-2008</w:t>
            </w:r>
            <w:r/>
          </w:p>
          <w:p>
            <w:pPr>
              <w:contextualSpacing/>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eastAsia="宋体" w:cs="宋体"/>
                <w:color w:val="auto"/>
                <w:sz w:val="21"/>
                <w:szCs w:val="21"/>
                <w:highlight w:val="none"/>
                <w:lang w:val="en-US" w:eastAsia="zh-CN"/>
              </w:rPr>
              <w:t xml:space="preserve">24</w:t>
            </w:r>
            <w:r/>
          </w:p>
          <w:p>
            <w:pPr>
              <w:contextualSpacing/>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24</w:t>
            </w:r>
            <w:r/>
          </w:p>
        </w:tc>
        <w:tc>
          <w:tcPr>
            <w:shd w:val="clear" w:color="auto" w:fill="auto"/>
            <w:tcW w:w="1166" w:type="pct"/>
            <w:vAlign w:val="center"/>
            <w:vMerge w:val="restart"/>
            <w:textDirection w:val="lrTb"/>
            <w:noWrap w:val="false"/>
          </w:tcPr>
          <w:p>
            <w:pPr>
              <w:contextualSpacing/>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4706.28-2008</w:t>
            </w:r>
            <w:r/>
          </w:p>
          <w:p>
            <w:pPr>
              <w:contextualSpacing/>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eastAsia="宋体" w:cs="宋体"/>
                <w:color w:val="auto"/>
                <w:sz w:val="21"/>
                <w:szCs w:val="21"/>
                <w:highlight w:val="none"/>
                <w:lang w:val="en-US" w:eastAsia="zh-CN"/>
              </w:rPr>
              <w:t xml:space="preserve">24</w:t>
            </w:r>
            <w:r/>
          </w:p>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外部导线用接线端子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螺钉和连接</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电饭锅</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4706.19-2008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color w:val="auto"/>
                <w:sz w:val="21"/>
                <w:szCs w:val="21"/>
                <w:highlight w:val="none"/>
                <w:lang w:val="de-DE" w:eastAsia="zh-CN" w:bidi="ar-SA"/>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2024</w:t>
            </w:r>
            <w:r/>
          </w:p>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4706.19-2008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b w:val="0"/>
                <w:bCs w:val="0"/>
                <w:color w:val="auto"/>
                <w:sz w:val="21"/>
                <w:szCs w:val="21"/>
                <w:highlight w:val="none"/>
                <w:lang w:val="de-DE" w:eastAsia="zh-CN" w:bidi="ar-SA"/>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外部导线用接线端子</w:t>
            </w:r>
            <w:r/>
          </w:p>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或外部导体用接线端子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浴霸（风暖）</w:t>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4706.23—2007</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4706.1—2024</w:t>
            </w:r>
            <w:r/>
          </w:p>
          <w:p>
            <w:pPr>
              <w:jc w:val="center"/>
              <w:spacing w:line="300" w:lineRule="exact"/>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GB/T 4706.23—2024</w:t>
            </w:r>
            <w:r/>
          </w:p>
        </w:tc>
        <w:tc>
          <w:tcPr>
            <w:shd w:val="clear" w:color="auto" w:fill="auto"/>
            <w:tcW w:w="1166"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4706.23—2007</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4706.1—2024</w:t>
            </w:r>
            <w:r/>
          </w:p>
          <w:p>
            <w:pPr>
              <w:jc w:val="center"/>
              <w:spacing w:line="300" w:lineRule="exact"/>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GB/T 4706.23—2024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机械强度（GB/T 4706.1—2024、GB/T 4706.23—2024不包括第21.104、21.106条试验）</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结构（不包括第22.46条试验）</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外部导线用接线端子</w:t>
            </w:r>
            <w:r/>
          </w:p>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或外部导体用接线端子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螺钉和连接</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c>
          <w:tcPr>
            <w:gridSpan w:val="2"/>
            <w:tcW w:w="740" w:type="pct"/>
            <w:vAlign w:val="center"/>
            <w:vMerge w:val="restart"/>
            <w:textDirection w:val="lrTb"/>
            <w:noWrap w:val="false"/>
          </w:tcPr>
          <w:p>
            <w:pPr>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地漏</w:t>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承载能力</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restart"/>
            <w:textDirection w:val="lrTb"/>
            <w:noWrap w:val="false"/>
          </w:tcPr>
          <w:p>
            <w:pPr>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耐压性能</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密闭性能</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排水流量</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自清能力</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水封稳定性</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67"/>
          <w:tblHeader/>
        </w:trPr>
        <w:tc>
          <w:tcPr>
            <w:tcW w:w="324" w:type="pct"/>
            <w:vAlign w:val="center"/>
            <w:vMerge w:val="restart"/>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374" w:type="pct"/>
            <w:vAlign w:val="center"/>
            <w:vMerge w:val="restart"/>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轮胎</w:t>
            </w:r>
            <w:r/>
          </w:p>
        </w:tc>
        <w:tc>
          <w:tcPr>
            <w:tcW w:w="365" w:type="pct"/>
            <w:vAlign w:val="center"/>
            <w:vMerge w:val="restart"/>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轿车轮胎</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新胎外缘尺寸</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 9743-2024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521-2023</w:t>
            </w:r>
            <w:r/>
          </w:p>
        </w:tc>
        <w:tc>
          <w:tcPr>
            <w:tcW w:w="344" w:type="pct"/>
            <w:vAlign w:val="center"/>
            <w:vMerge w:val="restart"/>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7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65"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胎面磨耗标志高度</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 9743-2024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521-2023</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7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65"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强度性能</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 9743-2024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4502-2023</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7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65"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无内胎轮胎脱圈阻力</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 9743-2024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4502-2023</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滚动阻力性能</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9743-2024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29040-2012</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restart"/>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 w:val="21"/>
                <w:szCs w:val="21"/>
                <w:highlight w:val="none"/>
                <w:lang w:val="en-US" w:eastAsia="zh-CN"/>
              </w:rPr>
              <w:t xml:space="preserve">载重汽车轮胎</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新胎外缘尺寸</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9744-2024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521-2023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胎面磨耗标志高度</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9744-2024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521-2023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强度性能</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9744-2024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4501-2023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滚动阻力性能</w:t>
            </w:r>
            <w:r/>
          </w:p>
        </w:tc>
        <w:tc>
          <w:tcPr>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9744-2024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29040-2012</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restart"/>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汽车轮胎内胎</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拉伸强度</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default" w:ascii="宋体" w:hAnsi="宋体" w:eastAsia="宋体" w:cs="宋体"/>
                <w:color w:val="auto"/>
                <w:szCs w:val="21"/>
                <w:highlight w:val="none"/>
                <w:lang w:val="en-US" w:eastAsia="zh-CN"/>
              </w:rPr>
              <w:t xml:space="preserve">GB/T 7036.1-2023</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519-2017</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老化后拉伸强度变化率的绝对值</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扯断伸长率</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519-2017</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热拉伸变形</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接头强度</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12</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汽车电线束</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电线束尺寸</w:t>
            </w:r>
            <w:r/>
          </w:p>
        </w:tc>
        <w:tc>
          <w:tcPr>
            <w:shd w:val="clear" w:color="auto" w:fill="auto"/>
            <w:tcW w:w="1077" w:type="pct"/>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lang w:val="de-DE" w:eastAsia="zh-CN" w:bidi="ar-SA"/>
              </w:rPr>
            </w:pPr>
            <w:r>
              <w:rPr>
                <w:rFonts w:hint="eastAsia" w:ascii="宋体" w:hAnsi="宋体" w:eastAsia="宋体" w:cs="宋体"/>
                <w:color w:val="auto"/>
                <w:sz w:val="21"/>
                <w:szCs w:val="21"/>
                <w:highlight w:val="none"/>
              </w:rPr>
              <w:t xml:space="preserve">QC/T 29106-2014</w:t>
            </w:r>
            <w:r/>
          </w:p>
        </w:tc>
        <w:tc>
          <w:tcPr>
            <w:shd w:val="clear" w:color="auto" w:fill="auto"/>
            <w:tcW w:w="1166" w:type="pct"/>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lang w:val="de-DE" w:eastAsia="zh-CN" w:bidi="ar-SA"/>
              </w:rPr>
            </w:pPr>
            <w:r>
              <w:rPr>
                <w:rFonts w:hint="eastAsia" w:ascii="宋体" w:hAnsi="宋体" w:eastAsia="宋体" w:cs="宋体"/>
                <w:color w:val="auto"/>
                <w:sz w:val="21"/>
                <w:szCs w:val="21"/>
                <w:highlight w:val="none"/>
              </w:rPr>
              <w:t xml:space="preserve">QC/T 29106-2014</w:t>
            </w:r>
            <w:r/>
          </w:p>
        </w:tc>
        <w:tc>
          <w:tcPr>
            <w:tcBorders>
              <w:top w:val="single" w:color="auto" w:sz="4" w:space="0"/>
              <w:bottom w:val="single" w:color="auto" w:sz="4" w:space="0"/>
            </w:tcBorders>
            <w:tcW w:w="344" w:type="pct"/>
            <w:vAlign w:val="center"/>
            <w:vMerge w:val="restart"/>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cantSplit/>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W w:w="740"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端子与电线的连接</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eastAsia="zh-CN" w:bidi="ar-SA"/>
              </w:rPr>
            </w:pPr>
            <w:r>
              <w:rPr>
                <w:rFonts w:hint="eastAsia" w:ascii="宋体" w:hAnsi="宋体" w:eastAsia="宋体" w:cs="宋体"/>
                <w:color w:val="auto"/>
                <w:sz w:val="21"/>
                <w:szCs w:val="21"/>
                <w:highlight w:val="none"/>
                <w:lang w:val="de-DE" w:eastAsia="zh-CN" w:bidi="ar-SA"/>
              </w:rPr>
            </w:r>
            <w:r/>
          </w:p>
        </w:tc>
        <w:tc>
          <w:tcPr>
            <w:shd w:val="clear" w:color="auto" w:fill="auto"/>
            <w:tcW w:w="1166" w:type="pct"/>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lang w:val="de-DE" w:eastAsia="zh-CN" w:bidi="ar-SA"/>
              </w:rPr>
            </w:pPr>
            <w:r>
              <w:rPr>
                <w:rFonts w:hint="eastAsia" w:ascii="宋体" w:hAnsi="宋体" w:eastAsia="宋体" w:cs="宋体"/>
                <w:color w:val="auto"/>
                <w:sz w:val="21"/>
                <w:szCs w:val="21"/>
                <w:highlight w:val="none"/>
              </w:rPr>
              <w:t xml:space="preserve">QC/T 29106-2014</w:t>
            </w:r>
            <w:r/>
          </w:p>
        </w:tc>
        <w:tc>
          <w:tcPr>
            <w:tcBorders>
              <w:top w:val="single" w:color="auto" w:sz="4" w:space="0"/>
              <w:bottom w:val="single" w:color="auto" w:sz="4" w:space="0"/>
            </w:tcBorders>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W w:w="740"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接点</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eastAsia="zh-CN" w:bidi="ar-SA"/>
              </w:rPr>
            </w:pPr>
            <w:r>
              <w:rPr>
                <w:rFonts w:hint="eastAsia" w:ascii="宋体" w:hAnsi="宋体" w:eastAsia="宋体" w:cs="宋体"/>
                <w:color w:val="auto"/>
                <w:sz w:val="21"/>
                <w:szCs w:val="21"/>
                <w:highlight w:val="none"/>
                <w:lang w:val="de-DE" w:eastAsia="zh-CN" w:bidi="ar-SA"/>
              </w:rPr>
            </w:r>
            <w:r/>
          </w:p>
        </w:tc>
        <w:tc>
          <w:tcPr>
            <w:shd w:val="clear" w:color="auto" w:fill="auto"/>
            <w:tcW w:w="1166" w:type="pct"/>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lang w:val="de-DE" w:eastAsia="zh-CN" w:bidi="ar-SA"/>
              </w:rPr>
            </w:pPr>
            <w:r>
              <w:rPr>
                <w:rFonts w:hint="eastAsia" w:ascii="宋体" w:hAnsi="宋体" w:eastAsia="宋体" w:cs="宋体"/>
                <w:color w:val="auto"/>
                <w:sz w:val="21"/>
                <w:szCs w:val="21"/>
                <w:highlight w:val="none"/>
              </w:rPr>
              <w:t xml:space="preserve">QC/T 29106-2014</w:t>
            </w:r>
            <w:r/>
          </w:p>
        </w:tc>
        <w:tc>
          <w:tcPr>
            <w:tcBorders>
              <w:top w:val="single" w:color="auto" w:sz="4" w:space="0"/>
              <w:bottom w:val="single" w:color="auto" w:sz="4" w:space="0"/>
            </w:tcBorders>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W w:w="740"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电路</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eastAsia="zh-CN" w:bidi="ar-SA"/>
              </w:rPr>
            </w:pPr>
            <w:r>
              <w:rPr>
                <w:rFonts w:hint="eastAsia" w:ascii="宋体" w:hAnsi="宋体" w:eastAsia="宋体" w:cs="宋体"/>
                <w:color w:val="auto"/>
                <w:sz w:val="21"/>
                <w:szCs w:val="21"/>
                <w:highlight w:val="none"/>
                <w:lang w:val="de-DE" w:eastAsia="zh-CN" w:bidi="ar-SA"/>
              </w:rPr>
            </w:r>
            <w:r/>
          </w:p>
        </w:tc>
        <w:tc>
          <w:tcPr>
            <w:shd w:val="clear" w:color="auto" w:fill="auto"/>
            <w:tcW w:w="1166" w:type="pct"/>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lang w:val="de-DE" w:eastAsia="zh-CN" w:bidi="ar-SA"/>
              </w:rPr>
            </w:pPr>
            <w:r>
              <w:rPr>
                <w:rFonts w:hint="eastAsia" w:ascii="宋体" w:hAnsi="宋体" w:eastAsia="宋体" w:cs="宋体"/>
                <w:color w:val="auto"/>
                <w:sz w:val="21"/>
                <w:szCs w:val="21"/>
                <w:highlight w:val="none"/>
              </w:rPr>
              <w:t xml:space="preserve">QC/T 29106-2014</w:t>
            </w:r>
            <w:r/>
          </w:p>
        </w:tc>
        <w:tc>
          <w:tcPr>
            <w:tcBorders>
              <w:top w:val="single" w:color="auto" w:sz="4" w:space="0"/>
              <w:bottom w:val="single" w:color="auto" w:sz="4" w:space="0"/>
            </w:tcBorders>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13</w:t>
            </w:r>
            <w:r/>
          </w:p>
        </w:tc>
        <w:tc>
          <w:tcPr>
            <w:gridSpan w:val="2"/>
            <w:tcW w:w="740" w:type="pct"/>
            <w:vAlign w:val="center"/>
            <w:vMerge w:val="restart"/>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汽车用制动器衬片</w:t>
            </w:r>
            <w:r/>
          </w:p>
        </w:tc>
        <w:tc>
          <w:tcPr>
            <w:gridSpan w:val="3"/>
            <w:shd w:val="clear" w:color="auto" w:fill="auto"/>
            <w:tcW w:w="1347" w:type="pct"/>
            <w:vAlign w:val="center"/>
            <w:vMerge w:val="restart"/>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摩擦性能</w:t>
            </w:r>
            <w:r/>
          </w:p>
        </w:tc>
        <w:tc>
          <w:tcPr>
            <w:shd w:val="clear" w:color="auto" w:fill="auto"/>
            <w:tcW w:w="1077" w:type="pct"/>
            <w:vAlign w:val="center"/>
            <w:vMerge w:val="restart"/>
            <w:textDirection w:val="lrTb"/>
            <w:noWrap w:val="false"/>
          </w:tcPr>
          <w:p>
            <w:pPr>
              <w:jc w:val="center"/>
              <w:shd w:val="clear" w:color="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GB 5763-2018</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en-US"/>
              </w:rPr>
            </w:pPr>
            <w:r>
              <w:rPr>
                <w:rFonts w:hint="eastAsia" w:ascii="宋体" w:hAnsi="宋体" w:eastAsia="宋体" w:cs="宋体"/>
                <w:color w:val="auto"/>
                <w:highlight w:val="none"/>
                <w:lang w:val="en-US" w:eastAsia="zh-CN"/>
              </w:rPr>
              <w:t xml:space="preserve">GB/T 34007-2017</w:t>
            </w:r>
            <w:r/>
          </w:p>
        </w:tc>
        <w:tc>
          <w:tcPr>
            <w:tcW w:w="344" w:type="pct"/>
            <w:vAlign w:val="center"/>
            <w:vMerge w:val="restart"/>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vMerge w:val="continue"/>
            <w:textDirection w:val="lrTb"/>
            <w:noWrap w:val="false"/>
          </w:tcPr>
          <w:p>
            <w:pPr>
              <w:jc w:val="center"/>
              <w:shd w:val="clear" w:color="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shd w:val="clear" w:color="auto" w:fill="auto"/>
            <w:tcW w:w="1077" w:type="pct"/>
            <w:vAlign w:val="center"/>
            <w:vMerge w:val="continue"/>
            <w:textDirection w:val="lrTb"/>
            <w:noWrap w:val="false"/>
          </w:tcPr>
          <w:p>
            <w:pPr>
              <w:jc w:val="center"/>
              <w:shd w:val="clear" w:color="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GB/T 17469-2024</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W w:w="740"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石棉含量</w:t>
            </w:r>
            <w:r/>
          </w:p>
        </w:tc>
        <w:tc>
          <w:tcPr>
            <w:shd w:val="clear" w:color="auto" w:fill="auto"/>
            <w:tcW w:w="1077" w:type="pct"/>
            <w:vAlign w:val="center"/>
            <w:vMerge w:val="continue"/>
            <w:textDirection w:val="lrTb"/>
            <w:noWrap w:val="false"/>
          </w:tcPr>
          <w:p>
            <w:pPr>
              <w:jc w:val="center"/>
              <w:shd w:val="clear" w:color="auto"/>
              <w:rPr>
                <w:rFonts w:ascii="宋体" w:hAnsi="宋体" w:cs="宋体"/>
                <w:color w:val="auto"/>
                <w:highlight w:val="none"/>
                <w:lang w:val="de-DE"/>
              </w:rPr>
            </w:pPr>
            <w:r>
              <w:rPr>
                <w:rFonts w:ascii="宋体" w:hAnsi="宋体" w:cs="宋体"/>
                <w:color w:val="auto"/>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en-US"/>
              </w:rPr>
            </w:pPr>
            <w:r>
              <w:rPr>
                <w:rFonts w:hint="eastAsia" w:ascii="宋体" w:hAnsi="宋体" w:eastAsia="宋体" w:cs="宋体"/>
                <w:color w:val="auto"/>
                <w:highlight w:val="none"/>
                <w:lang w:val="en-US" w:eastAsia="zh-CN"/>
              </w:rPr>
              <w:t xml:space="preserve">GB/T 23263-2024</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采购包5：</w:t>
      </w:r>
      <w:r/>
    </w:p>
    <w:tbl>
      <w:tblPr>
        <w:tblStyle w:val="7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497"/>
        <w:gridCol w:w="1017"/>
        <w:gridCol w:w="2879"/>
        <w:gridCol w:w="2195"/>
        <w:gridCol w:w="2085"/>
        <w:gridCol w:w="684"/>
      </w:tblGrid>
      <w:tr>
        <w:trPr>
          <w:trHeight w:val="489"/>
        </w:trPr>
        <w:tc>
          <w:tcPr>
            <w:tcW w:w="250" w:type="pct"/>
            <w:vAlign w:val="center"/>
            <w:textDirection w:val="lrTb"/>
            <w:noWrap w:val="false"/>
          </w:tcPr>
          <w:p>
            <w:pPr>
              <w:jc w:val="center"/>
              <w:spacing w:line="280" w:lineRule="exact"/>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序号</w:t>
            </w:r>
            <w:r/>
          </w:p>
        </w:tc>
        <w:tc>
          <w:tcPr>
            <w:gridSpan w:val="2"/>
            <w:tcW w:w="768" w:type="pct"/>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产品名称</w:t>
            </w:r>
            <w:r/>
          </w:p>
        </w:tc>
        <w:tc>
          <w:tcPr>
            <w:tcW w:w="1461" w:type="pct"/>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检验项目</w:t>
            </w:r>
            <w:r/>
          </w:p>
        </w:tc>
        <w:tc>
          <w:tcPr>
            <w:tcW w:w="1114" w:type="pct"/>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检验依据</w:t>
            </w:r>
            <w:r/>
          </w:p>
        </w:tc>
        <w:tc>
          <w:tcPr>
            <w:tcW w:w="1058" w:type="pct"/>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检验检测方法</w:t>
            </w:r>
            <w:r/>
          </w:p>
        </w:tc>
        <w:tc>
          <w:tcPr>
            <w:tcW w:w="347" w:type="pct"/>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批次</w:t>
            </w:r>
            <w:r/>
          </w:p>
        </w:tc>
      </w:tr>
      <w:tr>
        <w:trPr>
          <w:trHeight w:val="385"/>
        </w:trPr>
        <w:tc>
          <w:tcPr>
            <w:tcW w:w="250"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p>
        </w:tc>
        <w:tc>
          <w:tcPr>
            <w:tcW w:w="252"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泵</w:t>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潜水泵</w:t>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过载保护</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接地措施</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绝缘电阻</w:t>
            </w:r>
            <w:r/>
          </w:p>
        </w:tc>
        <w:tc>
          <w:tcPr>
            <w:shd w:val="clear" w:color="auto" w:fill="auto"/>
            <w:tcW w:w="1114" w:type="pct"/>
            <w:vAlign w:val="center"/>
            <w:vMerge w:val="restart"/>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GB/T24674-2021</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25409-2010</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CJ/T 472-2015</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2818-2014</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JB/T 8645-2011</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JB/T 8857-2011</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JB/T 10179-2016</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JB/T 10377-2015</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JB/T 10608-2017</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电泵引出电缆</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定子绕组耐电压</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效率</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规定点流量与扬程</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功率因数</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定子温升限值</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电泵输入功率、泵轴功率</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安全标志</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地面泵</w:t>
            </w:r>
            <w:r/>
          </w:p>
        </w:tc>
        <w:tc>
          <w:tcPr>
            <w:tcW w:w="1461"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规定点效率</w:t>
            </w:r>
            <w:r/>
          </w:p>
        </w:tc>
        <w:tc>
          <w:tcPr>
            <w:shd w:val="clear" w:color="auto" w:fill="auto"/>
            <w:tcW w:w="1114"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 32284-2015</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13007-2011</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6663-2018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8059-2020</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JB/T 6878-2006</w:t>
            </w:r>
            <w:r/>
          </w:p>
        </w:tc>
        <w:tc>
          <w:tcPr>
            <w:shd w:val="clear" w:color="auto" w:fill="auto"/>
            <w:tcW w:w="1058"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3216-2016</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规定点流量与扬程</w:t>
            </w:r>
            <w:r/>
          </w:p>
        </w:tc>
        <w:tc>
          <w:tcPr>
            <w:shd w:val="clear" w:color="auto" w:fill="auto"/>
            <w:tcW w:w="1114"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 32284-2015</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13007-2011</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6663-2018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8059-2020</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JB/T 6878-2006</w:t>
            </w:r>
            <w:r/>
          </w:p>
        </w:tc>
        <w:tc>
          <w:tcPr>
            <w:shd w:val="clear" w:color="auto" w:fill="auto"/>
            <w:tcW w:w="1058"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3216-2016</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汽蚀余量</w:t>
            </w:r>
            <w:r/>
          </w:p>
        </w:tc>
        <w:tc>
          <w:tcPr>
            <w:shd w:val="clear" w:color="auto" w:fill="auto"/>
            <w:tcW w:w="1114"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3215-2019</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13006-2013</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6663-2018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6878-2006</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JB/T 8059-2020</w:t>
            </w:r>
            <w:r/>
          </w:p>
        </w:tc>
        <w:tc>
          <w:tcPr>
            <w:shd w:val="clear" w:color="auto" w:fill="auto"/>
            <w:tcW w:w="1058"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3216-2016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振动</w:t>
            </w:r>
            <w:r/>
          </w:p>
        </w:tc>
        <w:tc>
          <w:tcPr>
            <w:shd w:val="clear" w:color="auto" w:fill="auto"/>
            <w:tcW w:w="1114"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6663-2018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6878-2006</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8059-2020</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3215-2019</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5656-2008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16907-2014</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25140-2010</w:t>
            </w:r>
            <w:r/>
          </w:p>
        </w:tc>
        <w:tc>
          <w:tcPr>
            <w:shd w:val="clear" w:color="auto" w:fill="auto"/>
            <w:tcW w:w="1058"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29531-2013</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3215-2019</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5656-2008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16907-2014</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25140-2010</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噪声</w:t>
            </w:r>
            <w:r/>
          </w:p>
        </w:tc>
        <w:tc>
          <w:tcPr>
            <w:shd w:val="clear" w:color="auto" w:fill="auto"/>
            <w:tcW w:w="1114"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6663-2018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6878-2006</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JB/T 8059-2020</w:t>
            </w:r>
            <w:r/>
          </w:p>
        </w:tc>
        <w:tc>
          <w:tcPr>
            <w:shd w:val="clear" w:color="auto" w:fill="auto"/>
            <w:tcW w:w="1058"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29529-2013</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响应时间试验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GB 15322.3-2019</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GB 15322.3-2019</w:t>
            </w:r>
            <w:r/>
          </w:p>
        </w:tc>
        <w:tc>
          <w:tcPr>
            <w:tcW w:w="347"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标志</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GB 15322.3-2019</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GB 15322.3-2019</w:t>
            </w:r>
            <w:r/>
          </w:p>
        </w:tc>
        <w:tc>
          <w:tcPr>
            <w:tcW w:w="347"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gridSpan w:val="2"/>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消防水带</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水压试验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tcW w:w="347" w:type="pct"/>
            <w:vAlign w:val="center"/>
            <w:vMerge w:val="restart"/>
            <w:textDirection w:val="lrTb"/>
            <w:noWrap w:val="false"/>
          </w:tcPr>
          <w:p>
            <w:pPr>
              <w:jc w:val="center"/>
              <w:spacing w:line="280" w:lineRule="exact"/>
              <w:shd w:val="clear" w:color="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35</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爆破试验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延伸率和膨胀率及扭转方向</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附着强度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GB/T 532-2008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热空气老化性能</w:t>
            </w:r>
            <w:r/>
          </w:p>
        </w:tc>
        <w:tc>
          <w:tcPr>
            <w:shd w:val="clear" w:color="auto" w:fill="auto"/>
            <w:tcW w:w="1114" w:type="pct"/>
            <w:vAlign w:val="center"/>
            <w:textDirection w:val="lrTb"/>
            <w:noWrap w:val="false"/>
          </w:tcPr>
          <w:p>
            <w:pPr>
              <w:jc w:val="center"/>
              <w:shd w:val="clear" w:color="auto"/>
              <w:rPr>
                <w:rFonts w:hint="eastAsia"/>
                <w:color w:val="auto"/>
                <w:highlight w:val="none"/>
              </w:rPr>
            </w:pPr>
            <w:r>
              <w:rPr>
                <w:rFonts w:hint="eastAsia" w:ascii="宋体" w:hAnsi="宋体" w:eastAsia="宋体" w:cs="宋体"/>
                <w:color w:val="auto"/>
                <w:szCs w:val="21"/>
                <w:highlight w:val="none"/>
              </w:rPr>
              <w:t xml:space="preserve">GB 6246-2011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p>
            <w:pPr>
              <w:jc w:val="center"/>
              <w:shd w:val="clear" w:color="auto"/>
              <w:rPr>
                <w:rFonts w:hint="eastAsia"/>
                <w:color w:val="auto"/>
                <w:highlight w:val="none"/>
              </w:rPr>
            </w:pPr>
            <w:r>
              <w:rPr>
                <w:rFonts w:hint="eastAsia" w:ascii="宋体" w:hAnsi="宋体" w:eastAsia="宋体" w:cs="宋体"/>
                <w:color w:val="auto"/>
                <w:szCs w:val="21"/>
                <w:highlight w:val="none"/>
                <w:lang w:val="en-US" w:eastAsia="zh-CN"/>
              </w:rPr>
              <w:t xml:space="preserve">GB/T 532-2008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gridSpan w:val="2"/>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消防水枪</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密封性能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tcW w:w="347" w:type="pct"/>
            <w:vAlign w:val="center"/>
            <w:vMerge w:val="restart"/>
            <w:textDirection w:val="lrTb"/>
            <w:noWrap w:val="false"/>
          </w:tcPr>
          <w:p>
            <w:pPr>
              <w:jc w:val="center"/>
              <w:spacing w:line="280" w:lineRule="exact"/>
              <w:shd w:val="clear" w:color="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耐腐蚀性能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抗跌落性能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耐水压强度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gridSpan w:val="2"/>
            <w:tcW w:w="768"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消防接口</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外观</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tcW w:w="347" w:type="pct"/>
            <w:vAlign w:val="center"/>
            <w:vMerge w:val="restart"/>
            <w:textDirection w:val="lrTb"/>
            <w:noWrap w:val="false"/>
          </w:tcPr>
          <w:p>
            <w:pPr>
              <w:jc w:val="center"/>
              <w:spacing w:line="280" w:lineRule="exact"/>
              <w:shd w:val="clear" w:color="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操作力和操作力矩</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7"/>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密封性能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水压性能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抗跌性能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耐腐蚀性能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12514.1-2005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252"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建筑保温材料</w:t>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挤塑聚苯板（XPS）</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压缩强度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10801.2-20</w:t>
            </w:r>
            <w:r>
              <w:rPr>
                <w:rFonts w:hint="eastAsia" w:ascii="宋体" w:hAnsi="宋体" w:eastAsia="宋体" w:cs="宋体"/>
                <w:color w:val="auto"/>
                <w:szCs w:val="21"/>
                <w:highlight w:val="none"/>
                <w:lang w:val="en-US" w:eastAsia="zh-CN"/>
              </w:rPr>
              <w:t xml:space="preserve">18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8813-20</w:t>
            </w:r>
            <w:r>
              <w:rPr>
                <w:rFonts w:hint="eastAsia" w:ascii="宋体" w:hAnsi="宋体" w:eastAsia="宋体" w:cs="宋体"/>
                <w:color w:val="auto"/>
                <w:szCs w:val="21"/>
                <w:highlight w:val="none"/>
                <w:lang w:val="en-US" w:eastAsia="zh-CN"/>
              </w:rPr>
              <w:t xml:space="preserve">20</w:t>
            </w:r>
            <w:r/>
          </w:p>
        </w:tc>
        <w:tc>
          <w:tcPr>
            <w:tcW w:w="347"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导热系数（</w:t>
            </w:r>
            <w:r>
              <w:rPr>
                <w:rFonts w:hint="default"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en-US" w:eastAsia="zh-CN"/>
              </w:rPr>
              <w:t xml:space="preserve">℃）</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10801.2-20</w:t>
            </w:r>
            <w:r>
              <w:rPr>
                <w:rFonts w:hint="eastAsia" w:ascii="宋体" w:hAnsi="宋体" w:eastAsia="宋体" w:cs="宋体"/>
                <w:color w:val="auto"/>
                <w:szCs w:val="21"/>
                <w:highlight w:val="none"/>
                <w:lang w:val="en-US" w:eastAsia="zh-CN"/>
              </w:rPr>
              <w:t xml:space="preserve">18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rPr>
                <w:rFonts w:hint="eastAsia" w:ascii="宋体" w:hAnsi="宋体" w:eastAsia="宋体" w:cs="宋体"/>
                <w:color w:val="auto"/>
                <w:szCs w:val="21"/>
                <w:highlight w:val="none"/>
                <w:lang w:val="en-US" w:eastAsia="zh-CN"/>
              </w:rPr>
              <w:t xml:space="preserve"> </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10801.2-20</w:t>
            </w:r>
            <w:r>
              <w:rPr>
                <w:rFonts w:hint="eastAsia" w:ascii="宋体" w:hAnsi="宋体" w:eastAsia="宋体" w:cs="宋体"/>
                <w:color w:val="auto"/>
                <w:szCs w:val="21"/>
                <w:highlight w:val="none"/>
                <w:lang w:val="en-US" w:eastAsia="zh-CN"/>
              </w:rPr>
              <w:t xml:space="preserve">18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模塑聚苯板（EPS）</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表观密度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10801.1-2021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6343-2009</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压缩强度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10801.1-2021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8813-2008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10801.1-2021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燃烧分级</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10801.1-2021 </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柔性泡沫橡塑板</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表观密度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17794-2021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GB/T6343-2009</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导热系数（平均温度25℃）</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17794-2021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氧指数</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17794-2021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2406.2-2009</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烟密度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17794-2021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8627-2007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复合材料保温板</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干密度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204-2016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5486-2008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204-2016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抗压强度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204-2016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5486-2008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204-2016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复合发泡水泥板</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干密度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174-2014</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5486-2008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174-2014</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抗压强度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174-2014</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5486-2008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174-2014</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建筑外墙外保温用岩棉板</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25975-2018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压缩</w:t>
            </w:r>
            <w:r>
              <w:rPr>
                <w:rFonts w:hint="default" w:ascii="宋体" w:hAnsi="宋体" w:eastAsia="宋体" w:cs="宋体"/>
                <w:color w:val="auto"/>
                <w:szCs w:val="21"/>
                <w:highlight w:val="none"/>
                <w:lang w:val="en-US" w:eastAsia="zh-CN"/>
              </w:rPr>
              <w:t xml:space="preserve">强度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25975-2018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13480-2014</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25975-2018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密度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25975-2018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5480-2017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酸度系数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25975-2018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5480-2017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建筑用岩棉绝热制品</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19686-2015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19686-2015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酸度系数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19686-2015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5480-2017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压缩强度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19686-2015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13480-2014</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保温装饰板</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10294-2008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单位面积质量/面密度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JG/T 287-2013</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JG/T 287-2013</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 8624-2012</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 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保温隔声板</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压缩强度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13480</w:t>
            </w:r>
            <w:r>
              <w:rPr>
                <w:rFonts w:hint="eastAsia" w:ascii="宋体" w:hAnsi="宋体" w:eastAsia="宋体" w:cs="宋体"/>
                <w:color w:val="auto"/>
                <w:szCs w:val="21"/>
                <w:highlight w:val="none"/>
                <w:lang w:val="en-US" w:eastAsia="zh-CN"/>
              </w:rPr>
              <w:t xml:space="preserve">-2014</w:t>
            </w:r>
            <w:r/>
          </w:p>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8813</w:t>
            </w:r>
            <w:r>
              <w:rPr>
                <w:rFonts w:hint="eastAsia" w:ascii="宋体" w:hAnsi="宋体" w:eastAsia="宋体" w:cs="宋体"/>
                <w:color w:val="auto"/>
                <w:szCs w:val="21"/>
                <w:highlight w:val="none"/>
                <w:lang w:val="en-US" w:eastAsia="zh-CN"/>
              </w:rPr>
              <w:t xml:space="preserve">-2020</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13480</w:t>
            </w:r>
            <w:r>
              <w:rPr>
                <w:rFonts w:hint="eastAsia" w:ascii="宋体" w:hAnsi="宋体" w:eastAsia="宋体" w:cs="宋体"/>
                <w:color w:val="auto"/>
                <w:szCs w:val="21"/>
                <w:highlight w:val="none"/>
                <w:lang w:val="en-US" w:eastAsia="zh-CN"/>
              </w:rPr>
              <w:t xml:space="preserve">-2014</w:t>
            </w:r>
            <w:r/>
          </w:p>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8813</w:t>
            </w:r>
            <w:r>
              <w:rPr>
                <w:rFonts w:hint="eastAsia" w:ascii="宋体" w:hAnsi="宋体" w:eastAsia="宋体" w:cs="宋体"/>
                <w:color w:val="auto"/>
                <w:szCs w:val="21"/>
                <w:highlight w:val="none"/>
                <w:lang w:val="en-US" w:eastAsia="zh-CN"/>
              </w:rPr>
              <w:t xml:space="preserve">-2020</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表观密度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5480-2017</w:t>
            </w:r>
            <w:r/>
          </w:p>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6343-2009</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5480-2017</w:t>
            </w:r>
            <w:r/>
          </w:p>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6343-2009</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绝热用岩棉、矿渣棉及其制品</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密度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5480-2017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有机物含量</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酸度系数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5480-2017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6</w:t>
            </w:r>
            <w:r/>
          </w:p>
        </w:tc>
        <w:tc>
          <w:tcPr>
            <w:gridSpan w:val="2"/>
            <w:shd w:val="clear" w:color="auto" w:fill="auto"/>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液化石油气</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密度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SH/T 0221-1992</w:t>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w:t>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蒸气压</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GB/T 12576-1997</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组分</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"http://www.stdmis.cn/Database/AllView.aspx?ID=NNba8HtSq6A=&amp;p_oldID=MJ5hTWRb7Xk=&gt;" \t "http://www.stdmis.cn/Database/_blank"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szCs w:val="21"/>
                <w:highlight w:val="none"/>
                <w:lang w:val="en-US" w:eastAsia="zh-CN"/>
              </w:rPr>
              <w:t xml:space="preserve">NB/SH/T 0230-2019</w:t>
            </w:r>
            <w:r>
              <w:rPr>
                <w:rFonts w:hint="eastAsia" w:ascii="宋体" w:hAnsi="宋体" w:eastAsia="宋体" w:cs="宋体"/>
                <w:color w:val="auto"/>
                <w:szCs w:val="21"/>
                <w:highlight w:val="none"/>
                <w:lang w:val="en-US" w:eastAsia="zh-CN"/>
              </w:rPr>
              <w:fldChar w:fldCharType="end"/>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蒸发残留物</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SY/T 7509-2014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油渍观察</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SY/T 7509-2014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铜片腐蚀</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SH/T 0232-1992</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总硫含量</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SH/T 0222-1992</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vMerge w:val="restart"/>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二甲醚</w:t>
            </w:r>
            <w:r/>
          </w:p>
        </w:tc>
        <w:tc>
          <w:tcPr>
            <w:shd w:val="clear" w:color="auto" w:fill="auto"/>
            <w:tcW w:w="1114" w:type="pct"/>
            <w:vAlign w:val="center"/>
            <w:vMerge w:val="restart"/>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vMerge w:val="restart"/>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"http://www.stdmis.cn/Database/AllView.aspx?ID=NNba8HtSq6A=&amp;p_oldID=MJ5hTWRb7Xk=&gt;" \t "http://www.stdmis.cn/Database/_blank"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szCs w:val="21"/>
                <w:highlight w:val="none"/>
                <w:lang w:val="en-US" w:eastAsia="zh-CN"/>
              </w:rPr>
              <w:t xml:space="preserve">NB/SH/T 0230-2019</w:t>
            </w:r>
            <w:r>
              <w:rPr>
                <w:rFonts w:hint="eastAsia" w:ascii="宋体" w:hAnsi="宋体" w:eastAsia="宋体" w:cs="宋体"/>
                <w:color w:val="auto"/>
                <w:szCs w:val="21"/>
                <w:highlight w:val="none"/>
                <w:lang w:val="en-US" w:eastAsia="zh-CN"/>
              </w:rPr>
              <w:fldChar w:fldCharType="end"/>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11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铅</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31604.34-2016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砷</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31604.38-2016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甲醛</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31604.48-2016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荧光性物质</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31604.47-2023</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总迁移量</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4806.7-2023</w:t>
            </w:r>
            <w:r/>
          </w:p>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31604.8-2021</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高锰酸钾消耗量</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4806.7-2023</w:t>
            </w:r>
            <w:r/>
          </w:p>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31604.2-2016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重金属（Pb）</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4806.7-2023</w:t>
            </w:r>
            <w:r/>
          </w:p>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31604.9-2016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1,3-二氯-2-丙醇</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gridSpan w:val="2"/>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电磁灶</w:t>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对触及带电部件的防护</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输入功率和电流</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发热</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工作温度下的泄漏电流和电气强度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耐潮湿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非正常工作（不包括第19.11.4条的试验）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稳定性和机械危险</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结构</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内部布线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电源连接和外部软线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外部导线用接线端子</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接地措施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螺钉和连接</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电气间隙/爬电距离和固体绝缘</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gridSpan w:val="2"/>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电热水壶</w:t>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对触及带电部件的防护</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输入功率和电流</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发热</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工作温度下的泄漏电流和电气强度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耐潮湿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非正常工作（不包括第19.11.4条的试验）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稳定性和机械危险</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机械强度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结构</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内部布线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电源连接和外部软线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外部导线用接线端子</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接地措施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螺钉和连接</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电气间隙/爬电距离和固体绝缘</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gridSpan w:val="2"/>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电风扇</w:t>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对触及带电部件的防护</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输入功率和电流</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发热</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工作温度下的泄漏电流和电气强度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耐潮湿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非正常工作（不包括第19.11.4条的试验）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稳定性和机械危险</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结构</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内部布线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电源连接和外部软线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外部导线用接线端子</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接地措施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螺钉和连接</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电气间隙/爬电距离和固体绝缘</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252"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塑料袋</w:t>
            </w:r>
            <w:r/>
          </w:p>
        </w:tc>
        <w:tc>
          <w:tcPr>
            <w:tcW w:w="515" w:type="pct"/>
            <w:vAlign w:val="center"/>
            <w:vMerge w:val="restart"/>
            <w:textDirection w:val="lrTb"/>
            <w:noWrap w:val="false"/>
          </w:tcPr>
          <w:p>
            <w:pPr>
              <w:jc w:val="center"/>
              <w:spacing w:line="280" w:lineRule="exact"/>
              <w:shd w:val="clear" w:color="auto"/>
              <w:rPr>
                <w:rFonts w:hint="default" w:ascii="宋体" w:hAnsi="宋体" w:eastAsia="宋体" w:cs="宋体"/>
                <w:color w:val="auto"/>
                <w:spacing w:val="2"/>
                <w:szCs w:val="21"/>
                <w:highlight w:val="none"/>
                <w:lang w:val="en-US" w:eastAsia="zh-CN" w:bidi="ar"/>
              </w:rPr>
            </w:pPr>
            <w:r>
              <w:rPr>
                <w:rFonts w:hint="eastAsia" w:ascii="宋体" w:hAnsi="宋体" w:eastAsia="宋体" w:cs="宋体"/>
                <w:color w:val="auto"/>
                <w:spacing w:val="2"/>
                <w:szCs w:val="21"/>
                <w:highlight w:val="none"/>
                <w:lang w:val="en-US" w:eastAsia="zh-CN" w:bidi="ar"/>
              </w:rPr>
              <w:t xml:space="preserve">塑料垃圾袋</w:t>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厚度</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en-US"/>
              </w:rPr>
              <w:t xml:space="preserve">GB/T 24454-2009</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en-US"/>
              </w:rPr>
              <w:fldChar w:fldCharType="begin"/>
            </w:r>
            <w:r>
              <w:rPr>
                <w:rFonts w:hint="eastAsia" w:ascii="宋体" w:hAnsi="宋体" w:eastAsia="宋体" w:cs="宋体"/>
                <w:color w:val="auto"/>
                <w:szCs w:val="21"/>
                <w:highlight w:val="none"/>
                <w:lang w:val="en-US" w:eastAsia="en-US"/>
              </w:rPr>
              <w:instrText xml:space="preserve"> HYPERLINK "http://www.stdmis.cn/Database/javascript:__doPostBack('ctl00$ctl00$ContentPlaceHolder1$ContentPlaceHolder1$rptStandard$ctl00$lbtnDetail','')" \o "点击查看标准详细信息" </w:instrText>
            </w:r>
            <w:r>
              <w:rPr>
                <w:rFonts w:hint="eastAsia" w:ascii="宋体" w:hAnsi="宋体" w:eastAsia="宋体" w:cs="宋体"/>
                <w:color w:val="auto"/>
                <w:szCs w:val="21"/>
                <w:highlight w:val="none"/>
                <w:lang w:val="en-US" w:eastAsia="en-US"/>
              </w:rPr>
              <w:fldChar w:fldCharType="separate"/>
            </w:r>
            <w:r>
              <w:rPr>
                <w:rFonts w:hint="eastAsia" w:ascii="宋体" w:hAnsi="宋体" w:eastAsia="宋体" w:cs="宋体"/>
                <w:color w:val="auto"/>
                <w:szCs w:val="21"/>
                <w:highlight w:val="none"/>
                <w:lang w:val="en-US" w:eastAsia="en-US"/>
              </w:rPr>
              <w:t xml:space="preserve">GB/T 6672-2001</w:t>
            </w:r>
            <w:r>
              <w:rPr>
                <w:rFonts w:hint="eastAsia" w:ascii="宋体" w:hAnsi="宋体" w:eastAsia="宋体" w:cs="宋体"/>
                <w:color w:val="auto"/>
                <w:szCs w:val="21"/>
                <w:highlight w:val="none"/>
                <w:lang w:val="en-US" w:eastAsia="en-US"/>
              </w:rPr>
              <w:fldChar w:fldCharType="end"/>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抗渗漏性能</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en-US"/>
              </w:rPr>
              <w:t xml:space="preserve">GB/T 24454-2009</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 xml:space="preserve">GB/T 24454-2009</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跌落性能</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en-US"/>
              </w:rPr>
              <w:t xml:space="preserve">GB/T 24454-2009</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 xml:space="preserve">GB/T 24454-2009</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绳拉紧垃圾袋抗提性能</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en-US"/>
              </w:rPr>
              <w:t xml:space="preserve">GB/T 24454-2009</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24454-2009 </w:t>
            </w:r>
            <w:r/>
          </w:p>
          <w:p>
            <w:pPr>
              <w:jc w:val="center"/>
              <w:spacing w:line="400" w:lineRule="exact"/>
              <w:shd w:val="clear" w:color="auto"/>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 xml:space="preserve">GB/T 1040.3-2006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515" w:type="pct"/>
            <w:vAlign w:val="center"/>
            <w:vMerge w:val="restart"/>
            <w:textDirection w:val="lrTb"/>
            <w:noWrap w:val="false"/>
          </w:tcPr>
          <w:p>
            <w:pPr>
              <w:jc w:val="center"/>
              <w:spacing w:line="280" w:lineRule="exact"/>
              <w:shd w:val="clear" w:color="auto"/>
              <w:rPr>
                <w:rFonts w:hint="default" w:ascii="宋体" w:hAnsi="宋体" w:eastAsia="宋体" w:cs="宋体"/>
                <w:color w:val="auto"/>
                <w:spacing w:val="2"/>
                <w:szCs w:val="21"/>
                <w:highlight w:val="none"/>
                <w:lang w:val="en-US" w:eastAsia="zh-CN" w:bidi="ar"/>
              </w:rPr>
            </w:pPr>
            <w:r>
              <w:rPr>
                <w:rFonts w:hint="eastAsia" w:ascii="宋体" w:hAnsi="宋体" w:eastAsia="宋体" w:cs="宋体"/>
                <w:color w:val="auto"/>
                <w:spacing w:val="2"/>
                <w:szCs w:val="21"/>
                <w:highlight w:val="none"/>
                <w:lang w:val="en-US" w:eastAsia="zh-CN" w:bidi="ar"/>
              </w:rPr>
              <w:t xml:space="preserve">塑料购物袋</w:t>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尺寸</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000000"/>
                <w:szCs w:val="21"/>
                <w:highlight w:val="none"/>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color w:val="000000"/>
                <w:szCs w:val="21"/>
                <w:highlight w:val="none"/>
              </w:rPr>
              <w:t xml:space="preserve">GB/T 6672</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-2001</w:t>
            </w:r>
            <w:r/>
          </w:p>
          <w:p>
            <w:pPr>
              <w:jc w:val="center"/>
              <w:spacing w:line="400" w:lineRule="exact"/>
              <w:shd w:val="clear" w:color="auto"/>
              <w:rPr>
                <w:rFonts w:hint="eastAsia" w:ascii="宋体" w:hAnsi="宋体" w:eastAsia="宋体" w:cs="宋体"/>
                <w:color w:val="auto"/>
                <w:szCs w:val="21"/>
                <w:highlight w:val="none"/>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color w:val="000000"/>
                <w:szCs w:val="21"/>
                <w:highlight w:val="none"/>
              </w:rPr>
              <w:t xml:space="preserve">GB/T 6673</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-2001</w:t>
            </w:r>
            <w:r/>
          </w:p>
        </w:tc>
        <w:tc>
          <w:tcPr>
            <w:shd w:val="clear" w:color="auto" w:fill="auto"/>
            <w:tcW w:w="347"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感官</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提吊试验</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跌落试验</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漏水性</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封合强度</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szCs w:val="21"/>
                <w:highlight w:val="none"/>
              </w:rPr>
              <w:t xml:space="preserve">QB/T 2358-1998</w:t>
            </w:r>
            <w:r>
              <w:rPr>
                <w:rFonts w:hint="eastAsia" w:ascii="宋体" w:hAnsi="宋体" w:eastAsia="宋体" w:cs="宋体"/>
                <w:szCs w:val="21"/>
                <w:highlight w:val="none"/>
              </w:rPr>
              <w:fldChar w:fldCharType="end"/>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落镖冲击</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color w:val="000000"/>
                <w:szCs w:val="21"/>
                <w:highlight w:val="none"/>
              </w:rPr>
              <w:t xml:space="preserve">GB/T 9639.1-2008</w:t>
            </w:r>
            <w:r>
              <w:rPr>
                <w:rFonts w:hint="eastAsia" w:ascii="宋体" w:hAnsi="宋体" w:eastAsia="宋体" w:cs="宋体"/>
                <w:color w:val="000000"/>
                <w:szCs w:val="21"/>
                <w:highlight w:val="none"/>
              </w:rPr>
              <w:fldChar w:fldCharType="end"/>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尺寸</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000000"/>
                <w:szCs w:val="21"/>
                <w:highlight w:val="none"/>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color w:val="000000"/>
                <w:szCs w:val="21"/>
                <w:highlight w:val="none"/>
              </w:rPr>
              <w:t xml:space="preserve">GB/T 6672</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-2001</w:t>
            </w:r>
            <w:r/>
          </w:p>
          <w:p>
            <w:pPr>
              <w:jc w:val="center"/>
              <w:spacing w:line="400" w:lineRule="exact"/>
              <w:shd w:val="clear" w:color="auto"/>
              <w:rPr>
                <w:rFonts w:hint="eastAsia" w:ascii="宋体" w:hAnsi="宋体" w:eastAsia="宋体" w:cs="宋体"/>
                <w:color w:val="auto"/>
                <w:spacing w:val="2"/>
                <w:szCs w:val="21"/>
                <w:highlight w:val="none"/>
                <w:lang w:bidi="ar"/>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color w:val="000000"/>
                <w:szCs w:val="21"/>
                <w:highlight w:val="none"/>
              </w:rPr>
              <w:t xml:space="preserve">GB/T 6673</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-2001</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采购包6：</w:t>
      </w:r>
      <w:r/>
    </w:p>
    <w:tbl>
      <w:tblPr>
        <w:tblStyle w:val="7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395"/>
        <w:gridCol w:w="85"/>
        <w:gridCol w:w="826"/>
        <w:gridCol w:w="2871"/>
        <w:gridCol w:w="2226"/>
        <w:gridCol w:w="2080"/>
        <w:gridCol w:w="682"/>
      </w:tblGrid>
      <w:tr>
        <w:trPr>
          <w:jc w:val="center"/>
          <w:trHeight w:val="454"/>
          <w:tblHeader/>
        </w:trPr>
        <w:tc>
          <w:tcPr>
            <w:tcW w:w="349" w:type="pct"/>
            <w:vAlign w:val="center"/>
            <w:textDirection w:val="lrTb"/>
            <w:noWrap w:val="false"/>
          </w:tcPr>
          <w:p>
            <w:pPr>
              <w:jc w:val="center"/>
              <w:shd w:val="clear" w:color="auto"/>
              <w:rPr>
                <w:rFonts w:ascii="宋体" w:hAnsi="宋体" w:cs="宋体"/>
                <w:highlight w:val="none"/>
              </w:rPr>
            </w:pPr>
            <w:r/>
            <w:bookmarkStart w:id="179" w:name="_Toc8808"/>
            <w:r>
              <w:rPr>
                <w:rFonts w:hint="eastAsia" w:ascii="宋体" w:hAnsi="宋体" w:cs="宋体"/>
                <w:highlight w:val="none"/>
              </w:rPr>
              <w:t xml:space="preserve">序号</w:t>
            </w:r>
            <w:r/>
          </w:p>
        </w:tc>
        <w:tc>
          <w:tcPr>
            <w:gridSpan w:val="3"/>
            <w:tcW w:w="662"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产品名称</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检验项目</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检验依据</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检验方法</w:t>
            </w:r>
            <w:r/>
          </w:p>
        </w:tc>
        <w:tc>
          <w:tcPr>
            <w:tcW w:w="346" w:type="pct"/>
            <w:vAlign w:val="center"/>
            <w:textDirection w:val="lrTb"/>
            <w:noWrap w:val="false"/>
          </w:tcPr>
          <w:p>
            <w:pPr>
              <w:jc w:val="center"/>
              <w:shd w:val="clear" w:color="auto"/>
              <w:rPr>
                <w:rFonts w:ascii="宋体" w:hAnsi="宋体" w:cs="宋体"/>
                <w:highlight w:val="none"/>
                <w:lang w:val="en"/>
              </w:rPr>
            </w:pPr>
            <w:r>
              <w:rPr>
                <w:rFonts w:hint="eastAsia" w:ascii="宋体" w:hAnsi="宋体" w:cs="宋体"/>
                <w:highlight w:val="none"/>
                <w:lang w:val="en"/>
              </w:rPr>
              <w:t xml:space="preserve">批次</w:t>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1</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床上用品（蚕丝被）</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strike/>
                <w:highlight w:val="none"/>
              </w:rPr>
            </w:pPr>
            <w:r>
              <w:rPr>
                <w:rFonts w:hint="eastAsia" w:ascii="宋体" w:hAnsi="宋体" w:cs="宋体"/>
                <w:highlight w:val="none"/>
              </w:rPr>
              <w:t xml:space="preserve">GB/T 24252—2019</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耐唾液色牢度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18886—2019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燃烧性能</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14644—2014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vertAlign w:val="superscript"/>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FZ/T 40005—2009</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填充物品质</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丝绵长度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p>
            <w:pPr>
              <w:jc w:val="center"/>
              <w:shd w:val="clear" w:color="auto"/>
              <w:rPr>
                <w:rFonts w:ascii="宋体" w:hAnsi="宋体" w:cs="宋体"/>
                <w:highlight w:val="none"/>
              </w:rPr>
            </w:pPr>
            <w:r>
              <w:rPr>
                <w:rFonts w:hint="eastAsia" w:ascii="宋体" w:hAnsi="宋体" w:cs="宋体"/>
                <w:highlight w:val="none"/>
              </w:rPr>
              <w:t xml:space="preserve">FZ/T 40009—2017</w:t>
            </w:r>
            <w:r/>
          </w:p>
          <w:p>
            <w:pPr>
              <w:jc w:val="center"/>
              <w:shd w:val="clear" w:color="auto"/>
              <w:rPr>
                <w:rFonts w:ascii="宋体" w:hAnsi="宋体" w:cs="宋体"/>
                <w:highlight w:val="none"/>
              </w:rPr>
            </w:pPr>
            <w:r>
              <w:rPr>
                <w:rFonts w:hint="eastAsia" w:ascii="宋体" w:hAnsi="宋体" w:cs="宋体"/>
                <w:highlight w:val="none"/>
              </w:rPr>
              <w:t xml:space="preserve">FZ/T 41003—2010</w:t>
            </w:r>
            <w:r/>
          </w:p>
          <w:p>
            <w:pPr>
              <w:jc w:val="center"/>
              <w:shd w:val="clear" w:color="auto"/>
              <w:rPr>
                <w:rFonts w:ascii="宋体" w:hAnsi="宋体" w:cs="宋体"/>
                <w:highlight w:val="none"/>
              </w:rPr>
            </w:pPr>
            <w:r>
              <w:rPr>
                <w:rFonts w:hint="eastAsia" w:ascii="宋体" w:hAnsi="宋体" w:cs="宋体"/>
                <w:highlight w:val="none"/>
              </w:rPr>
              <w:t xml:space="preserve">FZ/T 41004—2017</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含油率</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40006—2018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基本要求、絮用纤维要求</w:t>
            </w:r>
            <w:r/>
          </w:p>
        </w:tc>
        <w:tc>
          <w:tcPr>
            <w:shd w:val="clear" w:color="auto" w:fill="auto"/>
            <w:tcW w:w="1129"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 18383—2025</w:t>
            </w:r>
            <w:r/>
          </w:p>
        </w:tc>
        <w:tc>
          <w:tcPr>
            <w:shd w:val="clear" w:color="auto" w:fill="auto"/>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 18383—2025</w:t>
            </w:r>
            <w:r/>
          </w:p>
        </w:tc>
        <w:tc>
          <w:tcPr>
            <w:shd w:val="clear" w:color="auto" w:fill="auto"/>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bookmarkEnd w:id="179"/>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床上用品（四件套、床笠）</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highlight w:val="none"/>
              </w:rPr>
            </w:pPr>
            <w:r>
              <w:rPr>
                <w:rFonts w:hint="eastAsia" w:ascii="宋体" w:hAnsi="宋体" w:cs="宋体"/>
                <w:highlight w:val="none"/>
              </w:rPr>
              <w:t xml:space="preserve">GB/T 22796—2021</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耐唾液色牢度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18886—2019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燃烧性能</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14644—2014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重金属</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30157—2013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邻苯二甲酸酯</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20388—2016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附件锐利性</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31702—2015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附件抗拉强力</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vertAlign w:val="superscript"/>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16988—2013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3</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儿童及婴幼儿服装</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24</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耐唾液色牢度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18886—2019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FZ/T 01057.6—2007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GB/T 38015—2019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重金属</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30157—2013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邻苯二甲酸酯</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20388—2016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top w:val="single" w:color="auto" w:sz="4" w:space="0"/>
              <w:left w:val="single" w:color="auto" w:sz="4" w:space="0"/>
              <w:right w:val="single" w:color="auto" w:sz="4" w:space="0"/>
            </w:tcBorders>
            <w:tcW w:w="349"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4</w:t>
            </w:r>
            <w:r/>
          </w:p>
        </w:tc>
        <w:tc>
          <w:tcPr>
            <w:gridSpan w:val="3"/>
            <w:tcBorders>
              <w:top w:val="single" w:color="auto" w:sz="4" w:space="0"/>
              <w:left w:val="single" w:color="auto" w:sz="4" w:space="0"/>
              <w:right w:val="single" w:color="auto" w:sz="4" w:space="0"/>
            </w:tcBorders>
            <w:tcW w:w="662"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女性内衣</w:t>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甲醛含量</w:t>
            </w:r>
            <w:r/>
          </w:p>
        </w:tc>
        <w:tc>
          <w:tcPr>
            <w:tcBorders>
              <w:top w:val="none" w:color="000000" w:sz="4" w:space="0"/>
              <w:left w:val="single" w:color="auto" w:sz="4" w:space="0"/>
              <w:bottom w:val="single" w:color="auto" w:sz="4" w:space="0"/>
              <w:right w:val="single" w:color="auto" w:sz="4" w:space="0"/>
            </w:tcBorders>
            <w:tcW w:w="1129"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 18401—2010</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2912.1—2009</w:t>
            </w:r>
            <w:r/>
          </w:p>
        </w:tc>
        <w:tc>
          <w:tcPr>
            <w:tcBorders>
              <w:top w:val="single" w:color="auto" w:sz="4" w:space="0"/>
              <w:left w:val="single" w:color="auto" w:sz="4" w:space="0"/>
              <w:right w:val="single" w:color="auto" w:sz="4" w:space="0"/>
            </w:tcBorders>
            <w:tcW w:w="346"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pH值</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7573—2009</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耐水色牢度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5713—2013</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3922—2013</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3922—2013</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3920—2008</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bottom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bottom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纤维含量</w:t>
            </w:r>
            <w:r/>
          </w:p>
        </w:tc>
        <w:tc>
          <w:tcPr>
            <w:tcBorders>
              <w:top w:val="single" w:color="auto" w:sz="4" w:space="0"/>
              <w:left w:val="single" w:color="auto" w:sz="4" w:space="0"/>
              <w:bottom w:val="single" w:color="auto" w:sz="4" w:space="0"/>
              <w:right w:val="single" w:color="auto" w:sz="4" w:space="0"/>
            </w:tcBorders>
            <w:tcW w:w="1129"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29862—2013</w:t>
            </w:r>
            <w:r/>
          </w:p>
          <w:p>
            <w:pPr>
              <w:contextualSpacing/>
              <w:jc w:val="center"/>
              <w:shd w:val="clear" w:color="auto"/>
              <w:rPr>
                <w:rFonts w:ascii="宋体" w:hAnsi="宋体" w:cs="宋体"/>
                <w:highlight w:val="none"/>
              </w:rPr>
            </w:pPr>
            <w:r>
              <w:rPr>
                <w:rFonts w:hint="eastAsia" w:ascii="宋体" w:hAnsi="宋体" w:cs="宋体"/>
                <w:highlight w:val="none"/>
              </w:rPr>
              <w:t xml:space="preserve">FZ/T 73012—2017</w:t>
            </w:r>
            <w:r/>
          </w:p>
          <w:p>
            <w:pPr>
              <w:contextualSpacing/>
              <w:jc w:val="center"/>
              <w:shd w:val="clear" w:color="auto"/>
              <w:rPr>
                <w:rFonts w:ascii="宋体" w:hAnsi="宋体" w:cs="宋体"/>
                <w:highlight w:val="none"/>
              </w:rPr>
            </w:pPr>
            <w:r>
              <w:rPr>
                <w:rFonts w:hint="eastAsia" w:ascii="宋体" w:hAnsi="宋体" w:cs="宋体"/>
                <w:highlight w:val="none"/>
              </w:rPr>
              <w:t xml:space="preserve">FZ/T 73046—2020</w:t>
            </w:r>
            <w:r/>
          </w:p>
          <w:p>
            <w:pPr>
              <w:contextualSpacing/>
              <w:jc w:val="center"/>
              <w:shd w:val="clear" w:color="auto"/>
              <w:rPr>
                <w:rFonts w:ascii="宋体" w:hAnsi="宋体" w:cs="宋体"/>
                <w:highlight w:val="none"/>
              </w:rPr>
            </w:pPr>
            <w:r>
              <w:rPr>
                <w:rFonts w:hint="eastAsia" w:ascii="宋体" w:hAnsi="宋体" w:cs="宋体"/>
                <w:highlight w:val="none"/>
              </w:rPr>
              <w:t xml:space="preserve">FZ/T 73066—2020</w:t>
            </w:r>
            <w:r/>
          </w:p>
          <w:p>
            <w:pPr>
              <w:contextualSpacing/>
              <w:jc w:val="center"/>
              <w:shd w:val="clear" w:color="auto"/>
              <w:rPr>
                <w:rFonts w:ascii="宋体" w:hAnsi="宋体" w:cs="宋体"/>
                <w:highlight w:val="none"/>
              </w:rPr>
            </w:pPr>
            <w:r>
              <w:rPr>
                <w:rFonts w:hint="eastAsia" w:ascii="宋体" w:hAnsi="宋体" w:cs="宋体"/>
                <w:highlight w:val="none"/>
              </w:rPr>
              <w:t xml:space="preserve">FZ/T 74002—2014</w:t>
            </w:r>
            <w:r/>
          </w:p>
          <w:p>
            <w:pPr>
              <w:contextualSpacing/>
              <w:jc w:val="center"/>
              <w:shd w:val="clear" w:color="auto"/>
              <w:rPr>
                <w:rFonts w:ascii="宋体" w:hAnsi="宋体" w:cs="宋体"/>
                <w:highlight w:val="none"/>
              </w:rPr>
            </w:pPr>
            <w:r>
              <w:rPr>
                <w:rFonts w:hint="eastAsia" w:ascii="宋体" w:hAnsi="宋体" w:cs="宋体"/>
                <w:highlight w:val="none"/>
              </w:rPr>
              <w:t xml:space="preserve">FZ/T 81020—2014</w:t>
            </w:r>
            <w:r/>
          </w:p>
          <w:p>
            <w:pPr>
              <w:contextualSpacing/>
              <w:jc w:val="center"/>
              <w:shd w:val="clear" w:color="auto"/>
              <w:rPr>
                <w:rFonts w:ascii="宋体" w:hAnsi="宋体" w:cs="宋体"/>
                <w:highlight w:val="none"/>
              </w:rPr>
            </w:pPr>
            <w:r>
              <w:rPr>
                <w:rFonts w:hint="eastAsia" w:ascii="宋体" w:hAnsi="宋体" w:cs="宋体"/>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FZ/T 01057.1—2007</w:t>
            </w:r>
            <w:r/>
          </w:p>
          <w:p>
            <w:pPr>
              <w:contextualSpacing/>
              <w:jc w:val="center"/>
              <w:shd w:val="clear" w:color="auto"/>
              <w:rPr>
                <w:rFonts w:ascii="宋体" w:hAnsi="宋体" w:cs="宋体"/>
                <w:highlight w:val="none"/>
              </w:rPr>
            </w:pPr>
            <w:r>
              <w:rPr>
                <w:rFonts w:hint="eastAsia" w:ascii="宋体" w:hAnsi="宋体" w:cs="宋体"/>
                <w:highlight w:val="none"/>
              </w:rPr>
              <w:t xml:space="preserve">FZ/T 01057.2—2007</w:t>
            </w:r>
            <w:r/>
          </w:p>
          <w:p>
            <w:pPr>
              <w:contextualSpacing/>
              <w:jc w:val="center"/>
              <w:shd w:val="clear" w:color="auto"/>
              <w:rPr>
                <w:rFonts w:ascii="宋体" w:hAnsi="宋体" w:cs="宋体"/>
                <w:highlight w:val="none"/>
              </w:rPr>
            </w:pPr>
            <w:r>
              <w:rPr>
                <w:rFonts w:hint="eastAsia" w:ascii="宋体" w:hAnsi="宋体" w:cs="宋体"/>
                <w:highlight w:val="none"/>
              </w:rPr>
              <w:t xml:space="preserve">FZ/T 01057.3—2007</w:t>
            </w:r>
            <w:r/>
          </w:p>
          <w:p>
            <w:pPr>
              <w:contextualSpacing/>
              <w:jc w:val="center"/>
              <w:shd w:val="clear" w:color="auto"/>
              <w:rPr>
                <w:rFonts w:ascii="宋体" w:hAnsi="宋体" w:cs="宋体"/>
                <w:highlight w:val="none"/>
              </w:rPr>
            </w:pPr>
            <w:r>
              <w:rPr>
                <w:rFonts w:hint="eastAsia" w:ascii="宋体" w:hAnsi="宋体" w:cs="宋体"/>
                <w:highlight w:val="none"/>
              </w:rPr>
              <w:t xml:space="preserve">FZ/T 01057.4—2007</w:t>
            </w:r>
            <w:r/>
          </w:p>
          <w:p>
            <w:pPr>
              <w:contextualSpacing/>
              <w:jc w:val="center"/>
              <w:shd w:val="clear" w:color="auto"/>
              <w:rPr>
                <w:rFonts w:ascii="宋体" w:hAnsi="宋体" w:cs="宋体"/>
                <w:highlight w:val="none"/>
              </w:rPr>
            </w:pPr>
            <w:r>
              <w:rPr>
                <w:rFonts w:hint="eastAsia" w:ascii="宋体" w:hAnsi="宋体" w:cs="宋体"/>
                <w:highlight w:val="none"/>
              </w:rPr>
              <w:t xml:space="preserve">GB/T 2910.1—2009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2910.2—2009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2910.3—2009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2910.4—2022</w:t>
            </w:r>
            <w:r/>
          </w:p>
          <w:p>
            <w:pPr>
              <w:contextualSpacing/>
              <w:jc w:val="center"/>
              <w:shd w:val="clear" w:color="auto"/>
              <w:rPr>
                <w:rFonts w:ascii="宋体" w:hAnsi="宋体" w:cs="宋体"/>
                <w:highlight w:val="none"/>
              </w:rPr>
            </w:pPr>
            <w:r>
              <w:rPr>
                <w:rFonts w:hint="eastAsia" w:ascii="宋体" w:hAnsi="宋体" w:cs="宋体"/>
                <w:highlight w:val="none"/>
              </w:rPr>
              <w:t xml:space="preserve">GB/T 2910.5—2009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2910.6—2009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2910.7—2009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2910.8—2009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2910.11—2024</w:t>
            </w:r>
            <w:r/>
          </w:p>
          <w:p>
            <w:pPr>
              <w:contextualSpacing/>
              <w:jc w:val="center"/>
              <w:shd w:val="clear" w:color="auto"/>
              <w:rPr>
                <w:rFonts w:ascii="宋体" w:hAnsi="宋体" w:cs="宋体"/>
                <w:highlight w:val="none"/>
              </w:rPr>
            </w:pPr>
            <w:r>
              <w:rPr>
                <w:rFonts w:hint="eastAsia" w:ascii="宋体" w:hAnsi="宋体" w:cs="宋体"/>
                <w:highlight w:val="none"/>
              </w:rPr>
              <w:t xml:space="preserve">GB/T 2910.12—2023</w:t>
            </w:r>
            <w:r/>
          </w:p>
          <w:p>
            <w:pPr>
              <w:contextualSpacing/>
              <w:jc w:val="center"/>
              <w:shd w:val="clear" w:color="auto"/>
              <w:rPr>
                <w:rFonts w:ascii="宋体" w:hAnsi="宋体" w:cs="宋体"/>
                <w:highlight w:val="none"/>
              </w:rPr>
            </w:pPr>
            <w:r>
              <w:rPr>
                <w:rFonts w:hint="eastAsia" w:ascii="宋体" w:hAnsi="宋体" w:cs="宋体"/>
                <w:highlight w:val="none"/>
              </w:rPr>
              <w:t xml:space="preserve">GB/T 2910.18—2009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2910.20—2009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2910.22—2009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2910.101—2009</w:t>
            </w:r>
            <w:r/>
          </w:p>
          <w:p>
            <w:pPr>
              <w:contextualSpacing/>
              <w:jc w:val="center"/>
              <w:shd w:val="clear" w:color="auto"/>
              <w:rPr>
                <w:rFonts w:ascii="宋体" w:hAnsi="宋体" w:cs="宋体"/>
                <w:highlight w:val="none"/>
              </w:rPr>
            </w:pPr>
            <w:r>
              <w:rPr>
                <w:rFonts w:hint="eastAsia" w:ascii="宋体" w:hAnsi="宋体" w:cs="宋体"/>
                <w:highlight w:val="none"/>
              </w:rPr>
              <w:t xml:space="preserve">FZ/T 01101—2008</w:t>
            </w:r>
            <w:r/>
          </w:p>
          <w:p>
            <w:pPr>
              <w:contextualSpacing/>
              <w:jc w:val="center"/>
              <w:shd w:val="clear" w:color="auto"/>
              <w:rPr>
                <w:rFonts w:ascii="宋体" w:hAnsi="宋体" w:cs="宋体"/>
                <w:highlight w:val="none"/>
              </w:rPr>
            </w:pPr>
            <w:r>
              <w:rPr>
                <w:rFonts w:hint="eastAsia" w:ascii="宋体" w:hAnsi="宋体" w:cs="宋体"/>
                <w:highlight w:val="none"/>
              </w:rPr>
              <w:t xml:space="preserve">FZ/T 01112—2012</w:t>
            </w:r>
            <w:r/>
          </w:p>
          <w:p>
            <w:pPr>
              <w:contextualSpacing/>
              <w:jc w:val="center"/>
              <w:shd w:val="clear" w:color="auto"/>
              <w:rPr>
                <w:rFonts w:ascii="宋体" w:hAnsi="宋体" w:cs="宋体"/>
                <w:highlight w:val="none"/>
              </w:rPr>
            </w:pPr>
            <w:r>
              <w:rPr>
                <w:rFonts w:hint="eastAsia" w:ascii="宋体" w:hAnsi="宋体" w:cs="宋体"/>
                <w:highlight w:val="none"/>
              </w:rPr>
              <w:t xml:space="preserve">FZ/T 01026—2017</w:t>
            </w:r>
            <w:r/>
          </w:p>
          <w:p>
            <w:pPr>
              <w:contextualSpacing/>
              <w:jc w:val="center"/>
              <w:shd w:val="clear" w:color="auto"/>
              <w:rPr>
                <w:rFonts w:ascii="宋体" w:hAnsi="宋体" w:cs="宋体"/>
                <w:highlight w:val="none"/>
              </w:rPr>
            </w:pPr>
            <w:r>
              <w:rPr>
                <w:rFonts w:hint="eastAsia" w:ascii="宋体" w:hAnsi="宋体" w:cs="宋体"/>
                <w:highlight w:val="none"/>
              </w:rPr>
              <w:t xml:space="preserve">FZ/T 30003—2024</w:t>
            </w:r>
            <w:r/>
          </w:p>
          <w:p>
            <w:pPr>
              <w:contextualSpacing/>
              <w:jc w:val="center"/>
              <w:shd w:val="clear" w:color="auto"/>
              <w:rPr>
                <w:rFonts w:ascii="宋体" w:hAnsi="宋体" w:cs="宋体"/>
                <w:highlight w:val="none"/>
              </w:rPr>
            </w:pPr>
            <w:r>
              <w:rPr>
                <w:rFonts w:hint="eastAsia" w:ascii="宋体" w:hAnsi="宋体" w:cs="宋体"/>
                <w:highlight w:val="none"/>
              </w:rPr>
              <w:t xml:space="preserve">GB/T 38015—2019</w:t>
            </w:r>
            <w:r/>
          </w:p>
          <w:p>
            <w:pPr>
              <w:contextualSpacing/>
              <w:jc w:val="center"/>
              <w:shd w:val="clear" w:color="auto"/>
              <w:rPr>
                <w:rFonts w:ascii="宋体" w:hAnsi="宋体" w:cs="宋体"/>
                <w:highlight w:val="none"/>
              </w:rPr>
            </w:pPr>
            <w:r>
              <w:rPr>
                <w:rFonts w:hint="eastAsia" w:ascii="宋体" w:hAnsi="宋体" w:cs="宋体"/>
                <w:highlight w:val="none"/>
              </w:rPr>
              <w:t xml:space="preserve">GB/T 16988—2013</w:t>
            </w:r>
            <w:r/>
          </w:p>
        </w:tc>
        <w:tc>
          <w:tcPr>
            <w:tcBorders>
              <w:left w:val="single" w:color="auto" w:sz="4" w:space="0"/>
              <w:bottom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5</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校服</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20</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可分解致癌芳香胺染料</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17592—2024</w:t>
            </w:r>
            <w:r/>
          </w:p>
          <w:p>
            <w:pPr>
              <w:jc w:val="center"/>
              <w:shd w:val="clear" w:color="auto"/>
              <w:rPr>
                <w:rFonts w:ascii="宋体" w:hAnsi="宋体" w:cs="宋体"/>
                <w:highlight w:val="none"/>
              </w:rPr>
            </w:pPr>
            <w:r>
              <w:rPr>
                <w:rFonts w:hint="eastAsia" w:ascii="宋体" w:hAnsi="宋体" w:cs="宋体"/>
                <w:highlight w:val="none"/>
              </w:rPr>
              <w:t xml:space="preserve">GB/T 23344—2009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GB/T 31888—2015</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FZ/T 01057.6—2007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GB/T 38015—2019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绳带要求</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附件锐利性</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31702—2015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tcW w:w="1129" w:type="pct"/>
            <w:vAlign w:val="center"/>
            <w:vMerge w:val="continue"/>
            <w:textDirection w:val="lrTb"/>
            <w:noWrap w:val="false"/>
          </w:tcPr>
          <w:p>
            <w:pPr>
              <w:pStyle w:val="746"/>
              <w:jc w:val="center"/>
              <w:shd w:val="clear" w:color="auto"/>
              <w:rPr>
                <w:rFonts w:ascii="宋体" w:hAnsi="宋体" w:cs="宋体"/>
                <w:sz w:val="21"/>
                <w:szCs w:val="21"/>
                <w:highlight w:val="none"/>
              </w:rPr>
            </w:pPr>
            <w:r>
              <w:rPr>
                <w:rFonts w:ascii="宋体" w:hAnsi="宋体" w:cs="宋体"/>
                <w:sz w:val="21"/>
                <w:szCs w:val="21"/>
                <w:highlight w:val="none"/>
              </w:rPr>
            </w:r>
            <w:r/>
          </w:p>
        </w:tc>
        <w:tc>
          <w:tcPr>
            <w:tcW w:w="1055" w:type="pct"/>
            <w:vAlign w:val="center"/>
            <w:textDirection w:val="lrTb"/>
            <w:noWrap w:val="false"/>
          </w:tcPr>
          <w:p>
            <w:pPr>
              <w:pStyle w:val="746"/>
              <w:jc w:val="center"/>
              <w:shd w:val="clear" w:color="auto"/>
              <w:rPr>
                <w:rFonts w:ascii="宋体" w:hAnsi="宋体" w:cs="宋体"/>
                <w:sz w:val="21"/>
                <w:szCs w:val="21"/>
                <w:highlight w:val="none"/>
              </w:rPr>
            </w:pPr>
            <w:r>
              <w:rPr>
                <w:rFonts w:hint="eastAsia" w:ascii="宋体" w:hAnsi="宋体" w:cs="宋体"/>
                <w:sz w:val="21"/>
                <w:szCs w:val="21"/>
                <w:highlight w:val="none"/>
              </w:rPr>
              <w:t xml:space="preserve">GB 31701—2015 </w:t>
            </w:r>
            <w:r/>
          </w:p>
        </w:tc>
        <w:tc>
          <w:tcPr>
            <w:tcW w:w="346" w:type="pct"/>
            <w:vAlign w:val="center"/>
            <w:vMerge w:val="continue"/>
            <w:textDirection w:val="lrTb"/>
            <w:noWrap w:val="false"/>
          </w:tcPr>
          <w:p>
            <w:pPr>
              <w:pStyle w:val="746"/>
              <w:jc w:val="center"/>
              <w:shd w:val="clear" w:color="auto"/>
              <w:rPr>
                <w:rFonts w:ascii="宋体" w:hAnsi="宋体" w:cs="宋体"/>
                <w:sz w:val="21"/>
                <w:szCs w:val="21"/>
                <w:highlight w:val="none"/>
              </w:rPr>
            </w:pPr>
            <w:r>
              <w:rPr>
                <w:rFonts w:ascii="宋体" w:hAnsi="宋体" w:cs="宋体"/>
                <w:sz w:val="21"/>
                <w:szCs w:val="21"/>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基本要求、絮用纤维要求</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18383—2025 </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18383—2025 </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6</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休闲服装</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15</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ind w:firstLine="420"/>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 </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tc>
        <w:tc>
          <w:tcPr>
            <w:tcW w:w="346" w:type="pct"/>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7</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羊毛（绒）衫</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起球</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w:t>
            </w:r>
            <w:r>
              <w:rPr>
                <w:rFonts w:ascii="宋体" w:hAnsi="宋体" w:cs="宋体"/>
                <w:highlight w:val="none"/>
              </w:rPr>
              <w:t xml:space="preserve">Z/T 73009-2021</w:t>
            </w:r>
            <w:r/>
          </w:p>
          <w:p>
            <w:pPr>
              <w:jc w:val="center"/>
              <w:shd w:val="clear" w:color="auto"/>
              <w:rPr>
                <w:rFonts w:ascii="宋体" w:hAnsi="宋体" w:cs="宋体"/>
                <w:highlight w:val="none"/>
              </w:rPr>
            </w:pPr>
            <w:r>
              <w:rPr>
                <w:rFonts w:ascii="宋体" w:hAnsi="宋体" w:cs="宋体"/>
                <w:highlight w:val="none"/>
              </w:rPr>
              <w:t xml:space="preserve">FZ/T 73018-2021</w:t>
            </w:r>
            <w:r/>
          </w:p>
          <w:p>
            <w:pPr>
              <w:jc w:val="center"/>
              <w:shd w:val="clear" w:color="auto"/>
              <w:rPr>
                <w:rFonts w:ascii="宋体" w:hAnsi="宋体" w:cs="宋体"/>
                <w:highlight w:val="none"/>
              </w:rPr>
            </w:pPr>
            <w:r>
              <w:rPr>
                <w:rFonts w:ascii="宋体" w:hAnsi="宋体" w:cs="宋体"/>
                <w:highlight w:val="none"/>
              </w:rPr>
              <w:t xml:space="preserve">FZ/T 73005-2021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w:t>
            </w:r>
            <w:r>
              <w:rPr>
                <w:rFonts w:ascii="宋体" w:hAnsi="宋体" w:cs="宋体"/>
                <w:highlight w:val="none"/>
              </w:rPr>
              <w:t xml:space="preserve">B/T 4802.3-2008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 </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tc>
        <w:tc>
          <w:tcPr>
            <w:tcW w:w="346" w:type="pct"/>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羽绒服</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异味</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90"/>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FZ/T 73053—2015</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2910.5—2009</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38015—2019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绒子含量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FZ/T 73053—2015</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GB/T 10288—2016</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绒丝+羽丝</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GB/T 10288—2016</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Style w:val="1173"/>
                <w:rFonts w:hint="eastAsia" w:ascii="宋体" w:hAnsi="宋体" w:cs="宋体"/>
                <w:highlight w:val="none"/>
              </w:rPr>
              <w:t xml:space="preserve">鹅毛绒含量</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GB/T 10288—2016</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9</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羽绒被</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耐唾液色牢度</w:t>
            </w:r>
            <w:r/>
          </w:p>
        </w:tc>
        <w:tc>
          <w:tcPr>
            <w:shd w:val="clear" w:color="auto" w:fill="auto"/>
            <w:tcW w:w="1129" w:type="pct"/>
            <w:vAlign w:val="center"/>
            <w:vMerge w:val="continue"/>
            <w:textDirection w:val="lrTb"/>
            <w:noWrap w:val="false"/>
          </w:tcPr>
          <w:p>
            <w:pPr>
              <w:contextualSpacing/>
              <w:jc w:val="center"/>
              <w:shd w:val="clear" w:color="auto"/>
              <w:rPr>
                <w:rFonts w:ascii="宋体" w:hAnsi="宋体" w:cs="宋体"/>
                <w:bCs/>
                <w:highlight w:val="none"/>
              </w:rPr>
            </w:pPr>
            <w:r>
              <w:rPr>
                <w:rFonts w:ascii="宋体" w:hAnsi="宋体" w:cs="宋体"/>
                <w:bCs/>
                <w:highlight w:val="none"/>
              </w:rPr>
            </w:r>
            <w:r/>
          </w:p>
        </w:tc>
        <w:tc>
          <w:tcPr>
            <w:shd w:val="clear" w:color="auto" w:fill="auto"/>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18886—2019</w:t>
            </w:r>
            <w:r/>
          </w:p>
        </w:tc>
        <w:tc>
          <w:tcPr>
            <w:shd w:val="clear" w:color="auto" w:fill="auto"/>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shd w:val="clear" w:color="auto" w:fill="auto"/>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燃烧性能</w:t>
            </w:r>
            <w:r/>
          </w:p>
        </w:tc>
        <w:tc>
          <w:tcPr>
            <w:shd w:val="clear" w:color="auto" w:fill="auto"/>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14644—2014</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shd w:val="clear" w:color="auto" w:fill="auto"/>
            <w:tcW w:w="1129" w:type="pct"/>
            <w:vAlign w:val="center"/>
            <w:vMerge w:val="continue"/>
            <w:textDirection w:val="lrTb"/>
            <w:noWrap w:val="false"/>
          </w:tcPr>
          <w:p>
            <w:pPr>
              <w:pStyle w:val="746"/>
              <w:jc w:val="center"/>
              <w:shd w:val="clear" w:color="auto"/>
              <w:rPr>
                <w:rFonts w:ascii="宋体" w:hAnsi="宋体" w:cs="宋体"/>
                <w:sz w:val="21"/>
                <w:szCs w:val="21"/>
                <w:highlight w:val="none"/>
              </w:rPr>
            </w:pPr>
            <w:r>
              <w:rPr>
                <w:rFonts w:ascii="宋体" w:hAnsi="宋体" w:cs="宋体"/>
                <w:sz w:val="21"/>
                <w:szCs w:val="21"/>
                <w:highlight w:val="none"/>
              </w:rPr>
            </w:r>
            <w:r/>
          </w:p>
        </w:tc>
        <w:tc>
          <w:tcPr>
            <w:shd w:val="clear" w:color="auto" w:fill="auto"/>
            <w:tcW w:w="1055" w:type="pct"/>
            <w:vAlign w:val="center"/>
            <w:textDirection w:val="lrTb"/>
            <w:noWrap w:val="false"/>
          </w:tcPr>
          <w:p>
            <w:pPr>
              <w:pStyle w:val="746"/>
              <w:jc w:val="center"/>
              <w:shd w:val="clear" w:color="auto"/>
              <w:rPr>
                <w:rFonts w:ascii="宋体" w:hAnsi="宋体" w:cs="宋体"/>
                <w:sz w:val="21"/>
                <w:szCs w:val="21"/>
                <w:highlight w:val="none"/>
              </w:rPr>
            </w:pPr>
            <w:r>
              <w:rPr>
                <w:rFonts w:hint="eastAsia" w:ascii="宋体" w:hAnsi="宋体" w:cs="宋体"/>
                <w:sz w:val="21"/>
                <w:szCs w:val="21"/>
                <w:highlight w:val="none"/>
              </w:rPr>
              <w:t xml:space="preserve">GB 31701—2015 </w:t>
            </w:r>
            <w:r/>
          </w:p>
        </w:tc>
        <w:tc>
          <w:tcPr>
            <w:shd w:val="clear" w:color="auto" w:fill="auto"/>
            <w:tcW w:w="346" w:type="pct"/>
            <w:vAlign w:val="center"/>
            <w:vMerge w:val="continue"/>
            <w:textDirection w:val="lrTb"/>
            <w:noWrap w:val="false"/>
          </w:tcPr>
          <w:p>
            <w:pPr>
              <w:pStyle w:val="746"/>
              <w:jc w:val="center"/>
              <w:shd w:val="clear" w:color="auto"/>
              <w:rPr>
                <w:rFonts w:ascii="宋体" w:hAnsi="宋体" w:cs="宋体"/>
                <w:sz w:val="21"/>
                <w:szCs w:val="21"/>
                <w:highlight w:val="none"/>
              </w:rPr>
            </w:pPr>
            <w:r>
              <w:rPr>
                <w:rFonts w:ascii="宋体" w:hAnsi="宋体" w:cs="宋体"/>
                <w:sz w:val="21"/>
                <w:szCs w:val="21"/>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QB/T 1193—2023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ind w:firstLine="105"/>
              <w:jc w:val="center"/>
              <w:shd w:val="clear" w:color="auto"/>
              <w:rPr>
                <w:rFonts w:ascii="宋体" w:hAnsi="宋体" w:cs="宋体"/>
                <w:highlight w:val="none"/>
              </w:rPr>
            </w:pPr>
            <w:r>
              <w:rPr>
                <w:rFonts w:hint="eastAsia" w:ascii="宋体" w:hAnsi="宋体" w:cs="宋体"/>
                <w:highlight w:val="none"/>
              </w:rPr>
              <w:t xml:space="preserve">GB/T 2910.12—2023</w:t>
            </w:r>
            <w:r/>
          </w:p>
          <w:p>
            <w:pPr>
              <w:ind w:firstLine="105"/>
              <w:jc w:val="center"/>
              <w:shd w:val="clear" w:color="auto"/>
              <w:rPr>
                <w:rFonts w:ascii="宋体" w:hAnsi="宋体" w:cs="宋体"/>
                <w:highlight w:val="none"/>
              </w:rPr>
            </w:pPr>
            <w:r>
              <w:rPr>
                <w:rFonts w:hint="eastAsia" w:ascii="宋体" w:hAnsi="宋体" w:cs="宋体"/>
                <w:highlight w:val="none"/>
              </w:rPr>
              <w:t xml:space="preserve">GB/T 2910.18—2009</w:t>
            </w:r>
            <w:r/>
          </w:p>
          <w:p>
            <w:pPr>
              <w:ind w:firstLine="105"/>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GB/T 16988—2013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绒子含量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1193—2023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10288—2016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绒丝+羽丝</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10288—2016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Style w:val="1173"/>
                <w:rFonts w:hint="eastAsia" w:ascii="宋体" w:hAnsi="宋体" w:cs="宋体"/>
                <w:highlight w:val="none"/>
              </w:rPr>
              <w:t xml:space="preserve">鹅毛绒含量</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Style w:val="1173"/>
                <w:rFonts w:hint="eastAsia" w:ascii="宋体" w:hAnsi="宋体" w:cs="宋体"/>
                <w:highlight w:val="none"/>
              </w:rPr>
              <w:t xml:space="preserve">GB/T 10288—2016</w:t>
            </w:r>
            <w:r/>
          </w:p>
        </w:tc>
        <w:tc>
          <w:tcPr>
            <w:tcW w:w="346" w:type="pct"/>
            <w:vAlign w:val="center"/>
            <w:vMerge w:val="continue"/>
            <w:textDirection w:val="lrTb"/>
            <w:noWrap w:val="false"/>
          </w:tcPr>
          <w:p>
            <w:pPr>
              <w:jc w:val="center"/>
              <w:shd w:val="clear" w:color="auto"/>
              <w:rPr>
                <w:rStyle w:val="1173"/>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10</w:t>
            </w:r>
            <w:r/>
          </w:p>
        </w:tc>
        <w:tc>
          <w:tcPr>
            <w:gridSpan w:val="2"/>
            <w:tcW w:w="243"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雨衣</w:t>
            </w:r>
            <w:r/>
          </w:p>
        </w:tc>
        <w:tc>
          <w:tcPr>
            <w:tcW w:w="41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雨衣（纺织复合类）</w:t>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配件</w:t>
            </w:r>
            <w:r/>
          </w:p>
        </w:tc>
        <w:tc>
          <w:tcPr>
            <w:tcMar>
              <w:left w:w="15" w:type="dxa"/>
              <w:top w:w="15" w:type="dxa"/>
              <w:right w:w="15" w:type="dxa"/>
              <w:bottom w:w="0" w:type="dxa"/>
            </w:tcMa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面料断裂强力</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3923.1—2013</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粘合牢度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80007.1—2006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纺织复合材料耐水色牢度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防水性（面料、接缝处）</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4744—2013</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耐老化性（高温）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耐老化性（低温）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Mar>
              <w:left w:w="15" w:type="dxa"/>
              <w:top w:w="15" w:type="dxa"/>
              <w:right w:w="15" w:type="dxa"/>
              <w:bottom w:w="0" w:type="dxa"/>
            </w:tcMa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雨衣（塑料类）</w:t>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配件</w:t>
            </w:r>
            <w:r/>
          </w:p>
        </w:tc>
        <w:tc>
          <w:tcPr>
            <w:tcMar>
              <w:left w:w="15" w:type="dxa"/>
              <w:top w:w="15" w:type="dxa"/>
              <w:right w:w="15" w:type="dxa"/>
              <w:bottom w:w="0" w:type="dxa"/>
            </w:tcMa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面料断裂强力</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HG/T 2580—2008</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粘合牢度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塑料材料色牢度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耐老化性（高温）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耐老化性（低温）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740"/>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11</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背提包（学生书包）</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振荡冲击性能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2922—2018</w:t>
            </w:r>
            <w:r/>
          </w:p>
          <w:p>
            <w:pPr>
              <w:jc w:val="center"/>
              <w:shd w:val="clear" w:color="auto"/>
              <w:rPr>
                <w:rFonts w:ascii="宋体" w:hAnsi="宋体" w:cs="宋体"/>
                <w:highlight w:val="none"/>
              </w:rPr>
            </w:pPr>
            <w:r>
              <w:rPr>
                <w:rFonts w:hint="eastAsia" w:ascii="宋体" w:hAnsi="宋体" w:cs="宋体"/>
                <w:highlight w:val="none"/>
              </w:rPr>
              <w:t xml:space="preserve">QB/T 5083—2017</w:t>
            </w:r>
            <w:r/>
          </w:p>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缝合强度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可迁移元素的限量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6675.4—2014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游离甲醛含量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32606—2016</w:t>
            </w:r>
            <w:r/>
          </w:p>
          <w:p>
            <w:pPr>
              <w:jc w:val="center"/>
              <w:shd w:val="clear" w:color="auto"/>
              <w:rPr>
                <w:rFonts w:ascii="宋体" w:hAnsi="宋体" w:cs="宋体"/>
                <w:highlight w:val="none"/>
              </w:rPr>
            </w:pPr>
            <w:r>
              <w:rPr>
                <w:rFonts w:hint="eastAsia" w:ascii="宋体" w:hAnsi="宋体" w:cs="宋体"/>
                <w:highlight w:val="none"/>
              </w:rPr>
              <w:t xml:space="preserve">GB/T 19941.1—2019</w:t>
            </w:r>
            <w:r/>
          </w:p>
          <w:p>
            <w:pPr>
              <w:jc w:val="center"/>
              <w:shd w:val="clear" w:color="auto"/>
              <w:rPr>
                <w:rFonts w:ascii="宋体" w:hAnsi="宋体" w:cs="宋体"/>
                <w:highlight w:val="none"/>
              </w:rPr>
            </w:pPr>
            <w:r>
              <w:rPr>
                <w:rFonts w:hint="eastAsia" w:ascii="宋体" w:hAnsi="宋体" w:cs="宋体"/>
                <w:highlight w:val="none"/>
              </w:rPr>
              <w:t xml:space="preserve">GB/T 19941.2—2019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可分解有害芳香胺染料</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17592—2024</w:t>
            </w:r>
            <w:r/>
          </w:p>
          <w:p>
            <w:pPr>
              <w:jc w:val="center"/>
              <w:shd w:val="clear" w:color="auto"/>
              <w:rPr>
                <w:rFonts w:ascii="宋体" w:hAnsi="宋体" w:cs="宋体"/>
                <w:highlight w:val="none"/>
              </w:rPr>
            </w:pPr>
            <w:r>
              <w:rPr>
                <w:rFonts w:hint="eastAsia" w:ascii="宋体" w:hAnsi="宋体" w:cs="宋体"/>
                <w:highlight w:val="none"/>
              </w:rPr>
              <w:t xml:space="preserve">GB/T 23344—2009</w:t>
            </w:r>
            <w:r/>
          </w:p>
          <w:p>
            <w:pPr>
              <w:jc w:val="center"/>
              <w:shd w:val="clear" w:color="auto"/>
              <w:rPr>
                <w:rFonts w:ascii="宋体" w:hAnsi="宋体" w:cs="宋体"/>
                <w:highlight w:val="none"/>
              </w:rPr>
            </w:pPr>
            <w:r>
              <w:rPr>
                <w:rFonts w:hint="eastAsia" w:ascii="宋体" w:hAnsi="宋体" w:cs="宋体"/>
                <w:highlight w:val="none"/>
              </w:rPr>
              <w:t xml:space="preserve">GB/T 19942—2019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可触及的塑料件中邻苯二甲酸酯</w:t>
            </w:r>
            <w:r/>
          </w:p>
          <w:p>
            <w:pPr>
              <w:jc w:val="center"/>
              <w:shd w:val="clear" w:color="auto"/>
              <w:rPr>
                <w:rFonts w:ascii="宋体" w:hAnsi="宋体" w:cs="宋体"/>
                <w:highlight w:val="none"/>
              </w:rPr>
            </w:pPr>
            <w:r>
              <w:rPr>
                <w:rFonts w:hint="eastAsia" w:ascii="宋体" w:hAnsi="宋体" w:cs="宋体"/>
                <w:highlight w:val="none"/>
              </w:rPr>
              <w:t xml:space="preserve">增塑剂的限量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22048—2022</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12</w:t>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w:t>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w:t>
            </w:r>
            <w:r>
              <w:rPr>
                <w:rFonts w:hint="eastAsia" w:ascii="宋体" w:hAnsi="宋体" w:cs="宋体"/>
                <w:bCs/>
                <w:highlight w:val="none"/>
              </w:rPr>
              <w:t xml:space="preserve">（GB/T 43587—2023）</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有效跟高</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外底与外中底粘合强度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21396—2022</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2882—2023</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微孔底压缩变形量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2876—2009</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防滑性能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3903.6—2017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整鞋减震性能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30907—2014</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老人健步鞋（旅游鞋）</w:t>
            </w:r>
            <w:r>
              <w:rPr>
                <w:rFonts w:hint="eastAsia" w:ascii="宋体" w:hAnsi="宋体" w:cs="宋体"/>
                <w:bCs/>
                <w:highlight w:val="none"/>
              </w:rPr>
              <w:t xml:space="preserve">（GB/T 15107—2013）</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帮底剥离强度或</w:t>
            </w:r>
            <w:r/>
          </w:p>
          <w:p>
            <w:pPr>
              <w:jc w:val="center"/>
              <w:shd w:val="clear" w:color="auto"/>
              <w:rPr>
                <w:rFonts w:ascii="宋体" w:hAnsi="宋体" w:cs="宋体"/>
                <w:highlight w:val="none"/>
              </w:rPr>
            </w:pPr>
            <w:r>
              <w:rPr>
                <w:rFonts w:hint="eastAsia" w:ascii="宋体" w:hAnsi="宋体" w:cs="宋体"/>
                <w:highlight w:val="none"/>
              </w:rPr>
              <w:t xml:space="preserve">底墙与帮面剥离强度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3903.1—2008</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643"/>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外底与外中底粘合强度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2886—2007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游离或可部分水解的甲醛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老人健步鞋（休闲鞋）</w:t>
            </w:r>
            <w:r>
              <w:rPr>
                <w:rFonts w:hint="eastAsia" w:ascii="宋体" w:hAnsi="宋体" w:cs="宋体"/>
                <w:bCs/>
                <w:highlight w:val="none"/>
              </w:rPr>
              <w:t xml:space="preserve">（QB/T 2955—2017）</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3903.1—2017</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鞋帮拉出强度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外底与外中底粘合强度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21396—2008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游离或可部分水解的甲醛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老人健步鞋（布鞋）</w:t>
            </w:r>
            <w:r>
              <w:rPr>
                <w:rFonts w:hint="eastAsia" w:ascii="宋体" w:hAnsi="宋体" w:cs="宋体"/>
                <w:bCs/>
                <w:highlight w:val="none"/>
              </w:rPr>
              <w:t xml:space="preserve">（QB/T 4329—2012）</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3903.1—2008</w:t>
            </w:r>
            <w:r/>
          </w:p>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成型底鞋跟硬度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游离或可部分水解的甲醛含量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老人健步鞋（老年橡塑鞋）</w:t>
            </w:r>
            <w:r>
              <w:rPr>
                <w:rFonts w:hint="eastAsia" w:ascii="宋体" w:hAnsi="宋体" w:cs="宋体"/>
                <w:bCs/>
                <w:highlight w:val="none"/>
              </w:rPr>
              <w:t xml:space="preserve">（HG/T 5294—2018）</w:t>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531.1—2008</w:t>
            </w:r>
            <w:r/>
          </w:p>
          <w:p>
            <w:pPr>
              <w:jc w:val="center"/>
              <w:shd w:val="clear" w:color="auto"/>
              <w:rPr>
                <w:rFonts w:ascii="宋体" w:hAnsi="宋体" w:cs="宋体"/>
                <w:highlight w:val="none"/>
              </w:rPr>
            </w:pPr>
            <w:r>
              <w:rPr>
                <w:rFonts w:hint="eastAsia" w:ascii="宋体" w:hAnsi="宋体" w:cs="宋体"/>
                <w:highlight w:val="none"/>
              </w:rPr>
              <w:t xml:space="preserve">HG/T 2489—2007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磨耗量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9867—2008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压缩变形</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2876—2009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拔出力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2877—2014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帮底黏合强度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21396—2008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防滑性能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3780—2005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6价铬</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22807—2008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含氯酚（五氯苯酚（PCP）、2,3,5,6—四氯苯酚（TeCP））</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18414.1—2006</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13</w:t>
            </w:r>
            <w:r/>
          </w:p>
        </w:tc>
        <w:tc>
          <w:tcPr>
            <w:gridSpan w:val="3"/>
            <w:tcW w:w="6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皮鞋</w:t>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tc>
        <w:tc>
          <w:tcPr>
            <w:tcW w:w="34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鞋帮拉出强度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3903.1—2008</w:t>
            </w:r>
            <w:r/>
          </w:p>
          <w:p>
            <w:pPr>
              <w:jc w:val="center"/>
              <w:shd w:val="clear" w:color="auto"/>
              <w:rPr>
                <w:rFonts w:ascii="宋体" w:hAnsi="宋体" w:cs="宋体"/>
                <w:highlight w:val="none"/>
              </w:rPr>
            </w:pPr>
            <w:r>
              <w:rPr>
                <w:rFonts w:hint="eastAsia" w:ascii="宋体" w:hAnsi="宋体" w:cs="宋体"/>
                <w:highlight w:val="none"/>
              </w:rPr>
              <w:t xml:space="preserve">GB/T 20991—2007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鞋跟结合力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11413—2015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成型底鞋跟硬度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衬里和内垫材料的耐摩擦色牢度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安装勾心或其他刚性支撑材料的要求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勾心纵向刚度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3903.34—2019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230.1—2018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勾心长度下限值</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勾心弯曲性能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游离或可部分水解的甲醛</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14</w:t>
            </w:r>
            <w:r/>
          </w:p>
        </w:tc>
        <w:tc>
          <w:tcPr>
            <w:tcW w:w="200"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bCs/>
                <w:highlight w:val="none"/>
              </w:rPr>
              <w:t xml:space="preserve">童鞋</w:t>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bCs/>
                <w:highlight w:val="none"/>
              </w:rPr>
              <w:t xml:space="preserve">儿童旅游鞋（QB/T 4331—2021）</w:t>
            </w:r>
            <w:r/>
          </w:p>
          <w:p>
            <w:pPr>
              <w:jc w:val="center"/>
              <w:shd w:val="clear" w:color="auto"/>
              <w:rPr>
                <w:rFonts w:ascii="宋体" w:hAnsi="宋体" w:cs="宋体"/>
                <w:bCs/>
                <w:highlight w:val="none"/>
              </w:rPr>
            </w:pPr>
            <w:r>
              <w:rPr>
                <w:rFonts w:ascii="宋体" w:hAnsi="宋体" w:cs="宋体"/>
                <w:bCs/>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p>
            <w:pPr>
              <w:jc w:val="center"/>
              <w:shd w:val="clear" w:color="auto"/>
              <w:rPr>
                <w:rFonts w:ascii="宋体" w:hAnsi="宋体" w:cs="宋体"/>
                <w:highlight w:val="none"/>
              </w:rPr>
            </w:pPr>
            <w:r>
              <w:rPr>
                <w:rFonts w:hint="eastAsia" w:ascii="宋体" w:hAnsi="宋体" w:cs="宋体"/>
                <w:highlight w:val="none"/>
              </w:rPr>
              <w:t xml:space="preserve">或底墙与帮面剥离强度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3903.4—2017</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儿童皮鞋</w:t>
            </w:r>
            <w:r>
              <w:rPr>
                <w:rFonts w:hint="eastAsia" w:ascii="宋体" w:hAnsi="宋体" w:cs="宋体"/>
                <w:bCs/>
                <w:highlight w:val="none"/>
              </w:rPr>
              <w:t xml:space="preserve">（QB/T 2880—2016）（QB/T 2880—2024）</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鞋帮拉出强度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安装勾心或其他刚性支撑材料的要求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勾心纵向刚度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3903.34—2019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230.1—2018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勾心长度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勾心弯曲性能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儿童皮凉鞋</w:t>
            </w:r>
            <w:r>
              <w:rPr>
                <w:rFonts w:hint="eastAsia" w:ascii="宋体" w:hAnsi="宋体" w:cs="宋体"/>
                <w:bCs/>
                <w:highlight w:val="none"/>
              </w:rPr>
              <w:t xml:space="preserve">（QB/T 4546—2021）</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3903.4—2017</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帮带拉出强度（或帮带拔出力）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p>
            <w:pPr>
              <w:jc w:val="center"/>
              <w:shd w:val="clear" w:color="auto"/>
              <w:rPr>
                <w:rFonts w:ascii="宋体" w:hAnsi="宋体" w:cs="宋体"/>
                <w:highlight w:val="none"/>
              </w:rPr>
            </w:pPr>
            <w:r>
              <w:rPr>
                <w:rFonts w:hint="eastAsia" w:ascii="宋体" w:hAnsi="宋体" w:cs="宋体"/>
                <w:highlight w:val="none"/>
              </w:rPr>
              <w:t xml:space="preserve">GB/T 38011—2019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安装勾心或其他刚性支撑材料的要求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勾心纵向刚度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3903.34—2019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230.1—2018</w:t>
            </w:r>
            <w:r/>
          </w:p>
          <w:p>
            <w:pPr>
              <w:jc w:val="center"/>
              <w:shd w:val="clear" w:color="auto"/>
              <w:rPr>
                <w:rFonts w:ascii="宋体" w:hAnsi="宋体" w:cs="宋体"/>
                <w:highlight w:val="none"/>
              </w:rPr>
            </w:pPr>
            <w:r>
              <w:rPr>
                <w:rFonts w:hint="eastAsia" w:ascii="宋体" w:hAnsi="宋体" w:cs="宋体"/>
                <w:highlight w:val="none"/>
              </w:rPr>
              <w:t xml:space="preserve">GB/T 3903.4—2017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勾心长度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勾心弯曲性能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布面童胶鞋</w:t>
            </w:r>
            <w:r>
              <w:rPr>
                <w:rFonts w:hint="eastAsia" w:ascii="宋体" w:hAnsi="宋体" w:cs="宋体"/>
                <w:bCs/>
                <w:highlight w:val="none"/>
              </w:rPr>
              <w:t xml:space="preserve">（GB/T 25036—2021）</w:t>
            </w:r>
            <w:r/>
          </w:p>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耐磨性能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9867—2008</w:t>
            </w:r>
            <w:r/>
          </w:p>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硬度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531.1—2008</w:t>
            </w:r>
            <w:r/>
          </w:p>
          <w:p>
            <w:pPr>
              <w:jc w:val="center"/>
              <w:shd w:val="clear" w:color="auto"/>
              <w:rPr>
                <w:rFonts w:ascii="宋体" w:hAnsi="宋体" w:cs="宋体"/>
                <w:highlight w:val="none"/>
              </w:rPr>
            </w:pPr>
            <w:r>
              <w:rPr>
                <w:rFonts w:hint="eastAsia" w:ascii="宋体" w:hAnsi="宋体" w:cs="宋体"/>
                <w:highlight w:val="none"/>
              </w:rPr>
              <w:t xml:space="preserve">HG/T 2489—2007</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防滑性能（干法）</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HG/T 3780—2005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粘合强度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HG/T 4805—2015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耐摩擦色牢度（沾色）</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物理安全性能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30585—2014</w:t>
            </w:r>
            <w:r/>
          </w:p>
          <w:p>
            <w:pPr>
              <w:jc w:val="center"/>
              <w:shd w:val="clear" w:color="auto"/>
              <w:rPr>
                <w:rFonts w:ascii="宋体" w:hAnsi="宋体" w:cs="宋体"/>
                <w:highlight w:val="none"/>
              </w:rPr>
            </w:pPr>
            <w:r>
              <w:rPr>
                <w:rFonts w:hint="eastAsia" w:ascii="宋体" w:hAnsi="宋体" w:cs="宋体"/>
                <w:highlight w:val="none"/>
              </w:rPr>
              <w:t xml:space="preserve">GB 6675.2—2014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restart"/>
            <w:textDirection w:val="lrTb"/>
            <w:noWrap w:val="false"/>
          </w:tcPr>
          <w:p>
            <w:pPr>
              <w:jc w:val="center"/>
              <w:shd w:val="clear" w:color="auto"/>
              <w:rPr>
                <w:rFonts w:ascii="宋体" w:hAnsi="宋体" w:cs="宋体"/>
                <w:bCs/>
                <w:highlight w:val="none"/>
              </w:rPr>
            </w:pPr>
            <w:r>
              <w:rPr>
                <w:rFonts w:hint="eastAsia" w:ascii="宋体" w:hAnsi="宋体" w:cs="宋体"/>
                <w:bCs/>
                <w:highlight w:val="none"/>
              </w:rPr>
              <w:t xml:space="preserve">胶鞋健康安全技术规范（</w:t>
            </w:r>
            <w:r>
              <w:rPr>
                <w:rFonts w:hint="eastAsia" w:ascii="宋体" w:hAnsi="宋体" w:cs="宋体"/>
                <w:highlight w:val="none"/>
              </w:rPr>
              <w:t xml:space="preserve">GB/T 25038—2010</w:t>
            </w:r>
            <w:r>
              <w:rPr>
                <w:rFonts w:hint="eastAsia" w:ascii="宋体" w:hAnsi="宋体" w:cs="宋体"/>
                <w:bCs/>
                <w:highlight w:val="none"/>
              </w:rPr>
              <w:t xml:space="preserve">）（GB/T 25038—2024）</w:t>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游离甲醛</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2912.1—1998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可萃取的重金属（砷、铅、镉）</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17593.1—2006</w:t>
            </w:r>
            <w:r/>
          </w:p>
          <w:p>
            <w:pPr>
              <w:jc w:val="center"/>
              <w:shd w:val="clear" w:color="auto"/>
              <w:rPr>
                <w:rFonts w:ascii="宋体" w:hAnsi="宋体" w:cs="宋体"/>
                <w:highlight w:val="none"/>
              </w:rPr>
            </w:pPr>
            <w:r>
              <w:rPr>
                <w:rFonts w:hint="eastAsia" w:ascii="宋体" w:hAnsi="宋体" w:cs="宋体"/>
                <w:highlight w:val="none"/>
              </w:rPr>
              <w:t xml:space="preserve">GB/T 17593.4—2006</w:t>
            </w:r>
            <w:r/>
          </w:p>
          <w:p>
            <w:pPr>
              <w:jc w:val="center"/>
              <w:shd w:val="clear" w:color="auto"/>
              <w:rPr>
                <w:rFonts w:ascii="宋体" w:hAnsi="宋体" w:cs="宋体"/>
                <w:highlight w:val="none"/>
              </w:rPr>
            </w:pPr>
            <w:r>
              <w:rPr>
                <w:rFonts w:hint="eastAsia" w:ascii="宋体" w:hAnsi="宋体" w:cs="宋体"/>
                <w:highlight w:val="none"/>
              </w:rPr>
              <w:t xml:space="preserve">GB/T 17593.2—2007</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19941.1—2019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含氯酚（五氯苯酚（PCP）、2,3,5,6—四氯苯酚（TeCP））</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18414.1—2006</w:t>
            </w:r>
            <w:r/>
          </w:p>
          <w:p>
            <w:pPr>
              <w:jc w:val="center"/>
              <w:shd w:val="clear" w:color="auto"/>
              <w:rPr>
                <w:rFonts w:ascii="宋体" w:hAnsi="宋体" w:cs="宋体"/>
                <w:highlight w:val="none"/>
              </w:rPr>
            </w:pPr>
            <w:r>
              <w:rPr>
                <w:rFonts w:hint="eastAsia" w:ascii="宋体" w:hAnsi="宋体" w:cs="宋体"/>
                <w:highlight w:val="none"/>
              </w:rPr>
              <w:t xml:space="preserve">GB/T 18414.2—2006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N—亚硝基胺</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24153—2009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鞋里和内底摩擦色牢度（沾色）</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GB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bCs/>
                <w:highlight w:val="none"/>
              </w:rPr>
              <w:t xml:space="preserve">童鞋安全技术规范（</w:t>
            </w:r>
            <w:r>
              <w:rPr>
                <w:rFonts w:hint="eastAsia" w:ascii="宋体" w:hAnsi="宋体" w:cs="宋体"/>
                <w:highlight w:val="none"/>
              </w:rPr>
              <w:t xml:space="preserve">GB 30585—2024</w:t>
            </w:r>
            <w:r>
              <w:rPr>
                <w:rFonts w:hint="eastAsia" w:ascii="宋体" w:hAnsi="宋体" w:cs="宋体"/>
                <w:bCs/>
                <w:highlight w:val="none"/>
              </w:rPr>
              <w:t xml:space="preserve">）</w:t>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基本要求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30585—2014</w:t>
            </w:r>
            <w:r/>
          </w:p>
          <w:p>
            <w:pPr>
              <w:jc w:val="center"/>
              <w:shd w:val="clear" w:color="auto"/>
              <w:rPr>
                <w:rFonts w:ascii="宋体" w:hAnsi="宋体" w:cs="宋体"/>
                <w:highlight w:val="none"/>
              </w:rPr>
            </w:pPr>
            <w:r>
              <w:rPr>
                <w:rFonts w:hint="eastAsia" w:ascii="宋体" w:hAnsi="宋体" w:cs="宋体"/>
                <w:highlight w:val="none"/>
              </w:rPr>
              <w:t xml:space="preserve">GB 6675.2—2014 </w:t>
            </w:r>
            <w:r/>
          </w:p>
          <w:p>
            <w:pPr>
              <w:jc w:val="center"/>
              <w:shd w:val="clear" w:color="auto"/>
              <w:rPr>
                <w:rFonts w:ascii="宋体" w:hAnsi="宋体" w:cs="宋体"/>
                <w:highlight w:val="none"/>
              </w:rPr>
            </w:pPr>
            <w:r>
              <w:rPr>
                <w:rFonts w:hint="eastAsia" w:ascii="宋体" w:hAnsi="宋体" w:cs="宋体"/>
                <w:highlight w:val="none"/>
              </w:rPr>
              <w:t xml:space="preserve">（含第1号修改单）</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婴幼儿鞋小附件要求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6675.2—2014 </w:t>
            </w:r>
            <w:r/>
          </w:p>
          <w:p>
            <w:pPr>
              <w:jc w:val="center"/>
              <w:shd w:val="clear" w:color="auto"/>
              <w:rPr>
                <w:rFonts w:ascii="宋体" w:hAnsi="宋体" w:cs="宋体"/>
                <w:highlight w:val="none"/>
              </w:rPr>
            </w:pPr>
            <w:r>
              <w:rPr>
                <w:rFonts w:hint="eastAsia" w:ascii="宋体" w:hAnsi="宋体" w:cs="宋体"/>
                <w:highlight w:val="none"/>
              </w:rPr>
              <w:t xml:space="preserve">（含第1号修改单）</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六价铬</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38402—2019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甲醛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19941.1—2019</w:t>
            </w:r>
            <w:r/>
          </w:p>
          <w:p>
            <w:pPr>
              <w:jc w:val="center"/>
              <w:shd w:val="clear" w:color="auto"/>
              <w:rPr>
                <w:rFonts w:ascii="宋体" w:hAnsi="宋体" w:cs="宋体"/>
                <w:highlight w:val="none"/>
              </w:rPr>
            </w:pPr>
            <w:r>
              <w:rPr>
                <w:rFonts w:hint="eastAsia" w:ascii="宋体" w:hAnsi="宋体" w:cs="宋体"/>
                <w:highlight w:val="none"/>
              </w:rPr>
              <w:t xml:space="preserve">GB/T 19941.2—2019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重金属总量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4340—2012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富马酸二甲酯</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26713—2025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含氯苯酚</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18414.1—2006</w:t>
            </w:r>
            <w:r/>
          </w:p>
          <w:p>
            <w:pPr>
              <w:jc w:val="center"/>
              <w:shd w:val="clear" w:color="auto"/>
              <w:rPr>
                <w:rFonts w:ascii="宋体" w:hAnsi="宋体" w:cs="宋体"/>
                <w:highlight w:val="none"/>
              </w:rPr>
            </w:pPr>
            <w:r>
              <w:rPr>
                <w:rFonts w:hint="eastAsia" w:ascii="宋体" w:hAnsi="宋体" w:cs="宋体"/>
                <w:highlight w:val="none"/>
              </w:rPr>
              <w:t xml:space="preserve">GB/T 22808—2021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N—亚硝基胺</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ISO 19577:2019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邻苯二甲酸酯</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32440.1—2023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短链氯化石蜡</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40263—2021</w:t>
            </w:r>
            <w:r/>
          </w:p>
          <w:p>
            <w:pPr>
              <w:jc w:val="center"/>
              <w:shd w:val="clear" w:color="auto"/>
              <w:rPr>
                <w:rFonts w:ascii="宋体" w:hAnsi="宋体" w:cs="宋体"/>
                <w:highlight w:val="none"/>
              </w:rPr>
            </w:pPr>
            <w:r>
              <w:rPr>
                <w:rFonts w:hint="eastAsia" w:ascii="宋体" w:hAnsi="宋体" w:cs="宋体"/>
                <w:highlight w:val="none"/>
              </w:rPr>
              <w:t xml:space="preserve">GB/T 38405—2019</w:t>
            </w:r>
            <w:r/>
          </w:p>
          <w:p>
            <w:pPr>
              <w:jc w:val="center"/>
              <w:shd w:val="clear" w:color="auto"/>
              <w:rPr>
                <w:rFonts w:ascii="宋体" w:hAnsi="宋体" w:cs="宋体"/>
                <w:highlight w:val="none"/>
              </w:rPr>
            </w:pPr>
            <w:r>
              <w:rPr>
                <w:rFonts w:hint="eastAsia" w:ascii="宋体" w:hAnsi="宋体" w:cs="宋体"/>
                <w:highlight w:val="none"/>
              </w:rPr>
              <w:t xml:space="preserve">SN/T 3814—2014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采购包7：</w:t>
      </w:r>
      <w:r/>
    </w:p>
    <w:tbl>
      <w:tblPr>
        <w:tblStyle w:val="77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903"/>
        <w:gridCol w:w="905"/>
        <w:gridCol w:w="1516"/>
        <w:gridCol w:w="1153"/>
        <w:gridCol w:w="1994"/>
        <w:gridCol w:w="1994"/>
        <w:gridCol w:w="733"/>
      </w:tblGrid>
      <w:tr>
        <w:trPr>
          <w:jc w:val="center"/>
          <w:trHeight w:val="567"/>
          <w:tblHeader/>
        </w:trPr>
        <w:tc>
          <w:tcPr>
            <w:shd w:val="clear" w:color="auto" w:fill="auto"/>
            <w:tcW w:w="330" w:type="pct"/>
            <w:vAlign w:val="center"/>
            <w:textDirection w:val="lrTb"/>
            <w:noWrap w:val="false"/>
          </w:tcPr>
          <w:p>
            <w:pPr>
              <w:jc w:val="center"/>
              <w:spacing w:line="280" w:lineRule="exact"/>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序号</w:t>
            </w:r>
            <w:r/>
          </w:p>
        </w:tc>
        <w:tc>
          <w:tcPr>
            <w:gridSpan w:val="2"/>
            <w:shd w:val="clear" w:color="auto" w:fill="auto"/>
            <w:tcW w:w="917"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产品名称</w:t>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w:t>
            </w:r>
            <w:r>
              <w:rPr>
                <w:rFonts w:hint="eastAsia" w:ascii="宋体" w:hAnsi="宋体" w:cs="宋体"/>
                <w:sz w:val="21"/>
                <w:szCs w:val="21"/>
                <w:highlight w:val="none"/>
                <w:lang w:val="en-US" w:eastAsia="zh-CN"/>
              </w:rPr>
              <w:t xml:space="preserve">检测</w:t>
            </w:r>
            <w:r>
              <w:rPr>
                <w:rFonts w:hint="eastAsia" w:ascii="宋体" w:hAnsi="宋体" w:eastAsia="宋体" w:cs="宋体"/>
                <w:sz w:val="21"/>
                <w:szCs w:val="21"/>
                <w:highlight w:val="none"/>
              </w:rPr>
              <w:t xml:space="preserve">项目</w:t>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w:t>
            </w:r>
            <w:r>
              <w:rPr>
                <w:rFonts w:hint="eastAsia" w:ascii="宋体" w:hAnsi="宋体" w:cs="宋体"/>
                <w:sz w:val="21"/>
                <w:szCs w:val="21"/>
                <w:highlight w:val="none"/>
                <w:lang w:val="en-US" w:eastAsia="zh-CN"/>
              </w:rPr>
              <w:t xml:space="preserve">检测</w:t>
            </w:r>
            <w:r>
              <w:rPr>
                <w:rFonts w:hint="eastAsia" w:ascii="宋体" w:hAnsi="宋体" w:eastAsia="宋体" w:cs="宋体"/>
                <w:sz w:val="21"/>
                <w:szCs w:val="21"/>
                <w:highlight w:val="none"/>
              </w:rPr>
              <w:t xml:space="preserve">依据</w:t>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检验检测方法</w:t>
            </w:r>
            <w:r/>
          </w:p>
        </w:tc>
        <w:tc>
          <w:tcPr>
            <w:shd w:val="clear" w:color="auto" w:fill="auto"/>
            <w:tcW w:w="372" w:type="pct"/>
            <w:vAlign w:val="center"/>
            <w:textDirection w:val="lrTb"/>
            <w:noWrap w:val="false"/>
          </w:tcPr>
          <w:p>
            <w:pPr>
              <w:jc w:val="center"/>
              <w:shd w:val="clear" w:color="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批次</w:t>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gridSpan w:val="2"/>
            <w:tcW w:w="917" w:type="pct"/>
            <w:vAlign w:val="center"/>
            <w:vMerge w:val="restart"/>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 xml:space="preserve">瓶装液化石油气调压器</w:t>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w:t>
            </w:r>
            <w:r/>
          </w:p>
        </w:tc>
        <w:tc>
          <w:tcPr>
            <w:shd w:val="clear" w:color="auto" w:fill="auto"/>
            <w:tcW w:w="101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35844-2018</w:t>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35844-2018</w:t>
            </w:r>
            <w:r/>
          </w:p>
        </w:tc>
        <w:tc>
          <w:tcPr>
            <w:shd w:val="clear" w:color="auto" w:fill="auto"/>
            <w:tcW w:w="3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35844-2018</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关闭压力</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35844-2018</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出口压力</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35844-2018</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gridSpan w:val="2"/>
            <w:tcW w:w="917"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燃气连接用软管</w:t>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结构与尺寸</w:t>
            </w:r>
            <w:r/>
          </w:p>
        </w:tc>
        <w:tc>
          <w:tcPr>
            <w:shd w:val="clear" w:color="auto" w:fill="auto"/>
            <w:tcW w:w="101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3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耐压性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弯曲性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耐安装强度</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结构与尺寸</w:t>
            </w:r>
            <w:r/>
          </w:p>
        </w:tc>
        <w:tc>
          <w:tcPr>
            <w:shd w:val="clear" w:color="auto" w:fill="auto"/>
            <w:tcW w:w="101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44017—2024</w:t>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44017—2024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44017—2024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内层胶管（拉伸强度）</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440</w:t>
            </w:r>
            <w:r>
              <w:rPr>
                <w:rFonts w:hint="eastAsia" w:ascii="宋体" w:hAnsi="宋体" w:cs="宋体"/>
                <w:sz w:val="21"/>
                <w:szCs w:val="21"/>
                <w:highlight w:val="none"/>
                <w:lang w:val="en-US" w:eastAsia="zh-CN"/>
              </w:rPr>
              <w:t xml:space="preserve">23</w:t>
            </w:r>
            <w:r>
              <w:rPr>
                <w:rFonts w:hint="eastAsia" w:ascii="宋体" w:hAnsi="宋体" w:eastAsia="宋体" w:cs="宋体"/>
                <w:sz w:val="21"/>
                <w:szCs w:val="21"/>
                <w:highlight w:val="none"/>
                <w:lang w:val="de-DE"/>
              </w:rPr>
              <w:t xml:space="preserve">—2024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内层胶管（拉断伸长率）</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en-US" w:eastAsia="zh-CN"/>
              </w:rPr>
              <w:t xml:space="preserve">GB 44023-2024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耐压性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44017—2024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耐安装强度</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44017—2024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gridSpan w:val="2"/>
            <w:tcW w:w="917" w:type="pct"/>
            <w:vAlign w:val="center"/>
            <w:vMerge w:val="restart"/>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 xml:space="preserve">燃气灶具</w:t>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气密性</w:t>
            </w:r>
            <w:r/>
          </w:p>
        </w:tc>
        <w:tc>
          <w:tcPr>
            <w:shd w:val="clear" w:color="auto" w:fill="auto"/>
            <w:tcW w:w="101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3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热负荷</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干烟气中一氧化碳浓度</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熄火保护装置</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燃气导管</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gridSpan w:val="2"/>
            <w:tcW w:w="917"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气球</w:t>
            </w:r>
            <w:r>
              <w:rPr>
                <w:rFonts w:hint="eastAsia" w:ascii="宋体" w:hAnsi="宋体" w:cs="宋体"/>
                <w:color w:val="auto"/>
                <w:sz w:val="21"/>
                <w:szCs w:val="21"/>
                <w:highlight w:val="none"/>
                <w:lang w:val="en-US" w:eastAsia="zh-CN"/>
              </w:rPr>
              <w:t xml:space="preserve">（风险监测）</w:t>
            </w:r>
            <w:r/>
          </w:p>
        </w:tc>
        <w:tc>
          <w:tcPr>
            <w:gridSpan w:val="2"/>
            <w:shd w:val="clear" w:color="auto" w:fill="auto"/>
            <w:tcW w:w="1354"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 xml:space="preserve">特定元素的最大迁移量</w:t>
            </w:r>
            <w:r/>
          </w:p>
        </w:tc>
        <w:tc>
          <w:tcPr>
            <w:shd w:val="clear" w:color="auto" w:fill="auto"/>
            <w:tcW w:w="1012"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en-US" w:eastAsia="zh-CN"/>
              </w:rPr>
              <w:t xml:space="preserve">HG/T2723-2022</w:t>
            </w:r>
            <w:r/>
          </w:p>
        </w:tc>
        <w:tc>
          <w:tcPr>
            <w:shd w:val="clear" w:color="auto" w:fill="auto"/>
            <w:tcW w:w="1012" w:type="pct"/>
            <w:vAlign w:val="center"/>
            <w:textDirection w:val="lrTb"/>
            <w:noWrap w:val="false"/>
          </w:tcPr>
          <w:p>
            <w:pPr>
              <w:jc w:val="center"/>
              <w:spacing w:line="240" w:lineRule="exact"/>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 6675.4-2014</w:t>
            </w:r>
            <w:r/>
          </w:p>
        </w:tc>
        <w:tc>
          <w:tcPr>
            <w:shd w:val="clear" w:color="auto" w:fill="auto"/>
            <w:tcW w:w="372" w:type="pct"/>
            <w:vAlign w:val="center"/>
            <w:vMerge w:val="restart"/>
            <w:textDirection w:val="lrTb"/>
            <w:noWrap w:val="false"/>
          </w:tcPr>
          <w:p>
            <w:pPr>
              <w:jc w:val="center"/>
              <w:spacing w:line="240" w:lineRule="exact"/>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lang w:val="en-US" w:eastAsia="zh-CN"/>
              </w:rPr>
              <w:t xml:space="preserve">0</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shd w:val="clear" w:color="auto" w:fill="auto"/>
            <w:tcW w:w="1354"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邻苯二甲酸酯</w:t>
            </w:r>
            <w:r/>
          </w:p>
        </w:tc>
        <w:tc>
          <w:tcPr>
            <w:shd w:val="clear" w:color="auto" w:fill="auto"/>
            <w:tcW w:w="1012"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 6675.1-2014</w:t>
            </w:r>
            <w:r/>
          </w:p>
        </w:tc>
        <w:tc>
          <w:tcPr>
            <w:shd w:val="clear" w:color="auto" w:fill="auto"/>
            <w:tcW w:w="1012"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GB/T 22048-2015</w:t>
            </w:r>
            <w:r/>
          </w:p>
        </w:tc>
        <w:tc>
          <w:tcPr>
            <w:shd w:val="clear" w:color="auto" w:fill="auto"/>
            <w:tcW w:w="372" w:type="pct"/>
            <w:vAlign w:val="center"/>
            <w:vMerge w:val="continue"/>
            <w:textDirection w:val="lrTb"/>
            <w:noWrap w:val="false"/>
          </w:tcPr>
          <w:p>
            <w:pPr>
              <w:jc w:val="center"/>
              <w:spacing w:line="360" w:lineRule="auto"/>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gridSpan w:val="2"/>
            <w:tcW w:w="917"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摩托车、电动车乘员头盔</w:t>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p>
        </w:tc>
        <w:tc>
          <w:tcPr>
            <w:shd w:val="clear" w:color="auto" w:fill="auto"/>
            <w:tcW w:w="1012"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 811-2022</w:t>
            </w:r>
            <w:r/>
          </w:p>
        </w:tc>
        <w:tc>
          <w:tcPr>
            <w:shd w:val="clear" w:color="auto" w:fill="auto"/>
            <w:tcW w:w="1012"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t xml:space="preserve">GB 811-2022</w:t>
            </w:r>
            <w:r/>
          </w:p>
        </w:tc>
        <w:tc>
          <w:tcPr>
            <w:shd w:val="clear" w:color="auto" w:fill="auto"/>
            <w:tcW w:w="372"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视野</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t xml:space="preserve">GB 811-2022</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固定装置稳定性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t xml:space="preserve">GB 811-2022</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佩戴装置强度</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t xml:space="preserve">GB 811-2022</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吸收碰撞能量(低温)</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t xml:space="preserve">GB 811-2022</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458"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SA"/>
              </w:rPr>
              <w:t xml:space="preserve">板材</w:t>
            </w:r>
            <w:r/>
          </w:p>
        </w:tc>
        <w:tc>
          <w:tcPr>
            <w:tcW w:w="458"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浸渍胶膜纸饰面胶合板和细木工板</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含水率</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restart"/>
            <w:textDirection w:val="lrTb"/>
            <w:noWrap w:val="false"/>
          </w:tcPr>
          <w:p>
            <w:pPr>
              <w:jc w:val="center"/>
              <w:keepLines w:val="0"/>
              <w:keepNext w:val="0"/>
              <w:shd w:val="clear" w:color="auto"/>
              <w:widowControl/>
              <w:rPr>
                <w:rFonts w:hint="default"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胶合强度</w:t>
            </w:r>
            <w:r>
              <w:rPr>
                <w:rFonts w:hint="eastAsia" w:ascii="宋体" w:hAnsi="宋体" w:cs="宋体"/>
                <w:i w:val="0"/>
                <w:iCs w:val="0"/>
                <w:color w:val="000000"/>
                <w:sz w:val="21"/>
                <w:szCs w:val="21"/>
                <w:highlight w:val="none"/>
                <w:u w:val="none"/>
                <w:lang w:val="en-US" w:eastAsia="zh-CN" w:bidi="ar"/>
              </w:rPr>
              <w:t xml:space="preserve">（胶合板基材）</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浸渍剥离</w:t>
            </w:r>
            <w:r>
              <w:rPr>
                <w:rFonts w:hint="eastAsia" w:ascii="宋体" w:hAnsi="宋体" w:cs="宋体"/>
                <w:i w:val="0"/>
                <w:iCs w:val="0"/>
                <w:color w:val="000000"/>
                <w:sz w:val="21"/>
                <w:szCs w:val="21"/>
                <w:highlight w:val="none"/>
                <w:u w:val="none"/>
                <w:lang w:val="en-US" w:eastAsia="zh-CN" w:bidi="ar"/>
              </w:rPr>
              <w:t xml:space="preserve">（细木工板基材）</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横向</w:t>
            </w:r>
            <w:r>
              <w:rPr>
                <w:rFonts w:hint="eastAsia" w:ascii="宋体" w:hAnsi="宋体" w:eastAsia="宋体" w:cs="宋体"/>
                <w:i w:val="0"/>
                <w:iCs w:val="0"/>
                <w:color w:val="000000"/>
                <w:sz w:val="21"/>
                <w:szCs w:val="21"/>
                <w:highlight w:val="none"/>
                <w:u w:val="none"/>
                <w:lang w:val="en-US" w:eastAsia="zh-CN" w:bidi="ar"/>
              </w:rPr>
              <w:t xml:space="preserve">静曲强度</w:t>
            </w:r>
            <w:r>
              <w:rPr>
                <w:rFonts w:hint="eastAsia" w:ascii="宋体" w:hAnsi="宋体" w:cs="宋体"/>
                <w:i w:val="0"/>
                <w:iCs w:val="0"/>
                <w:color w:val="000000"/>
                <w:sz w:val="21"/>
                <w:szCs w:val="21"/>
                <w:highlight w:val="none"/>
                <w:u w:val="none"/>
                <w:lang w:val="en-US" w:eastAsia="zh-CN" w:bidi="ar"/>
              </w:rPr>
              <w:t xml:space="preserve">（细木工板基材）</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Times New Roman" w:hAnsi="Times New Roman" w:eastAsia="宋体"/>
                <w:sz w:val="21"/>
                <w:szCs w:val="21"/>
                <w:highlight w:val="none"/>
                <w:lang w:val="en-US" w:eastAsia="zh-CN"/>
              </w:rPr>
              <w:t xml:space="preserve">握钉力</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szCs w:val="21"/>
                <w:highlight w:val="none"/>
              </w:rPr>
              <w:t xml:space="preserve">表面耐磨</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szCs w:val="21"/>
                <w:highlight w:val="none"/>
                <w:lang w:eastAsia="zh-CN"/>
              </w:rPr>
              <w:t xml:space="preserve">表面耐划痕</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胶合板</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含水率</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胶合强度</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浸渍剥离</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静曲强度</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弹性模量</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fldChar w:fldCharType="begin"/>
            </w:r>
            <w:r>
              <w:rPr>
                <w:rFonts w:hint="eastAsia" w:ascii="宋体" w:hAnsi="宋体" w:eastAsia="宋体" w:cs="宋体"/>
                <w:sz w:val="21"/>
                <w:szCs w:val="21"/>
                <w:highlight w:val="none"/>
                <w:lang w:val="en-US" w:eastAsia="zh-CN"/>
              </w:rPr>
              <w:instrText xml:space="preserve"> HYPERLINK "javascript:void(0)" </w:instrText>
            </w:r>
            <w:r>
              <w:rPr>
                <w:rFonts w:hint="eastAsia" w:ascii="宋体" w:hAnsi="宋体" w:eastAsia="宋体" w:cs="宋体"/>
                <w:sz w:val="21"/>
                <w:szCs w:val="21"/>
                <w:highlight w:val="none"/>
                <w:lang w:val="en-US" w:eastAsia="zh-CN"/>
              </w:rPr>
              <w:fldChar w:fldCharType="separate"/>
            </w:r>
            <w:r>
              <w:rPr>
                <w:rFonts w:hint="default" w:ascii="宋体" w:hAnsi="宋体" w:eastAsia="宋体" w:cs="宋体"/>
                <w:sz w:val="21"/>
                <w:szCs w:val="21"/>
                <w:highlight w:val="none"/>
                <w:lang w:val="en-US" w:eastAsia="zh-CN"/>
              </w:rPr>
              <w:t xml:space="preserve">细木工板</w:t>
            </w:r>
            <w:r>
              <w:rPr>
                <w:rFonts w:hint="default" w:ascii="宋体" w:hAnsi="宋体" w:eastAsia="宋体" w:cs="宋体"/>
                <w:sz w:val="21"/>
                <w:szCs w:val="21"/>
                <w:highlight w:val="none"/>
                <w:lang w:val="en-US" w:eastAsia="zh-CN"/>
              </w:rPr>
              <w:fldChar w:fldCharType="end"/>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含水率</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5849-2016</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5849—2016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横向静曲强度</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5849—2016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浸渍剥离</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5849—2016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表面胶合强度</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5849—2016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gridSpan w:val="2"/>
            <w:tcW w:w="917"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天然气</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高位发热量</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zh-CN" w:eastAsia="zh-CN"/>
              </w:rPr>
              <w:suppressLineNumbers w:val="0"/>
            </w:pPr>
            <w:r>
              <w:rPr>
                <w:rFonts w:hint="eastAsia" w:ascii="宋体" w:hAnsi="宋体" w:eastAsia="宋体" w:cs="宋体"/>
                <w:sz w:val="21"/>
                <w:szCs w:val="21"/>
                <w:highlight w:val="none"/>
                <w:lang w:val="zh-CN" w:eastAsia="zh-CN"/>
              </w:rPr>
              <w:t xml:space="preserve">GB 18047-2017、</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en-US" w:eastAsia="zh-CN"/>
              </w:rPr>
              <w:t xml:space="preserve">GB 17820-2018</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GB/T 11062-2020</w:t>
            </w:r>
            <w:r/>
          </w:p>
        </w:tc>
        <w:tc>
          <w:tcPr>
            <w:shd w:val="clear" w:color="auto" w:fill="auto"/>
            <w:tcW w:w="372" w:type="pct"/>
            <w:vAlign w:val="center"/>
            <w:vMerge w:val="restart"/>
            <w:textDirection w:val="lrTb"/>
            <w:noWrap w:val="false"/>
          </w:tcPr>
          <w:p>
            <w:pPr>
              <w:jc w:val="center"/>
              <w:keepLines w:val="0"/>
              <w:keepNext w:val="0"/>
              <w:shd w:val="clear" w:color="auto"/>
              <w:widowControl/>
              <w:rPr>
                <w:rFonts w:hint="default"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4</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二氧化碳</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GB/T 13610-20</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0</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氧气</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zh-CN" w:eastAsia="zh-CN"/>
              </w:rPr>
              <w:t xml:space="preserve">GB 18047-2017</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GB/T 13610-20</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0</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r>
      <w:tr>
        <w:trPr>
          <w:jc w:val="center"/>
          <w:trHeight w:val="567"/>
        </w:trPr>
        <w:tc>
          <w:tcPr>
            <w:tcW w:w="330"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8</w:t>
            </w:r>
            <w:r/>
          </w:p>
        </w:tc>
        <w:tc>
          <w:tcPr>
            <w:gridSpan w:val="2"/>
            <w:tcW w:w="917"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骨灰盒</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cs="宋体"/>
                <w:szCs w:val="21"/>
                <w:highlight w:val="none"/>
              </w:rPr>
              <w:t xml:space="preserve">使用性能</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t xml:space="preserve">GB/T 23288-2023</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Cs w:val="21"/>
                <w:highlight w:val="none"/>
              </w:rPr>
              <w:t xml:space="preserve">GB/T 23288-2023</w:t>
            </w:r>
            <w:r/>
          </w:p>
        </w:tc>
        <w:tc>
          <w:tcPr>
            <w:shd w:val="clear" w:color="auto" w:fill="auto"/>
            <w:tcW w:w="372" w:type="pct"/>
            <w:vAlign w:val="center"/>
            <w:vMerge w:val="restart"/>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2</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shd w:val="clear" w:color="auto" w:fill="auto"/>
            <w:tcW w:w="769" w:type="pct"/>
            <w:vAlign w:val="center"/>
            <w:vMerge w:val="restart"/>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cs="宋体"/>
                <w:szCs w:val="21"/>
                <w:highlight w:val="none"/>
              </w:rPr>
              <w:t xml:space="preserve">表面涂层理化性能</w:t>
            </w:r>
            <w:r/>
          </w:p>
        </w:tc>
        <w:tc>
          <w:tcPr>
            <w:shd w:val="clear" w:color="auto" w:fill="auto"/>
            <w:tcW w:w="584" w:type="pct"/>
            <w:vAlign w:val="center"/>
            <w:vMerge w:val="restart"/>
            <w:textDirection w:val="lrTb"/>
            <w:noWrap w:val="false"/>
          </w:tcPr>
          <w:p>
            <w:pPr>
              <w:jc w:val="center"/>
              <w:spacing w:line="240" w:lineRule="auto"/>
              <w:shd w:val="clear" w:color="auto"/>
              <w:rPr>
                <w:rFonts w:hint="eastAsia" w:ascii="宋体" w:hAnsi="宋体" w:cs="宋体"/>
                <w:b/>
                <w:bCs/>
                <w:i w:val="0"/>
                <w:iCs w:val="0"/>
                <w:color w:val="0000ff"/>
                <w:sz w:val="21"/>
                <w:szCs w:val="21"/>
                <w:highlight w:val="none"/>
                <w:u w:val="none"/>
                <w:lang w:val="en-US" w:eastAsia="zh-CN" w:bidi="ar"/>
              </w:rPr>
            </w:pPr>
            <w:r>
              <w:rPr>
                <w:rFonts w:hint="eastAsia" w:ascii="宋体" w:hAnsi="宋体" w:cs="宋体"/>
                <w:szCs w:val="21"/>
                <w:highlight w:val="none"/>
              </w:rPr>
              <w:t xml:space="preserve">漆膜耐湿热</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Cs w:val="21"/>
                <w:highlight w:val="none"/>
              </w:rPr>
              <w:t xml:space="preserve">GB/T 23288-2023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shd w:val="clear" w:color="auto" w:fill="auto"/>
            <w:tcW w:w="769" w:type="pct"/>
            <w:vAlign w:val="center"/>
            <w:vMerge w:val="continue"/>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cs="宋体"/>
                <w:b/>
                <w:bCs/>
                <w:i w:val="0"/>
                <w:iCs w:val="0"/>
                <w:color w:val="0000ff"/>
                <w:sz w:val="21"/>
                <w:szCs w:val="21"/>
                <w:highlight w:val="none"/>
                <w:u w:val="none"/>
                <w:lang w:val="en-US" w:eastAsia="zh-CN" w:bidi="ar"/>
              </w:rPr>
            </w:r>
            <w:r/>
          </w:p>
        </w:tc>
        <w:tc>
          <w:tcPr>
            <w:shd w:val="clear" w:color="auto" w:fill="auto"/>
            <w:tcW w:w="584" w:type="pct"/>
            <w:vAlign w:val="center"/>
            <w:vMerge w:val="restart"/>
            <w:textDirection w:val="lrTb"/>
            <w:noWrap w:val="false"/>
          </w:tcPr>
          <w:p>
            <w:pPr>
              <w:jc w:val="center"/>
              <w:spacing w:line="240" w:lineRule="auto"/>
              <w:shd w:val="clear" w:color="auto"/>
              <w:rPr>
                <w:rFonts w:hint="eastAsia" w:ascii="宋体" w:hAnsi="宋体" w:cs="宋体"/>
                <w:b/>
                <w:bCs/>
                <w:i w:val="0"/>
                <w:iCs w:val="0"/>
                <w:color w:val="0000ff"/>
                <w:sz w:val="21"/>
                <w:szCs w:val="21"/>
                <w:highlight w:val="none"/>
                <w:u w:val="none"/>
                <w:lang w:val="en-US" w:eastAsia="zh-CN" w:bidi="ar"/>
              </w:rPr>
            </w:pPr>
            <w:r>
              <w:rPr>
                <w:rFonts w:hint="eastAsia" w:ascii="宋体" w:hAnsi="宋体" w:cs="宋体"/>
                <w:szCs w:val="21"/>
                <w:highlight w:val="none"/>
              </w:rPr>
              <w:t xml:space="preserve">漆膜附着力</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Cs w:val="21"/>
                <w:highlight w:val="none"/>
              </w:rPr>
              <w:t xml:space="preserve">GB/T 23288-2023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shd w:val="clear" w:color="auto" w:fill="auto"/>
            <w:tcW w:w="769" w:type="pct"/>
            <w:vAlign w:val="center"/>
            <w:vMerge w:val="continue"/>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cs="宋体"/>
                <w:b/>
                <w:bCs/>
                <w:i w:val="0"/>
                <w:iCs w:val="0"/>
                <w:color w:val="0000ff"/>
                <w:sz w:val="21"/>
                <w:szCs w:val="21"/>
                <w:highlight w:val="none"/>
                <w:u w:val="none"/>
                <w:lang w:val="en-US" w:eastAsia="zh-CN" w:bidi="ar"/>
              </w:rPr>
            </w:r>
            <w:r/>
          </w:p>
        </w:tc>
        <w:tc>
          <w:tcPr>
            <w:shd w:val="clear" w:color="auto" w:fill="auto"/>
            <w:tcW w:w="584" w:type="pct"/>
            <w:vAlign w:val="center"/>
            <w:textDirection w:val="lrTb"/>
            <w:noWrap w:val="false"/>
          </w:tcPr>
          <w:p>
            <w:pPr>
              <w:jc w:val="center"/>
              <w:spacing w:line="240" w:lineRule="auto"/>
              <w:shd w:val="clear" w:color="auto"/>
              <w:rPr>
                <w:rFonts w:hint="eastAsia" w:ascii="宋体" w:hAnsi="宋体" w:cs="宋体"/>
                <w:b/>
                <w:bCs/>
                <w:i w:val="0"/>
                <w:iCs w:val="0"/>
                <w:color w:val="0000ff"/>
                <w:sz w:val="21"/>
                <w:szCs w:val="21"/>
                <w:highlight w:val="none"/>
                <w:u w:val="none"/>
                <w:lang w:val="en-US" w:eastAsia="zh-CN" w:bidi="ar"/>
              </w:rPr>
            </w:pPr>
            <w:r>
              <w:rPr>
                <w:rFonts w:hint="eastAsia" w:ascii="宋体" w:hAnsi="宋体" w:cs="宋体"/>
                <w:szCs w:val="21"/>
                <w:highlight w:val="none"/>
              </w:rPr>
              <w:t xml:space="preserve">漆膜抗冲击</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Cs w:val="21"/>
                <w:highlight w:val="none"/>
              </w:rPr>
              <w:t xml:space="preserve">GB/T 23288-2023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r>
      <w:tr>
        <w:trPr>
          <w:jc w:val="center"/>
          <w:trHeight w:val="567"/>
        </w:trPr>
        <w:tc>
          <w:tcPr>
            <w:tcW w:w="330"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9</w:t>
            </w:r>
            <w:r/>
          </w:p>
        </w:tc>
        <w:tc>
          <w:tcPr>
            <w:gridSpan w:val="2"/>
            <w:tcW w:w="917"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水溶肥料</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大量元素含量/中量元素含量/微量元素含量</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NY/T 1107—2020</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 2266—2012</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 1428—2010</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NY 1106-2010</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lang w:val="en-US" w:eastAsia="zh-CN"/>
              </w:rPr>
              <w:t xml:space="preserve">NY 1429-2010</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NY/T 1107—2020</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 2266—2012</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 1428—2010</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NY 1106-2010</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lang w:val="en-US" w:eastAsia="zh-CN"/>
              </w:rPr>
              <w:t xml:space="preserve">NY 1429-2010</w:t>
            </w:r>
            <w:r/>
          </w:p>
        </w:tc>
        <w:tc>
          <w:tcPr>
            <w:shd w:val="clear" w:color="auto" w:fill="auto"/>
            <w:tcW w:w="372"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20</w:t>
            </w:r>
            <w:r/>
          </w:p>
        </w:tc>
      </w:tr>
      <w:tr>
        <w:trPr>
          <w:jc w:val="center"/>
          <w:trHeight w:val="567"/>
        </w:trPr>
        <w:tc>
          <w:tcPr>
            <w:tcW w:w="330" w:type="pct"/>
            <w:vAlign w:val="center"/>
            <w:vMerge w:val="restart"/>
            <w:textDirection w:val="lrTb"/>
            <w:noWrap w:val="false"/>
          </w:tcPr>
          <w:p>
            <w:pPr>
              <w:jc w:val="center"/>
              <w:shd w:val="clear" w:color="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10</w:t>
            </w:r>
            <w:r/>
          </w:p>
        </w:tc>
        <w:tc>
          <w:tcPr>
            <w:gridSpan w:val="2"/>
            <w:tcW w:w="917"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磷肥</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有效磷</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de-DE"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372" w:type="pct"/>
            <w:vAlign w:val="center"/>
            <w:vMerge w:val="restart"/>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6</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水溶性磷</w:t>
            </w:r>
            <w:r/>
          </w:p>
        </w:tc>
        <w:tc>
          <w:tcPr>
            <w:shd w:val="clear" w:color="auto" w:fill="auto"/>
            <w:tcBorders>
              <w:bottom w:val="single" w:color="auto" w:sz="4" w:space="0"/>
            </w:tcBorders>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游离酸</w:t>
            </w:r>
            <w:r/>
          </w:p>
        </w:tc>
        <w:tc>
          <w:tcPr>
            <w:shd w:val="clear" w:color="auto" w:fill="auto"/>
            <w:tcBorders>
              <w:bottom w:val="single" w:color="auto" w:sz="4" w:space="0"/>
            </w:tcBorders>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游离水/水分</w:t>
            </w:r>
            <w:r/>
          </w:p>
        </w:tc>
        <w:tc>
          <w:tcPr>
            <w:shd w:val="clear" w:color="auto" w:fill="auto"/>
            <w:tcBorders>
              <w:bottom w:val="single" w:color="auto" w:sz="4" w:space="0"/>
            </w:tcBorders>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包装标识（产品名称、养分含量、产品等级、名称中的禁用语等）</w:t>
            </w:r>
            <w:r/>
          </w:p>
        </w:tc>
        <w:tc>
          <w:tcPr>
            <w:shd w:val="clear" w:color="auto" w:fill="auto"/>
            <w:tcBorders>
              <w:bottom w:val="single" w:color="auto" w:sz="4" w:space="0"/>
            </w:tcBorders>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 18382—2021</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 18382—2021</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restart"/>
            <w:textDirection w:val="lrTb"/>
            <w:noWrap w:val="false"/>
          </w:tcPr>
          <w:p>
            <w:pPr>
              <w:jc w:val="center"/>
              <w:shd w:val="clear" w:color="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11</w:t>
            </w:r>
            <w:r/>
          </w:p>
        </w:tc>
        <w:tc>
          <w:tcPr>
            <w:gridSpan w:val="2"/>
            <w:tcW w:w="917"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活性炭</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四氯化碳吸附率</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3012-2018</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3012-2018</w:t>
            </w:r>
            <w:r/>
          </w:p>
        </w:tc>
        <w:tc>
          <w:tcPr>
            <w:shd w:val="clear" w:color="auto" w:fill="auto"/>
            <w:tcW w:w="372" w:type="pct"/>
            <w:vAlign w:val="center"/>
            <w:vMerge w:val="restart"/>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6</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灰分</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2144-2013</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2144-2013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固定碳</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2144-2013</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de-DE" w:eastAsia="zh-CN"/>
              </w:rPr>
              <w:suppressLineNumbers w:val="0"/>
            </w:pPr>
            <w:r>
              <w:rPr>
                <w:rFonts w:hint="eastAsia" w:ascii="宋体" w:hAnsi="宋体" w:eastAsia="宋体" w:cs="宋体"/>
                <w:szCs w:val="21"/>
                <w:highlight w:val="none"/>
                <w:lang w:val="en-US" w:eastAsia="zh-CN"/>
              </w:rPr>
              <w:t xml:space="preserve">LY/T 2144-2013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甲醛吸附率</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zh-CN" w:eastAsia="zh-CN"/>
              </w:rPr>
              <w:suppressLineNumbers w:val="0"/>
            </w:pPr>
            <w:r>
              <w:rPr>
                <w:rFonts w:hint="eastAsia" w:ascii="宋体" w:hAnsi="宋体" w:eastAsia="宋体" w:cs="宋体"/>
                <w:szCs w:val="21"/>
                <w:highlight w:val="none"/>
                <w:lang w:val="en-US" w:eastAsia="zh-CN"/>
              </w:rPr>
              <w:t xml:space="preserve">LY/T 2144-2013</w:t>
            </w:r>
            <w:r>
              <w:rPr>
                <w:rFonts w:hint="eastAsia" w:ascii="宋体" w:hAnsi="宋体" w:eastAsia="宋体" w:cs="宋体"/>
                <w:szCs w:val="21"/>
                <w:highlight w:val="none"/>
                <w:lang w:val="zh-CN" w:eastAsia="zh-CN"/>
              </w:rPr>
              <w:t xml:space="preserve"> </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3012-2018</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2144-2013</w:t>
            </w:r>
            <w:r/>
          </w:p>
          <w:p>
            <w:pPr>
              <w:jc w:val="center"/>
              <w:keepLines w:val="0"/>
              <w:keepNext w:val="0"/>
              <w:shd w:val="clear" w:color="auto"/>
              <w:widowControl/>
              <w:rPr>
                <w:rFonts w:hint="eastAsia" w:ascii="宋体" w:hAnsi="宋体" w:eastAsia="宋体" w:cs="宋体"/>
                <w:szCs w:val="21"/>
                <w:highlight w:val="none"/>
                <w:lang w:val="de-DE" w:eastAsia="zh-CN"/>
              </w:rPr>
              <w:suppressLineNumbers w:val="0"/>
            </w:pPr>
            <w:r>
              <w:rPr>
                <w:rFonts w:hint="eastAsia" w:ascii="宋体" w:hAnsi="宋体" w:eastAsia="宋体" w:cs="宋体"/>
                <w:szCs w:val="21"/>
                <w:highlight w:val="none"/>
                <w:lang w:val="en-US" w:eastAsia="zh-CN"/>
              </w:rPr>
              <w:t xml:space="preserve">LY/T 3012-2018</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采购包8：</w:t>
      </w:r>
      <w:r/>
    </w:p>
    <w:tbl>
      <w:tblPr>
        <w:tblStyle w:val="73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1"/>
        <w:gridCol w:w="2058"/>
        <w:gridCol w:w="2521"/>
        <w:gridCol w:w="1859"/>
        <w:gridCol w:w="2030"/>
        <w:gridCol w:w="881"/>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检验项目</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检验检测依据</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检验检测方法</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批次</w:t>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学习用品（修正液、涂改制品、橡皮擦、胶黏剂、课业簿册、中性笔及笔芯、水彩笔、橡皮泥、学生书袋、文具盒、笔袋）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可迁移元素的限量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21027-2020</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21027-2020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GB6675.4-2014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32606-2016</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22048-2022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7974-2013</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氯代烃</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甲醛</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甲苯、二甲苯；总挥发有机物</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6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可触及的塑料件中邻苯二甲酸酯增塑剂的限量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白度</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笔套安全</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边缘、尖端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奶嘴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边缘和尖端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小零件</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密封垫片</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针刺和抗拉扯性能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奶瓶部件配合</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婴幼儿安抚奶嘴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结构</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28482-2012</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28482-2012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抗冲击性能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抗刺穿性能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消费品包装</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产品信息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邻苯二甲酸酯含量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特定元素的迁移</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婴幼儿用塑料奶瓶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边缘和尖端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容量刻度和容量偏差</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小零件</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密封垫片</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针刺和抗拉扯性能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奶瓶部件配合</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玩具（电动玩具）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（风险监测）</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电玩具安全</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增塑剂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6675.1-2014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玩具彩泥</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（造型粘土）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（风险监测）</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特定元素的迁移</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GB 6675.4-2014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6675.4-2014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54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增塑剂</w:t>
            </w:r>
            <w:r/>
          </w:p>
        </w:tc>
        <w:tc>
          <w:tcPr>
            <w:shd w:val="clear" w:color="auto" w:fill="ffffff"/>
            <w:tcBorders>
              <w:top w:val="single" w:color="000000" w:sz="4" w:space="0"/>
              <w:left w:val="single" w:color="000000" w:sz="4" w:space="0"/>
              <w:bottom w:val="non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6675.1-2014</w:t>
            </w:r>
            <w:r/>
          </w:p>
        </w:tc>
        <w:tc>
          <w:tcPr>
            <w:shd w:val="clear" w:color="auto" w:fill="ffffff"/>
            <w:tcBorders>
              <w:top w:val="single" w:color="000000" w:sz="4" w:space="0"/>
              <w:left w:val="single" w:color="000000" w:sz="4" w:space="0"/>
              <w:bottom w:val="non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童车</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（乘骑车辆玩具）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GB6675.1-2014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GB6675.1-2014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22048-2022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GB6675.3-2014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增塑剂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6675.1-2014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机械与物理性能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GB6675.2-2014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易燃性能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GB6675.3-2014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电玩具安全</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乐器（竖笛、小提琴、古筝）</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邻苯二甲酸酯类物质的限量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28489-2022</w:t>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多环芳烃类物质的限量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40968-2021</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可迁移元素物质的限量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28489-2022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苯系物、总挥发有机化合物及甲醛物质的限量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28489-2022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五氯苯酚</w:t>
            </w:r>
            <w:r>
              <w:rPr>
                <w:rStyle w:val="1187"/>
                <w:rFonts w:eastAsia="宋体"/>
                <w:highlight w:val="none"/>
                <w:lang w:val="en-US" w:eastAsia="zh-CN" w:bidi="ar"/>
              </w:rPr>
              <w:t xml:space="preserve">(PCP)</w:t>
            </w:r>
            <w:r>
              <w:rPr>
                <w:rStyle w:val="1188"/>
                <w:highlight w:val="none"/>
                <w:lang w:val="en-US" w:eastAsia="zh-CN" w:bidi="ar"/>
              </w:rPr>
              <w:t xml:space="preserve">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18414.1-2006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22808-2021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LY/T 1985-2011</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电子部件限用物质的限量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26125-2011</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采购包9：</w:t>
      </w:r>
      <w:r/>
    </w:p>
    <w:tbl>
      <w:tblPr>
        <w:tblStyle w:val="73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8"/>
        <w:gridCol w:w="1518"/>
        <w:gridCol w:w="2068"/>
        <w:gridCol w:w="2242"/>
        <w:gridCol w:w="2518"/>
        <w:gridCol w:w="846"/>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检验项目</w:t>
            </w:r>
            <w:r/>
          </w:p>
        </w:tc>
        <w:tc>
          <w:tcPr>
            <w:shd w:val="clear" w:color="auto" w:fill="auto"/>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检验依据</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检验检测方法</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批次</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湿巾</w:t>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细菌菌落总数</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WS 575-2017</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27728-2011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27728.3-2024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大肠菌群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绿脓杆菌/铜绿假单胞菌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金黄色葡萄球菌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溶血性链球菌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真菌菌落总数</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35"/>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1545-2008</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WS 575-2017</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5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含液量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27728-2011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27728.3-2024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WS 575-2017</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横向抗张强度</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12914-2008</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12914-2018</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5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包装密封性</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27728-2011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27728.3-2024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WS 575-2017</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可迁移性荧光增白剂</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27728-2011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27728.3-2024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产品销售包装标识</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27728-2011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27728.3-2024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电动自行车</w:t>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铭牌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42295-2022及修改单</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5.1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整车质量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6.1.3</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车速限值（最高车速）</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6.1.1.2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制动性能（干态）</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结构</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6.1.6</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车速提示音</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6.1.7.2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淋水涉水性能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6.1.8.2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电气装置</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6.3.1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标识与警示语</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连接</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5.3.3</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短路防护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5.8.3</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导线</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5.3.2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对触及带电部分的防护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5.8.1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互认协同充电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5.8.9</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5"/>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电动自行车充电器</w:t>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外壳冲击</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GB 42296-2022及修改单</w:t>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6.1.1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跌落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6.1.2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工作温度下的泄漏电流</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6.2.1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电气强度</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6.2.2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防触电保护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6.2.4</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错接</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6.2.5.1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短路</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6.2.5.2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电源软线及输出线</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4706.1-2005 25</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超温保护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6.4.2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过充切断</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6.4.3</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耐热（只测塑料外壳）</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6.6.1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灼热丝</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6.6.2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7.1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警示语</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7.2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说明书</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7.3</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编码</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42296-2022第1号修改单7.4</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电动自行车电池</w:t>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2hr容量</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22199.1-2017</w:t>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22199.1-2017</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低温容量（-10℃）</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能量密度</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快速充电能力</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大电流放电特性</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耐振动能力</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防爆能力</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实际容量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22199.1-2025</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22199.1-2025</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质量比能量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不同温度下容量（0℃）</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快速充电能力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充放电转化能力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2hr容量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T/ZJXDC001-2021</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T/ZJXDC001-2021</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不同温度下的容量（-10℃）</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重量比能量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快速充电能力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大电流放电特性</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耐振动性能力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I</w:t>
            </w:r>
            <w:r>
              <w:rPr>
                <w:rFonts w:hint="default" w:ascii="Times New Roman" w:hAnsi="Times New Roman" w:eastAsia="宋体" w:cs="Times New Roman"/>
                <w:i w:val="0"/>
                <w:iCs w:val="0"/>
                <w:color w:val="000000"/>
                <w:sz w:val="22"/>
                <w:szCs w:val="22"/>
                <w:highlight w:val="none"/>
                <w:u w:val="none"/>
                <w:lang w:val="en-US" w:eastAsia="zh-CN" w:bidi="ar"/>
              </w:rPr>
              <w:t xml:space="preserve">₂</w:t>
            </w:r>
            <w:r>
              <w:rPr>
                <w:rFonts w:hint="eastAsia" w:ascii="宋体" w:hAnsi="宋体" w:eastAsia="宋体" w:cs="宋体"/>
                <w:i w:val="0"/>
                <w:iCs w:val="0"/>
                <w:color w:val="000000"/>
                <w:sz w:val="22"/>
                <w:szCs w:val="22"/>
                <w:highlight w:val="none"/>
                <w:u w:val="none"/>
                <w:lang w:val="en-US" w:eastAsia="zh-CN" w:bidi="ar"/>
              </w:rPr>
              <w:t xml:space="preserve">(A)放电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36972-2018</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36972-2018</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2I</w:t>
            </w:r>
            <w:r>
              <w:rPr>
                <w:rFonts w:hint="default" w:ascii="Times New Roman" w:hAnsi="Times New Roman" w:eastAsia="宋体" w:cs="Times New Roman"/>
                <w:i w:val="0"/>
                <w:iCs w:val="0"/>
                <w:color w:val="000000"/>
                <w:sz w:val="22"/>
                <w:szCs w:val="22"/>
                <w:highlight w:val="none"/>
                <w:u w:val="none"/>
                <w:lang w:val="en-US" w:eastAsia="zh-CN" w:bidi="ar"/>
              </w:rPr>
              <w:t xml:space="preserve">₂</w:t>
            </w:r>
            <w:r>
              <w:rPr>
                <w:rFonts w:hint="eastAsia" w:ascii="宋体" w:hAnsi="宋体" w:eastAsia="宋体" w:cs="宋体"/>
                <w:i w:val="0"/>
                <w:iCs w:val="0"/>
                <w:color w:val="000000"/>
                <w:sz w:val="22"/>
                <w:szCs w:val="22"/>
                <w:highlight w:val="none"/>
                <w:u w:val="none"/>
                <w:lang w:val="en-US" w:eastAsia="zh-CN" w:bidi="ar"/>
              </w:rPr>
              <w:t xml:space="preserve">(A)放电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过充电保护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过放电保护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短路保护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放电过流保护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静电放电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43854-2024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43854-2024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互认协同充电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蓄电池（除电动自行车)</w:t>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20hr容量（储备容量）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5008.1-2023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5008.1-2023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-18℃低温起动能力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耐振动性能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43346-2023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43346-2023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-18℃低温起动能力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19638.1-2014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19638.1-2014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安全阀试验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耐高电流能力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20hr容量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19639.1-2014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19639.1-2014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1hr容量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27分钟率放电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过放电试验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最大放电电流</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干式荷电性能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23638-2009</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23638-2009</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7403.1-2018</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7403.1-2018</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高倍率放电性能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密封性能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7404.1-2013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7404.1-2013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低温放电容量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7404.2-2013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7404.2-2013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常温起动能力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13337.1-2011</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13337.1-2011</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大电流耐受能力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安全试验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蓄电池容量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JB/T 8200-2024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JB/T 8200-2024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蓄电池高倍率放电性能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蓄电池耐振动性能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10hr容量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22473.1-2021</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22473.1-2021</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密封性能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充电接受能力/充电效率</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20hr容量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CB/T 4319-2013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CB/T 4319-2013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额定容量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32620.1-2016</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32620.1-2016</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不同温度下容量（-20℃）</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快速充电能力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峰值功率</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耐振动能力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13281-2008</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13281-2008</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过充电性能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振动试验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初始充放电容量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36280-2023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36280-2023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YD/T 799-2024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YD/T 799-2024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耐过充电能力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YD/T 1715-2007</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YD/T 1715-2007</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耐过充电能力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采购包10：</w:t>
      </w:r>
      <w:r/>
    </w:p>
    <w:tbl>
      <w:tblPr>
        <w:tblStyle w:val="73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8"/>
        <w:gridCol w:w="1707"/>
        <w:gridCol w:w="1993"/>
        <w:gridCol w:w="2064"/>
        <w:gridCol w:w="2393"/>
        <w:gridCol w:w="102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检验项目</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检验依据</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检验检测方法</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批次数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车用汽油清净剂</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倾点</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19592-2019</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3535-2025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闪点（闭口）</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261-2021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硫含量</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0689-2000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或NB/SH/T 0253-2021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氯含量</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1147-2025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防锈性/锈蚀程度</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19230.1-2025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破乳性</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19230.2-2003</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模拟进气阀沉淀物质量</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37322-2019</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机动车发动机冷却液</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密度（20.0℃）</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29743.1-2022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NB/SH/T 0521-2010</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0068-2002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冰点</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0090-1991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沸点</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0089-1991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0069-1991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玻璃器皿腐蚀</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0085-1991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泡沫倾向</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0066-2002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机动车发动机润滑油</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低温动力黏度</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11121-2006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GB 11122-2006</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6538-2022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边界泵送温度</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9171-1988</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低温泵送黏度</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NB/SH/T 0562-2013</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运动黏度（100℃）</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265-1988</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倾点</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3535-2025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水分</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260-2016</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泡沫性</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12579-2002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蒸发损失</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NB/SH/T 0059-2010</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机械杂质</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511-2010</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闪点（开口）</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3536-2008</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17476-2023</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机动车辆制动液</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运动黏度（-40℃、100℃）</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12981-2012</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265-1988</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平衡回流沸点（ERBP）</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NB/SH/T 0430-2019</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湿平衡回流沸点（WERBP）</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12981-2012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pH值</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12981-2012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蒸发性能</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12981-2012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汽车风窗玻璃清洗液</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冰点</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0090-1991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pH值</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0069-1991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最低使用浓度下的洗净力</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相容性</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对橡胶的影响</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对塑料的影响</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热稳定性</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shd w:val="clear" w:color="auto"/>
        <w:rPr>
          <w:rFonts w:hint="default"/>
          <w:highlight w:val="none"/>
          <w:lang w:val="en-US" w:eastAsia="zh-CN"/>
        </w:rPr>
      </w:pPr>
      <w:r>
        <w:rPr>
          <w:rFonts w:hint="default"/>
          <w:highlight w:val="none"/>
          <w:lang w:val="en-US" w:eastAsia="zh-CN"/>
        </w:rPr>
      </w:r>
      <w:r/>
    </w:p>
    <w:p>
      <w:pPr>
        <w:pStyle w:val="723"/>
        <w:spacing w:line="360" w:lineRule="auto"/>
        <w:shd w:val="clear" w:color="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三、服务内容及其他</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服务方中标人签订技术服务合同后，应依据《中华人民共和国产品质量法》、《产品质量监督抽查管理暂行办法》、《江苏省省级产品质量监督抽查工作规范》、相关产品扬州市市级监督抽查方案、抽查实施细则以及2026年市级产品质量监督抽查抽样、检验任务布置的要求开展抽样检验工作。</w:t>
      </w:r>
      <w:r/>
    </w:p>
    <w:p>
      <w:pPr>
        <w:pStyle w:val="110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2、抽样工作应注意：</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2.1按照相关产品扬州市市级产品质量监督抽查/风险监测方案、抽查实施细则和招标文件要求，完成抽样工作。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2.2按照产品标准、抽查实施细则、产品质量监督抽查实施方案等相关工作文件要求，合理抽取、封存样品，并将抽样过程照片及视频影像资料及时上传“江苏省产品质量安全监督管理系统”。</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2.3在规定期限内且不影响整体检验进度的前提下，若所抽样品不符合抽样检验要求，或者因包装邮寄过失等造成样品失效，无法完成检验的，要及时与被抽查企业沟通，完成退样和补抽的工作。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2.5所抽样品涉及特殊参数信息和企业执行标准时，应对样品特殊信息和企业执行标准进行确认。</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2.6检验工作应注意：</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（1）样品的检验应依据产品所执行的相关标准、相关法律法规、相关产品抽查实施细则等进行判定，及时出具产品质量监督抽查检验报告。</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（2）按要求及时发放产品质量监督抽查检验结果。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（3）协助采购人完成异议处理工作。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（4）按采购人要求做好样品复检工作。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（5）按要求上报产品质量监督抽查结果汇总材料。</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（6）按照采购人要求做好样品保管、运输、处置工作。制定有关样品的接收入库、领用、检验、保存及处理的程序规定，并严格按程序执行。</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（7）及时向采购人反馈应急检验处理情况。</w:t>
      </w:r>
      <w:r/>
    </w:p>
    <w:p>
      <w:pPr>
        <w:pStyle w:val="110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3、服务的质量保证：采购人为中标人提供文件依据及要求等；</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3.1中标人承担项目任务的人员和设施条件等。</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3.2采购人为中标人提供文件依据及要求：</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（1）采购人应依照本合同向中标人提供所抽查产品的《产品质量监督抽查复查检验委托书》、抽查实施细则、《产品质量监督抽查通知书》。</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（2）采购人有权根据客观事实及工作实际要求对本合同进行调整和变更，调整和变更情况应当及时告知中标人，中标人如有不同意见应及时书面反馈，最终变更结果以双方商定结果为准。</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（3）采购人应当按照合同验收结果及时向中标人支付相关经费。</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3.3中标人承担项目任务的人员和设施条件及应尽责任：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（1）中标人应当具备开展本合同委托内容的下列条件：</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①中标人应具备一定抽样技术能力，人员配置、作业管理等应满足抽样技术要求，确保抽查工作的顺利开展。</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②中标人应具有国家认证认可监督管理委员会或省级市场监督管理部门颁发的有效期内（有效期能覆盖本次任务的完成）的检验检测机构资质认定证书（CMA）。</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③具有必备的仪器设备、人员（须经培训符合要求）和检测能力；</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④具有所需的组织管理机制和协调能力；</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⑤法律法规规定的其他条件。</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（2）中标人不得存在借承担扬州市市级产品质量监督抽查/风险监测工作之机为本机构拉客户、事先通知被抽查企业，直接或间接参与企业接待等违法违规行为。</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中标人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若因中标人原因造成样品失效、丢失或其他因素造成无法实施检验而影响检验进度的，采购人将有权追究中标人相关责任，且有权单方面解除合同。中标人应当严格按照本合同约定的内容承担相关工作，不得超范围开展产品质量监督抽查相关业务，由此给被抽查企业造成损失的，由中标人承担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（5）中标人在履行本合同期间不得与被抽查企业签订同类产品的有偿服务协议或者接受被抽查企业对同一产品的委托检验。</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（6）中标人应当对本次抽查信息严格保密，禁止以任何名义和形式事先泄露和通知被抽查企业，不得向企业颁发监督抽查合格证书。</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（7）中标人应当在本合同和招标文件中约定时限内，保质保量完成抽检任务。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（8）中标人由于虚假、错误的样品信息、检验数据和结论或者检验过程程序错误、缺失等原因而给被抽查企业造成损失的，或者给社会带来不良影响的，中标人应当负责赔偿，并承担相应法律责任。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9）中标人在投标文件中所承诺的事宜未兑现，采购人在认定其失信行为后，将解除所签订的技术服务合同，过程中所产生的费用采购人将不予支付。因其虚假承诺而造成采购人损失或影响采购人整体抽查工作的，将追究中标人相关责任，并禁止其3年内承担扬州市市级产品质量监督抽查/风险监测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除采购人书面许可外，中标人不能擅自将本合同全部或部分工作委托给第三方。中标人不得以任何形式分包本协议约定的所有检验项目、不得租赁或者借用他人检测设备。即使采购人书面同意中标人将本合同的部分工作委托转让给第三方，中标人仍受本合同的义务约束。</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（11）中标人应按照《江苏省省级产品质量监督抽查工作规范》工作文件要求，开展样品处置工作。</w:t>
      </w:r>
      <w:r/>
    </w:p>
    <w:p>
      <w:pPr>
        <w:pStyle w:val="110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4、双方约定因履行本项目应遵守的保密任务：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4.1中标人应严格保守产品质量扬州市市级产品质量监督抽查/风险监测信息，未经采购人同意，不得将抽查结果对外发布，不得将抽查结果提供给任何部门、单位及个人，同时不得外泄被抽查企业的商业秘密。</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4.2如果因中标人原因，导致抽查结果及被检企业商业秘密被泄密的，采购人有权解除合同，中标人需承担因其所造成的一切后果，采购人有权对中标人保留诉讼的权利。</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4.3中标人在开展扬州市市级产品质量监督抽查/风险监测工作过程中，存在违法、违规和违反合同行为的，采购人可以随时解除合同，中标人需承担因其所造成的损失。</w:t>
      </w:r>
      <w:r/>
    </w:p>
    <w:p>
      <w:pPr>
        <w:numPr>
          <w:ilvl w:val="0"/>
          <w:numId w:val="0"/>
        </w:numPr>
        <w:ind w:left="-360"/>
        <w:shd w:val="clear" w:color="auto"/>
        <w:rPr>
          <w:rFonts w:hint="eastAsia"/>
          <w:highlight w:val="none"/>
          <w:lang w:eastAsia="zh-CN"/>
        </w:rPr>
        <w:outlineLvl w:val="9"/>
      </w:pPr>
      <w:r>
        <w:rPr>
          <w:rFonts w:hint="eastAsia"/>
          <w:highlight w:val="none"/>
          <w:lang w:eastAsia="zh-CN"/>
        </w:rPr>
      </w:r>
      <w:r/>
    </w:p>
    <w:p>
      <w:pPr>
        <w:shd w:val="clear" w:color="auto"/>
        <w:rPr>
          <w:rFonts w:hint="eastAsia" w:asciiTheme="minorEastAsia" w:hAnsiTheme="minorEastAsia" w:eastAsiaTheme="minorEastAsia" w:cstheme="minorEastAsia"/>
          <w:sz w:val="32"/>
          <w:highlight w:val="none"/>
        </w:rPr>
      </w:pPr>
      <w:r/>
      <w:bookmarkStart w:id="180" w:name="_Toc237917800"/>
      <w:r>
        <w:rPr>
          <w:rFonts w:hint="eastAsia" w:asciiTheme="minorEastAsia" w:hAnsiTheme="minorEastAsia" w:eastAsiaTheme="minorEastAsia" w:cstheme="minorEastAsia"/>
          <w:sz w:val="32"/>
          <w:highlight w:val="none"/>
        </w:rPr>
        <w:br w:type="page" w:clear="all"/>
      </w:r>
      <w:r/>
    </w:p>
    <w:p>
      <w:pPr>
        <w:pStyle w:val="722"/>
        <w:jc w:val="center"/>
        <w:spacing w:before="120" w:after="100" w:afterAutospacing="1" w:line="240" w:lineRule="auto"/>
        <w:shd w:val="clear" w:color="auto"/>
        <w:rPr>
          <w:rFonts w:hint="eastAsia" w:asciiTheme="minorEastAsia" w:hAnsiTheme="minorEastAsia" w:eastAsiaTheme="minorEastAsia" w:cstheme="minorEastAsia"/>
          <w:sz w:val="32"/>
          <w:highlight w:val="none"/>
        </w:rPr>
      </w:pPr>
      <w:r/>
      <w:bookmarkStart w:id="181" w:name="_Toc8374"/>
      <w:r>
        <w:rPr>
          <w:rFonts w:hint="eastAsia" w:asciiTheme="minorEastAsia" w:hAnsiTheme="minorEastAsia" w:eastAsiaTheme="minorEastAsia" w:cstheme="minorEastAsia"/>
          <w:sz w:val="32"/>
          <w:highlight w:val="none"/>
        </w:rPr>
        <w:t xml:space="preserve">第五章 </w:t>
      </w:r>
      <w:bookmarkEnd w:id="180"/>
      <w:r>
        <w:rPr>
          <w:rFonts w:hint="eastAsia" w:asciiTheme="minorEastAsia" w:hAnsiTheme="minorEastAsia" w:eastAsiaTheme="minorEastAsia" w:cstheme="minorEastAsia"/>
          <w:sz w:val="32"/>
          <w:highlight w:val="none"/>
        </w:rPr>
        <w:t xml:space="preserve">评标方法及评分标准</w:t>
      </w:r>
      <w:bookmarkEnd w:id="181"/>
      <w:r/>
      <w:r/>
    </w:p>
    <w:p>
      <w:pPr>
        <w:pStyle w:val="723"/>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一、评标方法</w:t>
      </w:r>
      <w:r/>
    </w:p>
    <w:p>
      <w:pPr>
        <w:pStyle w:val="1037"/>
        <w:ind w:firstLine="420"/>
        <w:spacing w:before="0" w:after="0"/>
        <w:shd w:val="clear" w:color="auto"/>
        <w:rPr>
          <w:rFonts w:hint="eastAsia" w:ascii="宋体" w:hAnsi="宋体" w:cs="宋体"/>
          <w:sz w:val="21"/>
          <w:szCs w:val="21"/>
          <w:highlight w:val="none"/>
        </w:rPr>
      </w:pPr>
      <w:r/>
      <w:bookmarkStart w:id="182" w:name="_Toc170117835"/>
      <w:r>
        <w:rPr>
          <w:rFonts w:hint="eastAsia" w:ascii="宋体" w:hAnsi="宋体" w:cs="宋体"/>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37"/>
        <w:ind w:firstLine="420"/>
        <w:spacing w:before="0" w:after="0"/>
        <w:shd w:val="clear" w:color="auto"/>
        <w:rPr>
          <w:rFonts w:hint="eastAsia" w:ascii="宋体" w:hAnsi="宋体" w:cs="宋体"/>
          <w:sz w:val="21"/>
          <w:szCs w:val="21"/>
          <w:highlight w:val="none"/>
        </w:rPr>
      </w:pPr>
      <w:r>
        <w:rPr>
          <w:rFonts w:hint="eastAsia" w:ascii="宋体" w:hAnsi="宋体"/>
          <w:b/>
          <w:bCs/>
          <w:color w:val="auto"/>
          <w:sz w:val="21"/>
          <w:szCs w:val="21"/>
          <w:highlight w:val="none"/>
        </w:rPr>
        <w:t xml:space="preserve">特别说明：评标时，按采购包1到采购包10的开标顺序评审，同一投标人只能中一个包，不可兼中。如同一投标人已中标前包的，则此包由第二中标候选人中标，以此类推。</w:t>
      </w:r>
      <w:r/>
    </w:p>
    <w:p>
      <w:pPr>
        <w:pStyle w:val="723"/>
        <w:numPr>
          <w:ilvl w:val="0"/>
          <w:numId w:val="0"/>
        </w:numPr>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lang w:val="en-US" w:eastAsia="zh-CN" w:bidi="ar-SA"/>
        </w:rPr>
        <w:t xml:space="preserve">二、</w:t>
      </w:r>
      <w:r>
        <w:rPr>
          <w:rFonts w:hint="eastAsia" w:asciiTheme="minorEastAsia" w:hAnsiTheme="minorEastAsia" w:eastAsiaTheme="minorEastAsia" w:cstheme="minorEastAsia"/>
          <w:sz w:val="21"/>
          <w:szCs w:val="21"/>
          <w:highlight w:val="none"/>
        </w:rPr>
        <w:t xml:space="preserve">政府采购政策功能落实</w:t>
      </w:r>
      <w:bookmarkEnd w:id="182"/>
      <w:r/>
      <w:r/>
    </w:p>
    <w:p>
      <w:pPr>
        <w:ind w:firstLine="420"/>
        <w:spacing w:line="360" w:lineRule="auto"/>
        <w:shd w:val="clear" w:color="auto"/>
        <w:rPr>
          <w:rFonts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3"/>
        <w:numPr>
          <w:ilvl w:val="0"/>
          <w:numId w:val="0"/>
        </w:numPr>
        <w:spacing w:line="360" w:lineRule="auto"/>
        <w:shd w:val="clear" w:color="auto"/>
        <w:rPr>
          <w:rFonts w:hint="eastAsia" w:asciiTheme="minorEastAsia" w:hAnsiTheme="minorEastAsia" w:eastAsiaTheme="minorEastAsia" w:cstheme="minorEastAsia"/>
          <w:sz w:val="21"/>
          <w:szCs w:val="21"/>
          <w:highlight w:val="none"/>
        </w:rPr>
      </w:pPr>
      <w:r/>
      <w:bookmarkStart w:id="183" w:name="_Toc170117836"/>
      <w:r>
        <w:rPr>
          <w:rFonts w:hint="eastAsia" w:asciiTheme="minorEastAsia" w:hAnsiTheme="minorEastAsia" w:eastAsiaTheme="minorEastAsia" w:cstheme="minorEastAsia"/>
          <w:b/>
          <w:sz w:val="21"/>
          <w:szCs w:val="21"/>
          <w:highlight w:val="none"/>
          <w:lang w:val="en-US" w:eastAsia="zh-CN" w:bidi="ar-SA"/>
        </w:rPr>
        <w:t xml:space="preserve">三、</w:t>
      </w:r>
      <w:r>
        <w:rPr>
          <w:rFonts w:hint="eastAsia" w:asciiTheme="minorEastAsia" w:hAnsiTheme="minorEastAsia" w:eastAsiaTheme="minorEastAsia" w:cstheme="minorEastAsia"/>
          <w:sz w:val="21"/>
          <w:szCs w:val="21"/>
          <w:highlight w:val="none"/>
        </w:rPr>
        <w:t xml:space="preserve">评审标准</w:t>
      </w:r>
      <w:bookmarkEnd w:id="183"/>
      <w:r/>
      <w:r/>
    </w:p>
    <w:p>
      <w:pPr>
        <w:pStyle w:val="733"/>
        <w:shd w:val="clear" w:color="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采购包1、采购包2、采购包3、采购包4、采购包5、采购包6、采购包7、采购包8、采购包9、采购包10： </w:t>
      </w:r>
      <w:r/>
    </w:p>
    <w:p>
      <w:pPr>
        <w:pStyle w:val="733"/>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bl>
      <w:tblPr>
        <w:tblStyle w:val="7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8463"/>
      </w:tblGrid>
      <w:tr>
        <w:trPr>
          <w:cantSplit/>
          <w:jc w:val="center"/>
          <w:trHeight w:val="28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ind w:firstLine="199"/>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项 目</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ind w:firstLine="420"/>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评  分  标  准</w:t>
            </w:r>
            <w:r/>
          </w:p>
        </w:tc>
      </w:tr>
      <w:tr>
        <w:trPr>
          <w:cantSplit/>
          <w:jc w:val="center"/>
          <w:trHeight w:val="745"/>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价 格</w:t>
            </w:r>
            <w:r/>
          </w:p>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（10分）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以满足招标文件要求的最低投标报价为评标基准价，得满分10分，其他投标报价得分=（评标基准价/其他投标报价）×10×100%。</w:t>
            </w:r>
            <w:r/>
          </w:p>
        </w:tc>
      </w:tr>
      <w:tr>
        <w:trPr>
          <w:jc w:val="center"/>
          <w:trHeight w:val="41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服务方案（</w:t>
            </w:r>
            <w:r>
              <w:rPr>
                <w:rFonts w:hint="eastAsia" w:ascii="宋体" w:hAnsi="宋体" w:cs="宋体"/>
                <w:sz w:val="21"/>
                <w:szCs w:val="21"/>
                <w:highlight w:val="none"/>
                <w:lang w:val="en-US" w:eastAsia="zh-CN"/>
              </w:rPr>
              <w:t xml:space="preserve">40分</w:t>
            </w:r>
            <w:r>
              <w:rPr>
                <w:rFonts w:hint="eastAsia" w:ascii="宋体" w:hAnsi="宋体" w:cs="宋体"/>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ascii="宋体" w:hAnsi="宋体"/>
                <w:b/>
                <w:bCs/>
                <w:sz w:val="21"/>
                <w:szCs w:val="21"/>
                <w:highlight w:val="none"/>
              </w:rPr>
            </w:pPr>
            <w:r>
              <w:rPr>
                <w:rFonts w:hint="eastAsia" w:ascii="宋体" w:hAnsi="宋体"/>
                <w:b/>
                <w:bCs/>
                <w:sz w:val="21"/>
                <w:szCs w:val="21"/>
                <w:highlight w:val="none"/>
              </w:rPr>
              <w:t xml:space="preserve">1、</w:t>
            </w:r>
            <w:r>
              <w:rPr>
                <w:rFonts w:hint="eastAsia" w:ascii="宋体" w:hAnsi="宋体"/>
                <w:b/>
                <w:bCs/>
                <w:sz w:val="21"/>
                <w:szCs w:val="21"/>
                <w:highlight w:val="none"/>
                <w:lang w:eastAsia="zh-CN"/>
              </w:rPr>
              <w:t xml:space="preserve">项目</w:t>
            </w:r>
            <w:r>
              <w:rPr>
                <w:rFonts w:hint="eastAsia" w:ascii="宋体" w:hAnsi="宋体"/>
                <w:b/>
                <w:bCs/>
                <w:sz w:val="21"/>
                <w:szCs w:val="21"/>
                <w:highlight w:val="none"/>
              </w:rPr>
              <w:t xml:space="preserve">实施方案</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rPr>
                <w:rFonts w:hint="eastAsia" w:ascii="宋体" w:hAnsi="宋体"/>
                <w:b/>
                <w:bCs/>
                <w:sz w:val="21"/>
                <w:szCs w:val="21"/>
                <w:highlight w:val="none"/>
              </w:rPr>
              <w:t xml:space="preserve">投标人项目实施方案（若所投包内涉及多个产品的，需按产品分别提供服务方案）</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方案内容符合规范，内容涵盖全面，方案可操作性及针对性</w:t>
            </w:r>
            <w:r>
              <w:rPr>
                <w:rFonts w:hint="eastAsia" w:ascii="宋体" w:hAnsi="宋体"/>
                <w:sz w:val="21"/>
                <w:szCs w:val="21"/>
                <w:highlight w:val="none"/>
                <w:lang w:eastAsia="zh-CN"/>
              </w:rPr>
              <w:t xml:space="preserve">强的</w:t>
            </w:r>
            <w:r>
              <w:rPr>
                <w:rFonts w:hint="eastAsia" w:ascii="宋体" w:hAnsi="宋体"/>
                <w:sz w:val="21"/>
                <w:szCs w:val="21"/>
                <w:highlight w:val="none"/>
              </w:rPr>
              <w:t xml:space="preserve">得</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方案内容较为规范，内容涵盖上述要求，方案可操作性及针对性较强的得</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方案内容基本符合规范，内容涵盖基本全面，方案可操作性及针对性较差的得</w:t>
            </w:r>
            <w:r>
              <w:rPr>
                <w:rFonts w:hint="eastAsia" w:ascii="宋体" w:hAnsi="宋体"/>
                <w:sz w:val="21"/>
                <w:szCs w:val="21"/>
                <w:highlight w:val="none"/>
                <w:lang w:val="en-US" w:eastAsia="zh-CN"/>
              </w:rPr>
              <w:t xml:space="preserve">1</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w:t>
            </w:r>
            <w:r>
              <w:rPr>
                <w:rFonts w:hint="eastAsia" w:ascii="宋体" w:hAnsi="宋体"/>
                <w:sz w:val="21"/>
                <w:szCs w:val="21"/>
                <w:highlight w:val="none"/>
                <w:lang w:eastAsia="zh-CN"/>
              </w:rPr>
              <w:t xml:space="preserve">内容</w:t>
            </w:r>
            <w:r>
              <w:rPr>
                <w:rFonts w:hint="eastAsia" w:ascii="宋体" w:hAnsi="宋体"/>
                <w:sz w:val="21"/>
                <w:szCs w:val="21"/>
                <w:highlight w:val="none"/>
              </w:rPr>
              <w:t xml:space="preserve">不</w:t>
            </w:r>
            <w:r>
              <w:rPr>
                <w:rFonts w:hint="eastAsia" w:ascii="宋体" w:hAnsi="宋体"/>
                <w:sz w:val="21"/>
                <w:szCs w:val="21"/>
                <w:highlight w:val="none"/>
                <w:lang w:eastAsia="zh-CN"/>
              </w:rPr>
              <w:t xml:space="preserve">符合规范的</w:t>
            </w:r>
            <w:r>
              <w:rPr>
                <w:rFonts w:hint="eastAsia" w:ascii="宋体" w:hAnsi="宋体"/>
                <w:sz w:val="21"/>
                <w:szCs w:val="21"/>
                <w:highlight w:val="none"/>
              </w:rPr>
              <w:t xml:space="preserve">或未提供方案的不得分。</w:t>
            </w:r>
            <w:r/>
          </w:p>
          <w:p>
            <w:pPr>
              <w:spacing w:line="360" w:lineRule="auto"/>
              <w:shd w:val="clear" w:color="auto"/>
              <w:rPr>
                <w:rFonts w:hint="eastAsia" w:ascii="宋体" w:hAnsi="宋体" w:eastAsia="宋体"/>
                <w:b/>
                <w:bCs/>
                <w:sz w:val="21"/>
                <w:szCs w:val="21"/>
                <w:highlight w:val="none"/>
                <w:lang w:eastAsia="zh-CN"/>
              </w:rPr>
            </w:pPr>
            <w:r>
              <w:rPr>
                <w:rFonts w:hint="eastAsia" w:ascii="宋体" w:hAnsi="宋体"/>
                <w:b/>
                <w:bCs/>
                <w:sz w:val="21"/>
                <w:szCs w:val="21"/>
                <w:highlight w:val="none"/>
              </w:rPr>
              <w:t xml:space="preserve">2、产业总体情况及质量现状分析材料</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方案内容符合规范，内容涵盖全面，方案可操作性及针对性</w:t>
            </w:r>
            <w:r>
              <w:rPr>
                <w:rFonts w:hint="eastAsia" w:ascii="宋体" w:hAnsi="宋体"/>
                <w:sz w:val="21"/>
                <w:szCs w:val="21"/>
                <w:highlight w:val="none"/>
                <w:lang w:eastAsia="zh-CN"/>
              </w:rPr>
              <w:t xml:space="preserve">强的</w:t>
            </w:r>
            <w:r>
              <w:rPr>
                <w:rFonts w:hint="eastAsia" w:ascii="宋体" w:hAnsi="宋体"/>
                <w:sz w:val="21"/>
                <w:szCs w:val="21"/>
                <w:highlight w:val="none"/>
              </w:rPr>
              <w:t xml:space="preserve">得</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方案内容较为规范，内容涵盖上述要求，方案可操作性及针对性较强的得</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方案内容基本符合规范，内容涵盖基本全面，方案可操作性及针对性较差的得</w:t>
            </w:r>
            <w:r>
              <w:rPr>
                <w:rFonts w:hint="eastAsia" w:ascii="宋体" w:hAnsi="宋体"/>
                <w:sz w:val="21"/>
                <w:szCs w:val="21"/>
                <w:highlight w:val="none"/>
                <w:lang w:val="en-US" w:eastAsia="zh-CN"/>
              </w:rPr>
              <w:t xml:space="preserve">1</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w:t>
            </w:r>
            <w:r>
              <w:rPr>
                <w:rFonts w:hint="eastAsia" w:ascii="宋体" w:hAnsi="宋体"/>
                <w:sz w:val="21"/>
                <w:szCs w:val="21"/>
                <w:highlight w:val="none"/>
                <w:lang w:eastAsia="zh-CN"/>
              </w:rPr>
              <w:t xml:space="preserve">内容</w:t>
            </w:r>
            <w:r>
              <w:rPr>
                <w:rFonts w:hint="eastAsia" w:ascii="宋体" w:hAnsi="宋体"/>
                <w:sz w:val="21"/>
                <w:szCs w:val="21"/>
                <w:highlight w:val="none"/>
              </w:rPr>
              <w:t xml:space="preserve">不</w:t>
            </w:r>
            <w:r>
              <w:rPr>
                <w:rFonts w:hint="eastAsia" w:ascii="宋体" w:hAnsi="宋体"/>
                <w:sz w:val="21"/>
                <w:szCs w:val="21"/>
                <w:highlight w:val="none"/>
                <w:lang w:eastAsia="zh-CN"/>
              </w:rPr>
              <w:t xml:space="preserve">符合规范的</w:t>
            </w:r>
            <w:r>
              <w:rPr>
                <w:rFonts w:hint="eastAsia" w:ascii="宋体" w:hAnsi="宋体"/>
                <w:sz w:val="21"/>
                <w:szCs w:val="21"/>
                <w:highlight w:val="none"/>
              </w:rPr>
              <w:t xml:space="preserve">或未提供方案的不得分。</w:t>
            </w:r>
            <w:r/>
          </w:p>
          <w:p>
            <w:pPr>
              <w:numPr>
                <w:ilvl w:val="0"/>
                <w:numId w:val="0"/>
              </w:numPr>
              <w:spacing w:line="360" w:lineRule="auto"/>
              <w:shd w:val="clear" w:color="auto"/>
              <w:rPr>
                <w:rFonts w:hint="eastAsia" w:ascii="宋体" w:hAnsi="宋体"/>
                <w:b/>
                <w:bCs/>
                <w:sz w:val="21"/>
                <w:szCs w:val="21"/>
                <w:highlight w:val="none"/>
              </w:rPr>
            </w:pPr>
            <w:r>
              <w:rPr>
                <w:rFonts w:hint="eastAsia" w:ascii="宋体" w:hAnsi="宋体" w:eastAsia="宋体" w:cs="Times New Roman"/>
                <w:b/>
                <w:bCs/>
                <w:sz w:val="21"/>
                <w:szCs w:val="21"/>
                <w:highlight w:val="none"/>
                <w:lang w:val="en-US" w:eastAsia="zh-CN" w:bidi="ar-SA"/>
              </w:rPr>
              <w:t xml:space="preserve">3、</w:t>
            </w:r>
            <w:r>
              <w:rPr>
                <w:rFonts w:hint="eastAsia" w:ascii="宋体" w:hAnsi="宋体"/>
                <w:b/>
                <w:bCs/>
                <w:sz w:val="21"/>
                <w:szCs w:val="21"/>
                <w:highlight w:val="none"/>
              </w:rPr>
              <w:t xml:space="preserve">抽样、检验工作管理制度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numPr>
                <w:ilvl w:val="0"/>
                <w:numId w:val="0"/>
              </w:numPr>
              <w:ind w:left="0" w:firstLine="0"/>
              <w:spacing w:line="360" w:lineRule="auto"/>
              <w:shd w:val="clear" w:color="auto"/>
              <w:rPr>
                <w:rFonts w:hint="eastAsia" w:ascii="宋体" w:hAnsi="宋体"/>
                <w:b/>
                <w:bCs/>
                <w:sz w:val="21"/>
                <w:szCs w:val="21"/>
                <w:highlight w:val="none"/>
              </w:rPr>
            </w:pPr>
            <w:r>
              <w:rPr>
                <w:rFonts w:hint="eastAsia" w:ascii="宋体" w:hAnsi="宋体" w:eastAsia="宋体" w:cs="Times New Roman"/>
                <w:b/>
                <w:bCs/>
                <w:sz w:val="21"/>
                <w:szCs w:val="21"/>
                <w:highlight w:val="none"/>
                <w:lang w:val="en-US" w:eastAsia="zh-CN" w:bidi="ar-SA"/>
              </w:rPr>
              <w:t xml:space="preserve">4、</w:t>
            </w:r>
            <w:r>
              <w:rPr>
                <w:rFonts w:hint="eastAsia" w:ascii="宋体" w:hAnsi="宋体"/>
                <w:b/>
                <w:bCs/>
                <w:sz w:val="21"/>
                <w:szCs w:val="21"/>
                <w:highlight w:val="none"/>
              </w:rPr>
              <w:t xml:space="preserve">样品管理、处置工作管理制度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numPr>
                <w:ilvl w:val="0"/>
                <w:numId w:val="0"/>
              </w:numPr>
              <w:ind w:left="0" w:firstLine="0"/>
              <w:spacing w:line="360" w:lineRule="auto"/>
              <w:shd w:val="clear" w:color="auto"/>
              <w:rPr>
                <w:rFonts w:hint="eastAsia" w:ascii="宋体" w:hAnsi="宋体"/>
                <w:b/>
                <w:bCs/>
                <w:sz w:val="21"/>
                <w:szCs w:val="21"/>
                <w:highlight w:val="none"/>
                <w:lang w:eastAsia="zh-CN"/>
              </w:rPr>
            </w:pPr>
            <w:r>
              <w:rPr>
                <w:rFonts w:hint="eastAsia" w:ascii="宋体" w:hAnsi="宋体" w:eastAsia="宋体" w:cs="Times New Roman"/>
                <w:b/>
                <w:bCs/>
                <w:sz w:val="21"/>
                <w:szCs w:val="21"/>
                <w:highlight w:val="none"/>
                <w:lang w:val="en-US" w:eastAsia="zh-CN" w:bidi="ar-SA"/>
              </w:rPr>
              <w:t xml:space="preserve">5、</w:t>
            </w:r>
            <w:r>
              <w:rPr>
                <w:rFonts w:hint="eastAsia" w:ascii="宋体" w:hAnsi="宋体"/>
                <w:b/>
                <w:bCs/>
                <w:sz w:val="21"/>
                <w:szCs w:val="21"/>
                <w:highlight w:val="none"/>
              </w:rPr>
              <w:t xml:space="preserve">结果上报管理制度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numPr>
                <w:ilvl w:val="0"/>
                <w:numId w:val="0"/>
              </w:numPr>
              <w:ind w:left="0" w:firstLine="0"/>
              <w:spacing w:line="360" w:lineRule="auto"/>
              <w:shd w:val="clear" w:color="auto"/>
              <w:rPr>
                <w:rFonts w:hint="eastAsia" w:ascii="宋体" w:hAnsi="宋体"/>
                <w:b/>
                <w:bCs/>
                <w:sz w:val="21"/>
                <w:szCs w:val="21"/>
                <w:highlight w:val="none"/>
              </w:rPr>
            </w:pPr>
            <w:r>
              <w:rPr>
                <w:rFonts w:hint="eastAsia" w:ascii="宋体" w:hAnsi="宋体" w:eastAsia="宋体" w:cs="Times New Roman"/>
                <w:b/>
                <w:bCs/>
                <w:sz w:val="21"/>
                <w:szCs w:val="21"/>
                <w:highlight w:val="none"/>
                <w:lang w:val="en-US" w:eastAsia="zh-CN" w:bidi="ar-SA"/>
              </w:rPr>
              <w:t xml:space="preserve">6、</w:t>
            </w:r>
            <w:r>
              <w:rPr>
                <w:rFonts w:hint="eastAsia" w:ascii="宋体" w:hAnsi="宋体"/>
                <w:b/>
                <w:bCs/>
                <w:sz w:val="21"/>
                <w:szCs w:val="21"/>
                <w:highlight w:val="none"/>
              </w:rPr>
              <w:t xml:space="preserve">复检（异议）处理管理制度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ind w:left="0" w:firstLine="0"/>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spacing w:line="360" w:lineRule="auto"/>
              <w:shd w:val="clear" w:color="auto"/>
              <w:rPr>
                <w:rFonts w:hint="eastAsia" w:ascii="宋体" w:hAnsi="宋体"/>
                <w:b/>
                <w:bCs/>
                <w:sz w:val="21"/>
                <w:szCs w:val="21"/>
                <w:highlight w:val="none"/>
              </w:rPr>
            </w:pPr>
            <w:r>
              <w:rPr>
                <w:rFonts w:hint="eastAsia" w:ascii="宋体" w:hAnsi="宋体"/>
                <w:b/>
                <w:bCs/>
                <w:sz w:val="21"/>
                <w:szCs w:val="21"/>
                <w:highlight w:val="none"/>
                <w:lang w:val="en-US" w:eastAsia="zh-CN"/>
              </w:rPr>
              <w:t xml:space="preserve">7、</w:t>
            </w:r>
            <w:r>
              <w:rPr>
                <w:rFonts w:hint="eastAsia" w:ascii="宋体" w:hAnsi="宋体"/>
                <w:b/>
                <w:bCs/>
                <w:sz w:val="21"/>
                <w:szCs w:val="21"/>
                <w:highlight w:val="none"/>
              </w:rPr>
              <w:t xml:space="preserve">保密</w:t>
            </w:r>
            <w:r>
              <w:rPr>
                <w:rFonts w:hint="eastAsia" w:ascii="宋体" w:hAnsi="宋体"/>
                <w:b/>
                <w:bCs/>
                <w:sz w:val="21"/>
                <w:szCs w:val="21"/>
                <w:highlight w:val="none"/>
                <w:lang w:val="en-US" w:eastAsia="zh-CN"/>
              </w:rPr>
              <w:t xml:space="preserve">管理</w:t>
            </w:r>
            <w:r>
              <w:rPr>
                <w:rFonts w:hint="eastAsia" w:ascii="宋体" w:hAnsi="宋体"/>
                <w:b/>
                <w:bCs/>
                <w:sz w:val="21"/>
                <w:szCs w:val="21"/>
                <w:highlight w:val="none"/>
              </w:rPr>
              <w:t xml:space="preserve">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ind w:left="0" w:firstLine="0"/>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spacing w:line="360" w:lineRule="auto"/>
              <w:shd w:val="clear" w:color="auto"/>
              <w:rPr>
                <w:rFonts w:hint="eastAsia" w:ascii="宋体" w:hAnsi="宋体"/>
                <w:b/>
                <w:bCs/>
                <w:sz w:val="21"/>
                <w:szCs w:val="21"/>
                <w:highlight w:val="none"/>
              </w:rPr>
            </w:pPr>
            <w:r>
              <w:rPr>
                <w:rFonts w:hint="eastAsia" w:ascii="宋体" w:hAnsi="宋体"/>
                <w:b/>
                <w:bCs/>
                <w:sz w:val="21"/>
                <w:szCs w:val="21"/>
                <w:highlight w:val="none"/>
                <w:lang w:val="en-US" w:eastAsia="zh-CN"/>
              </w:rPr>
              <w:t xml:space="preserve">8、突发事件应急响应措施及技术支撑措施及其它活动配合措施</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措施内容详细完整、表述准确、清晰, 合理、可行性强的，得</w:t>
            </w:r>
            <w:r>
              <w:rPr>
                <w:rFonts w:hint="eastAsia" w:ascii="宋体" w:hAnsi="宋体"/>
                <w:sz w:val="21"/>
                <w:szCs w:val="21"/>
                <w:highlight w:val="none"/>
                <w:lang w:val="en-US" w:eastAsia="zh-CN"/>
              </w:rPr>
              <w:t xml:space="preserve">5</w:t>
            </w:r>
            <w:r>
              <w:rPr>
                <w:rFonts w:hint="eastAsia" w:ascii="宋体" w:hAnsi="宋体" w:eastAsia="宋体"/>
                <w:sz w:val="21"/>
                <w:szCs w:val="21"/>
                <w:highlight w:val="none"/>
                <w:lang w:val="en-US" w:eastAsia="zh-CN"/>
              </w:rPr>
              <w:t xml:space="preserve">分；</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措施内容较完整，有一定的合理性和可行性的，得</w:t>
            </w:r>
            <w:r>
              <w:rPr>
                <w:rFonts w:hint="eastAsia" w:ascii="宋体" w:hAnsi="宋体"/>
                <w:sz w:val="21"/>
                <w:szCs w:val="21"/>
                <w:highlight w:val="none"/>
                <w:lang w:val="en-US" w:eastAsia="zh-CN"/>
              </w:rPr>
              <w:t xml:space="preserve">3</w:t>
            </w:r>
            <w:r>
              <w:rPr>
                <w:rFonts w:hint="eastAsia" w:ascii="宋体" w:hAnsi="宋体" w:eastAsia="宋体"/>
                <w:sz w:val="21"/>
                <w:szCs w:val="21"/>
                <w:highlight w:val="none"/>
                <w:lang w:val="en-US" w:eastAsia="zh-CN"/>
              </w:rPr>
              <w:t xml:space="preserve">分；</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措施内容表述不准确、不清晰、可行性不强的，得</w:t>
            </w:r>
            <w:r>
              <w:rPr>
                <w:rFonts w:hint="eastAsia" w:ascii="宋体" w:hAnsi="宋体"/>
                <w:sz w:val="21"/>
                <w:szCs w:val="21"/>
                <w:highlight w:val="none"/>
                <w:lang w:val="en-US" w:eastAsia="zh-CN"/>
              </w:rPr>
              <w:t xml:space="preserve">1</w:t>
            </w:r>
            <w:r>
              <w:rPr>
                <w:rFonts w:hint="eastAsia" w:ascii="宋体" w:hAnsi="宋体" w:eastAsia="宋体"/>
                <w:sz w:val="21"/>
                <w:szCs w:val="21"/>
                <w:highlight w:val="none"/>
                <w:lang w:val="en-US" w:eastAsia="zh-CN"/>
              </w:rPr>
              <w:t xml:space="preserve">分；</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sz w:val="21"/>
                <w:szCs w:val="21"/>
                <w:highlight w:val="none"/>
              </w:rPr>
              <w:t xml:space="preserve">未提供方案的不得分</w:t>
            </w:r>
            <w:r>
              <w:rPr>
                <w:rFonts w:hint="eastAsia" w:ascii="宋体" w:hAnsi="宋体" w:eastAsia="宋体"/>
                <w:sz w:val="21"/>
                <w:szCs w:val="21"/>
                <w:highlight w:val="none"/>
                <w:lang w:val="en-US" w:eastAsia="zh-CN"/>
              </w:rPr>
              <w:t xml:space="preserve">。</w:t>
            </w:r>
            <w:r/>
          </w:p>
        </w:tc>
      </w:tr>
      <w:tr>
        <w:trPr>
          <w:cantSplit/>
          <w:jc w:val="center"/>
          <w:trHeight w:val="495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企业实力</w:t>
            </w:r>
            <w:r/>
          </w:p>
          <w:p>
            <w:pPr>
              <w:jc w:val="cente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24</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hint="eastAsia" w:eastAsia="宋体"/>
                <w:b/>
                <w:bCs w:val="0"/>
                <w:sz w:val="21"/>
                <w:szCs w:val="21"/>
                <w:highlight w:val="none"/>
                <w:lang w:eastAsia="zh-CN"/>
              </w:rPr>
            </w:pPr>
            <w:r>
              <w:rPr>
                <w:rFonts w:hint="eastAsia"/>
                <w:sz w:val="21"/>
                <w:szCs w:val="21"/>
                <w:highlight w:val="none"/>
                <w:lang w:val="en-US" w:eastAsia="zh-CN"/>
              </w:rPr>
              <w:t xml:space="preserve">1、具备</w:t>
            </w:r>
            <w:r>
              <w:rPr>
                <w:rFonts w:hint="eastAsia"/>
                <w:highlight w:val="none"/>
              </w:rPr>
              <w:t xml:space="preserve">实验室国家认可CNAS</w:t>
            </w:r>
            <w:r>
              <w:rPr>
                <w:rFonts w:hint="eastAsia"/>
                <w:sz w:val="21"/>
                <w:szCs w:val="21"/>
                <w:highlight w:val="none"/>
              </w:rPr>
              <w:t xml:space="preserve">认证证书</w:t>
            </w:r>
            <w:r>
              <w:rPr>
                <w:rFonts w:hint="eastAsia"/>
                <w:sz w:val="21"/>
                <w:szCs w:val="21"/>
                <w:highlight w:val="none"/>
                <w:lang w:eastAsia="zh-CN"/>
              </w:rPr>
              <w:t xml:space="preserve">，得</w:t>
            </w:r>
            <w:r>
              <w:rPr>
                <w:rFonts w:hint="eastAsia"/>
                <w:sz w:val="21"/>
                <w:szCs w:val="21"/>
                <w:highlight w:val="none"/>
                <w:lang w:val="en-US" w:eastAsia="zh-CN"/>
              </w:rPr>
              <w:t xml:space="preserve">3分，不提供不得分</w:t>
            </w:r>
            <w:r>
              <w:rPr>
                <w:rFonts w:hint="eastAsia"/>
                <w:sz w:val="21"/>
                <w:szCs w:val="21"/>
                <w:highlight w:val="none"/>
              </w:rPr>
              <w:t xml:space="preserve">。</w:t>
            </w:r>
            <w:r>
              <w:rPr>
                <w:rFonts w:hint="eastAsia" w:ascii="宋体" w:hAnsi="宋体" w:cs="宋体"/>
                <w:b/>
                <w:bCs w:val="0"/>
                <w:szCs w:val="21"/>
                <w:highlight w:val="none"/>
              </w:rPr>
              <w:t xml:space="preserve">（提供认证证书</w:t>
            </w:r>
            <w:r>
              <w:rPr>
                <w:rFonts w:hint="eastAsia" w:ascii="宋体" w:hAnsi="宋体" w:cs="宋体"/>
                <w:b/>
                <w:bCs w:val="0"/>
                <w:szCs w:val="21"/>
                <w:highlight w:val="none"/>
                <w:lang w:eastAsia="zh-CN"/>
              </w:rPr>
              <w:t xml:space="preserve">及</w:t>
            </w:r>
            <w:r>
              <w:rPr>
                <w:rFonts w:hint="eastAsia"/>
                <w:b/>
                <w:bCs w:val="0"/>
                <w:sz w:val="21"/>
                <w:szCs w:val="21"/>
                <w:highlight w:val="none"/>
              </w:rPr>
              <w:fldChar w:fldCharType="begin"/>
            </w:r>
            <w:r>
              <w:rPr>
                <w:rFonts w:hint="eastAsia"/>
                <w:b/>
                <w:bCs w:val="0"/>
                <w:sz w:val="21"/>
                <w:szCs w:val="21"/>
                <w:highlight w:val="none"/>
              </w:rPr>
              <w:instrText xml:space="preserve"> HYPERLINK "https://www.cnas.org.cn/fzlm/cxxt/index.html" </w:instrText>
            </w:r>
            <w:r>
              <w:rPr>
                <w:rFonts w:hint="eastAsia"/>
                <w:b/>
                <w:bCs w:val="0"/>
                <w:sz w:val="21"/>
                <w:szCs w:val="21"/>
                <w:highlight w:val="none"/>
              </w:rPr>
              <w:fldChar w:fldCharType="separate"/>
            </w:r>
            <w:r>
              <w:rPr>
                <w:rFonts w:hint="eastAsia"/>
                <w:b/>
                <w:bCs w:val="0"/>
                <w:sz w:val="21"/>
                <w:szCs w:val="21"/>
                <w:highlight w:val="none"/>
              </w:rPr>
              <w:t xml:space="preserve">CNAS官网查询</w:t>
            </w:r>
            <w:r>
              <w:rPr>
                <w:rFonts w:hint="eastAsia"/>
                <w:b/>
                <w:bCs w:val="0"/>
                <w:sz w:val="21"/>
                <w:szCs w:val="21"/>
                <w:highlight w:val="none"/>
                <w:lang w:eastAsia="zh-CN"/>
              </w:rPr>
              <w:t xml:space="preserve">截</w:t>
            </w:r>
            <w:r>
              <w:rPr>
                <w:rFonts w:hint="eastAsia"/>
                <w:b/>
                <w:bCs w:val="0"/>
                <w:sz w:val="21"/>
                <w:szCs w:val="21"/>
                <w:highlight w:val="none"/>
              </w:rPr>
              <w:fldChar w:fldCharType="end"/>
            </w:r>
            <w:r>
              <w:rPr>
                <w:rFonts w:hint="eastAsia"/>
                <w:b/>
                <w:bCs w:val="0"/>
                <w:sz w:val="21"/>
                <w:szCs w:val="21"/>
                <w:highlight w:val="none"/>
                <w:lang w:eastAsia="zh-CN"/>
              </w:rPr>
              <w:t xml:space="preserve">图，</w:t>
            </w:r>
            <w:r>
              <w:rPr>
                <w:rFonts w:hint="eastAsia" w:ascii="宋体" w:hAnsi="宋体" w:cs="宋体"/>
                <w:b/>
                <w:bCs w:val="0"/>
                <w:szCs w:val="21"/>
                <w:highlight w:val="none"/>
              </w:rPr>
              <w:t xml:space="preserve">原件扫描上传</w:t>
            </w:r>
            <w:r>
              <w:rPr>
                <w:rFonts w:hint="eastAsia" w:ascii="宋体" w:hAnsi="宋体" w:cs="宋体"/>
                <w:b/>
                <w:bCs w:val="0"/>
                <w:szCs w:val="21"/>
                <w:highlight w:val="none"/>
                <w:lang w:eastAsia="zh-CN"/>
              </w:rPr>
              <w:t xml:space="preserve">）</w:t>
            </w:r>
            <w:r/>
          </w:p>
          <w:p>
            <w:pPr>
              <w:spacing w:line="360" w:lineRule="auto"/>
              <w:shd w:val="clear" w:color="auto"/>
              <w:rPr>
                <w:rFonts w:hint="eastAsia"/>
                <w:b/>
                <w:bCs/>
                <w:sz w:val="21"/>
                <w:szCs w:val="21"/>
                <w:highlight w:val="none"/>
              </w:rPr>
            </w:pPr>
            <w:r>
              <w:rPr>
                <w:rFonts w:hint="eastAsia"/>
                <w:sz w:val="21"/>
                <w:szCs w:val="21"/>
                <w:highlight w:val="none"/>
              </w:rPr>
              <w:t xml:space="preserve">2</w:t>
            </w:r>
            <w:r>
              <w:rPr>
                <w:rFonts w:hint="eastAsia"/>
                <w:sz w:val="21"/>
                <w:szCs w:val="21"/>
                <w:highlight w:val="none"/>
                <w:lang w:eastAsia="zh-CN"/>
              </w:rPr>
              <w:t xml:space="preserve">、</w:t>
            </w:r>
            <w:r>
              <w:rPr>
                <w:rFonts w:hint="eastAsia"/>
                <w:sz w:val="21"/>
                <w:szCs w:val="21"/>
                <w:highlight w:val="none"/>
              </w:rPr>
              <w:t xml:space="preserve">根据投标人检测项目检验检测能力，具有所投包产品全部检验检测能力的，得10分；缺少检验检测能力1个或1个以上，得0分。</w:t>
            </w:r>
            <w:r>
              <w:rPr>
                <w:rFonts w:hint="eastAsia"/>
                <w:b/>
                <w:bCs/>
                <w:sz w:val="21"/>
                <w:szCs w:val="21"/>
                <w:highlight w:val="none"/>
                <w:lang w:eastAsia="zh-CN"/>
              </w:rPr>
              <w:t xml:space="preserve">（</w:t>
            </w:r>
            <w:r>
              <w:rPr>
                <w:rFonts w:hint="eastAsia"/>
                <w:b/>
                <w:bCs/>
                <w:sz w:val="21"/>
                <w:szCs w:val="21"/>
                <w:highlight w:val="none"/>
              </w:rPr>
              <w:t xml:space="preserve">须提供有效的资质认定证书（CMA）及附表</w:t>
            </w:r>
            <w:r>
              <w:rPr>
                <w:rFonts w:hint="eastAsia"/>
                <w:b/>
                <w:bCs/>
                <w:sz w:val="21"/>
                <w:szCs w:val="21"/>
                <w:highlight w:val="none"/>
                <w:lang w:eastAsia="zh-CN"/>
              </w:rPr>
              <w:t xml:space="preserve">扫描上传</w:t>
            </w:r>
            <w:r>
              <w:rPr>
                <w:rFonts w:hint="eastAsia"/>
                <w:b/>
                <w:bCs/>
                <w:sz w:val="21"/>
                <w:szCs w:val="21"/>
                <w:highlight w:val="none"/>
              </w:rPr>
              <w:t xml:space="preserve">，对相应检验项目、检验依据及检验方法做明显标记</w:t>
            </w:r>
            <w:r>
              <w:rPr>
                <w:rFonts w:hint="eastAsia"/>
                <w:b/>
                <w:bCs/>
                <w:sz w:val="21"/>
                <w:szCs w:val="21"/>
                <w:highlight w:val="none"/>
                <w:lang w:eastAsia="zh-CN"/>
              </w:rPr>
              <w:t xml:space="preserve">）</w:t>
            </w:r>
            <w:r/>
          </w:p>
          <w:p>
            <w:pPr>
              <w:spacing w:line="360" w:lineRule="auto"/>
              <w:shd w:val="clear" w:color="auto"/>
              <w:rPr>
                <w:rFonts w:hint="eastAsia" w:eastAsia="宋体"/>
                <w:b/>
                <w:bCs/>
                <w:sz w:val="21"/>
                <w:szCs w:val="21"/>
                <w:highlight w:val="none"/>
                <w:lang w:val="en-US" w:eastAsia="zh-CN"/>
              </w:rPr>
            </w:pPr>
            <w:r>
              <w:rPr>
                <w:rFonts w:hint="eastAsia"/>
                <w:sz w:val="21"/>
                <w:szCs w:val="21"/>
                <w:highlight w:val="none"/>
                <w:lang w:val="en-US" w:eastAsia="zh-CN"/>
              </w:rPr>
              <w:t xml:space="preserve">3、供应商具备国家级质检中心的得5分，具备所投标产品检测国家级实验室的得2分，满分为5分。</w:t>
            </w:r>
            <w:r>
              <w:rPr>
                <w:rFonts w:hint="eastAsia"/>
                <w:b/>
                <w:bCs/>
                <w:sz w:val="21"/>
                <w:szCs w:val="21"/>
                <w:highlight w:val="none"/>
                <w:lang w:val="en-US" w:eastAsia="zh-CN"/>
              </w:rPr>
              <w:t xml:space="preserve">（提供相关证明材料，</w:t>
            </w:r>
            <w:r>
              <w:rPr>
                <w:rFonts w:hint="eastAsia" w:ascii="宋体" w:hAnsi="宋体" w:cs="宋体"/>
                <w:b/>
                <w:bCs w:val="0"/>
                <w:szCs w:val="21"/>
                <w:highlight w:val="none"/>
              </w:rPr>
              <w:t xml:space="preserve">原件扫描上传</w:t>
            </w:r>
            <w:r>
              <w:rPr>
                <w:rFonts w:hint="eastAsia"/>
                <w:b/>
                <w:bCs/>
                <w:sz w:val="21"/>
                <w:szCs w:val="21"/>
                <w:highlight w:val="none"/>
                <w:lang w:val="en-US" w:eastAsia="zh-CN"/>
              </w:rPr>
              <w:t xml:space="preserve">）</w:t>
            </w:r>
            <w:r/>
          </w:p>
          <w:p>
            <w:pPr>
              <w:numPr>
                <w:ilvl w:val="0"/>
                <w:numId w:val="0"/>
              </w:numPr>
              <w:spacing w:line="360" w:lineRule="auto"/>
              <w:shd w:val="clear" w:color="auto"/>
              <w:rPr>
                <w:sz w:val="21"/>
                <w:szCs w:val="21"/>
                <w:highlight w:val="none"/>
              </w:rPr>
            </w:pPr>
            <w:r>
              <w:rPr>
                <w:rFonts w:hint="eastAsia" w:ascii="宋体" w:hAnsi="宋体"/>
                <w:sz w:val="21"/>
                <w:szCs w:val="21"/>
                <w:highlight w:val="none"/>
                <w:lang w:val="en-US" w:eastAsia="zh-CN"/>
              </w:rPr>
              <w:t xml:space="preserve">4、</w:t>
            </w:r>
            <w:r>
              <w:rPr>
                <w:rFonts w:hint="eastAsia" w:ascii="宋体" w:hAnsi="宋体"/>
                <w:sz w:val="21"/>
                <w:szCs w:val="21"/>
                <w:highlight w:val="none"/>
              </w:rPr>
              <w:t xml:space="preserve">使用的仪器设备须经检定、校准，并在有效期内得2分，</w:t>
            </w:r>
            <w:r>
              <w:rPr>
                <w:rFonts w:hint="eastAsia"/>
                <w:sz w:val="21"/>
                <w:szCs w:val="21"/>
                <w:highlight w:val="none"/>
                <w:lang w:val="en-US" w:eastAsia="zh-CN"/>
              </w:rPr>
              <w:t xml:space="preserve">满分为2分。</w:t>
            </w:r>
            <w:r>
              <w:rPr>
                <w:rFonts w:hint="eastAsia" w:ascii="宋体" w:hAnsi="宋体"/>
                <w:b/>
                <w:bCs/>
                <w:sz w:val="21"/>
                <w:szCs w:val="21"/>
                <w:highlight w:val="none"/>
              </w:rPr>
              <w:t xml:space="preserve">（</w:t>
            </w:r>
            <w:r>
              <w:rPr>
                <w:rFonts w:hint="eastAsia" w:ascii="宋体" w:hAnsi="宋体"/>
                <w:b/>
                <w:bCs/>
                <w:sz w:val="21"/>
                <w:szCs w:val="21"/>
                <w:highlight w:val="none"/>
                <w:lang w:val="zh-CN"/>
              </w:rPr>
              <w:t xml:space="preserve">需提供书面承诺函并加盖公章</w:t>
            </w:r>
            <w:r>
              <w:rPr>
                <w:rFonts w:hint="eastAsia" w:ascii="宋体" w:hAnsi="宋体" w:cs="宋体"/>
                <w:b/>
                <w:bCs w:val="0"/>
                <w:szCs w:val="21"/>
                <w:highlight w:val="none"/>
              </w:rPr>
              <w:t xml:space="preserve">扫描上传</w:t>
            </w:r>
            <w:r>
              <w:rPr>
                <w:rFonts w:hint="eastAsia" w:ascii="宋体" w:hAnsi="宋体"/>
                <w:b/>
                <w:bCs/>
                <w:sz w:val="21"/>
                <w:szCs w:val="21"/>
                <w:highlight w:val="none"/>
                <w:lang w:val="zh-CN"/>
              </w:rPr>
              <w:t xml:space="preserve">。未提供或不符合要求者不得分。</w:t>
            </w:r>
            <w:r>
              <w:rPr>
                <w:rFonts w:hint="eastAsia" w:ascii="宋体" w:hAnsi="宋体"/>
                <w:b/>
                <w:bCs/>
                <w:sz w:val="21"/>
                <w:szCs w:val="21"/>
                <w:highlight w:val="none"/>
              </w:rPr>
              <w:t xml:space="preserve">）</w:t>
            </w:r>
            <w:r/>
          </w:p>
          <w:p>
            <w:pPr>
              <w:spacing w:line="360" w:lineRule="auto"/>
              <w:shd w:val="clear" w:color="auto"/>
              <w:rPr>
                <w:rFonts w:hint="eastAsia"/>
                <w:sz w:val="21"/>
                <w:szCs w:val="21"/>
                <w:highlight w:val="none"/>
              </w:rPr>
            </w:pPr>
            <w:r>
              <w:rPr>
                <w:rFonts w:hint="eastAsia"/>
                <w:sz w:val="21"/>
                <w:szCs w:val="21"/>
                <w:highlight w:val="none"/>
                <w:lang w:val="en-US" w:eastAsia="zh-CN"/>
              </w:rPr>
              <w:t xml:space="preserve">5、</w:t>
            </w:r>
            <w:r>
              <w:rPr>
                <w:rFonts w:hint="eastAsia"/>
                <w:sz w:val="21"/>
                <w:szCs w:val="21"/>
                <w:highlight w:val="none"/>
              </w:rPr>
              <w:t xml:space="preserve">202</w:t>
            </w:r>
            <w:r>
              <w:rPr>
                <w:rFonts w:hint="eastAsia"/>
                <w:sz w:val="21"/>
                <w:szCs w:val="21"/>
                <w:highlight w:val="none"/>
                <w:lang w:val="en-US" w:eastAsia="zh-CN"/>
              </w:rPr>
              <w:t xml:space="preserve">4</w:t>
            </w:r>
            <w:r>
              <w:rPr>
                <w:rFonts w:hint="eastAsia"/>
                <w:sz w:val="21"/>
                <w:szCs w:val="21"/>
                <w:highlight w:val="none"/>
              </w:rPr>
              <w:t xml:space="preserve">年以来参与过所投包产品（同一产品分类）现行有效的国家、行业标准制修订（已发布），每提供一个得1</w:t>
            </w:r>
            <w:r>
              <w:rPr>
                <w:rFonts w:hint="eastAsia"/>
                <w:sz w:val="21"/>
                <w:szCs w:val="21"/>
                <w:highlight w:val="none"/>
                <w:lang w:eastAsia="zh-CN"/>
              </w:rPr>
              <w:t xml:space="preserve">分，满分为</w:t>
            </w:r>
            <w:r>
              <w:rPr>
                <w:rFonts w:hint="eastAsia"/>
                <w:sz w:val="21"/>
                <w:szCs w:val="21"/>
                <w:highlight w:val="none"/>
                <w:lang w:val="en-US" w:eastAsia="zh-CN"/>
              </w:rPr>
              <w:t xml:space="preserve">4分</w:t>
            </w:r>
            <w:r>
              <w:rPr>
                <w:rFonts w:hint="eastAsia"/>
                <w:b/>
                <w:bCs/>
                <w:sz w:val="21"/>
                <w:szCs w:val="21"/>
                <w:highlight w:val="none"/>
                <w:lang w:eastAsia="zh-CN"/>
              </w:rPr>
              <w:t xml:space="preserve">（</w:t>
            </w:r>
            <w:r>
              <w:rPr>
                <w:rFonts w:hint="eastAsia"/>
                <w:b/>
                <w:bCs/>
                <w:sz w:val="21"/>
                <w:szCs w:val="21"/>
                <w:highlight w:val="none"/>
              </w:rPr>
              <w:t xml:space="preserve">须提供相关证明材料含投标人名称或编制人</w:t>
            </w:r>
            <w:r>
              <w:rPr>
                <w:rFonts w:hint="eastAsia" w:ascii="宋体" w:hAnsi="宋体" w:cs="宋体"/>
                <w:b/>
                <w:bCs/>
                <w:szCs w:val="21"/>
                <w:highlight w:val="none"/>
              </w:rPr>
              <w:t xml:space="preserve">原件扫描上传</w:t>
            </w:r>
            <w:r>
              <w:rPr>
                <w:rFonts w:hint="eastAsia"/>
                <w:b/>
                <w:bCs/>
                <w:sz w:val="21"/>
                <w:szCs w:val="21"/>
                <w:highlight w:val="none"/>
                <w:lang w:eastAsia="zh-CN"/>
              </w:rPr>
              <w:t xml:space="preserve">）</w:t>
            </w:r>
            <w:r/>
          </w:p>
        </w:tc>
      </w:tr>
      <w:tr>
        <w:trPr>
          <w:cantSplit/>
          <w:jc w:val="center"/>
          <w:trHeight w:val="5919"/>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人员配备</w:t>
            </w:r>
            <w:r/>
          </w:p>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12</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numPr>
                <w:ilvl w:val="0"/>
                <w:numId w:val="14"/>
              </w:numPr>
              <w:spacing w:line="360" w:lineRule="auto"/>
              <w:shd w:val="clear" w:color="auto"/>
              <w:rPr>
                <w:rFonts w:hint="eastAsia" w:ascii="宋体" w:hAnsi="宋体"/>
                <w:b/>
                <w:bCs/>
                <w:sz w:val="21"/>
                <w:szCs w:val="21"/>
                <w:highlight w:val="none"/>
              </w:rPr>
            </w:pPr>
            <w:r>
              <w:rPr>
                <w:rFonts w:hint="eastAsia" w:ascii="宋体" w:hAnsi="宋体"/>
                <w:b/>
                <w:bCs/>
                <w:sz w:val="21"/>
                <w:szCs w:val="21"/>
                <w:highlight w:val="none"/>
                <w:lang w:eastAsia="zh-CN"/>
              </w:rPr>
              <w:t xml:space="preserve">拟投入</w:t>
            </w:r>
            <w:r>
              <w:rPr>
                <w:rFonts w:hint="eastAsia" w:ascii="宋体" w:hAnsi="宋体"/>
                <w:b/>
                <w:bCs/>
                <w:sz w:val="21"/>
                <w:szCs w:val="21"/>
                <w:highlight w:val="none"/>
              </w:rPr>
              <w:t xml:space="preserve">所投包产品的抽检工作项目团队岗位配置配备情况</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2分</w:t>
            </w:r>
            <w:r>
              <w:rPr>
                <w:rFonts w:hint="eastAsia" w:ascii="宋体" w:hAnsi="宋体"/>
                <w:b/>
                <w:bCs/>
                <w:sz w:val="21"/>
                <w:szCs w:val="21"/>
                <w:highlight w:val="none"/>
                <w:lang w:eastAsia="zh-CN"/>
              </w:rPr>
              <w:t xml:space="preserve">）</w:t>
            </w:r>
            <w:r>
              <w:rPr>
                <w:rFonts w:hint="eastAsia" w:ascii="宋体" w:hAnsi="宋体"/>
                <w:b/>
                <w:bCs/>
                <w:sz w:val="21"/>
                <w:szCs w:val="21"/>
                <w:highlight w:val="none"/>
              </w:rPr>
              <w:t xml:space="preserve">：</w:t>
            </w:r>
            <w:r/>
          </w:p>
          <w:p>
            <w:pPr>
              <w:numPr>
                <w:ilvl w:val="0"/>
                <w:numId w:val="0"/>
              </w:numPr>
              <w:spacing w:line="360" w:lineRule="auto"/>
              <w:shd w:val="clear" w:color="auto"/>
              <w:rPr>
                <w:rFonts w:hint="default" w:ascii="宋体" w:hAnsi="宋体" w:eastAsia="宋体"/>
                <w:b/>
                <w:bCs/>
                <w:sz w:val="21"/>
                <w:szCs w:val="21"/>
                <w:highlight w:val="none"/>
                <w:lang w:val="en-US" w:eastAsia="zh-CN"/>
              </w:rPr>
            </w:pPr>
            <w:r>
              <w:rPr>
                <w:rFonts w:hint="eastAsia" w:ascii="宋体" w:hAnsi="宋体"/>
                <w:sz w:val="21"/>
                <w:szCs w:val="21"/>
                <w:highlight w:val="none"/>
              </w:rPr>
              <w:t xml:space="preserve">所投分包产品检验工作经历的人员数量达到5人及以上的</w:t>
            </w:r>
            <w:r>
              <w:rPr>
                <w:rFonts w:hint="eastAsia" w:ascii="宋体" w:hAnsi="宋体"/>
                <w:sz w:val="21"/>
                <w:szCs w:val="21"/>
                <w:highlight w:val="none"/>
                <w:lang w:eastAsia="zh-CN"/>
              </w:rPr>
              <w:t xml:space="preserve">且</w:t>
            </w:r>
            <w:r>
              <w:rPr>
                <w:rFonts w:hint="eastAsia" w:ascii="宋体" w:hAnsi="宋体"/>
                <w:sz w:val="21"/>
                <w:szCs w:val="21"/>
                <w:highlight w:val="none"/>
              </w:rPr>
              <w:t xml:space="preserve">抽样人员数量达到8人及以上的</w:t>
            </w:r>
            <w:r>
              <w:rPr>
                <w:rFonts w:hint="eastAsia" w:ascii="宋体" w:hAnsi="宋体"/>
                <w:sz w:val="21"/>
                <w:szCs w:val="21"/>
                <w:highlight w:val="none"/>
                <w:lang w:eastAsia="zh-CN"/>
              </w:rPr>
              <w:t xml:space="preserve">得</w:t>
            </w:r>
            <w:r>
              <w:rPr>
                <w:rFonts w:hint="eastAsia" w:ascii="宋体" w:hAnsi="宋体"/>
                <w:sz w:val="21"/>
                <w:szCs w:val="21"/>
                <w:highlight w:val="none"/>
                <w:lang w:val="en-US" w:eastAsia="zh-CN"/>
              </w:rPr>
              <w:t xml:space="preserve">2分。</w:t>
            </w:r>
            <w:r/>
          </w:p>
          <w:p>
            <w:pPr>
              <w:spacing w:line="360" w:lineRule="auto"/>
              <w:shd w:val="clear" w:color="auto"/>
              <w:rPr>
                <w:rFonts w:hint="eastAsia" w:ascii="宋体" w:hAnsi="宋体" w:eastAsia="宋体"/>
                <w:b/>
                <w:bCs/>
                <w:sz w:val="21"/>
                <w:szCs w:val="21"/>
                <w:highlight w:val="none"/>
                <w:lang w:eastAsia="zh-CN"/>
              </w:rPr>
            </w:pPr>
            <w:r>
              <w:rPr>
                <w:rFonts w:hint="eastAsia" w:ascii="宋体" w:hAnsi="宋体"/>
                <w:b/>
                <w:bCs/>
                <w:sz w:val="21"/>
                <w:szCs w:val="21"/>
                <w:highlight w:val="none"/>
              </w:rPr>
              <w:t xml:space="preserve">2、项目负责人</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2分</w:t>
            </w:r>
            <w:r>
              <w:rPr>
                <w:rFonts w:hint="eastAsia" w:ascii="宋体" w:hAnsi="宋体"/>
                <w:b/>
                <w:bCs/>
                <w:sz w:val="21"/>
                <w:szCs w:val="21"/>
                <w:highlight w:val="none"/>
                <w:lang w:eastAsia="zh-CN"/>
              </w:rPr>
              <w:t xml:space="preserve">）</w:t>
            </w:r>
            <w:r/>
          </w:p>
          <w:p>
            <w:pPr>
              <w:spacing w:line="360" w:lineRule="auto"/>
              <w:shd w:val="clear" w:color="auto"/>
              <w:rPr>
                <w:rFonts w:ascii="宋体" w:hAnsi="宋体"/>
                <w:sz w:val="21"/>
                <w:szCs w:val="21"/>
                <w:highlight w:val="none"/>
              </w:rPr>
            </w:pPr>
            <w:r>
              <w:rPr>
                <w:rFonts w:hint="eastAsia" w:ascii="宋体" w:hAnsi="宋体"/>
                <w:sz w:val="21"/>
                <w:szCs w:val="21"/>
                <w:highlight w:val="none"/>
              </w:rPr>
              <w:t xml:space="preserve">（1）所投分包的抽检工作项目负责人具有高级工程师及以上职称的，得2分</w:t>
            </w:r>
            <w:r>
              <w:rPr>
                <w:rFonts w:hint="eastAsia" w:ascii="宋体" w:hAnsi="宋体"/>
                <w:sz w:val="21"/>
                <w:szCs w:val="21"/>
                <w:highlight w:val="none"/>
                <w:lang w:eastAsia="zh-CN"/>
              </w:rPr>
              <w:t xml:space="preserve">，中级工程师得</w:t>
            </w:r>
            <w:r>
              <w:rPr>
                <w:rFonts w:hint="eastAsia" w:ascii="宋体" w:hAnsi="宋体"/>
                <w:sz w:val="21"/>
                <w:szCs w:val="21"/>
                <w:highlight w:val="none"/>
                <w:lang w:val="en-US" w:eastAsia="zh-CN"/>
              </w:rPr>
              <w:t xml:space="preserve">1分，</w:t>
            </w:r>
            <w:r>
              <w:rPr>
                <w:rFonts w:hint="eastAsia" w:ascii="宋体" w:hAnsi="宋体"/>
                <w:sz w:val="21"/>
                <w:szCs w:val="21"/>
                <w:highlight w:val="none"/>
                <w:lang w:eastAsia="zh-CN"/>
              </w:rPr>
              <w:t xml:space="preserve">满分为</w:t>
            </w:r>
            <w:r>
              <w:rPr>
                <w:rFonts w:hint="eastAsia" w:ascii="宋体" w:hAnsi="宋体"/>
                <w:sz w:val="21"/>
                <w:szCs w:val="21"/>
                <w:highlight w:val="none"/>
                <w:lang w:val="en-US" w:eastAsia="zh-CN"/>
              </w:rPr>
              <w:t xml:space="preserve">2分</w:t>
            </w:r>
            <w:r>
              <w:rPr>
                <w:rFonts w:hint="eastAsia" w:ascii="宋体" w:hAnsi="宋体"/>
                <w:sz w:val="21"/>
                <w:szCs w:val="21"/>
                <w:highlight w:val="none"/>
              </w:rPr>
              <w:t xml:space="preserve">。</w:t>
            </w:r>
            <w:r/>
          </w:p>
          <w:p>
            <w:pPr>
              <w:spacing w:line="360" w:lineRule="auto"/>
              <w:shd w:val="clear" w:color="auto"/>
              <w:rPr>
                <w:rFonts w:hint="eastAsia" w:ascii="宋体" w:hAnsi="宋体"/>
                <w:b/>
                <w:bCs/>
                <w:sz w:val="21"/>
                <w:szCs w:val="21"/>
                <w:highlight w:val="none"/>
                <w:lang w:eastAsia="zh-CN"/>
              </w:rPr>
            </w:pPr>
            <w:r>
              <w:rPr>
                <w:rFonts w:hint="eastAsia" w:ascii="宋体" w:hAnsi="宋体"/>
                <w:b/>
                <w:bCs/>
                <w:sz w:val="21"/>
                <w:szCs w:val="21"/>
                <w:highlight w:val="none"/>
                <w:lang w:val="en-US" w:eastAsia="zh-CN"/>
              </w:rPr>
              <w:t xml:space="preserve">3、</w:t>
            </w:r>
            <w:r>
              <w:rPr>
                <w:rFonts w:hint="eastAsia" w:ascii="宋体" w:hAnsi="宋体"/>
                <w:b/>
                <w:bCs/>
                <w:sz w:val="21"/>
                <w:szCs w:val="21"/>
                <w:highlight w:val="none"/>
                <w:lang w:eastAsia="zh-CN"/>
              </w:rPr>
              <w:t xml:space="preserve">拟投入其他人员（</w:t>
            </w:r>
            <w:r>
              <w:rPr>
                <w:rFonts w:hint="eastAsia" w:ascii="宋体" w:hAnsi="宋体"/>
                <w:b/>
                <w:bCs/>
                <w:sz w:val="21"/>
                <w:szCs w:val="21"/>
                <w:highlight w:val="none"/>
              </w:rPr>
              <w:t xml:space="preserve">除项目负责人外</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8分</w:t>
            </w:r>
            <w:r>
              <w:rPr>
                <w:rFonts w:hint="eastAsia" w:ascii="宋体" w:hAnsi="宋体"/>
                <w:b/>
                <w:bCs/>
                <w:sz w:val="21"/>
                <w:szCs w:val="21"/>
                <w:highlight w:val="none"/>
                <w:lang w:eastAsia="zh-CN"/>
              </w:rPr>
              <w:t xml:space="preserve">）</w:t>
            </w:r>
            <w:r/>
          </w:p>
          <w:p>
            <w:pPr>
              <w:spacing w:line="360" w:lineRule="auto"/>
              <w:shd w:val="clear" w:color="auto"/>
              <w:rPr>
                <w:rFonts w:ascii="宋体" w:hAnsi="宋体"/>
                <w:sz w:val="21"/>
                <w:szCs w:val="21"/>
                <w:highlight w:val="none"/>
              </w:rPr>
            </w:pP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1</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具有高级职称</w:t>
            </w:r>
            <w:r>
              <w:rPr>
                <w:rFonts w:hint="eastAsia" w:ascii="宋体" w:hAnsi="宋体"/>
                <w:sz w:val="21"/>
                <w:szCs w:val="21"/>
                <w:highlight w:val="none"/>
                <w:lang w:eastAsia="zh-CN"/>
              </w:rPr>
              <w:t xml:space="preserve">有</w:t>
            </w:r>
            <w:r>
              <w:rPr>
                <w:rFonts w:hint="eastAsia" w:ascii="宋体" w:hAnsi="宋体"/>
                <w:sz w:val="21"/>
                <w:szCs w:val="21"/>
                <w:highlight w:val="none"/>
                <w:lang w:val="en-US" w:eastAsia="zh-CN"/>
              </w:rPr>
              <w:t xml:space="preserve">1人得2分</w:t>
            </w:r>
            <w:r>
              <w:rPr>
                <w:rFonts w:hint="eastAsia" w:ascii="宋体" w:hAnsi="宋体"/>
                <w:sz w:val="21"/>
                <w:szCs w:val="21"/>
                <w:highlight w:val="none"/>
              </w:rPr>
              <w:t xml:space="preserve">，</w:t>
            </w:r>
            <w:r>
              <w:rPr>
                <w:rFonts w:hint="eastAsia" w:ascii="宋体" w:hAnsi="宋体"/>
                <w:sz w:val="21"/>
                <w:szCs w:val="21"/>
                <w:highlight w:val="none"/>
                <w:lang w:eastAsia="zh-CN"/>
              </w:rPr>
              <w:t xml:space="preserve">具有中级职称有</w:t>
            </w:r>
            <w:r>
              <w:rPr>
                <w:rFonts w:hint="eastAsia" w:ascii="宋体" w:hAnsi="宋体"/>
                <w:sz w:val="21"/>
                <w:szCs w:val="21"/>
                <w:highlight w:val="none"/>
                <w:lang w:val="en-US" w:eastAsia="zh-CN"/>
              </w:rPr>
              <w:t xml:space="preserve">1人得1分；</w:t>
            </w:r>
            <w:r>
              <w:rPr>
                <w:rFonts w:hint="eastAsia" w:ascii="宋体" w:hAnsi="宋体"/>
                <w:sz w:val="21"/>
                <w:szCs w:val="21"/>
                <w:highlight w:val="none"/>
                <w:lang w:eastAsia="zh-CN"/>
              </w:rPr>
              <w:t xml:space="preserve">满分为</w:t>
            </w:r>
            <w:r>
              <w:rPr>
                <w:rFonts w:hint="eastAsia" w:ascii="宋体" w:hAnsi="宋体"/>
                <w:sz w:val="21"/>
                <w:szCs w:val="21"/>
                <w:highlight w:val="none"/>
                <w:lang w:val="en-US" w:eastAsia="zh-CN"/>
              </w:rPr>
              <w:t xml:space="preserve">4分</w:t>
            </w:r>
            <w:r>
              <w:rPr>
                <w:rFonts w:hint="eastAsia" w:ascii="宋体" w:hAnsi="宋体"/>
                <w:sz w:val="21"/>
                <w:szCs w:val="21"/>
                <w:highlight w:val="none"/>
              </w:rPr>
              <w:t xml:space="preserve">。</w:t>
            </w:r>
            <w:r/>
          </w:p>
          <w:p>
            <w:pPr>
              <w:spacing w:line="360" w:lineRule="auto"/>
              <w:shd w:val="clear" w:color="auto"/>
              <w:rPr>
                <w:rFonts w:hint="default" w:ascii="宋体" w:hAnsi="宋体"/>
                <w:sz w:val="21"/>
                <w:szCs w:val="21"/>
                <w:highlight w:val="none"/>
                <w:lang w:val="en-US"/>
              </w:rPr>
            </w:pP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2</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具有与所投分包相关的检验人员</w:t>
            </w:r>
            <w:r>
              <w:rPr>
                <w:rFonts w:hint="eastAsia" w:ascii="宋体" w:hAnsi="宋体"/>
                <w:sz w:val="21"/>
                <w:szCs w:val="21"/>
                <w:highlight w:val="none"/>
                <w:lang w:eastAsia="zh-CN"/>
              </w:rPr>
              <w:t xml:space="preserve">具有</w:t>
            </w:r>
            <w:r>
              <w:rPr>
                <w:rFonts w:hint="eastAsia" w:ascii="宋体" w:hAnsi="宋体"/>
                <w:sz w:val="21"/>
                <w:szCs w:val="21"/>
                <w:highlight w:val="none"/>
              </w:rPr>
              <w:t xml:space="preserve">10年以上</w:t>
            </w:r>
            <w:r>
              <w:rPr>
                <w:rFonts w:hint="eastAsia" w:ascii="宋体" w:hAnsi="宋体"/>
                <w:sz w:val="21"/>
                <w:szCs w:val="21"/>
                <w:highlight w:val="none"/>
                <w:lang w:eastAsia="zh-CN"/>
              </w:rPr>
              <w:t xml:space="preserve">经验的有</w:t>
            </w:r>
            <w:r>
              <w:rPr>
                <w:rFonts w:hint="eastAsia" w:ascii="宋体" w:hAnsi="宋体"/>
                <w:sz w:val="21"/>
                <w:szCs w:val="21"/>
                <w:highlight w:val="none"/>
                <w:lang w:val="en-US" w:eastAsia="zh-CN"/>
              </w:rPr>
              <w:t xml:space="preserve">1人得2分</w:t>
            </w:r>
            <w:r>
              <w:rPr>
                <w:rFonts w:hint="eastAsia" w:ascii="宋体" w:hAnsi="宋体"/>
                <w:sz w:val="21"/>
                <w:szCs w:val="21"/>
                <w:highlight w:val="none"/>
                <w:lang w:eastAsia="zh-CN"/>
              </w:rPr>
              <w:t xml:space="preserve">；具有</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年以上</w:t>
            </w:r>
            <w:r>
              <w:rPr>
                <w:rFonts w:hint="eastAsia" w:ascii="宋体" w:hAnsi="宋体"/>
                <w:sz w:val="21"/>
                <w:szCs w:val="21"/>
                <w:highlight w:val="none"/>
                <w:lang w:eastAsia="zh-CN"/>
              </w:rPr>
              <w:t xml:space="preserve">经验的有</w:t>
            </w:r>
            <w:r>
              <w:rPr>
                <w:rFonts w:hint="eastAsia" w:ascii="宋体" w:hAnsi="宋体"/>
                <w:sz w:val="21"/>
                <w:szCs w:val="21"/>
                <w:highlight w:val="none"/>
                <w:lang w:val="en-US" w:eastAsia="zh-CN"/>
              </w:rPr>
              <w:t xml:space="preserve">1人得1分；</w:t>
            </w:r>
            <w:r>
              <w:rPr>
                <w:rFonts w:hint="eastAsia" w:ascii="宋体" w:hAnsi="宋体"/>
                <w:sz w:val="21"/>
                <w:szCs w:val="21"/>
                <w:highlight w:val="none"/>
                <w:lang w:eastAsia="zh-CN"/>
              </w:rPr>
              <w:t xml:space="preserve">具有</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年以上</w:t>
            </w:r>
            <w:r>
              <w:rPr>
                <w:rFonts w:hint="eastAsia" w:ascii="宋体" w:hAnsi="宋体"/>
                <w:sz w:val="21"/>
                <w:szCs w:val="21"/>
                <w:highlight w:val="none"/>
                <w:lang w:eastAsia="zh-CN"/>
              </w:rPr>
              <w:t xml:space="preserve">经验的有</w:t>
            </w:r>
            <w:r>
              <w:rPr>
                <w:rFonts w:hint="eastAsia" w:ascii="宋体" w:hAnsi="宋体"/>
                <w:sz w:val="21"/>
                <w:szCs w:val="21"/>
                <w:highlight w:val="none"/>
                <w:lang w:val="en-US" w:eastAsia="zh-CN"/>
              </w:rPr>
              <w:t xml:space="preserve">1人得0.5分；满分为4分。</w:t>
            </w:r>
            <w:r/>
          </w:p>
          <w:p>
            <w:pPr>
              <w:spacing w:line="360" w:lineRule="auto"/>
              <w:shd w:val="clear" w:color="auto"/>
              <w:rPr>
                <w:rFonts w:hint="eastAsia" w:ascii="宋体" w:hAnsi="宋体"/>
                <w:b/>
                <w:sz w:val="21"/>
                <w:szCs w:val="21"/>
                <w:highlight w:val="none"/>
              </w:rPr>
            </w:pP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须提供项目组人员名单清单、对应的职称证书和专业文凭等</w:t>
            </w:r>
            <w:r>
              <w:rPr>
                <w:rFonts w:hint="eastAsia" w:ascii="宋体" w:hAnsi="宋体"/>
                <w:b/>
                <w:sz w:val="21"/>
                <w:szCs w:val="21"/>
                <w:highlight w:val="none"/>
                <w:lang w:eastAsia="zh-CN"/>
              </w:rPr>
              <w:t xml:space="preserve">或其他</w:t>
            </w:r>
            <w:r>
              <w:rPr>
                <w:rFonts w:hint="eastAsia" w:ascii="宋体" w:hAnsi="宋体"/>
                <w:b/>
                <w:sz w:val="21"/>
                <w:szCs w:val="21"/>
                <w:highlight w:val="none"/>
              </w:rPr>
              <w:t xml:space="preserve">证明材料以及投标人为</w:t>
            </w:r>
            <w:r>
              <w:rPr>
                <w:rFonts w:hint="eastAsia" w:ascii="宋体" w:hAnsi="宋体"/>
                <w:b/>
                <w:sz w:val="21"/>
                <w:szCs w:val="21"/>
                <w:highlight w:val="none"/>
                <w:lang w:eastAsia="zh-CN"/>
              </w:rPr>
              <w:t xml:space="preserve">其</w:t>
            </w:r>
            <w:r>
              <w:rPr>
                <w:rFonts w:hint="eastAsia" w:ascii="宋体" w:hAnsi="宋体"/>
                <w:b/>
                <w:sz w:val="21"/>
                <w:szCs w:val="21"/>
                <w:highlight w:val="none"/>
              </w:rPr>
              <w:t xml:space="preserve">相关人员近三个月内任意一个月缴纳社保的证明</w:t>
            </w:r>
            <w:r>
              <w:rPr>
                <w:rFonts w:hint="eastAsia" w:ascii="宋体" w:hAnsi="宋体" w:cs="宋体"/>
                <w:b/>
                <w:bCs w:val="0"/>
                <w:szCs w:val="21"/>
                <w:highlight w:val="none"/>
              </w:rPr>
              <w:t xml:space="preserve">扫描上传</w:t>
            </w:r>
            <w:r>
              <w:rPr>
                <w:rFonts w:hint="eastAsia" w:ascii="宋体" w:hAnsi="宋体"/>
                <w:b/>
                <w:sz w:val="21"/>
                <w:szCs w:val="21"/>
                <w:highlight w:val="none"/>
                <w:lang w:eastAsia="zh-CN"/>
              </w:rPr>
              <w:t xml:space="preserve">）</w:t>
            </w:r>
            <w:r/>
          </w:p>
          <w:p>
            <w:pPr>
              <w:spacing w:line="360" w:lineRule="auto"/>
              <w:shd w:val="clear" w:color="auto"/>
              <w:rPr>
                <w:rFonts w:ascii="宋体" w:hAnsi="宋体" w:cs="宋体"/>
                <w:b/>
                <w:sz w:val="21"/>
                <w:szCs w:val="21"/>
                <w:highlight w:val="none"/>
              </w:rPr>
            </w:pPr>
            <w:r>
              <w:rPr>
                <w:rFonts w:hint="eastAsia" w:ascii="宋体" w:hAnsi="宋体"/>
                <w:b/>
                <w:sz w:val="21"/>
                <w:szCs w:val="21"/>
                <w:highlight w:val="none"/>
                <w:lang w:eastAsia="zh-CN"/>
              </w:rPr>
              <w:t xml:space="preserve">注：抽样人员与检验人员为同一人不重复计分；</w:t>
            </w:r>
            <w:r>
              <w:rPr>
                <w:rFonts w:hint="eastAsia" w:ascii="宋体" w:hAnsi="宋体"/>
                <w:b/>
                <w:sz w:val="21"/>
                <w:szCs w:val="21"/>
                <w:highlight w:val="none"/>
              </w:rPr>
              <w:t xml:space="preserve">检验机构具有与应标产品类别相匹配的抽样、检验人员，抽样、检验人员等相关人员应符合《江苏省省级产品质量监督抽查工作规范》规定的要求。</w:t>
            </w:r>
            <w:r/>
          </w:p>
        </w:tc>
      </w:tr>
      <w:tr>
        <w:trPr>
          <w:cantSplit/>
          <w:jc w:val="center"/>
          <w:trHeight w:val="12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ind w:firstLine="105"/>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业 绩</w:t>
            </w:r>
            <w:r/>
          </w:p>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8</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ascii="宋体" w:hAnsi="宋体" w:cs="宋体"/>
                <w:sz w:val="21"/>
                <w:szCs w:val="21"/>
                <w:highlight w:val="none"/>
              </w:rPr>
            </w:pPr>
            <w:r>
              <w:rPr>
                <w:rFonts w:hint="eastAsia"/>
                <w:sz w:val="21"/>
                <w:szCs w:val="21"/>
                <w:highlight w:val="none"/>
              </w:rPr>
              <w:t xml:space="preserve">202</w:t>
            </w:r>
            <w:r>
              <w:rPr>
                <w:rFonts w:hint="default"/>
                <w:sz w:val="21"/>
                <w:szCs w:val="21"/>
                <w:highlight w:val="none"/>
                <w:lang w:val="en" w:eastAsia="zh-CN"/>
              </w:rPr>
              <w:t xml:space="preserve">4</w:t>
            </w:r>
            <w:r>
              <w:rPr>
                <w:rFonts w:hint="eastAsia"/>
                <w:sz w:val="21"/>
                <w:szCs w:val="21"/>
                <w:highlight w:val="none"/>
              </w:rPr>
              <w:t xml:space="preserve">年以来承担过所投包产品的国家级产品质量监督抽查（含风险监测）项目的，每有1个得2分。承担过所投包产品的省级产品质量监督抽查（含风险监测）项目的，每有1个得1分。满分</w:t>
            </w:r>
            <w:r>
              <w:rPr>
                <w:rFonts w:hint="eastAsia"/>
                <w:sz w:val="21"/>
                <w:szCs w:val="21"/>
                <w:highlight w:val="none"/>
                <w:lang w:eastAsia="zh-CN"/>
              </w:rPr>
              <w:t xml:space="preserve">为</w:t>
            </w:r>
            <w:r>
              <w:rPr>
                <w:rFonts w:hint="eastAsia"/>
                <w:sz w:val="21"/>
                <w:szCs w:val="21"/>
                <w:highlight w:val="none"/>
                <w:lang w:val="en-US" w:eastAsia="zh-CN"/>
              </w:rPr>
              <w:t xml:space="preserve">8</w:t>
            </w:r>
            <w:r>
              <w:rPr>
                <w:rFonts w:hint="eastAsia"/>
                <w:sz w:val="21"/>
                <w:szCs w:val="21"/>
                <w:highlight w:val="none"/>
              </w:rPr>
              <w:t xml:space="preserve">分。</w:t>
            </w:r>
            <w:r>
              <w:rPr>
                <w:rFonts w:hint="eastAsia"/>
                <w:b/>
                <w:bCs/>
                <w:sz w:val="21"/>
                <w:szCs w:val="21"/>
                <w:highlight w:val="none"/>
                <w:lang w:eastAsia="zh-CN"/>
              </w:rPr>
              <w:t xml:space="preserve">（</w:t>
            </w:r>
            <w:r>
              <w:rPr>
                <w:rFonts w:hint="eastAsia"/>
                <w:b/>
                <w:bCs/>
                <w:sz w:val="21"/>
                <w:szCs w:val="21"/>
                <w:highlight w:val="none"/>
              </w:rPr>
              <w:t xml:space="preserve">须提供任务委托书或合同等相关证明文件扫描上传</w:t>
            </w:r>
            <w:r>
              <w:rPr>
                <w:rFonts w:hint="eastAsia"/>
                <w:b/>
                <w:bCs/>
                <w:sz w:val="21"/>
                <w:szCs w:val="21"/>
                <w:highlight w:val="none"/>
                <w:lang w:eastAsia="zh-CN"/>
              </w:rPr>
              <w:t xml:space="preserve">）</w:t>
            </w:r>
            <w:r/>
          </w:p>
        </w:tc>
      </w:tr>
      <w:tr>
        <w:trPr>
          <w:cantSplit/>
          <w:jc w:val="center"/>
          <w:trHeight w:val="91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ind w:left="105" w:hanging="105"/>
              <w:jc w:val="cente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响应能力</w:t>
            </w:r>
            <w:r/>
          </w:p>
          <w:p>
            <w:pPr>
              <w:ind w:left="105" w:hanging="105"/>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sz w:val="21"/>
                <w:szCs w:val="21"/>
                <w:highlight w:val="none"/>
              </w:rPr>
            </w:pPr>
            <w:r>
              <w:rPr>
                <w:rFonts w:hint="eastAsia"/>
                <w:sz w:val="21"/>
                <w:szCs w:val="21"/>
                <w:highlight w:val="none"/>
              </w:rPr>
              <w:t xml:space="preserve">对抽查工作过程中采购人的应急需求做出及时响应，</w:t>
            </w:r>
            <w:r>
              <w:rPr>
                <w:rFonts w:hint="eastAsia"/>
                <w:sz w:val="21"/>
                <w:szCs w:val="21"/>
                <w:highlight w:val="none"/>
                <w:lang w:eastAsia="zh-CN"/>
              </w:rPr>
              <w:t xml:space="preserve">并</w:t>
            </w:r>
            <w:r>
              <w:rPr>
                <w:rFonts w:hint="eastAsia"/>
                <w:sz w:val="21"/>
                <w:szCs w:val="21"/>
                <w:highlight w:val="none"/>
              </w:rPr>
              <w:t xml:space="preserve">在规定的时间内到达扬州市：响应时间2小时（含）以内的得</w:t>
            </w:r>
            <w:r>
              <w:rPr>
                <w:rFonts w:hint="eastAsia"/>
                <w:sz w:val="21"/>
                <w:szCs w:val="21"/>
                <w:highlight w:val="none"/>
                <w:lang w:val="en-US" w:eastAsia="zh-CN"/>
              </w:rPr>
              <w:t xml:space="preserve">6</w:t>
            </w:r>
            <w:r>
              <w:rPr>
                <w:rFonts w:hint="eastAsia"/>
                <w:sz w:val="21"/>
                <w:szCs w:val="21"/>
                <w:highlight w:val="none"/>
              </w:rPr>
              <w:t xml:space="preserve">分；响应时间4小时（含）以内的得</w:t>
            </w:r>
            <w:r>
              <w:rPr>
                <w:rFonts w:hint="eastAsia"/>
                <w:sz w:val="21"/>
                <w:szCs w:val="21"/>
                <w:highlight w:val="none"/>
                <w:lang w:val="en-US" w:eastAsia="zh-CN"/>
              </w:rPr>
              <w:t xml:space="preserve">3</w:t>
            </w:r>
            <w:r>
              <w:rPr>
                <w:rFonts w:hint="eastAsia"/>
                <w:sz w:val="21"/>
                <w:szCs w:val="21"/>
                <w:highlight w:val="none"/>
              </w:rPr>
              <w:t xml:space="preserve">分；响应时间4小时（不含）以上的得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；满分为</w:t>
            </w:r>
            <w:r>
              <w:rPr>
                <w:rFonts w:hint="eastAsia"/>
                <w:sz w:val="21"/>
                <w:szCs w:val="21"/>
                <w:highlight w:val="none"/>
                <w:lang w:val="en-US" w:eastAsia="zh-CN"/>
              </w:rPr>
              <w:t xml:space="preserve">6分。</w:t>
            </w:r>
            <w:r>
              <w:rPr>
                <w:rFonts w:hint="eastAsia"/>
                <w:b/>
                <w:bCs/>
                <w:sz w:val="21"/>
                <w:szCs w:val="21"/>
                <w:highlight w:val="none"/>
                <w:lang w:val="en-US" w:eastAsia="zh-CN"/>
              </w:rPr>
              <w:t xml:space="preserve">（</w:t>
            </w:r>
            <w:r>
              <w:rPr>
                <w:rFonts w:hint="eastAsia"/>
                <w:b/>
                <w:bCs/>
                <w:sz w:val="21"/>
                <w:szCs w:val="21"/>
                <w:highlight w:val="none"/>
              </w:rPr>
              <w:t xml:space="preserve">提供承诺书原件</w:t>
            </w:r>
            <w:r>
              <w:rPr>
                <w:rFonts w:hint="eastAsia"/>
                <w:b/>
                <w:bCs/>
                <w:sz w:val="21"/>
                <w:szCs w:val="21"/>
                <w:highlight w:val="none"/>
                <w:lang w:eastAsia="zh-CN"/>
              </w:rPr>
              <w:t xml:space="preserve">扫描上传，格式自拟</w:t>
            </w:r>
            <w:r>
              <w:rPr>
                <w:rFonts w:hint="eastAsia"/>
                <w:b/>
                <w:bCs/>
                <w:sz w:val="21"/>
                <w:szCs w:val="21"/>
                <w:highlight w:val="none"/>
              </w:rPr>
              <w:t xml:space="preserve">，</w:t>
            </w:r>
            <w:r>
              <w:rPr>
                <w:rFonts w:hint="eastAsia"/>
                <w:b/>
                <w:bCs/>
                <w:sz w:val="21"/>
                <w:szCs w:val="21"/>
                <w:highlight w:val="none"/>
                <w:lang w:eastAsia="zh-CN"/>
              </w:rPr>
              <w:t xml:space="preserve">不提供</w:t>
            </w:r>
            <w:r>
              <w:rPr>
                <w:rFonts w:hint="eastAsia"/>
                <w:b/>
                <w:bCs/>
                <w:sz w:val="21"/>
                <w:szCs w:val="21"/>
                <w:highlight w:val="none"/>
              </w:rPr>
              <w:t xml:space="preserve">不得分</w:t>
            </w:r>
            <w:r>
              <w:rPr>
                <w:rFonts w:hint="eastAsia"/>
                <w:b/>
                <w:bCs/>
                <w:sz w:val="21"/>
                <w:szCs w:val="21"/>
                <w:highlight w:val="none"/>
                <w:lang w:val="en-US" w:eastAsia="zh-CN"/>
              </w:rPr>
              <w:t xml:space="preserve">）</w:t>
            </w:r>
            <w:r/>
          </w:p>
        </w:tc>
      </w:tr>
    </w:tbl>
    <w:p>
      <w:pPr>
        <w:pStyle w:val="733"/>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bookmarkStart w:id="184" w:name="_Toc237917802"/>
      <w:r>
        <w:rPr>
          <w:rFonts w:hint="eastAsia"/>
          <w:b/>
          <w:bCs/>
          <w:szCs w:val="21"/>
          <w:highlight w:val="none"/>
          <w:lang w:val="en-US" w:eastAsia="zh-CN"/>
        </w:rPr>
        <w:t xml:space="preserve">四</w:t>
      </w:r>
      <w:r>
        <w:rPr>
          <w:rFonts w:hint="eastAsia"/>
          <w:b/>
          <w:bCs/>
          <w:szCs w:val="21"/>
          <w:highlight w:val="none"/>
          <w:lang w:eastAsia="zh-CN"/>
        </w:rPr>
        <w:t xml:space="preserve">、</w:t>
      </w:r>
      <w:r>
        <w:rPr>
          <w:rFonts w:hint="eastAsia" w:ascii="宋体" w:hAnsi="宋体" w:cs="宋体"/>
          <w:b/>
          <w:bCs/>
          <w:color w:val="000000"/>
          <w:szCs w:val="21"/>
          <w:highlight w:val="none"/>
        </w:rPr>
        <w:t xml:space="preserve">评审委员会启动异常低价投标（响应）审查的情形和具体要求，包括：</w:t>
      </w:r>
      <w:r/>
    </w:p>
    <w:p>
      <w:pPr>
        <w:pStyle w:val="765"/>
        <w:ind w:firstLine="210"/>
        <w:spacing w:before="0" w:beforeAutospacing="0" w:after="0" w:afterAutospacing="0" w:line="360" w:lineRule="auto"/>
        <w:shd w:val="clear" w:color="auto"/>
        <w:widowControl/>
        <w:rPr>
          <w:rFonts w:hint="eastAsia"/>
          <w:highlight w:val="none"/>
        </w:rPr>
      </w:pPr>
      <w:r>
        <w:rPr>
          <w:rFonts w:hint="eastAsia"/>
          <w:color w:val="000000"/>
          <w:sz w:val="21"/>
          <w:szCs w:val="21"/>
          <w:highlight w:val="none"/>
        </w:rPr>
        <w:t xml:space="preserve">（一）评审过程中出现下列情形之一的，评审委员会应当启动异常低价投标（响应）审查程序：</w:t>
      </w:r>
      <w:r/>
    </w:p>
    <w:p>
      <w:pPr>
        <w:pStyle w:val="76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1.投标（响应）报价低于全部通过符合性审查供应商投标（响应）报价平均值50%的，即投标（响应）报价&lt;全部通过符合性审查供应商投标（响应）报价平均值×50%； </w:t>
      </w:r>
      <w:r/>
    </w:p>
    <w:p>
      <w:pPr>
        <w:pStyle w:val="76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2.投标（响应）报价低于通过符合性审查的次低报价供应商投标（响应）报价50%的，即投标（响应）报价&lt;通过符合性审查的次低报价供应商投标（响应）报价×50%； </w:t>
      </w:r>
      <w:r/>
    </w:p>
    <w:p>
      <w:pPr>
        <w:pStyle w:val="76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3.投标（响应）报价低于采购项目最高限价45%的，即投标（响应）报价&lt;采购项目最高限价×45%； </w:t>
      </w:r>
      <w:r/>
    </w:p>
    <w:p>
      <w:pPr>
        <w:pStyle w:val="76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4.评审委员会基于专业判断，认为供应商报价过低，有可能影响产品质量或者不能诚信履约的其他情形。 </w:t>
      </w:r>
      <w:r/>
    </w:p>
    <w:p>
      <w:pPr>
        <w:pStyle w:val="76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相关法律法规对供应商报价有规定的，从其规定。 </w:t>
      </w:r>
      <w:r/>
    </w:p>
    <w:p>
      <w:pPr>
        <w:pStyle w:val="1189"/>
        <w:numPr>
          <w:ilvl w:val="0"/>
          <w:numId w:val="0"/>
        </w:numPr>
        <w:ind w:firstLine="210"/>
        <w:spacing w:line="360" w:lineRule="auto"/>
        <w:shd w:val="clear" w:color="auto"/>
        <w:rPr>
          <w:rFonts w:hint="eastAsia" w:ascii="Calibri" w:hAnsi="Calibri" w:eastAsia="宋体" w:cs="Times New Roman"/>
          <w:color w:val="000000"/>
          <w:sz w:val="21"/>
          <w:szCs w:val="21"/>
          <w:highlight w:val="none"/>
          <w:lang w:val="en-US" w:eastAsia="zh-CN" w:bidi="ar-SA"/>
        </w:rPr>
      </w:pPr>
      <w:r>
        <w:rPr>
          <w:rFonts w:hint="eastAsia" w:ascii="Calibri" w:hAnsi="Calibri" w:cs="Times New Roman"/>
          <w:color w:val="000000"/>
          <w:sz w:val="21"/>
          <w:szCs w:val="21"/>
          <w:highlight w:val="none"/>
          <w:lang w:val="en-US" w:eastAsia="zh-CN" w:bidi="ar-SA"/>
        </w:rPr>
        <w:t xml:space="preserve">（二）</w:t>
      </w:r>
      <w:r>
        <w:rPr>
          <w:rFonts w:hint="eastAsia" w:ascii="Calibri" w:hAnsi="Calibri" w:eastAsia="宋体" w:cs="Times New Roman"/>
          <w:color w:val="000000"/>
          <w:sz w:val="21"/>
          <w:szCs w:val="21"/>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189"/>
        <w:numPr>
          <w:ilvl w:val="0"/>
          <w:numId w:val="0"/>
        </w:numPr>
        <w:ind w:firstLine="420"/>
        <w:spacing w:line="360" w:lineRule="auto"/>
        <w:shd w:val="clear" w:color="auto"/>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hd w:val="clear" w:color="auto"/>
        <w:rPr>
          <w:rStyle w:val="928"/>
          <w:rFonts w:hint="eastAsia" w:asciiTheme="minorEastAsia" w:hAnsiTheme="minorEastAsia" w:eastAsiaTheme="minorEastAsia" w:cstheme="minorEastAsia"/>
          <w:sz w:val="32"/>
          <w:szCs w:val="32"/>
          <w:highlight w:val="none"/>
        </w:rPr>
      </w:pPr>
      <w:r>
        <w:rPr>
          <w:rStyle w:val="928"/>
          <w:rFonts w:hint="eastAsia" w:asciiTheme="minorEastAsia" w:hAnsiTheme="minorEastAsia" w:eastAsiaTheme="minorEastAsia" w:cstheme="minorEastAsia"/>
          <w:sz w:val="32"/>
          <w:szCs w:val="32"/>
          <w:highlight w:val="none"/>
        </w:rPr>
        <w:br w:type="page" w:clear="all"/>
      </w:r>
      <w:r/>
    </w:p>
    <w:p>
      <w:pPr>
        <w:jc w:val="center"/>
        <w:shd w:val="clear" w:color="auto"/>
        <w:rPr>
          <w:rFonts w:hint="eastAsia" w:asciiTheme="minorEastAsia" w:hAnsiTheme="minorEastAsia" w:eastAsiaTheme="minorEastAsia" w:cstheme="minorEastAsia"/>
          <w:highlight w:val="none"/>
        </w:rPr>
        <w:outlineLvl w:val="0"/>
      </w:pPr>
      <w:r/>
      <w:bookmarkStart w:id="185" w:name="_Toc23721"/>
      <w:r>
        <w:rPr>
          <w:rStyle w:val="928"/>
          <w:rFonts w:hint="eastAsia" w:asciiTheme="minorEastAsia" w:hAnsiTheme="minorEastAsia" w:eastAsiaTheme="minorEastAsia" w:cstheme="minorEastAsia"/>
          <w:sz w:val="32"/>
          <w:szCs w:val="32"/>
          <w:highlight w:val="none"/>
        </w:rPr>
        <w:t xml:space="preserve">第六章 </w:t>
      </w:r>
      <w:bookmarkEnd w:id="184"/>
      <w:r>
        <w:rPr>
          <w:rStyle w:val="928"/>
          <w:rFonts w:hint="eastAsia" w:asciiTheme="minorEastAsia" w:hAnsiTheme="minorEastAsia" w:eastAsiaTheme="minorEastAsia" w:cstheme="minorEastAsia"/>
          <w:sz w:val="32"/>
          <w:szCs w:val="32"/>
          <w:highlight w:val="none"/>
        </w:rPr>
        <w:t xml:space="preserve">投标文件格式</w:t>
      </w:r>
      <w:bookmarkEnd w:id="185"/>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t xml:space="preserve">投  标  文  件</w:t>
      </w:r>
      <w:r/>
    </w:p>
    <w:p>
      <w:pPr>
        <w:ind w:firstLine="1440"/>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ind w:firstLine="1440"/>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ind w:firstLine="720"/>
        <w:jc w:val="center"/>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ind w:firstLine="720"/>
        <w:jc w:val="center"/>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ind w:firstLine="720"/>
        <w:jc w:val="center"/>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ind w:firstLine="1905"/>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项 目 名 称：</w:t>
      </w:r>
      <w:r>
        <w:rPr>
          <w:rFonts w:hint="eastAsia" w:asciiTheme="minorEastAsia" w:hAnsiTheme="minorEastAsia" w:eastAsiaTheme="minorEastAsia" w:cstheme="minorEastAsia"/>
          <w:b/>
          <w:sz w:val="36"/>
          <w:highlight w:val="none"/>
          <w:u w:val="single"/>
        </w:rPr>
        <w:t xml:space="preserve">               </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项 目 编 号：</w:t>
      </w:r>
      <w:r>
        <w:rPr>
          <w:rFonts w:hint="eastAsia" w:asciiTheme="minorEastAsia" w:hAnsiTheme="minorEastAsia" w:eastAsiaTheme="minorEastAsia" w:cstheme="minorEastAsia"/>
          <w:b/>
          <w:sz w:val="36"/>
          <w:highlight w:val="none"/>
          <w:u w:val="single"/>
        </w:rPr>
        <w:t xml:space="preserve">               </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投标人名称 ：</w:t>
      </w:r>
      <w:r>
        <w:rPr>
          <w:rFonts w:hint="eastAsia" w:asciiTheme="minorEastAsia" w:hAnsiTheme="minorEastAsia" w:eastAsiaTheme="minorEastAsia" w:cstheme="minorEastAsia"/>
          <w:b/>
          <w:sz w:val="36"/>
          <w:highlight w:val="none"/>
          <w:u w:val="single"/>
        </w:rPr>
        <w:t xml:space="preserve">（加盖CA电子公章）</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lang w:eastAsia="zh-CN"/>
        </w:rPr>
        <w:t xml:space="preserve">包</w:t>
      </w:r>
      <w:r>
        <w:rPr>
          <w:rFonts w:hint="eastAsia" w:asciiTheme="minorEastAsia" w:hAnsiTheme="minorEastAsia" w:eastAsiaTheme="minorEastAsia" w:cstheme="minorEastAsia"/>
          <w:b/>
          <w:sz w:val="36"/>
          <w:highlight w:val="none"/>
          <w:lang w:val="en-US" w:eastAsia="zh-CN"/>
        </w:rPr>
        <w:t xml:space="preserve">       </w:t>
      </w:r>
      <w:r>
        <w:rPr>
          <w:rFonts w:hint="eastAsia" w:asciiTheme="minorEastAsia" w:hAnsiTheme="minorEastAsia" w:eastAsiaTheme="minorEastAsia" w:cstheme="minorEastAsia"/>
          <w:b/>
          <w:sz w:val="36"/>
          <w:highlight w:val="none"/>
          <w:lang w:eastAsia="zh-CN"/>
        </w:rPr>
        <w:t xml:space="preserve">号：</w:t>
      </w:r>
      <w:r>
        <w:rPr>
          <w:rFonts w:hint="eastAsia" w:asciiTheme="minorEastAsia" w:hAnsiTheme="minorEastAsia" w:eastAsiaTheme="minorEastAsia" w:cstheme="minorEastAsia"/>
          <w:b/>
          <w:sz w:val="36"/>
          <w:highlight w:val="none"/>
          <w:u w:val="single"/>
        </w:rPr>
        <w:t xml:space="preserve">               </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日      期 ：</w:t>
      </w:r>
      <w:r>
        <w:rPr>
          <w:rFonts w:hint="eastAsia" w:asciiTheme="minorEastAsia" w:hAnsiTheme="minorEastAsia" w:eastAsiaTheme="minorEastAsia" w:cstheme="minorEastAsia"/>
          <w:b/>
          <w:sz w:val="36"/>
          <w:highlight w:val="none"/>
          <w:u w:val="single"/>
        </w:rPr>
        <w:t xml:space="preserve">               </w:t>
      </w:r>
      <w:r/>
    </w:p>
    <w:p>
      <w:pPr>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br w:type="page" w:clear="all"/>
      </w:r>
      <w:r/>
    </w:p>
    <w:p>
      <w:pPr>
        <w:jc w:val="center"/>
        <w:spacing w:line="360" w:lineRule="auto"/>
        <w:shd w:val="clear" w:color="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投标主要文件目录</w:t>
      </w:r>
      <w:r/>
    </w:p>
    <w:p>
      <w:pPr>
        <w:jc w:val="center"/>
        <w:spacing w:line="360" w:lineRule="auto"/>
        <w:shd w:val="clear" w:color="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一、资格审查响应对照表</w:t>
      </w:r>
      <w:r/>
    </w:p>
    <w:p>
      <w:pPr>
        <w:ind w:left="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二、符合性审查响应对照表</w:t>
      </w:r>
      <w:r/>
    </w:p>
    <w:p>
      <w:pPr>
        <w:ind w:left="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三、非实质性响应对照表</w:t>
      </w:r>
      <w:r/>
    </w:p>
    <w:p>
      <w:pPr>
        <w:ind w:firstLine="480"/>
        <w:spacing w:line="360" w:lineRule="auto"/>
        <w:shd w:val="clear" w:color="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四</w:t>
      </w:r>
      <w:r>
        <w:rPr>
          <w:rFonts w:hint="eastAsia" w:asciiTheme="minorEastAsia" w:hAnsiTheme="minorEastAsia" w:eastAsiaTheme="minorEastAsia" w:cstheme="minorEastAsia"/>
          <w:b/>
          <w:bCs/>
          <w:sz w:val="24"/>
          <w:highlight w:val="none"/>
        </w:rPr>
        <w:t xml:space="preserve">、</w:t>
      </w:r>
      <w:r>
        <w:rPr>
          <w:rFonts w:hint="eastAsia" w:asciiTheme="minorEastAsia" w:hAnsiTheme="minorEastAsia" w:eastAsiaTheme="minorEastAsia" w:cstheme="minorEastAsia"/>
          <w:i/>
          <w:sz w:val="24"/>
          <w:highlight w:val="none"/>
          <w:u w:val="single"/>
        </w:rPr>
        <w:t xml:space="preserve">开标一览表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五、分项报价表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w:t>
      </w:r>
      <w:r>
        <w:rPr>
          <w:rFonts w:hint="eastAsia" w:asciiTheme="minorEastAsia" w:hAnsiTheme="minorEastAsia" w:eastAsiaTheme="minorEastAsia" w:cstheme="minorEastAsia"/>
          <w:sz w:val="24"/>
          <w:szCs w:val="24"/>
          <w:highlight w:val="none"/>
        </w:rPr>
        <w:t xml:space="preserve">、技术要求响应及偏离表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七、商务要求响应及偏离表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八、投标人认为应提供的其他材料</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九、主要标的信息</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723"/>
        <w:ind w:left="210"/>
        <w:jc w:val="center"/>
        <w:spacing w:line="360" w:lineRule="auto"/>
        <w:shd w:val="clear" w:color="auto"/>
        <w:rPr>
          <w:rFonts w:hint="eastAsia" w:asciiTheme="minorEastAsia" w:hAnsiTheme="minorEastAsia" w:eastAsiaTheme="minorEastAsia" w:cstheme="minorEastAsia"/>
          <w:szCs w:val="32"/>
          <w:highlight w:val="none"/>
        </w:rPr>
      </w:pPr>
      <w:r/>
      <w:bookmarkStart w:id="186" w:name="_Toc13168"/>
      <w:r>
        <w:rPr>
          <w:rFonts w:hint="eastAsia" w:asciiTheme="minorEastAsia" w:hAnsiTheme="minorEastAsia" w:eastAsiaTheme="minorEastAsia" w:cstheme="minorEastAsia"/>
          <w:highlight w:val="none"/>
        </w:rPr>
        <w:t xml:space="preserve">一、资格审查响应对照表</w:t>
      </w:r>
      <w:bookmarkEnd w:id="186"/>
      <w:r/>
      <w:r/>
    </w:p>
    <w:tbl>
      <w:tblPr>
        <w:tblStyle w:val="732"/>
        <w:tblW w:w="893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6123"/>
        <w:gridCol w:w="2045"/>
      </w:tblGrid>
      <w:tr>
        <w:trPr>
          <w:trHeight w:val="698"/>
        </w:trPr>
        <w:tc>
          <w:tcPr>
            <w:tcW w:w="764" w:type="dxa"/>
            <w:vAlign w:val="center"/>
            <w:textDirection w:val="lrTb"/>
            <w:noWrap w:val="false"/>
          </w:tcPr>
          <w:p>
            <w:pP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序号</w:t>
            </w:r>
            <w:r/>
          </w:p>
        </w:tc>
        <w:tc>
          <w:tcPr>
            <w:tcW w:w="6123" w:type="dxa"/>
            <w:vAlign w:val="center"/>
            <w:textDirection w:val="lrTb"/>
            <w:noWrap w:val="false"/>
          </w:tcPr>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资格审查响应内容</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是否响应</w:t>
            </w:r>
            <w:r/>
          </w:p>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（填是或者否）</w:t>
            </w:r>
            <w:r/>
          </w:p>
        </w:tc>
      </w:tr>
      <w:tr>
        <w:trPr>
          <w:trHeight w:val="409"/>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通用资格条件</w:t>
            </w:r>
            <w:r/>
          </w:p>
        </w:tc>
      </w:tr>
      <w:tr>
        <w:trPr>
          <w:trHeight w:val="638"/>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highlight w:val="none"/>
              </w:rPr>
              <w:t xml:space="preserve">1</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法人或者其他组织的营业执照等证明文件，自然人的身份证明；</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r>
      <w:tr>
        <w:trPr>
          <w:trHeight w:val="694"/>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上一年度的财务报告情况（成立不满一年不需提供）；</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926"/>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965"/>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具备履行合同所必需的设备和专业技术能力的书面声明；</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804"/>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参加本次政府采购活动前3年内在经营活动中没有重大违法记录的书面声明；</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12"/>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供应商信用承诺书；</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63"/>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iCs/>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3"/>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落实政府采购政策需满足的资格要求</w:t>
            </w:r>
            <w:r/>
          </w:p>
        </w:tc>
      </w:tr>
      <w:tr>
        <w:trPr>
          <w:trHeight w:val="460"/>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val="en-US" w:eastAsia="zh-CN"/>
              </w:rPr>
              <w:t xml:space="preserve">8</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无</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8"/>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特定资格条件</w:t>
            </w:r>
            <w:r/>
          </w:p>
        </w:tc>
      </w:tr>
      <w:tr>
        <w:trPr>
          <w:trHeight w:val="389"/>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val="en-US" w:eastAsia="zh-CN"/>
              </w:rPr>
              <w:t xml:space="preserve">9</w:t>
            </w:r>
            <w:r/>
          </w:p>
        </w:tc>
        <w:tc>
          <w:tcPr>
            <w:tcW w:w="6123" w:type="dxa"/>
            <w:vAlign w:val="center"/>
            <w:textDirection w:val="lrTb"/>
            <w:noWrap w:val="false"/>
          </w:tcPr>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无</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2"/>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其他资格条件</w:t>
            </w:r>
            <w:r/>
          </w:p>
        </w:tc>
      </w:tr>
      <w:tr>
        <w:trPr>
          <w:trHeight w:val="442"/>
        </w:trPr>
        <w:tc>
          <w:tcPr>
            <w:tcW w:w="764"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10</w:t>
            </w:r>
            <w:r/>
          </w:p>
        </w:tc>
        <w:tc>
          <w:tcPr>
            <w:tcW w:w="6123"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lang w:eastAsia="zh-CN"/>
              </w:rPr>
              <w:t xml:space="preserve">投标函</w:t>
            </w:r>
            <w:r/>
          </w:p>
        </w:tc>
        <w:tc>
          <w:tcPr>
            <w:tcW w:w="2045"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r>
        <w:trPr>
          <w:trHeight w:val="442"/>
        </w:trPr>
        <w:tc>
          <w:tcPr>
            <w:tcW w:w="764"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11</w:t>
            </w:r>
            <w:r/>
          </w:p>
        </w:tc>
        <w:tc>
          <w:tcPr>
            <w:tcW w:w="6123"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法人授权书</w:t>
            </w:r>
            <w:r/>
          </w:p>
        </w:tc>
        <w:tc>
          <w:tcPr>
            <w:tcW w:w="2045"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bl>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zCs w:val="21"/>
          <w:highlight w:val="none"/>
        </w:rPr>
        <w:br w:type="page" w:clear="all"/>
      </w:r>
      <w:r/>
    </w:p>
    <w:p>
      <w:pPr>
        <w:numPr>
          <w:ilvl w:val="0"/>
          <w:numId w:val="15"/>
        </w:numPr>
        <w:ind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法人或者其他组织的营业执照等证明文件，自然人的身份证明</w:t>
      </w:r>
      <w:r/>
    </w:p>
    <w:p>
      <w:pPr>
        <w:spacing w:line="360" w:lineRule="auto"/>
        <w:shd w:val="clear" w:color="auto"/>
        <w:rPr>
          <w:rFonts w:hint="eastAsia" w:asciiTheme="minorEastAsia" w:hAnsiTheme="minorEastAsia" w:eastAsiaTheme="minorEastAsia" w:cstheme="minorEastAsia"/>
          <w:b/>
          <w:bCs/>
          <w:szCs w:val="21"/>
          <w:highlight w:val="none"/>
        </w:rPr>
        <w:outlineLvl w:val="9"/>
      </w:pPr>
      <w:r>
        <w:rPr>
          <w:rFonts w:hint="eastAsia" w:asciiTheme="minorEastAsia" w:hAnsiTheme="minorEastAsia" w:eastAsiaTheme="minorEastAsia" w:cstheme="minorEastAsia"/>
          <w:b/>
          <w:bCs/>
          <w:szCs w:val="21"/>
          <w:highlight w:val="none"/>
        </w:rPr>
      </w:r>
      <w:r/>
    </w:p>
    <w:p>
      <w:pPr>
        <w:numPr>
          <w:ilvl w:val="0"/>
          <w:numId w:val="15"/>
        </w:numPr>
        <w:ind w:left="-2"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上一年度的财务报告情况</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需提供上一年度的财务审计报告或财务报表（应至少包括资产负债表和利润表，成立不满一年不需提供）</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pStyle w:val="1168"/>
        <w:numPr>
          <w:ilvl w:val="0"/>
          <w:numId w:val="15"/>
        </w:numPr>
        <w:spacing w:line="360" w:lineRule="auto"/>
        <w:shd w:val="clear" w:color="auto"/>
        <w:rPr>
          <w:rFonts w:hint="eastAsia" w:asciiTheme="minorEastAsia" w:hAnsiTheme="minorEastAsia" w:eastAsiaTheme="minorEastAsia" w:cstheme="minorEastAsia"/>
          <w:szCs w:val="21"/>
          <w:highlight w:val="none"/>
        </w:rPr>
        <w:outlineLvl w:val="2"/>
      </w:pPr>
      <w:r>
        <w:rPr>
          <w:rFonts w:hint="eastAsia" w:asciiTheme="minorEastAsia" w:hAnsiTheme="minorEastAsia" w:eastAsiaTheme="minorEastAsia" w:cstheme="minorEastAsia"/>
          <w:b/>
          <w:bCs/>
          <w:szCs w:val="21"/>
          <w:highlight w:val="none"/>
        </w:rPr>
        <w:t xml:space="preserve">依法缴纳税收和社会保障资金的相关材料（提供提交响应文件截止时间前一年内至少一个月（不含当月）依法缴纳税收及缴纳社会保障资金的证明材料。投标人依法享受缓缴、免缴税收、社会保障资金的提供证明材料）。</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numPr>
          <w:ilvl w:val="0"/>
          <w:numId w:val="15"/>
        </w:numPr>
        <w:ind w:left="-2"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具有履行合同所必需的设备和专业技术能力</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根据项目需求提供履行合同所必需的设备和专业技术能力的证明材料或相关承诺函，承诺函自行编写</w:t>
      </w:r>
      <w:r/>
    </w:p>
    <w:p>
      <w:pPr>
        <w:pStyle w:val="955"/>
        <w:ind w:firstLine="48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主要设备有：</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主要专业技术能力有：</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w:t>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供应商名称（加盖CA电子公章）：</w:t>
      </w:r>
      <w:r>
        <w:rPr>
          <w:rFonts w:hint="eastAsia" w:asciiTheme="minorEastAsia" w:hAnsiTheme="minorEastAsia" w:eastAsiaTheme="minorEastAsia" w:cstheme="minorEastAsia"/>
          <w:highlight w:val="none"/>
          <w:u w:val="single"/>
        </w:rPr>
        <w:t xml:space="preserve">                                                  </w:t>
      </w:r>
      <w:r/>
    </w:p>
    <w:p>
      <w:pPr>
        <w:ind w:firstLine="420"/>
        <w:jc w:val="righ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法定代表人签章：_______________________</w:t>
      </w:r>
      <w:r/>
    </w:p>
    <w:p>
      <w:pPr>
        <w:ind w:firstLine="420"/>
        <w:jc w:val="righ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日期：______年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日</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numPr>
          <w:ilvl w:val="0"/>
          <w:numId w:val="15"/>
        </w:numPr>
        <w:ind w:left="-2"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参加政府采购活动近三年内（成立时间不足三年的、自成立时间起），在经营活动中没有重大违法记录</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提供承诺书，承诺书格式自拟，重大违法记录是指供应商因违法经营受到刑事处罚或责令停产停业、吊销许可证或者执照、较大数额罚款等行政处罚</w:t>
      </w:r>
      <w:r/>
    </w:p>
    <w:p>
      <w:pPr>
        <w:ind w:firstLine="482"/>
        <w:jc w:val="cente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ind w:firstLine="482"/>
        <w:jc w:val="cente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声  明</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供应商名称（加盖CA电子公章）：</w:t>
      </w:r>
      <w:r>
        <w:rPr>
          <w:rFonts w:hint="eastAsia" w:asciiTheme="minorEastAsia" w:hAnsiTheme="minorEastAsia" w:eastAsiaTheme="minorEastAsia" w:cstheme="minorEastAsia"/>
          <w:highlight w:val="none"/>
          <w:u w:val="single"/>
        </w:rPr>
        <w:t xml:space="preserve">                          </w:t>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法定代表人签章：</w:t>
      </w:r>
      <w:r>
        <w:rPr>
          <w:rFonts w:hint="eastAsia" w:asciiTheme="minorEastAsia" w:hAnsiTheme="minorEastAsia" w:eastAsiaTheme="minorEastAsia" w:cstheme="minorEastAsia"/>
          <w:highlight w:val="none"/>
          <w:u w:val="single"/>
        </w:rPr>
        <w:t xml:space="preserve">                          </w:t>
      </w:r>
      <w:r/>
    </w:p>
    <w:p>
      <w:pPr>
        <w:ind w:firstLine="420"/>
        <w:jc w:val="righ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日期：</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日</w:t>
      </w:r>
      <w:r/>
    </w:p>
    <w:p>
      <w:pPr>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br w:type="page" w:clear="all"/>
      </w:r>
      <w:r/>
    </w:p>
    <w:p>
      <w:pPr>
        <w:ind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6、供应商信用承诺函</w:t>
      </w:r>
      <w:r/>
    </w:p>
    <w:p>
      <w:pPr>
        <w:pStyle w:val="740"/>
        <w:ind w:left="3347" w:firstLine="502"/>
        <w:spacing w:before="120" w:line="220" w:lineRule="auto"/>
        <w:shd w:val="clear" w:color="auto"/>
        <w:rPr>
          <w:rFonts w:hint="eastAsia" w:asciiTheme="minorEastAsia" w:hAnsiTheme="minorEastAsia" w:eastAsiaTheme="minorEastAsia" w:cstheme="minorEastAsia"/>
          <w:sz w:val="25"/>
          <w:szCs w:val="21"/>
          <w:highlight w:val="none"/>
        </w:rPr>
      </w:pPr>
      <w:r>
        <w:rPr>
          <w:rFonts w:hint="eastAsia" w:asciiTheme="minorEastAsia" w:hAnsiTheme="minorEastAsia" w:eastAsiaTheme="minorEastAsia" w:cstheme="minorEastAsia"/>
          <w:sz w:val="25"/>
          <w:szCs w:val="21"/>
          <w:highlight w:val="none"/>
        </w:rPr>
        <w:t xml:space="preserve">供应商信用承诺函</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承诺主体名称：</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统一社会信用代码：</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为维护公平竞争、规范有序的市场秩序，营造诚实守信的信用环境，共同推进社会信用体系建设完善，树立企业诚信守法形象，本企业对</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项目政府采购活动郑重承诺如下:</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四、自觉接受行政管理部门、行业组织、社会公众、新闻舆论的监督；</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七、严格遵守信用信息公示相关规定，向社会公示信用信息；</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八、在“信用中国”和“中国政府采购网”网站中无违法违规、较重或严重失信记录；</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九、如违反承诺， 自愿接受管理部门依法给予的行政处罚，同意将违反承诺的行为作为</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不良记录记入信用档案，依法依规进行信息公示，并承担所产生的一切法律责任和经济损失。</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十、本承诺书自签订之日起生效。</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（注：法定代表人或负责人、主体名称发生变更的应当重新做出承诺。）</w:t>
      </w:r>
      <w:r/>
    </w:p>
    <w:p>
      <w:pPr>
        <w:jc w:val="righ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承诺单位（加盖CA电子公章）：     </w:t>
      </w:r>
      <w:r/>
    </w:p>
    <w:p>
      <w:pPr>
        <w:jc w:val="righ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法定代表人（负责人）：     </w:t>
      </w:r>
      <w:r/>
    </w:p>
    <w:p>
      <w:pPr>
        <w:jc w:val="righ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年       月       日</w:t>
      </w:r>
      <w:r/>
    </w:p>
    <w:p>
      <w:pPr>
        <w:ind w:firstLine="422"/>
        <w:spacing w:line="360" w:lineRule="auto"/>
        <w:shd w:val="clear" w:color="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br w:type="page" w:clear="all"/>
      </w:r>
      <w:r/>
    </w:p>
    <w:p>
      <w:pPr>
        <w:spacing w:line="360" w:lineRule="auto"/>
        <w:shd w:val="clear" w:color="auto"/>
        <w:rPr>
          <w:rFonts w:hint="eastAsia" w:asciiTheme="minorEastAsia" w:hAnsiTheme="minorEastAsia" w:eastAsiaTheme="minorEastAsia" w:cstheme="minorEastAsia"/>
          <w:b/>
          <w:bCs/>
          <w:szCs w:val="21"/>
          <w:highlight w:val="none"/>
        </w:rPr>
        <w:outlineLvl w:val="9"/>
      </w:pPr>
      <w:r>
        <w:rPr>
          <w:rFonts w:hint="eastAsia" w:asciiTheme="minorEastAsia" w:hAnsiTheme="minorEastAsia" w:eastAsiaTheme="minorEastAsia" w:cstheme="minorEastAsia"/>
          <w:b/>
          <w:bCs/>
          <w:szCs w:val="21"/>
          <w:highlight w:val="none"/>
        </w:rPr>
      </w:r>
      <w:r/>
    </w:p>
    <w:p>
      <w:pPr>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7、法人代表授权书（原件）及法定代表人、授权代表身份证复印件</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（如果是法定代表人直接参与投标的可以不提供授权书）</w:t>
      </w:r>
      <w:r/>
    </w:p>
    <w:p>
      <w:pPr>
        <w:ind w:firstLine="482"/>
        <w:jc w:val="center"/>
        <w:spacing w:after="120" w:line="360" w:lineRule="auto"/>
        <w:shd w:val="clear" w:color="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法人授权书</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本授权书声明：</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（投标人名称）授权</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（被授权人的姓名）为我方就</w:t>
      </w:r>
      <w:r>
        <w:rPr>
          <w:rFonts w:hint="eastAsia" w:asciiTheme="minorEastAsia" w:hAnsiTheme="minorEastAsia" w:eastAsiaTheme="minorEastAsia" w:cstheme="minorEastAsia"/>
          <w:highlight w:val="none"/>
          <w:u w:val="single"/>
        </w:rPr>
        <w:t xml:space="preserve">（项目编号）</w:t>
      </w:r>
      <w:r>
        <w:rPr>
          <w:rFonts w:hint="eastAsia" w:asciiTheme="minorEastAsia" w:hAnsiTheme="minorEastAsia" w:eastAsiaTheme="minorEastAsia" w:cstheme="minorEastAsia"/>
          <w:highlight w:val="none"/>
        </w:rPr>
        <w:t xml:space="preserve">号</w:t>
      </w:r>
      <w:r>
        <w:rPr>
          <w:rFonts w:hint="eastAsia" w:asciiTheme="minorEastAsia" w:hAnsiTheme="minorEastAsia" w:eastAsiaTheme="minorEastAsia" w:cstheme="minorEastAsia"/>
          <w:highlight w:val="none"/>
          <w:u w:val="single"/>
        </w:rPr>
        <w:t xml:space="preserve">（项目名称）</w:t>
      </w:r>
      <w:r>
        <w:rPr>
          <w:rFonts w:hint="eastAsia" w:asciiTheme="minorEastAsia" w:hAnsiTheme="minorEastAsia" w:eastAsiaTheme="minorEastAsia" w:cstheme="minorEastAsia"/>
          <w:highlight w:val="none"/>
        </w:rPr>
        <w:t xml:space="preserve">项目采购活动的合法代理人，以本公司名义全权处理一切与该项目采购有关的事务。</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本授权书于</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日起生效，特此声明。</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ind w:firstLine="420"/>
        <w:spacing w:line="360" w:lineRule="auto"/>
        <w:shd w:val="clear" w:color="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rPr>
        <w:t xml:space="preserve">被授权人姓名：</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被授权人身份证号码：</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联系电话（手机）：</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单位名称：</w:t>
      </w:r>
      <w:r>
        <w:rPr>
          <w:rFonts w:hint="eastAsia" w:asciiTheme="minorEastAsia" w:hAnsiTheme="minorEastAsia" w:eastAsiaTheme="minorEastAsia" w:cstheme="minorEastAsia"/>
          <w:highlight w:val="none"/>
          <w:u w:val="single"/>
        </w:rPr>
        <w:t xml:space="preserve">（加盖CA电子公章）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单位地址：</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日期：</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highlight w:val="none"/>
        </w:rPr>
        <w:t xml:space="preserve">附：法定代表人及授权代表身份证复印件</w:t>
      </w:r>
      <w:r/>
    </w:p>
    <w:p>
      <w:pPr>
        <w:pStyle w:val="955"/>
        <w:ind w:firstLine="480"/>
        <w:spacing w:line="360" w:lineRule="auto"/>
        <w:shd w:val="clear" w:color="auto"/>
        <w:rPr>
          <w:rFonts w:hint="eastAsia" w:asciiTheme="minorEastAsia" w:hAnsiTheme="minorEastAsia" w:eastAsiaTheme="minorEastAsia" w:cstheme="minorEastAsia"/>
          <w:highlight w:val="none"/>
        </w:rPr>
        <w:sectPr>
          <w:footerReference w:type="defaul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Theme="minorEastAsia" w:hAnsiTheme="minorEastAsia" w:eastAsiaTheme="minorEastAsia" w:cstheme="minorEastAsia"/>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szCs w:val="21"/>
          <w:highlight w:val="none"/>
        </w:rPr>
        <w:t xml:space="preserve">投标函</w:t>
      </w:r>
      <w:r/>
    </w:p>
    <w:p>
      <w:pPr>
        <w:spacing w:line="360" w:lineRule="auto"/>
        <w:shd w:val="clear" w:color="auto"/>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致：</w:t>
      </w:r>
      <w:r>
        <w:rPr>
          <w:rFonts w:hint="eastAsia" w:asciiTheme="minorEastAsia" w:hAnsiTheme="minorEastAsia" w:eastAsiaTheme="minorEastAsia" w:cstheme="minorEastAsia"/>
          <w:highlight w:val="none"/>
          <w:lang w:eastAsia="zh-CN"/>
        </w:rPr>
        <w:t xml:space="preserve">扬州苏建工程管理有限公司</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根据贵方的</w:t>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highlight w:val="none"/>
        </w:rPr>
        <w:t xml:space="preserve">号招标文件，正式授权下述签字人</w:t>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highlight w:val="none"/>
          <w:u w:val="single"/>
        </w:rPr>
        <w:t xml:space="preserve">(姓名)</w:t>
      </w:r>
      <w:r>
        <w:rPr>
          <w:rFonts w:hint="eastAsia" w:asciiTheme="minorEastAsia" w:hAnsiTheme="minorEastAsia" w:eastAsiaTheme="minorEastAsia" w:cstheme="minorEastAsia"/>
          <w:highlight w:val="none"/>
        </w:rPr>
        <w:t xml:space="preserve">代表我方</w:t>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highlight w:val="none"/>
        </w:rPr>
        <w:t xml:space="preserve">（投标人的名称），全权处理本次项目投标的有关事宜。</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据此函，</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签字人兹宣布同意如下：</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1.按招标文件规定的各项要求，向买方提供所需服务（包含与服务相关的货物）。</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2.我们完全理解贵方不一定将合同授予最低报价的投标人。</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3.我们已详细审核全部招标文件及其有效补充文件，我们知道必须放弃提出含糊不清或误解问题的权利。</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4.我们同意从规定的开标日期起遵循本投标文件，并在规定的投标有效期</w:t>
      </w:r>
      <w:r>
        <w:rPr>
          <w:rFonts w:hint="eastAsia" w:asciiTheme="minorEastAsia" w:hAnsiTheme="minorEastAsia" w:eastAsiaTheme="minorEastAsia" w:cstheme="minorEastAsia"/>
          <w:b/>
          <w:bCs/>
          <w:highlight w:val="none"/>
        </w:rPr>
        <w:t xml:space="preserve">（90天）</w:t>
      </w:r>
      <w:r>
        <w:rPr>
          <w:rFonts w:hint="eastAsia" w:asciiTheme="minorEastAsia" w:hAnsiTheme="minorEastAsia" w:eastAsiaTheme="minorEastAsia" w:cstheme="minorEastAsia"/>
          <w:highlight w:val="none"/>
        </w:rPr>
        <w:t xml:space="preserve">期满之前均具有约束力。</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5.同意向贵方提供贵方可能另外要求的与投标有关的任何证据或资料，并保证我方已提供和将要提供的文件是真实的、准确的。</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6.一旦我方中标,我方将根据招标文件的规定，严格履行合同的责任和义务,并保证在招标文件规定的时间完成项目，交付买方验收、使用。</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 与本次投标有关的一切往来信函请寄：</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地 址：</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邮 编：</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 话： </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传 真： </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投标人开户行：</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账 户： </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行 号：</w:t>
      </w:r>
      <w:r/>
    </w:p>
    <w:p>
      <w:pPr>
        <w:pStyle w:val="740"/>
        <w:ind w:left="4448" w:firstLine="384"/>
        <w:spacing w:before="120" w:line="360" w:lineRule="auto"/>
        <w:shd w:val="clear" w:color="auto"/>
        <w:rPr>
          <w:rFonts w:hint="eastAsia" w:asciiTheme="minorEastAsia" w:hAnsiTheme="minorEastAsia" w:eastAsiaTheme="minorEastAsia" w:cstheme="minorEastAsia"/>
          <w:spacing w:val="-9"/>
          <w:sz w:val="21"/>
          <w:szCs w:val="21"/>
          <w:highlight w:val="none"/>
        </w:rPr>
      </w:pPr>
      <w:r>
        <w:rPr>
          <w:rFonts w:hint="eastAsia" w:asciiTheme="minorEastAsia" w:hAnsiTheme="minorEastAsia" w:eastAsiaTheme="minorEastAsia" w:cstheme="minorEastAsia"/>
          <w:spacing w:val="-9"/>
          <w:sz w:val="21"/>
          <w:szCs w:val="21"/>
          <w:highlight w:val="none"/>
        </w:rPr>
      </w:r>
      <w:r/>
    </w:p>
    <w:p>
      <w:pPr>
        <w:pStyle w:val="740"/>
        <w:ind w:left="4448" w:firstLine="384"/>
        <w:spacing w:before="120" w:line="360" w:lineRule="auto"/>
        <w:shd w:val="clear" w:color="auto"/>
        <w:rPr>
          <w:rFonts w:hint="eastAsia" w:asciiTheme="minorEastAsia" w:hAnsiTheme="minorEastAsia" w:eastAsiaTheme="minorEastAsia" w:cstheme="minorEastAsia"/>
          <w:spacing w:val="-9"/>
          <w:sz w:val="21"/>
          <w:szCs w:val="21"/>
          <w:highlight w:val="none"/>
        </w:rPr>
      </w:pPr>
      <w:r>
        <w:rPr>
          <w:rFonts w:hint="eastAsia" w:asciiTheme="minorEastAsia" w:hAnsiTheme="minorEastAsia" w:eastAsiaTheme="minorEastAsia" w:cstheme="minorEastAsia"/>
          <w:spacing w:val="-9"/>
          <w:sz w:val="21"/>
          <w:szCs w:val="21"/>
          <w:highlight w:val="none"/>
        </w:rPr>
      </w:r>
      <w:r/>
    </w:p>
    <w:p>
      <w:pPr>
        <w:ind w:left="3780"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供应商名称（加盖CA电子公章）：</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 xml:space="preserve">            </w:t>
      </w:r>
      <w:r/>
    </w:p>
    <w:p>
      <w:pPr>
        <w:ind w:left="3780"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日期：</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年</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日</w:t>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r/>
    </w:p>
    <w:p>
      <w:pPr>
        <w:pStyle w:val="723"/>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二、符合性审查响应对照表</w:t>
      </w:r>
      <w:r/>
    </w:p>
    <w:p>
      <w:pPr>
        <w:spacing w:line="360" w:lineRule="auto"/>
        <w:shd w:val="clear" w:color="auto"/>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r>
      <w:r/>
    </w:p>
    <w:tbl>
      <w:tblPr>
        <w:tblStyle w:val="73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5687"/>
        <w:gridCol w:w="2045"/>
        <w:gridCol w:w="1419"/>
      </w:tblGrid>
      <w:tr>
        <w:trPr>
          <w:trHeight w:val="882"/>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序号</w:t>
            </w:r>
            <w:r/>
          </w:p>
        </w:tc>
        <w:tc>
          <w:tcPr>
            <w:tcW w:w="2886"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符合性审查响应内容</w:t>
            </w:r>
            <w:r/>
          </w:p>
        </w:tc>
        <w:tc>
          <w:tcPr>
            <w:tcW w:w="1038"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是否响应</w:t>
            </w:r>
            <w:r/>
          </w:p>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（填是或者否）</w:t>
            </w:r>
            <w:r/>
          </w:p>
        </w:tc>
        <w:tc>
          <w:tcPr>
            <w:tcW w:w="720"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响应情况</w:t>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t xml:space="preserve">采购需求中必须满足的实质性要求（即加斜体下划线内容，每条详细列出）</w:t>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43"/>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780"/>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t xml:space="preserve">……</w:t>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br w:type="page" w:clear="all"/>
      </w:r>
      <w:r/>
    </w:p>
    <w:p>
      <w:pPr>
        <w:pStyle w:val="723"/>
        <w:jc w:val="center"/>
        <w:spacing w:line="360" w:lineRule="auto"/>
        <w:shd w:val="clear" w:color="auto"/>
        <w:rPr>
          <w:rFonts w:hint="eastAsia" w:asciiTheme="minorEastAsia" w:hAnsiTheme="minorEastAsia" w:eastAsiaTheme="minorEastAsia" w:cstheme="minorEastAsia"/>
          <w:szCs w:val="32"/>
          <w:highlight w:val="none"/>
        </w:rPr>
      </w:pPr>
      <w:r/>
      <w:bookmarkStart w:id="187" w:name="_Toc24129"/>
      <w:r>
        <w:rPr>
          <w:rFonts w:hint="eastAsia" w:asciiTheme="minorEastAsia" w:hAnsiTheme="minorEastAsia" w:eastAsiaTheme="minorEastAsia" w:cstheme="minorEastAsia"/>
          <w:highlight w:val="none"/>
        </w:rPr>
        <w:t xml:space="preserve">三、非实质性响应对照表</w:t>
      </w:r>
      <w:bookmarkEnd w:id="187"/>
      <w:r/>
      <w:r/>
    </w:p>
    <w:tbl>
      <w:tblPr>
        <w:tblStyle w:val="73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5635"/>
        <w:gridCol w:w="2098"/>
        <w:gridCol w:w="1418"/>
      </w:tblGrid>
      <w:tr>
        <w:trPr>
          <w:trHeight w:val="882"/>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序号</w:t>
            </w:r>
            <w:r/>
          </w:p>
        </w:tc>
        <w:tc>
          <w:tcPr>
            <w:tcW w:w="2860"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非实质性响应内容</w:t>
            </w:r>
            <w:r/>
          </w:p>
        </w:tc>
        <w:tc>
          <w:tcPr>
            <w:tcW w:w="106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是否响应</w:t>
            </w:r>
            <w:r/>
          </w:p>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（填是或者否）</w:t>
            </w:r>
            <w:r/>
          </w:p>
        </w:tc>
        <w:tc>
          <w:tcPr>
            <w:tcW w:w="719"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响应情况</w:t>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W w:w="2860"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szCs w:val="21"/>
                <w:highlight w:val="none"/>
              </w:rPr>
              <w:t xml:space="preserve">《企业声明函》</w:t>
            </w:r>
            <w:r/>
          </w:p>
        </w:tc>
        <w:tc>
          <w:tcPr>
            <w:tcW w:w="1065"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c>
          <w:tcPr>
            <w:tcW w:w="719"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2860"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szCs w:val="21"/>
                <w:highlight w:val="none"/>
              </w:rPr>
              <w:t xml:space="preserve">《残疾人福利性单位声明函》</w:t>
            </w:r>
            <w:r/>
          </w:p>
        </w:tc>
        <w:tc>
          <w:tcPr>
            <w:tcW w:w="1065"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19"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780"/>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W w:w="2860"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t xml:space="preserve">……</w:t>
            </w:r>
            <w:r/>
          </w:p>
        </w:tc>
        <w:tc>
          <w:tcPr>
            <w:tcW w:w="1065"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19"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shd w:val="clear" w:color="auto"/>
        <w:rPr>
          <w:rFonts w:hint="eastAsia" w:asciiTheme="minorEastAsia" w:hAnsiTheme="minorEastAsia" w:eastAsiaTheme="minorEastAsia" w:cstheme="minorEastAsia"/>
          <w:b/>
          <w:szCs w:val="21"/>
          <w:highlight w:val="none"/>
        </w:rPr>
      </w:pPr>
      <w:r/>
      <w:bookmarkStart w:id="188" w:name="_Toc4928"/>
      <w:r>
        <w:rPr>
          <w:rFonts w:hint="eastAsia" w:asciiTheme="minorEastAsia" w:hAnsiTheme="minorEastAsia" w:eastAsiaTheme="minorEastAsia" w:cstheme="minorEastAsia"/>
          <w:b/>
          <w:szCs w:val="21"/>
          <w:highlight w:val="none"/>
        </w:rPr>
        <w:br w:type="page" w:clear="all"/>
      </w:r>
      <w:r/>
    </w:p>
    <w:p>
      <w:pPr>
        <w:ind w:firstLine="422"/>
        <w:spacing w:line="360" w:lineRule="auto"/>
        <w:shd w:val="clear" w:color="auto"/>
        <w:rPr>
          <w:rFonts w:hint="eastAsia" w:asciiTheme="minorEastAsia" w:hAnsiTheme="minorEastAsia" w:eastAsiaTheme="minorEastAsia" w:cstheme="minorEastAsia"/>
          <w:b/>
          <w:sz w:val="32"/>
          <w:highlight w:val="none"/>
        </w:rPr>
        <w:outlineLvl w:val="2"/>
      </w:pPr>
      <w:r>
        <w:rPr>
          <w:rFonts w:hint="eastAsia" w:asciiTheme="minorEastAsia" w:hAnsiTheme="minorEastAsia" w:eastAsiaTheme="minorEastAsia" w:cstheme="minorEastAsia"/>
          <w:b/>
          <w:szCs w:val="21"/>
          <w:highlight w:val="none"/>
        </w:rPr>
        <w:t xml:space="preserve">1、《企业声明函》</w:t>
      </w:r>
      <w:r/>
    </w:p>
    <w:p>
      <w:pPr>
        <w:ind w:firstLine="422"/>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中小企业声明函</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本公司（联合体）郑重声明，根据</w:t>
      </w:r>
      <w:r>
        <w:rPr>
          <w:rFonts w:hint="eastAsia" w:asciiTheme="minorEastAsia" w:hAnsiTheme="minorEastAsia" w:eastAsiaTheme="minorEastAsia" w:cstheme="minorEastAsia"/>
          <w:b w:val="0"/>
          <w:bCs/>
          <w:szCs w:val="21"/>
          <w:highlight w:val="none"/>
        </w:rPr>
        <w:t xml:space="preserve">《政府采购促进中小企业发展管理办法》（财库﹝2020﹞46号）</w:t>
      </w:r>
      <w:r>
        <w:rPr>
          <w:rFonts w:hint="eastAsia" w:asciiTheme="minorEastAsia" w:hAnsiTheme="minorEastAsia" w:eastAsiaTheme="minorEastAsia" w:cstheme="minorEastAsia"/>
          <w:szCs w:val="21"/>
          <w:highlight w:val="none"/>
        </w:rPr>
        <w:t xml:space="preserve">的规定，本公司（联合体）参加</w:t>
      </w:r>
      <w:r>
        <w:rPr>
          <w:rFonts w:hint="eastAsia" w:asciiTheme="minorEastAsia" w:hAnsiTheme="minorEastAsia" w:eastAsiaTheme="minorEastAsia" w:cstheme="minorEastAsia"/>
          <w:szCs w:val="21"/>
          <w:highlight w:val="none"/>
          <w:u w:val="single"/>
        </w:rPr>
        <w:t xml:space="preserve">（单位名称）</w:t>
      </w:r>
      <w:r>
        <w:rPr>
          <w:rFonts w:hint="eastAsia" w:asciiTheme="minorEastAsia" w:hAnsiTheme="minorEastAsia" w:eastAsiaTheme="minorEastAsia" w:cstheme="minorEastAsia"/>
          <w:szCs w:val="21"/>
          <w:highlight w:val="none"/>
        </w:rPr>
        <w:t xml:space="preserve">的</w:t>
      </w:r>
      <w:r>
        <w:rPr>
          <w:rFonts w:hint="eastAsia" w:asciiTheme="minorEastAsia" w:hAnsiTheme="minorEastAsia" w:eastAsiaTheme="minorEastAsia" w:cstheme="minorEastAsia"/>
          <w:szCs w:val="21"/>
          <w:highlight w:val="none"/>
          <w:u w:val="single"/>
        </w:rPr>
        <w:t xml:space="preserve">（项目名称）</w:t>
      </w:r>
      <w:r>
        <w:rPr>
          <w:rFonts w:hint="eastAsia" w:asciiTheme="minorEastAsia" w:hAnsiTheme="minorEastAsia" w:eastAsiaTheme="minorEastAsia" w:cstheme="minorEastAsia"/>
          <w:szCs w:val="21"/>
          <w:highlight w:val="none"/>
        </w:rPr>
        <w:t xml:space="preserve">采购活动，提供的货物全部由符合政策要求的小微企业制造。相关企业（含联合体中的中小企业、签订分包意向协议的中小企业）的具体情况如下：</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rPr>
          <w:rFonts w:hint="eastAsia" w:asciiTheme="minorEastAsia" w:hAnsiTheme="minorEastAsia" w:eastAsiaTheme="minorEastAsia" w:cstheme="minorEastAsia"/>
          <w:szCs w:val="21"/>
          <w:highlight w:val="none"/>
          <w:u w:val="single"/>
        </w:rPr>
        <w:t xml:space="preserve"> （标的名称） </w:t>
      </w:r>
      <w:r>
        <w:rPr>
          <w:rFonts w:hint="eastAsia" w:asciiTheme="minorEastAsia" w:hAnsiTheme="minorEastAsia" w:eastAsiaTheme="minorEastAsia" w:cstheme="minorEastAsia"/>
          <w:szCs w:val="21"/>
          <w:highlight w:val="none"/>
        </w:rPr>
        <w:t xml:space="preserve">，属于</w:t>
      </w:r>
      <w:r>
        <w:rPr>
          <w:rFonts w:hint="eastAsia" w:asciiTheme="minorEastAsia" w:hAnsiTheme="minorEastAsia" w:eastAsiaTheme="minorEastAsia" w:cstheme="minorEastAsia"/>
          <w:b/>
          <w:bCs/>
          <w:color w:val="auto"/>
          <w:highlight w:val="none"/>
          <w:u w:val="single"/>
          <w:lang w:eastAsia="zh-CN"/>
        </w:rPr>
        <w:t xml:space="preserve">其他未列明行业</w:t>
      </w:r>
      <w:r>
        <w:rPr>
          <w:rFonts w:hint="eastAsia" w:asciiTheme="minorEastAsia" w:hAnsiTheme="minorEastAsia" w:eastAsiaTheme="minorEastAsia" w:cstheme="minorEastAsia"/>
          <w:szCs w:val="21"/>
          <w:highlight w:val="none"/>
        </w:rPr>
        <w:t xml:space="preserve">；制造商为</w:t>
      </w:r>
      <w:r>
        <w:rPr>
          <w:rFonts w:hint="eastAsia" w:asciiTheme="minorEastAsia" w:hAnsiTheme="minorEastAsia" w:eastAsiaTheme="minorEastAsia" w:cstheme="minorEastAsia"/>
          <w:szCs w:val="21"/>
          <w:highlight w:val="none"/>
          <w:u w:val="single"/>
        </w:rPr>
        <w:t xml:space="preserve">（企业名称）</w:t>
      </w:r>
      <w:r>
        <w:rPr>
          <w:rFonts w:hint="eastAsia" w:asciiTheme="minorEastAsia" w:hAnsiTheme="minorEastAsia" w:eastAsiaTheme="minorEastAsia" w:cstheme="minorEastAsia"/>
          <w:szCs w:val="21"/>
          <w:highlight w:val="none"/>
        </w:rPr>
        <w:t xml:space="preserve">，从业人员</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人，营业收入为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万元，资产总额为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万元，属于（</w:t>
      </w:r>
      <w:r>
        <w:rPr>
          <w:rFonts w:hint="eastAsia" w:asciiTheme="minorEastAsia" w:hAnsiTheme="minorEastAsia" w:eastAsiaTheme="minorEastAsia" w:cstheme="minorEastAsia"/>
          <w:szCs w:val="21"/>
          <w:highlight w:val="none"/>
          <w:u w:val="single"/>
        </w:rPr>
        <w:t xml:space="preserve">中型企业、小型企业、微型企业</w:t>
      </w:r>
      <w:r>
        <w:rPr>
          <w:rFonts w:hint="eastAsia" w:asciiTheme="minorEastAsia" w:hAnsiTheme="minorEastAsia" w:eastAsiaTheme="minorEastAsia" w:cstheme="minorEastAsia"/>
          <w:szCs w:val="21"/>
          <w:highlight w:val="none"/>
        </w:rPr>
        <w:t xml:space="preserve">）；</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u w:val="single"/>
        </w:rPr>
        <w:t xml:space="preserve"> （标的名称） </w:t>
      </w:r>
      <w:r>
        <w:rPr>
          <w:rFonts w:hint="eastAsia" w:asciiTheme="minorEastAsia" w:hAnsiTheme="minorEastAsia" w:eastAsiaTheme="minorEastAsia" w:cstheme="minorEastAsia"/>
          <w:szCs w:val="21"/>
          <w:highlight w:val="none"/>
        </w:rPr>
        <w:t xml:space="preserve">，属于</w:t>
      </w:r>
      <w:r>
        <w:rPr>
          <w:rFonts w:hint="eastAsia" w:asciiTheme="minorEastAsia" w:hAnsiTheme="minorEastAsia" w:eastAsiaTheme="minorEastAsia" w:cstheme="minorEastAsia"/>
          <w:szCs w:val="21"/>
          <w:highlight w:val="none"/>
          <w:u w:val="single"/>
        </w:rPr>
        <w:t xml:space="preserve">   （不得对行业类别修改）</w:t>
      </w:r>
      <w:r>
        <w:rPr>
          <w:rFonts w:hint="eastAsia" w:asciiTheme="minorEastAsia" w:hAnsiTheme="minorEastAsia" w:eastAsiaTheme="minorEastAsia" w:cstheme="minorEastAsia"/>
          <w:szCs w:val="21"/>
          <w:highlight w:val="none"/>
        </w:rPr>
        <w:t xml:space="preserve">；制造商为</w:t>
      </w:r>
      <w:r>
        <w:rPr>
          <w:rFonts w:hint="eastAsia" w:asciiTheme="minorEastAsia" w:hAnsiTheme="minorEastAsia" w:eastAsiaTheme="minorEastAsia" w:cstheme="minorEastAsia"/>
          <w:szCs w:val="21"/>
          <w:highlight w:val="none"/>
          <w:u w:val="single"/>
        </w:rPr>
        <w:t xml:space="preserve">（企业名称）</w:t>
      </w:r>
      <w:r>
        <w:rPr>
          <w:rFonts w:hint="eastAsia" w:asciiTheme="minorEastAsia" w:hAnsiTheme="minorEastAsia" w:eastAsiaTheme="minorEastAsia" w:cstheme="minorEastAsia"/>
          <w:szCs w:val="21"/>
          <w:highlight w:val="none"/>
        </w:rPr>
        <w:t xml:space="preserve">，从业人员</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人，营业收入为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万元，资产总额为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万元，属于</w:t>
      </w:r>
      <w:r>
        <w:rPr>
          <w:rFonts w:hint="eastAsia" w:asciiTheme="minorEastAsia" w:hAnsiTheme="minorEastAsia" w:eastAsiaTheme="minorEastAsia" w:cstheme="minorEastAsia"/>
          <w:szCs w:val="21"/>
          <w:highlight w:val="none"/>
          <w:u w:val="single"/>
        </w:rPr>
        <w:t xml:space="preserve">（中型企业、小型企业、微型企业）</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本企业对上述声明内容的真实性负责。如有虚假，将依法承担相应责任。</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left="4200"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企业名称（加盖CA电子公章）：</w:t>
      </w:r>
      <w:r/>
    </w:p>
    <w:p>
      <w:pPr>
        <w:ind w:left="4200"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日期：</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注：1、从业人员（不仅指在职职工）、营业收入、资产总额填报上一年度数据，无上一年度数据的新成立企业可不填报。</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2、供应商如填写不符合要求或不提供此声明函，视为无效投标。</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3、企业声明函请完整填写，中标后将公示。</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Theme="minorEastAsia" w:hAnsiTheme="minorEastAsia" w:eastAsiaTheme="minorEastAsia" w:cstheme="minorEastAsia"/>
          <w:spacing w:val="-10"/>
          <w:szCs w:val="21"/>
          <w:highlight w:val="none"/>
        </w:rPr>
      </w:pPr>
      <w:r>
        <w:rPr>
          <w:rFonts w:hint="eastAsia" w:asciiTheme="minorEastAsia" w:hAnsiTheme="minorEastAsia" w:eastAsiaTheme="minorEastAsia" w:cstheme="minorEastAsia"/>
          <w:szCs w:val="21"/>
          <w:highlight w:val="none"/>
        </w:rPr>
        <w:t xml:space="preserve">6、《政府采购法》第七十七条第一款：提供虚假材料谋取中标、成交的，处以采购金额千分之五以上千分之十以下的罚款，列入不良行为记录名单，在一至三年内禁止参加政 府采购活动，有违法所得的，并处没收违法所得， 情节严重的，由工商行政管理机关吊销</w:t>
      </w:r>
      <w:r>
        <w:rPr>
          <w:rFonts w:hint="eastAsia" w:asciiTheme="minorEastAsia" w:hAnsiTheme="minorEastAsia" w:eastAsiaTheme="minorEastAsia" w:cstheme="minorEastAsia"/>
          <w:spacing w:val="-10"/>
          <w:szCs w:val="21"/>
          <w:highlight w:val="none"/>
        </w:rPr>
        <w:t xml:space="preserve">营业执照； 构成犯罪的，依法追究刑事责任。</w:t>
      </w:r>
      <w:r/>
    </w:p>
    <w:p>
      <w:pPr>
        <w:shd w:val="clear" w:color="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br w:type="page" w:clear="all"/>
      </w:r>
      <w:r/>
    </w:p>
    <w:p>
      <w:pPr>
        <w:jc w:val="center"/>
        <w:keepLines/>
        <w:keepNext/>
        <w:spacing w:before="120" w:after="120" w:line="360" w:lineRule="auto"/>
        <w:shd w:val="clear" w:color="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中小微企业划型标准 </w:t>
      </w:r>
      <w:r/>
    </w:p>
    <w:p>
      <w:pPr>
        <w:ind w:firstLine="420"/>
        <w:jc w:val="left"/>
        <w:spacing w:before="120"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中小微企业划型标准如下：</w:t>
      </w:r>
      <w:r/>
    </w:p>
    <w:tbl>
      <w:tblPr>
        <w:tblStyle w:val="732"/>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小型</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50≤Y＜500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工业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300≤Y＜6000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Y＜300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300≤Z＜5000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5≤X＜20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X＜5</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10≤X＜50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100≤Y＜500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200≤Y＜3000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100≤Z＜8000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bl>
    <w:p>
      <w:pPr>
        <w:ind w:firstLine="420"/>
        <w:jc w:val="left"/>
        <w:spacing w:before="120"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Theme="minorEastAsia" w:hAnsiTheme="minorEastAsia" w:eastAsiaTheme="minorEastAsia" w:cstheme="minorEastAsia"/>
          <w:highlight w:val="none"/>
        </w:rPr>
        <w:br w:type="page" w:clear="all"/>
      </w:r>
      <w:r/>
    </w:p>
    <w:p>
      <w:pPr>
        <w:pStyle w:val="724"/>
        <w:ind w:firstLine="482"/>
        <w:spacing w:before="120" w:after="120" w:line="360" w:lineRule="auto"/>
        <w:shd w:val="clear" w:color="auto"/>
        <w:rPr>
          <w:rFonts w:hint="eastAsia" w:asciiTheme="minorEastAsia" w:hAnsiTheme="minorEastAsia" w:eastAsiaTheme="minorEastAsia" w:cstheme="minorEastAsia"/>
          <w:i/>
          <w:sz w:val="24"/>
          <w:highlight w:val="none"/>
          <w:u w:val="single"/>
        </w:rPr>
      </w:pPr>
      <w:r>
        <w:rPr>
          <w:rFonts w:hint="eastAsia" w:asciiTheme="minorEastAsia" w:hAnsiTheme="minorEastAsia" w:eastAsiaTheme="minorEastAsia" w:cstheme="minorEastAsia"/>
          <w:iCs/>
          <w:sz w:val="21"/>
          <w:szCs w:val="21"/>
          <w:highlight w:val="none"/>
        </w:rPr>
        <w:t xml:space="preserve">2、残疾人福利性单位声明函 （如有）</w:t>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的采购文件编号为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的</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项目采购活动由本单位提供服务。</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本单位对上述声明的真实性负责。如有虚假，将依法承担相应责任。</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（备注：1、供应商如不提供此声明函，价格将不做相应扣除。</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2、中标人为残疾人福利单位的，此声明函将随中标结果同时公告，接受社会监督）</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3780"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供应商全称（加盖 CA 电子公章）：</w:t>
      </w:r>
      <w:r/>
    </w:p>
    <w:p>
      <w:pPr>
        <w:ind w:left="3780" w:firstLine="420"/>
        <w:jc w:val="left"/>
        <w:spacing w:line="360" w:lineRule="auto"/>
        <w:shd w:val="clear" w:color="auto"/>
        <w:rPr>
          <w:rFonts w:hint="eastAsia" w:asciiTheme="minorEastAsia" w:hAnsiTheme="minorEastAsia" w:eastAsiaTheme="minorEastAsia" w:cstheme="minorEastAsia"/>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heme="minorEastAsia" w:hAnsiTheme="minorEastAsia" w:eastAsiaTheme="minorEastAsia" w:cstheme="minorEastAsia"/>
          <w:highlight w:val="none"/>
        </w:rPr>
        <w:t xml:space="preserve">日  期：</w:t>
      </w:r>
      <w:r/>
    </w:p>
    <w:p>
      <w:pPr>
        <w:pStyle w:val="765"/>
        <w:ind w:left="0" w:right="0" w:firstLine="0"/>
        <w:jc w:val="center"/>
        <w:keepLines w:val="0"/>
        <w:keepNext w:val="0"/>
        <w:spacing w:before="30" w:beforeAutospacing="0" w:after="30" w:afterAutospacing="0"/>
        <w:shd w:val="clear" w:color="auto"/>
        <w:widowControl/>
        <w:rPr>
          <w:rFonts w:hint="eastAsia" w:ascii="宋体" w:hAnsi="宋体" w:eastAsia="宋体" w:cs="宋体"/>
          <w:i w:val="0"/>
          <w:iCs w:val="0"/>
          <w:caps w:val="0"/>
          <w:color w:val="333333"/>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72"/>
          <w:rFonts w:hint="eastAsia" w:ascii="宋体" w:hAnsi="宋体" w:eastAsia="宋体" w:cs="宋体"/>
          <w:i w:val="0"/>
          <w:iCs w:val="0"/>
          <w:caps w:val="0"/>
          <w:color w:val="333333"/>
          <w:spacing w:val="0"/>
          <w:sz w:val="36"/>
          <w:szCs w:val="36"/>
          <w:highlight w:val="none"/>
          <w:shd w:val="clear" w:color="auto" w:fill="ffffff"/>
        </w:rPr>
        <w:t xml:space="preserve">关于符合本国产品标准的声明函</w:t>
      </w:r>
      <w:r/>
    </w:p>
    <w:p>
      <w:pPr>
        <w:pStyle w:val="765"/>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Style w:val="77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Style w:val="77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Style w:val="77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Style w:val="77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Style w:val="77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765"/>
        <w:ind w:left="0" w:right="0" w:firstLine="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765"/>
        <w:ind w:left="0" w:right="0" w:firstLine="0"/>
        <w:jc w:val="right"/>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765"/>
        <w:ind w:left="0" w:right="0" w:firstLine="0"/>
        <w:jc w:val="right"/>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765"/>
        <w:ind w:left="0" w:right="0" w:firstLine="0"/>
        <w:jc w:val="left"/>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p>
    <w:p>
      <w:pPr>
        <w:pStyle w:val="742"/>
        <w:shd w:val="clear" w:color="auto"/>
        <w:rPr>
          <w:rFonts w:hint="eastAsia"/>
          <w:highlight w:val="none"/>
        </w:rPr>
      </w:pPr>
      <w:r>
        <w:rPr>
          <w:rFonts w:hint="eastAsia"/>
          <w:highlight w:val="none"/>
        </w:rPr>
      </w:r>
      <w:r/>
    </w:p>
    <w:p>
      <w:pPr>
        <w:shd w:val="clear" w:color="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shd w:val="clear" w:color="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br w:type="page" w:clear="all"/>
      </w:r>
      <w:r/>
    </w:p>
    <w:p>
      <w:pPr>
        <w:pStyle w:val="723"/>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四、开标一览表</w:t>
      </w:r>
      <w:bookmarkEnd w:id="188"/>
      <w:r>
        <w:rPr>
          <w:rFonts w:hint="eastAsia" w:asciiTheme="minorEastAsia" w:hAnsiTheme="minorEastAsia" w:eastAsiaTheme="minorEastAsia" w:cstheme="minorEastAsia"/>
          <w:bCs w:val="0"/>
          <w:sz w:val="32"/>
          <w:szCs w:val="20"/>
          <w:highlight w:val="none"/>
          <w:lang w:eastAsia="zh-CN"/>
        </w:rPr>
        <w:t xml:space="preserve">（</w:t>
      </w:r>
      <w:r>
        <w:rPr>
          <w:rFonts w:hint="eastAsia" w:asciiTheme="minorEastAsia" w:hAnsiTheme="minorEastAsia" w:eastAsiaTheme="minorEastAsia" w:cstheme="minorEastAsia"/>
          <w:bCs w:val="0"/>
          <w:sz w:val="32"/>
          <w:szCs w:val="20"/>
          <w:highlight w:val="none"/>
        </w:rPr>
        <w:t xml:space="preserve">采购包号：**）</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投标人全称（加盖 CA 电子公章）：</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项目名称：</w:t>
      </w:r>
      <w:r/>
    </w:p>
    <w:p>
      <w:pPr>
        <w:ind w:left="420" w:firstLine="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项目编号：</w:t>
      </w:r>
      <w:r>
        <w:rPr>
          <w:rFonts w:hint="eastAsia" w:asciiTheme="minorEastAsia" w:hAnsiTheme="minorEastAsia" w:eastAsiaTheme="minorEastAsia" w:cstheme="minorEastAsia"/>
          <w:highlight w:val="none"/>
        </w:rPr>
        <w:br/>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r/>
    </w:p>
    <w:tbl>
      <w:tblPr>
        <w:tblStyle w:val="732"/>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投标总报价</w:t>
            </w:r>
            <w:r/>
          </w:p>
        </w:tc>
      </w:tr>
      <w:tr>
        <w:trPr>
          <w:cantSplit/>
          <w:jc w:val="center"/>
          <w:trHeight w:val="1359"/>
        </w:trPr>
        <w:tc>
          <w:tcPr>
            <w:tcW w:w="8025" w:type="dxa"/>
            <w:vAlign w:val="center"/>
            <w:textDirection w:val="lrTb"/>
            <w:noWrap w:val="false"/>
          </w:tcPr>
          <w:p>
            <w:pPr>
              <w:pStyle w:val="1175"/>
              <w:ind w:left="107" w:firstLine="1470"/>
              <w:spacing w:before="172"/>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大写：                      </w:t>
            </w:r>
            <w:r/>
          </w:p>
          <w:p>
            <w:pPr>
              <w:pStyle w:val="1037"/>
              <w:ind w:firstLine="1575"/>
              <w:spacing w:before="0" w:after="0" w:line="500" w:lineRule="exact"/>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小写：</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 xml:space="preserve">                   （人民币：元）</w:t>
            </w:r>
            <w:r/>
          </w:p>
        </w:tc>
      </w:tr>
    </w:tbl>
    <w:p>
      <w:pP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日期：</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月</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日</w:t>
      </w:r>
      <w:r/>
    </w:p>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p>
      <w:pPr>
        <w:pStyle w:val="1182"/>
        <w:numPr>
          <w:ilvl w:val="0"/>
          <w:numId w:val="0"/>
        </w:numPr>
        <w:jc w:val="center"/>
        <w:keepLines w:val="0"/>
        <w:keepNext w:val="0"/>
        <w:spacing w:line="360" w:lineRule="auto"/>
        <w:shd w:val="clear" w:color="auto"/>
        <w:rPr>
          <w:rFonts w:hint="eastAsia" w:asciiTheme="minorEastAsia" w:hAnsiTheme="minorEastAsia" w:eastAsiaTheme="minorEastAsia" w:cstheme="minorEastAsia"/>
          <w:bCs w:val="0"/>
          <w:sz w:val="32"/>
          <w:szCs w:val="20"/>
          <w:highlight w:val="none"/>
        </w:rPr>
        <w:outlineLvl w:val="9"/>
      </w:pPr>
      <w:r/>
      <w:bookmarkStart w:id="189" w:name="_Toc28657"/>
      <w:r/>
      <w:r/>
    </w:p>
    <w:p>
      <w:pPr>
        <w:pStyle w:val="1182"/>
        <w:numPr>
          <w:ilvl w:val="0"/>
          <w:numId w:val="0"/>
        </w:numPr>
        <w:jc w:val="center"/>
        <w:keepLines w:val="0"/>
        <w:keepNext w:val="0"/>
        <w:spacing w:line="360" w:lineRule="auto"/>
        <w:shd w:val="clear" w:color="auto"/>
        <w:rPr>
          <w:rFonts w:hint="eastAsia" w:asciiTheme="minorEastAsia" w:hAnsiTheme="minorEastAsia" w:eastAsiaTheme="minorEastAsia" w:cstheme="minorEastAsia"/>
          <w:bCs w:val="0"/>
          <w:sz w:val="32"/>
          <w:szCs w:val="20"/>
          <w:highlight w:val="none"/>
        </w:rPr>
        <w:outlineLvl w:val="9"/>
      </w:pPr>
      <w:r>
        <w:rPr>
          <w:rFonts w:hint="eastAsia" w:asciiTheme="minorEastAsia" w:hAnsiTheme="minorEastAsia" w:eastAsiaTheme="minorEastAsia" w:cstheme="minorEastAsia"/>
          <w:szCs w:val="21"/>
          <w:highlight w:val="none"/>
        </w:rPr>
        <w:br w:type="page" w:clear="all"/>
      </w:r>
      <w:r/>
    </w:p>
    <w:p>
      <w:pPr>
        <w:pStyle w:val="723"/>
        <w:numPr>
          <w:ilvl w:val="0"/>
          <w:numId w:val="0"/>
        </w:numPr>
        <w:ind w:left="0" w:firstLine="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highlight w:val="none"/>
          <w:lang w:val="en-US" w:eastAsia="zh-CN" w:bidi="ar-SA"/>
        </w:rPr>
        <w:t xml:space="preserve">五、</w:t>
      </w:r>
      <w:r>
        <w:rPr>
          <w:rFonts w:hint="eastAsia" w:asciiTheme="minorEastAsia" w:hAnsiTheme="minorEastAsia" w:eastAsiaTheme="minorEastAsia" w:cstheme="minorEastAsia"/>
          <w:highlight w:val="none"/>
        </w:rPr>
        <w:t xml:space="preserve">分项报价表</w:t>
      </w:r>
      <w:r>
        <w:rPr>
          <w:rFonts w:hint="eastAsia" w:asciiTheme="minorEastAsia" w:hAnsiTheme="minorEastAsia" w:eastAsiaTheme="minorEastAsia" w:cstheme="minorEastAsia"/>
          <w:bCs w:val="0"/>
          <w:sz w:val="32"/>
          <w:szCs w:val="20"/>
          <w:highlight w:val="none"/>
          <w:lang w:eastAsia="zh-CN"/>
        </w:rPr>
        <w:t xml:space="preserve">（</w:t>
      </w:r>
      <w:r>
        <w:rPr>
          <w:rFonts w:hint="eastAsia" w:asciiTheme="minorEastAsia" w:hAnsiTheme="minorEastAsia" w:eastAsiaTheme="minorEastAsia" w:cstheme="minorEastAsia"/>
          <w:bCs w:val="0"/>
          <w:sz w:val="32"/>
          <w:szCs w:val="20"/>
          <w:highlight w:val="none"/>
        </w:rPr>
        <w:t xml:space="preserve">采购包号：**）</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投标人全称（加盖 CA 电子公章）：</w:t>
      </w:r>
      <w:r/>
    </w:p>
    <w:p>
      <w:pPr>
        <w:pStyle w:val="733"/>
        <w:numPr>
          <w:ilvl w:val="0"/>
          <w:numId w:val="0"/>
        </w:num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bl>
      <w:tblPr>
        <w:tblStyle w:val="732"/>
        <w:tblpPr w:horzAnchor="page" w:tblpX="1446" w:vertAnchor="text" w:tblpY="2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695"/>
        <w:gridCol w:w="1290"/>
        <w:gridCol w:w="1095"/>
        <w:gridCol w:w="1530"/>
        <w:gridCol w:w="1020"/>
        <w:gridCol w:w="1185"/>
      </w:tblGrid>
      <w:tr>
        <w:trPr>
          <w:cantSplit/>
          <w:trHeight w:val="734"/>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eastAsia="zh-CN"/>
              </w:rPr>
              <w:t xml:space="preserve">单位</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备注</w:t>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eastAsia="zh-CN"/>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eastAsia="zh-CN"/>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781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日期：</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月</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日</w:t>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0" w:firstLine="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bookmarkEnd w:id="189"/>
      <w:r/>
    </w:p>
    <w:p>
      <w:pPr>
        <w:shd w:val="clear" w:color="auto"/>
        <w:rPr>
          <w:rFonts w:hint="eastAsia" w:asciiTheme="minorEastAsia" w:hAnsiTheme="minorEastAsia" w:eastAsiaTheme="minorEastAsia" w:cstheme="minorEastAsia"/>
          <w:bCs w:val="0"/>
          <w:sz w:val="32"/>
          <w:szCs w:val="20"/>
          <w:highlight w:val="none"/>
        </w:rPr>
      </w:pPr>
      <w:r/>
      <w:bookmarkStart w:id="190" w:name="_Toc15938"/>
      <w:r>
        <w:rPr>
          <w:rFonts w:hint="eastAsia" w:asciiTheme="minorEastAsia" w:hAnsiTheme="minorEastAsia" w:eastAsiaTheme="minorEastAsia" w:cstheme="minorEastAsia"/>
          <w:bCs w:val="0"/>
          <w:sz w:val="32"/>
          <w:szCs w:val="20"/>
          <w:highlight w:val="none"/>
        </w:rPr>
        <w:br w:type="page" w:clear="all"/>
      </w:r>
      <w:r/>
    </w:p>
    <w:p>
      <w:pPr>
        <w:pStyle w:val="1182"/>
        <w:numPr>
          <w:ilvl w:val="0"/>
          <w:numId w:val="0"/>
        </w:numPr>
        <w:jc w:val="center"/>
        <w:spacing w:line="360" w:lineRule="auto"/>
        <w:shd w:val="clear" w:color="auto"/>
        <w:rPr>
          <w:rFonts w:hint="eastAsia" w:asciiTheme="minorEastAsia" w:hAnsiTheme="minorEastAsia" w:eastAsiaTheme="minorEastAsia" w:cstheme="minorEastAsia"/>
          <w:sz w:val="32"/>
          <w:highlight w:val="none"/>
        </w:rPr>
      </w:pPr>
      <w:r>
        <w:rPr>
          <w:rFonts w:hint="eastAsia" w:asciiTheme="minorEastAsia" w:hAnsiTheme="minorEastAsia" w:eastAsiaTheme="minorEastAsia" w:cstheme="minorEastAsia"/>
          <w:bCs w:val="0"/>
          <w:sz w:val="32"/>
          <w:szCs w:val="20"/>
          <w:highlight w:val="none"/>
        </w:rPr>
        <w:t xml:space="preserve">六、技术要求响应及偏离表</w:t>
      </w:r>
      <w:bookmarkEnd w:id="190"/>
      <w:r>
        <w:rPr>
          <w:rFonts w:hint="eastAsia" w:asciiTheme="minorEastAsia" w:hAnsiTheme="minorEastAsia" w:eastAsiaTheme="minorEastAsia" w:cstheme="minorEastAsia"/>
          <w:bCs w:val="0"/>
          <w:sz w:val="32"/>
          <w:szCs w:val="20"/>
          <w:highlight w:val="none"/>
          <w:lang w:eastAsia="zh-CN"/>
        </w:rPr>
        <w:t xml:space="preserve">（</w:t>
      </w:r>
      <w:r>
        <w:rPr>
          <w:rFonts w:hint="eastAsia" w:asciiTheme="minorEastAsia" w:hAnsiTheme="minorEastAsia" w:eastAsiaTheme="minorEastAsia" w:cstheme="minorEastAsia"/>
          <w:bCs w:val="0"/>
          <w:sz w:val="32"/>
          <w:szCs w:val="20"/>
          <w:highlight w:val="none"/>
        </w:rPr>
        <w:t xml:space="preserve">采购包号：**）</w:t>
      </w:r>
      <w:r/>
    </w:p>
    <w:tbl>
      <w:tblPr>
        <w:tblStyle w:val="732"/>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序号</w:t>
            </w:r>
            <w:r/>
          </w:p>
        </w:tc>
        <w:tc>
          <w:tcPr>
            <w:tcW w:w="2551"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招标要求</w:t>
            </w:r>
            <w:r/>
          </w:p>
        </w:tc>
        <w:tc>
          <w:tcPr>
            <w:tcW w:w="2701"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投标响应</w:t>
            </w:r>
            <w:r/>
          </w:p>
        </w:tc>
        <w:tc>
          <w:tcPr>
            <w:tcW w:w="1458"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超出、符合</w:t>
            </w:r>
            <w:r/>
          </w:p>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或偏离</w:t>
            </w:r>
            <w:r/>
          </w:p>
        </w:tc>
        <w:tc>
          <w:tcPr>
            <w:tcW w:w="1210"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证明材料</w:t>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注：1、按照基本技术要求详细填列。</w:t>
      </w:r>
      <w:r/>
    </w:p>
    <w:p>
      <w:pPr>
        <w:ind w:firstLine="48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2、行数不够，可自行添加。</w:t>
      </w:r>
      <w:r/>
    </w:p>
    <w:p>
      <w:pPr>
        <w:jc w:val="left"/>
        <w:shd w:val="clear" w:color="auto"/>
        <w:widowControl/>
        <w:rPr>
          <w:rFonts w:hint="eastAsia" w:asciiTheme="minorEastAsia" w:hAnsiTheme="minorEastAsia" w:eastAsiaTheme="minorEastAsia" w:cstheme="minorEastAsia"/>
          <w:b/>
          <w:sz w:val="32"/>
          <w:highlight w:val="none"/>
        </w:rPr>
      </w:pPr>
      <w:r/>
      <w:bookmarkStart w:id="191" w:name="_Toc24534"/>
      <w:r>
        <w:rPr>
          <w:rFonts w:hint="eastAsia" w:asciiTheme="minorEastAsia" w:hAnsiTheme="minorEastAsia" w:eastAsiaTheme="minorEastAsia" w:cstheme="minorEastAsia"/>
          <w:bCs/>
          <w:sz w:val="32"/>
          <w:highlight w:val="none"/>
        </w:rPr>
        <w:br w:type="page" w:clear="all"/>
      </w:r>
      <w:r/>
    </w:p>
    <w:p>
      <w:pPr>
        <w:pStyle w:val="1182"/>
        <w:numPr>
          <w:ilvl w:val="0"/>
          <w:numId w:val="0"/>
        </w:numPr>
        <w:jc w:val="center"/>
        <w:spacing w:line="360" w:lineRule="auto"/>
        <w:shd w:val="clear" w:color="auto"/>
        <w:rPr>
          <w:rFonts w:hint="eastAsia" w:asciiTheme="minorEastAsia" w:hAnsiTheme="minorEastAsia" w:eastAsiaTheme="minorEastAsia" w:cstheme="minorEastAsia"/>
          <w:sz w:val="32"/>
          <w:highlight w:val="none"/>
        </w:rPr>
      </w:pPr>
      <w:r>
        <w:rPr>
          <w:rFonts w:hint="eastAsia" w:asciiTheme="minorEastAsia" w:hAnsiTheme="minorEastAsia" w:eastAsiaTheme="minorEastAsia" w:cstheme="minorEastAsia"/>
          <w:bCs w:val="0"/>
          <w:sz w:val="32"/>
          <w:szCs w:val="20"/>
          <w:highlight w:val="none"/>
        </w:rPr>
        <w:t xml:space="preserve">七、商务要求响应及偏离表</w:t>
      </w:r>
      <w:bookmarkEnd w:id="191"/>
      <w:r>
        <w:rPr>
          <w:rFonts w:hint="eastAsia" w:asciiTheme="minorEastAsia" w:hAnsiTheme="minorEastAsia" w:eastAsiaTheme="minorEastAsia" w:cstheme="minorEastAsia"/>
          <w:bCs w:val="0"/>
          <w:sz w:val="32"/>
          <w:szCs w:val="20"/>
          <w:highlight w:val="none"/>
        </w:rPr>
        <w:t xml:space="preserve">（采购包号：**）</w:t>
      </w:r>
      <w:r/>
    </w:p>
    <w:tbl>
      <w:tblPr>
        <w:tblStyle w:val="732"/>
        <w:tblW w:w="895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72"/>
        <w:gridCol w:w="1907"/>
        <w:gridCol w:w="2839"/>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bookmarkStart w:id="192" w:name="_Hlt26609391"/>
            <w:r/>
            <w:bookmarkEnd w:id="192"/>
            <w:r/>
            <w:bookmarkStart w:id="193" w:name="_Hlt26955056"/>
            <w:r/>
            <w:bookmarkEnd w:id="193"/>
            <w:r/>
            <w:bookmarkStart w:id="194" w:name="_Hlt26671343"/>
            <w:r/>
            <w:bookmarkEnd w:id="194"/>
            <w:r/>
            <w:bookmarkStart w:id="195" w:name="_Hlt24879081"/>
            <w:r/>
            <w:bookmarkEnd w:id="195"/>
            <w:r/>
            <w:bookmarkStart w:id="196" w:name="_Hlt26580838"/>
            <w:r/>
            <w:bookmarkEnd w:id="196"/>
            <w:r/>
            <w:bookmarkStart w:id="197" w:name="_Hlt26782999"/>
            <w:r/>
            <w:bookmarkEnd w:id="197"/>
            <w:r/>
            <w:bookmarkStart w:id="198" w:name="_Hlt26671372"/>
            <w:r/>
            <w:bookmarkEnd w:id="198"/>
            <w:r/>
            <w:bookmarkStart w:id="199" w:name="_Hlt26955064"/>
            <w:r/>
            <w:bookmarkEnd w:id="199"/>
            <w:r>
              <w:rPr>
                <w:rFonts w:hint="eastAsia" w:asciiTheme="minorEastAsia" w:hAnsiTheme="minorEastAsia" w:eastAsiaTheme="minorEastAsia" w:cstheme="minorEastAsia"/>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服务时间</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服务</w:t>
            </w:r>
            <w:r>
              <w:rPr>
                <w:rFonts w:hint="eastAsia" w:asciiTheme="minorEastAsia" w:hAnsiTheme="minorEastAsia" w:eastAsiaTheme="minorEastAsia" w:cstheme="minorEastAsia"/>
                <w:szCs w:val="21"/>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服务</w:t>
            </w:r>
            <w:r>
              <w:rPr>
                <w:rFonts w:hint="eastAsia" w:asciiTheme="minorEastAsia" w:hAnsiTheme="minorEastAsia" w:eastAsiaTheme="minorEastAsia" w:cstheme="minorEastAsia"/>
                <w:szCs w:val="21"/>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注：行数不够，可自行添加。</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hd w:val="clear" w:color="auto"/>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br w:type="page" w:clear="all"/>
      </w:r>
      <w:r/>
    </w:p>
    <w:p>
      <w:pPr>
        <w:numPr>
          <w:ilvl w:val="0"/>
          <w:numId w:val="16"/>
        </w:num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t xml:space="preserve">投标人认为应提供的其他材料</w:t>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shd w:val="clear" w:color="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br w:type="page" w:clear="all"/>
      </w:r>
      <w:r/>
    </w:p>
    <w:p>
      <w:pPr>
        <w:pStyle w:val="1094"/>
        <w:ind w:firstLine="482"/>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主要标的信息</w:t>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投标人全称：</w:t>
      </w:r>
      <w:r>
        <w:rPr>
          <w:rFonts w:hint="eastAsia" w:asciiTheme="minorEastAsia" w:hAnsiTheme="minorEastAsia" w:eastAsiaTheme="minorEastAsia" w:cstheme="minorEastAsia"/>
          <w:highlight w:val="none"/>
        </w:rPr>
        <w:t xml:space="preserve">（加盖 CA 电子公章）</w:t>
      </w:r>
      <w:r/>
    </w:p>
    <w:tbl>
      <w:tblPr>
        <w:tblStyle w:val="732"/>
        <w:tblW w:w="54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3"/>
      </w:tblGrid>
      <w:tr>
        <w:trPr>
          <w:jc w:val="center"/>
          <w:trHeight w:val="488"/>
        </w:trPr>
        <w:tc>
          <w:tcPr>
            <w:tcW w:w="5403"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服务类</w:t>
            </w:r>
            <w:r/>
          </w:p>
        </w:tc>
      </w:tr>
      <w:tr>
        <w:trPr>
          <w:jc w:val="center"/>
          <w:trHeight w:val="2670"/>
        </w:trPr>
        <w:tc>
          <w:tcPr>
            <w:tcW w:w="5403" w:type="dxa"/>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名称：</w:t>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服务范围：</w:t>
            </w:r>
            <w:r/>
          </w:p>
          <w:p>
            <w:pPr>
              <w:spacing w:line="360" w:lineRule="auto"/>
              <w:shd w:val="clear" w:color="auto"/>
              <w:rPr>
                <w:rFonts w:hint="eastAsia"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 xml:space="preserve">服务要求：</w:t>
            </w:r>
            <w:r/>
          </w:p>
          <w:p>
            <w:pPr>
              <w:spacing w:line="360" w:lineRule="auto"/>
              <w:shd w:val="clear" w:color="auto"/>
              <w:rPr>
                <w:rFonts w:hint="eastAsia"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 xml:space="preserve">服务时间：</w:t>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服务标准：</w:t>
            </w:r>
            <w:r/>
          </w:p>
        </w:tc>
      </w:tr>
    </w:tbl>
    <w:p>
      <w:pPr>
        <w:pStyle w:val="1094"/>
        <w:ind w:firstLine="0"/>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注：请如实填写所投内容，此信息为中标公告组成部分，若为中标人将公示信息。</w:t>
      </w:r>
      <w:r/>
    </w:p>
    <w:p>
      <w:pPr>
        <w:ind w:firstLine="241"/>
        <w:jc w:val="center"/>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Calibri">
    <w:panose1 w:val="020F0502020204030204"/>
  </w:font>
  <w:font w:name="方正大黑简体">
    <w:panose1 w:val="020B0503020202020204"/>
  </w:font>
  <w:font w:name="楷体_GB2312">
    <w:panose1 w:val="02010609060101010101"/>
  </w:font>
  <w:font w:name="宋体_GB2312">
    <w:panose1 w:val="0201060003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
  </w:p>
  <w:p>
    <w:pPr>
      <w:pStyle w:val="752"/>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left"/>
      <w:rPr>
        <w:rFonts w:hint="eastAsia" w:eastAsia="宋体"/>
        <w:lang w:eastAsia="zh-CN"/>
      </w:rPr>
    </w:pPr>
    <w:r>
      <w:rPr>
        <w:rFonts w:hint="eastAsia" w:ascii="宋体" w:hAnsi="宋体" w:cs="宋体"/>
        <w:szCs w:val="21"/>
        <w:lang w:eastAsia="zh-CN"/>
      </w:rPr>
      <w:t xml:space="preserve">YZSJ-20260501</w:t>
    </w:r>
    <w:r>
      <w:rPr>
        <w:rFonts w:hint="eastAsia"/>
      </w:rPr>
      <w:t xml:space="preserve">                                                 </w:t>
    </w:r>
    <w:r>
      <w:rPr>
        <w:rFonts w:hint="eastAsia"/>
        <w:lang w:eastAsia="zh-CN"/>
      </w:rPr>
      <w:t xml:space="preserve">扬州苏建工程管理有限公司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hint="eastAsia"/>
      </w:rPr>
      <w:pBdr>
        <w:bottom w:val="none" w:color="auto"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rFonts w:hint="eastAsia"/>
        <w:highlight w:val="none"/>
        <w:lang w:val="en-US" w:eastAsia="zh-CN"/>
      </w:rPr>
      <w:t xml:space="preserve">JSZC-321000-SJGG-G2026-0002</w:t>
    </w:r>
    <w:r>
      <w:rPr>
        <w:rFonts w:hint="eastAsia"/>
        <w:lang w:val="en-US" w:eastAsia="zh-CN"/>
      </w:rPr>
      <w:t xml:space="preserve">                                                         </w:t>
    </w:r>
    <w:r>
      <w:rPr>
        <w:rFonts w:hint="eastAsia"/>
      </w:rPr>
      <w:t xml:space="preserve">扬州苏建工程管理有限公司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9"/>
      <w:isLgl w:val="false"/>
      <w:suff w:val="tab"/>
      <w:lvlText w:val="%1、"/>
      <w:lvlJc w:val="left"/>
      <w:pPr>
        <w:ind w:left="360" w:hanging="360"/>
      </w:pPr>
      <w:rPr>
        <w:rFonts w:hint="default"/>
      </w:rPr>
    </w:lvl>
    <w:lvl w:ilvl="1">
      <w:start w:val="1"/>
      <w:numFmt w:val="lowerLetter"/>
      <w:pStyle w:val="1120"/>
      <w:isLgl w:val="false"/>
      <w:suff w:val="tab"/>
      <w:lvlText w:val="%2)"/>
      <w:lvlJc w:val="left"/>
      <w:pPr>
        <w:ind w:left="840" w:hanging="420"/>
      </w:pPr>
    </w:lvl>
    <w:lvl w:ilvl="2">
      <w:start w:val="1"/>
      <w:numFmt w:val="lowerRoman"/>
      <w:pStyle w:val="1121"/>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08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079"/>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090"/>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3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25"/>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decimal"/>
      <w:pStyle w:val="1100"/>
      <w:isLgl w:val="false"/>
      <w:suff w:val="tab"/>
      <w:lvlText w:val="%1."/>
      <w:lvlJc w:val="left"/>
      <w:pPr>
        <w:ind w:left="631" w:hanging="420"/>
        <w:tabs>
          <w:tab w:val="left" w:pos="631" w:leader="none"/>
        </w:tabs>
      </w:pPr>
      <w:rPr>
        <w:rFonts w:hint="eastAsia"/>
      </w:rPr>
    </w:lvl>
    <w:lvl w:ilvl="1">
      <w:start w:val="4"/>
      <w:numFmt w:val="decimal"/>
      <w:isLgl w:val="false"/>
      <w:suff w:val="tab"/>
      <w:lvlText w:val="%2、"/>
      <w:lvlJc w:val="left"/>
      <w:pPr>
        <w:ind w:left="780" w:hanging="360"/>
        <w:tabs>
          <w:tab w:val="left" w:pos="780" w:leader="none"/>
        </w:tabs>
      </w:pPr>
      <w:rPr>
        <w:rFonts w:hint="default"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09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92"/>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69"/>
      <w:isLgl w:val="false"/>
      <w:suff w:val="tab"/>
      <w:lvlText w:val="%1."/>
      <w:lvlJc w:val="left"/>
      <w:pPr>
        <w:ind w:left="425" w:hanging="425"/>
      </w:pPr>
    </w:lvl>
    <w:lvl w:ilvl="1">
      <w:start w:val="1"/>
      <w:numFmt w:val="decimal"/>
      <w:pStyle w:val="1170"/>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宋体" w:hAnsi="宋体"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1"/>
      <w:numFmt w:val="bullet"/>
      <w:pStyle w:val="978"/>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pStyle w:val="1171"/>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4">
    <w:multiLevelType w:val="hybridMultilevel"/>
    <w:lvl w:ilvl="0">
      <w:start w:val="1"/>
      <w:numFmt w:val="chineseCountingThousand"/>
      <w:isLgl w:val="false"/>
      <w:suff w:val="tab"/>
      <w:lvlText w:val="%1、"/>
      <w:lvlJc w:val="left"/>
      <w:pPr>
        <w:ind w:left="431" w:hanging="431"/>
      </w:pPr>
      <w:rPr>
        <w:rFonts w:cs="Times New Roman"/>
        <w:b/>
        <w:i w:val="0"/>
        <w:iCs w:val="0"/>
        <w:caps w:val="0"/>
        <w:vanish w:val="0"/>
        <w:spacing w:val="0"/>
        <w:position w:val="0"/>
        <w:sz w:val="21"/>
        <w:szCs w:val="32"/>
        <w:u w:val="none"/>
        <w:vertAlign w:val="baseline"/>
      </w:rPr>
    </w:lvl>
    <w:lvl w:ilvl="1">
      <w:start w:val="1"/>
      <w:numFmt w:val="decimal"/>
      <w:pStyle w:val="1182"/>
      <w:isLgl w:val="false"/>
      <w:suff w:val="space"/>
      <w:lvlText w:val="%1.%2"/>
      <w:lvlJc w:val="left"/>
      <w:pPr>
        <w:ind w:left="851" w:hanging="567"/>
      </w:pPr>
      <w:rPr>
        <w:rFonts w:ascii="Arial" w:hAnsi="Arial" w:eastAsia="黑体"/>
        <w:b/>
        <w:i w:val="0"/>
        <w:sz w:val="28"/>
        <w:szCs w:val="28"/>
      </w:rPr>
    </w:lvl>
    <w:lvl w:ilvl="2">
      <w:start w:val="1"/>
      <w:numFmt w:val="decimal"/>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decimal"/>
      <w:pStyle w:val="109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3"/>
  </w:num>
  <w:num w:numId="4">
    <w:abstractNumId w:val="2"/>
  </w:num>
  <w:num w:numId="5">
    <w:abstractNumId w:val="1"/>
  </w:num>
  <w:num w:numId="6">
    <w:abstractNumId w:val="9"/>
  </w:num>
  <w:num w:numId="7">
    <w:abstractNumId w:val="11"/>
  </w:num>
  <w:num w:numId="8">
    <w:abstractNumId w:val="15"/>
  </w:num>
  <w:num w:numId="9">
    <w:abstractNumId w:val="8"/>
  </w:num>
  <w:num w:numId="10">
    <w:abstractNumId w:val="0"/>
  </w:num>
  <w:num w:numId="11">
    <w:abstractNumId w:val="12"/>
  </w:num>
  <w:num w:numId="12">
    <w:abstractNumId w:val="14"/>
  </w:num>
  <w:num w:numId="13">
    <w:abstractNumId w:val="4"/>
  </w:num>
  <w:num w:numId="14">
    <w:abstractNumId w:val="10"/>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92"/>
    <w:uiPriority w:val="29"/>
    <w:rPr>
      <w:i/>
    </w:rPr>
  </w:style>
  <w:style w:type="character" w:styleId="40">
    <w:name w:val="Intense Quote Char"/>
    <w:link w:val="794"/>
    <w:uiPriority w:val="30"/>
    <w:rPr>
      <w:i/>
    </w:r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8"/>
    <w:uiPriority w:val="99"/>
    <w:rPr>
      <w:sz w:val="18"/>
    </w:rPr>
  </w:style>
  <w:style w:type="character" w:styleId="178">
    <w:name w:val="Endnote Text Char"/>
    <w:link w:val="750"/>
    <w:uiPriority w:val="99"/>
    <w:rPr>
      <w:sz w:val="20"/>
    </w:rPr>
  </w:style>
  <w:style w:type="paragraph" w:styleId="189">
    <w:name w:val="TOC Heading"/>
    <w:uiPriority w:val="39"/>
    <w:unhideWhenUsed/>
  </w:style>
  <w:style w:type="paragraph" w:styleId="72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22">
    <w:name w:val="Heading 1"/>
    <w:basedOn w:val="721"/>
    <w:next w:val="721"/>
    <w:link w:val="928"/>
    <w:uiPriority w:val="9"/>
    <w:qFormat/>
    <w:pPr>
      <w:keepLines/>
      <w:keepNext/>
      <w:spacing w:before="340" w:after="330" w:line="576" w:lineRule="auto"/>
      <w:outlineLvl w:val="0"/>
    </w:pPr>
    <w:rPr>
      <w:b/>
      <w:sz w:val="44"/>
    </w:rPr>
  </w:style>
  <w:style w:type="paragraph" w:styleId="723">
    <w:name w:val="Heading 2"/>
    <w:basedOn w:val="721"/>
    <w:next w:val="733"/>
    <w:link w:val="930"/>
    <w:uiPriority w:val="0"/>
    <w:qFormat/>
    <w:pPr>
      <w:keepLines/>
      <w:keepNext/>
      <w:spacing w:before="260" w:after="260" w:line="413" w:lineRule="auto"/>
      <w:outlineLvl w:val="1"/>
    </w:pPr>
    <w:rPr>
      <w:rFonts w:ascii="Arial" w:hAnsi="Arial" w:eastAsia="黑体"/>
      <w:b/>
      <w:sz w:val="32"/>
    </w:rPr>
  </w:style>
  <w:style w:type="paragraph" w:styleId="724">
    <w:name w:val="Heading 3"/>
    <w:basedOn w:val="721"/>
    <w:next w:val="721"/>
    <w:link w:val="931"/>
    <w:uiPriority w:val="9"/>
    <w:qFormat/>
    <w:pPr>
      <w:keepLines/>
      <w:keepNext/>
      <w:spacing w:line="240" w:lineRule="auto"/>
      <w:outlineLvl w:val="2"/>
    </w:pPr>
    <w:rPr>
      <w:rFonts w:ascii="Times New Roman" w:hAnsi="Times New Roman" w:eastAsia="宋体"/>
      <w:b/>
    </w:rPr>
  </w:style>
  <w:style w:type="paragraph" w:styleId="725">
    <w:name w:val="Heading 4"/>
    <w:basedOn w:val="721"/>
    <w:next w:val="721"/>
    <w:link w:val="927"/>
    <w:uiPriority w:val="0"/>
    <w:qFormat/>
    <w:pPr>
      <w:numPr>
        <w:ilvl w:val="0"/>
        <w:numId w:val="1"/>
      </w:numPr>
      <w:ind w:hanging="720"/>
      <w:keepNext/>
      <w:spacing w:line="360" w:lineRule="auto"/>
      <w:tabs>
        <w:tab w:val="clear" w:pos="360" w:leader="none"/>
      </w:tabs>
      <w:outlineLvl w:val="3"/>
    </w:pPr>
    <w:rPr>
      <w:rFonts w:ascii="宋体" w:hAnsi="宋体"/>
      <w:b/>
      <w:sz w:val="24"/>
      <w:u w:val="single"/>
    </w:rPr>
  </w:style>
  <w:style w:type="paragraph" w:styleId="726">
    <w:name w:val="Heading 5"/>
    <w:basedOn w:val="721"/>
    <w:next w:val="721"/>
    <w:link w:val="932"/>
    <w:uiPriority w:val="9"/>
    <w:qFormat/>
    <w:pPr>
      <w:keepLines/>
      <w:keepNext/>
      <w:spacing w:before="280" w:after="290" w:line="376" w:lineRule="atLeast"/>
      <w:outlineLvl w:val="4"/>
    </w:pPr>
    <w:rPr>
      <w:b/>
      <w:sz w:val="28"/>
    </w:rPr>
  </w:style>
  <w:style w:type="paragraph" w:styleId="727">
    <w:name w:val="Heading 6"/>
    <w:basedOn w:val="721"/>
    <w:next w:val="721"/>
    <w:link w:val="933"/>
    <w:uiPriority w:val="0"/>
    <w:qFormat/>
    <w:pPr>
      <w:keepLines/>
      <w:keepNext/>
      <w:spacing w:before="240" w:after="64" w:line="320" w:lineRule="atLeast"/>
      <w:outlineLvl w:val="5"/>
    </w:pPr>
    <w:rPr>
      <w:rFonts w:ascii="Arial" w:hAnsi="Arial" w:eastAsia="黑体"/>
      <w:b/>
      <w:sz w:val="24"/>
    </w:rPr>
  </w:style>
  <w:style w:type="paragraph" w:styleId="728">
    <w:name w:val="Heading 7"/>
    <w:basedOn w:val="721"/>
    <w:next w:val="721"/>
    <w:link w:val="934"/>
    <w:uiPriority w:val="0"/>
    <w:qFormat/>
    <w:pPr>
      <w:keepLines/>
      <w:keepNext/>
      <w:spacing w:before="240" w:after="64" w:line="320" w:lineRule="atLeast"/>
      <w:outlineLvl w:val="6"/>
    </w:pPr>
    <w:rPr>
      <w:b/>
      <w:sz w:val="24"/>
    </w:rPr>
  </w:style>
  <w:style w:type="paragraph" w:styleId="729">
    <w:name w:val="Heading 8"/>
    <w:basedOn w:val="721"/>
    <w:next w:val="721"/>
    <w:link w:val="935"/>
    <w:uiPriority w:val="0"/>
    <w:qFormat/>
    <w:pPr>
      <w:keepLines/>
      <w:keepNext/>
      <w:spacing w:before="240" w:after="64" w:line="320" w:lineRule="atLeast"/>
      <w:outlineLvl w:val="7"/>
    </w:pPr>
    <w:rPr>
      <w:rFonts w:ascii="Arial" w:hAnsi="Arial" w:eastAsia="黑体"/>
      <w:sz w:val="24"/>
    </w:rPr>
  </w:style>
  <w:style w:type="paragraph" w:styleId="730">
    <w:name w:val="Heading 9"/>
    <w:basedOn w:val="721"/>
    <w:next w:val="721"/>
    <w:link w:val="936"/>
    <w:uiPriority w:val="0"/>
    <w:qFormat/>
    <w:pPr>
      <w:keepLines/>
      <w:keepNext/>
      <w:spacing w:before="240" w:after="64" w:line="320" w:lineRule="atLeast"/>
      <w:outlineLvl w:val="8"/>
    </w:pPr>
    <w:rPr>
      <w:rFonts w:ascii="Arial" w:hAnsi="Arial" w:eastAsia="黑体"/>
      <w:sz w:val="20"/>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1"/>
    <w:link w:val="929"/>
    <w:uiPriority w:val="99"/>
    <w:qFormat/>
    <w:pPr>
      <w:ind w:firstLine="420"/>
    </w:pPr>
    <w:rPr>
      <w:rFonts w:eastAsia="楷体_GB2312"/>
      <w:sz w:val="24"/>
    </w:rPr>
  </w:style>
  <w:style w:type="paragraph" w:styleId="734">
    <w:name w:val="toc 7"/>
    <w:basedOn w:val="721"/>
    <w:next w:val="721"/>
    <w:uiPriority w:val="0"/>
    <w:qFormat/>
    <w:pPr>
      <w:ind w:left="1260"/>
    </w:pPr>
    <w:rPr>
      <w:sz w:val="18"/>
    </w:rPr>
  </w:style>
  <w:style w:type="paragraph" w:styleId="735">
    <w:name w:val="Caption"/>
    <w:basedOn w:val="721"/>
    <w:next w:val="721"/>
    <w:uiPriority w:val="0"/>
    <w:qFormat/>
    <w:pPr>
      <w:jc w:val="center"/>
      <w:spacing w:line="360" w:lineRule="auto"/>
    </w:pPr>
    <w:rPr>
      <w:rFonts w:ascii="宋体" w:hAnsi="宋体" w:cs="宋体"/>
      <w:i/>
      <w:sz w:val="18"/>
      <w:szCs w:val="18"/>
    </w:rPr>
  </w:style>
  <w:style w:type="paragraph" w:styleId="736">
    <w:name w:val="List Bullet"/>
    <w:basedOn w:val="721"/>
    <w:uiPriority w:val="0"/>
    <w:qFormat/>
    <w:pPr>
      <w:numPr>
        <w:ilvl w:val="0"/>
        <w:numId w:val="2"/>
      </w:numPr>
    </w:pPr>
    <w:rPr>
      <w:rFonts w:eastAsia="仿宋_GB2312"/>
      <w:sz w:val="30"/>
    </w:rPr>
  </w:style>
  <w:style w:type="paragraph" w:styleId="737">
    <w:name w:val="Document Map"/>
    <w:basedOn w:val="721"/>
    <w:link w:val="937"/>
    <w:uiPriority w:val="0"/>
    <w:qFormat/>
    <w:pPr>
      <w:shd w:val="clear" w:color="auto" w:fill="000080"/>
    </w:pPr>
    <w:rPr>
      <w:sz w:val="20"/>
      <w:shd w:val="clear" w:color="auto" w:fill="000080"/>
    </w:rPr>
  </w:style>
  <w:style w:type="paragraph" w:styleId="738">
    <w:name w:val="annotation text"/>
    <w:basedOn w:val="721"/>
    <w:link w:val="938"/>
    <w:uiPriority w:val="99"/>
    <w:qFormat/>
    <w:rPr>
      <w:sz w:val="20"/>
    </w:rPr>
  </w:style>
  <w:style w:type="paragraph" w:styleId="739">
    <w:name w:val="Body Text 3"/>
    <w:basedOn w:val="721"/>
    <w:link w:val="939"/>
    <w:uiPriority w:val="0"/>
    <w:qFormat/>
    <w:pPr>
      <w:spacing w:after="120"/>
    </w:pPr>
    <w:rPr>
      <w:sz w:val="16"/>
    </w:rPr>
  </w:style>
  <w:style w:type="paragraph" w:styleId="740">
    <w:name w:val="Body Text"/>
    <w:basedOn w:val="721"/>
    <w:link w:val="940"/>
    <w:uiPriority w:val="0"/>
    <w:qFormat/>
    <w:rPr>
      <w:rFonts w:ascii="方正大黑简体" w:eastAsia="方正大黑简体"/>
      <w:position w:val="6"/>
      <w:sz w:val="30"/>
    </w:rPr>
  </w:style>
  <w:style w:type="paragraph" w:styleId="741">
    <w:name w:val="Body Text Indent"/>
    <w:basedOn w:val="721"/>
    <w:next w:val="742"/>
    <w:link w:val="941"/>
    <w:uiPriority w:val="0"/>
    <w:qFormat/>
    <w:pPr>
      <w:ind w:left="570"/>
      <w:spacing w:line="520" w:lineRule="exact"/>
    </w:pPr>
    <w:rPr>
      <w:rFonts w:ascii="方正仿宋简体" w:hAnsi="创艺简仿宋" w:eastAsia="方正仿宋简体"/>
      <w:sz w:val="24"/>
    </w:rPr>
  </w:style>
  <w:style w:type="paragraph" w:styleId="742">
    <w:name w:val="envelope return"/>
    <w:basedOn w:val="721"/>
    <w:uiPriority w:val="0"/>
    <w:qFormat/>
    <w:rPr>
      <w:rFonts w:ascii="Arial" w:hAnsi="Arial"/>
    </w:rPr>
  </w:style>
  <w:style w:type="paragraph" w:styleId="743">
    <w:name w:val="index 4"/>
    <w:basedOn w:val="721"/>
    <w:next w:val="721"/>
    <w:uiPriority w:val="0"/>
    <w:qFormat/>
    <w:pPr>
      <w:ind w:left="600"/>
    </w:pPr>
    <w:rPr>
      <w:rFonts w:ascii="Calibri" w:hAnsi="Calibri"/>
    </w:rPr>
  </w:style>
  <w:style w:type="paragraph" w:styleId="744">
    <w:name w:val="toc 5"/>
    <w:basedOn w:val="721"/>
    <w:next w:val="721"/>
    <w:uiPriority w:val="0"/>
    <w:qFormat/>
    <w:pPr>
      <w:ind w:left="840"/>
    </w:pPr>
    <w:rPr>
      <w:sz w:val="18"/>
    </w:rPr>
  </w:style>
  <w:style w:type="paragraph" w:styleId="745">
    <w:name w:val="toc 3"/>
    <w:basedOn w:val="721"/>
    <w:next w:val="721"/>
    <w:uiPriority w:val="39"/>
    <w:qFormat/>
    <w:pPr>
      <w:ind w:left="420"/>
    </w:pPr>
    <w:rPr>
      <w:i/>
      <w:sz w:val="20"/>
    </w:rPr>
  </w:style>
  <w:style w:type="paragraph" w:styleId="746">
    <w:name w:val="Plain Text"/>
    <w:basedOn w:val="721"/>
    <w:link w:val="942"/>
    <w:uiPriority w:val="0"/>
    <w:qFormat/>
    <w:rPr>
      <w:rFonts w:ascii="宋体" w:hAnsi="Courier New" w:eastAsia="楷体_GB2312"/>
      <w:sz w:val="28"/>
    </w:rPr>
  </w:style>
  <w:style w:type="paragraph" w:styleId="747">
    <w:name w:val="toc 8"/>
    <w:basedOn w:val="721"/>
    <w:next w:val="721"/>
    <w:uiPriority w:val="0"/>
    <w:qFormat/>
    <w:pPr>
      <w:ind w:left="1470"/>
    </w:pPr>
    <w:rPr>
      <w:sz w:val="18"/>
    </w:rPr>
  </w:style>
  <w:style w:type="paragraph" w:styleId="748">
    <w:name w:val="Date"/>
    <w:basedOn w:val="721"/>
    <w:next w:val="721"/>
    <w:link w:val="943"/>
    <w:uiPriority w:val="0"/>
    <w:qFormat/>
    <w:rPr>
      <w:rFonts w:ascii="宋体" w:hAnsi="宋体" w:eastAsia="楷体_GB2312"/>
      <w:sz w:val="24"/>
    </w:rPr>
  </w:style>
  <w:style w:type="paragraph" w:styleId="749">
    <w:name w:val="Body Text Indent 2"/>
    <w:basedOn w:val="721"/>
    <w:link w:val="944"/>
    <w:uiPriority w:val="0"/>
    <w:qFormat/>
    <w:pPr>
      <w:ind w:firstLine="540"/>
      <w:spacing w:line="360" w:lineRule="auto"/>
    </w:pPr>
    <w:rPr>
      <w:rFonts w:ascii="宋体" w:hAnsi="宋体"/>
      <w:sz w:val="24"/>
    </w:rPr>
  </w:style>
  <w:style w:type="paragraph" w:styleId="750">
    <w:name w:val="endnote text"/>
    <w:basedOn w:val="721"/>
    <w:link w:val="925"/>
    <w:uiPriority w:val="99"/>
    <w:semiHidden/>
    <w:unhideWhenUsed/>
    <w:qFormat/>
    <w:rPr>
      <w:sz w:val="20"/>
    </w:rPr>
  </w:style>
  <w:style w:type="paragraph" w:styleId="751">
    <w:name w:val="Balloon Text"/>
    <w:basedOn w:val="721"/>
    <w:link w:val="945"/>
    <w:uiPriority w:val="99"/>
    <w:qFormat/>
    <w:rPr>
      <w:sz w:val="18"/>
    </w:rPr>
  </w:style>
  <w:style w:type="paragraph" w:styleId="752">
    <w:name w:val="Footer"/>
    <w:basedOn w:val="721"/>
    <w:link w:val="946"/>
    <w:uiPriority w:val="99"/>
    <w:qFormat/>
    <w:pPr>
      <w:tabs>
        <w:tab w:val="center" w:pos="4153" w:leader="none"/>
        <w:tab w:val="right" w:pos="8306" w:leader="none"/>
      </w:tabs>
    </w:pPr>
    <w:rPr>
      <w:rFonts w:ascii="Calibri" w:hAnsi="Calibri"/>
      <w:sz w:val="18"/>
    </w:rPr>
  </w:style>
  <w:style w:type="paragraph" w:styleId="753">
    <w:name w:val="Header"/>
    <w:basedOn w:val="721"/>
    <w:link w:val="947"/>
    <w:uiPriority w:val="99"/>
    <w:qFormat/>
    <w:pPr>
      <w:tabs>
        <w:tab w:val="center" w:pos="4153" w:leader="none"/>
        <w:tab w:val="right" w:pos="8306" w:leader="none"/>
      </w:tabs>
      <w:pBdr>
        <w:bottom w:val="single" w:color="auto" w:sz="6" w:space="1"/>
      </w:pBdr>
    </w:pPr>
    <w:rPr>
      <w:rFonts w:ascii="Calibri" w:hAnsi="Calibri"/>
      <w:sz w:val="18"/>
    </w:rPr>
  </w:style>
  <w:style w:type="paragraph" w:styleId="754">
    <w:name w:val="toc 1"/>
    <w:basedOn w:val="721"/>
    <w:next w:val="721"/>
    <w:uiPriority w:val="39"/>
    <w:qFormat/>
    <w:pPr>
      <w:spacing w:before="120" w:after="120"/>
      <w:tabs>
        <w:tab w:val="right" w:pos="8302" w:leader="dot"/>
      </w:tabs>
    </w:pPr>
    <w:rPr>
      <w:rFonts w:ascii="宋体" w:hAnsi="宋体" w:eastAsia="黑体"/>
      <w:caps/>
      <w:sz w:val="20"/>
    </w:rPr>
  </w:style>
  <w:style w:type="paragraph" w:styleId="755">
    <w:name w:val="toc 4"/>
    <w:basedOn w:val="721"/>
    <w:next w:val="721"/>
    <w:uiPriority w:val="39"/>
    <w:qFormat/>
    <w:pPr>
      <w:ind w:left="630"/>
    </w:pPr>
    <w:rPr>
      <w:sz w:val="18"/>
    </w:rPr>
  </w:style>
  <w:style w:type="paragraph" w:styleId="756">
    <w:name w:val="Subtitle"/>
    <w:basedOn w:val="721"/>
    <w:next w:val="721"/>
    <w:link w:val="948"/>
    <w:uiPriority w:val="11"/>
    <w:qFormat/>
    <w:pPr>
      <w:jc w:val="center"/>
      <w:spacing w:before="240" w:after="60" w:line="312" w:lineRule="auto"/>
      <w:outlineLvl w:val="1"/>
    </w:pPr>
    <w:rPr>
      <w:rFonts w:ascii="宋体" w:hAnsi="宋体"/>
      <w:b/>
      <w:bCs/>
      <w:sz w:val="32"/>
      <w:szCs w:val="32"/>
    </w:rPr>
  </w:style>
  <w:style w:type="paragraph" w:styleId="757">
    <w:name w:val="List"/>
    <w:basedOn w:val="721"/>
    <w:uiPriority w:val="0"/>
    <w:qFormat/>
    <w:pPr>
      <w:ind w:left="200" w:hanging="200"/>
    </w:pPr>
    <w:rPr>
      <w:sz w:val="28"/>
    </w:rPr>
  </w:style>
  <w:style w:type="paragraph" w:styleId="758">
    <w:name w:val="footnote text"/>
    <w:basedOn w:val="721"/>
    <w:link w:val="924"/>
    <w:uiPriority w:val="99"/>
    <w:semiHidden/>
    <w:unhideWhenUsed/>
    <w:qFormat/>
    <w:pPr>
      <w:spacing w:after="40"/>
    </w:pPr>
    <w:rPr>
      <w:sz w:val="18"/>
    </w:rPr>
  </w:style>
  <w:style w:type="paragraph" w:styleId="759">
    <w:name w:val="toc 6"/>
    <w:basedOn w:val="721"/>
    <w:next w:val="721"/>
    <w:uiPriority w:val="0"/>
    <w:qFormat/>
    <w:pPr>
      <w:ind w:left="1050"/>
    </w:pPr>
    <w:rPr>
      <w:sz w:val="18"/>
    </w:rPr>
  </w:style>
  <w:style w:type="paragraph" w:styleId="760">
    <w:name w:val="Body Text Indent 3"/>
    <w:basedOn w:val="721"/>
    <w:link w:val="949"/>
    <w:uiPriority w:val="0"/>
    <w:qFormat/>
    <w:pPr>
      <w:ind w:left="420"/>
      <w:spacing w:after="120"/>
    </w:pPr>
    <w:rPr>
      <w:sz w:val="16"/>
    </w:rPr>
  </w:style>
  <w:style w:type="paragraph" w:styleId="761">
    <w:name w:val="table of figures"/>
    <w:basedOn w:val="721"/>
    <w:next w:val="721"/>
    <w:uiPriority w:val="99"/>
    <w:unhideWhenUsed/>
    <w:qFormat/>
  </w:style>
  <w:style w:type="paragraph" w:styleId="762">
    <w:name w:val="toc 2"/>
    <w:basedOn w:val="721"/>
    <w:next w:val="721"/>
    <w:uiPriority w:val="39"/>
    <w:qFormat/>
    <w:pPr>
      <w:ind w:left="210"/>
    </w:pPr>
    <w:rPr>
      <w:smallCaps/>
      <w:sz w:val="20"/>
    </w:rPr>
  </w:style>
  <w:style w:type="paragraph" w:styleId="763">
    <w:name w:val="toc 9"/>
    <w:basedOn w:val="721"/>
    <w:next w:val="721"/>
    <w:uiPriority w:val="0"/>
    <w:qFormat/>
    <w:pPr>
      <w:ind w:left="1680"/>
    </w:pPr>
    <w:rPr>
      <w:sz w:val="18"/>
    </w:rPr>
  </w:style>
  <w:style w:type="paragraph" w:styleId="764">
    <w:name w:val="Body Text 2"/>
    <w:basedOn w:val="721"/>
    <w:link w:val="950"/>
    <w:uiPriority w:val="0"/>
    <w:qFormat/>
    <w:rPr>
      <w:rFonts w:ascii="仿宋_GB2312" w:hAnsi="宋体" w:eastAsia="仿宋_GB2312"/>
      <w:spacing w:val="20"/>
      <w:sz w:val="24"/>
    </w:rPr>
  </w:style>
  <w:style w:type="paragraph" w:styleId="765">
    <w:name w:val="Normal (Web)"/>
    <w:basedOn w:val="721"/>
    <w:uiPriority w:val="0"/>
    <w:qFormat/>
    <w:pPr>
      <w:spacing w:before="100" w:beforeAutospacing="1" w:after="100" w:afterAutospacing="1"/>
      <w:widowControl/>
    </w:pPr>
    <w:rPr>
      <w:rFonts w:hint="eastAsia" w:ascii="宋体" w:hAnsi="宋体"/>
      <w:sz w:val="24"/>
    </w:rPr>
  </w:style>
  <w:style w:type="paragraph" w:styleId="766">
    <w:name w:val="index 1"/>
    <w:basedOn w:val="721"/>
    <w:next w:val="721"/>
    <w:uiPriority w:val="0"/>
    <w:qFormat/>
    <w:rPr>
      <w:rFonts w:eastAsia="楷体_GB2312"/>
      <w:sz w:val="28"/>
    </w:rPr>
  </w:style>
  <w:style w:type="paragraph" w:styleId="767">
    <w:name w:val="Title"/>
    <w:basedOn w:val="721"/>
    <w:link w:val="951"/>
    <w:uiPriority w:val="10"/>
    <w:qFormat/>
    <w:pPr>
      <w:jc w:val="center"/>
      <w:spacing w:before="240" w:after="60"/>
      <w:outlineLvl w:val="0"/>
    </w:pPr>
    <w:rPr>
      <w:rFonts w:ascii="Cambria" w:hAnsi="Cambria"/>
      <w:b/>
      <w:bCs/>
      <w:sz w:val="32"/>
      <w:szCs w:val="32"/>
    </w:rPr>
  </w:style>
  <w:style w:type="paragraph" w:styleId="768">
    <w:name w:val="annotation subject"/>
    <w:basedOn w:val="738"/>
    <w:next w:val="738"/>
    <w:link w:val="952"/>
    <w:uiPriority w:val="99"/>
    <w:qFormat/>
    <w:rPr>
      <w:b/>
    </w:rPr>
  </w:style>
  <w:style w:type="paragraph" w:styleId="769">
    <w:name w:val="Body Text First Indent"/>
    <w:basedOn w:val="740"/>
    <w:link w:val="953"/>
    <w:uiPriority w:val="0"/>
    <w:qFormat/>
    <w:pPr>
      <w:ind w:firstLine="420"/>
      <w:spacing w:after="120"/>
    </w:pPr>
    <w:rPr>
      <w:rFonts w:ascii="Times New Roman" w:eastAsia="楷体_GB2312"/>
      <w:sz w:val="28"/>
    </w:rPr>
  </w:style>
  <w:style w:type="paragraph" w:styleId="770">
    <w:name w:val="Body Text First Indent 2"/>
    <w:basedOn w:val="741"/>
    <w:link w:val="954"/>
    <w:uiPriority w:val="0"/>
    <w:qFormat/>
    <w:pPr>
      <w:ind w:left="420" w:firstLine="420"/>
      <w:spacing w:after="120" w:line="240" w:lineRule="auto"/>
    </w:pPr>
    <w:rPr>
      <w:rFonts w:ascii="Times New Roman" w:hAnsi="Times New Roman" w:eastAsia="宋体"/>
      <w:sz w:val="21"/>
    </w:rPr>
  </w:style>
  <w:style w:type="table" w:styleId="771">
    <w:name w:val="Table Grid"/>
    <w:basedOn w:val="7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99"/>
    <w:qFormat/>
    <w:rPr>
      <w:b/>
      <w:bCs/>
    </w:rPr>
  </w:style>
  <w:style w:type="character" w:styleId="773">
    <w:name w:val="endnote reference"/>
    <w:basedOn w:val="731"/>
    <w:uiPriority w:val="99"/>
    <w:semiHidden/>
    <w:unhideWhenUsed/>
    <w:qFormat/>
    <w:rPr>
      <w:vertAlign w:val="superscript"/>
    </w:rPr>
  </w:style>
  <w:style w:type="character" w:styleId="774">
    <w:name w:val="page number"/>
    <w:basedOn w:val="731"/>
    <w:uiPriority w:val="0"/>
    <w:qFormat/>
  </w:style>
  <w:style w:type="character" w:styleId="775">
    <w:name w:val="FollowedHyperlink"/>
    <w:uiPriority w:val="99"/>
    <w:qFormat/>
    <w:rPr>
      <w:color w:val="800080"/>
      <w:u w:val="single"/>
    </w:rPr>
  </w:style>
  <w:style w:type="character" w:styleId="776">
    <w:name w:val="Emphasis"/>
    <w:basedOn w:val="731"/>
    <w:uiPriority w:val="20"/>
    <w:qFormat/>
    <w:rPr>
      <w:i/>
    </w:rPr>
  </w:style>
  <w:style w:type="character" w:styleId="777">
    <w:name w:val="Hyperlink"/>
    <w:uiPriority w:val="99"/>
    <w:qFormat/>
    <w:rPr>
      <w:color w:val="0000ff"/>
      <w:u w:val="single"/>
    </w:rPr>
  </w:style>
  <w:style w:type="character" w:styleId="778">
    <w:name w:val="annotation reference"/>
    <w:uiPriority w:val="99"/>
    <w:qFormat/>
    <w:rPr>
      <w:sz w:val="21"/>
    </w:rPr>
  </w:style>
  <w:style w:type="character" w:styleId="779">
    <w:name w:val="footnote reference"/>
    <w:basedOn w:val="731"/>
    <w:uiPriority w:val="99"/>
    <w:unhideWhenUsed/>
    <w:qFormat/>
    <w:rPr>
      <w:vertAlign w:val="superscript"/>
    </w:rPr>
  </w:style>
  <w:style w:type="paragraph" w:styleId="780" w:customStyle="1">
    <w:name w:val="Default"/>
    <w:next w:val="721"/>
    <w:uiPriority w:val="99"/>
    <w:qFormat/>
    <w:pPr>
      <w:widowControl w:val="off"/>
    </w:pPr>
    <w:rPr>
      <w:rFonts w:ascii="宋体" w:hAnsi="Times New Roman" w:eastAsia="宋体" w:cs="宋体"/>
      <w:color w:val="000000"/>
      <w:sz w:val="24"/>
      <w:szCs w:val="24"/>
      <w:lang w:val="en-US" w:eastAsia="zh-CN" w:bidi="ar-SA"/>
    </w:rPr>
  </w:style>
  <w:style w:type="character" w:styleId="781" w:customStyle="1">
    <w:name w:val="Heading 1 Char"/>
    <w:basedOn w:val="731"/>
    <w:uiPriority w:val="9"/>
    <w:qFormat/>
    <w:rPr>
      <w:rFonts w:ascii="Arial" w:hAnsi="Arial" w:eastAsia="Arial" w:cs="Arial"/>
      <w:sz w:val="40"/>
      <w:szCs w:val="40"/>
    </w:rPr>
  </w:style>
  <w:style w:type="character" w:styleId="782" w:customStyle="1">
    <w:name w:val="Heading 2 Char"/>
    <w:basedOn w:val="731"/>
    <w:uiPriority w:val="9"/>
    <w:qFormat/>
    <w:rPr>
      <w:rFonts w:ascii="Arial" w:hAnsi="Arial" w:eastAsia="Arial" w:cs="Arial"/>
      <w:sz w:val="34"/>
    </w:rPr>
  </w:style>
  <w:style w:type="character" w:styleId="783" w:customStyle="1">
    <w:name w:val="Heading 3 Char"/>
    <w:basedOn w:val="731"/>
    <w:uiPriority w:val="9"/>
    <w:qFormat/>
    <w:rPr>
      <w:rFonts w:ascii="Arial" w:hAnsi="Arial" w:eastAsia="Arial" w:cs="Arial"/>
      <w:sz w:val="30"/>
      <w:szCs w:val="30"/>
    </w:rPr>
  </w:style>
  <w:style w:type="character" w:styleId="784" w:customStyle="1">
    <w:name w:val="Heading 4 Char"/>
    <w:basedOn w:val="731"/>
    <w:uiPriority w:val="9"/>
    <w:qFormat/>
    <w:rPr>
      <w:rFonts w:ascii="Arial" w:hAnsi="Arial" w:eastAsia="Arial" w:cs="Arial"/>
      <w:b/>
      <w:bCs/>
      <w:sz w:val="26"/>
      <w:szCs w:val="26"/>
    </w:rPr>
  </w:style>
  <w:style w:type="character" w:styleId="785" w:customStyle="1">
    <w:name w:val="Heading 5 Char"/>
    <w:basedOn w:val="731"/>
    <w:uiPriority w:val="9"/>
    <w:qFormat/>
    <w:rPr>
      <w:rFonts w:ascii="Arial" w:hAnsi="Arial" w:eastAsia="Arial" w:cs="Arial"/>
      <w:b/>
      <w:bCs/>
      <w:sz w:val="24"/>
      <w:szCs w:val="24"/>
    </w:rPr>
  </w:style>
  <w:style w:type="character" w:styleId="786" w:customStyle="1">
    <w:name w:val="Heading 6 Char"/>
    <w:basedOn w:val="731"/>
    <w:uiPriority w:val="9"/>
    <w:qFormat/>
    <w:rPr>
      <w:rFonts w:ascii="Arial" w:hAnsi="Arial" w:eastAsia="Arial" w:cs="Arial"/>
      <w:b/>
      <w:bCs/>
      <w:sz w:val="22"/>
      <w:szCs w:val="22"/>
    </w:rPr>
  </w:style>
  <w:style w:type="character" w:styleId="787" w:customStyle="1">
    <w:name w:val="Heading 7 Char"/>
    <w:basedOn w:val="731"/>
    <w:uiPriority w:val="9"/>
    <w:qFormat/>
    <w:rPr>
      <w:rFonts w:ascii="Arial" w:hAnsi="Arial" w:eastAsia="Arial" w:cs="Arial"/>
      <w:b/>
      <w:bCs/>
      <w:i/>
      <w:iCs/>
      <w:sz w:val="22"/>
      <w:szCs w:val="22"/>
    </w:rPr>
  </w:style>
  <w:style w:type="character" w:styleId="788" w:customStyle="1">
    <w:name w:val="Heading 8 Char"/>
    <w:basedOn w:val="731"/>
    <w:uiPriority w:val="9"/>
    <w:qFormat/>
    <w:rPr>
      <w:rFonts w:ascii="Arial" w:hAnsi="Arial" w:eastAsia="Arial" w:cs="Arial"/>
      <w:i/>
      <w:iCs/>
      <w:sz w:val="22"/>
      <w:szCs w:val="22"/>
    </w:rPr>
  </w:style>
  <w:style w:type="character" w:styleId="789" w:customStyle="1">
    <w:name w:val="Heading 9 Char"/>
    <w:basedOn w:val="731"/>
    <w:uiPriority w:val="9"/>
    <w:qFormat/>
    <w:rPr>
      <w:rFonts w:ascii="Arial" w:hAnsi="Arial" w:eastAsia="Arial" w:cs="Arial"/>
      <w:i/>
      <w:iCs/>
      <w:sz w:val="21"/>
      <w:szCs w:val="21"/>
    </w:rPr>
  </w:style>
  <w:style w:type="character" w:styleId="790" w:customStyle="1">
    <w:name w:val="Title Char"/>
    <w:basedOn w:val="731"/>
    <w:uiPriority w:val="10"/>
    <w:qFormat/>
    <w:rPr>
      <w:sz w:val="48"/>
      <w:szCs w:val="48"/>
    </w:rPr>
  </w:style>
  <w:style w:type="character" w:styleId="791" w:customStyle="1">
    <w:name w:val="Subtitle Char"/>
    <w:basedOn w:val="731"/>
    <w:uiPriority w:val="11"/>
    <w:qFormat/>
    <w:rPr>
      <w:sz w:val="24"/>
      <w:szCs w:val="24"/>
    </w:rPr>
  </w:style>
  <w:style w:type="paragraph" w:styleId="792">
    <w:name w:val="Quote"/>
    <w:basedOn w:val="721"/>
    <w:next w:val="721"/>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721"/>
    <w:next w:val="721"/>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Header Char"/>
    <w:basedOn w:val="731"/>
    <w:uiPriority w:val="99"/>
    <w:qFormat/>
  </w:style>
  <w:style w:type="character" w:styleId="797" w:customStyle="1">
    <w:name w:val="Footer Char"/>
    <w:basedOn w:val="731"/>
    <w:uiPriority w:val="99"/>
    <w:qFormat/>
  </w:style>
  <w:style w:type="character" w:styleId="798" w:customStyle="1">
    <w:name w:val="Caption Char"/>
    <w:uiPriority w:val="99"/>
    <w:qFormat/>
  </w:style>
  <w:style w:type="table" w:styleId="799"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0"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3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3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3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3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3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3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3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3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3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3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3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3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3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3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3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3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3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3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3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3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3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3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3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3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3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3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3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3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3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3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3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3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3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3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3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3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3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3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3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3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3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3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58"/>
    <w:uiPriority w:val="99"/>
    <w:qFormat/>
    <w:rPr>
      <w:sz w:val="18"/>
    </w:rPr>
  </w:style>
  <w:style w:type="character" w:styleId="925" w:customStyle="1">
    <w:name w:val="尾注文本 字符"/>
    <w:link w:val="750"/>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character" w:styleId="927" w:customStyle="1">
    <w:name w:val="标题 4 字符1"/>
    <w:link w:val="725"/>
    <w:uiPriority w:val="0"/>
    <w:qFormat/>
    <w:rPr>
      <w:rFonts w:ascii="宋体" w:hAnsi="宋体"/>
      <w:b/>
      <w:sz w:val="24"/>
      <w:u w:val="single"/>
    </w:rPr>
  </w:style>
  <w:style w:type="character" w:styleId="928" w:customStyle="1">
    <w:name w:val="标题 1 字符2"/>
    <w:link w:val="722"/>
    <w:uiPriority w:val="9"/>
    <w:qFormat/>
    <w:rPr>
      <w:rFonts w:ascii="Times New Roman" w:hAnsi="Times New Roman" w:eastAsia="宋体"/>
      <w:b/>
      <w:sz w:val="44"/>
    </w:rPr>
  </w:style>
  <w:style w:type="character" w:styleId="929" w:customStyle="1">
    <w:name w:val="正文缩进 字符1"/>
    <w:link w:val="733"/>
    <w:uiPriority w:val="0"/>
    <w:qFormat/>
    <w:rPr>
      <w:rFonts w:ascii="Times New Roman" w:hAnsi="Times New Roman" w:eastAsia="楷体_GB2312"/>
      <w:sz w:val="24"/>
    </w:rPr>
  </w:style>
  <w:style w:type="character" w:styleId="930" w:customStyle="1">
    <w:name w:val="标题 2 字符1"/>
    <w:link w:val="723"/>
    <w:uiPriority w:val="0"/>
    <w:qFormat/>
    <w:rPr>
      <w:rFonts w:ascii="Arial" w:hAnsi="Arial" w:eastAsia="黑体"/>
      <w:b/>
      <w:sz w:val="32"/>
    </w:rPr>
  </w:style>
  <w:style w:type="character" w:styleId="931" w:customStyle="1">
    <w:name w:val="标题 3 字符2"/>
    <w:link w:val="724"/>
    <w:uiPriority w:val="9"/>
    <w:qFormat/>
    <w:rPr>
      <w:rFonts w:ascii="Times New Roman" w:hAnsi="Times New Roman" w:eastAsia="宋体"/>
      <w:b/>
      <w:sz w:val="21"/>
    </w:rPr>
  </w:style>
  <w:style w:type="character" w:styleId="932" w:customStyle="1">
    <w:name w:val="标题 5 字符1"/>
    <w:link w:val="726"/>
    <w:uiPriority w:val="9"/>
    <w:qFormat/>
    <w:rPr>
      <w:rFonts w:ascii="Times New Roman" w:hAnsi="Times New Roman" w:eastAsia="宋体"/>
      <w:b/>
      <w:sz w:val="28"/>
    </w:rPr>
  </w:style>
  <w:style w:type="character" w:styleId="933" w:customStyle="1">
    <w:name w:val="标题 6 字符1"/>
    <w:link w:val="727"/>
    <w:uiPriority w:val="0"/>
    <w:qFormat/>
    <w:rPr>
      <w:rFonts w:ascii="Arial" w:hAnsi="Arial" w:eastAsia="黑体"/>
      <w:b/>
      <w:sz w:val="24"/>
    </w:rPr>
  </w:style>
  <w:style w:type="character" w:styleId="934" w:customStyle="1">
    <w:name w:val="标题 7 字符"/>
    <w:link w:val="728"/>
    <w:uiPriority w:val="0"/>
    <w:qFormat/>
    <w:rPr>
      <w:rFonts w:ascii="Times New Roman" w:hAnsi="Times New Roman" w:eastAsia="宋体"/>
      <w:b/>
      <w:sz w:val="24"/>
    </w:rPr>
  </w:style>
  <w:style w:type="character" w:styleId="935" w:customStyle="1">
    <w:name w:val="标题 8 字符"/>
    <w:link w:val="729"/>
    <w:uiPriority w:val="0"/>
    <w:qFormat/>
    <w:rPr>
      <w:rFonts w:ascii="Arial" w:hAnsi="Arial" w:eastAsia="黑体"/>
      <w:sz w:val="24"/>
    </w:rPr>
  </w:style>
  <w:style w:type="character" w:styleId="936" w:customStyle="1">
    <w:name w:val="标题 9 字符"/>
    <w:link w:val="730"/>
    <w:uiPriority w:val="0"/>
    <w:qFormat/>
    <w:rPr>
      <w:rFonts w:ascii="Arial" w:hAnsi="Arial" w:eastAsia="黑体"/>
    </w:rPr>
  </w:style>
  <w:style w:type="character" w:styleId="937" w:customStyle="1">
    <w:name w:val="文档结构图 字符1"/>
    <w:link w:val="737"/>
    <w:uiPriority w:val="0"/>
    <w:qFormat/>
    <w:rPr>
      <w:rFonts w:ascii="Times New Roman" w:hAnsi="Times New Roman" w:eastAsia="宋体"/>
      <w:shd w:val="clear" w:color="auto" w:fill="000080"/>
    </w:rPr>
  </w:style>
  <w:style w:type="character" w:styleId="938" w:customStyle="1">
    <w:name w:val="批注文字 字符1"/>
    <w:link w:val="738"/>
    <w:uiPriority w:val="99"/>
    <w:qFormat/>
    <w:rPr>
      <w:rFonts w:ascii="Times New Roman" w:hAnsi="Times New Roman" w:eastAsia="宋体"/>
    </w:rPr>
  </w:style>
  <w:style w:type="character" w:styleId="939" w:customStyle="1">
    <w:name w:val="正文文本 3 字符"/>
    <w:link w:val="739"/>
    <w:uiPriority w:val="0"/>
    <w:qFormat/>
    <w:rPr>
      <w:rFonts w:ascii="Times New Roman" w:hAnsi="Times New Roman" w:eastAsia="宋体"/>
      <w:sz w:val="16"/>
    </w:rPr>
  </w:style>
  <w:style w:type="character" w:styleId="940" w:customStyle="1">
    <w:name w:val="正文文本 字符"/>
    <w:link w:val="740"/>
    <w:uiPriority w:val="0"/>
    <w:qFormat/>
    <w:rPr>
      <w:rFonts w:ascii="方正大黑简体" w:hAnsi="Times New Roman" w:eastAsia="方正大黑简体"/>
      <w:position w:val="6"/>
      <w:sz w:val="30"/>
    </w:rPr>
  </w:style>
  <w:style w:type="character" w:styleId="941" w:customStyle="1">
    <w:name w:val="正文文本缩进 字符"/>
    <w:link w:val="741"/>
    <w:uiPriority w:val="0"/>
    <w:qFormat/>
    <w:rPr>
      <w:rFonts w:ascii="方正仿宋简体" w:hAnsi="创艺简仿宋" w:eastAsia="方正仿宋简体"/>
      <w:sz w:val="24"/>
    </w:rPr>
  </w:style>
  <w:style w:type="character" w:styleId="942" w:customStyle="1">
    <w:name w:val="纯文本 字符1"/>
    <w:link w:val="746"/>
    <w:uiPriority w:val="0"/>
    <w:qFormat/>
    <w:rPr>
      <w:rFonts w:ascii="宋体" w:hAnsi="Courier New" w:eastAsia="楷体_GB2312"/>
      <w:sz w:val="28"/>
    </w:rPr>
  </w:style>
  <w:style w:type="character" w:styleId="943" w:customStyle="1">
    <w:name w:val="日期 字符1"/>
    <w:link w:val="748"/>
    <w:uiPriority w:val="0"/>
    <w:qFormat/>
    <w:rPr>
      <w:rFonts w:ascii="宋体" w:hAnsi="宋体" w:eastAsia="楷体_GB2312"/>
      <w:sz w:val="24"/>
    </w:rPr>
  </w:style>
  <w:style w:type="character" w:styleId="944" w:customStyle="1">
    <w:name w:val="正文文本缩进 2 字符"/>
    <w:link w:val="749"/>
    <w:uiPriority w:val="0"/>
    <w:qFormat/>
    <w:rPr>
      <w:rFonts w:ascii="宋体" w:hAnsi="宋体" w:eastAsia="宋体"/>
      <w:sz w:val="24"/>
    </w:rPr>
  </w:style>
  <w:style w:type="character" w:styleId="945" w:customStyle="1">
    <w:name w:val="批注框文本 字符1"/>
    <w:link w:val="751"/>
    <w:uiPriority w:val="0"/>
    <w:qFormat/>
    <w:rPr>
      <w:rFonts w:ascii="Times New Roman" w:hAnsi="Times New Roman" w:eastAsia="宋体"/>
      <w:sz w:val="18"/>
    </w:rPr>
  </w:style>
  <w:style w:type="character" w:styleId="946" w:customStyle="1">
    <w:name w:val="页脚 字符1"/>
    <w:link w:val="752"/>
    <w:uiPriority w:val="99"/>
    <w:qFormat/>
    <w:rPr>
      <w:sz w:val="18"/>
    </w:rPr>
  </w:style>
  <w:style w:type="character" w:styleId="947" w:customStyle="1">
    <w:name w:val="页眉 字符1"/>
    <w:link w:val="753"/>
    <w:uiPriority w:val="99"/>
    <w:qFormat/>
    <w:rPr>
      <w:sz w:val="18"/>
    </w:rPr>
  </w:style>
  <w:style w:type="character" w:styleId="948" w:customStyle="1">
    <w:name w:val="副标题 字符"/>
    <w:link w:val="756"/>
    <w:uiPriority w:val="11"/>
    <w:qFormat/>
    <w:rPr>
      <w:rFonts w:ascii="宋体" w:hAnsi="宋体" w:cs="宋体"/>
      <w:b/>
      <w:bCs/>
      <w:sz w:val="32"/>
      <w:szCs w:val="32"/>
    </w:rPr>
  </w:style>
  <w:style w:type="character" w:styleId="949" w:customStyle="1">
    <w:name w:val="正文文本缩进 3 字符"/>
    <w:link w:val="760"/>
    <w:uiPriority w:val="0"/>
    <w:qFormat/>
    <w:rPr>
      <w:rFonts w:ascii="Times New Roman" w:hAnsi="Times New Roman" w:eastAsia="宋体"/>
      <w:sz w:val="16"/>
    </w:rPr>
  </w:style>
  <w:style w:type="character" w:styleId="950" w:customStyle="1">
    <w:name w:val="正文文本 2 字符"/>
    <w:link w:val="764"/>
    <w:uiPriority w:val="0"/>
    <w:qFormat/>
    <w:rPr>
      <w:rFonts w:ascii="仿宋_GB2312" w:hAnsi="宋体" w:eastAsia="仿宋_GB2312"/>
      <w:spacing w:val="20"/>
      <w:sz w:val="24"/>
    </w:rPr>
  </w:style>
  <w:style w:type="character" w:styleId="951" w:customStyle="1">
    <w:name w:val="标题 字符"/>
    <w:link w:val="767"/>
    <w:uiPriority w:val="10"/>
    <w:qFormat/>
    <w:rPr>
      <w:rFonts w:ascii="Cambria" w:hAnsi="Cambria"/>
      <w:b/>
      <w:bCs/>
      <w:sz w:val="32"/>
      <w:szCs w:val="32"/>
    </w:rPr>
  </w:style>
  <w:style w:type="character" w:styleId="952" w:customStyle="1">
    <w:name w:val="批注主题 字符1"/>
    <w:link w:val="768"/>
    <w:uiPriority w:val="0"/>
    <w:qFormat/>
    <w:rPr>
      <w:rFonts w:ascii="Times New Roman" w:hAnsi="Times New Roman" w:eastAsia="宋体"/>
      <w:b/>
    </w:rPr>
  </w:style>
  <w:style w:type="character" w:styleId="953" w:customStyle="1">
    <w:name w:val="正文首行缩进 字符"/>
    <w:link w:val="769"/>
    <w:uiPriority w:val="0"/>
    <w:qFormat/>
    <w:rPr>
      <w:rFonts w:ascii="Times New Roman" w:hAnsi="Times New Roman" w:eastAsia="楷体_GB2312"/>
      <w:position w:val="6"/>
      <w:sz w:val="28"/>
    </w:rPr>
  </w:style>
  <w:style w:type="character" w:styleId="954" w:customStyle="1">
    <w:name w:val="正文首行缩进 2 字符"/>
    <w:link w:val="770"/>
    <w:uiPriority w:val="0"/>
    <w:qFormat/>
    <w:rPr>
      <w:rFonts w:ascii="Times New Roman" w:hAnsi="Times New Roman" w:eastAsia="方正仿宋简体"/>
      <w:sz w:val="21"/>
    </w:rPr>
  </w:style>
  <w:style w:type="paragraph" w:styleId="955" w:customStyle="1">
    <w:name w:val="正文首行缩进 21"/>
    <w:basedOn w:val="956"/>
    <w:next w:val="721"/>
    <w:uiPriority w:val="0"/>
    <w:qFormat/>
    <w:pPr>
      <w:ind w:firstLine="420"/>
    </w:pPr>
  </w:style>
  <w:style w:type="paragraph" w:styleId="956" w:customStyle="1">
    <w:name w:val="正文文本缩进1"/>
    <w:basedOn w:val="721"/>
    <w:next w:val="721"/>
    <w:uiPriority w:val="99"/>
    <w:qFormat/>
    <w:pPr>
      <w:ind w:firstLine="540"/>
      <w:spacing w:line="400" w:lineRule="exact"/>
    </w:pPr>
    <w:rPr>
      <w:sz w:val="24"/>
    </w:rPr>
  </w:style>
  <w:style w:type="paragraph" w:styleId="957" w:customStyle="1">
    <w:name w:val="正文（首行缩进2字符）"/>
    <w:basedOn w:val="721"/>
    <w:link w:val="958"/>
    <w:uiPriority w:val="0"/>
    <w:qFormat/>
    <w:pPr>
      <w:ind w:firstLine="420"/>
      <w:spacing w:line="360" w:lineRule="auto"/>
    </w:pPr>
    <w:rPr>
      <w:szCs w:val="21"/>
    </w:rPr>
  </w:style>
  <w:style w:type="character" w:styleId="958" w:customStyle="1">
    <w:name w:val="正文（首行缩进2字符） Char"/>
    <w:link w:val="957"/>
    <w:uiPriority w:val="0"/>
    <w:qFormat/>
    <w:rPr>
      <w:rFonts w:ascii="Times New Roman" w:hAnsi="Times New Roman"/>
      <w:sz w:val="21"/>
      <w:szCs w:val="21"/>
    </w:rPr>
  </w:style>
  <w:style w:type="paragraph" w:styleId="959" w:customStyle="1">
    <w:name w:val="xl65"/>
    <w:basedOn w:val="721"/>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4"/>
    </w:rPr>
  </w:style>
  <w:style w:type="paragraph" w:styleId="960" w:customStyle="1">
    <w:name w:val="xl47"/>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1" w:customStyle="1">
    <w:name w:val="xl44"/>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962" w:customStyle="1">
    <w:name w:val="xl64"/>
    <w:basedOn w:val="721"/>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color w:val="000000"/>
      <w:sz w:val="24"/>
    </w:rPr>
  </w:style>
  <w:style w:type="paragraph" w:styleId="963" w:customStyle="1">
    <w:name w:val="xl41"/>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64" w:customStyle="1">
    <w:name w:val="cntrt"/>
    <w:basedOn w:val="721"/>
    <w:uiPriority w:val="0"/>
    <w:qFormat/>
    <w:pPr>
      <w:widowControl/>
    </w:pPr>
    <w:rPr>
      <w:rFonts w:ascii="Arial" w:hAnsi="Arial"/>
      <w:sz w:val="20"/>
      <w:lang w:val="en-AU"/>
    </w:rPr>
  </w:style>
  <w:style w:type="paragraph" w:styleId="965" w:customStyle="1">
    <w:name w:val="xl74"/>
    <w:basedOn w:val="721"/>
    <w:uiPriority w:val="0"/>
    <w:qFormat/>
    <w:pPr>
      <w:spacing w:before="100" w:beforeAutospacing="1" w:after="100" w:afterAutospacing="1"/>
      <w:shd w:val="clear" w:color="auto" w:fill="ffff99"/>
      <w:widowControl/>
      <w:pBdr>
        <w:top w:val="single" w:color="auto" w:sz="4" w:space="0"/>
        <w:bottom w:val="single" w:color="auto" w:sz="4" w:space="0"/>
        <w:right w:val="single" w:color="auto" w:sz="4" w:space="0"/>
      </w:pBdr>
    </w:pPr>
    <w:rPr>
      <w:rFonts w:hint="eastAsia" w:ascii="宋体" w:hAnsi="宋体"/>
      <w:b/>
      <w:sz w:val="28"/>
    </w:rPr>
  </w:style>
  <w:style w:type="paragraph" w:styleId="966" w:customStyle="1">
    <w:name w:val="xl53"/>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7" w:customStyle="1">
    <w:name w:val="xl29"/>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968" w:customStyle="1">
    <w:name w:val="xl35"/>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9" w:customStyle="1">
    <w:name w:val="缺省文本"/>
    <w:basedOn w:val="721"/>
    <w:uiPriority w:val="0"/>
    <w:qFormat/>
    <w:rPr>
      <w:sz w:val="24"/>
    </w:rPr>
  </w:style>
  <w:style w:type="paragraph" w:styleId="970" w:customStyle="1">
    <w:name w:val="xl43"/>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color w:val="000000"/>
      <w:sz w:val="24"/>
    </w:rPr>
  </w:style>
  <w:style w:type="paragraph" w:styleId="971" w:customStyle="1">
    <w:name w:val="xl36"/>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72" w:customStyle="1">
    <w:name w:val="xl31"/>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973" w:customStyle="1">
    <w:name w:val="xl61"/>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74"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975" w:customStyle="1">
    <w:name w:val="xl38"/>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76" w:customStyle="1">
    <w:name w:val="font0"/>
    <w:basedOn w:val="721"/>
    <w:uiPriority w:val="0"/>
    <w:qFormat/>
    <w:pPr>
      <w:spacing w:before="100" w:beforeAutospacing="1" w:after="100" w:afterAutospacing="1"/>
      <w:widowControl/>
    </w:pPr>
    <w:rPr>
      <w:rFonts w:hint="eastAsia" w:ascii="宋体" w:hAnsi="宋体"/>
      <w:sz w:val="24"/>
    </w:rPr>
  </w:style>
  <w:style w:type="paragraph" w:styleId="977" w:customStyle="1">
    <w:name w:val="xl42"/>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黑体" w:hAnsi="宋体" w:eastAsia="黑体"/>
      <w:b/>
      <w:sz w:val="24"/>
    </w:rPr>
  </w:style>
  <w:style w:type="paragraph" w:styleId="978" w:customStyle="1">
    <w:name w:val="文档正文"/>
    <w:basedOn w:val="721"/>
    <w:link w:val="979"/>
    <w:uiPriority w:val="0"/>
    <w:qFormat/>
    <w:pPr>
      <w:numPr>
        <w:ilvl w:val="0"/>
        <w:numId w:val="3"/>
      </w:numPr>
      <w:spacing w:line="300" w:lineRule="auto"/>
    </w:pPr>
    <w:rPr>
      <w:rFonts w:ascii="仿宋_GB2312" w:hAnsi="宋体"/>
      <w:sz w:val="24"/>
    </w:rPr>
  </w:style>
  <w:style w:type="character" w:styleId="979" w:customStyle="1">
    <w:name w:val="文档正文 Char Char"/>
    <w:link w:val="978"/>
    <w:uiPriority w:val="0"/>
    <w:qFormat/>
    <w:rPr>
      <w:rFonts w:ascii="仿宋_GB2312" w:hAnsi="宋体"/>
      <w:sz w:val="24"/>
    </w:rPr>
  </w:style>
  <w:style w:type="paragraph" w:styleId="980" w:customStyle="1">
    <w:name w:val="xl30"/>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81" w:customStyle="1">
    <w:name w:val="xl54"/>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b/>
      <w:sz w:val="24"/>
    </w:rPr>
  </w:style>
  <w:style w:type="paragraph" w:styleId="982" w:customStyle="1">
    <w:name w:val="xl57"/>
    <w:basedOn w:val="721"/>
    <w:uiPriority w:val="0"/>
    <w:qFormat/>
    <w:pPr>
      <w:spacing w:before="100" w:beforeAutospacing="1" w:after="100" w:afterAutospacing="1"/>
      <w:widowControl/>
      <w:pBdr>
        <w:top w:val="single" w:color="auto" w:sz="4" w:space="0"/>
        <w:right w:val="single" w:color="auto" w:sz="4" w:space="0"/>
      </w:pBdr>
    </w:pPr>
    <w:rPr>
      <w:rFonts w:hint="eastAsia" w:ascii="宋体" w:hAnsi="宋体"/>
      <w:sz w:val="24"/>
    </w:rPr>
  </w:style>
  <w:style w:type="paragraph" w:styleId="983" w:customStyle="1">
    <w:name w:val="tabletext"/>
    <w:basedOn w:val="721"/>
    <w:uiPriority w:val="0"/>
    <w:qFormat/>
    <w:pPr>
      <w:spacing w:before="100" w:beforeAutospacing="1" w:after="100" w:afterAutospacing="1" w:line="240" w:lineRule="atLeast"/>
      <w:widowControl/>
    </w:pPr>
    <w:rPr>
      <w:rFonts w:hint="eastAsia" w:ascii="宋体" w:hAnsi="宋体"/>
      <w:sz w:val="18"/>
    </w:rPr>
  </w:style>
  <w:style w:type="paragraph" w:styleId="984" w:customStyle="1">
    <w:name w:val="xl72"/>
    <w:basedOn w:val="72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sz w:val="28"/>
    </w:rPr>
  </w:style>
  <w:style w:type="paragraph" w:styleId="985" w:customStyle="1">
    <w:name w:val="Char Char1"/>
    <w:basedOn w:val="721"/>
    <w:uiPriority w:val="99"/>
    <w:qFormat/>
    <w:pPr>
      <w:spacing w:after="160" w:line="240" w:lineRule="exact"/>
      <w:widowControl/>
    </w:pPr>
    <w:rPr>
      <w:rFonts w:ascii="Verdana" w:hAnsi="Verdana"/>
      <w:sz w:val="20"/>
      <w:lang w:eastAsia="en-US"/>
    </w:rPr>
  </w:style>
  <w:style w:type="paragraph" w:styleId="986" w:customStyle="1">
    <w:name w:val="Char"/>
    <w:basedOn w:val="721"/>
    <w:uiPriority w:val="0"/>
    <w:qFormat/>
    <w:pPr>
      <w:ind w:left="495" w:hanging="495"/>
      <w:tabs>
        <w:tab w:val="left" w:pos="495" w:leader="none"/>
      </w:tabs>
    </w:pPr>
    <w:rPr>
      <w:sz w:val="24"/>
    </w:rPr>
  </w:style>
  <w:style w:type="paragraph" w:styleId="987" w:customStyle="1">
    <w:name w:val="xl52"/>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988" w:customStyle="1">
    <w:name w:val="font5"/>
    <w:basedOn w:val="721"/>
    <w:uiPriority w:val="0"/>
    <w:qFormat/>
    <w:pPr>
      <w:spacing w:before="100" w:beforeAutospacing="1" w:after="100" w:afterAutospacing="1"/>
      <w:widowControl/>
    </w:pPr>
    <w:rPr>
      <w:rFonts w:hint="eastAsia" w:ascii="宋体" w:hAnsi="宋体"/>
      <w:sz w:val="24"/>
    </w:rPr>
  </w:style>
  <w:style w:type="paragraph" w:styleId="989" w:customStyle="1">
    <w:name w:val="xl46"/>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0" w:customStyle="1">
    <w:name w:val="xl39"/>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1" w:customStyle="1">
    <w:name w:val="xl37"/>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992" w:customStyle="1">
    <w:name w:val="列表内容"/>
    <w:basedOn w:val="721"/>
    <w:next w:val="721"/>
    <w:uiPriority w:val="0"/>
    <w:qFormat/>
    <w:pPr>
      <w:ind w:firstLine="200"/>
      <w:widowControl/>
    </w:pPr>
    <w:rPr>
      <w:sz w:val="18"/>
    </w:rPr>
  </w:style>
  <w:style w:type="paragraph" w:styleId="993" w:customStyle="1">
    <w:name w:val="font6"/>
    <w:basedOn w:val="721"/>
    <w:uiPriority w:val="0"/>
    <w:qFormat/>
    <w:pPr>
      <w:spacing w:before="100" w:beforeAutospacing="1" w:after="100" w:afterAutospacing="1"/>
      <w:widowControl/>
    </w:pPr>
    <w:rPr>
      <w:rFonts w:hint="eastAsia" w:ascii="宋体" w:hAnsi="宋体"/>
      <w:sz w:val="18"/>
    </w:rPr>
  </w:style>
  <w:style w:type="paragraph" w:styleId="994" w:customStyle="1">
    <w:name w:val="tableheading"/>
    <w:basedOn w:val="721"/>
    <w:uiPriority w:val="0"/>
    <w:qFormat/>
    <w:pPr>
      <w:spacing w:before="100" w:beforeAutospacing="1" w:after="100" w:afterAutospacing="1" w:line="240" w:lineRule="atLeast"/>
      <w:widowControl/>
    </w:pPr>
    <w:rPr>
      <w:rFonts w:hint="eastAsia" w:ascii="宋体" w:hAnsi="宋体"/>
      <w:sz w:val="18"/>
    </w:rPr>
  </w:style>
  <w:style w:type="paragraph" w:styleId="995" w:customStyle="1">
    <w:name w:val="font8"/>
    <w:basedOn w:val="721"/>
    <w:uiPriority w:val="0"/>
    <w:qFormat/>
    <w:pPr>
      <w:spacing w:before="100" w:beforeAutospacing="1" w:after="100" w:afterAutospacing="1"/>
      <w:widowControl/>
    </w:pPr>
    <w:rPr>
      <w:b/>
      <w:sz w:val="28"/>
    </w:rPr>
  </w:style>
  <w:style w:type="paragraph" w:styleId="996" w:customStyle="1">
    <w:name w:val="font7"/>
    <w:basedOn w:val="721"/>
    <w:uiPriority w:val="0"/>
    <w:qFormat/>
    <w:pPr>
      <w:spacing w:before="100" w:beforeAutospacing="1" w:after="100" w:afterAutospacing="1"/>
      <w:widowControl/>
    </w:pPr>
    <w:rPr>
      <w:sz w:val="24"/>
    </w:rPr>
  </w:style>
  <w:style w:type="paragraph" w:styleId="997" w:customStyle="1">
    <w:name w:val="xl75"/>
    <w:basedOn w:val="721"/>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998" w:customStyle="1">
    <w:name w:val="xl33"/>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99" w:customStyle="1">
    <w:name w:val="xl73"/>
    <w:basedOn w:val="721"/>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sz w:val="28"/>
    </w:rPr>
  </w:style>
  <w:style w:type="paragraph" w:styleId="1000" w:customStyle="1">
    <w:name w:val="Tender"/>
    <w:basedOn w:val="721"/>
    <w:next w:val="721"/>
    <w:uiPriority w:val="0"/>
    <w:qFormat/>
    <w:pPr>
      <w:spacing w:before="120" w:after="360" w:line="360" w:lineRule="auto"/>
      <w:widowControl/>
    </w:pPr>
    <w:rPr>
      <w:rFonts w:ascii="Arial" w:hAnsi="Arial"/>
      <w:sz w:val="24"/>
      <w:lang w:eastAsia="en-US"/>
    </w:rPr>
  </w:style>
  <w:style w:type="paragraph" w:styleId="1001" w:customStyle="1">
    <w:name w:val="xl66"/>
    <w:basedOn w:val="721"/>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4"/>
    </w:rPr>
  </w:style>
  <w:style w:type="paragraph" w:styleId="1002" w:customStyle="1">
    <w:name w:val="xl71"/>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8"/>
    </w:rPr>
  </w:style>
  <w:style w:type="paragraph" w:styleId="1003" w:customStyle="1">
    <w:name w:val="xl50"/>
    <w:basedOn w:val="72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sz w:val="24"/>
    </w:rPr>
  </w:style>
  <w:style w:type="paragraph" w:styleId="1004" w:customStyle="1">
    <w:name w:val="xl69"/>
    <w:basedOn w:val="721"/>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1005" w:customStyle="1">
    <w:name w:val="font9"/>
    <w:basedOn w:val="721"/>
    <w:uiPriority w:val="0"/>
    <w:qFormat/>
    <w:pPr>
      <w:spacing w:before="100" w:beforeAutospacing="1" w:after="100" w:afterAutospacing="1"/>
      <w:widowControl/>
    </w:pPr>
    <w:rPr>
      <w:color w:val="000000"/>
      <w:sz w:val="24"/>
    </w:rPr>
  </w:style>
  <w:style w:type="paragraph" w:styleId="1006" w:customStyle="1">
    <w:name w:val="修订1"/>
    <w:uiPriority w:val="0"/>
    <w:qFormat/>
    <w:rPr>
      <w:rFonts w:ascii="Times New Roman" w:hAnsi="Times New Roman" w:eastAsia="宋体" w:cs="Times New Roman"/>
      <w:sz w:val="21"/>
      <w:lang w:val="en-US" w:eastAsia="zh-CN" w:bidi="ar-SA"/>
    </w:rPr>
  </w:style>
  <w:style w:type="paragraph" w:styleId="1007" w:customStyle="1">
    <w:name w:val="xl32"/>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1008" w:customStyle="1">
    <w:name w:val="xl63"/>
    <w:basedOn w:val="72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color w:val="000000"/>
      <w:sz w:val="24"/>
    </w:rPr>
  </w:style>
  <w:style w:type="paragraph" w:styleId="1009" w:customStyle="1">
    <w:name w:val="xl48"/>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10" w:customStyle="1">
    <w:name w:val="xl40"/>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11" w:customStyle="1">
    <w:name w:val="xl59"/>
    <w:basedOn w:val="721"/>
    <w:uiPriority w:val="0"/>
    <w:qFormat/>
    <w:pPr>
      <w:spacing w:before="100" w:beforeAutospacing="1" w:after="100" w:afterAutospacing="1"/>
      <w:widowControl/>
      <w:pBdr>
        <w:top w:val="single" w:color="auto" w:sz="4" w:space="0"/>
        <w:left w:val="single" w:color="auto" w:sz="4" w:space="0"/>
        <w:right w:val="single" w:color="auto" w:sz="4" w:space="0"/>
      </w:pBdr>
    </w:pPr>
    <w:rPr>
      <w:sz w:val="22"/>
    </w:rPr>
  </w:style>
  <w:style w:type="paragraph" w:styleId="1012" w:customStyle="1">
    <w:name w:val="xl27"/>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13" w:customStyle="1">
    <w:name w:val="正文2"/>
    <w:basedOn w:val="721"/>
    <w:uiPriority w:val="0"/>
    <w:qFormat/>
    <w:pPr>
      <w:ind w:firstLine="200"/>
      <w:spacing w:after="160" w:line="360" w:lineRule="auto"/>
      <w:widowControl/>
    </w:pPr>
  </w:style>
  <w:style w:type="paragraph" w:styleId="1014" w:customStyle="1">
    <w:name w:val="xl68"/>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b/>
      <w:sz w:val="28"/>
    </w:rPr>
  </w:style>
  <w:style w:type="paragraph" w:styleId="1015" w:customStyle="1">
    <w:name w:val="xl60"/>
    <w:basedOn w:val="721"/>
    <w:uiPriority w:val="0"/>
    <w:qFormat/>
    <w:pPr>
      <w:spacing w:before="100" w:beforeAutospacing="1" w:after="100" w:afterAutospacing="1"/>
      <w:widowControl/>
      <w:pBdr>
        <w:top w:val="single" w:color="auto" w:sz="4" w:space="0"/>
        <w:right w:val="single" w:color="auto" w:sz="4" w:space="0"/>
      </w:pBdr>
    </w:pPr>
    <w:rPr>
      <w:rFonts w:hint="eastAsia" w:ascii="宋体" w:hAnsi="宋体"/>
      <w:color w:val="000000"/>
      <w:sz w:val="24"/>
    </w:rPr>
  </w:style>
  <w:style w:type="paragraph" w:styleId="1016" w:customStyle="1">
    <w:name w:val="xl70"/>
    <w:basedOn w:val="721"/>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8"/>
    </w:rPr>
  </w:style>
  <w:style w:type="paragraph" w:styleId="1017" w:customStyle="1">
    <w:name w:val="xl28"/>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1018" w:customStyle="1">
    <w:name w:val="xl62"/>
    <w:basedOn w:val="721"/>
    <w:uiPriority w:val="0"/>
    <w:qFormat/>
    <w:pPr>
      <w:spacing w:before="100" w:beforeAutospacing="1" w:after="100" w:afterAutospacing="1"/>
      <w:widowControl/>
      <w:pBdr>
        <w:left w:val="single" w:color="auto" w:sz="4" w:space="0"/>
        <w:bottom w:val="single" w:color="auto" w:sz="4" w:space="0"/>
        <w:right w:val="single" w:color="auto" w:sz="4" w:space="0"/>
      </w:pBdr>
    </w:pPr>
    <w:rPr>
      <w:sz w:val="22"/>
    </w:rPr>
  </w:style>
  <w:style w:type="paragraph" w:styleId="1019" w:customStyle="1">
    <w:name w:val="xl49"/>
    <w:basedOn w:val="72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color w:val="000000"/>
      <w:sz w:val="24"/>
    </w:rPr>
  </w:style>
  <w:style w:type="paragraph" w:styleId="1020" w:customStyle="1">
    <w:name w:val="纯文本1"/>
    <w:basedOn w:val="721"/>
    <w:uiPriority w:val="0"/>
    <w:qFormat/>
    <w:rPr>
      <w:rFonts w:hint="eastAsia" w:ascii="宋体" w:hAnsi="Courier New" w:eastAsia="楷体_GB2312"/>
      <w:sz w:val="28"/>
    </w:rPr>
  </w:style>
  <w:style w:type="paragraph" w:styleId="1021" w:customStyle="1">
    <w:name w:val="xl55"/>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022" w:customStyle="1">
    <w:name w:val="xl51"/>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023" w:customStyle="1">
    <w:name w:val="xl67"/>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4"/>
    </w:rPr>
  </w:style>
  <w:style w:type="paragraph" w:styleId="1024" w:customStyle="1">
    <w:name w:val="表格"/>
    <w:basedOn w:val="721"/>
    <w:uiPriority w:val="0"/>
    <w:qFormat/>
    <w:pPr>
      <w:ind w:firstLine="42"/>
    </w:pPr>
    <w:rPr>
      <w:rFonts w:ascii="宋体" w:hAnsi="宋体"/>
      <w:sz w:val="20"/>
    </w:rPr>
  </w:style>
  <w:style w:type="paragraph" w:styleId="1025" w:customStyle="1">
    <w:name w:val="xl34"/>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26" w:customStyle="1">
    <w:name w:val="Char Char Char Char Char Char Char Char Char Char"/>
    <w:basedOn w:val="721"/>
    <w:uiPriority w:val="0"/>
    <w:qFormat/>
    <w:pPr>
      <w:ind w:left="495" w:hanging="495"/>
      <w:tabs>
        <w:tab w:val="left" w:pos="495" w:leader="none"/>
      </w:tabs>
    </w:pPr>
    <w:rPr>
      <w:sz w:val="24"/>
    </w:rPr>
  </w:style>
  <w:style w:type="paragraph" w:styleId="1027" w:customStyle="1">
    <w:name w:val="xl45"/>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1028"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029" w:customStyle="1">
    <w:name w:val="xl58"/>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030" w:customStyle="1">
    <w:name w:val="xl56"/>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1031" w:customStyle="1">
    <w:name w:val="标题1"/>
    <w:basedOn w:val="964"/>
    <w:next w:val="964"/>
    <w:uiPriority w:val="0"/>
    <w:qFormat/>
    <w:pPr>
      <w:spacing w:before="100" w:beforeAutospacing="1"/>
      <w:tabs>
        <w:tab w:val="left" w:pos="851" w:leader="none"/>
      </w:tabs>
    </w:pPr>
    <w:rPr>
      <w:rFonts w:ascii="宋体" w:hAnsi="宋体"/>
      <w:b/>
      <w:sz w:val="24"/>
    </w:rPr>
  </w:style>
  <w:style w:type="paragraph" w:styleId="1032" w:customStyle="1">
    <w:name w:val="Char Char Char Char"/>
    <w:basedOn w:val="721"/>
    <w:uiPriority w:val="0"/>
    <w:qFormat/>
    <w:pPr>
      <w:spacing w:after="160" w:line="240" w:lineRule="exact"/>
      <w:widowControl/>
    </w:pPr>
    <w:rPr>
      <w:rFonts w:ascii="Verdana" w:hAnsi="Verdana" w:eastAsia="仿宋_GB2312"/>
      <w:sz w:val="24"/>
      <w:lang w:eastAsia="en-US"/>
    </w:rPr>
  </w:style>
  <w:style w:type="paragraph" w:styleId="1033" w:customStyle="1">
    <w:name w:val="Char2 Char Char Char Char Char Char"/>
    <w:basedOn w:val="721"/>
    <w:uiPriority w:val="0"/>
    <w:qFormat/>
    <w:pPr>
      <w:ind w:left="980" w:hanging="420"/>
      <w:tabs>
        <w:tab w:val="left" w:pos="980" w:leader="none"/>
      </w:tabs>
    </w:pPr>
    <w:rPr>
      <w:sz w:val="24"/>
      <w:szCs w:val="24"/>
    </w:rPr>
  </w:style>
  <w:style w:type="paragraph" w:styleId="1034" w:customStyle="1">
    <w:name w:val="默认段落字体 Para Char Char Char Char Char Char Char"/>
    <w:basedOn w:val="721"/>
    <w:uiPriority w:val="0"/>
    <w:qFormat/>
    <w:pPr>
      <w:spacing w:line="360" w:lineRule="auto"/>
    </w:pPr>
    <w:rPr>
      <w:rFonts w:ascii="Tahoma" w:hAnsi="Tahoma"/>
      <w:sz w:val="24"/>
    </w:rPr>
  </w:style>
  <w:style w:type="paragraph" w:styleId="1035" w:customStyle="1">
    <w:name w:val="Char11"/>
    <w:basedOn w:val="721"/>
    <w:uiPriority w:val="0"/>
    <w:qFormat/>
    <w:pPr>
      <w:ind w:left="980" w:hanging="420"/>
      <w:tabs>
        <w:tab w:val="left" w:pos="980" w:leader="none"/>
      </w:tabs>
    </w:pPr>
    <w:rPr>
      <w:sz w:val="24"/>
      <w:szCs w:val="24"/>
    </w:rPr>
  </w:style>
  <w:style w:type="character" w:styleId="1036" w:customStyle="1">
    <w:name w:val="H1 Char"/>
    <w:uiPriority w:val="0"/>
    <w:qFormat/>
    <w:rPr>
      <w:rFonts w:ascii="仿宋_GB2312" w:hAnsi="Arial" w:eastAsia="仿宋_GB2312" w:cs="宋体"/>
      <w:sz w:val="28"/>
      <w:szCs w:val="20"/>
    </w:rPr>
  </w:style>
  <w:style w:type="paragraph" w:styleId="1037" w:customStyle="1">
    <w:name w:val="普通正文"/>
    <w:basedOn w:val="721"/>
    <w:uiPriority w:val="0"/>
    <w:qFormat/>
    <w:pPr>
      <w:ind w:firstLine="480"/>
      <w:jc w:val="left"/>
      <w:spacing w:before="120" w:after="120" w:line="360" w:lineRule="auto"/>
    </w:pPr>
    <w:rPr>
      <w:rFonts w:ascii="Arial" w:hAnsi="Arial"/>
      <w:sz w:val="24"/>
      <w:szCs w:val="24"/>
    </w:rPr>
  </w:style>
  <w:style w:type="paragraph" w:styleId="1038" w:customStyle="1">
    <w:name w:val="font10"/>
    <w:basedOn w:val="721"/>
    <w:uiPriority w:val="0"/>
    <w:qFormat/>
    <w:pPr>
      <w:jc w:val="left"/>
      <w:spacing w:before="100" w:beforeAutospacing="1" w:after="100" w:afterAutospacing="1"/>
      <w:widowControl/>
    </w:pPr>
    <w:rPr>
      <w:rFonts w:ascii="宋体" w:hAnsi="宋体" w:cs="宋体"/>
      <w:color w:val="000000"/>
      <w:sz w:val="22"/>
      <w:szCs w:val="22"/>
    </w:rPr>
  </w:style>
  <w:style w:type="paragraph" w:styleId="1039" w:customStyle="1">
    <w:name w:val="font11"/>
    <w:basedOn w:val="721"/>
    <w:uiPriority w:val="0"/>
    <w:qFormat/>
    <w:pPr>
      <w:jc w:val="left"/>
      <w:spacing w:before="100" w:beforeAutospacing="1" w:after="100" w:afterAutospacing="1"/>
      <w:widowControl/>
    </w:pPr>
    <w:rPr>
      <w:color w:val="000000"/>
      <w:sz w:val="22"/>
      <w:szCs w:val="22"/>
    </w:rPr>
  </w:style>
  <w:style w:type="paragraph" w:styleId="1040" w:customStyle="1">
    <w:name w:val="font12"/>
    <w:basedOn w:val="721"/>
    <w:uiPriority w:val="0"/>
    <w:qFormat/>
    <w:pPr>
      <w:jc w:val="left"/>
      <w:spacing w:before="100" w:beforeAutospacing="1" w:after="100" w:afterAutospacing="1"/>
      <w:widowControl/>
    </w:pPr>
    <w:rPr>
      <w:rFonts w:ascii="仿宋_GB2312" w:hAnsi="宋体" w:eastAsia="仿宋_GB2312" w:cs="宋体"/>
      <w:color w:val="000000"/>
      <w:sz w:val="22"/>
      <w:szCs w:val="22"/>
    </w:rPr>
  </w:style>
  <w:style w:type="paragraph" w:styleId="1041" w:customStyle="1">
    <w:name w:val="font13"/>
    <w:basedOn w:val="721"/>
    <w:uiPriority w:val="0"/>
    <w:qFormat/>
    <w:pPr>
      <w:jc w:val="left"/>
      <w:spacing w:before="100" w:beforeAutospacing="1" w:after="100" w:afterAutospacing="1"/>
      <w:widowControl/>
    </w:pPr>
    <w:rPr>
      <w:rFonts w:ascii="宋体" w:hAnsi="宋体" w:cs="宋体"/>
      <w:color w:val="000000"/>
      <w:sz w:val="22"/>
      <w:szCs w:val="22"/>
    </w:rPr>
  </w:style>
  <w:style w:type="paragraph" w:styleId="1042" w:customStyle="1">
    <w:name w:val="font14"/>
    <w:basedOn w:val="721"/>
    <w:uiPriority w:val="0"/>
    <w:qFormat/>
    <w:pPr>
      <w:jc w:val="left"/>
      <w:spacing w:before="100" w:beforeAutospacing="1" w:after="100" w:afterAutospacing="1"/>
      <w:widowControl/>
    </w:pPr>
    <w:rPr>
      <w:rFonts w:ascii="Arial" w:hAnsi="Arial" w:cs="Arial"/>
      <w:b/>
      <w:bCs/>
      <w:color w:val="000000"/>
      <w:sz w:val="22"/>
      <w:szCs w:val="22"/>
    </w:rPr>
  </w:style>
  <w:style w:type="paragraph" w:styleId="1043" w:customStyle="1">
    <w:name w:val="font15"/>
    <w:basedOn w:val="721"/>
    <w:uiPriority w:val="0"/>
    <w:qFormat/>
    <w:pPr>
      <w:jc w:val="left"/>
      <w:spacing w:before="100" w:beforeAutospacing="1" w:after="100" w:afterAutospacing="1"/>
      <w:widowControl/>
    </w:pPr>
    <w:rPr>
      <w:rFonts w:ascii="宋体" w:hAnsi="宋体" w:cs="宋体"/>
      <w:color w:val="000000"/>
      <w:sz w:val="22"/>
      <w:szCs w:val="22"/>
      <w:u w:val="single"/>
    </w:rPr>
  </w:style>
  <w:style w:type="paragraph" w:styleId="1044" w:customStyle="1">
    <w:name w:val="font16"/>
    <w:basedOn w:val="721"/>
    <w:uiPriority w:val="0"/>
    <w:qFormat/>
    <w:pPr>
      <w:jc w:val="left"/>
      <w:spacing w:before="100" w:beforeAutospacing="1" w:after="100" w:afterAutospacing="1"/>
      <w:widowControl/>
    </w:pPr>
    <w:rPr>
      <w:rFonts w:ascii="Arial" w:hAnsi="Arial" w:cs="Arial"/>
      <w:color w:val="000000"/>
      <w:sz w:val="22"/>
      <w:szCs w:val="22"/>
      <w:u w:val="single"/>
    </w:rPr>
  </w:style>
  <w:style w:type="paragraph" w:styleId="1045" w:customStyle="1">
    <w:name w:val="font17"/>
    <w:basedOn w:val="721"/>
    <w:uiPriority w:val="0"/>
    <w:qFormat/>
    <w:pPr>
      <w:jc w:val="left"/>
      <w:spacing w:before="100" w:beforeAutospacing="1" w:after="100" w:afterAutospacing="1"/>
      <w:widowControl/>
    </w:pPr>
    <w:rPr>
      <w:rFonts w:ascii="新宋体" w:hAnsi="新宋体" w:eastAsia="新宋体" w:cs="宋体"/>
      <w:color w:val="000000"/>
      <w:sz w:val="22"/>
      <w:szCs w:val="22"/>
      <w:u w:val="single"/>
    </w:rPr>
  </w:style>
  <w:style w:type="paragraph" w:styleId="1046" w:customStyle="1">
    <w:name w:val="font18"/>
    <w:basedOn w:val="721"/>
    <w:uiPriority w:val="0"/>
    <w:qFormat/>
    <w:pPr>
      <w:jc w:val="left"/>
      <w:spacing w:before="100" w:beforeAutospacing="1" w:after="100" w:afterAutospacing="1"/>
      <w:widowControl/>
    </w:pPr>
    <w:rPr>
      <w:rFonts w:ascii="Wingdings 2" w:hAnsi="Wingdings 2" w:cs="宋体"/>
      <w:color w:val="000000"/>
      <w:sz w:val="22"/>
      <w:szCs w:val="22"/>
    </w:rPr>
  </w:style>
  <w:style w:type="paragraph" w:styleId="1047" w:customStyle="1">
    <w:name w:val="font19"/>
    <w:basedOn w:val="721"/>
    <w:uiPriority w:val="0"/>
    <w:qFormat/>
    <w:pPr>
      <w:jc w:val="left"/>
      <w:spacing w:before="100" w:beforeAutospacing="1" w:after="100" w:afterAutospacing="1"/>
      <w:widowControl/>
    </w:pPr>
    <w:rPr>
      <w:color w:val="333333"/>
      <w:sz w:val="22"/>
      <w:szCs w:val="22"/>
    </w:rPr>
  </w:style>
  <w:style w:type="paragraph" w:styleId="1048" w:customStyle="1">
    <w:name w:val="font20"/>
    <w:basedOn w:val="721"/>
    <w:uiPriority w:val="0"/>
    <w:qFormat/>
    <w:pPr>
      <w:jc w:val="left"/>
      <w:spacing w:before="100" w:beforeAutospacing="1" w:after="100" w:afterAutospacing="1"/>
      <w:widowControl/>
    </w:pPr>
    <w:rPr>
      <w:rFonts w:ascii="宋体" w:hAnsi="宋体" w:cs="宋体"/>
      <w:color w:val="333333"/>
      <w:sz w:val="22"/>
      <w:szCs w:val="22"/>
    </w:rPr>
  </w:style>
  <w:style w:type="paragraph" w:styleId="1049" w:customStyle="1">
    <w:name w:val="font21"/>
    <w:basedOn w:val="721"/>
    <w:uiPriority w:val="0"/>
    <w:qFormat/>
    <w:pPr>
      <w:jc w:val="left"/>
      <w:spacing w:before="100" w:beforeAutospacing="1" w:after="100" w:afterAutospacing="1"/>
      <w:widowControl/>
    </w:pPr>
    <w:rPr>
      <w:color w:val="000000"/>
      <w:sz w:val="22"/>
      <w:szCs w:val="22"/>
    </w:rPr>
  </w:style>
  <w:style w:type="paragraph" w:styleId="1050" w:customStyle="1">
    <w:name w:val="font22"/>
    <w:basedOn w:val="721"/>
    <w:uiPriority w:val="0"/>
    <w:qFormat/>
    <w:pPr>
      <w:jc w:val="left"/>
      <w:spacing w:before="100" w:beforeAutospacing="1" w:after="100" w:afterAutospacing="1"/>
      <w:widowControl/>
    </w:pPr>
    <w:rPr>
      <w:rFonts w:ascii="Arial" w:hAnsi="Arial" w:cs="Arial"/>
      <w:color w:val="666666"/>
      <w:sz w:val="22"/>
      <w:szCs w:val="22"/>
    </w:rPr>
  </w:style>
  <w:style w:type="paragraph" w:styleId="1051" w:customStyle="1">
    <w:name w:val="font23"/>
    <w:basedOn w:val="721"/>
    <w:uiPriority w:val="0"/>
    <w:qFormat/>
    <w:pPr>
      <w:jc w:val="left"/>
      <w:spacing w:before="100" w:beforeAutospacing="1" w:after="100" w:afterAutospacing="1"/>
      <w:widowControl/>
    </w:pPr>
    <w:rPr>
      <w:rFonts w:ascii="宋体" w:hAnsi="宋体" w:cs="宋体"/>
      <w:color w:val="666666"/>
      <w:sz w:val="22"/>
      <w:szCs w:val="22"/>
    </w:rPr>
  </w:style>
  <w:style w:type="paragraph" w:styleId="1052" w:customStyle="1">
    <w:name w:val="xl76"/>
    <w:basedOn w:val="721"/>
    <w:uiPriority w:val="0"/>
    <w:qFormat/>
    <w:pPr>
      <w:jc w:val="left"/>
      <w:spacing w:before="100" w:beforeAutospacing="1" w:after="100" w:afterAutospacing="1"/>
      <w:widowControl/>
      <w:pBdr>
        <w:top w:val="single" w:color="auto" w:sz="4" w:space="0"/>
        <w:left w:val="single" w:color="auto" w:sz="4" w:space="0"/>
      </w:pBdr>
    </w:pPr>
    <w:rPr>
      <w:rFonts w:ascii="宋体" w:hAnsi="宋体" w:cs="宋体"/>
      <w:sz w:val="24"/>
      <w:szCs w:val="24"/>
    </w:rPr>
  </w:style>
  <w:style w:type="paragraph" w:styleId="1053" w:customStyle="1">
    <w:name w:val="xl77"/>
    <w:basedOn w:val="721"/>
    <w:uiPriority w:val="0"/>
    <w:qFormat/>
    <w:pPr>
      <w:jc w:val="left"/>
      <w:spacing w:before="100" w:beforeAutospacing="1" w:after="100" w:afterAutospacing="1"/>
      <w:widowControl/>
      <w:pBdr>
        <w:top w:val="single" w:color="auto" w:sz="4" w:space="0"/>
        <w:right w:val="single" w:color="auto" w:sz="4" w:space="0"/>
      </w:pBdr>
    </w:pPr>
    <w:rPr>
      <w:rFonts w:ascii="宋体" w:hAnsi="宋体" w:cs="宋体"/>
      <w:sz w:val="24"/>
      <w:szCs w:val="24"/>
    </w:rPr>
  </w:style>
  <w:style w:type="paragraph" w:styleId="1054" w:customStyle="1">
    <w:name w:val="xl78"/>
    <w:basedOn w:val="72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szCs w:val="24"/>
    </w:rPr>
  </w:style>
  <w:style w:type="paragraph" w:styleId="1055" w:customStyle="1">
    <w:name w:val="xl79"/>
    <w:basedOn w:val="721"/>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sz w:val="24"/>
      <w:szCs w:val="24"/>
    </w:rPr>
  </w:style>
  <w:style w:type="paragraph" w:styleId="1056" w:customStyle="1">
    <w:name w:val="xl80"/>
    <w:basedOn w:val="7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1057" w:customStyle="1">
    <w:name w:val="xl8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1058" w:customStyle="1">
    <w:name w:val="xl8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59" w:customStyle="1">
    <w:name w:val="xl8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Wingdings 2" w:hAnsi="Wingdings 2" w:cs="宋体"/>
      <w:sz w:val="24"/>
      <w:szCs w:val="24"/>
    </w:rPr>
  </w:style>
  <w:style w:type="paragraph" w:styleId="1060" w:customStyle="1">
    <w:name w:val="xl8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333333"/>
      <w:sz w:val="24"/>
      <w:szCs w:val="24"/>
    </w:rPr>
  </w:style>
  <w:style w:type="paragraph" w:styleId="1061" w:customStyle="1">
    <w:name w:val="xl8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szCs w:val="24"/>
    </w:rPr>
  </w:style>
  <w:style w:type="paragraph" w:styleId="1062" w:customStyle="1">
    <w:name w:val="xl8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063" w:customStyle="1">
    <w:name w:val="xl8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666666"/>
      <w:sz w:val="24"/>
      <w:szCs w:val="24"/>
    </w:rPr>
  </w:style>
  <w:style w:type="paragraph" w:styleId="1064" w:customStyle="1">
    <w:name w:val="xl8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5" w:customStyle="1">
    <w:name w:val="xl89"/>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6" w:customStyle="1">
    <w:name w:val="xl9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067" w:customStyle="1">
    <w:name w:val="xl9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68" w:customStyle="1">
    <w:name w:val="xl9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9" w:customStyle="1">
    <w:name w:val="xl9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070" w:customStyle="1">
    <w:name w:val="普通文字 Char Char1"/>
    <w:uiPriority w:val="0"/>
    <w:qFormat/>
    <w:rPr>
      <w:rFonts w:ascii="宋体" w:hAnsi="Courier New" w:eastAsia="宋体" w:cs="Times New Roman"/>
      <w:szCs w:val="21"/>
    </w:rPr>
  </w:style>
  <w:style w:type="paragraph" w:styleId="1071" w:customStyle="1">
    <w:name w:val="列出段落1"/>
    <w:basedOn w:val="721"/>
    <w:uiPriority w:val="34"/>
    <w:qFormat/>
    <w:pPr>
      <w:ind w:firstLine="420"/>
    </w:pPr>
    <w:rPr>
      <w:szCs w:val="21"/>
    </w:rPr>
  </w:style>
  <w:style w:type="paragraph" w:styleId="1072" w:customStyle="1">
    <w:name w:val="列出段落111"/>
    <w:basedOn w:val="721"/>
    <w:uiPriority w:val="0"/>
    <w:qFormat/>
    <w:pPr>
      <w:ind w:firstLine="420"/>
    </w:pPr>
    <w:rPr>
      <w:rFonts w:ascii="Calibri" w:hAnsi="Calibri"/>
      <w:szCs w:val="22"/>
    </w:rPr>
  </w:style>
  <w:style w:type="paragraph" w:styleId="1073" w:customStyle="1">
    <w:name w:val="正文段"/>
    <w:basedOn w:val="721"/>
    <w:uiPriority w:val="0"/>
    <w:qFormat/>
    <w:pPr>
      <w:ind w:firstLine="200"/>
      <w:widowControl/>
    </w:pPr>
    <w:rPr>
      <w:sz w:val="24"/>
      <w:szCs w:val="28"/>
    </w:rPr>
  </w:style>
  <w:style w:type="character" w:styleId="1074" w:customStyle="1">
    <w:name w:val="Char Char5"/>
    <w:uiPriority w:val="0"/>
    <w:qFormat/>
    <w:rPr>
      <w:rFonts w:ascii="宋体" w:eastAsia="宋体"/>
      <w:b/>
      <w:bCs/>
      <w:sz w:val="32"/>
      <w:szCs w:val="32"/>
      <w:lang w:val="en-US" w:eastAsia="zh-CN" w:bidi="ar-SA"/>
    </w:rPr>
  </w:style>
  <w:style w:type="character" w:styleId="1075" w:customStyle="1">
    <w:name w:val="Char Char4"/>
    <w:uiPriority w:val="0"/>
    <w:qFormat/>
    <w:rPr>
      <w:rFonts w:ascii="宋体" w:eastAsia="宋体"/>
      <w:sz w:val="18"/>
      <w:szCs w:val="18"/>
      <w:lang w:bidi="ar-SA"/>
    </w:rPr>
  </w:style>
  <w:style w:type="character" w:styleId="1076" w:customStyle="1">
    <w:name w:val="text1"/>
    <w:basedOn w:val="731"/>
    <w:uiPriority w:val="0"/>
    <w:qFormat/>
  </w:style>
  <w:style w:type="character" w:styleId="1077" w:customStyle="1">
    <w:name w:val="style31"/>
    <w:uiPriority w:val="0"/>
    <w:qFormat/>
    <w:rPr>
      <w:b/>
      <w:bCs/>
      <w:color w:val="0141a0"/>
      <w:sz w:val="21"/>
      <w:szCs w:val="21"/>
    </w:rPr>
  </w:style>
  <w:style w:type="character" w:styleId="1078" w:customStyle="1">
    <w:name w:val="Char Char6"/>
    <w:uiPriority w:val="0"/>
    <w:qFormat/>
    <w:rPr>
      <w:rFonts w:ascii="宋体" w:eastAsia="宋体"/>
      <w:sz w:val="18"/>
      <w:szCs w:val="18"/>
      <w:lang w:bidi="ar-SA"/>
    </w:rPr>
  </w:style>
  <w:style w:type="paragraph" w:styleId="1079" w:customStyle="1">
    <w:name w:val="一级条标题"/>
    <w:basedOn w:val="722"/>
    <w:next w:val="1080"/>
    <w:uiPriority w:val="0"/>
    <w:qFormat/>
    <w:pPr>
      <w:numPr>
        <w:ilvl w:val="3"/>
        <w:numId w:val="4"/>
      </w:numPr>
      <w:ind w:left="315"/>
      <w:keepLines w:val="0"/>
      <w:keepNext w:val="0"/>
      <w:spacing w:line="240" w:lineRule="auto"/>
      <w:widowControl/>
      <w:outlineLvl w:val="2"/>
    </w:pPr>
    <w:rPr>
      <w:rFonts w:ascii="黑体" w:eastAsia="黑体"/>
      <w:b w:val="0"/>
      <w:sz w:val="21"/>
    </w:rPr>
  </w:style>
  <w:style w:type="paragraph" w:styleId="1080" w:customStyle="1">
    <w:name w:val="段"/>
    <w:uiPriority w:val="0"/>
    <w:qFormat/>
    <w:pPr>
      <w:numPr>
        <w:ilvl w:val="0"/>
        <w:numId w:val="5"/>
      </w:numPr>
      <w:ind w:left="0" w:firstLine="200"/>
      <w:jc w:val="both"/>
      <w:tabs>
        <w:tab w:val="clear" w:pos="1620" w:leader="none"/>
      </w:tabs>
    </w:pPr>
    <w:rPr>
      <w:rFonts w:ascii="宋体" w:hAnsi="Times New Roman" w:eastAsia="宋体" w:cs="Times New Roman"/>
      <w:sz w:val="21"/>
      <w:lang w:val="en-US" w:eastAsia="zh-CN" w:bidi="ar-SA"/>
    </w:rPr>
  </w:style>
  <w:style w:type="paragraph" w:styleId="1081" w:customStyle="1">
    <w:name w:val="一级缩进"/>
    <w:uiPriority w:val="0"/>
    <w:qFormat/>
    <w:pPr>
      <w:ind w:left="1290" w:hanging="1290"/>
      <w:jc w:val="both"/>
      <w:spacing w:before="120" w:after="120" w:line="360" w:lineRule="auto"/>
      <w:tabs>
        <w:tab w:val="left" w:pos="1290" w:leader="none"/>
      </w:tabs>
    </w:pPr>
    <w:rPr>
      <w:rFonts w:ascii="仿宋_GB2312" w:hAnsi="Times New Roman" w:eastAsia="仿宋_GB2312" w:cs="Times New Roman"/>
      <w:sz w:val="24"/>
      <w:szCs w:val="24"/>
      <w:lang w:val="en-US" w:eastAsia="zh-CN" w:bidi="ar-SA"/>
    </w:rPr>
  </w:style>
  <w:style w:type="paragraph" w:styleId="1082" w:customStyle="1">
    <w:name w:val="表格样式居左"/>
    <w:uiPriority w:val="0"/>
    <w:qFormat/>
    <w:pPr>
      <w:spacing w:line="360" w:lineRule="exact"/>
    </w:pPr>
    <w:rPr>
      <w:rFonts w:ascii="仿宋_GB2312" w:hAnsi="Times New Roman" w:eastAsia="仿宋_GB2312" w:cs="Times New Roman"/>
      <w:bCs/>
      <w:sz w:val="21"/>
      <w:szCs w:val="44"/>
      <w:lang w:val="en-US" w:eastAsia="zh-CN" w:bidi="ar-SA"/>
    </w:rPr>
  </w:style>
  <w:style w:type="paragraph" w:styleId="1083" w:customStyle="1">
    <w:name w:val="省厅标题3"/>
    <w:basedOn w:val="721"/>
    <w:uiPriority w:val="0"/>
    <w:qFormat/>
    <w:pPr>
      <w:ind w:firstLine="200"/>
      <w:spacing w:line="336" w:lineRule="auto"/>
      <w:outlineLvl w:val="2"/>
    </w:pPr>
    <w:rPr>
      <w:rFonts w:ascii="仿宋_GB2312" w:eastAsia="仿宋_GB2312"/>
      <w:sz w:val="32"/>
      <w:szCs w:val="32"/>
    </w:rPr>
  </w:style>
  <w:style w:type="paragraph" w:styleId="1084" w:customStyle="1">
    <w:name w:val="_Style 37"/>
    <w:basedOn w:val="721"/>
    <w:next w:val="760"/>
    <w:uiPriority w:val="0"/>
    <w:qFormat/>
    <w:pPr>
      <w:ind w:firstLine="420"/>
      <w:spacing w:line="360" w:lineRule="auto"/>
    </w:pPr>
    <w:rPr>
      <w:color w:val="ff0000"/>
      <w:sz w:val="24"/>
      <w:szCs w:val="24"/>
    </w:rPr>
  </w:style>
  <w:style w:type="paragraph" w:styleId="1085" w:customStyle="1">
    <w:name w:val="标准正文小四缩进样式"/>
    <w:basedOn w:val="721"/>
    <w:uiPriority w:val="0"/>
    <w:qFormat/>
    <w:pPr>
      <w:ind w:firstLine="200"/>
      <w:spacing w:before="60" w:after="60" w:line="300" w:lineRule="auto"/>
    </w:pPr>
    <w:rPr>
      <w:rFonts w:ascii="宋体" w:cs="宋体"/>
      <w:sz w:val="24"/>
    </w:rPr>
  </w:style>
  <w:style w:type="paragraph" w:styleId="1086" w:customStyle="1">
    <w:name w:val="Char Char Char Char Char Char Char Char Char Char Char Char Char Char Char Char"/>
    <w:basedOn w:val="721"/>
    <w:uiPriority w:val="0"/>
    <w:qFormat/>
    <w:pPr>
      <w:tabs>
        <w:tab w:val="left" w:pos="360" w:leader="none"/>
      </w:tabs>
    </w:pPr>
    <w:rPr>
      <w:sz w:val="24"/>
      <w:szCs w:val="24"/>
    </w:rPr>
  </w:style>
  <w:style w:type="paragraph" w:styleId="1087" w:customStyle="1">
    <w:name w:val="普通 (Web)"/>
    <w:basedOn w:val="721"/>
    <w:uiPriority w:val="0"/>
    <w:qFormat/>
    <w:pPr>
      <w:jc w:val="left"/>
      <w:spacing w:before="100" w:beforeAutospacing="1" w:after="100" w:afterAutospacing="1"/>
      <w:widowControl/>
    </w:pPr>
    <w:rPr>
      <w:rFonts w:ascii="宋体"/>
      <w:sz w:val="24"/>
      <w:szCs w:val="24"/>
    </w:rPr>
  </w:style>
  <w:style w:type="paragraph" w:styleId="1088" w:customStyle="1">
    <w:name w:val="Char1"/>
    <w:basedOn w:val="721"/>
    <w:uiPriority w:val="0"/>
    <w:qFormat/>
    <w:rPr>
      <w:rFonts w:ascii="Tahoma" w:hAnsi="Tahoma"/>
      <w:sz w:val="24"/>
    </w:rPr>
  </w:style>
  <w:style w:type="paragraph" w:styleId="1089" w:customStyle="1">
    <w:name w:val="四级条标题"/>
    <w:basedOn w:val="1090"/>
    <w:next w:val="1080"/>
    <w:uiPriority w:val="0"/>
    <w:qFormat/>
    <w:pPr>
      <w:numPr>
        <w:ilvl w:val="6"/>
        <w:numId w:val="0"/>
      </w:numPr>
      <w:tabs>
        <w:tab w:val="left" w:pos="0" w:leader="none"/>
        <w:tab w:val="left" w:pos="1680" w:leader="none"/>
        <w:tab w:val="left" w:pos="2520" w:leader="none"/>
      </w:tabs>
      <w:outlineLvl w:val="5"/>
    </w:pPr>
  </w:style>
  <w:style w:type="paragraph" w:styleId="1090" w:customStyle="1">
    <w:name w:val="三级条标题"/>
    <w:basedOn w:val="1091"/>
    <w:next w:val="1080"/>
    <w:uiPriority w:val="0"/>
    <w:qFormat/>
    <w:pPr>
      <w:numPr>
        <w:ilvl w:val="5"/>
        <w:numId w:val="4"/>
      </w:numPr>
      <w:ind w:left="1260"/>
      <w:tabs>
        <w:tab w:val="left" w:pos="0" w:leader="none"/>
        <w:tab w:val="left" w:pos="1680" w:leader="none"/>
      </w:tabs>
      <w:outlineLvl w:val="4"/>
    </w:pPr>
  </w:style>
  <w:style w:type="paragraph" w:styleId="1091" w:customStyle="1">
    <w:name w:val="二级条标题"/>
    <w:basedOn w:val="1079"/>
    <w:next w:val="1080"/>
    <w:uiPriority w:val="0"/>
    <w:qFormat/>
    <w:pPr>
      <w:numPr>
        <w:ilvl w:val="0"/>
        <w:numId w:val="6"/>
      </w:numPr>
      <w:ind w:left="1080" w:firstLine="0"/>
      <w:tabs>
        <w:tab w:val="clear" w:pos="780" w:leader="none"/>
      </w:tabs>
      <w:outlineLvl w:val="3"/>
    </w:pPr>
  </w:style>
  <w:style w:type="paragraph" w:styleId="1092" w:customStyle="1">
    <w:name w:val="省厅标题1"/>
    <w:basedOn w:val="721"/>
    <w:uiPriority w:val="0"/>
    <w:qFormat/>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1093" w:customStyle="1">
    <w:name w:val="省厅正文"/>
    <w:basedOn w:val="721"/>
    <w:uiPriority w:val="0"/>
    <w:qFormat/>
    <w:pPr>
      <w:numPr>
        <w:ilvl w:val="0"/>
        <w:numId w:val="8"/>
      </w:numPr>
      <w:ind w:left="0" w:firstLine="200"/>
      <w:spacing w:line="336" w:lineRule="auto"/>
      <w:tabs>
        <w:tab w:val="clear" w:pos="2040" w:leader="none"/>
      </w:tabs>
    </w:pPr>
    <w:rPr>
      <w:rFonts w:ascii="仿宋_GB2312" w:eastAsia="仿宋_GB2312"/>
      <w:sz w:val="32"/>
      <w:szCs w:val="32"/>
    </w:rPr>
  </w:style>
  <w:style w:type="paragraph" w:styleId="1094" w:customStyle="1">
    <w:name w:val="正文（缩进）"/>
    <w:basedOn w:val="721"/>
    <w:uiPriority w:val="0"/>
    <w:qFormat/>
    <w:pPr>
      <w:ind w:firstLine="200"/>
      <w:spacing w:line="360" w:lineRule="auto"/>
    </w:pPr>
    <w:rPr>
      <w:rFonts w:ascii="宋体"/>
      <w:sz w:val="24"/>
      <w:szCs w:val="24"/>
    </w:rPr>
  </w:style>
  <w:style w:type="paragraph" w:styleId="1095" w:customStyle="1">
    <w:name w:val="xl2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sz w:val="24"/>
      <w:szCs w:val="24"/>
    </w:rPr>
  </w:style>
  <w:style w:type="paragraph" w:styleId="1096" w:customStyle="1">
    <w:name w:val="xl24"/>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sz w:val="24"/>
      <w:szCs w:val="24"/>
    </w:rPr>
  </w:style>
  <w:style w:type="paragraph" w:styleId="1097" w:customStyle="1">
    <w:name w:val="附录1"/>
    <w:uiPriority w:val="0"/>
    <w:qFormat/>
    <w:pPr>
      <w:ind w:left="360" w:hanging="360"/>
      <w:spacing w:before="240" w:line="600" w:lineRule="atLeast"/>
      <w:tabs>
        <w:tab w:val="left" w:pos="360" w:leader="none"/>
        <w:tab w:val="left" w:pos="907" w:leader="none"/>
      </w:tabs>
    </w:pPr>
    <w:rPr>
      <w:rFonts w:ascii="Times New Roman" w:hAnsi="Times New Roman" w:eastAsia="宋体" w:cs="Times New Roman"/>
      <w:b/>
      <w:i/>
      <w:sz w:val="28"/>
      <w:lang w:val="en-US" w:eastAsia="zh-CN" w:bidi="ar-SA"/>
    </w:rPr>
  </w:style>
  <w:style w:type="paragraph" w:styleId="1098" w:customStyle="1">
    <w:name w:val="样式1"/>
    <w:basedOn w:val="721"/>
    <w:uiPriority w:val="0"/>
    <w:qFormat/>
    <w:pPr>
      <w:ind w:left="360" w:hanging="360"/>
      <w:tabs>
        <w:tab w:val="left" w:pos="360" w:leader="none"/>
        <w:tab w:val="left" w:pos="709" w:leader="none"/>
      </w:tabs>
    </w:pPr>
    <w:rPr>
      <w:rFonts w:ascii="宋体"/>
      <w:szCs w:val="21"/>
    </w:rPr>
  </w:style>
  <w:style w:type="paragraph" w:styleId="1099" w:customStyle="1">
    <w:name w:val="段落"/>
    <w:uiPriority w:val="0"/>
    <w:qFormat/>
    <w:pPr>
      <w:ind w:firstLine="225"/>
      <w:jc w:val="both"/>
      <w:spacing w:after="160" w:line="360" w:lineRule="auto"/>
    </w:pPr>
    <w:rPr>
      <w:rFonts w:ascii="仿宋_GB2312" w:hAnsi="Times New Roman" w:eastAsia="仿宋_GB2312" w:cs="Times New Roman"/>
      <w:sz w:val="24"/>
      <w:szCs w:val="24"/>
      <w:lang w:val="en-US" w:eastAsia="zh-CN" w:bidi="ar-SA"/>
    </w:rPr>
  </w:style>
  <w:style w:type="paragraph" w:styleId="1100" w:customStyle="1">
    <w:name w:val="图标"/>
    <w:basedOn w:val="721"/>
    <w:next w:val="721"/>
    <w:uiPriority w:val="0"/>
    <w:qFormat/>
    <w:pPr>
      <w:numPr>
        <w:ilvl w:val="0"/>
        <w:numId w:val="9"/>
      </w:numPr>
      <w:jc w:val="center"/>
      <w:spacing w:before="120" w:after="120" w:line="320" w:lineRule="atLeast"/>
      <w:tabs>
        <w:tab w:val="left" w:pos="567" w:leader="none"/>
      </w:tabs>
    </w:pPr>
    <w:rPr>
      <w:rFonts w:eastAsia="仿宋_GB2312"/>
      <w:sz w:val="24"/>
    </w:rPr>
  </w:style>
  <w:style w:type="paragraph" w:styleId="1101" w:customStyle="1">
    <w:name w:val="Char3 Char Char Char"/>
    <w:basedOn w:val="721"/>
    <w:uiPriority w:val="0"/>
    <w:qFormat/>
    <w:pPr>
      <w:jc w:val="left"/>
      <w:spacing w:after="160" w:line="240" w:lineRule="exact"/>
      <w:widowControl/>
    </w:pPr>
    <w:rPr>
      <w:rFonts w:ascii="Verdana" w:hAnsi="Verdana"/>
      <w:sz w:val="20"/>
      <w:lang w:eastAsia="en-US"/>
    </w:rPr>
  </w:style>
  <w:style w:type="paragraph" w:styleId="1102" w:customStyle="1">
    <w:name w:val="标题3"/>
    <w:basedOn w:val="721"/>
    <w:next w:val="721"/>
    <w:uiPriority w:val="0"/>
    <w:qFormat/>
    <w:pPr>
      <w:ind w:firstLine="624"/>
      <w:spacing w:line="590" w:lineRule="atLeast"/>
    </w:pPr>
    <w:rPr>
      <w:rFonts w:ascii="方正黑体_GBK" w:hAnsi="方正黑体_GBK" w:eastAsia="方正黑体_GBK"/>
      <w:sz w:val="32"/>
      <w:szCs w:val="32"/>
    </w:rPr>
  </w:style>
  <w:style w:type="paragraph" w:styleId="1103" w:customStyle="1">
    <w:name w:val="Char2 Char Char Char"/>
    <w:basedOn w:val="721"/>
    <w:uiPriority w:val="0"/>
    <w:qFormat/>
    <w:rPr>
      <w:rFonts w:ascii="仿宋_GB2312" w:eastAsia="仿宋_GB2312"/>
      <w:b/>
      <w:sz w:val="32"/>
      <w:szCs w:val="32"/>
    </w:rPr>
  </w:style>
  <w:style w:type="paragraph" w:styleId="1104" w:customStyle="1">
    <w:name w:val="标题11"/>
    <w:basedOn w:val="721"/>
    <w:next w:val="721"/>
    <w:uiPriority w:val="0"/>
    <w:qFormat/>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1105" w:customStyle="1">
    <w:name w:val="正文缩进1"/>
    <w:basedOn w:val="721"/>
    <w:uiPriority w:val="0"/>
    <w:qFormat/>
    <w:pPr>
      <w:ind w:left="200" w:firstLine="200"/>
      <w:spacing w:after="120" w:line="360" w:lineRule="auto"/>
    </w:pPr>
    <w:rPr>
      <w:sz w:val="24"/>
      <w:szCs w:val="21"/>
    </w:rPr>
  </w:style>
  <w:style w:type="paragraph" w:styleId="1106" w:customStyle="1">
    <w:name w:val="Body Text(ch)"/>
    <w:basedOn w:val="721"/>
    <w:next w:val="740"/>
    <w:uiPriority w:val="0"/>
    <w:qFormat/>
    <w:pPr>
      <w:spacing w:after="120"/>
    </w:pPr>
    <w:rPr>
      <w:rFonts w:ascii="宋体"/>
      <w:bCs/>
      <w:iCs/>
      <w:szCs w:val="24"/>
    </w:rPr>
  </w:style>
  <w:style w:type="paragraph" w:styleId="1107" w:customStyle="1">
    <w:name w:val="正文首行缩进1"/>
    <w:basedOn w:val="1108"/>
    <w:uiPriority w:val="0"/>
    <w:qFormat/>
    <w:pPr>
      <w:ind w:firstLine="420"/>
      <w:spacing w:after="120"/>
    </w:pPr>
    <w:rPr>
      <w:rFonts w:ascii="Times New Roman" w:eastAsia="宋体"/>
      <w:sz w:val="21"/>
      <w:szCs w:val="24"/>
      <w:lang w:eastAsia="ar-SA"/>
    </w:rPr>
  </w:style>
  <w:style w:type="paragraph" w:styleId="1108" w:customStyle="1">
    <w:name w:val="正文文本11"/>
    <w:basedOn w:val="721"/>
    <w:uiPriority w:val="0"/>
    <w:qFormat/>
    <w:rPr>
      <w:rFonts w:ascii="楷体_GB2312" w:hAnsi="Arial" w:eastAsia="楷体_GB2312"/>
      <w:sz w:val="28"/>
      <w:szCs w:val="28"/>
    </w:rPr>
  </w:style>
  <w:style w:type="paragraph" w:styleId="1109" w:customStyle="1">
    <w:name w:val="正文文本1"/>
    <w:basedOn w:val="721"/>
    <w:uiPriority w:val="0"/>
    <w:qFormat/>
    <w:rPr>
      <w:rFonts w:ascii="楷体_GB2312" w:hAnsi="Arial" w:eastAsia="楷体_GB2312"/>
      <w:sz w:val="28"/>
      <w:szCs w:val="28"/>
      <w:lang w:eastAsia="en-US"/>
    </w:rPr>
  </w:style>
  <w:style w:type="paragraph" w:styleId="1110" w:customStyle="1">
    <w:name w:val="xl25"/>
    <w:basedOn w:val="721"/>
    <w:uiPriority w:val="0"/>
    <w:qFormat/>
    <w:pPr>
      <w:jc w:val="center"/>
      <w:spacing w:before="100" w:beforeAutospacing="1" w:after="100" w:afterAutospacing="1"/>
      <w:widowControl/>
    </w:pPr>
    <w:rPr>
      <w:rFonts w:ascii="Arial Unicode MS" w:eastAsia="Arial Unicode MS" w:cs="Arial Unicode MS"/>
      <w:sz w:val="24"/>
      <w:szCs w:val="24"/>
    </w:rPr>
  </w:style>
  <w:style w:type="paragraph" w:styleId="1111" w:customStyle="1">
    <w:name w:val="列出段落2"/>
    <w:basedOn w:val="721"/>
    <w:uiPriority w:val="0"/>
    <w:qFormat/>
    <w:pPr>
      <w:ind w:firstLine="200"/>
    </w:pPr>
    <w:rPr>
      <w:rFonts w:ascii="Calibri" w:hAnsi="Calibri"/>
      <w:szCs w:val="22"/>
    </w:rPr>
  </w:style>
  <w:style w:type="paragraph" w:styleId="1112" w:customStyle="1">
    <w:name w:val="正文520"/>
    <w:basedOn w:val="721"/>
    <w:uiPriority w:val="0"/>
    <w:qFormat/>
    <w:pPr>
      <w:ind w:firstLine="213"/>
      <w:spacing w:line="360" w:lineRule="auto"/>
    </w:pPr>
    <w:rPr>
      <w:rFonts w:ascii="宋体" w:cs="Arial"/>
      <w:sz w:val="24"/>
      <w:szCs w:val="24"/>
    </w:rPr>
  </w:style>
  <w:style w:type="character" w:styleId="1113" w:customStyle="1">
    <w:name w:val="PIM 7 Char"/>
    <w:uiPriority w:val="0"/>
    <w:qFormat/>
    <w:rPr>
      <w:rFonts w:ascii="Calibri" w:hAnsi="Calibri"/>
      <w:b/>
      <w:bCs/>
      <w:sz w:val="24"/>
      <w:szCs w:val="24"/>
    </w:rPr>
  </w:style>
  <w:style w:type="character" w:styleId="1114" w:customStyle="1">
    <w:name w:val="Legal Level 1.1.1. Char"/>
    <w:uiPriority w:val="0"/>
    <w:qFormat/>
    <w:rPr>
      <w:rFonts w:ascii="Cambria" w:hAnsi="Cambria"/>
      <w:sz w:val="24"/>
      <w:szCs w:val="24"/>
    </w:rPr>
  </w:style>
  <w:style w:type="character" w:styleId="1115" w:customStyle="1">
    <w:name w:val="PIM 9 Char"/>
    <w:uiPriority w:val="0"/>
    <w:qFormat/>
    <w:rPr>
      <w:rFonts w:ascii="Cambria" w:hAnsi="Cambria"/>
      <w:szCs w:val="21"/>
    </w:rPr>
  </w:style>
  <w:style w:type="character" w:styleId="1116" w:customStyle="1">
    <w:name w:val="列出段落 Char"/>
    <w:link w:val="1117"/>
    <w:uiPriority w:val="0"/>
    <w:qFormat/>
    <w:rPr>
      <w:sz w:val="21"/>
      <w:szCs w:val="22"/>
      <w:lang w:bidi="ar-SA"/>
    </w:rPr>
  </w:style>
  <w:style w:type="paragraph" w:styleId="1117" w:customStyle="1">
    <w:name w:val="列出段落21"/>
    <w:basedOn w:val="721"/>
    <w:link w:val="1116"/>
    <w:uiPriority w:val="0"/>
    <w:qFormat/>
    <w:pPr>
      <w:ind w:firstLine="420"/>
    </w:pPr>
    <w:rPr>
      <w:rFonts w:ascii="Calibri" w:hAnsi="Calibri"/>
      <w:szCs w:val="22"/>
    </w:rPr>
  </w:style>
  <w:style w:type="character" w:styleId="1118" w:customStyle="1">
    <w:name w:val="help-inline"/>
    <w:uiPriority w:val="0"/>
    <w:qFormat/>
  </w:style>
  <w:style w:type="paragraph" w:styleId="1119" w:customStyle="1">
    <w:name w:val="正文 第一章"/>
    <w:basedOn w:val="721"/>
    <w:next w:val="1120"/>
    <w:uiPriority w:val="0"/>
    <w:qFormat/>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1120" w:customStyle="1">
    <w:name w:val="正文 1.1"/>
    <w:basedOn w:val="721"/>
    <w:next w:val="1121"/>
    <w:uiPriority w:val="0"/>
    <w:qFormat/>
    <w:pPr>
      <w:numPr>
        <w:ilvl w:val="1"/>
        <w:numId w:val="10"/>
      </w:numPr>
      <w:ind w:left="350" w:hanging="350"/>
      <w:spacing w:line="360" w:lineRule="auto"/>
      <w:outlineLvl w:val="1"/>
    </w:pPr>
    <w:rPr>
      <w:rFonts w:ascii="仿宋" w:hAnsi="宋体" w:eastAsia="仿宋"/>
      <w:b/>
      <w:sz w:val="28"/>
      <w:szCs w:val="21"/>
    </w:rPr>
  </w:style>
  <w:style w:type="paragraph" w:styleId="1121" w:customStyle="1">
    <w:name w:val="正文 1.1.1"/>
    <w:basedOn w:val="721"/>
    <w:next w:val="721"/>
    <w:uiPriority w:val="0"/>
    <w:qFormat/>
    <w:pPr>
      <w:numPr>
        <w:ilvl w:val="2"/>
        <w:numId w:val="10"/>
      </w:numPr>
      <w:spacing w:line="360" w:lineRule="auto"/>
      <w:outlineLvl w:val="2"/>
    </w:pPr>
    <w:rPr>
      <w:rFonts w:ascii="宋体" w:hAnsi="宋体" w:eastAsia="仿宋"/>
      <w:sz w:val="28"/>
      <w:szCs w:val="21"/>
    </w:rPr>
  </w:style>
  <w:style w:type="character" w:styleId="1122" w:customStyle="1">
    <w:name w:val="批注框文本 Char1"/>
    <w:uiPriority w:val="0"/>
    <w:qFormat/>
    <w:rPr>
      <w:sz w:val="18"/>
      <w:szCs w:val="18"/>
    </w:rPr>
  </w:style>
  <w:style w:type="character" w:styleId="1123" w:customStyle="1">
    <w:name w:val="纯文本 Char1"/>
    <w:uiPriority w:val="0"/>
    <w:qFormat/>
    <w:rPr>
      <w:rFonts w:ascii="宋体" w:hAnsi="Courier New" w:cs="Courier New"/>
      <w:sz w:val="21"/>
      <w:szCs w:val="21"/>
    </w:rPr>
  </w:style>
  <w:style w:type="character" w:styleId="1124" w:customStyle="1">
    <w:name w:val="正文文本 2 Char1"/>
    <w:uiPriority w:val="0"/>
    <w:qFormat/>
    <w:rPr>
      <w:sz w:val="21"/>
      <w:szCs w:val="24"/>
    </w:rPr>
  </w:style>
  <w:style w:type="paragraph" w:styleId="1125" w:customStyle="1">
    <w:name w:val="第四级"/>
    <w:basedOn w:val="721"/>
    <w:next w:val="1126"/>
    <w:uiPriority w:val="0"/>
    <w:qFormat/>
    <w:pPr>
      <w:ind w:left="1680" w:hanging="420"/>
      <w:spacing w:line="360" w:lineRule="auto"/>
      <w:tabs>
        <w:tab w:val="left" w:pos="1134" w:leader="none"/>
      </w:tabs>
    </w:pPr>
    <w:rPr>
      <w:rFonts w:ascii="宋体" w:hAnsi="宋体" w:eastAsia="仿宋"/>
      <w:sz w:val="28"/>
      <w:szCs w:val="21"/>
    </w:rPr>
  </w:style>
  <w:style w:type="paragraph" w:styleId="1126" w:customStyle="1">
    <w:name w:val="正文空2格  1."/>
    <w:basedOn w:val="721"/>
    <w:uiPriority w:val="0"/>
    <w:qFormat/>
    <w:pPr>
      <w:ind w:firstLine="200"/>
      <w:spacing w:line="360" w:lineRule="auto"/>
    </w:pPr>
    <w:rPr>
      <w:rFonts w:ascii="宋体" w:hAnsi="宋体" w:eastAsia="仿宋" w:cs="宋体"/>
      <w:sz w:val="28"/>
    </w:rPr>
  </w:style>
  <w:style w:type="paragraph" w:styleId="1127" w:customStyle="1">
    <w:name w:val="列出段落3"/>
    <w:basedOn w:val="721"/>
    <w:uiPriority w:val="0"/>
    <w:qFormat/>
    <w:pPr>
      <w:ind w:firstLine="200"/>
      <w:spacing w:line="360" w:lineRule="auto"/>
    </w:pPr>
    <w:rPr>
      <w:rFonts w:eastAsia="仿宋_GB2312"/>
      <w:sz w:val="24"/>
    </w:rPr>
  </w:style>
  <w:style w:type="paragraph" w:styleId="1128" w:customStyle="1">
    <w:name w:val="方案正文"/>
    <w:basedOn w:val="757"/>
    <w:uiPriority w:val="0"/>
    <w:qFormat/>
    <w:pPr>
      <w:contextualSpacing/>
      <w:ind w:left="0" w:firstLine="200"/>
      <w:spacing w:before="100" w:beforeAutospacing="1" w:after="100" w:afterAutospacing="1" w:line="360" w:lineRule="auto"/>
    </w:pPr>
    <w:rPr>
      <w:rFonts w:ascii="宋体"/>
      <w:sz w:val="24"/>
    </w:rPr>
  </w:style>
  <w:style w:type="paragraph" w:styleId="1129" w:customStyle="1">
    <w:name w:val="表格正文"/>
    <w:basedOn w:val="721"/>
    <w:uiPriority w:val="0"/>
    <w:qFormat/>
    <w:pPr>
      <w:spacing w:line="360" w:lineRule="atLeast"/>
    </w:pPr>
    <w:rPr>
      <w:szCs w:val="24"/>
    </w:rPr>
  </w:style>
  <w:style w:type="paragraph" w:styleId="1130">
    <w:name w:val="No Spacing"/>
    <w:uiPriority w:val="1"/>
    <w:qFormat/>
    <w:pPr>
      <w:jc w:val="both"/>
      <w:widowControl w:val="off"/>
    </w:pPr>
    <w:rPr>
      <w:rFonts w:ascii="Calibri" w:hAnsi="Calibri" w:eastAsia="宋体" w:cs="Times New Roman"/>
      <w:sz w:val="21"/>
      <w:szCs w:val="22"/>
      <w:lang w:val="en-US" w:eastAsia="zh-CN" w:bidi="ar-SA"/>
    </w:rPr>
  </w:style>
  <w:style w:type="paragraph" w:styleId="1131" w:customStyle="1">
    <w:name w:val="reader-word-layer reader-word-s1-1"/>
    <w:basedOn w:val="721"/>
    <w:uiPriority w:val="0"/>
    <w:qFormat/>
    <w:pPr>
      <w:jc w:val="left"/>
      <w:spacing w:before="100" w:beforeAutospacing="1" w:after="100" w:afterAutospacing="1"/>
      <w:widowControl/>
    </w:pPr>
    <w:rPr>
      <w:rFonts w:ascii="宋体" w:hAnsi="宋体" w:cs="宋体"/>
      <w:sz w:val="24"/>
      <w:szCs w:val="24"/>
    </w:rPr>
  </w:style>
  <w:style w:type="character" w:styleId="1132" w:customStyle="1">
    <w:name w:val="apple-style-span"/>
    <w:uiPriority w:val="0"/>
    <w:qFormat/>
  </w:style>
  <w:style w:type="character" w:styleId="1133" w:customStyle="1">
    <w:name w:val="正文 首行缩进:  2 字符 Char"/>
    <w:link w:val="1134"/>
    <w:uiPriority w:val="0"/>
    <w:qFormat/>
    <w:rPr>
      <w:rFonts w:eastAsia="仿宋"/>
      <w:sz w:val="24"/>
      <w:lang w:bidi="ar-SA"/>
    </w:rPr>
  </w:style>
  <w:style w:type="paragraph" w:styleId="1134" w:customStyle="1">
    <w:name w:val="正文 首行缩进:  2 字符"/>
    <w:basedOn w:val="721"/>
    <w:link w:val="1133"/>
    <w:uiPriority w:val="0"/>
    <w:qFormat/>
    <w:pPr>
      <w:ind w:firstLine="480"/>
      <w:spacing w:line="360" w:lineRule="auto"/>
    </w:pPr>
    <w:rPr>
      <w:rFonts w:ascii="Calibri" w:hAnsi="Calibri" w:eastAsia="仿宋"/>
      <w:sz w:val="24"/>
    </w:rPr>
  </w:style>
  <w:style w:type="paragraph" w:styleId="1135" w:customStyle="1">
    <w:name w:val="Char Char10 Char Char"/>
    <w:basedOn w:val="721"/>
    <w:uiPriority w:val="0"/>
    <w:qFormat/>
    <w:pPr>
      <w:spacing w:line="360" w:lineRule="auto"/>
    </w:pPr>
    <w:rPr>
      <w:rFonts w:ascii="Verdana" w:hAnsi="Verdana" w:eastAsia="仿宋_GB2312"/>
      <w:sz w:val="24"/>
      <w:lang w:eastAsia="en-US"/>
    </w:rPr>
  </w:style>
  <w:style w:type="paragraph" w:styleId="1136" w:customStyle="1">
    <w:name w:val="列出段落11"/>
    <w:basedOn w:val="1130"/>
    <w:uiPriority w:val="0"/>
    <w:qFormat/>
    <w:pPr>
      <w:ind w:firstLine="422"/>
      <w:spacing w:line="360" w:lineRule="auto"/>
    </w:pPr>
    <w:rPr>
      <w:rFonts w:ascii="宋体" w:hAnsi="宋体" w:cs="宋体"/>
      <w:b/>
      <w:szCs w:val="21"/>
    </w:rPr>
  </w:style>
  <w:style w:type="character" w:styleId="1137" w:customStyle="1">
    <w:name w:val="标题 1 字符"/>
    <w:uiPriority w:val="9"/>
    <w:qFormat/>
    <w:rPr>
      <w:rFonts w:ascii="宋体" w:hAnsi="宋体" w:eastAsia="宋体" w:cs="宋体"/>
      <w:b/>
      <w:bCs/>
      <w:sz w:val="32"/>
      <w:szCs w:val="32"/>
    </w:rPr>
  </w:style>
  <w:style w:type="character" w:styleId="1138" w:customStyle="1">
    <w:name w:val="标题 2 字符"/>
    <w:uiPriority w:val="9"/>
    <w:qFormat/>
    <w:rPr>
      <w:rFonts w:ascii="宋体" w:hAnsi="宋体" w:eastAsia="宋体" w:cs="宋体"/>
      <w:b/>
      <w:bCs/>
      <w:sz w:val="30"/>
      <w:szCs w:val="30"/>
    </w:rPr>
  </w:style>
  <w:style w:type="character" w:styleId="1139" w:customStyle="1">
    <w:name w:val="标题 3 字符"/>
    <w:uiPriority w:val="9"/>
    <w:qFormat/>
    <w:rPr>
      <w:rFonts w:ascii="宋体" w:hAnsi="宋体" w:eastAsia="宋体" w:cs="宋体"/>
      <w:b/>
      <w:bCs/>
      <w:sz w:val="24"/>
      <w:szCs w:val="28"/>
    </w:rPr>
  </w:style>
  <w:style w:type="character" w:styleId="1140" w:customStyle="1">
    <w:name w:val="标题 4 字符"/>
    <w:uiPriority w:val="9"/>
    <w:qFormat/>
    <w:rPr>
      <w:rFonts w:ascii="宋体" w:hAnsi="宋体" w:eastAsia="宋体" w:cs="宋体"/>
      <w:b/>
      <w:bCs/>
      <w:szCs w:val="21"/>
    </w:rPr>
  </w:style>
  <w:style w:type="character" w:styleId="1141" w:customStyle="1">
    <w:name w:val="标题 5 字符"/>
    <w:uiPriority w:val="9"/>
    <w:qFormat/>
    <w:rPr>
      <w:rFonts w:ascii="宋体" w:hAnsi="宋体" w:eastAsia="宋体" w:cs="宋体"/>
      <w:b/>
      <w:bCs/>
      <w:szCs w:val="21"/>
    </w:rPr>
  </w:style>
  <w:style w:type="character" w:styleId="1142" w:customStyle="1">
    <w:name w:val="标题 6 字符"/>
    <w:uiPriority w:val="9"/>
    <w:qFormat/>
    <w:rPr>
      <w:rFonts w:ascii="宋体" w:hAnsi="宋体" w:eastAsia="宋体" w:cs="宋体"/>
      <w:b/>
      <w:bCs/>
      <w:szCs w:val="21"/>
    </w:rPr>
  </w:style>
  <w:style w:type="paragraph" w:styleId="1143" w:customStyle="1">
    <w:name w:val="图片说明"/>
    <w:basedOn w:val="721"/>
    <w:next w:val="721"/>
    <w:link w:val="1144"/>
    <w:uiPriority w:val="0"/>
    <w:qFormat/>
    <w:pPr>
      <w:jc w:val="center"/>
      <w:spacing w:line="360" w:lineRule="auto"/>
    </w:pPr>
    <w:rPr>
      <w:rFonts w:ascii="宋体" w:hAnsi="宋体"/>
      <w:i/>
      <w:sz w:val="18"/>
      <w:szCs w:val="18"/>
    </w:rPr>
  </w:style>
  <w:style w:type="character" w:styleId="1144" w:customStyle="1">
    <w:name w:val="图片说明 字符"/>
    <w:link w:val="1143"/>
    <w:uiPriority w:val="0"/>
    <w:qFormat/>
    <w:rPr>
      <w:rFonts w:ascii="宋体" w:hAnsi="宋体" w:cs="宋体"/>
      <w:i/>
      <w:sz w:val="18"/>
      <w:szCs w:val="18"/>
    </w:rPr>
  </w:style>
  <w:style w:type="paragraph" w:styleId="1145" w:customStyle="1">
    <w:name w:val="重点"/>
    <w:basedOn w:val="1130"/>
    <w:next w:val="721"/>
    <w:link w:val="1146"/>
    <w:uiPriority w:val="0"/>
    <w:qFormat/>
    <w:pPr>
      <w:jc w:val="center"/>
      <w:spacing w:line="360" w:lineRule="auto"/>
    </w:pPr>
    <w:rPr>
      <w:rFonts w:ascii="宋体" w:hAnsi="宋体"/>
      <w:b/>
      <w:sz w:val="44"/>
      <w:szCs w:val="21"/>
    </w:rPr>
  </w:style>
  <w:style w:type="character" w:styleId="1146" w:customStyle="1">
    <w:name w:val="重点 字符"/>
    <w:link w:val="1145"/>
    <w:uiPriority w:val="0"/>
    <w:qFormat/>
    <w:rPr>
      <w:rFonts w:ascii="宋体" w:hAnsi="宋体" w:cs="宋体"/>
      <w:b/>
      <w:sz w:val="44"/>
      <w:szCs w:val="21"/>
    </w:rPr>
  </w:style>
  <w:style w:type="paragraph" w:styleId="1147" w:customStyle="1">
    <w:name w:val="图注"/>
    <w:basedOn w:val="721"/>
    <w:uiPriority w:val="0"/>
    <w:qFormat/>
    <w:pPr>
      <w:ind w:firstLine="454"/>
      <w:jc w:val="center"/>
      <w:spacing w:before="120" w:after="120"/>
      <w:widowControl/>
    </w:pPr>
    <w:rPr>
      <w:rFonts w:ascii="宋体" w:hAnsi="宋体" w:cs="宋体"/>
      <w:b/>
      <w:i/>
      <w:szCs w:val="21"/>
    </w:rPr>
  </w:style>
  <w:style w:type="paragraph" w:styleId="1148" w:customStyle="1">
    <w:name w:val="封面"/>
    <w:basedOn w:val="721"/>
    <w:next w:val="721"/>
    <w:uiPriority w:val="0"/>
    <w:qFormat/>
    <w:pPr>
      <w:jc w:val="center"/>
      <w:spacing w:line="480" w:lineRule="auto"/>
    </w:pPr>
    <w:rPr>
      <w:rFonts w:ascii="宋体" w:hAnsi="宋体" w:eastAsia="黑体" w:cs="宋体"/>
      <w:b/>
      <w:sz w:val="72"/>
      <w:szCs w:val="21"/>
    </w:rPr>
  </w:style>
  <w:style w:type="paragraph" w:styleId="1149" w:customStyle="1">
    <w:name w:val="封面落款"/>
    <w:basedOn w:val="721"/>
    <w:uiPriority w:val="0"/>
    <w:qFormat/>
    <w:pPr>
      <w:jc w:val="center"/>
      <w:spacing w:line="360" w:lineRule="auto"/>
    </w:pPr>
    <w:rPr>
      <w:rFonts w:ascii="宋体" w:hAnsi="宋体" w:eastAsia="黑体" w:cs="宋体"/>
      <w:sz w:val="28"/>
      <w:szCs w:val="21"/>
    </w:rPr>
  </w:style>
  <w:style w:type="table" w:styleId="1150" w:customStyle="1">
    <w:name w:val="Table Normal"/>
    <w:uiPriority w:val="0"/>
    <w:qFormat/>
    <w:rPr>
      <w:rFonts w:eastAsia="Arial Unicode MS"/>
    </w:rPr>
    <w:tblPr>
      <w:tblCellMar>
        <w:left w:w="0" w:type="dxa"/>
        <w:top w:w="0" w:type="dxa"/>
        <w:right w:w="0" w:type="dxa"/>
        <w:bottom w:w="0" w:type="dxa"/>
      </w:tblCellMar>
    </w:tblPr>
  </w:style>
  <w:style w:type="paragraph" w:styleId="115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152" w:customStyle="1">
    <w:name w:val="文档结构图 字符"/>
    <w:uiPriority w:val="99"/>
    <w:qFormat/>
    <w:rPr>
      <w:rFonts w:ascii="宋体" w:hAnsi="宋体" w:eastAsia="宋体" w:cs="宋体"/>
      <w:sz w:val="24"/>
      <w:szCs w:val="24"/>
    </w:rPr>
  </w:style>
  <w:style w:type="character" w:styleId="1153" w:customStyle="1">
    <w:name w:val="批注文字 字符"/>
    <w:uiPriority w:val="99"/>
    <w:qFormat/>
    <w:rPr>
      <w:rFonts w:ascii="宋体" w:hAnsi="宋体" w:eastAsia="宋体" w:cs="宋体"/>
      <w:szCs w:val="21"/>
    </w:rPr>
  </w:style>
  <w:style w:type="character" w:styleId="1154" w:customStyle="1">
    <w:name w:val="批注主题 字符"/>
    <w:uiPriority w:val="99"/>
    <w:qFormat/>
    <w:rPr>
      <w:rFonts w:ascii="宋体" w:hAnsi="宋体" w:eastAsia="宋体" w:cs="宋体"/>
      <w:b/>
      <w:bCs/>
      <w:szCs w:val="21"/>
    </w:rPr>
  </w:style>
  <w:style w:type="character" w:styleId="1155" w:customStyle="1">
    <w:name w:val="批注框文本 字符"/>
    <w:uiPriority w:val="99"/>
    <w:qFormat/>
    <w:rPr>
      <w:rFonts w:ascii="宋体" w:hAnsi="宋体" w:eastAsia="宋体" w:cs="宋体"/>
      <w:sz w:val="18"/>
      <w:szCs w:val="18"/>
    </w:rPr>
  </w:style>
  <w:style w:type="paragraph" w:styleId="1156" w:customStyle="1">
    <w:name w:val="p0"/>
    <w:basedOn w:val="721"/>
    <w:uiPriority w:val="0"/>
    <w:qFormat/>
    <w:pPr>
      <w:widowControl/>
    </w:pPr>
    <w:rPr>
      <w:color w:val="000000"/>
      <w:szCs w:val="21"/>
    </w:rPr>
  </w:style>
  <w:style w:type="paragraph" w:styleId="1157"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158" w:customStyle="1">
    <w:name w:val="页眉 字符"/>
    <w:uiPriority w:val="99"/>
    <w:qFormat/>
    <w:rPr>
      <w:rFonts w:ascii="宋体" w:hAnsi="宋体" w:eastAsia="宋体" w:cs="宋体"/>
      <w:sz w:val="18"/>
      <w:szCs w:val="18"/>
    </w:rPr>
  </w:style>
  <w:style w:type="character" w:styleId="1159" w:customStyle="1">
    <w:name w:val="页脚 字符"/>
    <w:uiPriority w:val="99"/>
    <w:qFormat/>
    <w:rPr>
      <w:rFonts w:ascii="宋体" w:hAnsi="宋体" w:eastAsia="宋体" w:cs="宋体"/>
      <w:sz w:val="18"/>
      <w:szCs w:val="18"/>
    </w:rPr>
  </w:style>
  <w:style w:type="character" w:styleId="1160" w:customStyle="1">
    <w:name w:val="日期 字符"/>
    <w:uiPriority w:val="0"/>
    <w:qFormat/>
    <w:rPr>
      <w:rFonts w:ascii="宋体" w:hAnsi="宋体" w:eastAsia="楷体_GB2312"/>
      <w:sz w:val="24"/>
    </w:rPr>
  </w:style>
  <w:style w:type="paragraph" w:styleId="1161" w:customStyle="1">
    <w:name w:val="纯文本2"/>
    <w:basedOn w:val="721"/>
    <w:link w:val="1162"/>
    <w:uiPriority w:val="0"/>
    <w:qFormat/>
    <w:pPr>
      <w:jc w:val="left"/>
      <w:widowControl/>
    </w:pPr>
    <w:rPr>
      <w:rFonts w:ascii="宋体" w:hAnsi="Courier New" w:eastAsia="楷体_GB2312"/>
      <w:sz w:val="26"/>
    </w:rPr>
  </w:style>
  <w:style w:type="character" w:styleId="1162" w:customStyle="1">
    <w:name w:val="Plain Text Char"/>
    <w:link w:val="1161"/>
    <w:uiPriority w:val="0"/>
    <w:qFormat/>
    <w:rPr>
      <w:rFonts w:ascii="宋体" w:hAnsi="Courier New" w:eastAsia="楷体_GB2312"/>
      <w:sz w:val="26"/>
    </w:rPr>
  </w:style>
  <w:style w:type="character" w:styleId="1163" w:customStyle="1">
    <w:name w:val="纯文本 字符"/>
    <w:uiPriority w:val="0"/>
    <w:qFormat/>
    <w:rPr>
      <w:rFonts w:ascii="宋体" w:hAnsi="Courier New" w:eastAsia="楷体_GB2312"/>
      <w:sz w:val="26"/>
    </w:rPr>
  </w:style>
  <w:style w:type="character" w:styleId="1164" w:customStyle="1">
    <w:name w:val="font51"/>
    <w:uiPriority w:val="0"/>
    <w:qFormat/>
    <w:rPr>
      <w:rFonts w:hint="default" w:ascii="Times New Roman" w:hAnsi="Times New Roman" w:cs="Times New Roman"/>
      <w:color w:val="000000"/>
      <w:sz w:val="21"/>
      <w:szCs w:val="21"/>
      <w:u w:val="none"/>
    </w:rPr>
  </w:style>
  <w:style w:type="character" w:styleId="1165" w:customStyle="1">
    <w:name w:val="正文缩进 字符"/>
    <w:uiPriority w:val="0"/>
    <w:qFormat/>
    <w:rPr>
      <w:rFonts w:ascii="宋体" w:hAnsi="宋体" w:eastAsia="楷体_GB2312"/>
    </w:rPr>
  </w:style>
  <w:style w:type="character" w:styleId="1166" w:customStyle="1">
    <w:name w:val="标题 1 字符1"/>
    <w:uiPriority w:val="9"/>
    <w:qFormat/>
    <w:rPr>
      <w:rFonts w:ascii="Times New Roman" w:hAnsi="Times New Roman"/>
      <w:b/>
      <w:sz w:val="44"/>
    </w:rPr>
  </w:style>
  <w:style w:type="character" w:styleId="1167" w:customStyle="1">
    <w:name w:val="标题 3 字符1"/>
    <w:uiPriority w:val="9"/>
    <w:qFormat/>
    <w:rPr>
      <w:rFonts w:ascii="Times New Roman" w:hAnsi="Times New Roman"/>
      <w:b/>
      <w:sz w:val="32"/>
    </w:rPr>
  </w:style>
  <w:style w:type="paragraph" w:styleId="1168">
    <w:name w:val="List Paragraph"/>
    <w:basedOn w:val="721"/>
    <w:uiPriority w:val="34"/>
    <w:qFormat/>
    <w:pPr>
      <w:ind w:firstLine="420"/>
    </w:pPr>
  </w:style>
  <w:style w:type="paragraph" w:styleId="1169" w:customStyle="1">
    <w:name w:val="B1"/>
    <w:basedOn w:val="721"/>
    <w:uiPriority w:val="0"/>
    <w:qFormat/>
    <w:pPr>
      <w:numPr>
        <w:ilvl w:val="0"/>
        <w:numId w:val="11"/>
      </w:numPr>
      <w:spacing w:before="156"/>
      <w:tabs>
        <w:tab w:val="left" w:pos="1418" w:leader="none"/>
      </w:tabs>
      <w:outlineLvl w:val="0"/>
    </w:pPr>
    <w:rPr>
      <w:rFonts w:ascii="Arial Narrow" w:hAnsi="Arial Narrow" w:eastAsia="仿宋"/>
      <w:b/>
      <w:sz w:val="28"/>
    </w:rPr>
  </w:style>
  <w:style w:type="paragraph" w:styleId="1170" w:customStyle="1">
    <w:name w:val="B2"/>
    <w:basedOn w:val="721"/>
    <w:uiPriority w:val="0"/>
    <w:qFormat/>
    <w:pPr>
      <w:numPr>
        <w:ilvl w:val="1"/>
        <w:numId w:val="11"/>
      </w:numPr>
      <w:spacing w:before="156"/>
      <w:tabs>
        <w:tab w:val="left" w:pos="1418" w:leader="none"/>
      </w:tabs>
      <w:outlineLvl w:val="1"/>
    </w:pPr>
    <w:rPr>
      <w:rFonts w:ascii="Arial Narrow" w:hAnsi="Arial Narrow" w:eastAsia="仿宋"/>
      <w:b/>
      <w:sz w:val="24"/>
    </w:rPr>
  </w:style>
  <w:style w:type="paragraph" w:styleId="1171" w:customStyle="1">
    <w:name w:val="B3"/>
    <w:basedOn w:val="1170"/>
    <w:uiPriority w:val="0"/>
    <w:qFormat/>
    <w:pPr>
      <w:numPr>
        <w:ilvl w:val="2"/>
        <w:numId w:val="3"/>
      </w:numPr>
      <w:outlineLvl w:val="2"/>
    </w:pPr>
    <w:rPr>
      <w:b w:val="0"/>
    </w:rPr>
  </w:style>
  <w:style w:type="paragraph" w:styleId="1172" w:customStyle="1">
    <w:name w:val="B4"/>
    <w:basedOn w:val="1171"/>
    <w:uiPriority w:val="0"/>
    <w:qFormat/>
    <w:pPr>
      <w:numPr>
        <w:ilvl w:val="3"/>
        <w:numId w:val="0"/>
      </w:numPr>
      <w:outlineLvl w:val="3"/>
    </w:pPr>
  </w:style>
  <w:style w:type="character" w:styleId="1173" w:customStyle="1">
    <w:name w:val="NormalCharacter"/>
    <w:uiPriority w:val="0"/>
    <w:qFormat/>
  </w:style>
  <w:style w:type="paragraph" w:styleId="1174" w:customStyle="1">
    <w:name w:val="无间隔1"/>
    <w:basedOn w:val="721"/>
    <w:uiPriority w:val="0"/>
    <w:qFormat/>
  </w:style>
  <w:style w:type="paragraph" w:styleId="1175" w:customStyle="1">
    <w:name w:val="Table Paragraph"/>
    <w:basedOn w:val="721"/>
    <w:uiPriority w:val="1"/>
    <w:qFormat/>
    <w:rPr>
      <w:rFonts w:ascii="宋体" w:hAnsi="宋体"/>
      <w:szCs w:val="24"/>
      <w:lang w:val="zh-CN" w:bidi="zh-CN"/>
    </w:rPr>
  </w:style>
  <w:style w:type="paragraph" w:styleId="1176" w:customStyle="1">
    <w:name w:val="文本块11"/>
    <w:basedOn w:val="721"/>
    <w:uiPriority w:val="99"/>
    <w:qFormat/>
    <w:pPr>
      <w:ind w:left="567" w:right="454" w:firstLine="498"/>
      <w:jc w:val="left"/>
    </w:pPr>
    <w:rPr>
      <w:rFonts w:ascii="仿宋_GB2312" w:eastAsia="仿宋_GB2312"/>
      <w:sz w:val="30"/>
    </w:rPr>
  </w:style>
  <w:style w:type="paragraph" w:styleId="1177" w:customStyle="1">
    <w:name w:val="纯文本11"/>
    <w:basedOn w:val="721"/>
    <w:next w:val="1105"/>
    <w:uiPriority w:val="99"/>
    <w:qFormat/>
    <w:rPr>
      <w:rFonts w:ascii="宋体" w:hAnsi="Courier New"/>
      <w:sz w:val="20"/>
    </w:rPr>
  </w:style>
  <w:style w:type="paragraph" w:styleId="1178" w:customStyle="1">
    <w:name w:val="标题 41"/>
    <w:basedOn w:val="721"/>
    <w:next w:val="1105"/>
    <w:uiPriority w:val="0"/>
    <w:qFormat/>
    <w:pPr>
      <w:keepLines/>
      <w:keepNext/>
      <w:spacing w:before="280" w:after="290" w:line="376" w:lineRule="auto"/>
      <w:outlineLvl w:val="3"/>
    </w:pPr>
    <w:rPr>
      <w:rFonts w:ascii="Arial" w:hAnsi="Arial" w:eastAsia="黑体" w:cs="Arial"/>
      <w:b/>
      <w:bCs/>
      <w:sz w:val="28"/>
      <w:szCs w:val="28"/>
    </w:rPr>
  </w:style>
  <w:style w:type="paragraph" w:styleId="1179" w:customStyle="1">
    <w:name w:val="正文1"/>
    <w:basedOn w:val="1180"/>
    <w:uiPriority w:val="0"/>
    <w:qFormat/>
    <w:pPr>
      <w:jc w:val="left"/>
      <w:spacing w:line="360" w:lineRule="atLeast"/>
    </w:pPr>
    <w:rPr>
      <w:rFonts w:ascii="宋体" w:hAnsi="Calibri"/>
      <w:sz w:val="24"/>
    </w:rPr>
  </w:style>
  <w:style w:type="paragraph" w:styleId="1180" w:customStyle="1">
    <w:name w:val="正文11"/>
    <w:next w:val="117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1" w:customStyle="1">
    <w:name w:val="标题 31"/>
    <w:basedOn w:val="721"/>
    <w:next w:val="1179"/>
    <w:uiPriority w:val="0"/>
    <w:qFormat/>
    <w:pPr>
      <w:keepLines/>
      <w:keepNext/>
      <w:spacing w:before="260" w:after="260" w:line="416" w:lineRule="auto"/>
      <w:outlineLvl w:val="2"/>
    </w:pPr>
    <w:rPr>
      <w:rFonts w:ascii="Calibri" w:hAnsi="Calibri"/>
      <w:b/>
      <w:bCs/>
      <w:sz w:val="32"/>
      <w:szCs w:val="32"/>
    </w:rPr>
  </w:style>
  <w:style w:type="paragraph" w:styleId="1182" w:customStyle="1">
    <w:name w:val="标题 21"/>
    <w:basedOn w:val="721"/>
    <w:next w:val="1105"/>
    <w:uiPriority w:val="0"/>
    <w:qFormat/>
    <w:pPr>
      <w:numPr>
        <w:ilvl w:val="1"/>
        <w:numId w:val="12"/>
      </w:numPr>
      <w:jc w:val="left"/>
      <w:keepLines/>
      <w:keepNext/>
      <w:spacing w:before="312" w:after="312"/>
      <w:outlineLvl w:val="1"/>
    </w:pPr>
    <w:rPr>
      <w:rFonts w:ascii="Arial" w:hAnsi="Arial"/>
      <w:b/>
      <w:bCs/>
      <w:sz w:val="28"/>
      <w:szCs w:val="36"/>
    </w:rPr>
  </w:style>
  <w:style w:type="paragraph" w:styleId="1183" w:customStyle="1">
    <w:name w:val="纯文本12"/>
    <w:basedOn w:val="721"/>
    <w:uiPriority w:val="0"/>
    <w:qFormat/>
    <w:rPr>
      <w:rFonts w:ascii="宋体" w:hAnsi="Courier New"/>
      <w:sz w:val="20"/>
      <w:szCs w:val="21"/>
    </w:rPr>
  </w:style>
  <w:style w:type="paragraph" w:styleId="1184" w:customStyle="1">
    <w:name w:val="正文首行缩进11"/>
    <w:basedOn w:val="1185"/>
    <w:uiPriority w:val="99"/>
    <w:unhideWhenUsed/>
    <w:qFormat/>
    <w:pPr>
      <w:ind w:firstLine="420"/>
    </w:pPr>
  </w:style>
  <w:style w:type="paragraph" w:styleId="1185" w:customStyle="1">
    <w:name w:val="正文文本111"/>
    <w:basedOn w:val="721"/>
    <w:uiPriority w:val="0"/>
    <w:qFormat/>
    <w:rPr>
      <w:rFonts w:ascii="楷体_GB2312" w:hAnsi="Arial" w:eastAsia="楷体_GB2312"/>
      <w:sz w:val="28"/>
      <w:szCs w:val="28"/>
    </w:rPr>
  </w:style>
  <w:style w:type="paragraph" w:styleId="1186" w:customStyle="1">
    <w:name w:val="普通(网站)1"/>
    <w:basedOn w:val="721"/>
    <w:uiPriority w:val="0"/>
    <w:qFormat/>
    <w:rPr>
      <w:rFonts w:ascii="Times New Roman" w:hAnsi="Times New Roman"/>
      <w:sz w:val="24"/>
    </w:rPr>
  </w:style>
  <w:style w:type="character" w:styleId="1187" w:customStyle="1">
    <w:name w:val="font31"/>
    <w:basedOn w:val="731"/>
    <w:uiPriority w:val="0"/>
    <w:qFormat/>
    <w:rPr>
      <w:rFonts w:ascii="Calibri" w:hAnsi="Calibri" w:cs="Calibri"/>
      <w:color w:val="000000"/>
      <w:sz w:val="24"/>
      <w:szCs w:val="24"/>
      <w:u w:val="none"/>
    </w:rPr>
  </w:style>
  <w:style w:type="character" w:styleId="1188" w:customStyle="1">
    <w:name w:val="font41"/>
    <w:basedOn w:val="731"/>
    <w:uiPriority w:val="0"/>
    <w:qFormat/>
    <w:rPr>
      <w:rFonts w:hint="eastAsia" w:ascii="宋体" w:hAnsi="宋体" w:eastAsia="宋体" w:cs="宋体"/>
      <w:color w:val="000000"/>
      <w:sz w:val="24"/>
      <w:szCs w:val="24"/>
      <w:u w:val="none"/>
    </w:rPr>
  </w:style>
  <w:style w:type="paragraph" w:styleId="1189" w:customStyle="1">
    <w:name w:val="ListBullet2"/>
    <w:basedOn w:val="721"/>
    <w:uiPriority w:val="0"/>
    <w:qFormat/>
    <w:pPr>
      <w:numPr>
        <w:ilvl w:val="0"/>
        <w:numId w:val="13"/>
      </w:numPr>
      <w:tabs>
        <w:tab w:val="clear" w:pos="780" w:leader="none"/>
      </w:tabs>
    </w:pPr>
  </w:style>
  <w:style w:type="numbering" w:styleId="109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李云</cp:lastModifiedBy>
  <cp:revision>189</cp:revision>
  <dcterms:created xsi:type="dcterms:W3CDTF">2022-12-10T22:28:00Z</dcterms:created>
  <dcterms:modified xsi:type="dcterms:W3CDTF">2026-06-02T03:45:26Z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A72B7E8B45814CACB8E15BB0BD825299_13</vt:lpwstr>
  </property>
  <property fmtid="{D5CDD505-2E9C-101B-9397-08002B2CF9AE}" pid="4" name="KSOTemplateDocerSaveRecord">
    <vt:lpwstr>eyJoZGlkIjoiNGM2YWE3OTc1ZWM0ZDUzZmM1NTU2OTE3OGRlNGM4Y2QiLCJ1c2VySWQiOiI0MTU1MjA0MjEifQ==</vt:lpwstr>
  </property>
</Properties>
</file>