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t xml:space="preserve"> </w:t>
      </w:r>
      <w:r>
        <w:rPr>
          <w:rFonts w:ascii="Arial" w:hAnsi="Arial" w:eastAsia="Arial" w:cs="Arial"/>
          <w:b/>
          <w:color w:val="000000"/>
          <w:sz w:val="8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开放式框架协议采购</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征集文件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项目名称：扬中市企业养老保险退休人员免费健康体检服务框架协议采购</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Arial" w:hAnsi="Arial" w:eastAsia="Arial" w:cs="Arial"/>
          <w:b/>
          <w:color w:val="000000"/>
          <w:sz w:val="32"/>
        </w:rPr>
        <w:t xml:space="preserve">JSZC-321182-JZCG-K2026-0002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扬中市公共资源交易中心</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5</w:t>
      </w:r>
      <w:r>
        <w:rPr>
          <w:rFonts w:ascii="SimSun" w:hAnsi="SimSun" w:eastAsia="SimSun" w:cs="SimSun"/>
          <w:b/>
          <w:color w:val="000000"/>
          <w:sz w:val="32"/>
        </w:rPr>
        <w:t xml:space="preserve">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ff0000"/>
          <w:sz w:val="28"/>
        </w:rPr>
        <w:t xml:space="preserve"> </w:t>
      </w:r>
      <w:r/>
    </w:p>
    <w:p>
      <w:pPr>
        <w:numPr>
          <w:ilvl w:val="0"/>
          <w:numId w:val="1"/>
        </w:numPr>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参加征集活动的邀请</w:t>
      </w:r>
      <w:r/>
    </w:p>
    <w:p>
      <w:pPr>
        <w:numPr>
          <w:ilvl w:val="0"/>
          <w:numId w:val="1"/>
        </w:numPr>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供应商须知</w:t>
      </w:r>
      <w:r/>
    </w:p>
    <w:p>
      <w:pPr>
        <w:numPr>
          <w:ilvl w:val="0"/>
          <w:numId w:val="1"/>
        </w:numPr>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采购合同文本</w:t>
      </w:r>
      <w:r/>
    </w:p>
    <w:p>
      <w:pPr>
        <w:numPr>
          <w:ilvl w:val="0"/>
          <w:numId w:val="1"/>
        </w:numPr>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
        </w:numPr>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确定入围及成交供应商</w:t>
      </w:r>
      <w:r/>
    </w:p>
    <w:p>
      <w:pPr>
        <w:numPr>
          <w:ilvl w:val="0"/>
          <w:numId w:val="1"/>
        </w:numPr>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申请文件格式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第一章参加征集活动的邀请</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扬中市社会保险管理中心现就扬中市企业养老保险退休人员免费健康体检服务框架协议采购项目(JSZC-321182-JZCG-K2026-0002)征集供应商，欢迎符合条件的供应商加入本次开放式框架协议采购。</w:t>
      </w:r>
      <w:r/>
    </w:p>
    <w:p>
      <w:pPr>
        <w:ind w:left="0" w:right="0" w:firstLine="496"/>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1.项目编号：JSZC-321182-JZCG-K2026-0002</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2.项目名称：扬中市企业养老保险退休人员免费健康体检服务框架协议采购</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3.最高限价：最高限制单价为120元/人，体检人数以实际参加体检的退休人员数量为准。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为扬中市64周岁及以下特定退休年份的企业养老保险退休人员提供免费健康体检服务，通过开放式框架协议采购方式确定入围体检医疗机构，退休人员在入围的医疗机构中就近体检。入围供应商在服务期限内根据框架协议约定提供体检服务，征集人根据实际体检人数和考核结果支付费用，详见征集文件第四章采购需求。</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5.框架协议期限：2年，起止时间以框架协议时间为准，框架协议期内，如遇国家或地方政策调整，征集人可以提前终止框架协议，且不承担任何责任。</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本项目不接受联合体加入本次开放式框架协议。</w:t>
      </w:r>
      <w:r/>
    </w:p>
    <w:p>
      <w:pPr>
        <w:ind w:left="0" w:right="0" w:firstLine="496"/>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二、供应商的资格条件</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1.满足《中华人民共和国政府采购法》第二十二条规定:</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1.1具有独立承担民事责任的能力（提供法人或者其他组织的营业执照等证明文件，或事业单位法人证书，自然人的身份证明）；</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提供2025年财务状况报告,成立不满一年的提供至少一个月财务报告，或银行出具的资信证明，或财政部门认可的政府采购专业担保机构出具的投标担保函等，或资格承诺函）；</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1.3具有履行合同所必需的设备和专业技术能力（提供供应商相关信息一览表或资格承诺函）；</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1.4有依法缴纳税收和社会保障资金的良好记录【提供参加本次政府采购活动前半年内（至少一个月）依法缴纳税收和社会保险资金的相关材料，或资格承诺函】；</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1.5参加政府采购活动前三年内，在经营活动中没有重大违法记录（提供响应函或资格承诺函）；</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2.落实政府采购政策需满足的资格要求：无。</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3.1合格的供应商必须具备有效的《医疗机构执业许可证》（提供证书）；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3.2合格的供应商主检医师必须具备执业医师资格（提供证书）；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合格的供应商必须承诺具备全套体检项目所需设备，能完成：体格检查、血常规、尿常规、肝功能（血清谷草转氨酶、血清谷丙转氨酶和总胆红素）、肾功能（肌酐和尿酸）、空腹血糖、血脂（总胆固醇、甘油三酯、低密度脂蛋白胆固醇、高密度脂蛋白胆固醇）、心电图和腹部B超（肝胆胰脾）、胸部DR以上所有检查项目（提供本项承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3.4合格的供应商如不具有法人资格的分（支）公司参加投标的，必须取得具有法人资格上级公司的项目授权委托书。</w:t>
      </w:r>
      <w:r/>
    </w:p>
    <w:p>
      <w:pPr>
        <w:ind w:left="0" w:right="0" w:firstLine="496"/>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三、获取征集文件</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1.时间：自征集公告发布之日起至2028年6月10日。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2.方式：在“江苏政府采购网”自行免费下载征集文件。</w:t>
      </w:r>
      <w:r/>
    </w:p>
    <w:p>
      <w:pPr>
        <w:ind w:left="0" w:right="0" w:firstLine="496"/>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四、首次提交申请文件的截止时间和地点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1.供应商首次提交申请文件的截止时间：</w:t>
      </w:r>
      <w:r>
        <w:rPr>
          <w:rFonts w:ascii="SimSun" w:hAnsi="SimSun" w:eastAsia="SimSun" w:cs="SimSun"/>
          <w:b/>
          <w:color w:val="000000"/>
          <w:sz w:val="24"/>
          <w:u w:val="single"/>
        </w:rPr>
        <w:t xml:space="preserve">2026年6月10日14点30分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rPr>
        <w:t xml:space="preserve">“苏采云”政府采购交易系统（以下简称苏采云系统）</w:t>
      </w:r>
      <w:r>
        <w:rPr>
          <w:rFonts w:ascii="SimSun" w:hAnsi="SimSun" w:eastAsia="SimSun" w:cs="SimSun"/>
          <w:color w:val="000000"/>
          <w:sz w:val="24"/>
          <w:highlight w:val="white"/>
        </w:rPr>
        <w:t xml:space="preserve">，供应商通过苏采云系统参与政府采购项目，需要办理CA数字证书和电子签章。镇江地区意源（方正）办理方式：镇江市润州区冠城路8号工人大厦7楼公共资源交易中心大厅CA窗口。工作日办公时间：9：00-12：00、13：30-17：30。联系人：邵娟，联系电话：13655287962，办理指南地址：http://jsxcmm.com/help/gys.html。</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本项目通过“苏采云”系统进行采购，请在投标前详细阅读《“苏采云”系统供应商操作手册》（下载路径：江苏政府采购网——办事指南——资料下载——《江苏省政府采购交易管理系统（苏采云）供应商操作指南》）；供应商在使用系统进行投标的过程中如遇涉及“苏采云”系统使用的任何问题，应在工作日9:00-11:30、13:30-17:30期间致电技术支持热线咨询，联系方式：0519-86722803、0519-86722805、周工15252929439。</w:t>
      </w:r>
      <w:r/>
    </w:p>
    <w:p>
      <w:pPr>
        <w:ind w:left="0" w:right="0" w:firstLine="496"/>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自本公告发布之日起5个工作日。</w:t>
      </w:r>
      <w:r/>
    </w:p>
    <w:p>
      <w:pPr>
        <w:ind w:left="0" w:right="0" w:firstLine="496"/>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征集公告发布后至框架协议期满前，供应商可以按照征集公告要求，在开放期提交加入框架协议的申请。第一次征集结束后，未入围供应商申请文件提交开放期：拟定为2026年9月、2027年3月和2028年3月的最后5个工作日。（详细日期及规则以每期开放通知为准；如遇特殊情况，另行增加开放期，以开放通知为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2.征集人与入围供应商另行签订书面框架协议，一年一签。</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3.有关本次开放式框架协议采购的事项若存在变动或修改，敬请及时关注“江苏政府采购网”发布的信息更正公告。</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4.本次征集活动不收取保证金。</w:t>
      </w:r>
      <w:r/>
    </w:p>
    <w:p>
      <w:pPr>
        <w:ind w:left="0" w:right="0" w:firstLine="496"/>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七、对本次征集提出询问，请按以下方式联系</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1.征集人信息</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称：扬中市社会保险管理中心</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址：扬中市江洲西路259号‌</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联系人：梁华杰</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联系方式：0511-88329208</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称：扬中市公共资源交易中心</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址：扬中市扬子中路168号</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联系方式：0511-88358235</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项目联系人：吴慧秀</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话：0511-88358235</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22"/>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第二章供应商须知</w:t>
      </w:r>
      <w:r/>
    </w:p>
    <w:p>
      <w:pPr>
        <w:ind w:left="0" w:right="0" w:firstLine="496"/>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、采购方式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1.1本次项目采用开放式框架协议采购方式，本征集文件仅适用于征集公告中所述项目。</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2.1申请文件通过审核的供应商即为合格供应商。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本次开放式框架协议采购活动（以下简称采购活动）及由此产生的框架协议文本和采购合同文本受中华人民共和国有关的法律法规制约和保护。</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、参加采购活动的费用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供应商应自行承担所有与参加采购活动有关的费用，无论采购活动过程中的做法和结果如何，征集人和采购代理机构在任何情况下均无义务和责任承担这些费用。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4.2本次采购活动不收取文件工本费与代理服务费。</w:t>
      </w:r>
      <w:r/>
    </w:p>
    <w:p>
      <w:pPr>
        <w:ind w:left="0" w:right="0" w:firstLine="45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征集文件的约束力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供应商一旦参加本项目采购活动，即被认为接受了本征集文件的规定和约束。</w:t>
      </w:r>
      <w:r/>
    </w:p>
    <w:p>
      <w:pPr>
        <w:ind w:left="0" w:right="0" w:firstLine="320"/>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二、征集文件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、征集文件构成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征集文件由以下部分组成：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6.1.1参加征集活动的邀请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6.1.2供应商须知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6.1.3采购合同文本</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6.1.4采购需求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6.1.5确定入围及成交供应商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6.1.6申请文件格式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请仔细检查征集文件是否齐全，如有缺漏请立即与采购代理机构联系解决。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供应商应认真阅读征集文件中所有的事项、格式、条款和规范等要求。按征集文件的要求和规定编制申请文件，并保证所提供的全部资料的真实性，否则其风险由供应商自行承担。</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、征集文件的澄清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任何要求对征集文件进行澄清的供应商，应当以书面形式通知征集人。</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、征集文件的修改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8.1征集人有权根据需要对征集文件进行修改。征集文件的修改将在“江苏政府采购网”公布，补充文件将作为征集文件的组成部分，并对供应商具有约束力。</w:t>
      </w:r>
      <w:r/>
    </w:p>
    <w:p>
      <w:pPr>
        <w:ind w:left="0" w:right="0" w:firstLine="480"/>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三、申请文件的编制</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、申请文件的语言及度量衡单位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供应商提交的申请文件以及供应商与采购代理机构就采购活动的所有来往通知、函件和文件均应使用简体中文。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除技术性能另有规定外，申请文件所使用的度量衡单位，均须采用国家法定计量单位。</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、申请文件构成</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供应商编写的申请文件应包括资格证明文件、报价明细表、响应函等部分。</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10.2如申请文件制作工具中格式和内容与“江苏政府采购网”发布的征集文件不一致，请以“江苏政府采购网”发布的征集文件为准。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、响应报价明细表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供应商应按照征集文件规定的格式完整、正确填写响应报价明细表。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、响应函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供应商应按照征集文件中规定的格式完整、正确填写响应函。</w:t>
      </w:r>
      <w:r/>
    </w:p>
    <w:p>
      <w:pPr>
        <w:ind w:left="0" w:right="0" w:firstLine="482"/>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四、申请文件的递交</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、电子申请文件的递交</w:t>
      </w:r>
      <w:r/>
    </w:p>
    <w:p>
      <w:pPr>
        <w:ind w:left="5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供应商应当按照《操作手册》规定制作并上传电子申请文件。</w:t>
      </w:r>
      <w:r/>
    </w:p>
    <w:p>
      <w:pPr>
        <w:ind w:left="0" w:right="0" w:firstLine="482"/>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五、申请文件的审核</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、供应商资格审查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14.1征集人将依据《政府采购框架协议采购方式管理暂行办法》的规定,按照征集文件中列明的资格要求对供应商进行资格审查。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在进行资格审查的同时，将在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信用中国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www.ccgp.gov.cn </w:t>
      </w:r>
      <w:r>
        <w:rPr>
          <w:rFonts w:ascii="SimSun" w:hAnsi="SimSun" w:eastAsia="SimSun" w:cs="SimSun"/>
          <w:color w:val="000000"/>
          <w:sz w:val="24"/>
        </w:rPr>
        <w:t xml:space="preserve">）查询供应商的信用记录，以确定供应商是否具备参加本次开放式框架协议采购的资格。信用信息查询记录及证据留存的具体方式为网页截图。</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、申请文件审核不通过的情形</w:t>
      </w:r>
      <w:r/>
    </w:p>
    <w:p>
      <w:pPr>
        <w:ind w:left="479"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15.1供应商不具备征集文件中规定资格要求的；</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15.2供应商报价超过征集文件中规定的最高限制单价或分项限价的；</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15.3供应商被“信用中国”网站（</w:t>
      </w:r>
      <w:r>
        <w:rPr>
          <w:rFonts w:ascii="Times New Roman" w:hAnsi="Times New Roman" w:eastAsia="Times New Roman" w:cs="Times New Roman"/>
          <w:b/>
          <w:color w:val="000000"/>
          <w:sz w:val="24"/>
          <w:u w:val="single"/>
        </w:rPr>
        <w:t xml:space="preserve">www.creditchina.gov.cn</w:t>
      </w:r>
      <w:r>
        <w:rPr>
          <w:rFonts w:ascii="SimSun" w:hAnsi="SimSun" w:eastAsia="SimSun" w:cs="SimSun"/>
          <w:b/>
          <w:color w:val="000000"/>
          <w:sz w:val="24"/>
          <w:u w:val="single"/>
        </w:rPr>
        <w:t xml:space="preserve">）、中国政府采购网（</w:t>
      </w:r>
      <w:r>
        <w:rPr>
          <w:rFonts w:ascii="Times New Roman" w:hAnsi="Times New Roman" w:eastAsia="Times New Roman" w:cs="Times New Roman"/>
          <w:b/>
          <w:color w:val="000000"/>
          <w:sz w:val="24"/>
          <w:u w:val="single"/>
        </w:rPr>
        <w:t xml:space="preserve">www.ccgp.gov.cn </w:t>
      </w:r>
      <w:r>
        <w:rPr>
          <w:rFonts w:ascii="SimSun" w:hAnsi="SimSun" w:eastAsia="SimSun" w:cs="SimSun"/>
          <w:b/>
          <w:color w:val="000000"/>
          <w:sz w:val="24"/>
          <w:u w:val="single"/>
        </w:rPr>
        <w:t xml:space="preserve">）列入失信被执行人或重大税收违法案件当事人名单或政府采购严重失信行为记录名单及存在其他不符合《中华人民共和国政府采购法》第二十二条规定条件的信用记录；</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15.4 申请文件不满足征集文件中内容的要求；</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15.5申请文件未按征集文件要求进行有效签章的；</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15.6申请文件含有征集人不能接受的附加条件的;</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15.7不同供应商的法定代表人或单位负责人为同一个人或者存在直接控股、管理关系的；</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15.8申请文件中提供了虚假或失实资料的；</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15.9供应商存在串通投标情形的；</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15.10不同供应商的电子申请文件IP地址、MAC地址、标书制作工具客户端标识码都一致的；</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15.11为本项目提供整体设计、规范编制或者项目管理、监理、检测等服务的；</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15.12法律、法规、规章（适用本市的）及省级以上规范性文件（适用本市的）规定的其他无效情形；</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申请文件审核不通过的，征集人将通过“苏采云”平台退回供应商的申请文件并告知其未通过审核的原因。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六、入围及退出</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16、确定入围供应商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16.1征集人将在审核通过后2个工作日内，发布入围结果公告，公告入围供应商名称、地址、联系方式及付费标准，并动态更新入围供应商信息。入围结果公告时间为1个工作日。</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17、入围供应商的退出</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入围供应商可以随时申请退出框架协议。征集人将在收到退出申请2个工作日内，发布入围供应商退出公告。</w:t>
      </w:r>
      <w:r>
        <w:rPr>
          <w:rFonts w:ascii="SimSun" w:hAnsi="SimSun" w:eastAsia="SimSun" w:cs="SimSun"/>
          <w:b/>
          <w:color w:val="000000"/>
          <w:sz w:val="24"/>
        </w:rPr>
        <w:t xml:space="preserve">退出框架协议的供应商，在框架协议有效期内不得重新申请加入同一开放式框架协议。</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入围供应商申请退出框架协议时，如有采购合同正在履约，必须将采购合同履约完成后才能申请退出。</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18、质疑处理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提出质疑的供应商应当是参与所质疑开放式框架协议采购项目采购活动的供应商。潜在供应商依法获取其可质疑的征集文件的，可以对征集文件提出质疑。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18.2供应商认为征集文件、采购过程、入围结果使自己的权益受到损害的，可以在知道或应知其权益受到损害之日起7个工作日内，以书面形式向征集人、采购代理机构提出质疑。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ascii="SimSun" w:hAnsi="SimSun" w:eastAsia="SimSun" w:cs="SimSun"/>
          <w:b/>
          <w:color w:val="000000"/>
          <w:sz w:val="24"/>
        </w:rPr>
        <w:t xml:space="preserve">供应商对采购方式、采购需求、供应商资格条件及评审规则、合同文本的询问、质疑，请向征集人提出，由征集人负责答复。供应商对除上述事项以外其他事项的询问、质疑请向采购代理机构提出，由采购代理机构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18.3采购代理机构接受质疑函联系部门、联系电话和通讯地址、质疑流程及注意事项见“镇江市公共资源交易服务平台—政府采购”网站“政民互动-质疑投诉渠道”。</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18.4征集人、采购代理机构不得拒收质疑供应商在法定质疑期内发出的质疑函，应当在收到质疑函后7个工作日内作出答复，并以书面形式通知质疑供应商和其他有关供应商。</w:t>
      </w:r>
      <w:r/>
    </w:p>
    <w:p>
      <w:pPr>
        <w:ind w:left="149" w:right="0" w:firstLine="45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19、入围通知书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入围结果确定后，采购代理机构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七、入围产品升级换代规则</w:t>
      </w:r>
      <w:r/>
    </w:p>
    <w:p>
      <w:pPr>
        <w:ind w:left="0" w:right="0" w:firstLine="60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框架协议期内，在质量不降低、价格不提高的前提下，入围供应商如出现因装修升级，需进行服务内容更新时，应当在苏采云系统中向采购代理机构提出申请，注明原入围服务基本信息和拟提供新服务基本信息。采购代理机构将对申请进行审核，如审核通过，采购代理机构将对入围服务相关信息进行更新。</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八、入围供应商清退和补充规则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清退规则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入围供应商存在《政府采购框架协议采购方式管理暂行办法》第十九条规定情形的，尚未签订框架协议的，取消其入围资格；已经签订框架协议的，解除与其签订的框架协议。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被取消入围资格或者被解除框架协议的供应商不得重新申请加入同一开放式框架协议。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补充规则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出现因入围供应商退出、清退等导致合格入围供应商不足3家且影响开放式框架协议执行的情形时，采购代理机构报监管部门同意后，将进行补充征集供应商。补充征集的条件、程序、评审方法等与初次征集相同。补充征集遵守原框架协议的有效期。补充征集期间，原框架协议继续履行。</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九、其他</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入围供应商不得将服务进行转包。未经征集人同意，入围供应商也不得采用分包的形式履行合同，否则征集人有权终止框架协议，采购人（服务对象）有权终止采购合同。转包或分包造成采购人（服务对象）损失的，入围供应商及其委托代理商应承担相应赔偿责任。</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征集人将建立用户反馈和评价机制，接受采购人（服务对象）对入围供应商履行框架协议和采购合同情况的反馈与评价，并将用户反馈和评价情况在苏采云系统中向采购人（服务对象）公开，作为第二阶段直接选定成交供应商的参考。</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22.3入围供应商按照框架协议约定接受采购人（服务对象）合同授予，并履行采购合同。</w:t>
      </w:r>
      <w:r>
        <w:rPr>
          <w:rFonts w:ascii="SimSun" w:hAnsi="SimSun" w:eastAsia="SimSun" w:cs="SimSun"/>
          <w:b/>
          <w:color w:val="000000"/>
          <w:sz w:val="24"/>
        </w:rPr>
        <w:t xml:space="preserve">入围供应商应当使用征集文件中统一的采购合同文本，与采购人或服务对象签订采购合同，采购人、服务对象和供应商不得擅自改变框架协议约定的合同实质性条款。</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入围供应商的义务</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22.4.1 严格执行国家法律法规，严格按照申请文件承诺的价格和服务履约，遵守本合同条款。 </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22.4.2 随时接受并配合征集人或采购代理机构的监督检查，并配合财政部门对采购人和其他入围供应商对框架协议执行情况进行监督，发现违规违约情形的，及时向财政部门报告。 </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22.4.3 在框架协议有效期内，按照不高于入围报价的价格，向征集人提供相关服务。 </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22.4.4 履行在申请文件中承诺的责任和义务。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第三章采购合同文本</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（以下为本次框架协议采购使用的统一采购合同文本，采购人、服务对象和供应商不得擅自改变框架协议约定的合同实质性条款。）</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扬中市企业养老保险退休人员免费健康体检服务框架协议采购合同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甲方：扬中市社会保险管理中心</w:t>
        <w:br/>
        <w:t xml:space="preserve">乙方：（入围供应商）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根据框架协议采购入围结果，就甲方委托乙方提供扬中市企业养老保险退休人员免费健康体检服务的有关事宜，签订合同如下：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1.项目名称：扬中市企业养老保险退休人员免费健康体检服务框架协议采购。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2.框架协议期限：2年，即2026年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日至2028年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3.体检对象：本市64周岁及以下特定退休年份的企业养老保险退休人员（具体年度人员范围以甲方每年下发的体检名单为准）。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4.体检标准：最高限价为人民币120元/人，结算时以实际完成的有效体检人数为准。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二、体检项目与要求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1.体检项目：乙方应严格按照征集文件第四章“采购需求”的规定，为体检对象提供以下体检服务，不得删减任何项目，不得诱导或强制增加自费项目：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体格检查、血常规、尿常规、肝功能（血清谷草转氨酶、血清谷丙转氨酶和总胆红素）、肾功能（肌酐和尿酸）、空腹血糖、血脂（总胆固醇、甘油三酯、低密度脂蛋白胆固醇、高密度脂蛋白胆固醇）、心电图和腹部B超（肝胆胰脾）、胸部DR。</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2.体检标准：乙方应使用统一制定的健康档案体检表（由甲方提供模板或符合卫健委规范要求）（附件1），并确保体检结果的准确、客观。所有体检结果须经主检医师审核签字。</w:t>
      </w:r>
      <w:r/>
    </w:p>
    <w:p>
      <w:pPr>
        <w:ind w:left="479" w:right="0" w:firstLine="6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三、双方的权利与义务</w:t>
        <w:br/>
        <w:t xml:space="preserve">（一）甲方的权利与义务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1.甲方负责确定每年度具体体检对象范围，并将体检名单提供给乙方。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2.甲方有权对乙方的体检服务质量、操作规范、数据管理、收费情况等进行日常监督和年度考核。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3.甲方协调镇（街、区）、村（社区）做好体检宣传发动工作。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4.甲方按照合同约定，及时向乙方支付体检费用。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（二）乙方的权利与义务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1.成立体检工作小组，制定详细的体检实施方案和应急预案，确保体检工作有序、安全进行。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2.严格按照国家有关医疗技术规范和体检项目标准进行操作，确保体检设备处于良好工作状态。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3.体检地点必须在本医疗机构内，不得随意变更。因特殊情况需调整的，应提前报备甲方并获得同意。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4.体检前做好场地、设备、人员准备，按照甲方提供的体检名单合理安排体检时间，并提前通知到社区/村及体检对象。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5.体检过程中安排导检人员，维持秩序，对行动不便的老年人提供必要帮助。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6.体检结束后20个工作日内，完成以下工作：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①将体检结果、健康评价和健康指导意见书面反馈给体检对象。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②为每位体检对象建立电子健康档案。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③纸质体检报告一式两份，一份交体检对象，一份由乙方存档备查（可存为电子档，保存期限不少于5年）。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7.设有专门咨询电话，耐心解答退休人员咨询。对发现的重大疾病或异常指标，应及时通知本人或其家属，并给出就医指导。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8.配合甲方进行体检数据的统计分析工作。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9.严格遵守保密义务，不得向任何第三方泄露体检对象的个人信息。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10.保证所提供的一切数据和资料真实、准确、完整，不得有冒名顶替、伪造数据等行为。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11.在体检结束后20个工作日内，乙方须将体检结果汇总，按照甲方要求的格式提供给甲方。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四、费用结算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1.结算依据：以实际完成并经甲方确认的有效体检人数为准。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2.结算凭证：乙方在每次体检服务完成后，需向甲方提供以下凭证作为结算依据：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①体检对象签名确认的体检名单。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②体检报告发放记录表。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3.结算周期与方式：原则上每半年结算一次。甲方在收到乙方提供的完整、合规的结算凭证后，于30个工作日内完成审核并支付相应款项。具体支付方式以财政部门相关规定为准。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五、考核与退出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1.甲方将根据征集文件第四章“采购需求”中第五条的规定，对乙方进行日常监督和年度考核。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出现征集文件第四章“采购需求”第五条第（三）款“退出机制”所列情形之一的，甲方有权单方面解除本框架协议，并在相关平台公告清退。被清退的供应商自清退之日起不得再申请加入本项目框架协议，已发生的体检费用不予结算，并依法追究相关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1.乙方未按约定提供体检服务，或服务质量不符合要求的，甲方有权要求乙方限期整改；逾期未整改或整改后仍不符合要求的，甲方有权扣减相应服务费用。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2.因乙方原因造成体检对象人身损害或发生医疗事故的，由乙方承担全部法律责任和经济赔偿。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3.任何一方违反本合同约定，给对方造成损失的，应承担相应的赔偿责任。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1.本项目所产生的一切数据、报告等知识产权归甲方所有，乙方不得用于商业目的。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2.入围供应商申请退出框架协议的，须按照征集文件第二章“供应商须知”第17条规定执行，确保已履约完成的采购合同无遗留问题。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3.本合同未尽事宜，由甲乙双方协商解决，并可签订补充协议。协商不成的，任何一方均有权向合同履行地（江苏省扬中市）有管辖权的人民法院提起诉讼。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4.本合同经双方盖章后生效，一式肆份，财政局采购管理科、甲乙双方、交易中心各执一份，具有同等法律效力。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甲方（单位盖章）：扬中市社会保险管理中心</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经办人姓名：</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乙方（单位盖章）：（入围供应商）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经办人姓名：</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采购代理机构：</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经办人姓名：</w:t>
      </w:r>
      <w:r/>
    </w:p>
    <w:p>
      <w:pPr>
        <w:ind w:left="0" w:right="0" w:firstLine="50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日期：     年月日</w:t>
      </w:r>
      <w:r>
        <w:rPr>
          <w:rFonts w:ascii="SimHei" w:hAnsi="SimHei" w:eastAsia="SimHei" w:cs="SimHei"/>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附件1：采购合同文本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0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健康档案体检表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（格式仅供参考）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体检人姓名：性别：年龄：身份证号：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体检编号：健康档案号：</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检查项目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检查结果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一、体格检查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身高：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体重：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BMI:</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收缩压：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舒张压：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脉搏：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二、血常规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三、尿常规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四、肝功能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血清谷草转氨酶：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血清谷丙转氨酶：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总胆红素：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五、肾功能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肌酐：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尿酸：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六、空腹血糖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七、血脂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总胆固醇：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甘油三酯：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低密度脂蛋白胆固醇：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高密度脂蛋白胆固醇：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八、心电图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九、腹部B超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肝胆胰脾：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numPr>
                <w:ilvl w:val="0"/>
                <w:numId w:val="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胸部DR</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诊断意见：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检查医生：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检查日期：</w:t>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f1115"/>
          <w:sz w:val="24"/>
          <w:highlight w:val="white"/>
        </w:rPr>
        <w:t xml:space="preserve">一、体检对象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f1115"/>
          <w:sz w:val="24"/>
          <w:highlight w:val="white"/>
        </w:rPr>
        <w:t xml:space="preserve">本市64周岁及以下企业养老保险退休人员，每两年组织一次免费健康体检。2026年度免费健康体检对象为2014、2016、2018、2020、2022、2024年办理退休手续的人员（依据“每</w:t>
      </w:r>
      <w:r>
        <w:rPr>
          <w:rFonts w:ascii="SimSun" w:hAnsi="SimSun" w:eastAsia="SimSun" w:cs="SimSun"/>
          <w:color w:val="000000"/>
          <w:sz w:val="24"/>
          <w:highlight w:val="white"/>
        </w:rPr>
        <w:t xml:space="preserve">两年一次”的规律，双数年往前推偶数年）。65周岁及以上退休人员按国家基本公共卫生服务项目规定由常住地基层医疗卫生机构提供免费体检，不纳入本项目范围。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二、体检项目</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体检项目必须包括以下内容（不得删减，不得诱导增加自费项目）：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体格检查、血常规、尿常规、肝功能（血清谷草转氨酶、血清谷丙转氨酶和总胆红素）、肾功能（肌酐和尿酸）、空腹血糖、血脂（总胆固醇、甘油三酯、低密度脂蛋白胆固醇、高密度脂蛋白胆固醇）、心电图和腹部B超（肝胆胰脾）、胸部DR。</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三、体检标准与要求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体检必须使用统一制定的健康档案体检表（由采购人提供模板或符合卫健委规范要求），体检结束后20个工作日内将体检结果、健康评价和健康指导意见书面反馈给体检对象。</w:t>
      </w:r>
      <w:r/>
    </w:p>
    <w:p>
      <w:pPr>
        <w:numPr>
          <w:ilvl w:val="0"/>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服务要求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（一）组织实施要求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1.入围供应商应成立体检工作小组，由单位主要负责人牵头，制定详细体检实施方案和应急预案，确保体检工作有序、安全进行。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2.体检前做好场地、设备、人员的准备，按照采购人提供的体检名单安排体检时间，并提前通知到社区/村及体检对象。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3.体检过程中应安排导检人员，维持秩序，对行动不便的老年人提供必要帮助。</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（二）操作规范要求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1.严格按照国家有关医疗技术规范和体检项目标准进行操作，确保体检结果准确、客观。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2.体检设备须处于良好工作状态，定期校准，确保数据准确。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3.所有体检结果须经主检医师审核签字，体检报告应包含异常结果解读及健康建议，用语通俗易懂。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（三）数据与档案管理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1.使用统一的健康档案体检表，为每位体检对象建立电子健康档案，在体检结束后20个工作日内，乙方须将体检结果汇总，按照甲方要求的格式提供给甲方。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2.纸质体检报告一式两份，一份交体检对象本人（或代领人），一份由医疗机构存档备查（可存为电子档，保存期限不少于5年）。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3.配合征集人进行体检数据的统计分析工作。</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（四）宣传与告知要求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1.配合镇（街、区）、村（社区）做好体检宣传发动工作，在体检场所公示体检流程、注意事项等。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2.设有专门咨询电话，耐心解答退休人员咨询。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3.体检结果反馈时，对发现的重大疾病或异常指标，应及时通知本人或其家属，并给出就医指导。</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（五）服务时间与地点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f1115"/>
          <w:sz w:val="24"/>
          <w:highlight w:val="white"/>
        </w:rPr>
        <w:t xml:space="preserve">1.体检服务应在工作日及适宜的时段开展，避免老年人长时间等待。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f1115"/>
          <w:sz w:val="24"/>
          <w:highlight w:val="white"/>
        </w:rPr>
        <w:t xml:space="preserve">2.体检地点必须在本医疗机构内，不得随意变更。如因特殊情况需调整，应提前报备采购人并获得同意，同时做好通知公告。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f1115"/>
          <w:sz w:val="24"/>
          <w:highlight w:val="white"/>
        </w:rPr>
        <w:t xml:space="preserve">五、考核与退出机制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f1115"/>
          <w:sz w:val="24"/>
          <w:highlight w:val="white"/>
        </w:rPr>
        <w:t xml:space="preserve">（一）日常监督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f1115"/>
          <w:sz w:val="24"/>
          <w:highlight w:val="white"/>
        </w:rPr>
        <w:t xml:space="preserve">征集人（市人社局、市财政局、市卫健委）将对入围供应商的体检服务进行不定期检查，重点检查体检项目执行情况、服务质量、数据上传及时性、有无违规收费等。检查结果将作为考核依据。</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f1115"/>
          <w:sz w:val="24"/>
          <w:highlight w:val="white"/>
        </w:rPr>
        <w:t xml:space="preserve">（二）年度考核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f1115"/>
          <w:sz w:val="24"/>
          <w:highlight w:val="white"/>
        </w:rPr>
        <w:t xml:space="preserve">每年服务期满前，征集人组织对入围供应商进行年度考核。考核内容包括：体检完成数量与质量、体检报告反馈及时性、数据上传准确率、投诉处理情况、配合社区工作等。</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f1115"/>
          <w:sz w:val="24"/>
          <w:highlight w:val="white"/>
        </w:rPr>
        <w:t xml:space="preserve">（三）退出机制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f1115"/>
          <w:sz w:val="24"/>
          <w:highlight w:val="white"/>
        </w:rPr>
        <w:t xml:space="preserve">出现下列情形之一的，征集人有权单方面解除框架协议，并在苏采云平台公告清退：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f1115"/>
          <w:sz w:val="24"/>
          <w:highlight w:val="white"/>
        </w:rPr>
        <w:t xml:space="preserve">1.发现冒名顶替、伪造体检数据、虚报体检人数的；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f1115"/>
          <w:sz w:val="24"/>
          <w:highlight w:val="white"/>
        </w:rPr>
        <w:t xml:space="preserve">2.擅自增减体检项目，或强制、诱导体检对象接受额外收费检查、治疗的；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f1115"/>
          <w:sz w:val="24"/>
          <w:highlight w:val="white"/>
        </w:rPr>
        <w:t xml:space="preserve">3.未按体检标准提供服务，造成不良社会影响的；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f1115"/>
          <w:sz w:val="24"/>
          <w:highlight w:val="white"/>
        </w:rPr>
        <w:t xml:space="preserve">4.因重大医疗事故被卫生健康部门处罚的；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f1115"/>
          <w:sz w:val="24"/>
          <w:highlight w:val="white"/>
        </w:rPr>
        <w:t xml:space="preserve">5.无正当理由拒绝为已预约退休人员体检的；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f1115"/>
          <w:sz w:val="24"/>
          <w:highlight w:val="white"/>
        </w:rPr>
        <w:t xml:space="preserve">6.年度考核不合格且限期整改后仍不合格的；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f1115"/>
          <w:sz w:val="24"/>
          <w:highlight w:val="white"/>
        </w:rPr>
        <w:t xml:space="preserve">7.其他违反法律法规和协议约定的行为。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f1115"/>
          <w:sz w:val="24"/>
          <w:highlight w:val="white"/>
        </w:rPr>
        <w:t xml:space="preserve">被清退的供应商自清退之日起不得再申请加入本项目框架协议，已发生的体检费用不予结算，并依法追究相关责任。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f1115"/>
          <w:sz w:val="24"/>
          <w:highlight w:val="white"/>
        </w:rPr>
        <w:t xml:space="preserve">六、费用结算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f1115"/>
          <w:sz w:val="24"/>
          <w:highlight w:val="white"/>
        </w:rPr>
        <w:t xml:space="preserve">结算依据以实际完成的体检人数为准。体检结束后，入围供应商提供体检对象签名确认的体检名单、体检报告发放记录表、体检数据上传成功证明等作为结算凭证。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f1115"/>
          <w:sz w:val="24"/>
          <w:highlight w:val="white"/>
        </w:rPr>
        <w:t xml:space="preserve">结算周期、结算标准、支付方式在框架协议中约定。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f1115"/>
          <w:sz w:val="24"/>
          <w:highlight w:val="white"/>
        </w:rPr>
        <w:t xml:space="preserve">七、其他要求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f1115"/>
          <w:sz w:val="24"/>
          <w:highlight w:val="white"/>
        </w:rPr>
        <w:t xml:space="preserve">1.知识产权：本项目所产生的一切数据、报告等归采购人所有，供应商不得用于商业目的。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f1115"/>
          <w:sz w:val="24"/>
          <w:highlight w:val="white"/>
        </w:rPr>
        <w:t xml:space="preserve">2.保密义务：供应商应对体检对象个人信息保密，不得向任何第三方泄露，违反保密义务的应承担相应法律责任。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f1115"/>
          <w:sz w:val="24"/>
          <w:highlight w:val="white"/>
        </w:rPr>
        <w:t xml:space="preserve">八、特别说明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f1115"/>
          <w:sz w:val="24"/>
          <w:highlight w:val="white"/>
        </w:rPr>
        <w:t xml:space="preserve">1.本次采购不设入围比例，凡符合资格要求的供应商均可成为入围供应商。入围结果在苏采云平台公告。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f1115"/>
          <w:sz w:val="24"/>
          <w:highlight w:val="white"/>
        </w:rPr>
        <w:t xml:space="preserve">2.入围不代表获得具体的体检业务量，征集人将根据退休人员居住地、自愿选择情况等统筹安排，确保体检资源合理利用。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f1115"/>
          <w:sz w:val="24"/>
          <w:highlight w:val="white"/>
        </w:rPr>
        <w:t xml:space="preserve">3.征集人对本采购需求拥有最终解释权。</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 </w:t>
      </w:r>
      <w:r>
        <w:rPr>
          <w:rFonts w:ascii="SimHei" w:hAnsi="SimHei" w:eastAsia="SimHei" w:cs="SimHei"/>
          <w:b/>
          <w:color w:val="000000"/>
          <w:sz w:val="44"/>
        </w:rPr>
        <w:t xml:space="preserve">确定入围及成交供应商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一、确定第一阶段入围供应商的方法</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申请文件通过审核的供应商即为入围供应商。</w:t>
      </w:r>
      <w:r/>
    </w:p>
    <w:p>
      <w:pPr>
        <w:ind w:left="0" w:right="0" w:firstLine="418"/>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二、确定第二阶段成交供应商的方式</w:t>
      </w:r>
      <w:r/>
    </w:p>
    <w:p>
      <w:pPr>
        <w:ind w:left="0" w:right="0" w:firstLine="477"/>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1.第二阶段成交供应商由采购人或者服务对象依据入围价格、质量以及服务便利性等因素从第一阶段入围供应商中</w:t>
      </w:r>
      <w:r>
        <w:rPr>
          <w:rFonts w:ascii="SimSun" w:hAnsi="SimSun" w:eastAsia="SimSun" w:cs="SimSun"/>
          <w:b/>
          <w:color w:val="000000"/>
          <w:sz w:val="24"/>
        </w:rPr>
        <w:t xml:space="preserve">直接选定</w:t>
      </w:r>
      <w:r>
        <w:rPr>
          <w:rFonts w:ascii="SimSun" w:hAnsi="SimSun" w:eastAsia="SimSun" w:cs="SimSun"/>
          <w:color w:val="000000"/>
          <w:sz w:val="24"/>
        </w:rPr>
        <w:t xml:space="preserve">。</w:t>
      </w:r>
      <w:r/>
    </w:p>
    <w:p>
      <w:pPr>
        <w:ind w:left="0" w:right="0" w:firstLine="477"/>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2.第二阶段成交价格不得高于本框架协议最高限价。</w:t>
      </w:r>
      <w:r/>
    </w:p>
    <w:p>
      <w:pPr>
        <w:ind w:left="0" w:right="0" w:firstLine="477"/>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3.采购人或者服务对象在确定成交供应商后，双方应当按照征集文件中规定的“采购合同文本”格式签订电子采购合同，不得擅自改变框架协议约定的合同实质性条款。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第六章申请文件格式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申请文件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p>
    <w:p>
      <w:pPr>
        <w:ind w:left="0" w:right="0" w:firstLine="108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一、资格部分</w:t>
      </w:r>
      <w:r/>
    </w:p>
    <w:p>
      <w:pPr>
        <w:ind w:left="0" w:right="0" w:firstLine="48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（一）独立承担民事责任的能力</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提供法人或者其他组织的营业执照等证明文件复印件；或事业单位法人证书；供应商为自然人的，提供其身份证扫描件</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（二）良好的商业信誉和健全的财务会计制度</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提供2025年度财务报告、成立不满一年的提供至少一个月财务报告，或银行出具的资信证明，或财政部门认可的政府采购专业担保机构出具的投标担保函等，或提供资格承诺函（见本部分（六）资格承诺函）。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（三）履行合同所必需的设备和专业技术能力</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填写下述表格或提供资格承诺函（见本部分（六）资格承诺函）</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9"/>
        <w:gridCol w:w="263"/>
        <w:gridCol w:w="1096"/>
        <w:gridCol w:w="1219"/>
        <w:gridCol w:w="591"/>
        <w:gridCol w:w="893"/>
        <w:gridCol w:w="185"/>
        <w:gridCol w:w="719"/>
        <w:gridCol w:w="1081"/>
        <w:gridCol w:w="583"/>
        <w:gridCol w:w="1891"/>
      </w:tblGrid>
      <w:tr>
        <w:trPr>
          <w:trHeight w:val="413"/>
        </w:trPr>
        <w:tc>
          <w:tcPr>
            <w:gridSpan w:val="2"/>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9"/>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公司基本信息</w:t>
            </w:r>
            <w:r/>
          </w:p>
        </w:tc>
      </w:tr>
      <w:tr>
        <w:trPr>
          <w:trHeight w:val="5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gridSpan w:val="8"/>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公司地址</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p>
        </w:tc>
        <w:tc>
          <w:tcPr>
            <w:gridSpan w:val="9"/>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公司财务状况</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rPr>
                <w:rFonts w:ascii="SimSun" w:hAnsi="SimSun" w:eastAsia="SimSun" w:cs="SimSun"/>
                <w:b/>
                <w:color w:val="000000"/>
                <w:sz w:val="24"/>
              </w:rPr>
              <w:t xml:space="preserve">年度财务状况</w:t>
            </w:r>
            <w:r/>
          </w:p>
        </w:tc>
      </w:tr>
      <w:tr>
        <w:trPr>
          <w:trHeight w:val="6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利润总额（万元）</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年末“固定资产合计”（万元）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年末“流动资产”余额（万）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年末“短期负债”余额（万）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年末“长期负债”余额（万）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年末“资产总计”余额（万）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年末“货币资金”余额（万）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p>
        </w:tc>
        <w:tc>
          <w:tcPr>
            <w:gridSpan w:val="9"/>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供应商其他信息</w:t>
            </w:r>
            <w:r/>
          </w:p>
        </w:tc>
      </w:tr>
      <w:tr>
        <w:trPr>
          <w:trHeight w:val="20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公司取得的相关资质及等级：</w:t>
            </w:r>
            <w:r/>
          </w:p>
        </w:tc>
        <w:tc>
          <w:tcPr>
            <w:gridSpan w:val="8"/>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94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w:t>
            </w:r>
            <w:r>
              <w:rPr>
                <w:rFonts w:ascii="SimSun" w:hAnsi="SimSun" w:eastAsia="SimSun" w:cs="SimSun"/>
                <w:b/>
                <w:color w:val="000000"/>
                <w:sz w:val="24"/>
                <w:u w:val="single"/>
              </w:rPr>
              <w:t xml:space="preserve">2022</w:t>
            </w:r>
            <w:r>
              <w:rPr>
                <w:rFonts w:ascii="SimSun" w:hAnsi="SimSun" w:eastAsia="SimSun" w:cs="SimSun"/>
                <w:color w:val="000000"/>
                <w:sz w:val="24"/>
              </w:rPr>
              <w:t xml:space="preserve">年度后获得的荣誉及表彰情况</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7"/>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w:t>
            </w:r>
            <w:r/>
          </w:p>
        </w:tc>
        <w:tc>
          <w:tcPr>
            <w:gridSpan w:val="9"/>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提供本项目服务所必须的专业设备一览表 </w:t>
            </w:r>
            <w:r/>
          </w:p>
        </w:tc>
      </w:tr>
      <w:tr>
        <w:trPr>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品牌、型号及主要参数配置简述</w:t>
            </w:r>
            <w:r/>
          </w:p>
        </w:tc>
        <w:tc>
          <w:tcPr>
            <w:gridSpan w:val="2"/>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购置年份</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w:t>
            </w:r>
            <w:r/>
          </w:p>
        </w:tc>
        <w:tc>
          <w:tcPr>
            <w:gridSpan w:val="2"/>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用途</w:t>
            </w:r>
            <w:r/>
          </w:p>
        </w:tc>
      </w:tr>
      <w:tr>
        <w:trPr>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75"/>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w:t>
            </w:r>
            <w:r/>
          </w:p>
        </w:tc>
        <w:tc>
          <w:tcPr>
            <w:gridSpan w:val="9"/>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提供本项目服务所必须的专业技术能力</w:t>
            </w:r>
            <w:r/>
          </w:p>
        </w:tc>
      </w:tr>
      <w:tr>
        <w:trPr>
          <w:trHeight w:val="1630"/>
        </w:trPr>
        <w:tc>
          <w:tcPr>
            <w:gridSpan w:val="11"/>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（四）依法缴纳税收和社会保障资金的良好记录</w:t>
      </w:r>
      <w:r/>
    </w:p>
    <w:p>
      <w:pPr>
        <w:pStyle w:val="642"/>
        <w:ind w:left="0" w:right="0" w:firstLine="56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提供参加本次政府采购活动前半年内至少一个月依法缴纳税收和社会保险的凭据，或提供资格承诺函（见本部分（六）资格承诺函）。</w:t>
      </w:r>
      <w:r/>
    </w:p>
    <w:p>
      <w:pPr>
        <w:pStyle w:val="642"/>
        <w:ind w:left="0" w:right="0" w:firstLine="0"/>
        <w:jc w:val="center"/>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（五）参加政府采购活动前三年内，在经营活动中没有重大违法记录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提供响应函或资格承诺函。</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（六）资格承诺函</w:t>
      </w:r>
      <w:r/>
    </w:p>
    <w:p>
      <w:pPr>
        <w:pStyle w:val="642"/>
        <w:ind w:left="0" w:right="0" w:firstLine="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致：</w:t>
      </w:r>
      <w:r>
        <w:rPr>
          <w:rFonts w:ascii="SimSun" w:hAnsi="SimSun" w:eastAsia="SimSun" w:cs="SimSun"/>
          <w:b/>
          <w:color w:val="000000"/>
          <w:sz w:val="24"/>
          <w:u w:val="single"/>
        </w:rPr>
        <w:t xml:space="preserve">（征集人、采购代理机构）</w:t>
      </w:r>
      <w:r/>
    </w:p>
    <w:p>
      <w:pPr>
        <w:pStyle w:val="642"/>
        <w:ind w:left="0" w:right="0" w:firstLine="48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我单位参与</w:t>
      </w:r>
      <w:r>
        <w:rPr>
          <w:rFonts w:ascii="SimSun" w:hAnsi="SimSun" w:eastAsia="SimSun" w:cs="SimSun"/>
          <w:b/>
          <w:color w:val="000000"/>
          <w:sz w:val="24"/>
          <w:u w:val="single"/>
        </w:rPr>
        <w:t xml:space="preserve">（项目名称）（项目编号：）</w:t>
      </w:r>
      <w:r>
        <w:rPr>
          <w:rFonts w:ascii="SimSun" w:hAnsi="SimSun" w:eastAsia="SimSun" w:cs="SimSun"/>
          <w:b/>
          <w:color w:val="000000"/>
          <w:sz w:val="24"/>
        </w:rPr>
        <w:t xml:space="preserve">项目的政府采购活动，现承诺如下：</w:t>
      </w:r>
      <w:r/>
    </w:p>
    <w:p>
      <w:pPr>
        <w:pStyle w:val="642"/>
        <w:ind w:left="0" w:right="0" w:firstLine="48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1.我方具有良好的商业信誉和健全的财务会计制度。</w:t>
      </w:r>
      <w:r/>
    </w:p>
    <w:p>
      <w:pPr>
        <w:pStyle w:val="642"/>
        <w:ind w:left="0" w:right="0" w:firstLine="48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2.我方具有履行合同所必需的设备和专业技术能力。</w:t>
      </w:r>
      <w:r/>
    </w:p>
    <w:p>
      <w:pPr>
        <w:pStyle w:val="642"/>
        <w:ind w:left="0" w:right="0" w:firstLine="48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3.我方具有依法缴纳税收和社会保障资金的良好记录。</w:t>
      </w:r>
      <w:r/>
    </w:p>
    <w:p>
      <w:pPr>
        <w:pStyle w:val="642"/>
        <w:ind w:left="0" w:right="0" w:firstLine="48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4.我方参加本项目采购活动前三年内，在经营活动中没有重大违法记录。</w:t>
      </w:r>
      <w:r/>
    </w:p>
    <w:p>
      <w:pPr>
        <w:pStyle w:val="642"/>
        <w:ind w:left="0" w:right="0" w:firstLine="48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若我单位承诺不实，自愿承担提供虚假材料谋取中标、成交的法律责任。</w:t>
      </w:r>
      <w:r/>
    </w:p>
    <w:p>
      <w:pPr>
        <w:pStyle w:val="642"/>
        <w:ind w:left="0" w:right="0" w:firstLine="48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投标（响应）供应商（全称并盖章）：</w:t>
      </w:r>
      <w:r/>
    </w:p>
    <w:p>
      <w:pPr>
        <w:pStyle w:val="642"/>
        <w:ind w:left="0" w:right="0" w:firstLine="48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供应商法定代表人或授权代表（签字或签章）：</w:t>
      </w:r>
      <w:r/>
    </w:p>
    <w:p>
      <w:pPr>
        <w:pStyle w:val="642"/>
        <w:ind w:left="0" w:right="0" w:firstLine="48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日期：</w:t>
      </w:r>
      <w:r/>
    </w:p>
    <w:p>
      <w:pPr>
        <w:pStyle w:val="642"/>
        <w:ind w:left="0" w:right="0" w:firstLine="48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p>
      <w:pPr>
        <w:pStyle w:val="642"/>
        <w:ind w:left="0" w:right="0" w:firstLine="48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说明：1.供应商可自行选择是否提供本承诺函，若不提供本承诺函的，应按采购文件要求提供相应的证明材料。</w:t>
      </w:r>
      <w:r/>
    </w:p>
    <w:p>
      <w:pPr>
        <w:pStyle w:val="642"/>
        <w:ind w:left="0" w:right="0" w:firstLine="48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2.供应商可删减承诺事项，删减的承诺事项须按采购文件要求提供相应的证明材料。比如删去本承诺函第3项的，则应按采购文件要求提供依法缴纳税收和社会保障资金的良好记录。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pStyle w:val="644"/>
        <w:ind w:left="0" w:right="0" w:firstLine="60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（七）本项目的特定资格要求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3.1供应商资格证书：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《医疗机构执业许可证》</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3.2主检医师资格证书：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执业医师资格证</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3.3具备全套体检项目所需设备的承诺：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承诺具备全套体检项目所需设备，能完成：体格检查、血常规、尿常规、肝功能（血清谷草转氨酶、血清谷丙转氨酶和总胆红素）、肾功能（肌酐和尿酸）、空腹血糖、血脂（总胆固醇、甘油三酯、低密度脂蛋白胆固醇、高密度脂蛋白胆固醇）、心电图和腹部B超（肝胆胰脾）、胸部DR以上所有检查项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投标（响应）供应商（全称并盖章）：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供应商法定代表人或授权代表（签字或签章）：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3.4若供应商为非独立法人的，需提供上级法人单位的授权文件。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yellow"/>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上级法人单位针对本项目授权文件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（非独立法人需提供）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我单位是</w:t>
      </w:r>
      <w:r>
        <w:rPr>
          <w:rFonts w:ascii="SimSun" w:hAnsi="SimSun" w:eastAsia="SimSun" w:cs="SimSun"/>
          <w:color w:val="000000"/>
          <w:sz w:val="24"/>
          <w:u w:val="single"/>
        </w:rPr>
        <w:t xml:space="preserve">           </w:t>
      </w:r>
      <w:r>
        <w:rPr>
          <w:rFonts w:ascii="SimSun" w:hAnsi="SimSun" w:eastAsia="SimSun" w:cs="SimSun"/>
          <w:color w:val="000000"/>
          <w:sz w:val="24"/>
        </w:rPr>
        <w:t xml:space="preserve">的上级法人单位，我单位同意由该单位在扬中市企业养老保险退休人员免费健康体检服务框架协议采购项目（</w:t>
      </w:r>
      <w:r>
        <w:rPr>
          <w:rFonts w:ascii="Times New Roman" w:hAnsi="Times New Roman" w:eastAsia="Times New Roman" w:cs="Times New Roman"/>
          <w:color w:val="000000"/>
          <w:sz w:val="24"/>
        </w:rPr>
        <w:t xml:space="preserve">JSZC-321182-JZCG-K2026-0002</w:t>
      </w:r>
      <w:r>
        <w:rPr>
          <w:rFonts w:ascii="SimSun" w:hAnsi="SimSun" w:eastAsia="SimSun" w:cs="SimSun"/>
          <w:color w:val="000000"/>
          <w:sz w:val="24"/>
        </w:rPr>
        <w:t xml:space="preserve">）中提供服务。在本次框架协议入围申请和签订、履行政府采购合同中出现的所有法律责任，均由我单位和该服务单位共同承担。</w:t>
      </w:r>
      <w:r/>
    </w:p>
    <w:p>
      <w:pPr>
        <w:ind w:left="141"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141"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授权人（公章）：</w:t>
      </w:r>
      <w:r/>
    </w:p>
    <w:p>
      <w:pPr>
        <w:ind w:left="3551" w:right="0" w:firstLine="29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141" w:right="0" w:firstLine="2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被授权人（公章）：</w:t>
      </w:r>
      <w:r/>
    </w:p>
    <w:p>
      <w:pPr>
        <w:ind w:left="993" w:right="0" w:firstLine="28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二、商务部分</w:t>
      </w:r>
      <w:r/>
    </w:p>
    <w:p>
      <w:pPr>
        <w:ind w:left="0" w:right="0" w:firstLine="0"/>
        <w:jc w:val="center"/>
        <w:spacing w:before="280" w:after="2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（一）响应函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致扬中市社会保险管理中心</w:t>
      </w:r>
      <w:r>
        <w:rPr>
          <w:rFonts w:ascii="SimSun" w:hAnsi="SimSun" w:eastAsia="SimSun" w:cs="SimSun"/>
          <w:b/>
          <w:color w:val="000000"/>
          <w:sz w:val="30"/>
        </w:rPr>
        <w:t xml:space="preserve">：</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根据贵方关于</w:t>
      </w:r>
      <w:r>
        <w:rPr>
          <w:rFonts w:ascii="SimSun" w:hAnsi="SimSun" w:eastAsia="SimSun" w:cs="SimSun"/>
          <w:color w:val="000000"/>
          <w:sz w:val="24"/>
          <w:u w:val="single"/>
        </w:rPr>
        <w:t xml:space="preserve">扬中市企业养老保险退休人员免费健康体检服务框架协议采购项目</w:t>
      </w:r>
      <w:r>
        <w:rPr>
          <w:rFonts w:ascii="SimSun" w:hAnsi="SimSun" w:eastAsia="SimSun" w:cs="SimSun"/>
          <w:color w:val="000000"/>
          <w:sz w:val="24"/>
        </w:rPr>
        <w:t xml:space="preserve">的征集邀请，我方已完全理解征集文件的所有内容。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据此函，我方兹宣布同意如下：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1．按征集文件规定提供服务的唯一响应报价见报价一览表。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2．我方承诺根据征集文件的规定，完成合同义务，并承担责任（如有偏离，在征集文件中另作说明）。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3．我方已详读全部征集文件，包括征集文件书面修改通知（如果有的话），我方完全理解并同意放弃对这方面不明及误解的权利。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4．我方已详读全部响应文件，保证提供的响应文件及所有材料的完整、真实、合法、有效性并对其负责，承诺在评审期间，如评审小组对我方提出澄清要求，将及时作出响应，否则自行承担后果。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5．我方同意从规定的采购日期起遵循本征集文件，并在规定的响应有效期期满之前均具有约束力。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6．我方同意向贵方提供贵方可能要求的与本响应有关的任何证据或资料。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7．我方知道如用虚假材料或恶意方式向贵方提出质疑，将承担相应的法律责任。同时承诺：我方如果有上述行为，将无条件承担贵方相关的调查论证费用。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8．我方承诺：参加政府采购活动前三年内，在经营活动中没有重大违法记录。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9．本次响应文件内容与征集文件内容偏离情况见偏离说明（如果有）。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10．与本采购有关的一切正式往来通讯请寄：</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电话：</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邮政编码：</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（二）法人授权书</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本授权书声明：</w:t>
      </w:r>
      <w:r>
        <w:rPr>
          <w:rFonts w:ascii="KaiTi" w:hAnsi="KaiTi" w:eastAsia="KaiTi" w:cs="KaiTi"/>
          <w:color w:val="000000"/>
          <w:sz w:val="28"/>
          <w:u w:val="single"/>
        </w:rPr>
        <w:t xml:space="preserve">                                          </w:t>
      </w:r>
      <w:r>
        <w:rPr>
          <w:rFonts w:ascii="KaiTi" w:hAnsi="KaiTi" w:eastAsia="KaiTi" w:cs="KaiTi"/>
          <w:color w:val="000000"/>
          <w:sz w:val="28"/>
        </w:rPr>
        <w:t xml:space="preserve">（投标人名称）授权</w:t>
      </w:r>
      <w:r>
        <w:rPr>
          <w:rFonts w:ascii="KaiTi" w:hAnsi="KaiTi" w:eastAsia="KaiTi" w:cs="KaiTi"/>
          <w:color w:val="000000"/>
          <w:sz w:val="28"/>
          <w:u w:val="single"/>
        </w:rPr>
        <w:t xml:space="preserve">                   </w:t>
      </w:r>
      <w:r>
        <w:rPr>
          <w:rFonts w:ascii="KaiTi" w:hAnsi="KaiTi" w:eastAsia="KaiTi" w:cs="KaiTi"/>
          <w:color w:val="000000"/>
          <w:sz w:val="28"/>
        </w:rPr>
        <w:t xml:space="preserve">（被授权人的姓名）为我方就</w:t>
      </w:r>
      <w:r>
        <w:rPr>
          <w:rFonts w:ascii="KaiTi" w:hAnsi="KaiTi" w:eastAsia="KaiTi" w:cs="KaiTi"/>
          <w:color w:val="000000"/>
          <w:sz w:val="28"/>
          <w:u w:val="single"/>
        </w:rPr>
        <w:t xml:space="preserve">                               </w:t>
      </w:r>
      <w:r>
        <w:rPr>
          <w:rFonts w:ascii="KaiTi" w:hAnsi="KaiTi" w:eastAsia="KaiTi" w:cs="KaiTi"/>
          <w:color w:val="000000"/>
          <w:sz w:val="28"/>
        </w:rPr>
        <w:t xml:space="preserve">号项目采购活动的合法代理人，以本单位名义全权处理一切与该项目采购有关的事务。</w:t>
      </w:r>
      <w:r/>
    </w:p>
    <w:p>
      <w:pPr>
        <w:ind w:left="0" w:right="0" w:firstLine="56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本授权书于</w:t>
      </w:r>
      <w:r>
        <w:rPr>
          <w:rFonts w:ascii="KaiTi" w:hAnsi="KaiTi" w:eastAsia="KaiTi" w:cs="KaiTi"/>
          <w:color w:val="000000"/>
          <w:sz w:val="28"/>
          <w:u w:val="single"/>
        </w:rPr>
        <w:t xml:space="preserve">          </w:t>
      </w:r>
      <w:r>
        <w:rPr>
          <w:rFonts w:ascii="KaiTi" w:hAnsi="KaiTi" w:eastAsia="KaiTi" w:cs="KaiTi"/>
          <w:color w:val="000000"/>
          <w:sz w:val="28"/>
        </w:rPr>
        <w:t xml:space="preserve">年</w:t>
      </w:r>
      <w:r>
        <w:rPr>
          <w:rFonts w:ascii="KaiTi" w:hAnsi="KaiTi" w:eastAsia="KaiTi" w:cs="KaiTi"/>
          <w:color w:val="000000"/>
          <w:sz w:val="28"/>
          <w:u w:val="single"/>
        </w:rPr>
        <w:t xml:space="preserve">          </w:t>
      </w:r>
      <w:r>
        <w:rPr>
          <w:rFonts w:ascii="KaiTi" w:hAnsi="KaiTi" w:eastAsia="KaiTi" w:cs="KaiTi"/>
          <w:color w:val="000000"/>
          <w:sz w:val="28"/>
        </w:rPr>
        <w:t xml:space="preserve">月</w:t>
      </w:r>
      <w:r>
        <w:rPr>
          <w:rFonts w:ascii="KaiTi" w:hAnsi="KaiTi" w:eastAsia="KaiTi" w:cs="KaiTi"/>
          <w:color w:val="000000"/>
          <w:sz w:val="28"/>
          <w:u w:val="single"/>
        </w:rPr>
        <w:t xml:space="preserve">          </w:t>
      </w:r>
      <w:r>
        <w:rPr>
          <w:rFonts w:ascii="KaiTi" w:hAnsi="KaiTi" w:eastAsia="KaiTi" w:cs="KaiTi"/>
          <w:color w:val="000000"/>
          <w:sz w:val="28"/>
        </w:rPr>
        <w:t xml:space="preserve">日起生效，特此声明。</w:t>
      </w:r>
      <w:r/>
    </w:p>
    <w:p>
      <w:pPr>
        <w:ind w:left="0" w:right="0" w:firstLine="56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被授权人身份证号码：</w:t>
      </w:r>
      <w:r>
        <w:rPr>
          <w:rFonts w:ascii="KaiTi" w:hAnsi="KaiTi" w:eastAsia="KaiTi" w:cs="KaiTi"/>
          <w:color w:val="000000"/>
          <w:sz w:val="28"/>
          <w:u w:val="single"/>
        </w:rPr>
        <w:t xml:space="preserve">                            </w:t>
      </w:r>
      <w:r/>
    </w:p>
    <w:p>
      <w:pPr>
        <w:ind w:left="0" w:right="0" w:firstLine="56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被授权人联系电话：（手机）</w:t>
      </w:r>
      <w:r>
        <w:rPr>
          <w:rFonts w:ascii="KaiTi" w:hAnsi="KaiTi" w:eastAsia="KaiTi" w:cs="KaiTi"/>
          <w:color w:val="000000"/>
          <w:sz w:val="28"/>
          <w:u w:val="single"/>
        </w:rPr>
        <w:t xml:space="preserve">                      </w:t>
      </w:r>
      <w:r/>
    </w:p>
    <w:p>
      <w:pPr>
        <w:ind w:left="0" w:right="0" w:firstLine="56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授权单位名称：</w:t>
      </w:r>
      <w:r>
        <w:rPr>
          <w:rFonts w:ascii="KaiTi" w:hAnsi="KaiTi" w:eastAsia="KaiTi" w:cs="KaiTi"/>
          <w:color w:val="000000"/>
          <w:sz w:val="28"/>
          <w:u w:val="single"/>
        </w:rPr>
        <w:t xml:space="preserve">（加盖CA电子公章）</w:t>
      </w:r>
      <w:r/>
    </w:p>
    <w:p>
      <w:pPr>
        <w:ind w:left="0" w:right="0" w:firstLine="56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单位地址：</w:t>
      </w:r>
      <w:r>
        <w:rPr>
          <w:rFonts w:ascii="KaiTi" w:hAnsi="KaiTi" w:eastAsia="KaiTi" w:cs="KaiTi"/>
          <w:color w:val="000000"/>
          <w:sz w:val="28"/>
          <w:u w:val="single"/>
        </w:rPr>
        <w:t xml:space="preserve">                                      </w:t>
      </w:r>
      <w:r/>
    </w:p>
    <w:p>
      <w:pPr>
        <w:ind w:left="0" w:right="0" w:firstLine="56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日期：</w:t>
      </w:r>
      <w:r>
        <w:rPr>
          <w:rFonts w:ascii="KaiTi" w:hAnsi="KaiTi" w:eastAsia="KaiTi" w:cs="KaiTi"/>
          <w:color w:val="000000"/>
          <w:sz w:val="28"/>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三、价格部分</w:t>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（一）报价一览表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项目编号：JSZC-321182-JZCG-K2026-0002</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70"/>
        <w:gridCol w:w="4084"/>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单价报价</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扬中市企业养老保险退休人员免费健康体检服务框架协议采购项目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4" w:type="dxa"/>
            <w:vAlign w:val="center"/>
            <w:textDirection w:val="lrTb"/>
            <w:noWrap/>
          </w:tcPr>
          <w:p>
            <w:pPr>
              <w:ind w:left="0" w:right="96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元/人。</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1"/>
        </w:rPr>
        <w:t xml:space="preserve">、</w:t>
      </w:r>
      <w:r>
        <w:rPr>
          <w:rFonts w:ascii="SimSun" w:hAnsi="SimSun" w:eastAsia="SimSun" w:cs="SimSun"/>
          <w:color w:val="000000"/>
          <w:sz w:val="24"/>
        </w:rPr>
        <w:t xml:space="preserve">单价报价不得超过征集文件中规定的最高限制单价，否则视为无效响应文件。</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（二）明细报价表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（如有，格式自拟。）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34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34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34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uiPriority w:val="34"/>
    <w:qFormat/>
    <w:pPr>
      <w:contextualSpacing/>
      <w:ind w:left="720"/>
    </w:pPr>
  </w:style>
  <w:style w:type="paragraph" w:styleId="659">
    <w:name w:val="No Spacing"/>
    <w:uiPriority w:val="1"/>
    <w:qFormat/>
    <w:pPr>
      <w:spacing w:before="0" w:after="0" w:line="240" w:lineRule="auto"/>
    </w:pPr>
  </w:style>
  <w:style w:type="paragraph" w:styleId="660">
    <w:name w:val="Title"/>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link w:val="665"/>
    <w:uiPriority w:val="29"/>
    <w:qFormat/>
    <w:pPr>
      <w:ind w:left="720" w:right="720"/>
    </w:pPr>
    <w:rPr>
      <w:i/>
    </w:rPr>
  </w:style>
  <w:style w:type="character" w:styleId="665">
    <w:name w:val="Quote Char"/>
    <w:link w:val="664"/>
    <w:uiPriority w:val="29"/>
    <w:rPr>
      <w:i/>
    </w:rPr>
  </w:style>
  <w:style w:type="paragraph" w:styleId="666">
    <w:name w:val="Intense Quote"/>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uiPriority w:val="39"/>
    <w:unhideWhenUsed/>
    <w:pPr>
      <w:ind w:left="0" w:right="0" w:firstLine="0"/>
      <w:spacing w:after="57"/>
    </w:pPr>
  </w:style>
  <w:style w:type="paragraph" w:styleId="808">
    <w:name w:val="toc 2"/>
    <w:uiPriority w:val="39"/>
    <w:unhideWhenUsed/>
    <w:pPr>
      <w:ind w:left="283" w:right="0" w:firstLine="0"/>
      <w:spacing w:after="57"/>
    </w:pPr>
  </w:style>
  <w:style w:type="paragraph" w:styleId="809">
    <w:name w:val="toc 3"/>
    <w:uiPriority w:val="39"/>
    <w:unhideWhenUsed/>
    <w:pPr>
      <w:ind w:left="567" w:right="0" w:firstLine="0"/>
      <w:spacing w:after="57"/>
    </w:pPr>
  </w:style>
  <w:style w:type="paragraph" w:styleId="810">
    <w:name w:val="toc 4"/>
    <w:uiPriority w:val="39"/>
    <w:unhideWhenUsed/>
    <w:pPr>
      <w:ind w:left="850" w:right="0" w:firstLine="0"/>
      <w:spacing w:after="57"/>
    </w:pPr>
  </w:style>
  <w:style w:type="paragraph" w:styleId="811">
    <w:name w:val="toc 5"/>
    <w:uiPriority w:val="39"/>
    <w:unhideWhenUsed/>
    <w:pPr>
      <w:ind w:left="1134" w:right="0" w:firstLine="0"/>
      <w:spacing w:after="57"/>
    </w:pPr>
  </w:style>
  <w:style w:type="paragraph" w:styleId="812">
    <w:name w:val="toc 6"/>
    <w:uiPriority w:val="39"/>
    <w:unhideWhenUsed/>
    <w:pPr>
      <w:ind w:left="1417" w:right="0" w:firstLine="0"/>
      <w:spacing w:after="57"/>
    </w:pPr>
  </w:style>
  <w:style w:type="paragraph" w:styleId="813">
    <w:name w:val="toc 7"/>
    <w:uiPriority w:val="39"/>
    <w:unhideWhenUsed/>
    <w:pPr>
      <w:ind w:left="1701" w:right="0" w:firstLine="0"/>
      <w:spacing w:after="57"/>
    </w:pPr>
  </w:style>
  <w:style w:type="paragraph" w:styleId="814">
    <w:name w:val="toc 8"/>
    <w:uiPriority w:val="39"/>
    <w:unhideWhenUsed/>
    <w:pPr>
      <w:ind w:left="1984" w:right="0" w:firstLine="0"/>
      <w:spacing w:after="57"/>
    </w:pPr>
  </w:style>
  <w:style w:type="paragraph" w:styleId="815">
    <w:name w:val="toc 9"/>
    <w:uiPriority w:val="39"/>
    <w:unhideWhenUsed/>
    <w:pPr>
      <w:ind w:left="2268" w:right="0" w:firstLine="0"/>
      <w:spacing w:after="57"/>
    </w:pPr>
  </w:style>
  <w:style w:type="paragraph" w:styleId="816">
    <w:name w:val="TOC Heading"/>
    <w:uiPriority w:val="39"/>
    <w:unhideWhenUsed/>
  </w:style>
  <w:style w:type="paragraph" w:styleId="817">
    <w:name w:val="table of figures"/>
    <w:uiPriority w:val="99"/>
    <w:unhideWhenUsed/>
    <w:pPr>
      <w:spacing w:after="0" w:afterAutospacing="0"/>
    </w:pPr>
  </w:style>
  <w:style w:type="character" w:styleId="818" w:default="1">
    <w:name w:val="Default Paragraph Font"/>
    <w:uiPriority w:val="1"/>
    <w:semiHidden/>
    <w:unhideWhenUsed/>
  </w:style>
  <w:style w:type="numbering" w:styleId="819" w:default="1">
    <w:name w:val="No List"/>
    <w:uiPriority w:val="99"/>
    <w:semiHidden/>
    <w:unhideWhenUsed/>
  </w:style>
  <w:style w:type="paragraph" w:styleId="820" w:default="1">
    <w:name w:val="Normal"/>
    <w:qFormat/>
  </w:style>
  <w:style w:type="table" w:styleId="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吴慧秀</cp:lastModifiedBy>
  <cp:revision>2</cp:revision>
  <dcterms:created xsi:type="dcterms:W3CDTF">2026-05-19T04:44:41Z</dcterms:created>
  <dcterms:modified xsi:type="dcterms:W3CDTF">2026-05-19T08:06:35Z</dcterms:modified>
</cp:coreProperties>
</file>