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8"/>
        <w:jc w:val="center"/>
        <w:spacing w:line="240" w:lineRule="auto"/>
        <w:rPr>
          <w:rFonts w:hint="eastAsia" w:ascii="宋体" w:hAnsi="宋体" w:eastAsia="宋体" w:cs="宋体"/>
          <w:color w:val="000000"/>
          <w:sz w:val="72"/>
          <w:szCs w:val="72"/>
          <w:highlight w:val="none"/>
        </w:rPr>
      </w:pPr>
      <w:r/>
      <w:bookmarkStart w:id="0" w:name="OLE_LINK1"/>
      <w:r>
        <w:rPr>
          <w:rFonts w:hint="eastAsia" w:ascii="宋体" w:hAnsi="宋体" w:eastAsia="宋体" w:cs="宋体"/>
          <w:color w:val="000000"/>
          <w:sz w:val="60"/>
          <w:szCs w:val="21"/>
          <w:highlight w:val="none"/>
        </w:rPr>
        <w:t xml:space="preserve">江苏省计量科学研究院（江苏省能源计量数据中心）</w:t>
      </w:r>
      <w:r>
        <w:rPr>
          <w:rFonts w:hint="eastAsia" w:ascii="宋体" w:hAnsi="宋体" w:eastAsia="宋体" w:cs="宋体"/>
          <w:color w:val="000000"/>
          <w:sz w:val="72"/>
          <w:szCs w:val="72"/>
          <w:highlight w:val="none"/>
        </w:rPr>
      </w:r>
      <w:r/>
    </w:p>
    <w:p>
      <w:pPr>
        <w:pStyle w:val="1038"/>
        <w:rPr>
          <w:rFonts w:hint="eastAsia" w:ascii="宋体" w:hAnsi="宋体" w:eastAsia="宋体" w:cs="宋体"/>
          <w:color w:val="000000"/>
          <w:sz w:val="24"/>
          <w:szCs w:val="24"/>
          <w:highlight w:val="none"/>
        </w:rPr>
      </w:pPr>
      <w:r/>
      <w:bookmarkEnd w:id="0"/>
      <w:r>
        <w:rPr>
          <w:rFonts w:hint="eastAsia" w:ascii="宋体" w:hAnsi="宋体" w:eastAsia="宋体" w:cs="宋体"/>
          <w:color w:val="000000"/>
          <w:sz w:val="24"/>
          <w:szCs w:val="24"/>
          <w:highlight w:val="none"/>
        </w:rPr>
      </w:r>
      <w:r/>
    </w:p>
    <w:p>
      <w:pPr>
        <w:pStyle w:val="1038"/>
        <w:jc w:val="center"/>
        <w:spacing w:before="0" w:after="0" w:line="240" w:lineRule="auto"/>
        <w:rPr>
          <w:rFonts w:hint="eastAsia" w:ascii="宋体" w:hAnsi="宋体" w:eastAsia="宋体" w:cs="宋体"/>
          <w:color w:val="000000"/>
          <w:sz w:val="72"/>
          <w:szCs w:val="72"/>
          <w:highlight w:val="none"/>
        </w:rPr>
      </w:pPr>
      <w:r>
        <w:rPr>
          <w:rFonts w:hint="eastAsia" w:ascii="宋体" w:hAnsi="宋体" w:eastAsia="宋体" w:cs="宋体"/>
          <w:color w:val="000000"/>
          <w:sz w:val="72"/>
          <w:szCs w:val="72"/>
          <w:highlight w:val="none"/>
        </w:rPr>
      </w:r>
      <w:r/>
    </w:p>
    <w:p>
      <w:pPr>
        <w:pStyle w:val="1038"/>
        <w:jc w:val="center"/>
        <w:spacing w:before="0" w:after="0" w:line="240" w:lineRule="auto"/>
        <w:rPr>
          <w:rFonts w:hint="eastAsia" w:ascii="宋体" w:hAnsi="宋体" w:eastAsia="宋体" w:cs="宋体"/>
          <w:color w:val="000000"/>
          <w:sz w:val="72"/>
          <w:szCs w:val="72"/>
          <w:highlight w:val="none"/>
        </w:rPr>
      </w:pPr>
      <w:r>
        <w:rPr>
          <w:rFonts w:hint="eastAsia" w:ascii="宋体" w:hAnsi="宋体" w:eastAsia="宋体" w:cs="宋体"/>
          <w:color w:val="000000"/>
          <w:sz w:val="72"/>
          <w:szCs w:val="72"/>
          <w:highlight w:val="none"/>
        </w:rPr>
        <w:t xml:space="preserve">招标文件</w:t>
      </w:r>
      <w:r>
        <w:rPr>
          <w:rFonts w:hint="eastAsia" w:ascii="宋体" w:hAnsi="宋体" w:eastAsia="宋体" w:cs="宋体"/>
          <w:color w:val="000000"/>
          <w:sz w:val="72"/>
          <w:szCs w:val="72"/>
          <w:highlight w:val="none"/>
        </w:rPr>
      </w:r>
      <w:r/>
    </w:p>
    <w:p>
      <w:pPr>
        <w:pStyle w:val="1038"/>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1038"/>
        <w:ind w:left="647" w:hanging="17"/>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rPr>
        <w:t xml:space="preserve">项目编号：</w:t>
      </w:r>
      <w:r>
        <w:rPr>
          <w:rFonts w:hint="eastAsia" w:ascii="宋体" w:hAnsi="宋体" w:eastAsia="宋体" w:cs="宋体"/>
          <w:color w:val="000000"/>
          <w:sz w:val="32"/>
          <w:szCs w:val="32"/>
          <w:highlight w:val="none"/>
          <w:lang w:eastAsia="zh-CN"/>
        </w:rPr>
        <w:t xml:space="preserve">JSZC-320000-HWZX-G2026-0320</w:t>
      </w:r>
      <w:r>
        <w:rPr>
          <w:rFonts w:hint="eastAsia" w:ascii="宋体" w:hAnsi="宋体" w:eastAsia="宋体" w:cs="宋体"/>
          <w:color w:val="000000"/>
          <w:sz w:val="32"/>
          <w:szCs w:val="32"/>
          <w:highlight w:val="none"/>
          <w:lang w:eastAsia="zh-CN"/>
        </w:rPr>
      </w:r>
      <w:r/>
    </w:p>
    <w:p>
      <w:pPr>
        <w:pStyle w:val="1038"/>
        <w:ind w:left="647" w:hanging="17"/>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rPr>
        <w:t xml:space="preserve">代理机构内部编号：</w:t>
      </w:r>
      <w:r>
        <w:rPr>
          <w:rFonts w:hint="eastAsia" w:ascii="宋体" w:hAnsi="宋体" w:eastAsia="宋体" w:cs="宋体"/>
          <w:color w:val="000000"/>
          <w:sz w:val="32"/>
          <w:szCs w:val="32"/>
          <w:highlight w:val="none"/>
          <w:lang w:eastAsia="zh-CN"/>
        </w:rPr>
        <w:t xml:space="preserve">0675-266JOC004415</w:t>
      </w:r>
      <w:r>
        <w:rPr>
          <w:rFonts w:hint="eastAsia" w:ascii="宋体" w:hAnsi="宋体" w:eastAsia="宋体" w:cs="宋体"/>
          <w:color w:val="000000"/>
          <w:sz w:val="32"/>
          <w:szCs w:val="32"/>
          <w:highlight w:val="none"/>
          <w:lang w:eastAsia="zh-CN"/>
        </w:rPr>
      </w:r>
      <w:r/>
    </w:p>
    <w:p>
      <w:pPr>
        <w:pStyle w:val="1038"/>
        <w:ind w:left="1481" w:hanging="851"/>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rPr>
        <w:t xml:space="preserve">项目名称：</w:t>
      </w:r>
      <w:r>
        <w:rPr>
          <w:rFonts w:hint="eastAsia" w:ascii="宋体" w:hAnsi="宋体" w:eastAsia="宋体" w:cs="宋体"/>
          <w:color w:val="000000"/>
          <w:sz w:val="32"/>
          <w:szCs w:val="32"/>
          <w:highlight w:val="none"/>
          <w:lang w:eastAsia="zh-CN"/>
        </w:rPr>
        <w:t xml:space="preserve">江苏省计量检测基地(二期)实验室家具采购</w:t>
      </w:r>
      <w:r>
        <w:rPr>
          <w:rFonts w:hint="eastAsia" w:ascii="宋体" w:hAnsi="宋体" w:eastAsia="宋体" w:cs="宋体"/>
          <w:color w:val="000000"/>
          <w:sz w:val="32"/>
          <w:szCs w:val="32"/>
          <w:highlight w:val="none"/>
          <w:lang w:eastAsia="zh-CN"/>
        </w:rPr>
      </w:r>
      <w:r/>
    </w:p>
    <w:p>
      <w:pPr>
        <w:pStyle w:val="1038"/>
        <w:ind w:left="1481" w:hanging="851"/>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采 购 人：江苏省计量科学研究院（江苏省能源计量数据中心）</w:t>
      </w:r>
      <w:r>
        <w:rPr>
          <w:rFonts w:hint="eastAsia" w:ascii="宋体" w:hAnsi="宋体" w:eastAsia="宋体" w:cs="宋体"/>
          <w:color w:val="000000"/>
          <w:sz w:val="32"/>
          <w:szCs w:val="32"/>
          <w:highlight w:val="none"/>
        </w:rPr>
      </w:r>
      <w:r/>
    </w:p>
    <w:p>
      <w:pPr>
        <w:pStyle w:val="1038"/>
        <w:ind w:left="1797" w:hanging="957"/>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1038"/>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lang w:val="zh-CN"/>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2472055</wp:posOffset>
                </wp:positionH>
                <wp:positionV relativeFrom="paragraph">
                  <wp:posOffset>389255</wp:posOffset>
                </wp:positionV>
                <wp:extent cx="1236345" cy="490220"/>
                <wp:effectExtent l="0" t="0" r="0" b="0"/>
                <wp:wrapSquare wrapText="bothSides"/>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236345" cy="4902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194.6pt;mso-position-horizontal:absolute;mso-position-vertical-relative:text;margin-top:30.6pt;mso-position-vertical:absolute;width:97.3pt;height:38.6pt;mso-wrap-distance-left:9.0pt;mso-wrap-distance-top:0.0pt;mso-wrap-distance-right:9.0pt;mso-wrap-distance-bottom:0.0pt;" stroked="f">
                <v:path textboxrect="0,0,0,0"/>
                <w10:wrap type="square"/>
                <v:imagedata r:id="rId16" o:title=""/>
              </v:shape>
            </w:pict>
          </mc:Fallback>
        </mc:AlternateContent>
      </w:r>
      <w:r>
        <w:rPr>
          <w:rFonts w:hint="eastAsia" w:ascii="宋体" w:hAnsi="宋体" w:eastAsia="宋体" w:cs="宋体"/>
          <w:color w:val="000000"/>
          <w:sz w:val="36"/>
          <w:szCs w:val="36"/>
          <w:highlight w:val="none"/>
        </w:rPr>
      </w:r>
      <w:r/>
    </w:p>
    <w:p>
      <w:pPr>
        <w:pStyle w:val="1038"/>
        <w:ind w:left="1797" w:hanging="957"/>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1038"/>
        <w:ind w:left="1691" w:hanging="851"/>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代理机构：江苏海外集团国际工程咨询有限公司</w:t>
      </w:r>
      <w:r>
        <w:rPr>
          <w:rFonts w:hint="eastAsia" w:ascii="宋体" w:hAnsi="宋体" w:eastAsia="宋体" w:cs="宋体"/>
          <w:color w:val="000000"/>
          <w:sz w:val="32"/>
          <w:szCs w:val="32"/>
          <w:highlight w:val="none"/>
        </w:rPr>
      </w:r>
      <w:r/>
    </w:p>
    <w:p>
      <w:pPr>
        <w:pStyle w:val="1095"/>
        <w:jc w:val="center"/>
        <w:tabs>
          <w:tab w:val="right" w:pos="8306" w:leader="dot"/>
        </w:tabs>
        <w:rPr>
          <w:rFonts w:hint="eastAsia" w:ascii="宋体" w:hAnsi="宋体" w:cs="宋体"/>
          <w:color w:val="000000"/>
          <w:spacing w:val="30"/>
          <w:sz w:val="32"/>
          <w:szCs w:val="32"/>
          <w:highlight w:val="none"/>
        </w:rPr>
        <w:sectPr>
          <w:headerReference w:type="default" r:id="rId9"/>
          <w:headerReference w:type="first" r:id="rId10"/>
          <w:footerReference w:type="default" r:id="rId12"/>
          <w:footerReference w:type="even" r:id="rId13"/>
          <w:footerReference w:type="first" r:id="rId14"/>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cs="宋体"/>
          <w:color w:val="000000"/>
          <w:spacing w:val="30"/>
          <w:sz w:val="32"/>
          <w:szCs w:val="32"/>
          <w:highlight w:val="none"/>
        </w:rPr>
        <w:t xml:space="preserve">二〇二六年</w:t>
      </w:r>
      <w:r>
        <w:rPr>
          <w:rFonts w:hint="eastAsia" w:ascii="宋体" w:hAnsi="宋体" w:cs="宋体"/>
          <w:color w:val="000000"/>
          <w:spacing w:val="30"/>
          <w:sz w:val="32"/>
          <w:szCs w:val="32"/>
          <w:highlight w:val="none"/>
          <w:lang w:val="en-US" w:eastAsia="zh-CN"/>
        </w:rPr>
        <w:t xml:space="preserve">六</w:t>
      </w:r>
      <w:r>
        <w:rPr>
          <w:rFonts w:hint="eastAsia" w:ascii="宋体" w:hAnsi="宋体" w:cs="宋体"/>
          <w:color w:val="000000"/>
          <w:spacing w:val="30"/>
          <w:sz w:val="32"/>
          <w:szCs w:val="32"/>
          <w:highlight w:val="none"/>
        </w:rPr>
        <w:t xml:space="preserve">月</w:t>
      </w:r>
      <w:r>
        <w:rPr>
          <w:rFonts w:hint="eastAsia" w:ascii="宋体" w:hAnsi="宋体" w:cs="宋体"/>
          <w:color w:val="000000"/>
          <w:spacing w:val="30"/>
          <w:sz w:val="32"/>
          <w:szCs w:val="32"/>
          <w:highlight w:val="none"/>
        </w:rPr>
      </w:r>
      <w:r/>
    </w:p>
    <w:p>
      <w:pPr>
        <w:pStyle w:val="1095"/>
        <w:jc w:val="center"/>
        <w:tabs>
          <w:tab w:val="right" w:pos="8306" w:leader="dot"/>
        </w:tabs>
        <w:rPr>
          <w:rFonts w:hint="eastAsia" w:ascii="宋体" w:hAnsi="宋体" w:cs="宋体"/>
          <w:color w:val="000000"/>
          <w:sz w:val="44"/>
          <w:szCs w:val="44"/>
          <w:highlight w:val="none"/>
        </w:rPr>
      </w:pPr>
      <w:r>
        <w:rPr>
          <w:rFonts w:hint="eastAsia" w:ascii="宋体" w:hAnsi="宋体" w:cs="宋体"/>
          <w:color w:val="000000"/>
          <w:sz w:val="44"/>
          <w:szCs w:val="44"/>
          <w:highlight w:val="none"/>
        </w:rPr>
        <w:t xml:space="preserve">目 录</w:t>
      </w:r>
      <w:r>
        <w:rPr>
          <w:rFonts w:hint="eastAsia" w:ascii="宋体" w:hAnsi="宋体" w:cs="宋体"/>
          <w:color w:val="000000"/>
          <w:sz w:val="44"/>
          <w:szCs w:val="44"/>
          <w:highlight w:val="none"/>
        </w:rPr>
      </w:r>
      <w:r/>
    </w:p>
    <w:p>
      <w:pPr>
        <w:pStyle w:val="1095"/>
        <w:tabs>
          <w:tab w:val="right" w:pos="9746" w:leader="dot"/>
        </w:tabs>
        <w:rPr>
          <w:color w:val="000000"/>
          <w:highlight w:val="none"/>
        </w:rPr>
      </w:pPr>
      <w:r/>
      <w:bookmarkStart w:id="1" w:name="_Toc32113"/>
      <w:r/>
      <w:bookmarkStart w:id="2" w:name="_Toc6351"/>
      <w:r>
        <w:rPr>
          <w:rFonts w:hint="eastAsia" w:ascii="宋体" w:hAnsi="宋体" w:cs="宋体"/>
          <w:color w:val="000000"/>
          <w:sz w:val="22"/>
          <w:szCs w:val="22"/>
          <w:highlight w:val="none"/>
        </w:rPr>
        <w:fldChar w:fldCharType="begin"/>
      </w:r>
      <w:r>
        <w:rPr>
          <w:rFonts w:hint="eastAsia" w:ascii="宋体" w:hAnsi="宋体" w:cs="宋体"/>
          <w:color w:val="000000"/>
          <w:sz w:val="22"/>
          <w:szCs w:val="22"/>
          <w:highlight w:val="none"/>
        </w:rPr>
        <w:instrText xml:space="preserve">TOC \o "1-3" \h \u </w:instrText>
      </w:r>
      <w:r>
        <w:rPr>
          <w:rFonts w:hint="eastAsia" w:ascii="宋体" w:hAnsi="宋体" w:cs="宋体"/>
          <w:color w:val="000000"/>
          <w:sz w:val="22"/>
          <w:szCs w:val="22"/>
          <w:highlight w:val="none"/>
        </w:rPr>
        <w:fldChar w:fldCharType="separate"/>
      </w: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_Toc12396 </w:instrText>
      </w:r>
      <w:r>
        <w:rPr>
          <w:rFonts w:hint="eastAsia" w:ascii="宋体" w:hAnsi="宋体" w:cs="宋体"/>
          <w:color w:val="000000"/>
          <w:szCs w:val="22"/>
          <w:highlight w:val="none"/>
        </w:rPr>
        <w:fldChar w:fldCharType="separate"/>
      </w:r>
      <w:r>
        <w:rPr>
          <w:rFonts w:hint="eastAsia" w:ascii="宋体" w:hAnsi="宋体" w:cs="宋体"/>
          <w:color w:val="000000"/>
          <w:highlight w:val="none"/>
        </w:rPr>
        <w:t xml:space="preserve">第一章 招标公告</w:t>
      </w:r>
      <w:r>
        <w:rPr>
          <w:color w:val="000000"/>
          <w:highlight w:val="none"/>
        </w:rPr>
        <w:tab/>
      </w:r>
      <w:r>
        <w:rPr>
          <w:color w:val="000000"/>
          <w:highlight w:val="none"/>
        </w:rPr>
        <w:fldChar w:fldCharType="begin"/>
      </w:r>
      <w:r>
        <w:rPr>
          <w:color w:val="000000"/>
          <w:highlight w:val="none"/>
        </w:rPr>
        <w:instrText xml:space="preserve"> PAGEREF _Toc12396 \h </w:instrText>
      </w:r>
      <w:r>
        <w:rPr>
          <w:color w:val="000000"/>
          <w:highlight w:val="none"/>
        </w:rPr>
        <w:fldChar w:fldCharType="separate"/>
      </w:r>
      <w:r>
        <w:rPr>
          <w:color w:val="000000"/>
          <w:highlight w:val="none"/>
        </w:rPr>
        <w:t xml:space="preserve">- 3 -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1107"/>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_Toc19764 </w:instrText>
      </w:r>
      <w:r>
        <w:rPr>
          <w:rFonts w:hint="eastAsia" w:ascii="宋体" w:hAnsi="宋体" w:cs="宋体"/>
          <w:color w:val="000000"/>
          <w:szCs w:val="22"/>
          <w:highlight w:val="none"/>
        </w:rPr>
        <w:fldChar w:fldCharType="separate"/>
      </w:r>
      <w:r>
        <w:rPr>
          <w:rFonts w:hint="eastAsia" w:ascii="宋体" w:hAnsi="宋体" w:cs="宋体"/>
          <w:bCs/>
          <w:color w:val="000000"/>
          <w:szCs w:val="24"/>
          <w:highlight w:val="none"/>
        </w:rPr>
        <w:t xml:space="preserve">一、项目基本情况</w:t>
      </w:r>
      <w:r>
        <w:rPr>
          <w:color w:val="000000"/>
          <w:highlight w:val="none"/>
        </w:rPr>
        <w:tab/>
      </w:r>
      <w:r>
        <w:rPr>
          <w:color w:val="000000"/>
          <w:highlight w:val="none"/>
        </w:rPr>
        <w:fldChar w:fldCharType="begin"/>
      </w:r>
      <w:r>
        <w:rPr>
          <w:color w:val="000000"/>
          <w:highlight w:val="none"/>
        </w:rPr>
        <w:instrText xml:space="preserve"> PAGEREF _Toc19764 \h </w:instrText>
      </w:r>
      <w:r>
        <w:rPr>
          <w:color w:val="000000"/>
          <w:highlight w:val="none"/>
        </w:rPr>
        <w:fldChar w:fldCharType="separate"/>
      </w:r>
      <w:r>
        <w:rPr>
          <w:color w:val="000000"/>
          <w:highlight w:val="none"/>
        </w:rPr>
        <w:t xml:space="preserve">- 3 -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1107"/>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_Toc11586 </w:instrText>
      </w:r>
      <w:r>
        <w:rPr>
          <w:rFonts w:hint="eastAsia" w:ascii="宋体" w:hAnsi="宋体" w:cs="宋体"/>
          <w:color w:val="000000"/>
          <w:szCs w:val="22"/>
          <w:highlight w:val="none"/>
        </w:rPr>
        <w:fldChar w:fldCharType="separate"/>
      </w:r>
      <w:r>
        <w:rPr>
          <w:rFonts w:hint="eastAsia" w:ascii="宋体" w:hAnsi="宋体" w:cs="宋体"/>
          <w:bCs/>
          <w:color w:val="000000"/>
          <w:szCs w:val="24"/>
          <w:highlight w:val="none"/>
        </w:rPr>
        <w:t xml:space="preserve">二、申请人的资质要求</w:t>
      </w:r>
      <w:r>
        <w:rPr>
          <w:color w:val="000000"/>
          <w:highlight w:val="none"/>
        </w:rPr>
        <w:tab/>
      </w:r>
      <w:r>
        <w:rPr>
          <w:color w:val="000000"/>
          <w:highlight w:val="none"/>
        </w:rPr>
        <w:fldChar w:fldCharType="begin"/>
      </w:r>
      <w:r>
        <w:rPr>
          <w:color w:val="000000"/>
          <w:highlight w:val="none"/>
        </w:rPr>
        <w:instrText xml:space="preserve"> PAGEREF _Toc11586 \h </w:instrText>
      </w:r>
      <w:r>
        <w:rPr>
          <w:color w:val="000000"/>
          <w:highlight w:val="none"/>
        </w:rPr>
        <w:fldChar w:fldCharType="separate"/>
      </w:r>
      <w:r>
        <w:rPr>
          <w:color w:val="000000"/>
          <w:highlight w:val="none"/>
        </w:rPr>
        <w:t xml:space="preserve">- 3 -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1107"/>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_Toc3858 </w:instrText>
      </w:r>
      <w:r>
        <w:rPr>
          <w:rFonts w:hint="eastAsia" w:ascii="宋体" w:hAnsi="宋体" w:cs="宋体"/>
          <w:color w:val="000000"/>
          <w:szCs w:val="22"/>
          <w:highlight w:val="none"/>
        </w:rPr>
        <w:fldChar w:fldCharType="separate"/>
      </w:r>
      <w:r>
        <w:rPr>
          <w:rFonts w:hint="eastAsia" w:ascii="宋体" w:hAnsi="宋体" w:cs="宋体"/>
          <w:bCs/>
          <w:color w:val="000000"/>
          <w:szCs w:val="24"/>
          <w:highlight w:val="none"/>
        </w:rPr>
        <w:t xml:space="preserve">三、招标文件发售信息</w:t>
      </w:r>
      <w:r>
        <w:rPr>
          <w:color w:val="000000"/>
          <w:highlight w:val="none"/>
        </w:rPr>
        <w:tab/>
      </w:r>
      <w:r>
        <w:rPr>
          <w:color w:val="000000"/>
          <w:highlight w:val="none"/>
        </w:rPr>
        <w:fldChar w:fldCharType="begin"/>
      </w:r>
      <w:r>
        <w:rPr>
          <w:color w:val="000000"/>
          <w:highlight w:val="none"/>
        </w:rPr>
        <w:instrText xml:space="preserve"> PAGEREF _Toc3858 \h </w:instrText>
      </w:r>
      <w:r>
        <w:rPr>
          <w:color w:val="000000"/>
          <w:highlight w:val="none"/>
        </w:rPr>
        <w:fldChar w:fldCharType="separate"/>
      </w:r>
      <w:r>
        <w:rPr>
          <w:color w:val="000000"/>
          <w:highlight w:val="none"/>
        </w:rPr>
        <w:t xml:space="preserve">- 5 -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1107"/>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_Toc13352 </w:instrText>
      </w:r>
      <w:r>
        <w:rPr>
          <w:rFonts w:hint="eastAsia" w:ascii="宋体" w:hAnsi="宋体" w:cs="宋体"/>
          <w:color w:val="000000"/>
          <w:szCs w:val="22"/>
          <w:highlight w:val="none"/>
        </w:rPr>
        <w:fldChar w:fldCharType="separate"/>
      </w:r>
      <w:r>
        <w:rPr>
          <w:rFonts w:hint="eastAsia" w:ascii="宋体" w:hAnsi="宋体" w:cs="宋体"/>
          <w:color w:val="000000"/>
          <w:szCs w:val="24"/>
          <w:highlight w:val="none"/>
        </w:rPr>
        <w:t xml:space="preserve">四、</w:t>
      </w:r>
      <w:r>
        <w:rPr>
          <w:rFonts w:hint="eastAsia" w:ascii="宋体" w:hAnsi="宋体" w:cs="宋体"/>
          <w:bCs/>
          <w:color w:val="000000"/>
          <w:szCs w:val="24"/>
          <w:highlight w:val="none"/>
        </w:rPr>
        <w:t xml:space="preserve">提交投标文件截止时间、开标时间和地点</w:t>
      </w:r>
      <w:r>
        <w:rPr>
          <w:color w:val="000000"/>
          <w:highlight w:val="none"/>
        </w:rPr>
        <w:tab/>
      </w:r>
      <w:r>
        <w:rPr>
          <w:color w:val="000000"/>
          <w:highlight w:val="none"/>
        </w:rPr>
        <w:fldChar w:fldCharType="begin"/>
      </w:r>
      <w:r>
        <w:rPr>
          <w:color w:val="000000"/>
          <w:highlight w:val="none"/>
        </w:rPr>
        <w:instrText xml:space="preserve"> PAGEREF _Toc13352 \h </w:instrText>
      </w:r>
      <w:r>
        <w:rPr>
          <w:color w:val="000000"/>
          <w:highlight w:val="none"/>
        </w:rPr>
        <w:fldChar w:fldCharType="separate"/>
      </w:r>
      <w:r>
        <w:rPr>
          <w:color w:val="000000"/>
          <w:highlight w:val="none"/>
        </w:rPr>
        <w:t xml:space="preserve">- 5 -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1107"/>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_Toc13320 </w:instrText>
      </w:r>
      <w:r>
        <w:rPr>
          <w:rFonts w:hint="eastAsia" w:ascii="宋体" w:hAnsi="宋体" w:cs="宋体"/>
          <w:color w:val="000000"/>
          <w:szCs w:val="22"/>
          <w:highlight w:val="none"/>
        </w:rPr>
        <w:fldChar w:fldCharType="separate"/>
      </w:r>
      <w:r>
        <w:rPr>
          <w:rFonts w:hint="eastAsia" w:ascii="宋体" w:hAnsi="宋体" w:cs="宋体"/>
          <w:bCs/>
          <w:color w:val="000000"/>
          <w:szCs w:val="24"/>
          <w:highlight w:val="none"/>
        </w:rPr>
        <w:t xml:space="preserve">五、公告期限</w:t>
      </w:r>
      <w:r>
        <w:rPr>
          <w:color w:val="000000"/>
          <w:highlight w:val="none"/>
        </w:rPr>
        <w:tab/>
      </w:r>
      <w:r>
        <w:rPr>
          <w:color w:val="000000"/>
          <w:highlight w:val="none"/>
        </w:rPr>
        <w:fldChar w:fldCharType="begin"/>
      </w:r>
      <w:r>
        <w:rPr>
          <w:color w:val="000000"/>
          <w:highlight w:val="none"/>
        </w:rPr>
        <w:instrText xml:space="preserve"> PAGEREF _Toc13320 \h </w:instrText>
      </w:r>
      <w:r>
        <w:rPr>
          <w:color w:val="000000"/>
          <w:highlight w:val="none"/>
        </w:rPr>
        <w:fldChar w:fldCharType="separate"/>
      </w:r>
      <w:r>
        <w:rPr>
          <w:color w:val="000000"/>
          <w:highlight w:val="none"/>
        </w:rPr>
        <w:t xml:space="preserve">- 5 -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1107"/>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_Toc15083 </w:instrText>
      </w:r>
      <w:r>
        <w:rPr>
          <w:rFonts w:hint="eastAsia" w:ascii="宋体" w:hAnsi="宋体" w:cs="宋体"/>
          <w:color w:val="000000"/>
          <w:szCs w:val="22"/>
          <w:highlight w:val="none"/>
        </w:rPr>
        <w:fldChar w:fldCharType="separate"/>
      </w:r>
      <w:r>
        <w:rPr>
          <w:rFonts w:hint="eastAsia" w:ascii="宋体" w:hAnsi="宋体" w:cs="宋体"/>
          <w:bCs/>
          <w:color w:val="000000"/>
          <w:szCs w:val="24"/>
          <w:highlight w:val="none"/>
        </w:rPr>
        <w:t xml:space="preserve">六、其他补充事宜</w:t>
      </w:r>
      <w:r>
        <w:rPr>
          <w:color w:val="000000"/>
          <w:highlight w:val="none"/>
        </w:rPr>
        <w:tab/>
      </w:r>
      <w:r>
        <w:rPr>
          <w:color w:val="000000"/>
          <w:highlight w:val="none"/>
        </w:rPr>
        <w:fldChar w:fldCharType="begin"/>
      </w:r>
      <w:r>
        <w:rPr>
          <w:color w:val="000000"/>
          <w:highlight w:val="none"/>
        </w:rPr>
        <w:instrText xml:space="preserve"> PAGEREF _Toc15083 \h </w:instrText>
      </w:r>
      <w:r>
        <w:rPr>
          <w:color w:val="000000"/>
          <w:highlight w:val="none"/>
        </w:rPr>
        <w:fldChar w:fldCharType="separate"/>
      </w:r>
      <w:r>
        <w:rPr>
          <w:color w:val="000000"/>
          <w:highlight w:val="none"/>
        </w:rPr>
        <w:t xml:space="preserve">- 5 -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1107"/>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_Toc22250 </w:instrText>
      </w:r>
      <w:r>
        <w:rPr>
          <w:rFonts w:hint="eastAsia" w:ascii="宋体" w:hAnsi="宋体" w:cs="宋体"/>
          <w:color w:val="000000"/>
          <w:szCs w:val="22"/>
          <w:highlight w:val="none"/>
        </w:rPr>
        <w:fldChar w:fldCharType="separate"/>
      </w:r>
      <w:r>
        <w:rPr>
          <w:rFonts w:hint="eastAsia" w:ascii="宋体" w:hAnsi="宋体" w:cs="宋体"/>
          <w:bCs/>
          <w:color w:val="000000"/>
          <w:szCs w:val="24"/>
          <w:highlight w:val="none"/>
        </w:rPr>
        <w:t xml:space="preserve">七、对本次招标提出询问，请按以下方式联系</w:t>
      </w:r>
      <w:r>
        <w:rPr>
          <w:color w:val="000000"/>
          <w:highlight w:val="none"/>
        </w:rPr>
        <w:tab/>
      </w:r>
      <w:r>
        <w:rPr>
          <w:color w:val="000000"/>
          <w:highlight w:val="none"/>
        </w:rPr>
        <w:fldChar w:fldCharType="begin"/>
      </w:r>
      <w:r>
        <w:rPr>
          <w:color w:val="000000"/>
          <w:highlight w:val="none"/>
        </w:rPr>
        <w:instrText xml:space="preserve"> PAGEREF _Toc22250 \h </w:instrText>
      </w:r>
      <w:r>
        <w:rPr>
          <w:color w:val="000000"/>
          <w:highlight w:val="none"/>
        </w:rPr>
        <w:fldChar w:fldCharType="separate"/>
      </w:r>
      <w:r>
        <w:rPr>
          <w:color w:val="000000"/>
          <w:highlight w:val="none"/>
        </w:rPr>
        <w:t xml:space="preserve">- 6 -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1095"/>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_Toc25706 </w:instrText>
      </w:r>
      <w:r>
        <w:rPr>
          <w:rFonts w:hint="eastAsia" w:ascii="宋体" w:hAnsi="宋体" w:cs="宋体"/>
          <w:color w:val="000000"/>
          <w:szCs w:val="22"/>
          <w:highlight w:val="none"/>
        </w:rPr>
        <w:fldChar w:fldCharType="separate"/>
      </w:r>
      <w:r>
        <w:rPr>
          <w:rFonts w:hint="eastAsia" w:ascii="宋体" w:hAnsi="宋体" w:cs="宋体"/>
          <w:color w:val="000000"/>
          <w:highlight w:val="none"/>
        </w:rPr>
        <w:t xml:space="preserve">第二章 投标人须知</w:t>
      </w:r>
      <w:r>
        <w:rPr>
          <w:color w:val="000000"/>
          <w:highlight w:val="none"/>
        </w:rPr>
        <w:tab/>
      </w:r>
      <w:r>
        <w:rPr>
          <w:color w:val="000000"/>
          <w:highlight w:val="none"/>
        </w:rPr>
        <w:fldChar w:fldCharType="begin"/>
      </w:r>
      <w:r>
        <w:rPr>
          <w:color w:val="000000"/>
          <w:highlight w:val="none"/>
        </w:rPr>
        <w:instrText xml:space="preserve"> PAGEREF _Toc25706 \h </w:instrText>
      </w:r>
      <w:r>
        <w:rPr>
          <w:color w:val="000000"/>
          <w:highlight w:val="none"/>
        </w:rPr>
        <w:fldChar w:fldCharType="separate"/>
      </w:r>
      <w:r>
        <w:rPr>
          <w:color w:val="000000"/>
          <w:highlight w:val="none"/>
        </w:rPr>
        <w:t xml:space="preserve">- 8 -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1107"/>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_Toc32032 </w:instrText>
      </w:r>
      <w:r>
        <w:rPr>
          <w:rFonts w:hint="eastAsia" w:ascii="宋体" w:hAnsi="宋体" w:cs="宋体"/>
          <w:color w:val="000000"/>
          <w:szCs w:val="22"/>
          <w:highlight w:val="none"/>
        </w:rPr>
        <w:fldChar w:fldCharType="separate"/>
      </w:r>
      <w:r>
        <w:rPr>
          <w:rFonts w:hint="eastAsia" w:cs="宋体"/>
          <w:color w:val="000000"/>
          <w:highlight w:val="none"/>
        </w:rPr>
        <w:t xml:space="preserve">投标人须知前附表</w:t>
      </w:r>
      <w:r>
        <w:rPr>
          <w:color w:val="000000"/>
          <w:highlight w:val="none"/>
        </w:rPr>
        <w:tab/>
      </w:r>
      <w:r>
        <w:rPr>
          <w:color w:val="000000"/>
          <w:highlight w:val="none"/>
        </w:rPr>
        <w:fldChar w:fldCharType="begin"/>
      </w:r>
      <w:r>
        <w:rPr>
          <w:color w:val="000000"/>
          <w:highlight w:val="none"/>
        </w:rPr>
        <w:instrText xml:space="preserve"> PAGEREF _Toc32032 \h </w:instrText>
      </w:r>
      <w:r>
        <w:rPr>
          <w:color w:val="000000"/>
          <w:highlight w:val="none"/>
        </w:rPr>
        <w:fldChar w:fldCharType="separate"/>
      </w:r>
      <w:r>
        <w:rPr>
          <w:color w:val="000000"/>
          <w:highlight w:val="none"/>
        </w:rPr>
        <w:t xml:space="preserve">- 8 -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1107"/>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_Toc32331 </w:instrText>
      </w:r>
      <w:r>
        <w:rPr>
          <w:rFonts w:hint="eastAsia" w:ascii="宋体" w:hAnsi="宋体" w:cs="宋体"/>
          <w:color w:val="000000"/>
          <w:szCs w:val="22"/>
          <w:highlight w:val="none"/>
        </w:rPr>
        <w:fldChar w:fldCharType="separate"/>
      </w:r>
      <w:r>
        <w:rPr>
          <w:rFonts w:hint="eastAsia" w:ascii="宋体" w:hAnsi="宋体" w:cs="宋体"/>
          <w:bCs/>
          <w:color w:val="000000"/>
          <w:szCs w:val="24"/>
          <w:highlight w:val="none"/>
        </w:rPr>
        <w:t xml:space="preserve">一、总则</w:t>
      </w:r>
      <w:r>
        <w:rPr>
          <w:color w:val="000000"/>
          <w:highlight w:val="none"/>
        </w:rPr>
        <w:tab/>
      </w:r>
      <w:r>
        <w:rPr>
          <w:color w:val="000000"/>
          <w:highlight w:val="none"/>
        </w:rPr>
        <w:fldChar w:fldCharType="begin"/>
      </w:r>
      <w:r>
        <w:rPr>
          <w:color w:val="000000"/>
          <w:highlight w:val="none"/>
        </w:rPr>
        <w:instrText xml:space="preserve"> PAGEREF _Toc32331 \h </w:instrText>
      </w:r>
      <w:r>
        <w:rPr>
          <w:color w:val="000000"/>
          <w:highlight w:val="none"/>
        </w:rPr>
        <w:fldChar w:fldCharType="separate"/>
      </w:r>
      <w:r>
        <w:rPr>
          <w:color w:val="000000"/>
          <w:highlight w:val="none"/>
        </w:rPr>
        <w:t xml:space="preserve">- 10 -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1107"/>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_Toc11289 </w:instrText>
      </w:r>
      <w:r>
        <w:rPr>
          <w:rFonts w:hint="eastAsia" w:ascii="宋体" w:hAnsi="宋体" w:cs="宋体"/>
          <w:color w:val="000000"/>
          <w:szCs w:val="22"/>
          <w:highlight w:val="none"/>
        </w:rPr>
        <w:fldChar w:fldCharType="separate"/>
      </w:r>
      <w:r>
        <w:rPr>
          <w:rFonts w:hint="eastAsia" w:ascii="宋体" w:hAnsi="宋体" w:cs="宋体"/>
          <w:bCs/>
          <w:color w:val="000000"/>
          <w:szCs w:val="24"/>
          <w:highlight w:val="none"/>
        </w:rPr>
        <w:t xml:space="preserve">二、招标文件</w:t>
      </w:r>
      <w:r>
        <w:rPr>
          <w:color w:val="000000"/>
          <w:highlight w:val="none"/>
        </w:rPr>
        <w:tab/>
      </w:r>
      <w:r>
        <w:rPr>
          <w:color w:val="000000"/>
          <w:highlight w:val="none"/>
        </w:rPr>
        <w:fldChar w:fldCharType="begin"/>
      </w:r>
      <w:r>
        <w:rPr>
          <w:color w:val="000000"/>
          <w:highlight w:val="none"/>
        </w:rPr>
        <w:instrText xml:space="preserve"> PAGEREF _Toc11289 \h </w:instrText>
      </w:r>
      <w:r>
        <w:rPr>
          <w:color w:val="000000"/>
          <w:highlight w:val="none"/>
        </w:rPr>
        <w:fldChar w:fldCharType="separate"/>
      </w:r>
      <w:r>
        <w:rPr>
          <w:color w:val="000000"/>
          <w:highlight w:val="none"/>
        </w:rPr>
        <w:t xml:space="preserve">- 12 -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1107"/>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_Toc5426 </w:instrText>
      </w:r>
      <w:r>
        <w:rPr>
          <w:rFonts w:hint="eastAsia" w:ascii="宋体" w:hAnsi="宋体" w:cs="宋体"/>
          <w:color w:val="000000"/>
          <w:szCs w:val="22"/>
          <w:highlight w:val="none"/>
        </w:rPr>
        <w:fldChar w:fldCharType="separate"/>
      </w:r>
      <w:r>
        <w:rPr>
          <w:rFonts w:hint="eastAsia" w:ascii="宋体" w:hAnsi="宋体" w:cs="宋体"/>
          <w:bCs/>
          <w:color w:val="000000"/>
          <w:szCs w:val="24"/>
          <w:highlight w:val="none"/>
        </w:rPr>
        <w:t xml:space="preserve">三、投标文件的编制</w:t>
      </w:r>
      <w:r>
        <w:rPr>
          <w:color w:val="000000"/>
          <w:highlight w:val="none"/>
        </w:rPr>
        <w:tab/>
      </w:r>
      <w:r>
        <w:rPr>
          <w:color w:val="000000"/>
          <w:highlight w:val="none"/>
        </w:rPr>
        <w:fldChar w:fldCharType="begin"/>
      </w:r>
      <w:r>
        <w:rPr>
          <w:color w:val="000000"/>
          <w:highlight w:val="none"/>
        </w:rPr>
        <w:instrText xml:space="preserve"> PAGEREF _Toc5426 \h </w:instrText>
      </w:r>
      <w:r>
        <w:rPr>
          <w:color w:val="000000"/>
          <w:highlight w:val="none"/>
        </w:rPr>
        <w:fldChar w:fldCharType="separate"/>
      </w:r>
      <w:r>
        <w:rPr>
          <w:color w:val="000000"/>
          <w:highlight w:val="none"/>
        </w:rPr>
        <w:t xml:space="preserve">- 13 -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1107"/>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_Toc12044 </w:instrText>
      </w:r>
      <w:r>
        <w:rPr>
          <w:rFonts w:hint="eastAsia" w:ascii="宋体" w:hAnsi="宋体" w:cs="宋体"/>
          <w:color w:val="000000"/>
          <w:szCs w:val="22"/>
          <w:highlight w:val="none"/>
        </w:rPr>
        <w:fldChar w:fldCharType="separate"/>
      </w:r>
      <w:r>
        <w:rPr>
          <w:rFonts w:hint="eastAsia" w:ascii="宋体" w:hAnsi="宋体" w:cs="宋体"/>
          <w:bCs/>
          <w:color w:val="000000"/>
          <w:szCs w:val="24"/>
          <w:highlight w:val="none"/>
        </w:rPr>
        <w:t xml:space="preserve">四、投标文件的递交</w:t>
      </w:r>
      <w:r>
        <w:rPr>
          <w:color w:val="000000"/>
          <w:highlight w:val="none"/>
        </w:rPr>
        <w:tab/>
      </w:r>
      <w:r>
        <w:rPr>
          <w:color w:val="000000"/>
          <w:highlight w:val="none"/>
        </w:rPr>
        <w:fldChar w:fldCharType="begin"/>
      </w:r>
      <w:r>
        <w:rPr>
          <w:color w:val="000000"/>
          <w:highlight w:val="none"/>
        </w:rPr>
        <w:instrText xml:space="preserve"> PAGEREF _Toc12044 \h </w:instrText>
      </w:r>
      <w:r>
        <w:rPr>
          <w:color w:val="000000"/>
          <w:highlight w:val="none"/>
        </w:rPr>
        <w:fldChar w:fldCharType="separate"/>
      </w:r>
      <w:r>
        <w:rPr>
          <w:color w:val="000000"/>
          <w:highlight w:val="none"/>
        </w:rPr>
        <w:t xml:space="preserve">- 16 -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1107"/>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_Toc7165 </w:instrText>
      </w:r>
      <w:r>
        <w:rPr>
          <w:rFonts w:hint="eastAsia" w:ascii="宋体" w:hAnsi="宋体" w:cs="宋体"/>
          <w:color w:val="000000"/>
          <w:szCs w:val="22"/>
          <w:highlight w:val="none"/>
        </w:rPr>
        <w:fldChar w:fldCharType="separate"/>
      </w:r>
      <w:r>
        <w:rPr>
          <w:rFonts w:hint="eastAsia" w:ascii="宋体" w:hAnsi="宋体" w:cs="宋体"/>
          <w:bCs/>
          <w:color w:val="000000"/>
          <w:szCs w:val="24"/>
          <w:highlight w:val="none"/>
        </w:rPr>
        <w:t xml:space="preserve">五、开标与评标</w:t>
      </w:r>
      <w:r>
        <w:rPr>
          <w:color w:val="000000"/>
          <w:highlight w:val="none"/>
        </w:rPr>
        <w:tab/>
      </w:r>
      <w:r>
        <w:rPr>
          <w:color w:val="000000"/>
          <w:highlight w:val="none"/>
        </w:rPr>
        <w:fldChar w:fldCharType="begin"/>
      </w:r>
      <w:r>
        <w:rPr>
          <w:color w:val="000000"/>
          <w:highlight w:val="none"/>
        </w:rPr>
        <w:instrText xml:space="preserve"> PAGEREF _Toc7165 \h </w:instrText>
      </w:r>
      <w:r>
        <w:rPr>
          <w:color w:val="000000"/>
          <w:highlight w:val="none"/>
        </w:rPr>
        <w:fldChar w:fldCharType="separate"/>
      </w:r>
      <w:r>
        <w:rPr>
          <w:color w:val="000000"/>
          <w:highlight w:val="none"/>
        </w:rPr>
        <w:t xml:space="preserve">- 17 -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1107"/>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_Toc14303 </w:instrText>
      </w:r>
      <w:r>
        <w:rPr>
          <w:rFonts w:hint="eastAsia" w:ascii="宋体" w:hAnsi="宋体" w:cs="宋体"/>
          <w:color w:val="000000"/>
          <w:szCs w:val="22"/>
          <w:highlight w:val="none"/>
        </w:rPr>
        <w:fldChar w:fldCharType="separate"/>
      </w:r>
      <w:r>
        <w:rPr>
          <w:rFonts w:hint="eastAsia" w:ascii="宋体" w:hAnsi="宋体" w:cs="宋体"/>
          <w:bCs/>
          <w:color w:val="000000"/>
          <w:szCs w:val="24"/>
          <w:highlight w:val="none"/>
        </w:rPr>
        <w:t xml:space="preserve">六、授标</w:t>
      </w:r>
      <w:r>
        <w:rPr>
          <w:color w:val="000000"/>
          <w:highlight w:val="none"/>
        </w:rPr>
        <w:tab/>
      </w:r>
      <w:r>
        <w:rPr>
          <w:color w:val="000000"/>
          <w:highlight w:val="none"/>
        </w:rPr>
        <w:fldChar w:fldCharType="begin"/>
      </w:r>
      <w:r>
        <w:rPr>
          <w:color w:val="000000"/>
          <w:highlight w:val="none"/>
        </w:rPr>
        <w:instrText xml:space="preserve"> PAGEREF _Toc14303 \h </w:instrText>
      </w:r>
      <w:r>
        <w:rPr>
          <w:color w:val="000000"/>
          <w:highlight w:val="none"/>
        </w:rPr>
        <w:fldChar w:fldCharType="separate"/>
      </w:r>
      <w:r>
        <w:rPr>
          <w:color w:val="000000"/>
          <w:highlight w:val="none"/>
        </w:rPr>
        <w:t xml:space="preserve">- 21 -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1107"/>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_Toc17806 </w:instrText>
      </w:r>
      <w:r>
        <w:rPr>
          <w:rFonts w:hint="eastAsia" w:ascii="宋体" w:hAnsi="宋体" w:cs="宋体"/>
          <w:color w:val="000000"/>
          <w:szCs w:val="22"/>
          <w:highlight w:val="none"/>
        </w:rPr>
        <w:fldChar w:fldCharType="separate"/>
      </w:r>
      <w:r>
        <w:rPr>
          <w:rFonts w:hint="eastAsia" w:ascii="宋体" w:hAnsi="宋体" w:cs="宋体"/>
          <w:bCs/>
          <w:color w:val="000000"/>
          <w:szCs w:val="24"/>
          <w:highlight w:val="none"/>
        </w:rPr>
        <w:t xml:space="preserve">七、质疑</w:t>
      </w:r>
      <w:r>
        <w:rPr>
          <w:color w:val="000000"/>
          <w:highlight w:val="none"/>
        </w:rPr>
        <w:tab/>
      </w:r>
      <w:r>
        <w:rPr>
          <w:color w:val="000000"/>
          <w:highlight w:val="none"/>
        </w:rPr>
        <w:fldChar w:fldCharType="begin"/>
      </w:r>
      <w:r>
        <w:rPr>
          <w:color w:val="000000"/>
          <w:highlight w:val="none"/>
        </w:rPr>
        <w:instrText xml:space="preserve"> PAGEREF _Toc17806 \h </w:instrText>
      </w:r>
      <w:r>
        <w:rPr>
          <w:color w:val="000000"/>
          <w:highlight w:val="none"/>
        </w:rPr>
        <w:fldChar w:fldCharType="separate"/>
      </w:r>
      <w:r>
        <w:rPr>
          <w:color w:val="000000"/>
          <w:highlight w:val="none"/>
        </w:rPr>
        <w:t xml:space="preserve">- 24 -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1095"/>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_Toc7217 </w:instrText>
      </w:r>
      <w:r>
        <w:rPr>
          <w:rFonts w:hint="eastAsia" w:ascii="宋体" w:hAnsi="宋体" w:cs="宋体"/>
          <w:color w:val="000000"/>
          <w:szCs w:val="22"/>
          <w:highlight w:val="none"/>
        </w:rPr>
        <w:fldChar w:fldCharType="separate"/>
      </w:r>
      <w:r>
        <w:rPr>
          <w:rFonts w:hint="eastAsia" w:ascii="宋体" w:hAnsi="宋体" w:cs="宋体"/>
          <w:color w:val="000000"/>
          <w:highlight w:val="none"/>
        </w:rPr>
        <w:t xml:space="preserve">第三章 评分标准</w:t>
      </w:r>
      <w:r>
        <w:rPr>
          <w:color w:val="000000"/>
          <w:highlight w:val="none"/>
        </w:rPr>
        <w:tab/>
      </w:r>
      <w:r>
        <w:rPr>
          <w:color w:val="000000"/>
          <w:highlight w:val="none"/>
        </w:rPr>
        <w:fldChar w:fldCharType="begin"/>
      </w:r>
      <w:r>
        <w:rPr>
          <w:color w:val="000000"/>
          <w:highlight w:val="none"/>
        </w:rPr>
        <w:instrText xml:space="preserve"> PAGEREF _Toc7217 \h </w:instrText>
      </w:r>
      <w:r>
        <w:rPr>
          <w:color w:val="000000"/>
          <w:highlight w:val="none"/>
        </w:rPr>
        <w:fldChar w:fldCharType="separate"/>
      </w:r>
      <w:r>
        <w:rPr>
          <w:color w:val="000000"/>
          <w:highlight w:val="none"/>
        </w:rPr>
        <w:t xml:space="preserve">- 26 -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1107"/>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_Toc28196 </w:instrText>
      </w:r>
      <w:r>
        <w:rPr>
          <w:rFonts w:hint="eastAsia" w:ascii="宋体" w:hAnsi="宋体" w:cs="宋体"/>
          <w:color w:val="000000"/>
          <w:szCs w:val="22"/>
          <w:highlight w:val="none"/>
        </w:rPr>
        <w:fldChar w:fldCharType="separate"/>
      </w:r>
      <w:r>
        <w:rPr>
          <w:rFonts w:hint="eastAsia" w:ascii="宋体" w:hAnsi="宋体" w:cs="宋体"/>
          <w:color w:val="000000"/>
          <w:szCs w:val="22"/>
          <w:highlight w:val="none"/>
        </w:rPr>
        <w:t xml:space="preserve">一、资格性审查</w:t>
      </w:r>
      <w:r>
        <w:rPr>
          <w:color w:val="000000"/>
          <w:highlight w:val="none"/>
        </w:rPr>
        <w:tab/>
      </w:r>
      <w:r>
        <w:rPr>
          <w:color w:val="000000"/>
          <w:highlight w:val="none"/>
        </w:rPr>
        <w:fldChar w:fldCharType="begin"/>
      </w:r>
      <w:r>
        <w:rPr>
          <w:color w:val="000000"/>
          <w:highlight w:val="none"/>
        </w:rPr>
        <w:instrText xml:space="preserve"> PAGEREF _Toc28196 \h </w:instrText>
      </w:r>
      <w:r>
        <w:rPr>
          <w:color w:val="000000"/>
          <w:highlight w:val="none"/>
        </w:rPr>
        <w:fldChar w:fldCharType="separate"/>
      </w:r>
      <w:r>
        <w:rPr>
          <w:color w:val="000000"/>
          <w:highlight w:val="none"/>
        </w:rPr>
        <w:t xml:space="preserve">- 26 -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1107"/>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_Toc14304 </w:instrText>
      </w:r>
      <w:r>
        <w:rPr>
          <w:rFonts w:hint="eastAsia" w:ascii="宋体" w:hAnsi="宋体" w:cs="宋体"/>
          <w:color w:val="000000"/>
          <w:szCs w:val="22"/>
          <w:highlight w:val="none"/>
        </w:rPr>
        <w:fldChar w:fldCharType="separate"/>
      </w:r>
      <w:r>
        <w:rPr>
          <w:rFonts w:hint="eastAsia" w:ascii="宋体" w:hAnsi="宋体" w:cs="宋体"/>
          <w:color w:val="000000"/>
          <w:szCs w:val="22"/>
          <w:highlight w:val="none"/>
        </w:rPr>
        <w:t xml:space="preserve">二、符合性审查</w:t>
      </w:r>
      <w:r>
        <w:rPr>
          <w:color w:val="000000"/>
          <w:highlight w:val="none"/>
        </w:rPr>
        <w:tab/>
      </w:r>
      <w:r>
        <w:rPr>
          <w:color w:val="000000"/>
          <w:highlight w:val="none"/>
        </w:rPr>
        <w:fldChar w:fldCharType="begin"/>
      </w:r>
      <w:r>
        <w:rPr>
          <w:color w:val="000000"/>
          <w:highlight w:val="none"/>
        </w:rPr>
        <w:instrText xml:space="preserve"> PAGEREF _Toc14304 \h </w:instrText>
      </w:r>
      <w:r>
        <w:rPr>
          <w:color w:val="000000"/>
          <w:highlight w:val="none"/>
        </w:rPr>
        <w:fldChar w:fldCharType="separate"/>
      </w:r>
      <w:r>
        <w:rPr>
          <w:color w:val="000000"/>
          <w:highlight w:val="none"/>
        </w:rPr>
        <w:t xml:space="preserve">- 26 -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1107"/>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_Toc6239 </w:instrText>
      </w:r>
      <w:r>
        <w:rPr>
          <w:rFonts w:hint="eastAsia" w:ascii="宋体" w:hAnsi="宋体" w:cs="宋体"/>
          <w:color w:val="000000"/>
          <w:szCs w:val="22"/>
          <w:highlight w:val="none"/>
        </w:rPr>
        <w:fldChar w:fldCharType="separate"/>
      </w:r>
      <w:r>
        <w:rPr>
          <w:rFonts w:hint="eastAsia" w:ascii="宋体" w:hAnsi="宋体" w:cs="宋体"/>
          <w:color w:val="000000"/>
          <w:szCs w:val="22"/>
          <w:highlight w:val="none"/>
        </w:rPr>
        <w:t xml:space="preserve">三、异常低价投标（响应）审查</w:t>
      </w:r>
      <w:r>
        <w:rPr>
          <w:color w:val="000000"/>
          <w:highlight w:val="none"/>
        </w:rPr>
        <w:tab/>
      </w:r>
      <w:r>
        <w:rPr>
          <w:color w:val="000000"/>
          <w:highlight w:val="none"/>
        </w:rPr>
        <w:fldChar w:fldCharType="begin"/>
      </w:r>
      <w:r>
        <w:rPr>
          <w:color w:val="000000"/>
          <w:highlight w:val="none"/>
        </w:rPr>
        <w:instrText xml:space="preserve"> PAGEREF _Toc6239 \h </w:instrText>
      </w:r>
      <w:r>
        <w:rPr>
          <w:color w:val="000000"/>
          <w:highlight w:val="none"/>
        </w:rPr>
        <w:fldChar w:fldCharType="separate"/>
      </w:r>
      <w:r>
        <w:rPr>
          <w:color w:val="000000"/>
          <w:highlight w:val="none"/>
        </w:rPr>
        <w:t xml:space="preserve">- 26 -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1107"/>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_Toc25427 </w:instrText>
      </w:r>
      <w:r>
        <w:rPr>
          <w:rFonts w:hint="eastAsia" w:ascii="宋体" w:hAnsi="宋体" w:cs="宋体"/>
          <w:color w:val="000000"/>
          <w:szCs w:val="22"/>
          <w:highlight w:val="none"/>
        </w:rPr>
        <w:fldChar w:fldCharType="separate"/>
      </w:r>
      <w:r>
        <w:rPr>
          <w:rFonts w:hint="eastAsia" w:ascii="宋体" w:hAnsi="宋体" w:cs="宋体"/>
          <w:color w:val="000000"/>
          <w:szCs w:val="22"/>
          <w:highlight w:val="none"/>
        </w:rPr>
        <w:t xml:space="preserve">四、 评分表（综合评分法）</w:t>
      </w:r>
      <w:r>
        <w:rPr>
          <w:color w:val="000000"/>
          <w:highlight w:val="none"/>
        </w:rPr>
        <w:tab/>
      </w:r>
      <w:r>
        <w:rPr>
          <w:color w:val="000000"/>
          <w:highlight w:val="none"/>
        </w:rPr>
        <w:fldChar w:fldCharType="begin"/>
      </w:r>
      <w:r>
        <w:rPr>
          <w:color w:val="000000"/>
          <w:highlight w:val="none"/>
        </w:rPr>
        <w:instrText xml:space="preserve"> PAGEREF _Toc25427 \h </w:instrText>
      </w:r>
      <w:r>
        <w:rPr>
          <w:color w:val="000000"/>
          <w:highlight w:val="none"/>
        </w:rPr>
        <w:fldChar w:fldCharType="separate"/>
      </w:r>
      <w:r>
        <w:rPr>
          <w:color w:val="000000"/>
          <w:highlight w:val="none"/>
        </w:rPr>
        <w:t xml:space="preserve">- 28 -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1107"/>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_Toc29051 </w:instrText>
      </w:r>
      <w:r>
        <w:rPr>
          <w:rFonts w:hint="eastAsia" w:ascii="宋体" w:hAnsi="宋体" w:cs="宋体"/>
          <w:color w:val="000000"/>
          <w:szCs w:val="22"/>
          <w:highlight w:val="none"/>
        </w:rPr>
        <w:fldChar w:fldCharType="separate"/>
      </w:r>
      <w:r>
        <w:rPr>
          <w:rFonts w:hint="eastAsia" w:ascii="宋体" w:hAnsi="宋体" w:cs="宋体"/>
          <w:color w:val="000000"/>
          <w:szCs w:val="22"/>
          <w:highlight w:val="none"/>
        </w:rPr>
        <w:t xml:space="preserve">五、评分因素及分值说明</w:t>
      </w:r>
      <w:r>
        <w:rPr>
          <w:color w:val="000000"/>
          <w:highlight w:val="none"/>
        </w:rPr>
        <w:tab/>
      </w:r>
      <w:r>
        <w:rPr>
          <w:color w:val="000000"/>
          <w:highlight w:val="none"/>
        </w:rPr>
        <w:fldChar w:fldCharType="begin"/>
      </w:r>
      <w:r>
        <w:rPr>
          <w:color w:val="000000"/>
          <w:highlight w:val="none"/>
        </w:rPr>
        <w:instrText xml:space="preserve"> PAGEREF _Toc29051 \h </w:instrText>
      </w:r>
      <w:r>
        <w:rPr>
          <w:color w:val="000000"/>
          <w:highlight w:val="none"/>
        </w:rPr>
        <w:fldChar w:fldCharType="separate"/>
      </w:r>
      <w:r>
        <w:rPr>
          <w:color w:val="000000"/>
          <w:highlight w:val="none"/>
        </w:rPr>
        <w:t xml:space="preserve">- 31 -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1095"/>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_Toc19039 </w:instrText>
      </w:r>
      <w:r>
        <w:rPr>
          <w:rFonts w:hint="eastAsia" w:ascii="宋体" w:hAnsi="宋体" w:cs="宋体"/>
          <w:color w:val="000000"/>
          <w:szCs w:val="22"/>
          <w:highlight w:val="none"/>
        </w:rPr>
        <w:fldChar w:fldCharType="separate"/>
      </w:r>
      <w:r>
        <w:rPr>
          <w:rFonts w:hint="eastAsia" w:ascii="宋体" w:hAnsi="宋体" w:cs="宋体"/>
          <w:color w:val="000000"/>
          <w:highlight w:val="none"/>
        </w:rPr>
        <w:t xml:space="preserve">第四章 采购需求</w:t>
      </w:r>
      <w:r>
        <w:rPr>
          <w:color w:val="000000"/>
          <w:highlight w:val="none"/>
        </w:rPr>
        <w:tab/>
      </w:r>
      <w:r>
        <w:rPr>
          <w:color w:val="000000"/>
          <w:highlight w:val="none"/>
        </w:rPr>
        <w:fldChar w:fldCharType="begin"/>
      </w:r>
      <w:r>
        <w:rPr>
          <w:color w:val="000000"/>
          <w:highlight w:val="none"/>
        </w:rPr>
        <w:instrText xml:space="preserve"> PAGEREF _Toc19039 \h </w:instrText>
      </w:r>
      <w:r>
        <w:rPr>
          <w:color w:val="000000"/>
          <w:highlight w:val="none"/>
        </w:rPr>
        <w:fldChar w:fldCharType="separate"/>
      </w:r>
      <w:r>
        <w:rPr>
          <w:color w:val="000000"/>
          <w:highlight w:val="none"/>
        </w:rPr>
        <w:t xml:space="preserve">- 34 -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1107"/>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_Toc22347 </w:instrText>
      </w:r>
      <w:r>
        <w:rPr>
          <w:rFonts w:hint="eastAsia" w:ascii="宋体" w:hAnsi="宋体" w:cs="宋体"/>
          <w:color w:val="000000"/>
          <w:szCs w:val="22"/>
          <w:highlight w:val="none"/>
        </w:rPr>
        <w:fldChar w:fldCharType="separate"/>
      </w:r>
      <w:r>
        <w:rPr>
          <w:rFonts w:hint="eastAsia" w:ascii="宋体" w:hAnsi="宋体" w:cs="宋体"/>
          <w:color w:val="000000"/>
          <w:szCs w:val="28"/>
          <w:highlight w:val="none"/>
        </w:rPr>
        <w:t xml:space="preserve">一、 项目概况：</w:t>
      </w:r>
      <w:r>
        <w:rPr>
          <w:color w:val="000000"/>
          <w:highlight w:val="none"/>
        </w:rPr>
        <w:tab/>
      </w:r>
      <w:r>
        <w:rPr>
          <w:color w:val="000000"/>
          <w:highlight w:val="none"/>
        </w:rPr>
        <w:fldChar w:fldCharType="begin"/>
      </w:r>
      <w:r>
        <w:rPr>
          <w:color w:val="000000"/>
          <w:highlight w:val="none"/>
        </w:rPr>
        <w:instrText xml:space="preserve"> PAGEREF _Toc22347 \h </w:instrText>
      </w:r>
      <w:r>
        <w:rPr>
          <w:color w:val="000000"/>
          <w:highlight w:val="none"/>
        </w:rPr>
        <w:fldChar w:fldCharType="separate"/>
      </w:r>
      <w:r>
        <w:rPr>
          <w:color w:val="000000"/>
          <w:highlight w:val="none"/>
        </w:rPr>
        <w:t xml:space="preserve">- 34 -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1107"/>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_Toc17578 </w:instrText>
      </w:r>
      <w:r>
        <w:rPr>
          <w:rFonts w:hint="eastAsia" w:ascii="宋体" w:hAnsi="宋体" w:cs="宋体"/>
          <w:color w:val="000000"/>
          <w:szCs w:val="22"/>
          <w:highlight w:val="none"/>
        </w:rPr>
        <w:fldChar w:fldCharType="separate"/>
      </w:r>
      <w:r>
        <w:rPr>
          <w:rFonts w:hint="eastAsia" w:ascii="宋体" w:hAnsi="宋体" w:cs="宋体"/>
          <w:color w:val="000000"/>
          <w:szCs w:val="28"/>
          <w:highlight w:val="none"/>
        </w:rPr>
        <w:t xml:space="preserve">二、 技术要求：</w:t>
      </w:r>
      <w:r>
        <w:rPr>
          <w:color w:val="000000"/>
          <w:highlight w:val="none"/>
        </w:rPr>
        <w:tab/>
      </w:r>
      <w:r>
        <w:rPr>
          <w:color w:val="000000"/>
          <w:highlight w:val="none"/>
        </w:rPr>
        <w:fldChar w:fldCharType="begin"/>
      </w:r>
      <w:r>
        <w:rPr>
          <w:color w:val="000000"/>
          <w:highlight w:val="none"/>
        </w:rPr>
        <w:instrText xml:space="preserve"> PAGEREF _Toc17578 \h </w:instrText>
      </w:r>
      <w:r>
        <w:rPr>
          <w:color w:val="000000"/>
          <w:highlight w:val="none"/>
        </w:rPr>
        <w:fldChar w:fldCharType="separate"/>
      </w:r>
      <w:r>
        <w:rPr>
          <w:color w:val="000000"/>
          <w:highlight w:val="none"/>
        </w:rPr>
        <w:t xml:space="preserve">- 34 -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1107"/>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_Toc28503 </w:instrText>
      </w:r>
      <w:r>
        <w:rPr>
          <w:rFonts w:hint="eastAsia" w:ascii="宋体" w:hAnsi="宋体" w:cs="宋体"/>
          <w:color w:val="000000"/>
          <w:szCs w:val="22"/>
          <w:highlight w:val="none"/>
        </w:rPr>
        <w:fldChar w:fldCharType="separate"/>
      </w:r>
      <w:r>
        <w:rPr>
          <w:rFonts w:hint="eastAsia" w:ascii="宋体" w:hAnsi="宋体" w:cs="宋体"/>
          <w:color w:val="000000"/>
          <w:szCs w:val="24"/>
          <w:highlight w:val="none"/>
        </w:rPr>
        <w:t xml:space="preserve">三、 商务要求：</w:t>
      </w:r>
      <w:r>
        <w:rPr>
          <w:color w:val="000000"/>
          <w:highlight w:val="none"/>
        </w:rPr>
        <w:tab/>
      </w:r>
      <w:r>
        <w:rPr>
          <w:color w:val="000000"/>
          <w:highlight w:val="none"/>
        </w:rPr>
        <w:fldChar w:fldCharType="begin"/>
      </w:r>
      <w:r>
        <w:rPr>
          <w:color w:val="000000"/>
          <w:highlight w:val="none"/>
        </w:rPr>
        <w:instrText xml:space="preserve"> PAGEREF _Toc28503 \h </w:instrText>
      </w:r>
      <w:r>
        <w:rPr>
          <w:color w:val="000000"/>
          <w:highlight w:val="none"/>
        </w:rPr>
        <w:fldChar w:fldCharType="separate"/>
      </w:r>
      <w:r>
        <w:rPr>
          <w:color w:val="000000"/>
          <w:highlight w:val="none"/>
        </w:rPr>
        <w:t xml:space="preserve">- 36 -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1095"/>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_Toc18787 </w:instrText>
      </w:r>
      <w:r>
        <w:rPr>
          <w:rFonts w:hint="eastAsia" w:ascii="宋体" w:hAnsi="宋体" w:cs="宋体"/>
          <w:color w:val="000000"/>
          <w:szCs w:val="22"/>
          <w:highlight w:val="none"/>
        </w:rPr>
        <w:fldChar w:fldCharType="separate"/>
      </w:r>
      <w:r>
        <w:rPr>
          <w:rFonts w:hint="eastAsia" w:ascii="宋体" w:hAnsi="宋体" w:cs="宋体"/>
          <w:color w:val="000000"/>
          <w:highlight w:val="none"/>
        </w:rPr>
        <w:t xml:space="preserve">第五章 拟签订的合同文本</w:t>
      </w:r>
      <w:r>
        <w:rPr>
          <w:color w:val="000000"/>
          <w:highlight w:val="none"/>
        </w:rPr>
        <w:tab/>
      </w:r>
      <w:r>
        <w:rPr>
          <w:color w:val="000000"/>
          <w:highlight w:val="none"/>
        </w:rPr>
        <w:fldChar w:fldCharType="begin"/>
      </w:r>
      <w:r>
        <w:rPr>
          <w:color w:val="000000"/>
          <w:highlight w:val="none"/>
        </w:rPr>
        <w:instrText xml:space="preserve"> PAGEREF _Toc18787 \h </w:instrText>
      </w:r>
      <w:r>
        <w:rPr>
          <w:color w:val="000000"/>
          <w:highlight w:val="none"/>
        </w:rPr>
        <w:fldChar w:fldCharType="separate"/>
      </w:r>
      <w:r>
        <w:rPr>
          <w:color w:val="000000"/>
          <w:highlight w:val="none"/>
        </w:rPr>
        <w:t xml:space="preserve">- 40 -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1095"/>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_Toc21943 </w:instrText>
      </w:r>
      <w:r>
        <w:rPr>
          <w:rFonts w:hint="eastAsia" w:ascii="宋体" w:hAnsi="宋体" w:cs="宋体"/>
          <w:color w:val="000000"/>
          <w:szCs w:val="22"/>
          <w:highlight w:val="none"/>
        </w:rPr>
        <w:fldChar w:fldCharType="separate"/>
      </w:r>
      <w:r>
        <w:rPr>
          <w:rFonts w:hint="eastAsia" w:ascii="宋体" w:hAnsi="宋体" w:cs="宋体"/>
          <w:color w:val="000000"/>
          <w:highlight w:val="none"/>
        </w:rPr>
        <w:t xml:space="preserve">第六章 投标文件格式及附件</w:t>
      </w:r>
      <w:r>
        <w:rPr>
          <w:color w:val="000000"/>
          <w:highlight w:val="none"/>
        </w:rPr>
        <w:tab/>
      </w:r>
      <w:r>
        <w:rPr>
          <w:color w:val="000000"/>
          <w:highlight w:val="none"/>
        </w:rPr>
        <w:fldChar w:fldCharType="begin"/>
      </w:r>
      <w:r>
        <w:rPr>
          <w:color w:val="000000"/>
          <w:highlight w:val="none"/>
        </w:rPr>
        <w:instrText xml:space="preserve"> PAGEREF _Toc21943 \h </w:instrText>
      </w:r>
      <w:r>
        <w:rPr>
          <w:color w:val="000000"/>
          <w:highlight w:val="none"/>
        </w:rPr>
        <w:fldChar w:fldCharType="separate"/>
      </w:r>
      <w:r>
        <w:rPr>
          <w:color w:val="000000"/>
          <w:highlight w:val="none"/>
        </w:rPr>
        <w:t xml:space="preserve">- 47 -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1038"/>
        <w:rPr>
          <w:rFonts w:hint="eastAsia" w:ascii="宋体" w:hAnsi="宋体" w:eastAsia="宋体" w:cs="宋体"/>
          <w:color w:val="000000"/>
          <w:highlight w:val="none"/>
        </w:rPr>
      </w:pPr>
      <w:r>
        <w:rPr>
          <w:rFonts w:hint="eastAsia" w:ascii="宋体" w:hAnsi="宋体" w:eastAsia="宋体" w:cs="宋体"/>
          <w:color w:val="000000"/>
          <w:szCs w:val="22"/>
          <w:highlight w:val="none"/>
        </w:rPr>
        <w:fldChar w:fldCharType="end"/>
      </w:r>
      <w:r>
        <w:rPr>
          <w:rFonts w:hint="eastAsia" w:ascii="宋体" w:hAnsi="宋体" w:eastAsia="宋体" w:cs="宋体"/>
          <w:color w:val="000000"/>
          <w:highlight w:val="none"/>
        </w:rPr>
      </w:r>
      <w:r/>
    </w:p>
    <w:p>
      <w:pPr>
        <w:pStyle w:val="1039"/>
        <w:ind w:firstLine="0"/>
        <w:spacing w:before="480"/>
        <w:tabs>
          <w:tab w:val="left" w:pos="1440" w:leader="none"/>
          <w:tab w:val="left" w:pos="5670" w:leader="none"/>
        </w:tabs>
        <w:rPr>
          <w:rStyle w:val="1133"/>
          <w:rFonts w:hint="eastAsia" w:ascii="宋体" w:hAnsi="宋体" w:cs="宋体"/>
          <w:color w:val="000000"/>
          <w:szCs w:val="20"/>
          <w:highlight w:val="none"/>
        </w:rPr>
      </w:pPr>
      <w:r/>
      <w:bookmarkStart w:id="3" w:name="_Toc12396"/>
      <w:r>
        <w:rPr>
          <w:rFonts w:hint="eastAsia" w:ascii="宋体" w:hAnsi="宋体" w:eastAsia="宋体" w:cs="宋体"/>
          <w:color w:val="000000"/>
          <w:highlight w:val="none"/>
        </w:rPr>
        <w:t xml:space="preserve">第一章 招标公告</w:t>
      </w:r>
      <w:bookmarkEnd w:id="1"/>
      <w:r/>
      <w:bookmarkEnd w:id="2"/>
      <w:r/>
      <w:bookmarkEnd w:id="3"/>
      <w:r>
        <w:rPr>
          <w:rStyle w:val="1133"/>
          <w:rFonts w:hint="eastAsia" w:ascii="宋体" w:hAnsi="宋体" w:cs="宋体"/>
          <w:color w:val="000000"/>
          <w:szCs w:val="2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57"/>
      </w:tblGrid>
      <w:tr>
        <w:trPr/>
        <w:tc>
          <w:tcPr>
            <w:tcW w:w="9757" w:type="dxa"/>
            <w:vAlign w:val="top"/>
            <w:textDirection w:val="lrTb"/>
            <w:noWrap w:val="false"/>
          </w:tcPr>
          <w:p>
            <w:pPr>
              <w:pStyle w:val="1038"/>
              <w:jc w:val="left"/>
              <w:spacing w:after="0"/>
              <w:rPr>
                <w:rFonts w:hint="eastAsia" w:ascii="宋体" w:hAnsi="宋体" w:eastAsia="宋体" w:cs="宋体"/>
                <w:b/>
                <w:bCs/>
                <w:color w:val="000000"/>
                <w:sz w:val="24"/>
                <w:szCs w:val="24"/>
                <w:highlight w:val="none"/>
              </w:rPr>
              <w:pBdr>
                <w:top w:val="none" w:color="000000" w:sz="0" w:space="1"/>
                <w:left w:val="none" w:color="000000" w:sz="0" w:space="4"/>
                <w:bottom w:val="none" w:color="000000" w:sz="0" w:space="1"/>
                <w:right w:val="none" w:color="000000" w:sz="0" w:space="4"/>
              </w:pBdr>
            </w:pPr>
            <w:r>
              <w:rPr>
                <w:rFonts w:hint="eastAsia" w:ascii="宋体" w:hAnsi="宋体" w:eastAsia="宋体" w:cs="宋体"/>
                <w:b/>
                <w:bCs/>
                <w:color w:val="000000"/>
                <w:sz w:val="24"/>
                <w:szCs w:val="24"/>
                <w:highlight w:val="none"/>
              </w:rPr>
              <w:t xml:space="preserve">项目概况：</w:t>
            </w:r>
            <w:r>
              <w:rPr>
                <w:rFonts w:hint="eastAsia" w:ascii="宋体" w:hAnsi="宋体" w:eastAsia="宋体" w:cs="宋体"/>
                <w:b/>
                <w:bCs/>
                <w:color w:val="000000"/>
                <w:sz w:val="24"/>
                <w:szCs w:val="24"/>
                <w:highlight w:val="none"/>
              </w:rPr>
            </w:r>
            <w:r/>
          </w:p>
          <w:p>
            <w:pPr>
              <w:pStyle w:val="1038"/>
              <w:ind w:firstLine="440"/>
              <w:spacing w:before="0" w:after="0"/>
              <w:rPr>
                <w:rFonts w:hint="eastAsia" w:ascii="宋体" w:hAnsi="宋体" w:eastAsia="宋体" w:cs="宋体"/>
                <w:color w:val="000000"/>
                <w:highlight w:val="none"/>
              </w:rPr>
            </w:pPr>
            <w:r>
              <w:rPr>
                <w:rFonts w:hint="eastAsia" w:ascii="宋体" w:hAnsi="宋体" w:eastAsia="宋体" w:cs="宋体"/>
                <w:color w:val="000000"/>
                <w:sz w:val="22"/>
                <w:highlight w:val="none"/>
                <w:lang w:eastAsia="zh-CN"/>
              </w:rPr>
              <w:t xml:space="preserve">江苏省计量检测基地(二期)实验室家具采购</w:t>
            </w:r>
            <w:r>
              <w:rPr>
                <w:rFonts w:hint="eastAsia" w:ascii="宋体" w:hAnsi="宋体" w:eastAsia="宋体" w:cs="宋体"/>
                <w:color w:val="000000"/>
                <w:sz w:val="22"/>
                <w:highlight w:val="none"/>
                <w:u w:val="single"/>
              </w:rPr>
              <w:t xml:space="preserve">（项目编号：</w:t>
            </w:r>
            <w:r>
              <w:rPr>
                <w:rFonts w:hint="eastAsia" w:ascii="宋体" w:hAnsi="宋体" w:eastAsia="宋体" w:cs="宋体"/>
                <w:color w:val="000000"/>
                <w:sz w:val="22"/>
                <w:highlight w:val="none"/>
                <w:u w:val="single"/>
                <w:lang w:eastAsia="zh-CN"/>
              </w:rPr>
              <w:t xml:space="preserve">JSZC-320000-HWZX-G2026-0320</w:t>
            </w:r>
            <w:r>
              <w:rPr>
                <w:rFonts w:hint="eastAsia" w:ascii="宋体" w:hAnsi="宋体" w:eastAsia="宋体" w:cs="宋体"/>
                <w:color w:val="000000"/>
                <w:sz w:val="22"/>
                <w:highlight w:val="none"/>
                <w:u w:val="single"/>
              </w:rPr>
              <w:t xml:space="preserve">）</w:t>
            </w:r>
            <w:r>
              <w:rPr>
                <w:rFonts w:hint="eastAsia" w:ascii="宋体" w:hAnsi="宋体" w:eastAsia="宋体" w:cs="宋体"/>
                <w:color w:val="000000"/>
                <w:sz w:val="22"/>
                <w:highlight w:val="none"/>
              </w:rPr>
              <w:t xml:space="preserve">招标项目的潜在投标人应在</w:t>
            </w:r>
            <w:r>
              <w:rPr>
                <w:rFonts w:hint="eastAsia" w:ascii="宋体" w:hAnsi="宋体" w:eastAsia="宋体" w:cs="宋体"/>
                <w:color w:val="000000"/>
                <w:sz w:val="22"/>
                <w:highlight w:val="none"/>
                <w:u w:val="single"/>
              </w:rPr>
              <w:t xml:space="preserve">“江苏政府采购网”自行免费下载</w:t>
            </w:r>
            <w:r>
              <w:rPr>
                <w:rFonts w:hint="eastAsia" w:ascii="宋体" w:hAnsi="宋体" w:eastAsia="宋体" w:cs="宋体"/>
                <w:color w:val="000000"/>
                <w:sz w:val="22"/>
                <w:highlight w:val="none"/>
              </w:rPr>
              <w:t xml:space="preserve">获取招标文件，并于</w:t>
            </w:r>
            <w:r>
              <w:rPr>
                <w:rFonts w:hint="eastAsia" w:ascii="宋体" w:hAnsi="宋体" w:eastAsia="宋体" w:cs="宋体"/>
                <w:color w:val="000000"/>
                <w:sz w:val="22"/>
                <w:highlight w:val="none"/>
                <w:u w:val="single"/>
                <w:lang w:eastAsia="zh-CN"/>
              </w:rPr>
              <w:t xml:space="preserve">2026年7月15日 </w:t>
            </w:r>
            <w:r>
              <w:rPr>
                <w:rFonts w:hint="eastAsia" w:ascii="宋体" w:hAnsi="宋体" w:eastAsia="宋体" w:cs="宋体"/>
                <w:color w:val="000000"/>
                <w:sz w:val="22"/>
                <w:highlight w:val="none"/>
                <w:u w:val="single"/>
                <w:lang w:val="en-US" w:eastAsia="zh-CN"/>
              </w:rPr>
              <w:t xml:space="preserve">9</w:t>
            </w:r>
            <w:r>
              <w:rPr>
                <w:rFonts w:hint="eastAsia" w:ascii="宋体" w:hAnsi="宋体" w:eastAsia="宋体" w:cs="宋体"/>
                <w:color w:val="000000"/>
                <w:sz w:val="22"/>
                <w:highlight w:val="none"/>
                <w:u w:val="single"/>
                <w:lang w:eastAsia="zh-CN"/>
              </w:rPr>
              <w:t xml:space="preserve">:</w:t>
            </w:r>
            <w:r>
              <w:rPr>
                <w:rFonts w:hint="eastAsia" w:ascii="宋体" w:hAnsi="宋体" w:eastAsia="宋体" w:cs="宋体"/>
                <w:color w:val="000000"/>
                <w:sz w:val="22"/>
                <w:highlight w:val="none"/>
                <w:u w:val="single"/>
                <w:lang w:val="en-US" w:eastAsia="zh-CN"/>
              </w:rPr>
              <w:t xml:space="preserve">3</w:t>
            </w:r>
            <w:r>
              <w:rPr>
                <w:rFonts w:hint="eastAsia" w:ascii="宋体" w:hAnsi="宋体" w:eastAsia="宋体" w:cs="宋体"/>
                <w:color w:val="000000"/>
                <w:sz w:val="22"/>
                <w:highlight w:val="none"/>
                <w:u w:val="single"/>
                <w:lang w:eastAsia="zh-CN"/>
              </w:rPr>
              <w:t xml:space="preserve">0</w:t>
            </w:r>
            <w:r>
              <w:rPr>
                <w:rFonts w:hint="eastAsia" w:ascii="宋体" w:hAnsi="宋体" w:eastAsia="宋体" w:cs="宋体"/>
                <w:color w:val="000000"/>
                <w:sz w:val="22"/>
                <w:highlight w:val="none"/>
                <w:u w:val="single"/>
              </w:rPr>
              <w:t xml:space="preserve">（北京时间）</w:t>
            </w:r>
            <w:r>
              <w:rPr>
                <w:rFonts w:hint="eastAsia" w:ascii="宋体" w:hAnsi="宋体" w:eastAsia="宋体" w:cs="宋体"/>
                <w:color w:val="000000"/>
                <w:sz w:val="22"/>
                <w:highlight w:val="none"/>
              </w:rPr>
              <w:t xml:space="preserve">前递交投标文件。</w:t>
            </w:r>
            <w:r>
              <w:rPr>
                <w:rFonts w:hint="eastAsia" w:ascii="宋体" w:hAnsi="宋体" w:eastAsia="宋体" w:cs="宋体"/>
                <w:color w:val="000000"/>
                <w:highlight w:val="none"/>
              </w:rPr>
            </w:r>
            <w:r/>
          </w:p>
        </w:tc>
      </w:tr>
    </w:tbl>
    <w:p>
      <w:pPr>
        <w:pStyle w:val="1038"/>
        <w:spacing w:before="0" w:after="0"/>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r>
      <w:r/>
    </w:p>
    <w:p>
      <w:pPr>
        <w:pStyle w:val="1038"/>
        <w:spacing w:before="0" w:after="0"/>
        <w:rPr>
          <w:rFonts w:hint="eastAsia" w:ascii="宋体" w:hAnsi="宋体" w:eastAsia="宋体" w:cs="宋体"/>
          <w:color w:val="000000"/>
          <w:sz w:val="24"/>
          <w:szCs w:val="24"/>
          <w:highlight w:val="none"/>
        </w:rPr>
        <w:outlineLvl w:val="1"/>
      </w:pPr>
      <w:r/>
      <w:bookmarkStart w:id="4" w:name="_Toc19764"/>
      <w:r>
        <w:rPr>
          <w:rFonts w:hint="eastAsia" w:ascii="宋体" w:hAnsi="宋体" w:eastAsia="宋体" w:cs="宋体"/>
          <w:b/>
          <w:bCs/>
          <w:color w:val="000000"/>
          <w:sz w:val="24"/>
          <w:szCs w:val="24"/>
          <w:highlight w:val="none"/>
        </w:rPr>
        <w:t xml:space="preserve">一、项目基本情况</w:t>
      </w:r>
      <w:bookmarkEnd w:id="4"/>
      <w:r>
        <w:rPr>
          <w:rFonts w:hint="eastAsia" w:ascii="宋体" w:hAnsi="宋体" w:eastAsia="宋体" w:cs="宋体"/>
          <w:color w:val="000000"/>
          <w:sz w:val="24"/>
          <w:szCs w:val="24"/>
          <w:highlight w:val="none"/>
        </w:rPr>
      </w:r>
      <w:r/>
    </w:p>
    <w:p>
      <w:pPr>
        <w:pStyle w:val="1038"/>
        <w:ind w:firstLine="480"/>
        <w:spacing w:before="0" w:after="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1.项目编号：</w:t>
      </w:r>
      <w:r>
        <w:rPr>
          <w:rFonts w:hint="eastAsia" w:ascii="宋体" w:hAnsi="宋体" w:eastAsia="宋体" w:cs="宋体"/>
          <w:color w:val="000000"/>
          <w:sz w:val="24"/>
          <w:szCs w:val="24"/>
          <w:highlight w:val="none"/>
          <w:lang w:eastAsia="zh-CN"/>
        </w:rPr>
        <w:t xml:space="preserve">JSZC-320000-HWZX-G2026-0320</w:t>
      </w:r>
      <w:r>
        <w:rPr>
          <w:rFonts w:hint="eastAsia" w:ascii="宋体" w:hAnsi="宋体" w:eastAsia="宋体" w:cs="宋体"/>
          <w:color w:val="000000"/>
          <w:sz w:val="24"/>
          <w:szCs w:val="24"/>
          <w:highlight w:val="none"/>
          <w:lang w:eastAsia="zh-CN"/>
        </w:rPr>
      </w:r>
      <w:r/>
    </w:p>
    <w:p>
      <w:pPr>
        <w:pStyle w:val="1038"/>
        <w:ind w:firstLine="480"/>
        <w:spacing w:before="0" w:after="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2.项目名称：</w:t>
      </w:r>
      <w:r>
        <w:rPr>
          <w:rFonts w:hint="eastAsia" w:ascii="宋体" w:hAnsi="宋体" w:eastAsia="宋体" w:cs="宋体"/>
          <w:color w:val="000000"/>
          <w:sz w:val="24"/>
          <w:szCs w:val="24"/>
          <w:highlight w:val="none"/>
          <w:lang w:eastAsia="zh-CN"/>
        </w:rPr>
        <w:t xml:space="preserve">江苏省计量检测基地(二期)实验室家具采购</w:t>
      </w:r>
      <w:r>
        <w:rPr>
          <w:rFonts w:hint="eastAsia" w:ascii="宋体" w:hAnsi="宋体" w:eastAsia="宋体" w:cs="宋体"/>
          <w:color w:val="000000"/>
          <w:sz w:val="24"/>
          <w:szCs w:val="24"/>
          <w:highlight w:val="none"/>
          <w:lang w:eastAsia="zh-CN"/>
        </w:rPr>
      </w:r>
      <w:r/>
    </w:p>
    <w:p>
      <w:pPr>
        <w:pStyle w:val="1038"/>
        <w:ind w:firstLine="480"/>
        <w:spacing w:before="0" w:after="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3.项目预算：人民币</w:t>
      </w:r>
      <w:r>
        <w:rPr>
          <w:rFonts w:hint="eastAsia" w:ascii="宋体" w:hAnsi="宋体" w:eastAsia="宋体" w:cs="宋体"/>
          <w:color w:val="000000"/>
          <w:sz w:val="24"/>
          <w:szCs w:val="24"/>
          <w:highlight w:val="none"/>
          <w:lang w:eastAsia="zh-CN"/>
        </w:rPr>
        <w:t xml:space="preserve">640万元</w:t>
      </w:r>
      <w:r>
        <w:rPr>
          <w:rFonts w:hint="eastAsia" w:ascii="宋体" w:hAnsi="宋体" w:eastAsia="宋体" w:cs="宋体"/>
          <w:color w:val="000000"/>
          <w:sz w:val="24"/>
          <w:szCs w:val="24"/>
          <w:highlight w:val="none"/>
          <w:lang w:eastAsia="zh-CN"/>
        </w:rPr>
      </w:r>
      <w:r/>
    </w:p>
    <w:p>
      <w:pPr>
        <w:pStyle w:val="1038"/>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4.最高限价：人民币</w:t>
      </w:r>
      <w:r>
        <w:rPr>
          <w:rFonts w:hint="eastAsia" w:ascii="宋体" w:hAnsi="宋体" w:eastAsia="宋体" w:cs="宋体"/>
          <w:color w:val="000000"/>
          <w:sz w:val="24"/>
          <w:szCs w:val="24"/>
          <w:highlight w:val="none"/>
          <w:lang w:eastAsia="zh-CN"/>
        </w:rPr>
        <w:t xml:space="preserve">640万元</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其中分包1：</w:t>
      </w:r>
      <w:r>
        <w:rPr>
          <w:rFonts w:hint="eastAsia" w:ascii="宋体" w:hAnsi="宋体" w:eastAsia="宋体" w:cs="宋体"/>
          <w:color w:val="000000"/>
          <w:sz w:val="24"/>
          <w:szCs w:val="24"/>
          <w:highlight w:val="none"/>
          <w:lang w:val="en-US" w:eastAsia="zh-CN"/>
        </w:rPr>
        <w:t xml:space="preserve">320万元,</w:t>
      </w:r>
      <w:r>
        <w:rPr>
          <w:rFonts w:hint="eastAsia" w:ascii="宋体" w:hAnsi="宋体" w:eastAsia="宋体" w:cs="宋体"/>
          <w:color w:val="000000"/>
          <w:sz w:val="24"/>
          <w:szCs w:val="24"/>
          <w:highlight w:val="none"/>
          <w:lang w:val="en-US" w:eastAsia="zh-CN"/>
        </w:rPr>
        <w:t xml:space="preserve">分包2：320万元。</w:t>
      </w:r>
      <w:r>
        <w:rPr>
          <w:rFonts w:hint="eastAsia" w:ascii="宋体" w:hAnsi="宋体" w:eastAsia="宋体" w:cs="宋体"/>
          <w:color w:val="000000"/>
          <w:sz w:val="24"/>
          <w:szCs w:val="24"/>
          <w:highlight w:val="none"/>
        </w:rPr>
        <w:t xml:space="preserve">具体报价格式参照招标文件附件中“报价一览表格式”。</w:t>
      </w:r>
      <w:r>
        <w:rPr>
          <w:rFonts w:hint="eastAsia" w:ascii="宋体" w:hAnsi="宋体" w:eastAsia="宋体" w:cs="宋体"/>
          <w:color w:val="000000"/>
          <w:sz w:val="24"/>
          <w:szCs w:val="24"/>
          <w:highlight w:val="none"/>
        </w:rPr>
      </w:r>
      <w:r/>
    </w:p>
    <w:p>
      <w:pPr>
        <w:pStyle w:val="1038"/>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5.采购方式：公开招标。</w:t>
      </w:r>
      <w:r>
        <w:rPr>
          <w:rFonts w:hint="eastAsia" w:ascii="宋体" w:hAnsi="宋体" w:eastAsia="宋体" w:cs="宋体"/>
          <w:color w:val="000000"/>
          <w:sz w:val="24"/>
          <w:szCs w:val="24"/>
          <w:highlight w:val="none"/>
        </w:rPr>
      </w:r>
      <w:r/>
    </w:p>
    <w:p>
      <w:pPr>
        <w:pStyle w:val="1038"/>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6.采购需求：本项目</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个分包（标段），</w:t>
      </w:r>
      <w:r>
        <w:rPr>
          <w:rFonts w:hint="eastAsia" w:ascii="宋体" w:hAnsi="宋体" w:eastAsia="宋体" w:cs="宋体"/>
          <w:color w:val="000000"/>
          <w:sz w:val="24"/>
          <w:szCs w:val="24"/>
          <w:highlight w:val="none"/>
          <w:lang w:eastAsia="zh-CN"/>
        </w:rPr>
        <w:t xml:space="preserve">分包1与分包2兼投不兼中，评审时投标人在前一包号中被推荐为第一中标候选人后，仍可参加后续分包的评审，但在后续的包号评审中不再被推荐为第一中标候选人，</w:t>
      </w:r>
      <w:r>
        <w:rPr>
          <w:rFonts w:hint="eastAsia" w:ascii="宋体" w:hAnsi="宋体" w:eastAsia="宋体" w:cs="宋体"/>
          <w:color w:val="000000"/>
          <w:sz w:val="24"/>
          <w:szCs w:val="24"/>
          <w:highlight w:val="none"/>
        </w:rPr>
        <w:t xml:space="preserve">技术要求详见招标文件“第四章采购需求”。</w:t>
      </w:r>
      <w:r>
        <w:rPr>
          <w:rFonts w:hint="eastAsia" w:ascii="宋体" w:hAnsi="宋体" w:eastAsia="宋体" w:cs="宋体"/>
          <w:color w:val="000000"/>
          <w:sz w:val="24"/>
          <w:szCs w:val="24"/>
          <w:highlight w:val="none"/>
        </w:rPr>
      </w:r>
      <w:r/>
    </w:p>
    <w:tbl>
      <w:tblPr>
        <w:tblW w:w="4915"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2937"/>
        <w:gridCol w:w="928"/>
        <w:gridCol w:w="903"/>
        <w:gridCol w:w="1799"/>
        <w:gridCol w:w="1482"/>
        <w:gridCol w:w="848"/>
      </w:tblGrid>
      <w:tr>
        <w:trPr>
          <w:trHeight w:val="621"/>
        </w:trPr>
        <w:tc>
          <w:tcPr>
            <w:tcW w:w="457" w:type="dxa"/>
            <w:vAlign w:val="center"/>
            <w:textDirection w:val="lrTb"/>
            <w:noWrap/>
          </w:tcPr>
          <w:p>
            <w:pPr>
              <w:pStyle w:val="1038"/>
              <w:jc w:val="center"/>
              <w:spacing w:before="0" w:after="0" w:line="240" w:lineRule="auto"/>
              <w:widowControl/>
              <w:rPr>
                <w:rFonts w:hint="eastAsia" w:ascii="宋体" w:hAnsi="宋体" w:eastAsia="宋体" w:cs="宋体"/>
                <w:b/>
                <w:bCs/>
                <w:color w:val="000000"/>
                <w:szCs w:val="21"/>
                <w:highlight w:val="none"/>
                <w:lang w:eastAsia="zh-CN" w:bidi="ar"/>
              </w:rPr>
            </w:pPr>
            <w:r>
              <w:rPr>
                <w:rFonts w:hint="eastAsia" w:ascii="宋体" w:hAnsi="宋体" w:eastAsia="宋体" w:cs="宋体"/>
                <w:b/>
                <w:bCs/>
                <w:color w:val="000000"/>
                <w:szCs w:val="21"/>
                <w:highlight w:val="none"/>
                <w:lang w:val="en-US" w:eastAsia="zh-CN" w:bidi="ar"/>
              </w:rPr>
              <w:t xml:space="preserve">分包</w:t>
            </w:r>
            <w:r>
              <w:rPr>
                <w:rFonts w:hint="eastAsia" w:ascii="宋体" w:hAnsi="宋体" w:eastAsia="宋体" w:cs="宋体"/>
                <w:b/>
                <w:bCs/>
                <w:color w:val="000000"/>
                <w:szCs w:val="21"/>
                <w:highlight w:val="none"/>
                <w:lang w:eastAsia="zh-CN" w:bidi="ar"/>
              </w:rPr>
            </w:r>
            <w:r/>
          </w:p>
        </w:tc>
        <w:tc>
          <w:tcPr>
            <w:tcW w:w="1499" w:type="dxa"/>
            <w:vAlign w:val="center"/>
            <w:textDirection w:val="lrTb"/>
            <w:noWrap/>
          </w:tcPr>
          <w:p>
            <w:pPr>
              <w:pStyle w:val="1038"/>
              <w:jc w:val="center"/>
              <w:spacing w:before="0" w:after="0" w:line="240" w:lineRule="auto"/>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设备名称</w:t>
            </w:r>
            <w:r>
              <w:rPr>
                <w:rFonts w:hint="eastAsia" w:ascii="宋体" w:hAnsi="宋体" w:eastAsia="宋体" w:cs="宋体"/>
                <w:b/>
                <w:bCs/>
                <w:color w:val="000000"/>
                <w:szCs w:val="21"/>
                <w:highlight w:val="none"/>
                <w:lang w:bidi="ar"/>
              </w:rPr>
            </w:r>
            <w:r/>
          </w:p>
        </w:tc>
        <w:tc>
          <w:tcPr>
            <w:tcW w:w="473" w:type="dxa"/>
            <w:vAlign w:val="center"/>
            <w:textDirection w:val="lrTb"/>
            <w:noWrap/>
          </w:tcPr>
          <w:p>
            <w:pPr>
              <w:pStyle w:val="1038"/>
              <w:jc w:val="center"/>
              <w:spacing w:line="240" w:lineRule="auto"/>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单位</w:t>
            </w:r>
            <w:r>
              <w:rPr>
                <w:rFonts w:hint="eastAsia" w:ascii="宋体" w:hAnsi="宋体" w:eastAsia="宋体" w:cs="宋体"/>
                <w:b/>
                <w:bCs/>
                <w:color w:val="000000"/>
                <w:szCs w:val="21"/>
                <w:highlight w:val="none"/>
                <w:lang w:bidi="ar"/>
              </w:rPr>
            </w:r>
            <w:r/>
          </w:p>
        </w:tc>
        <w:tc>
          <w:tcPr>
            <w:tcW w:w="461" w:type="dxa"/>
            <w:vAlign w:val="center"/>
            <w:textDirection w:val="lrTb"/>
            <w:noWrap/>
          </w:tcPr>
          <w:p>
            <w:pPr>
              <w:pStyle w:val="1038"/>
              <w:jc w:val="center"/>
              <w:spacing w:before="0" w:after="0" w:line="240" w:lineRule="auto"/>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数量</w:t>
            </w:r>
            <w:r>
              <w:rPr>
                <w:rFonts w:hint="eastAsia" w:ascii="宋体" w:hAnsi="宋体" w:eastAsia="宋体" w:cs="宋体"/>
                <w:b/>
                <w:bCs/>
                <w:color w:val="000000"/>
                <w:szCs w:val="21"/>
                <w:highlight w:val="none"/>
                <w:lang w:bidi="ar"/>
              </w:rPr>
            </w:r>
            <w:r/>
          </w:p>
        </w:tc>
        <w:tc>
          <w:tcPr>
            <w:tcW w:w="918" w:type="dxa"/>
            <w:vAlign w:val="center"/>
            <w:textDirection w:val="lrTb"/>
            <w:noWrap/>
          </w:tcPr>
          <w:p>
            <w:pPr>
              <w:pStyle w:val="1038"/>
              <w:jc w:val="center"/>
              <w:spacing w:before="0" w:after="0" w:line="240" w:lineRule="auto"/>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用途</w:t>
            </w:r>
            <w:r>
              <w:rPr>
                <w:rFonts w:hint="eastAsia" w:ascii="宋体" w:hAnsi="宋体" w:eastAsia="宋体" w:cs="宋体"/>
                <w:b/>
                <w:bCs/>
                <w:color w:val="000000"/>
                <w:szCs w:val="21"/>
                <w:highlight w:val="none"/>
                <w:lang w:bidi="ar"/>
              </w:rPr>
            </w:r>
            <w:r/>
          </w:p>
        </w:tc>
        <w:tc>
          <w:tcPr>
            <w:tcW w:w="756" w:type="dxa"/>
            <w:vAlign w:val="center"/>
            <w:textDirection w:val="lrTb"/>
            <w:noWrap/>
          </w:tcPr>
          <w:p>
            <w:pPr>
              <w:pStyle w:val="1038"/>
              <w:jc w:val="center"/>
              <w:spacing w:before="0" w:after="0" w:line="240" w:lineRule="auto"/>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是否接受进口设备投标</w:t>
            </w:r>
            <w:r>
              <w:rPr>
                <w:rFonts w:hint="eastAsia" w:ascii="宋体" w:hAnsi="宋体" w:eastAsia="宋体" w:cs="宋体"/>
                <w:b/>
                <w:bCs/>
                <w:color w:val="000000"/>
                <w:szCs w:val="21"/>
                <w:highlight w:val="none"/>
                <w:lang w:bidi="ar"/>
              </w:rPr>
            </w:r>
            <w:r/>
          </w:p>
        </w:tc>
        <w:tc>
          <w:tcPr>
            <w:tcW w:w="432" w:type="dxa"/>
            <w:vAlign w:val="center"/>
            <w:textDirection w:val="lrTb"/>
            <w:noWrap/>
          </w:tcPr>
          <w:p>
            <w:pPr>
              <w:pStyle w:val="1038"/>
              <w:jc w:val="center"/>
              <w:spacing w:before="0" w:after="0" w:line="240" w:lineRule="auto"/>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备注</w:t>
            </w:r>
            <w:r>
              <w:rPr>
                <w:rFonts w:hint="eastAsia" w:ascii="宋体" w:hAnsi="宋体" w:eastAsia="宋体" w:cs="宋体"/>
                <w:b/>
                <w:bCs/>
                <w:color w:val="000000"/>
                <w:szCs w:val="21"/>
                <w:highlight w:val="none"/>
                <w:lang w:bidi="ar"/>
              </w:rPr>
            </w:r>
            <w:r/>
          </w:p>
        </w:tc>
      </w:tr>
      <w:tr>
        <w:trPr>
          <w:trHeight w:val="759"/>
        </w:trPr>
        <w:tc>
          <w:tcPr>
            <w:tcW w:w="457" w:type="dxa"/>
            <w:vAlign w:val="center"/>
            <w:textDirection w:val="lrTb"/>
            <w:noWrap/>
          </w:tcPr>
          <w:p>
            <w:pPr>
              <w:pStyle w:val="1038"/>
              <w:jc w:val="center"/>
              <w:spacing w:before="0" w:after="0" w:line="240" w:lineRule="auto"/>
              <w:widowControl/>
              <w:rPr>
                <w:rFonts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分包1</w:t>
            </w:r>
            <w:r>
              <w:rPr>
                <w:rFonts w:ascii="宋体" w:hAnsi="宋体" w:eastAsia="宋体" w:cs="宋体"/>
                <w:color w:val="000000"/>
                <w:sz w:val="22"/>
                <w:szCs w:val="22"/>
                <w:highlight w:val="none"/>
                <w:lang w:val="en-US" w:eastAsia="zh-CN"/>
              </w:rPr>
            </w:r>
            <w:r/>
          </w:p>
        </w:tc>
        <w:tc>
          <w:tcPr>
            <w:tcW w:w="1499" w:type="dxa"/>
            <w:vAlign w:val="center"/>
            <w:textDirection w:val="lrTb"/>
            <w:noWrap/>
          </w:tcPr>
          <w:p>
            <w:pPr>
              <w:pStyle w:val="1038"/>
              <w:jc w:val="center"/>
              <w:spacing w:before="0" w:after="0" w:line="240" w:lineRule="auto"/>
              <w:widowControl/>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普通实验边台及货架</w:t>
            </w:r>
            <w:r>
              <w:rPr>
                <w:rFonts w:hint="eastAsia" w:ascii="宋体" w:hAnsi="宋体" w:eastAsia="宋体" w:cs="宋体"/>
                <w:color w:val="000000"/>
                <w:sz w:val="22"/>
                <w:szCs w:val="22"/>
                <w:highlight w:val="none"/>
                <w:lang w:eastAsia="zh-CN"/>
              </w:rPr>
            </w:r>
            <w:r/>
          </w:p>
        </w:tc>
        <w:tc>
          <w:tcPr>
            <w:shd w:val="clear" w:color="auto" w:fill="ffffff"/>
            <w:tcW w:w="473" w:type="dxa"/>
            <w:vAlign w:val="center"/>
            <w:textDirection w:val="lrTb"/>
            <w:noWrap/>
          </w:tcPr>
          <w:p>
            <w:pPr>
              <w:pStyle w:val="1038"/>
              <w:jc w:val="center"/>
              <w:spacing w:before="0" w:after="0" w:line="240" w:lineRule="auto"/>
              <w:widowControl/>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val="en-US" w:eastAsia="zh-CN"/>
              </w:rPr>
              <w:t xml:space="preserve">批</w:t>
            </w:r>
            <w:r>
              <w:rPr>
                <w:rFonts w:hint="eastAsia" w:ascii="宋体" w:hAnsi="宋体" w:eastAsia="宋体" w:cs="宋体"/>
                <w:color w:val="000000"/>
                <w:sz w:val="22"/>
                <w:szCs w:val="22"/>
                <w:highlight w:val="none"/>
                <w:lang w:eastAsia="zh-CN"/>
              </w:rPr>
            </w:r>
            <w:r/>
          </w:p>
        </w:tc>
        <w:tc>
          <w:tcPr>
            <w:shd w:val="clear" w:color="auto" w:fill="ffffff"/>
            <w:tcW w:w="461" w:type="dxa"/>
            <w:vAlign w:val="center"/>
            <w:textDirection w:val="lrTb"/>
            <w:noWrap/>
          </w:tcPr>
          <w:p>
            <w:pPr>
              <w:pStyle w:val="1038"/>
              <w:jc w:val="center"/>
              <w:spacing w:before="0" w:after="0"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shd w:val="clear" w:color="auto" w:fill="ffffff"/>
            <w:tcW w:w="918" w:type="dxa"/>
            <w:vAlign w:val="center"/>
            <w:textDirection w:val="lrTb"/>
            <w:noWrap/>
          </w:tcPr>
          <w:p>
            <w:pPr>
              <w:pStyle w:val="1038"/>
              <w:jc w:val="center"/>
              <w:spacing w:before="0" w:after="0" w:line="240" w:lineRule="auto"/>
              <w:widowControl/>
              <w:rPr>
                <w:rFonts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保障实验室检测业务正常开展</w:t>
            </w:r>
            <w:r>
              <w:rPr>
                <w:rFonts w:ascii="宋体" w:hAnsi="宋体" w:eastAsia="宋体" w:cs="宋体"/>
                <w:color w:val="000000"/>
                <w:sz w:val="22"/>
                <w:szCs w:val="22"/>
                <w:highlight w:val="none"/>
                <w:lang w:val="en-US" w:eastAsia="zh-CN"/>
              </w:rPr>
            </w:r>
            <w:r/>
          </w:p>
        </w:tc>
        <w:tc>
          <w:tcPr>
            <w:shd w:val="clear" w:color="auto" w:fill="ffffff"/>
            <w:tcW w:w="756" w:type="dxa"/>
            <w:vAlign w:val="center"/>
            <w:textDirection w:val="lrTb"/>
            <w:noWrap/>
          </w:tcPr>
          <w:p>
            <w:pPr>
              <w:pStyle w:val="1038"/>
              <w:jc w:val="center"/>
              <w:spacing w:before="0" w:after="0"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否</w:t>
            </w:r>
            <w:r>
              <w:rPr>
                <w:rFonts w:hint="eastAsia" w:ascii="宋体" w:hAnsi="宋体" w:eastAsia="宋体" w:cs="宋体"/>
                <w:color w:val="000000"/>
                <w:sz w:val="22"/>
                <w:szCs w:val="22"/>
                <w:highlight w:val="none"/>
              </w:rPr>
            </w:r>
            <w:r/>
          </w:p>
        </w:tc>
        <w:tc>
          <w:tcPr>
            <w:tcW w:w="432" w:type="dxa"/>
            <w:vAlign w:val="center"/>
            <w:textDirection w:val="lrTb"/>
            <w:noWrap/>
          </w:tcPr>
          <w:p>
            <w:pPr>
              <w:pStyle w:val="1038"/>
              <w:jc w:val="center"/>
              <w:spacing w:before="0" w:after="0" w:line="240" w:lineRule="auto"/>
              <w:widowControl/>
              <w:rPr>
                <w:rFonts w:hint="eastAsia" w:ascii="宋体" w:hAnsi="宋体" w:eastAsia="宋体" w:cs="宋体"/>
                <w:b/>
                <w:bCs/>
                <w:color w:val="000000"/>
                <w:sz w:val="18"/>
                <w:szCs w:val="18"/>
                <w:highlight w:val="none"/>
                <w:lang w:bidi="ar"/>
              </w:rPr>
            </w:pPr>
            <w:r>
              <w:rPr>
                <w:rFonts w:hint="eastAsia" w:ascii="宋体" w:hAnsi="宋体" w:eastAsia="宋体" w:cs="宋体"/>
                <w:b/>
                <w:bCs/>
                <w:color w:val="000000"/>
                <w:sz w:val="18"/>
                <w:szCs w:val="18"/>
                <w:highlight w:val="none"/>
                <w:lang w:bidi="ar"/>
              </w:rPr>
            </w:r>
            <w:r/>
          </w:p>
        </w:tc>
      </w:tr>
      <w:tr>
        <w:trPr>
          <w:trHeight w:val="759"/>
        </w:trPr>
        <w:tc>
          <w:tcPr>
            <w:tcW w:w="457" w:type="dxa"/>
            <w:vAlign w:val="center"/>
            <w:textDirection w:val="lrTb"/>
            <w:noWrap/>
          </w:tcPr>
          <w:p>
            <w:pPr>
              <w:pStyle w:val="1038"/>
              <w:jc w:val="center"/>
              <w:spacing w:before="0" w:after="0" w:line="24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分包2</w:t>
            </w:r>
            <w:r>
              <w:rPr>
                <w:rFonts w:hint="eastAsia" w:ascii="宋体" w:hAnsi="宋体" w:eastAsia="宋体" w:cs="宋体"/>
                <w:color w:val="000000"/>
                <w:sz w:val="22"/>
                <w:szCs w:val="22"/>
                <w:highlight w:val="none"/>
                <w:lang w:val="en-US" w:eastAsia="zh-CN"/>
              </w:rPr>
            </w:r>
            <w:r/>
          </w:p>
        </w:tc>
        <w:tc>
          <w:tcPr>
            <w:tcW w:w="1499" w:type="dxa"/>
            <w:vAlign w:val="center"/>
            <w:textDirection w:val="lrTb"/>
            <w:noWrap/>
          </w:tcPr>
          <w:p>
            <w:pPr>
              <w:pStyle w:val="1038"/>
              <w:jc w:val="center"/>
              <w:spacing w:before="0" w:after="0" w:line="240" w:lineRule="auto"/>
              <w:widowControl/>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专用实验台、通风柜及配套设施</w:t>
            </w:r>
            <w:r>
              <w:rPr>
                <w:rFonts w:hint="eastAsia" w:ascii="宋体" w:hAnsi="宋体" w:eastAsia="宋体" w:cs="宋体"/>
                <w:color w:val="000000"/>
                <w:sz w:val="22"/>
                <w:szCs w:val="22"/>
                <w:highlight w:val="none"/>
                <w:lang w:eastAsia="zh-CN"/>
              </w:rPr>
            </w:r>
            <w:r/>
          </w:p>
        </w:tc>
        <w:tc>
          <w:tcPr>
            <w:shd w:val="clear" w:color="auto" w:fill="ffffff"/>
            <w:tcW w:w="473" w:type="dxa"/>
            <w:vAlign w:val="center"/>
            <w:textDirection w:val="lrTb"/>
            <w:noWrap/>
          </w:tcPr>
          <w:p>
            <w:pPr>
              <w:pStyle w:val="1038"/>
              <w:jc w:val="center"/>
              <w:spacing w:before="0" w:after="0" w:line="240" w:lineRule="auto"/>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rPr>
              <w:t xml:space="preserve">批</w:t>
            </w:r>
            <w:r>
              <w:rPr>
                <w:rFonts w:hint="eastAsia" w:ascii="宋体" w:hAnsi="宋体" w:eastAsia="宋体" w:cs="宋体"/>
                <w:color w:val="000000"/>
                <w:sz w:val="22"/>
                <w:szCs w:val="22"/>
                <w:highlight w:val="none"/>
                <w:lang w:val="en-US" w:eastAsia="zh-CN" w:bidi="ar-SA"/>
              </w:rPr>
            </w:r>
            <w:r/>
          </w:p>
        </w:tc>
        <w:tc>
          <w:tcPr>
            <w:shd w:val="clear" w:color="auto" w:fill="ffffff"/>
            <w:tcW w:w="461" w:type="dxa"/>
            <w:vAlign w:val="center"/>
            <w:textDirection w:val="lrTb"/>
            <w:noWrap/>
          </w:tcPr>
          <w:p>
            <w:pPr>
              <w:pStyle w:val="1038"/>
              <w:jc w:val="center"/>
              <w:spacing w:before="0" w:after="0" w:line="240" w:lineRule="auto"/>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lang w:val="en-US" w:eastAsia="zh-CN" w:bidi="ar-SA"/>
              </w:rPr>
            </w:r>
            <w:r/>
          </w:p>
        </w:tc>
        <w:tc>
          <w:tcPr>
            <w:shd w:val="clear" w:color="auto" w:fill="ffffff"/>
            <w:tcW w:w="918" w:type="dxa"/>
            <w:vAlign w:val="center"/>
            <w:textDirection w:val="lrTb"/>
            <w:noWrap/>
          </w:tcPr>
          <w:p>
            <w:pPr>
              <w:pStyle w:val="1038"/>
              <w:jc w:val="center"/>
              <w:spacing w:before="0" w:after="0" w:line="240" w:lineRule="auto"/>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rPr>
              <w:t xml:space="preserve">保障实验室检测业务正常开展</w:t>
            </w:r>
            <w:r>
              <w:rPr>
                <w:rFonts w:hint="eastAsia" w:ascii="宋体" w:hAnsi="宋体" w:eastAsia="宋体" w:cs="宋体"/>
                <w:color w:val="000000"/>
                <w:sz w:val="22"/>
                <w:szCs w:val="22"/>
                <w:highlight w:val="none"/>
                <w:lang w:val="en-US" w:eastAsia="zh-CN" w:bidi="ar-SA"/>
              </w:rPr>
            </w:r>
            <w:r/>
          </w:p>
        </w:tc>
        <w:tc>
          <w:tcPr>
            <w:shd w:val="clear" w:color="auto" w:fill="ffffff"/>
            <w:tcW w:w="756" w:type="dxa"/>
            <w:vAlign w:val="center"/>
            <w:textDirection w:val="lrTb"/>
            <w:noWrap/>
          </w:tcPr>
          <w:p>
            <w:pPr>
              <w:pStyle w:val="1038"/>
              <w:jc w:val="center"/>
              <w:spacing w:before="0" w:after="0" w:line="240" w:lineRule="auto"/>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否</w:t>
            </w:r>
            <w:r>
              <w:rPr>
                <w:rFonts w:hint="eastAsia" w:ascii="宋体" w:hAnsi="宋体" w:eastAsia="宋体" w:cs="宋体"/>
                <w:color w:val="000000"/>
                <w:sz w:val="22"/>
                <w:szCs w:val="22"/>
                <w:highlight w:val="none"/>
                <w:lang w:val="en-US" w:eastAsia="zh-CN" w:bidi="ar-SA"/>
              </w:rPr>
            </w:r>
            <w:r/>
          </w:p>
        </w:tc>
        <w:tc>
          <w:tcPr>
            <w:tcW w:w="432" w:type="dxa"/>
            <w:vAlign w:val="center"/>
            <w:textDirection w:val="lrTb"/>
            <w:noWrap/>
          </w:tcPr>
          <w:p>
            <w:pPr>
              <w:pStyle w:val="1038"/>
              <w:jc w:val="center"/>
              <w:spacing w:before="0" w:after="0" w:line="240" w:lineRule="auto"/>
              <w:widowControl/>
              <w:rPr>
                <w:rFonts w:hint="eastAsia" w:ascii="宋体" w:hAnsi="宋体" w:eastAsia="宋体" w:cs="宋体"/>
                <w:b/>
                <w:bCs/>
                <w:color w:val="000000"/>
                <w:sz w:val="18"/>
                <w:szCs w:val="18"/>
                <w:highlight w:val="none"/>
                <w:lang w:bidi="ar"/>
              </w:rPr>
            </w:pPr>
            <w:r>
              <w:rPr>
                <w:rFonts w:hint="eastAsia" w:ascii="宋体" w:hAnsi="宋体" w:eastAsia="宋体" w:cs="宋体"/>
                <w:b/>
                <w:bCs/>
                <w:color w:val="000000"/>
                <w:sz w:val="18"/>
                <w:szCs w:val="18"/>
                <w:highlight w:val="none"/>
                <w:lang w:bidi="ar"/>
              </w:rPr>
            </w:r>
            <w:r/>
          </w:p>
        </w:tc>
      </w:tr>
    </w:tbl>
    <w:p>
      <w:pPr>
        <w:pStyle w:val="1038"/>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7.合同履行期限（交货期）：</w:t>
      </w:r>
      <w:r>
        <w:rPr>
          <w:rFonts w:hint="eastAsia" w:ascii="宋体" w:hAnsi="宋体" w:eastAsia="宋体" w:cs="宋体"/>
          <w:color w:val="000000"/>
          <w:sz w:val="22"/>
          <w:szCs w:val="22"/>
          <w:highlight w:val="none"/>
          <w:lang w:eastAsia="zh-CN"/>
        </w:rPr>
        <w:t xml:space="preserve">合同签订后2个月内供齐所有货物</w:t>
      </w:r>
      <w:r>
        <w:rPr>
          <w:rFonts w:hint="eastAsia" w:ascii="宋体" w:hAnsi="宋体" w:eastAsia="宋体" w:cs="宋体"/>
          <w:color w:val="000000"/>
          <w:sz w:val="22"/>
          <w:szCs w:val="22"/>
          <w:highlight w:val="none"/>
        </w:rPr>
        <w:t xml:space="preserve">，并完成安装、调试、服务及初步验收。</w:t>
      </w:r>
      <w:r>
        <w:rPr>
          <w:rFonts w:hint="eastAsia" w:ascii="宋体" w:hAnsi="宋体" w:eastAsia="宋体" w:cs="宋体"/>
          <w:color w:val="000000"/>
          <w:sz w:val="22"/>
          <w:szCs w:val="22"/>
          <w:highlight w:val="none"/>
        </w:rPr>
      </w:r>
      <w:r/>
    </w:p>
    <w:p>
      <w:pPr>
        <w:pStyle w:val="1038"/>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8.本项目（是/否）接受联合体投标：</w:t>
      </w:r>
      <w:r>
        <w:rPr>
          <w:rFonts w:hint="eastAsia" w:ascii="宋体" w:hAnsi="宋体" w:eastAsia="宋体" w:cs="宋体"/>
          <w:b/>
          <w:bCs/>
          <w:color w:val="000000"/>
          <w:sz w:val="22"/>
          <w:szCs w:val="22"/>
          <w:highlight w:val="none"/>
        </w:rPr>
        <w:t xml:space="preserve">不接受联合体</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1038"/>
        <w:spacing w:before="0" w:after="0"/>
        <w:rPr>
          <w:rFonts w:hint="eastAsia" w:ascii="宋体" w:hAnsi="宋体" w:eastAsia="宋体" w:cs="宋体"/>
          <w:b/>
          <w:bCs/>
          <w:color w:val="000000"/>
          <w:sz w:val="24"/>
          <w:szCs w:val="24"/>
          <w:highlight w:val="none"/>
        </w:rPr>
        <w:outlineLvl w:val="1"/>
      </w:pPr>
      <w:r/>
      <w:bookmarkStart w:id="5" w:name="_Toc11586"/>
      <w:r>
        <w:rPr>
          <w:rFonts w:hint="eastAsia" w:ascii="宋体" w:hAnsi="宋体" w:eastAsia="宋体" w:cs="宋体"/>
          <w:b/>
          <w:bCs/>
          <w:color w:val="000000"/>
          <w:sz w:val="24"/>
          <w:szCs w:val="24"/>
          <w:highlight w:val="none"/>
        </w:rPr>
        <w:t xml:space="preserve">二、申请人的资质要求</w:t>
      </w:r>
      <w:bookmarkEnd w:id="5"/>
      <w:r>
        <w:rPr>
          <w:rFonts w:hint="eastAsia" w:ascii="宋体" w:hAnsi="宋体" w:eastAsia="宋体" w:cs="宋体"/>
          <w:b/>
          <w:bCs/>
          <w:color w:val="000000"/>
          <w:sz w:val="24"/>
          <w:szCs w:val="24"/>
          <w:highlight w:val="none"/>
        </w:rPr>
      </w:r>
      <w:r/>
    </w:p>
    <w:p>
      <w:pPr>
        <w:pStyle w:val="1038"/>
        <w:ind w:firstLine="442"/>
        <w:jc w:val="left"/>
        <w:spacing w:before="0" w:after="0"/>
        <w:tabs>
          <w:tab w:val="left" w:pos="0" w:leader="none"/>
        </w:tabs>
        <w:rPr>
          <w:rFonts w:hint="eastAsia" w:ascii="宋体" w:hAnsi="宋体" w:eastAsia="宋体" w:cs="宋体"/>
          <w:b/>
          <w:bCs/>
          <w:color w:val="000000"/>
          <w:sz w:val="22"/>
          <w:szCs w:val="22"/>
          <w:highlight w:val="none"/>
        </w:rPr>
      </w:pPr>
      <w:r/>
      <w:bookmarkStart w:id="6" w:name="OLE_LINK10"/>
      <w:r>
        <w:rPr>
          <w:rFonts w:hint="eastAsia" w:ascii="宋体" w:hAnsi="宋体" w:eastAsia="宋体" w:cs="宋体"/>
          <w:b/>
          <w:bCs/>
          <w:color w:val="000000"/>
          <w:sz w:val="22"/>
          <w:szCs w:val="22"/>
          <w:highlight w:val="none"/>
        </w:rPr>
        <w:t xml:space="preserve">（一）满足《中华人民共和国政府采购法》第二十二条规定：</w:t>
      </w:r>
      <w:r>
        <w:rPr>
          <w:rFonts w:hint="eastAsia" w:ascii="宋体" w:hAnsi="宋体" w:eastAsia="宋体" w:cs="宋体"/>
          <w:b/>
          <w:bCs/>
          <w:color w:val="000000"/>
          <w:sz w:val="22"/>
          <w:szCs w:val="22"/>
          <w:highlight w:val="none"/>
        </w:rPr>
      </w:r>
      <w:r/>
    </w:p>
    <w:p>
      <w:pPr>
        <w:pStyle w:val="1038"/>
        <w:ind w:firstLine="440"/>
        <w:jc w:val="left"/>
        <w:spacing w:before="0" w:after="0"/>
        <w:tabs>
          <w:tab w:val="left" w:pos="0" w:leader="none"/>
        </w:tabs>
        <w:rPr>
          <w:rFonts w:hint="eastAsia" w:ascii="宋体" w:hAnsi="宋体" w:eastAsia="宋体" w:cs="宋体"/>
          <w:color w:val="000000"/>
          <w:sz w:val="22"/>
          <w:szCs w:val="22"/>
          <w:highlight w:val="none"/>
        </w:rPr>
      </w:pPr>
      <w:r/>
      <w:bookmarkEnd w:id="6"/>
      <w:r>
        <w:rPr>
          <w:rFonts w:hint="eastAsia" w:ascii="宋体" w:hAnsi="宋体" w:eastAsia="宋体" w:cs="宋体"/>
          <w:color w:val="000000"/>
          <w:sz w:val="22"/>
          <w:szCs w:val="22"/>
          <w:highlight w:val="none"/>
        </w:rPr>
        <w:t xml:space="preserve">1.具有独立承担民事责任的能力（提供法人或者其他组织的营业执照；供应商为自然人的，提供其身份证）； </w:t>
      </w:r>
      <w:r>
        <w:rPr>
          <w:rFonts w:hint="eastAsia" w:ascii="宋体" w:hAnsi="宋体" w:eastAsia="宋体" w:cs="宋体"/>
          <w:color w:val="000000"/>
          <w:sz w:val="22"/>
          <w:szCs w:val="22"/>
          <w:highlight w:val="none"/>
        </w:rPr>
      </w:r>
      <w:r/>
    </w:p>
    <w:p>
      <w:pPr>
        <w:pStyle w:val="1038"/>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具有良好的商业信誉和健全的财务会计制度（提供距开标时间六个月内任意一月份的财务状况报告（至少包括资产负债表和利润表）（法人或者其他组织成立未满三个月的可以不提供），或其银行出具的资信证书复印件（开标前六个月内），或</w:t>
      </w:r>
      <w:r>
        <w:rPr>
          <w:rFonts w:hint="eastAsia" w:ascii="宋体" w:hAnsi="宋体" w:eastAsia="宋体" w:cs="宋体"/>
          <w:color w:val="000000"/>
          <w:sz w:val="22"/>
          <w:szCs w:val="22"/>
          <w:highlight w:val="none"/>
          <w:lang w:eastAsia="zh-CN"/>
        </w:rPr>
        <w:t xml:space="preserve">2025年度经审计的财务报告</w:t>
      </w:r>
      <w:r>
        <w:rPr>
          <w:rFonts w:hint="eastAsia" w:ascii="宋体" w:hAnsi="宋体" w:eastAsia="宋体" w:cs="宋体"/>
          <w:color w:val="000000"/>
          <w:sz w:val="22"/>
          <w:szCs w:val="22"/>
          <w:highlight w:val="none"/>
        </w:rPr>
        <w:t xml:space="preserve">复印件加盖公章装订在投标文件中，否则视为未提供）；</w:t>
      </w:r>
      <w:r>
        <w:rPr>
          <w:rFonts w:hint="eastAsia" w:ascii="宋体" w:hAnsi="宋体" w:eastAsia="宋体" w:cs="宋体"/>
          <w:color w:val="000000"/>
          <w:sz w:val="22"/>
          <w:szCs w:val="22"/>
          <w:highlight w:val="none"/>
        </w:rPr>
      </w:r>
      <w:r/>
    </w:p>
    <w:p>
      <w:pPr>
        <w:pStyle w:val="1038"/>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3.具有履行合同所必需的设备和专业技术能力（供应商根据履行采购项目合同需要，提供履行合同所必需的设备和专业技术能力的证明材料）；</w:t>
      </w:r>
      <w:r>
        <w:rPr>
          <w:rFonts w:hint="eastAsia" w:ascii="宋体" w:hAnsi="宋体" w:eastAsia="宋体" w:cs="宋体"/>
          <w:color w:val="000000"/>
          <w:sz w:val="22"/>
          <w:szCs w:val="22"/>
          <w:highlight w:val="none"/>
        </w:rPr>
      </w:r>
      <w:r/>
    </w:p>
    <w:p>
      <w:pPr>
        <w:pStyle w:val="1038"/>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有依法缴纳税收和社会保障资金的良好记录（提供距开标时间六个月内任一月份的缴纳税收凭据复印件加盖公章（依法免税的应提供相应文件说明）；并提供距开标时间六个月内任一月份的依法缴纳社会保障资金的凭据复印件（凭据可以是缴费的银行单据、专用收据、社会保险缴纳清单或者所在社保机构开具的证明等，自行编写无效，依法不需要缴纳社会保障资金的应提供相应文件说明））；</w:t>
      </w:r>
      <w:r>
        <w:rPr>
          <w:rFonts w:hint="eastAsia" w:ascii="宋体" w:hAnsi="宋体" w:eastAsia="宋体" w:cs="宋体"/>
          <w:color w:val="000000"/>
          <w:sz w:val="22"/>
          <w:szCs w:val="22"/>
          <w:highlight w:val="none"/>
        </w:rPr>
      </w:r>
      <w:r/>
    </w:p>
    <w:p>
      <w:pPr>
        <w:pStyle w:val="1038"/>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参加政府采购活动前三年内（成立时间不足三年的、自成立时间起），在经营活动中没有重大违法记录（提供声明函，格式自行编写。重大违法记录是指供应商因违法经营受到刑事处罚或责令停产停业、吊销许可证或者执照、较大数额罚款等行政处罚）；</w:t>
      </w:r>
      <w:r>
        <w:rPr>
          <w:rFonts w:hint="eastAsia" w:ascii="宋体" w:hAnsi="宋体" w:eastAsia="宋体" w:cs="宋体"/>
          <w:color w:val="000000"/>
          <w:sz w:val="22"/>
          <w:szCs w:val="22"/>
          <w:highlight w:val="none"/>
        </w:rPr>
      </w:r>
      <w:r/>
    </w:p>
    <w:p>
      <w:pPr>
        <w:pStyle w:val="1038"/>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6.法律、行政法规规定的其他条件：无。</w:t>
      </w:r>
      <w:r>
        <w:rPr>
          <w:rFonts w:hint="eastAsia" w:ascii="宋体" w:hAnsi="宋体" w:eastAsia="宋体" w:cs="宋体"/>
          <w:color w:val="000000"/>
          <w:sz w:val="22"/>
          <w:szCs w:val="22"/>
          <w:highlight w:val="none"/>
        </w:rPr>
      </w:r>
      <w:r/>
    </w:p>
    <w:p>
      <w:pPr>
        <w:pStyle w:val="1038"/>
        <w:ind w:firstLine="422"/>
        <w:jc w:val="left"/>
        <w:spacing w:before="0" w:after="0"/>
        <w:tabs>
          <w:tab w:val="left" w:pos="0" w:leader="none"/>
        </w:tabs>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（二）落实政府采购政策满足的资格要求：</w:t>
      </w:r>
      <w:r>
        <w:rPr>
          <w:rFonts w:hint="eastAsia" w:ascii="宋体" w:hAnsi="宋体" w:eastAsia="宋体" w:cs="宋体"/>
          <w:b/>
          <w:bCs/>
          <w:color w:val="000000"/>
          <w:szCs w:val="21"/>
          <w:highlight w:val="none"/>
        </w:rPr>
      </w:r>
      <w:r/>
    </w:p>
    <w:p>
      <w:pPr>
        <w:pStyle w:val="1038"/>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1.中小企业扶持相关要求</w:t>
      </w:r>
      <w:r>
        <w:rPr>
          <w:rFonts w:hint="eastAsia" w:ascii="宋体" w:hAnsi="宋体" w:eastAsia="宋体" w:cs="宋体"/>
          <w:color w:val="000000"/>
          <w:sz w:val="22"/>
          <w:szCs w:val="22"/>
          <w:highlight w:val="none"/>
        </w:rPr>
      </w:r>
      <w:r/>
    </w:p>
    <w:p>
      <w:pPr>
        <w:pStyle w:val="1038"/>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（1）是否专门面向中小微企业：</w:t>
      </w:r>
      <w:r>
        <w:rPr>
          <w:rFonts w:hint="eastAsia" w:ascii="宋体" w:hAnsi="宋体" w:eastAsia="宋体" w:cs="宋体"/>
          <w:color w:val="000000"/>
          <w:sz w:val="22"/>
          <w:szCs w:val="22"/>
          <w:highlight w:val="none"/>
          <w:u w:val="single"/>
        </w:rPr>
        <w:t xml:space="preserve">本项目</w:t>
      </w:r>
      <w:r>
        <w:rPr>
          <w:rFonts w:hint="eastAsia" w:ascii="宋体" w:hAnsi="宋体" w:eastAsia="宋体" w:cs="宋体"/>
          <w:b/>
          <w:bCs/>
          <w:color w:val="000000"/>
          <w:sz w:val="22"/>
          <w:szCs w:val="22"/>
          <w:highlight w:val="none"/>
          <w:u w:val="single"/>
        </w:rPr>
        <w:t xml:space="preserve">非专门面向中小微企业</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1038"/>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（2）中小微企业划型标准严格对照《关于印发中小企业划型标准规定的通知》（工信部联企业〔2011〕300 号）执行（格式详见附件），本项目采购标的对应行业为</w:t>
      </w:r>
      <w:r>
        <w:rPr>
          <w:rFonts w:hint="eastAsia" w:ascii="宋体" w:hAnsi="宋体" w:eastAsia="宋体" w:cs="宋体"/>
          <w:color w:val="000000"/>
          <w:sz w:val="22"/>
          <w:szCs w:val="22"/>
          <w:highlight w:val="none"/>
          <w:u w:val="single"/>
        </w:rPr>
        <w:t xml:space="preserve">工业</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1038"/>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2.本国产品扶持相关要求</w:t>
      </w:r>
      <w:r>
        <w:rPr>
          <w:rFonts w:hint="eastAsia" w:ascii="宋体" w:hAnsi="宋体" w:eastAsia="宋体" w:cs="宋体"/>
          <w:color w:val="000000"/>
          <w:sz w:val="22"/>
          <w:szCs w:val="22"/>
          <w:highlight w:val="none"/>
        </w:rPr>
      </w:r>
      <w:r/>
    </w:p>
    <w:p>
      <w:pPr>
        <w:pStyle w:val="1038"/>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（1）本项目对采购本国产品给予政策支持，具体内容见招标文件“第三章 评分标准”。</w:t>
      </w:r>
      <w:r>
        <w:rPr>
          <w:rFonts w:hint="eastAsia" w:ascii="宋体" w:hAnsi="宋体" w:eastAsia="宋体" w:cs="宋体"/>
          <w:color w:val="000000"/>
          <w:sz w:val="22"/>
          <w:szCs w:val="22"/>
          <w:highlight w:val="none"/>
        </w:rPr>
      </w:r>
      <w:r/>
    </w:p>
    <w:p>
      <w:pPr>
        <w:pStyle w:val="1038"/>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2"/>
          <w:szCs w:val="22"/>
          <w:highlight w:val="none"/>
        </w:rPr>
      </w:r>
      <w:r/>
    </w:p>
    <w:p>
      <w:pPr>
        <w:pStyle w:val="1038"/>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其他产品，根据实际情况判断是否在中国境内生产。</w:t>
      </w:r>
      <w:r>
        <w:rPr>
          <w:rFonts w:hint="eastAsia" w:ascii="宋体" w:hAnsi="宋体" w:eastAsia="宋体" w:cs="宋体"/>
          <w:color w:val="000000"/>
          <w:sz w:val="22"/>
          <w:szCs w:val="22"/>
          <w:highlight w:val="none"/>
        </w:rPr>
      </w:r>
      <w:r/>
    </w:p>
    <w:p>
      <w:pPr>
        <w:pStyle w:val="1038"/>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（4）供应商须对所提供的本国产品出具《关于符合本国产品标准的声明函》（格式详见附件），并作为投标文件必备组成部分按要求提交。</w:t>
      </w:r>
      <w:r>
        <w:rPr>
          <w:rFonts w:hint="eastAsia" w:ascii="宋体" w:hAnsi="宋体" w:eastAsia="宋体" w:cs="宋体"/>
          <w:color w:val="000000"/>
          <w:sz w:val="22"/>
          <w:szCs w:val="22"/>
          <w:highlight w:val="none"/>
        </w:rPr>
      </w:r>
      <w:r/>
    </w:p>
    <w:p>
      <w:pPr>
        <w:pStyle w:val="1038"/>
        <w:ind w:firstLine="422"/>
        <w:jc w:val="left"/>
        <w:spacing w:before="0" w:after="0"/>
        <w:tabs>
          <w:tab w:val="left" w:pos="0" w:leader="none"/>
        </w:tabs>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（三）本项目的特定资格要求：</w:t>
      </w:r>
      <w:r>
        <w:rPr>
          <w:rFonts w:hint="eastAsia" w:ascii="宋体" w:hAnsi="宋体" w:eastAsia="宋体" w:cs="宋体"/>
          <w:b/>
          <w:bCs/>
          <w:color w:val="000000"/>
          <w:szCs w:val="21"/>
          <w:highlight w:val="none"/>
        </w:rPr>
      </w:r>
      <w:r/>
    </w:p>
    <w:p>
      <w:pPr>
        <w:pStyle w:val="1038"/>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本项目不接受进口产品投标（注：本文件所称进口产品是指通过中国海关报关验放进入中国境内且产自关境外的产品）。供应商必须是所投产品的制造商或代理商，代理商投标时须提供制造商的专项授权（如所投产品为进口产品）。</w:t>
      </w:r>
      <w:r>
        <w:rPr>
          <w:rFonts w:hint="eastAsia" w:ascii="宋体" w:hAnsi="宋体" w:eastAsia="宋体" w:cs="宋体"/>
          <w:color w:val="000000"/>
          <w:sz w:val="22"/>
          <w:szCs w:val="22"/>
          <w:highlight w:val="none"/>
        </w:rPr>
      </w:r>
      <w:r/>
    </w:p>
    <w:p>
      <w:pPr>
        <w:pStyle w:val="1038"/>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2.联合体投标说明：本项目不接受联合体投标。</w:t>
      </w:r>
      <w:r>
        <w:rPr>
          <w:rFonts w:hint="eastAsia" w:ascii="宋体" w:hAnsi="宋体" w:eastAsia="宋体" w:cs="宋体"/>
          <w:color w:val="000000"/>
          <w:sz w:val="22"/>
          <w:szCs w:val="22"/>
          <w:highlight w:val="none"/>
        </w:rPr>
      </w:r>
      <w:r/>
    </w:p>
    <w:p>
      <w:pPr>
        <w:pStyle w:val="1038"/>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3.其他要求：</w:t>
      </w:r>
      <w:r>
        <w:rPr>
          <w:rFonts w:hint="eastAsia" w:ascii="宋体" w:hAnsi="宋体" w:eastAsia="宋体" w:cs="宋体"/>
          <w:color w:val="000000"/>
          <w:sz w:val="22"/>
          <w:szCs w:val="22"/>
          <w:highlight w:val="none"/>
        </w:rPr>
      </w:r>
      <w:r/>
    </w:p>
    <w:p>
      <w:pPr>
        <w:pStyle w:val="1038"/>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（1）供应商在参加政府采购活动前3年内因违法经营被禁止在一定期限内参加政府采购活动，期限届满的，可以参加政府采购活动。</w:t>
      </w:r>
      <w:r>
        <w:rPr>
          <w:rFonts w:hint="eastAsia" w:ascii="宋体" w:hAnsi="宋体" w:eastAsia="宋体" w:cs="宋体"/>
          <w:color w:val="000000"/>
          <w:sz w:val="22"/>
          <w:szCs w:val="22"/>
          <w:highlight w:val="none"/>
        </w:rPr>
      </w:r>
      <w:r/>
    </w:p>
    <w:p>
      <w:pPr>
        <w:pStyle w:val="1038"/>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（2）单位负责人为同一人或者存在直接控股、管理关系的不同供应商，不得参加同一合同项下的政府采购活动。</w:t>
      </w:r>
      <w:r>
        <w:rPr>
          <w:rFonts w:hint="eastAsia" w:ascii="宋体" w:hAnsi="宋体" w:eastAsia="宋体" w:cs="宋体"/>
          <w:color w:val="000000"/>
          <w:sz w:val="22"/>
          <w:szCs w:val="22"/>
          <w:highlight w:val="none"/>
        </w:rPr>
      </w:r>
      <w:r/>
    </w:p>
    <w:p>
      <w:pPr>
        <w:pStyle w:val="1038"/>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（3）为采购项目提供整体设计、规范编制或者项目管理、监理、检测等服务的供应商，不得再参加该采购项目的其他采购活动。</w:t>
      </w:r>
      <w:r>
        <w:rPr>
          <w:rFonts w:hint="eastAsia" w:ascii="宋体" w:hAnsi="宋体" w:eastAsia="宋体" w:cs="宋体"/>
          <w:color w:val="000000"/>
          <w:sz w:val="22"/>
          <w:szCs w:val="22"/>
          <w:highlight w:val="none"/>
        </w:rPr>
      </w:r>
      <w:r/>
    </w:p>
    <w:p>
      <w:pPr>
        <w:pStyle w:val="1038"/>
        <w:ind w:firstLine="440"/>
        <w:jc w:val="left"/>
        <w:spacing w:before="0" w:after="0"/>
        <w:tabs>
          <w:tab w:val="left" w:pos="0" w:leader="none"/>
        </w:tabs>
        <w:rPr>
          <w:rFonts w:hint="eastAsia" w:ascii="宋体" w:hAnsi="宋体" w:eastAsia="宋体" w:cs="宋体"/>
          <w:b/>
          <w:bCs/>
          <w:color w:val="000000"/>
          <w:szCs w:val="21"/>
          <w:highlight w:val="none"/>
        </w:rPr>
      </w:pPr>
      <w:r>
        <w:rPr>
          <w:rFonts w:hint="eastAsia" w:ascii="宋体" w:hAnsi="宋体" w:eastAsia="宋体" w:cs="宋体"/>
          <w:color w:val="000000"/>
          <w:sz w:val="22"/>
          <w:szCs w:val="22"/>
          <w:highlight w:val="none"/>
        </w:rPr>
        <w:t xml:space="preserve">（4）拒绝列入失信被执行人、重大税收违法案件当事人名单、政府采购严重违法失信行为记录名单的供应商参与政府采购活动。采购代理机构将在开标结束后，通过“中国政府采购网”、“信用中国”网站等渠道查询投标人信用记录并保存。</w:t>
      </w:r>
      <w:r>
        <w:rPr>
          <w:rFonts w:hint="eastAsia" w:ascii="宋体" w:hAnsi="宋体" w:eastAsia="宋体" w:cs="宋体"/>
          <w:b/>
          <w:bCs/>
          <w:color w:val="000000"/>
          <w:szCs w:val="21"/>
          <w:highlight w:val="none"/>
        </w:rPr>
      </w:r>
      <w:r/>
    </w:p>
    <w:p>
      <w:pPr>
        <w:pStyle w:val="1038"/>
        <w:jc w:val="left"/>
        <w:spacing w:before="0" w:after="0"/>
        <w:tabs>
          <w:tab w:val="left" w:pos="0" w:leader="none"/>
        </w:tabs>
        <w:rPr>
          <w:rFonts w:hint="eastAsia" w:ascii="宋体" w:hAnsi="宋体" w:eastAsia="宋体" w:cs="宋体"/>
          <w:color w:val="000000"/>
          <w:sz w:val="24"/>
          <w:szCs w:val="24"/>
          <w:highlight w:val="none"/>
        </w:rPr>
        <w:outlineLvl w:val="1"/>
      </w:pPr>
      <w:r/>
      <w:bookmarkStart w:id="7" w:name="_Toc3858"/>
      <w:r>
        <w:rPr>
          <w:rFonts w:hint="eastAsia" w:ascii="宋体" w:hAnsi="宋体" w:eastAsia="宋体" w:cs="宋体"/>
          <w:b/>
          <w:bCs/>
          <w:color w:val="000000"/>
          <w:sz w:val="24"/>
          <w:szCs w:val="24"/>
          <w:highlight w:val="none"/>
        </w:rPr>
        <w:t xml:space="preserve">三、招标文件发售信息</w:t>
      </w:r>
      <w:bookmarkEnd w:id="7"/>
      <w:r>
        <w:rPr>
          <w:rFonts w:hint="eastAsia" w:ascii="宋体" w:hAnsi="宋体" w:eastAsia="宋体" w:cs="宋体"/>
          <w:color w:val="000000"/>
          <w:sz w:val="24"/>
          <w:szCs w:val="24"/>
          <w:highlight w:val="none"/>
        </w:rPr>
      </w:r>
      <w:r/>
    </w:p>
    <w:p>
      <w:pPr>
        <w:pStyle w:val="1038"/>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1.时间：自招标文件公告发布之日起5个工作日。</w:t>
      </w:r>
      <w:r>
        <w:rPr>
          <w:rFonts w:hint="eastAsia" w:ascii="宋体" w:hAnsi="宋体" w:eastAsia="宋体" w:cs="宋体"/>
          <w:color w:val="000000"/>
          <w:sz w:val="22"/>
          <w:szCs w:val="22"/>
          <w:highlight w:val="none"/>
        </w:rPr>
      </w:r>
      <w:r/>
    </w:p>
    <w:p>
      <w:pPr>
        <w:pStyle w:val="1038"/>
        <w:ind w:firstLine="440"/>
        <w:jc w:val="left"/>
        <w:spacing w:before="0" w:after="0"/>
        <w:tabs>
          <w:tab w:val="left" w:pos="0" w:leader="none"/>
        </w:tabs>
        <w:rPr>
          <w:rFonts w:hint="eastAsia" w:ascii="宋体" w:hAnsi="宋体" w:eastAsia="宋体" w:cs="宋体"/>
          <w:color w:val="000000"/>
          <w:sz w:val="22"/>
          <w:szCs w:val="22"/>
          <w:highlight w:val="none"/>
        </w:rPr>
      </w:pPr>
      <w:r/>
      <w:bookmarkStart w:id="8" w:name="OLE_LINK20"/>
      <w:r>
        <w:rPr>
          <w:rFonts w:hint="eastAsia" w:ascii="宋体" w:hAnsi="宋体" w:eastAsia="宋体" w:cs="宋体"/>
          <w:color w:val="000000"/>
          <w:sz w:val="22"/>
          <w:szCs w:val="22"/>
          <w:highlight w:val="none"/>
        </w:rPr>
        <w:t xml:space="preserve">2.地址：在“江苏政府采购网”自行免费下载招标文件。</w:t>
      </w:r>
      <w:r>
        <w:rPr>
          <w:rFonts w:hint="eastAsia" w:ascii="宋体" w:hAnsi="宋体" w:eastAsia="宋体" w:cs="宋体"/>
          <w:color w:val="000000"/>
          <w:sz w:val="22"/>
          <w:szCs w:val="22"/>
          <w:highlight w:val="none"/>
        </w:rPr>
      </w:r>
      <w:r/>
    </w:p>
    <w:p>
      <w:pPr>
        <w:pStyle w:val="1038"/>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3.方式：本项目采用网上注册登记方式，供应商在“江苏政府采购网”自行免费下载招标文件。</w:t>
      </w:r>
      <w:r>
        <w:rPr>
          <w:rFonts w:hint="eastAsia" w:ascii="宋体" w:hAnsi="宋体" w:eastAsia="宋体" w:cs="宋体"/>
          <w:color w:val="000000"/>
          <w:sz w:val="22"/>
          <w:szCs w:val="22"/>
          <w:highlight w:val="none"/>
        </w:rPr>
      </w:r>
      <w:r/>
    </w:p>
    <w:p>
      <w:pPr>
        <w:pStyle w:val="1038"/>
        <w:ind w:firstLine="440"/>
        <w:jc w:val="left"/>
        <w:spacing w:before="0" w:after="0"/>
        <w:tabs>
          <w:tab w:val="left" w:pos="0" w:leader="none"/>
        </w:tabs>
        <w:rPr>
          <w:rFonts w:hint="eastAsia" w:ascii="宋体" w:hAnsi="宋体" w:eastAsia="宋体" w:cs="宋体"/>
          <w:color w:val="000000"/>
          <w:sz w:val="22"/>
          <w:szCs w:val="22"/>
          <w:highlight w:val="none"/>
        </w:rPr>
      </w:pPr>
      <w:r/>
      <w:bookmarkEnd w:id="8"/>
      <w:r>
        <w:rPr>
          <w:rFonts w:hint="eastAsia" w:ascii="宋体" w:hAnsi="宋体" w:eastAsia="宋体" w:cs="宋体"/>
          <w:color w:val="000000"/>
          <w:sz w:val="22"/>
          <w:szCs w:val="22"/>
          <w:highlight w:val="none"/>
        </w:rPr>
        <w:t xml:space="preserve">4.售价：0元，售出不退。</w:t>
      </w:r>
      <w:r>
        <w:rPr>
          <w:rFonts w:hint="eastAsia" w:ascii="宋体" w:hAnsi="宋体" w:eastAsia="宋体" w:cs="宋体"/>
          <w:color w:val="000000"/>
          <w:sz w:val="22"/>
          <w:szCs w:val="22"/>
          <w:highlight w:val="none"/>
        </w:rPr>
      </w:r>
      <w:r/>
    </w:p>
    <w:p>
      <w:pPr>
        <w:pStyle w:val="1038"/>
        <w:spacing w:before="0" w:after="0"/>
        <w:rPr>
          <w:rFonts w:hint="eastAsia" w:ascii="宋体" w:hAnsi="宋体" w:eastAsia="宋体" w:cs="宋体"/>
          <w:b/>
          <w:bCs/>
          <w:color w:val="000000"/>
          <w:sz w:val="22"/>
          <w:szCs w:val="22"/>
          <w:highlight w:val="none"/>
        </w:rPr>
        <w:outlineLvl w:val="1"/>
      </w:pPr>
      <w:r/>
      <w:bookmarkStart w:id="9" w:name="_Toc13352"/>
      <w:r>
        <w:rPr>
          <w:rFonts w:hint="eastAsia" w:ascii="宋体" w:hAnsi="宋体" w:eastAsia="宋体" w:cs="宋体"/>
          <w:b/>
          <w:color w:val="000000"/>
          <w:sz w:val="24"/>
          <w:szCs w:val="24"/>
          <w:highlight w:val="none"/>
        </w:rPr>
        <w:t xml:space="preserve">四、</w:t>
      </w:r>
      <w:bookmarkStart w:id="10" w:name="OLE_LINK16"/>
      <w:r>
        <w:rPr>
          <w:rFonts w:hint="eastAsia" w:ascii="宋体" w:hAnsi="宋体" w:eastAsia="宋体" w:cs="宋体"/>
          <w:b/>
          <w:bCs/>
          <w:color w:val="000000"/>
          <w:sz w:val="24"/>
          <w:szCs w:val="24"/>
          <w:highlight w:val="none"/>
        </w:rPr>
        <w:t xml:space="preserve">提交投标文件截止时间</w:t>
      </w:r>
      <w:bookmarkEnd w:id="10"/>
      <w:r>
        <w:rPr>
          <w:rFonts w:hint="eastAsia" w:ascii="宋体" w:hAnsi="宋体" w:eastAsia="宋体" w:cs="宋体"/>
          <w:b/>
          <w:bCs/>
          <w:color w:val="000000"/>
          <w:sz w:val="24"/>
          <w:szCs w:val="24"/>
          <w:highlight w:val="none"/>
        </w:rPr>
        <w:t xml:space="preserve">、开标时间和地点</w:t>
      </w:r>
      <w:bookmarkEnd w:id="9"/>
      <w:r>
        <w:rPr>
          <w:rFonts w:hint="eastAsia" w:ascii="宋体" w:hAnsi="宋体" w:eastAsia="宋体" w:cs="宋体"/>
          <w:b/>
          <w:bCs/>
          <w:color w:val="000000"/>
          <w:sz w:val="22"/>
          <w:szCs w:val="22"/>
          <w:highlight w:val="none"/>
        </w:rPr>
      </w:r>
      <w:r/>
    </w:p>
    <w:p>
      <w:pPr>
        <w:pStyle w:val="1038"/>
        <w:ind w:firstLine="440"/>
        <w:spacing w:before="0" w:after="0"/>
        <w:rPr>
          <w:rFonts w:hint="eastAsia" w:ascii="宋体" w:hAnsi="宋体" w:eastAsia="宋体" w:cs="宋体"/>
          <w:color w:val="000000"/>
          <w:sz w:val="22"/>
          <w:szCs w:val="22"/>
          <w:highlight w:val="none"/>
        </w:rPr>
      </w:pPr>
      <w:r/>
      <w:bookmarkStart w:id="11" w:name="OLE_LINK17"/>
      <w:r>
        <w:rPr>
          <w:rFonts w:hint="eastAsia" w:ascii="宋体" w:hAnsi="宋体" w:eastAsia="宋体" w:cs="宋体"/>
          <w:color w:val="000000"/>
          <w:sz w:val="22"/>
          <w:szCs w:val="22"/>
          <w:highlight w:val="none"/>
        </w:rPr>
        <w:t xml:space="preserve">1.提交投标文件截止时间：</w:t>
      </w:r>
      <w:r>
        <w:rPr>
          <w:rFonts w:hint="eastAsia" w:ascii="宋体" w:hAnsi="宋体" w:eastAsia="宋体" w:cs="宋体"/>
          <w:color w:val="000000"/>
          <w:sz w:val="22"/>
          <w:szCs w:val="22"/>
          <w:highlight w:val="none"/>
          <w:lang w:eastAsia="zh-CN"/>
        </w:rPr>
        <w:t xml:space="preserve">2026年7月15日 9:30</w:t>
      </w:r>
      <w:r>
        <w:rPr>
          <w:rFonts w:hint="eastAsia" w:ascii="宋体" w:hAnsi="宋体" w:eastAsia="宋体" w:cs="宋体"/>
          <w:color w:val="000000"/>
          <w:sz w:val="22"/>
          <w:szCs w:val="22"/>
          <w:highlight w:val="none"/>
        </w:rPr>
        <w:t xml:space="preserve">（北京时间）</w:t>
      </w:r>
      <w:r>
        <w:rPr>
          <w:rFonts w:hint="eastAsia" w:ascii="宋体" w:hAnsi="宋体" w:eastAsia="宋体" w:cs="宋体"/>
          <w:color w:val="000000"/>
          <w:sz w:val="22"/>
          <w:szCs w:val="22"/>
          <w:highlight w:val="none"/>
        </w:rPr>
      </w:r>
      <w:r/>
    </w:p>
    <w:p>
      <w:pPr>
        <w:pStyle w:val="1038"/>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2.开标时间：</w:t>
      </w:r>
      <w:r>
        <w:rPr>
          <w:rFonts w:hint="eastAsia" w:ascii="宋体" w:hAnsi="宋体" w:eastAsia="宋体" w:cs="宋体"/>
          <w:color w:val="000000"/>
          <w:sz w:val="22"/>
          <w:szCs w:val="22"/>
          <w:highlight w:val="none"/>
          <w:lang w:eastAsia="zh-CN"/>
        </w:rPr>
        <w:t xml:space="preserve">2026年7月15日 9:30</w:t>
      </w:r>
      <w:r>
        <w:rPr>
          <w:rFonts w:hint="eastAsia" w:ascii="宋体" w:hAnsi="宋体" w:eastAsia="宋体" w:cs="宋体"/>
          <w:color w:val="000000"/>
          <w:sz w:val="22"/>
          <w:szCs w:val="22"/>
          <w:highlight w:val="none"/>
        </w:rPr>
        <w:t xml:space="preserve">（北京时间）</w:t>
      </w:r>
      <w:r>
        <w:rPr>
          <w:rFonts w:hint="eastAsia" w:ascii="宋体" w:hAnsi="宋体" w:eastAsia="宋体" w:cs="宋体"/>
          <w:color w:val="000000"/>
          <w:sz w:val="22"/>
          <w:szCs w:val="22"/>
          <w:highlight w:val="none"/>
        </w:rPr>
      </w:r>
      <w:r/>
    </w:p>
    <w:p>
      <w:pPr>
        <w:pStyle w:val="1038"/>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3.地址：“苏采云”政府采购交易系统网上开标大厅。</w:t>
      </w:r>
      <w:r>
        <w:rPr>
          <w:rFonts w:hint="eastAsia" w:ascii="宋体" w:hAnsi="宋体" w:eastAsia="宋体" w:cs="宋体"/>
          <w:color w:val="000000"/>
          <w:sz w:val="22"/>
          <w:szCs w:val="22"/>
          <w:highlight w:val="none"/>
        </w:rPr>
      </w:r>
      <w:r/>
    </w:p>
    <w:p>
      <w:pPr>
        <w:pStyle w:val="1038"/>
        <w:spacing w:before="0" w:after="0"/>
        <w:rPr>
          <w:rFonts w:hint="eastAsia" w:ascii="宋体" w:hAnsi="宋体" w:eastAsia="宋体" w:cs="宋体"/>
          <w:b/>
          <w:bCs/>
          <w:color w:val="000000"/>
          <w:sz w:val="24"/>
          <w:szCs w:val="24"/>
          <w:highlight w:val="none"/>
        </w:rPr>
        <w:outlineLvl w:val="1"/>
      </w:pPr>
      <w:r/>
      <w:bookmarkStart w:id="12" w:name="_Toc13320"/>
      <w:r>
        <w:rPr>
          <w:rFonts w:hint="eastAsia" w:ascii="宋体" w:hAnsi="宋体" w:eastAsia="宋体" w:cs="宋体"/>
          <w:b/>
          <w:bCs/>
          <w:color w:val="000000"/>
          <w:sz w:val="24"/>
          <w:szCs w:val="24"/>
          <w:highlight w:val="none"/>
        </w:rPr>
        <w:t xml:space="preserve">五、公告期限</w:t>
      </w:r>
      <w:bookmarkEnd w:id="12"/>
      <w:r>
        <w:rPr>
          <w:rFonts w:hint="eastAsia" w:ascii="宋体" w:hAnsi="宋体" w:eastAsia="宋体" w:cs="宋体"/>
          <w:b/>
          <w:bCs/>
          <w:color w:val="000000"/>
          <w:sz w:val="24"/>
          <w:szCs w:val="24"/>
          <w:highlight w:val="none"/>
        </w:rPr>
      </w:r>
      <w:r/>
    </w:p>
    <w:p>
      <w:pPr>
        <w:pStyle w:val="1038"/>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招标公告及招标文件公告期限为自本公告发布之日起5个工作日。</w:t>
      </w:r>
      <w:r>
        <w:rPr>
          <w:rFonts w:hint="eastAsia" w:ascii="宋体" w:hAnsi="宋体" w:eastAsia="宋体" w:cs="宋体"/>
          <w:color w:val="000000"/>
          <w:sz w:val="22"/>
          <w:szCs w:val="22"/>
          <w:highlight w:val="none"/>
        </w:rPr>
      </w:r>
      <w:r/>
    </w:p>
    <w:p>
      <w:pPr>
        <w:pStyle w:val="1038"/>
        <w:spacing w:before="0" w:after="0"/>
        <w:rPr>
          <w:rFonts w:hint="eastAsia" w:ascii="宋体" w:hAnsi="宋体" w:eastAsia="宋体" w:cs="宋体"/>
          <w:b/>
          <w:bCs/>
          <w:color w:val="000000"/>
          <w:sz w:val="24"/>
          <w:szCs w:val="24"/>
          <w:highlight w:val="none"/>
        </w:rPr>
        <w:outlineLvl w:val="1"/>
      </w:pPr>
      <w:r/>
      <w:bookmarkStart w:id="13" w:name="_Toc15083"/>
      <w:r>
        <w:rPr>
          <w:rFonts w:hint="eastAsia" w:ascii="宋体" w:hAnsi="宋体" w:eastAsia="宋体" w:cs="宋体"/>
          <w:b/>
          <w:bCs/>
          <w:color w:val="000000"/>
          <w:sz w:val="24"/>
          <w:szCs w:val="24"/>
          <w:highlight w:val="none"/>
        </w:rPr>
        <w:t xml:space="preserve">六、其他补充事宜</w:t>
      </w:r>
      <w:bookmarkEnd w:id="13"/>
      <w:r>
        <w:rPr>
          <w:rFonts w:hint="eastAsia" w:ascii="宋体" w:hAnsi="宋体" w:eastAsia="宋体" w:cs="宋体"/>
          <w:b/>
          <w:bCs/>
          <w:color w:val="000000"/>
          <w:sz w:val="24"/>
          <w:szCs w:val="24"/>
          <w:highlight w:val="none"/>
        </w:rPr>
      </w:r>
      <w:r/>
    </w:p>
    <w:p>
      <w:pPr>
        <w:pStyle w:val="1038"/>
        <w:ind w:firstLine="440"/>
        <w:jc w:val="left"/>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1.根据省财政厅《关</w:t>
      </w:r>
      <w:r>
        <w:rPr>
          <w:rFonts w:hint="eastAsia" w:ascii="宋体" w:hAnsi="宋体" w:eastAsia="宋体" w:cs="宋体"/>
          <w:color w:val="000000"/>
          <w:sz w:val="22"/>
          <w:szCs w:val="22"/>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宋体"/>
          <w:color w:val="000000"/>
          <w:sz w:val="22"/>
          <w:szCs w:val="22"/>
          <w:highlight w:val="none"/>
        </w:rPr>
      </w:r>
      <w:r/>
    </w:p>
    <w:p>
      <w:pPr>
        <w:pStyle w:val="1038"/>
        <w:ind w:firstLine="440"/>
        <w:jc w:val="left"/>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领取CA和办理电子签章（请至南京汉中门大街145号江苏省政务服务中心二期三楼大厅CA办理窗口办理，具体联系方式见《苏采云系统供应商操作手册》（以下简称《操作手册》）</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进行注册并按《操作手册》要求制作、上传电子投标文件。投标人也可前往“江苏政务服务网”（www.jszwfw.gov.cn），在“一企来办”专栏下“政府采购”模块详细了解关于CA办理、标书制作、开标投标指引等事宜。</w:t>
      </w:r>
      <w:r>
        <w:rPr>
          <w:rFonts w:hint="eastAsia" w:ascii="宋体" w:hAnsi="宋体" w:eastAsia="宋体" w:cs="宋体"/>
          <w:color w:val="000000"/>
          <w:sz w:val="22"/>
          <w:szCs w:val="22"/>
          <w:highlight w:val="none"/>
        </w:rPr>
      </w:r>
      <w:r/>
    </w:p>
    <w:p>
      <w:pPr>
        <w:pStyle w:val="1038"/>
        <w:ind w:firstLine="440"/>
        <w:jc w:val="left"/>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如果“江苏政府采购网”（www.ccgp-jiangsu.gov.cn）信息与“江苏政务服务网” （www.jszwfw.gov.cn），“一企来办”专栏下“政府采购”模块中信息不一致，以“江苏政府采购网”信息为准。</w:t>
      </w:r>
      <w:r>
        <w:rPr>
          <w:rFonts w:hint="eastAsia" w:ascii="宋体" w:hAnsi="宋体" w:eastAsia="宋体" w:cs="宋体"/>
          <w:color w:val="000000"/>
          <w:sz w:val="22"/>
          <w:szCs w:val="22"/>
          <w:highlight w:val="none"/>
        </w:rPr>
      </w:r>
      <w:r/>
    </w:p>
    <w:p>
      <w:pPr>
        <w:pStyle w:val="1038"/>
        <w:ind w:firstLine="440"/>
        <w:jc w:val="left"/>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请供应商在开标前登录谷歌浏览器进入不见面大厅，并准备好耳麦和摄像设备。因供应商网络与电源不稳定、未按要求配置上述设备、上述设备发生故障等自身原因，导致的后果，供应商自行承担其后果。</w:t>
      </w:r>
      <w:r>
        <w:rPr>
          <w:rFonts w:hint="eastAsia" w:ascii="宋体" w:hAnsi="宋体" w:eastAsia="宋体" w:cs="宋体"/>
          <w:color w:val="000000"/>
          <w:sz w:val="22"/>
          <w:szCs w:val="22"/>
          <w:highlight w:val="none"/>
        </w:rPr>
      </w:r>
      <w:r/>
    </w:p>
    <w:p>
      <w:pPr>
        <w:pStyle w:val="1038"/>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本次招标请按“包”下载招标文件，编制、密封、提交投标文件，并按“包”开标、评标。</w:t>
      </w:r>
      <w:r>
        <w:rPr>
          <w:rFonts w:hint="eastAsia" w:ascii="宋体" w:hAnsi="宋体" w:eastAsia="宋体" w:cs="宋体"/>
          <w:color w:val="000000"/>
          <w:sz w:val="22"/>
          <w:szCs w:val="22"/>
          <w:highlight w:val="none"/>
        </w:rPr>
      </w:r>
      <w:r/>
    </w:p>
    <w:p>
      <w:pPr>
        <w:pStyle w:val="1038"/>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2"/>
          <w:szCs w:val="22"/>
          <w:highlight w:val="none"/>
        </w:rPr>
        <w:t xml:space="preserve">公告媒体：本招</w:t>
      </w:r>
      <w:bookmarkStart w:id="14" w:name="OLE_LINK13"/>
      <w:r>
        <w:rPr>
          <w:rFonts w:hint="eastAsia" w:ascii="宋体" w:hAnsi="宋体" w:eastAsia="宋体" w:cs="宋体"/>
          <w:color w:val="000000"/>
          <w:sz w:val="22"/>
          <w:szCs w:val="22"/>
          <w:highlight w:val="none"/>
        </w:rPr>
        <w:t xml:space="preserve">标公告在江苏政府采购网（http://www.ccgp-jiangsu.gov.cn/）公示发布，敬请各投标人关注。有关本次招标的事项若存在变动或修改，敬请及时关注江苏海外集团国际工程咨询有限公司在“江苏政府采购网”发布的更正公告。</w:t>
      </w:r>
      <w:r>
        <w:rPr>
          <w:rFonts w:hint="eastAsia" w:ascii="宋体" w:hAnsi="宋体" w:eastAsia="宋体" w:cs="宋体"/>
          <w:color w:val="000000"/>
          <w:sz w:val="22"/>
          <w:szCs w:val="22"/>
          <w:highlight w:val="none"/>
        </w:rPr>
      </w:r>
      <w:r/>
    </w:p>
    <w:p>
      <w:pPr>
        <w:pStyle w:val="1038"/>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采购项目需要落实的政府采购政策情况：本项目执行《政府采购促进中小企业发展暂行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相关文件。</w:t>
      </w:r>
      <w:r>
        <w:rPr>
          <w:rFonts w:hint="eastAsia" w:ascii="宋体" w:hAnsi="宋体" w:eastAsia="宋体" w:cs="宋体"/>
          <w:color w:val="000000"/>
          <w:sz w:val="22"/>
          <w:szCs w:val="22"/>
          <w:highlight w:val="none"/>
        </w:rPr>
      </w:r>
      <w:r/>
    </w:p>
    <w:p>
      <w:pPr>
        <w:pStyle w:val="1038"/>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4.投标保证金数额及缴纳办法：本次招标不收取投标保证金。</w:t>
      </w:r>
      <w:r>
        <w:rPr>
          <w:rFonts w:hint="eastAsia" w:ascii="宋体" w:hAnsi="宋体" w:eastAsia="宋体" w:cs="宋体"/>
          <w:color w:val="000000"/>
          <w:sz w:val="22"/>
          <w:szCs w:val="22"/>
          <w:highlight w:val="none"/>
        </w:rPr>
      </w:r>
      <w:r/>
    </w:p>
    <w:p>
      <w:pPr>
        <w:pStyle w:val="1038"/>
        <w:ind w:firstLine="440"/>
        <w:spacing w:before="0" w:after="0"/>
        <w:rPr>
          <w:rFonts w:hint="eastAsia" w:ascii="宋体" w:hAnsi="宋体" w:eastAsia="宋体" w:cs="宋体"/>
          <w:color w:val="000000"/>
          <w:sz w:val="22"/>
          <w:szCs w:val="22"/>
          <w:highlight w:val="none"/>
          <w:lang w:eastAsia="zh-CN"/>
        </w:rPr>
      </w:pPr>
      <w:r/>
      <w:bookmarkEnd w:id="14"/>
      <w:r/>
      <w:bookmarkStart w:id="15" w:name="OLE_LINK21"/>
      <w:r>
        <w:rPr>
          <w:rFonts w:hint="eastAsia" w:ascii="宋体" w:hAnsi="宋体" w:eastAsia="宋体" w:cs="宋体"/>
          <w:color w:val="000000"/>
          <w:sz w:val="22"/>
          <w:szCs w:val="22"/>
          <w:highlight w:val="none"/>
        </w:rPr>
        <w:t xml:space="preserve">5.本项目代理机构内部编号：</w:t>
      </w:r>
      <w:r>
        <w:rPr>
          <w:rFonts w:hint="eastAsia" w:ascii="宋体" w:hAnsi="宋体" w:eastAsia="宋体" w:cs="宋体"/>
          <w:color w:val="000000"/>
          <w:sz w:val="22"/>
          <w:szCs w:val="22"/>
          <w:highlight w:val="none"/>
          <w:lang w:eastAsia="zh-CN"/>
        </w:rPr>
        <w:t xml:space="preserve">0675-266JOC004415</w:t>
      </w:r>
      <w:r>
        <w:rPr>
          <w:rFonts w:hint="eastAsia" w:ascii="宋体" w:hAnsi="宋体" w:eastAsia="宋体" w:cs="宋体"/>
          <w:color w:val="000000"/>
          <w:sz w:val="22"/>
          <w:szCs w:val="22"/>
          <w:highlight w:val="none"/>
          <w:lang w:eastAsia="zh-CN"/>
        </w:rPr>
      </w:r>
      <w:r/>
    </w:p>
    <w:p>
      <w:pPr>
        <w:pStyle w:val="1038"/>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w:t>
      </w:r>
      <w:bookmarkEnd w:id="11"/>
      <w:r/>
      <w:bookmarkEnd w:id="15"/>
      <w:r>
        <w:rPr>
          <w:rFonts w:hint="eastAsia" w:ascii="宋体" w:hAnsi="宋体" w:eastAsia="宋体" w:cs="宋体"/>
          <w:color w:val="000000"/>
          <w:sz w:val="22"/>
          <w:szCs w:val="22"/>
          <w:highlight w:val="none"/>
        </w:rPr>
        <w:t xml:space="preserve">获取招标文件咨询联系方式：</w:t>
      </w:r>
      <w:r>
        <w:rPr>
          <w:rFonts w:hint="eastAsia" w:ascii="宋体" w:hAnsi="宋体" w:eastAsia="宋体" w:cs="宋体"/>
          <w:color w:val="000000"/>
          <w:sz w:val="22"/>
          <w:szCs w:val="22"/>
          <w:highlight w:val="none"/>
        </w:rPr>
      </w:r>
      <w:r/>
    </w:p>
    <w:p>
      <w:pPr>
        <w:pStyle w:val="1038"/>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联系人：吴昊/韩心雨</w:t>
      </w:r>
      <w:r>
        <w:rPr>
          <w:rFonts w:hint="eastAsia" w:ascii="宋体" w:hAnsi="宋体" w:eastAsia="宋体" w:cs="宋体"/>
          <w:color w:val="000000"/>
          <w:sz w:val="22"/>
          <w:szCs w:val="22"/>
          <w:highlight w:val="none"/>
        </w:rPr>
      </w:r>
      <w:r/>
    </w:p>
    <w:p>
      <w:pPr>
        <w:pStyle w:val="1038"/>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电话：025-84795433/5991</w:t>
      </w:r>
      <w:r>
        <w:rPr>
          <w:rFonts w:hint="eastAsia" w:ascii="宋体" w:hAnsi="宋体" w:eastAsia="宋体" w:cs="宋体"/>
          <w:color w:val="000000"/>
          <w:sz w:val="22"/>
          <w:szCs w:val="22"/>
          <w:highlight w:val="none"/>
        </w:rPr>
      </w:r>
      <w:r/>
    </w:p>
    <w:p>
      <w:pPr>
        <w:pStyle w:val="1038"/>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邮箱：wh@jocite.com</w:t>
      </w:r>
      <w:r>
        <w:rPr>
          <w:rFonts w:hint="eastAsia" w:ascii="宋体" w:hAnsi="宋体" w:eastAsia="宋体" w:cs="宋体"/>
          <w:color w:val="000000"/>
          <w:sz w:val="22"/>
          <w:szCs w:val="22"/>
          <w:highlight w:val="none"/>
        </w:rPr>
      </w:r>
      <w:r/>
    </w:p>
    <w:p>
      <w:pPr>
        <w:pStyle w:val="1038"/>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地址：南京市建邺区云龙山路56号大唐科技大厦A座高区15楼</w:t>
      </w:r>
      <w:r>
        <w:rPr>
          <w:rFonts w:hint="eastAsia" w:ascii="宋体" w:hAnsi="宋体" w:eastAsia="宋体" w:cs="宋体"/>
          <w:color w:val="000000"/>
          <w:sz w:val="22"/>
          <w:szCs w:val="22"/>
          <w:highlight w:val="none"/>
        </w:rPr>
      </w:r>
      <w:r/>
    </w:p>
    <w:p>
      <w:pPr>
        <w:pStyle w:val="1038"/>
        <w:spacing w:before="0" w:after="0"/>
        <w:rPr>
          <w:rFonts w:hint="eastAsia" w:ascii="宋体" w:hAnsi="宋体" w:eastAsia="宋体" w:cs="宋体"/>
          <w:b/>
          <w:bCs/>
          <w:color w:val="000000"/>
          <w:sz w:val="24"/>
          <w:szCs w:val="24"/>
          <w:highlight w:val="none"/>
        </w:rPr>
        <w:outlineLvl w:val="1"/>
      </w:pPr>
      <w:r/>
      <w:bookmarkStart w:id="16" w:name="_Toc22250"/>
      <w:r>
        <w:rPr>
          <w:rFonts w:hint="eastAsia" w:ascii="宋体" w:hAnsi="宋体" w:eastAsia="宋体" w:cs="宋体"/>
          <w:b/>
          <w:bCs/>
          <w:color w:val="000000"/>
          <w:sz w:val="24"/>
          <w:szCs w:val="24"/>
          <w:highlight w:val="none"/>
        </w:rPr>
        <w:t xml:space="preserve">七、对本次招标提出询问，请按以下方式联系</w:t>
      </w:r>
      <w:bookmarkEnd w:id="16"/>
      <w:r>
        <w:rPr>
          <w:rFonts w:hint="eastAsia" w:ascii="宋体" w:hAnsi="宋体" w:eastAsia="宋体" w:cs="宋体"/>
          <w:b/>
          <w:bCs/>
          <w:color w:val="000000"/>
          <w:sz w:val="24"/>
          <w:szCs w:val="24"/>
          <w:highlight w:val="none"/>
        </w:rPr>
      </w:r>
      <w:r/>
    </w:p>
    <w:p>
      <w:pPr>
        <w:pStyle w:val="1038"/>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1.采购人信息</w:t>
      </w:r>
      <w:r>
        <w:rPr>
          <w:rFonts w:hint="eastAsia" w:ascii="宋体" w:hAnsi="宋体" w:eastAsia="宋体" w:cs="宋体"/>
          <w:color w:val="000000"/>
          <w:sz w:val="22"/>
          <w:szCs w:val="22"/>
          <w:highlight w:val="none"/>
        </w:rPr>
      </w:r>
      <w:r/>
    </w:p>
    <w:p>
      <w:pPr>
        <w:pStyle w:val="1038"/>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名称：江苏省计量科学研究院（江苏省能源计量数据中心）</w:t>
      </w:r>
      <w:r>
        <w:rPr>
          <w:rFonts w:hint="eastAsia" w:ascii="宋体" w:hAnsi="宋体" w:eastAsia="宋体" w:cs="宋体"/>
          <w:color w:val="000000"/>
          <w:sz w:val="22"/>
          <w:szCs w:val="22"/>
          <w:highlight w:val="none"/>
        </w:rPr>
      </w:r>
      <w:r/>
    </w:p>
    <w:p>
      <w:pPr>
        <w:pStyle w:val="1038"/>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地址：南京市栖霞区文澜路95号</w:t>
      </w:r>
      <w:r>
        <w:rPr>
          <w:rFonts w:hint="eastAsia" w:ascii="宋体" w:hAnsi="宋体" w:eastAsia="宋体" w:cs="宋体"/>
          <w:color w:val="000000"/>
          <w:sz w:val="22"/>
          <w:szCs w:val="22"/>
          <w:highlight w:val="none"/>
        </w:rPr>
      </w:r>
      <w:r/>
    </w:p>
    <w:p>
      <w:pPr>
        <w:pStyle w:val="1038"/>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联系人：安老师 </w:t>
      </w:r>
      <w:r>
        <w:rPr>
          <w:rFonts w:hint="eastAsia" w:ascii="宋体" w:hAnsi="宋体" w:eastAsia="宋体" w:cs="宋体"/>
          <w:color w:val="000000"/>
          <w:sz w:val="22"/>
          <w:szCs w:val="22"/>
          <w:highlight w:val="none"/>
        </w:rPr>
      </w:r>
      <w:r/>
    </w:p>
    <w:p>
      <w:pPr>
        <w:pStyle w:val="1038"/>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联系电话：025-86435571</w:t>
      </w:r>
      <w:r>
        <w:rPr>
          <w:rFonts w:hint="eastAsia" w:ascii="宋体" w:hAnsi="宋体" w:eastAsia="宋体" w:cs="宋体"/>
          <w:color w:val="000000"/>
          <w:sz w:val="22"/>
          <w:szCs w:val="22"/>
          <w:highlight w:val="none"/>
        </w:rPr>
      </w:r>
      <w:r/>
    </w:p>
    <w:p>
      <w:pPr>
        <w:pStyle w:val="1038"/>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2.采购代理机构信息</w:t>
      </w:r>
      <w:r>
        <w:rPr>
          <w:rFonts w:hint="eastAsia" w:ascii="宋体" w:hAnsi="宋体" w:eastAsia="宋体" w:cs="宋体"/>
          <w:color w:val="000000"/>
          <w:sz w:val="22"/>
          <w:szCs w:val="22"/>
          <w:highlight w:val="none"/>
        </w:rPr>
      </w:r>
      <w:r/>
    </w:p>
    <w:p>
      <w:pPr>
        <w:pStyle w:val="1038"/>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名称：江苏海外集团国际工程咨询有限公司</w:t>
      </w:r>
      <w:r>
        <w:rPr>
          <w:rFonts w:hint="eastAsia" w:ascii="宋体" w:hAnsi="宋体" w:eastAsia="宋体" w:cs="宋体"/>
          <w:color w:val="000000"/>
          <w:sz w:val="22"/>
          <w:szCs w:val="22"/>
          <w:highlight w:val="none"/>
        </w:rPr>
      </w:r>
      <w:r/>
    </w:p>
    <w:p>
      <w:pPr>
        <w:pStyle w:val="1038"/>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地址：南京市建邺区云龙山路56号大唐科技大厦A座高区14-15楼</w:t>
      </w:r>
      <w:r>
        <w:rPr>
          <w:rFonts w:hint="eastAsia" w:ascii="宋体" w:hAnsi="宋体" w:eastAsia="宋体" w:cs="宋体"/>
          <w:color w:val="000000"/>
          <w:sz w:val="22"/>
          <w:szCs w:val="22"/>
          <w:highlight w:val="none"/>
        </w:rPr>
      </w:r>
      <w:r/>
    </w:p>
    <w:p>
      <w:pPr>
        <w:pStyle w:val="1038"/>
        <w:ind w:firstLine="440"/>
        <w:jc w:val="left"/>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联系人：吴昊、孙夏卉、方东、郭秀华</w:t>
      </w:r>
      <w:r>
        <w:rPr>
          <w:rFonts w:hint="eastAsia" w:ascii="宋体" w:hAnsi="宋体" w:eastAsia="宋体" w:cs="宋体"/>
          <w:color w:val="000000"/>
          <w:sz w:val="22"/>
          <w:szCs w:val="22"/>
          <w:highlight w:val="none"/>
        </w:rPr>
      </w:r>
      <w:r/>
    </w:p>
    <w:p>
      <w:pPr>
        <w:pStyle w:val="1038"/>
        <w:ind w:firstLine="440"/>
        <w:jc w:val="left"/>
        <w:spacing w:before="0" w:after="0"/>
        <w:rPr>
          <w:rFonts w:hint="eastAsia" w:ascii="宋体" w:hAnsi="宋体" w:eastAsia="宋体" w:cs="宋体"/>
          <w:color w:val="000000"/>
          <w:highlight w:val="none"/>
        </w:rPr>
        <w:sectPr>
          <w:headerReference w:type="default" r:id="rId11"/>
          <w:footerReference w:type="default" r:id="rId15"/>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22"/>
          <w:szCs w:val="22"/>
          <w:highlight w:val="none"/>
        </w:rPr>
        <w:t xml:space="preserve">联系电话：025-84795433/5991</w:t>
      </w:r>
      <w:bookmarkStart w:id="17" w:name="_Toc24439"/>
      <w:r/>
      <w:bookmarkStart w:id="18" w:name="_Toc17198"/>
      <w:r>
        <w:rPr>
          <w:rFonts w:hint="eastAsia" w:ascii="宋体" w:hAnsi="宋体" w:eastAsia="宋体" w:cs="宋体"/>
          <w:color w:val="000000"/>
          <w:highlight w:val="none"/>
        </w:rPr>
      </w:r>
      <w:r/>
    </w:p>
    <w:p>
      <w:pPr>
        <w:pStyle w:val="1038"/>
        <w:ind w:firstLine="643"/>
        <w:jc w:val="center"/>
        <w:spacing w:before="0" w:after="0"/>
        <w:rPr>
          <w:rFonts w:hint="eastAsia" w:ascii="宋体" w:hAnsi="宋体" w:eastAsia="宋体" w:cs="宋体"/>
          <w:color w:val="000000"/>
          <w:highlight w:val="none"/>
        </w:rPr>
      </w:pPr>
      <w:r/>
      <w:bookmarkStart w:id="19" w:name="_Toc25706"/>
      <w:r>
        <w:rPr>
          <w:rStyle w:val="1050"/>
          <w:rFonts w:hint="eastAsia" w:ascii="宋体" w:hAnsi="宋体" w:eastAsia="宋体" w:cs="宋体"/>
          <w:color w:val="000000"/>
          <w:highlight w:val="none"/>
        </w:rPr>
        <w:t xml:space="preserve">第二章 投标人须知</w:t>
      </w:r>
      <w:bookmarkEnd w:id="17"/>
      <w:r/>
      <w:bookmarkEnd w:id="18"/>
      <w:r/>
      <w:bookmarkEnd w:id="19"/>
      <w:r>
        <w:rPr>
          <w:rFonts w:hint="eastAsia" w:ascii="宋体" w:hAnsi="宋体" w:eastAsia="宋体" w:cs="宋体"/>
          <w:color w:val="000000"/>
          <w:highlight w:val="none"/>
        </w:rPr>
      </w:r>
      <w:r/>
    </w:p>
    <w:p>
      <w:pPr>
        <w:pStyle w:val="1038"/>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江苏海外集团国际工程咨询有限公司（以下简称“采购代理机构”）受江苏省计量科学研究院（江苏省能源计量数据中心）（采购单位名称，以下简称“采购人”）委托，就</w:t>
      </w:r>
      <w:r>
        <w:rPr>
          <w:rFonts w:hint="eastAsia" w:ascii="宋体" w:hAnsi="宋体" w:eastAsia="宋体" w:cs="宋体"/>
          <w:color w:val="000000"/>
          <w:sz w:val="22"/>
          <w:szCs w:val="22"/>
          <w:highlight w:val="none"/>
          <w:lang w:eastAsia="zh-CN"/>
        </w:rPr>
        <w:t xml:space="preserve">江苏省计量检测基地(二期)实验室家具采购</w:t>
      </w:r>
      <w:r>
        <w:rPr>
          <w:rFonts w:hint="eastAsia" w:ascii="宋体" w:hAnsi="宋体" w:eastAsia="宋体" w:cs="宋体"/>
          <w:color w:val="000000"/>
          <w:sz w:val="22"/>
          <w:szCs w:val="22"/>
          <w:highlight w:val="none"/>
        </w:rPr>
        <w:t xml:space="preserve">采用公开招标方式采购，兹邀请符合资格条件的投标人提交投标文件和相关材料。</w:t>
      </w:r>
      <w:r>
        <w:rPr>
          <w:rFonts w:hint="eastAsia" w:ascii="宋体" w:hAnsi="宋体" w:eastAsia="宋体" w:cs="宋体"/>
          <w:color w:val="000000"/>
          <w:sz w:val="22"/>
          <w:szCs w:val="22"/>
          <w:highlight w:val="none"/>
        </w:rPr>
      </w:r>
      <w:r/>
    </w:p>
    <w:p>
      <w:pPr>
        <w:pStyle w:val="1040"/>
        <w:jc w:val="center"/>
        <w:rPr>
          <w:rFonts w:hint="eastAsia" w:eastAsia="宋体" w:cs="宋体"/>
          <w:color w:val="000000"/>
          <w:sz w:val="24"/>
          <w:highlight w:val="none"/>
        </w:rPr>
      </w:pPr>
      <w:r/>
      <w:bookmarkStart w:id="20" w:name="_Toc32032"/>
      <w:r>
        <w:rPr>
          <w:rFonts w:hint="eastAsia" w:eastAsia="宋体" w:cs="宋体"/>
          <w:color w:val="000000"/>
          <w:sz w:val="24"/>
          <w:highlight w:val="none"/>
        </w:rPr>
        <w:t xml:space="preserve">投标人须知前附表：</w:t>
      </w:r>
      <w:bookmarkEnd w:id="20"/>
      <w:r>
        <w:rPr>
          <w:rFonts w:hint="eastAsia" w:eastAsia="宋体" w:cs="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2285"/>
        <w:gridCol w:w="6361"/>
      </w:tblGrid>
      <w:tr>
        <w:trPr>
          <w:cantSplit/>
          <w:trHeight w:val="567"/>
          <w:tblHeader/>
        </w:trPr>
        <w:tc>
          <w:tcPr>
            <w:tcW w:w="809" w:type="dxa"/>
            <w:vAlign w:val="center"/>
            <w:textDirection w:val="lrTb"/>
            <w:noWrap w:val="false"/>
          </w:tcPr>
          <w:p>
            <w:pPr>
              <w:pStyle w:val="1038"/>
              <w:jc w:val="center"/>
              <w:spacing w:before="0" w:after="0" w:line="300" w:lineRule="auto"/>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rPr>
              <w:t xml:space="preserve">序号</w:t>
            </w:r>
            <w:r>
              <w:rPr>
                <w:rFonts w:hint="eastAsia" w:ascii="宋体" w:hAnsi="宋体" w:eastAsia="宋体" w:cs="宋体"/>
                <w:b/>
                <w:bCs/>
                <w:color w:val="000000"/>
                <w:sz w:val="22"/>
                <w:highlight w:val="none"/>
              </w:rPr>
            </w:r>
            <w:r/>
          </w:p>
        </w:tc>
        <w:tc>
          <w:tcPr>
            <w:tcW w:w="2285" w:type="dxa"/>
            <w:vAlign w:val="center"/>
            <w:textDirection w:val="lrTb"/>
            <w:noWrap w:val="false"/>
          </w:tcPr>
          <w:p>
            <w:pPr>
              <w:pStyle w:val="1038"/>
              <w:jc w:val="center"/>
              <w:spacing w:before="0" w:after="0" w:line="300" w:lineRule="auto"/>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rPr>
              <w:t xml:space="preserve">项目</w:t>
            </w:r>
            <w:r>
              <w:rPr>
                <w:rFonts w:hint="eastAsia" w:ascii="宋体" w:hAnsi="宋体" w:eastAsia="宋体" w:cs="宋体"/>
                <w:b/>
                <w:bCs/>
                <w:color w:val="000000"/>
                <w:sz w:val="22"/>
                <w:highlight w:val="none"/>
              </w:rPr>
            </w:r>
            <w:r/>
          </w:p>
        </w:tc>
        <w:tc>
          <w:tcPr>
            <w:tcW w:w="6361" w:type="dxa"/>
            <w:vAlign w:val="center"/>
            <w:textDirection w:val="lrTb"/>
            <w:noWrap w:val="false"/>
          </w:tcPr>
          <w:p>
            <w:pPr>
              <w:pStyle w:val="1038"/>
              <w:jc w:val="center"/>
              <w:spacing w:before="0" w:after="0" w:line="300" w:lineRule="auto"/>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rPr>
              <w:t xml:space="preserve">具体内容</w:t>
            </w:r>
            <w:r>
              <w:rPr>
                <w:rFonts w:hint="eastAsia" w:ascii="宋体" w:hAnsi="宋体" w:eastAsia="宋体" w:cs="宋体"/>
                <w:b/>
                <w:bCs/>
                <w:color w:val="000000"/>
                <w:sz w:val="22"/>
                <w:highlight w:val="none"/>
              </w:rPr>
            </w:r>
            <w:r/>
          </w:p>
        </w:tc>
      </w:tr>
      <w:tr>
        <w:trPr>
          <w:cantSplit/>
          <w:trHeight w:val="567"/>
        </w:trPr>
        <w:tc>
          <w:tcPr>
            <w:tcW w:w="809" w:type="dxa"/>
            <w:vAlign w:val="center"/>
            <w:textDirection w:val="lrTb"/>
            <w:noWrap w:val="false"/>
          </w:tcPr>
          <w:p>
            <w:pPr>
              <w:pStyle w:val="1038"/>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w:t>
            </w:r>
            <w:r>
              <w:rPr>
                <w:rFonts w:hint="eastAsia" w:ascii="宋体" w:hAnsi="宋体" w:eastAsia="宋体" w:cs="宋体"/>
                <w:color w:val="000000"/>
                <w:sz w:val="22"/>
                <w:highlight w:val="none"/>
              </w:rPr>
            </w:r>
            <w:r/>
          </w:p>
        </w:tc>
        <w:tc>
          <w:tcPr>
            <w:tcW w:w="2285" w:type="dxa"/>
            <w:vAlign w:val="center"/>
            <w:textDirection w:val="lrTb"/>
            <w:noWrap w:val="false"/>
          </w:tcPr>
          <w:p>
            <w:pPr>
              <w:pStyle w:val="1038"/>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项目名称</w:t>
            </w:r>
            <w:r>
              <w:rPr>
                <w:rFonts w:hint="eastAsia" w:ascii="宋体" w:hAnsi="宋体" w:eastAsia="宋体" w:cs="宋体"/>
                <w:color w:val="000000"/>
                <w:sz w:val="22"/>
                <w:highlight w:val="none"/>
              </w:rPr>
            </w:r>
            <w:r/>
          </w:p>
        </w:tc>
        <w:tc>
          <w:tcPr>
            <w:tcW w:w="6361" w:type="dxa"/>
            <w:vAlign w:val="center"/>
            <w:textDirection w:val="lrTb"/>
            <w:noWrap w:val="false"/>
          </w:tcPr>
          <w:p>
            <w:pPr>
              <w:pStyle w:val="1038"/>
              <w:spacing w:before="0" w:after="0" w:line="300" w:lineRule="auto"/>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lang w:eastAsia="zh-CN"/>
              </w:rPr>
              <w:t xml:space="preserve">江苏省计量检测基地(二期)实验室家具采购</w:t>
            </w:r>
            <w:r>
              <w:rPr>
                <w:rFonts w:hint="eastAsia" w:ascii="宋体" w:hAnsi="宋体" w:eastAsia="宋体" w:cs="宋体"/>
                <w:color w:val="000000"/>
                <w:sz w:val="22"/>
                <w:highlight w:val="none"/>
                <w:lang w:eastAsia="zh-CN"/>
              </w:rPr>
            </w:r>
            <w:r/>
          </w:p>
        </w:tc>
      </w:tr>
      <w:tr>
        <w:trPr>
          <w:cantSplit/>
          <w:trHeight w:val="567"/>
        </w:trPr>
        <w:tc>
          <w:tcPr>
            <w:tcW w:w="809" w:type="dxa"/>
            <w:vAlign w:val="center"/>
            <w:textDirection w:val="lrTb"/>
            <w:noWrap w:val="false"/>
          </w:tcPr>
          <w:p>
            <w:pPr>
              <w:pStyle w:val="1038"/>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2</w:t>
            </w:r>
            <w:r>
              <w:rPr>
                <w:rFonts w:hint="eastAsia" w:ascii="宋体" w:hAnsi="宋体" w:eastAsia="宋体" w:cs="宋体"/>
                <w:color w:val="000000"/>
                <w:sz w:val="22"/>
                <w:highlight w:val="none"/>
              </w:rPr>
            </w:r>
            <w:r/>
          </w:p>
        </w:tc>
        <w:tc>
          <w:tcPr>
            <w:tcW w:w="2285" w:type="dxa"/>
            <w:vAlign w:val="center"/>
            <w:textDirection w:val="lrTb"/>
            <w:noWrap w:val="false"/>
          </w:tcPr>
          <w:p>
            <w:pPr>
              <w:pStyle w:val="1038"/>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采购方式</w:t>
            </w:r>
            <w:r>
              <w:rPr>
                <w:rFonts w:hint="eastAsia" w:ascii="宋体" w:hAnsi="宋体" w:eastAsia="宋体" w:cs="宋体"/>
                <w:color w:val="000000"/>
                <w:sz w:val="22"/>
                <w:highlight w:val="none"/>
              </w:rPr>
            </w:r>
            <w:r/>
          </w:p>
        </w:tc>
        <w:tc>
          <w:tcPr>
            <w:tcW w:w="6361" w:type="dxa"/>
            <w:vAlign w:val="center"/>
            <w:textDirection w:val="lrTb"/>
            <w:noWrap w:val="false"/>
          </w:tcPr>
          <w:p>
            <w:pPr>
              <w:pStyle w:val="1038"/>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公开招标</w:t>
            </w:r>
            <w:r>
              <w:rPr>
                <w:rFonts w:hint="eastAsia"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1038"/>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3</w:t>
            </w:r>
            <w:r>
              <w:rPr>
                <w:rFonts w:hint="eastAsia" w:ascii="宋体" w:hAnsi="宋体" w:eastAsia="宋体" w:cs="宋体"/>
                <w:color w:val="000000"/>
                <w:sz w:val="22"/>
                <w:highlight w:val="none"/>
              </w:rPr>
            </w:r>
            <w:r/>
          </w:p>
        </w:tc>
        <w:tc>
          <w:tcPr>
            <w:tcW w:w="2285" w:type="dxa"/>
            <w:vAlign w:val="center"/>
            <w:textDirection w:val="lrTb"/>
            <w:noWrap w:val="false"/>
          </w:tcPr>
          <w:p>
            <w:pPr>
              <w:pStyle w:val="1038"/>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项目编号</w:t>
            </w:r>
            <w:r>
              <w:rPr>
                <w:rFonts w:hint="eastAsia" w:ascii="宋体" w:hAnsi="宋体" w:eastAsia="宋体" w:cs="宋体"/>
                <w:color w:val="000000"/>
                <w:sz w:val="22"/>
                <w:highlight w:val="none"/>
              </w:rPr>
            </w:r>
            <w:r/>
          </w:p>
        </w:tc>
        <w:tc>
          <w:tcPr>
            <w:tcW w:w="6361" w:type="dxa"/>
            <w:vAlign w:val="center"/>
            <w:textDirection w:val="lrTb"/>
            <w:noWrap w:val="false"/>
          </w:tcPr>
          <w:p>
            <w:pPr>
              <w:pStyle w:val="1038"/>
              <w:spacing w:before="0" w:after="0" w:line="300" w:lineRule="auto"/>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rPr>
              <w:t xml:space="preserve">项目编号：</w:t>
            </w:r>
            <w:r>
              <w:rPr>
                <w:rFonts w:hint="eastAsia" w:ascii="宋体" w:hAnsi="宋体" w:eastAsia="宋体" w:cs="宋体"/>
                <w:color w:val="000000"/>
                <w:sz w:val="22"/>
                <w:highlight w:val="none"/>
                <w:lang w:eastAsia="zh-CN"/>
              </w:rPr>
              <w:t xml:space="preserve">JSZC-320000-HWZX-G2026-0320</w:t>
            </w:r>
            <w:r>
              <w:rPr>
                <w:rFonts w:hint="eastAsia" w:ascii="宋体" w:hAnsi="宋体" w:eastAsia="宋体" w:cs="宋体"/>
                <w:color w:val="000000"/>
                <w:sz w:val="22"/>
                <w:highlight w:val="none"/>
                <w:lang w:eastAsia="zh-CN"/>
              </w:rPr>
            </w:r>
            <w:r/>
          </w:p>
          <w:p>
            <w:pPr>
              <w:pStyle w:val="1038"/>
              <w:spacing w:before="0" w:after="0" w:line="300" w:lineRule="auto"/>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rPr>
              <w:t xml:space="preserve">代理机构内部编号：</w:t>
            </w:r>
            <w:r>
              <w:rPr>
                <w:rFonts w:hint="eastAsia" w:ascii="宋体" w:hAnsi="宋体" w:eastAsia="宋体" w:cs="宋体"/>
                <w:color w:val="000000"/>
                <w:sz w:val="22"/>
                <w:highlight w:val="none"/>
                <w:lang w:eastAsia="zh-CN"/>
              </w:rPr>
              <w:t xml:space="preserve">0675-266JOC004415</w:t>
            </w:r>
            <w:r>
              <w:rPr>
                <w:rFonts w:hint="eastAsia" w:ascii="宋体" w:hAnsi="宋体" w:eastAsia="宋体" w:cs="宋体"/>
                <w:color w:val="000000"/>
                <w:sz w:val="22"/>
                <w:highlight w:val="none"/>
                <w:lang w:eastAsia="zh-CN"/>
              </w:rPr>
            </w:r>
            <w:r/>
          </w:p>
        </w:tc>
      </w:tr>
      <w:tr>
        <w:trPr>
          <w:cantSplit/>
          <w:trHeight w:val="567"/>
        </w:trPr>
        <w:tc>
          <w:tcPr>
            <w:tcW w:w="809" w:type="dxa"/>
            <w:vAlign w:val="center"/>
            <w:textDirection w:val="lrTb"/>
            <w:noWrap w:val="false"/>
          </w:tcPr>
          <w:p>
            <w:pPr>
              <w:pStyle w:val="1038"/>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4</w:t>
            </w:r>
            <w:r>
              <w:rPr>
                <w:rFonts w:hint="eastAsia" w:ascii="宋体" w:hAnsi="宋体" w:eastAsia="宋体" w:cs="宋体"/>
                <w:color w:val="000000"/>
                <w:sz w:val="22"/>
                <w:highlight w:val="none"/>
              </w:rPr>
            </w:r>
            <w:r/>
          </w:p>
        </w:tc>
        <w:tc>
          <w:tcPr>
            <w:tcW w:w="2285" w:type="dxa"/>
            <w:vAlign w:val="center"/>
            <w:textDirection w:val="lrTb"/>
            <w:noWrap w:val="false"/>
          </w:tcPr>
          <w:p>
            <w:pPr>
              <w:pStyle w:val="1038"/>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分包</w:t>
            </w:r>
            <w:r>
              <w:rPr>
                <w:rFonts w:hint="eastAsia" w:ascii="宋体" w:hAnsi="宋体" w:eastAsia="宋体" w:cs="宋体"/>
                <w:color w:val="000000"/>
                <w:sz w:val="22"/>
                <w:highlight w:val="none"/>
              </w:rPr>
            </w:r>
            <w:r/>
          </w:p>
        </w:tc>
        <w:tc>
          <w:tcPr>
            <w:tcW w:w="6361" w:type="dxa"/>
            <w:vAlign w:val="center"/>
            <w:textDirection w:val="lrTb"/>
            <w:noWrap w:val="false"/>
          </w:tcPr>
          <w:p>
            <w:pPr>
              <w:pStyle w:val="1038"/>
              <w:spacing w:before="0" w:after="0" w:line="300" w:lineRule="auto"/>
              <w:rPr>
                <w:rFonts w:ascii="宋体" w:hAnsi="宋体" w:eastAsia="宋体" w:cs="宋体"/>
                <w:color w:val="000000"/>
                <w:sz w:val="22"/>
                <w:highlight w:val="none"/>
              </w:rPr>
            </w:pPr>
            <w:r>
              <w:rPr>
                <w:rFonts w:hint="eastAsia" w:ascii="宋体" w:hAnsi="宋体" w:eastAsia="宋体" w:cs="宋体"/>
                <w:color w:val="000000"/>
                <w:sz w:val="22"/>
                <w:highlight w:val="none"/>
              </w:rPr>
              <w:t xml:space="preserve">1</w:t>
            </w:r>
            <w:r>
              <w:rPr>
                <w:rFonts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1038"/>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5</w:t>
            </w:r>
            <w:r>
              <w:rPr>
                <w:rFonts w:hint="eastAsia" w:ascii="宋体" w:hAnsi="宋体" w:eastAsia="宋体" w:cs="宋体"/>
                <w:color w:val="000000"/>
                <w:sz w:val="22"/>
                <w:highlight w:val="none"/>
              </w:rPr>
            </w:r>
            <w:r/>
          </w:p>
        </w:tc>
        <w:tc>
          <w:tcPr>
            <w:tcW w:w="2285" w:type="dxa"/>
            <w:vAlign w:val="center"/>
            <w:textDirection w:val="lrTb"/>
            <w:noWrap w:val="false"/>
          </w:tcPr>
          <w:p>
            <w:pPr>
              <w:pStyle w:val="1038"/>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采购代理</w:t>
            </w:r>
            <w:r>
              <w:rPr>
                <w:rFonts w:hint="eastAsia" w:ascii="宋体" w:hAnsi="宋体" w:eastAsia="宋体" w:cs="宋体"/>
                <w:color w:val="000000"/>
                <w:sz w:val="22"/>
                <w:highlight w:val="none"/>
              </w:rPr>
            </w:r>
            <w:r/>
          </w:p>
          <w:p>
            <w:pPr>
              <w:pStyle w:val="1038"/>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机构</w:t>
            </w:r>
            <w:r>
              <w:rPr>
                <w:rFonts w:hint="eastAsia" w:ascii="宋体" w:hAnsi="宋体" w:eastAsia="宋体" w:cs="宋体"/>
                <w:color w:val="000000"/>
                <w:sz w:val="22"/>
                <w:highlight w:val="none"/>
              </w:rPr>
            </w:r>
            <w:r/>
          </w:p>
        </w:tc>
        <w:tc>
          <w:tcPr>
            <w:tcW w:w="6361" w:type="dxa"/>
            <w:vAlign w:val="center"/>
            <w:textDirection w:val="lrTb"/>
            <w:noWrap w:val="false"/>
          </w:tcPr>
          <w:p>
            <w:pPr>
              <w:pStyle w:val="1038"/>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江苏海外集团国际工程咨询有限公司</w:t>
            </w:r>
            <w:r>
              <w:rPr>
                <w:rFonts w:hint="eastAsia" w:ascii="宋体" w:hAnsi="宋体" w:eastAsia="宋体" w:cs="宋体"/>
                <w:color w:val="000000"/>
                <w:sz w:val="22"/>
                <w:highlight w:val="none"/>
              </w:rPr>
            </w:r>
            <w:r/>
          </w:p>
          <w:p>
            <w:pPr>
              <w:pStyle w:val="1038"/>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项目负责人：方东</w:t>
            </w:r>
            <w:r>
              <w:rPr>
                <w:rFonts w:hint="eastAsia" w:ascii="宋体" w:hAnsi="宋体" w:eastAsia="宋体" w:cs="宋体"/>
                <w:color w:val="000000"/>
                <w:sz w:val="22"/>
                <w:highlight w:val="none"/>
              </w:rPr>
            </w:r>
            <w:r/>
          </w:p>
          <w:p>
            <w:pPr>
              <w:pStyle w:val="1038"/>
              <w:spacing w:before="0" w:after="0" w:line="300" w:lineRule="auto"/>
              <w:rPr>
                <w:rFonts w:ascii="宋体" w:hAnsi="宋体" w:eastAsia="宋体" w:cs="宋体"/>
                <w:color w:val="000000"/>
                <w:sz w:val="22"/>
                <w:highlight w:val="none"/>
              </w:rPr>
            </w:pPr>
            <w:r>
              <w:rPr>
                <w:rFonts w:hint="eastAsia" w:ascii="宋体" w:hAnsi="宋体" w:eastAsia="宋体" w:cs="宋体"/>
                <w:color w:val="000000"/>
                <w:sz w:val="22"/>
                <w:highlight w:val="none"/>
              </w:rPr>
              <w:t xml:space="preserve">电话：025-84795433/15195998576</w:t>
            </w:r>
            <w:r>
              <w:rPr>
                <w:rFonts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1038"/>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6</w:t>
            </w:r>
            <w:r>
              <w:rPr>
                <w:rFonts w:hint="eastAsia" w:ascii="宋体" w:hAnsi="宋体" w:eastAsia="宋体" w:cs="宋体"/>
                <w:color w:val="000000"/>
                <w:sz w:val="22"/>
                <w:highlight w:val="none"/>
              </w:rPr>
            </w:r>
            <w:r/>
          </w:p>
        </w:tc>
        <w:tc>
          <w:tcPr>
            <w:tcW w:w="2285" w:type="dxa"/>
            <w:vAlign w:val="center"/>
            <w:textDirection w:val="lrTb"/>
            <w:noWrap w:val="false"/>
          </w:tcPr>
          <w:p>
            <w:pPr>
              <w:pStyle w:val="1038"/>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采购人</w:t>
            </w:r>
            <w:r>
              <w:rPr>
                <w:rFonts w:hint="eastAsia" w:ascii="宋体" w:hAnsi="宋体" w:eastAsia="宋体" w:cs="宋体"/>
                <w:color w:val="000000"/>
                <w:sz w:val="22"/>
                <w:highlight w:val="none"/>
              </w:rPr>
            </w:r>
            <w:r/>
          </w:p>
        </w:tc>
        <w:tc>
          <w:tcPr>
            <w:tcW w:w="6361" w:type="dxa"/>
            <w:vAlign w:val="center"/>
            <w:textDirection w:val="lrTb"/>
            <w:noWrap w:val="false"/>
          </w:tcPr>
          <w:p>
            <w:pPr>
              <w:pStyle w:val="1038"/>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江苏省计量科学研究院（江苏省能源计量数据中心）</w:t>
            </w:r>
            <w:r>
              <w:rPr>
                <w:rFonts w:hint="eastAsia" w:ascii="宋体" w:hAnsi="宋体" w:eastAsia="宋体" w:cs="宋体"/>
                <w:color w:val="000000"/>
                <w:sz w:val="22"/>
                <w:highlight w:val="none"/>
              </w:rPr>
            </w:r>
            <w:r/>
          </w:p>
          <w:p>
            <w:pPr>
              <w:pStyle w:val="1038"/>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联系人：安老师       </w:t>
            </w:r>
            <w:r>
              <w:rPr>
                <w:rFonts w:hint="eastAsia" w:ascii="宋体" w:hAnsi="宋体" w:eastAsia="宋体" w:cs="宋体"/>
                <w:color w:val="000000"/>
                <w:sz w:val="22"/>
                <w:highlight w:val="none"/>
              </w:rPr>
            </w:r>
            <w:r/>
          </w:p>
          <w:p>
            <w:pPr>
              <w:pStyle w:val="1038"/>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电话：025-</w:t>
            </w:r>
            <w:r>
              <w:rPr>
                <w:rFonts w:ascii="宋体" w:hAnsi="宋体" w:eastAsia="宋体" w:cs="宋体"/>
                <w:color w:val="000000"/>
                <w:sz w:val="22"/>
                <w:highlight w:val="none"/>
              </w:rPr>
              <w:t xml:space="preserve">86435571</w:t>
            </w:r>
            <w:r>
              <w:rPr>
                <w:rFonts w:hint="eastAsia"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1038"/>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7</w:t>
            </w:r>
            <w:r>
              <w:rPr>
                <w:rFonts w:hint="eastAsia" w:ascii="宋体" w:hAnsi="宋体" w:eastAsia="宋体" w:cs="宋体"/>
                <w:color w:val="000000"/>
                <w:sz w:val="22"/>
                <w:highlight w:val="none"/>
              </w:rPr>
            </w:r>
            <w:r/>
          </w:p>
        </w:tc>
        <w:tc>
          <w:tcPr>
            <w:tcW w:w="2285" w:type="dxa"/>
            <w:vAlign w:val="center"/>
            <w:textDirection w:val="lrTb"/>
            <w:noWrap w:val="false"/>
          </w:tcPr>
          <w:p>
            <w:pPr>
              <w:pStyle w:val="1038"/>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预算金额</w:t>
            </w:r>
            <w:r>
              <w:rPr>
                <w:rFonts w:hint="eastAsia" w:ascii="宋体" w:hAnsi="宋体" w:eastAsia="宋体" w:cs="宋体"/>
                <w:color w:val="000000"/>
                <w:sz w:val="22"/>
                <w:highlight w:val="none"/>
              </w:rPr>
            </w:r>
            <w:r/>
          </w:p>
        </w:tc>
        <w:tc>
          <w:tcPr>
            <w:tcW w:w="6361" w:type="dxa"/>
            <w:vAlign w:val="center"/>
            <w:textDirection w:val="lrTb"/>
            <w:noWrap w:val="false"/>
          </w:tcPr>
          <w:p>
            <w:pPr>
              <w:pStyle w:val="1038"/>
              <w:spacing w:before="0" w:after="0" w:line="300" w:lineRule="auto"/>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rPr>
              <w:t xml:space="preserve">人民币</w:t>
            </w:r>
            <w:r>
              <w:rPr>
                <w:rFonts w:hint="eastAsia" w:ascii="宋体" w:hAnsi="宋体" w:eastAsia="宋体" w:cs="宋体"/>
                <w:color w:val="000000"/>
                <w:sz w:val="22"/>
                <w:highlight w:val="none"/>
                <w:lang w:eastAsia="zh-CN"/>
              </w:rPr>
              <w:t xml:space="preserve">640万元</w:t>
            </w:r>
            <w:r>
              <w:rPr>
                <w:rFonts w:hint="eastAsia" w:ascii="宋体" w:hAnsi="宋体" w:eastAsia="宋体" w:cs="宋体"/>
                <w:color w:val="000000"/>
                <w:sz w:val="22"/>
                <w:highlight w:val="none"/>
                <w:lang w:eastAsia="zh-CN"/>
              </w:rPr>
            </w:r>
            <w:r/>
          </w:p>
        </w:tc>
      </w:tr>
      <w:tr>
        <w:trPr>
          <w:cantSplit/>
          <w:trHeight w:val="869"/>
        </w:trPr>
        <w:tc>
          <w:tcPr>
            <w:tcW w:w="809" w:type="dxa"/>
            <w:vAlign w:val="center"/>
            <w:textDirection w:val="lrTb"/>
            <w:noWrap w:val="false"/>
          </w:tcPr>
          <w:p>
            <w:pPr>
              <w:pStyle w:val="1038"/>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8</w:t>
            </w:r>
            <w:r>
              <w:rPr>
                <w:rFonts w:hint="eastAsia" w:ascii="宋体" w:hAnsi="宋体" w:eastAsia="宋体" w:cs="宋体"/>
                <w:color w:val="000000"/>
                <w:sz w:val="22"/>
                <w:highlight w:val="none"/>
              </w:rPr>
            </w:r>
            <w:r/>
          </w:p>
        </w:tc>
        <w:tc>
          <w:tcPr>
            <w:tcW w:w="2285" w:type="dxa"/>
            <w:vAlign w:val="center"/>
            <w:textDirection w:val="lrTb"/>
            <w:noWrap w:val="false"/>
          </w:tcPr>
          <w:p>
            <w:pPr>
              <w:pStyle w:val="1038"/>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最高限价</w:t>
            </w:r>
            <w:r>
              <w:rPr>
                <w:rFonts w:hint="eastAsia" w:ascii="宋体" w:hAnsi="宋体" w:eastAsia="宋体" w:cs="宋体"/>
                <w:color w:val="000000"/>
                <w:sz w:val="22"/>
                <w:highlight w:val="none"/>
              </w:rPr>
            </w:r>
            <w:r/>
          </w:p>
        </w:tc>
        <w:tc>
          <w:tcPr>
            <w:tcW w:w="6361" w:type="dxa"/>
            <w:vAlign w:val="center"/>
            <w:textDirection w:val="lrTb"/>
            <w:noWrap w:val="false"/>
          </w:tcPr>
          <w:p>
            <w:pPr>
              <w:pStyle w:val="1038"/>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人民币</w:t>
            </w:r>
            <w:r>
              <w:rPr>
                <w:rFonts w:hint="eastAsia" w:ascii="宋体" w:hAnsi="宋体" w:eastAsia="宋体" w:cs="宋体"/>
                <w:color w:val="000000"/>
                <w:sz w:val="22"/>
                <w:highlight w:val="none"/>
                <w:lang w:eastAsia="zh-CN"/>
              </w:rPr>
              <w:t xml:space="preserve">640万元</w:t>
            </w:r>
            <w:r>
              <w:rPr>
                <w:rFonts w:hint="eastAsia" w:ascii="宋体" w:hAnsi="宋体" w:eastAsia="宋体" w:cs="宋体"/>
                <w:color w:val="000000"/>
                <w:sz w:val="22"/>
                <w:highlight w:val="none"/>
              </w:rPr>
              <w:t xml:space="preserve">，其中分包1：</w:t>
            </w:r>
            <w:r>
              <w:rPr>
                <w:rFonts w:hint="eastAsia" w:ascii="宋体" w:hAnsi="宋体" w:eastAsia="宋体" w:cs="宋体"/>
                <w:color w:val="000000"/>
                <w:sz w:val="22"/>
                <w:highlight w:val="none"/>
                <w:lang w:eastAsia="zh-CN"/>
              </w:rPr>
              <w:t xml:space="preserve">320万</w:t>
            </w:r>
            <w:r>
              <w:rPr>
                <w:rFonts w:hint="eastAsia" w:ascii="宋体" w:hAnsi="宋体" w:eastAsia="宋体" w:cs="宋体"/>
                <w:color w:val="000000"/>
                <w:sz w:val="22"/>
                <w:highlight w:val="none"/>
              </w:rPr>
              <w:t xml:space="preserve">元,分包2：</w:t>
            </w:r>
            <w:r>
              <w:rPr>
                <w:rFonts w:hint="eastAsia" w:ascii="宋体" w:hAnsi="宋体" w:eastAsia="宋体" w:cs="宋体"/>
                <w:color w:val="000000"/>
                <w:sz w:val="22"/>
                <w:highlight w:val="none"/>
                <w:lang w:eastAsia="zh-CN"/>
              </w:rPr>
              <w:t xml:space="preserve">320万</w:t>
            </w:r>
            <w:r>
              <w:rPr>
                <w:rFonts w:hint="eastAsia" w:ascii="宋体" w:hAnsi="宋体" w:eastAsia="宋体" w:cs="宋体"/>
                <w:color w:val="000000"/>
                <w:sz w:val="22"/>
                <w:highlight w:val="none"/>
              </w:rPr>
              <w:t xml:space="preserve">元。超出最高限价的投标文件作无效响应处理。具体报价格式参照招标文件附件中“报价一览表格式”。</w:t>
            </w:r>
            <w:r>
              <w:rPr>
                <w:rFonts w:hint="eastAsia" w:ascii="宋体" w:hAnsi="宋体" w:eastAsia="宋体" w:cs="宋体"/>
                <w:color w:val="000000"/>
                <w:sz w:val="22"/>
                <w:highlight w:val="none"/>
              </w:rPr>
            </w:r>
            <w:r/>
          </w:p>
        </w:tc>
      </w:tr>
      <w:tr>
        <w:trPr>
          <w:cantSplit/>
          <w:trHeight w:val="1740"/>
        </w:trPr>
        <w:tc>
          <w:tcPr>
            <w:tcW w:w="809" w:type="dxa"/>
            <w:vAlign w:val="center"/>
            <w:textDirection w:val="lrTb"/>
            <w:noWrap w:val="false"/>
          </w:tcPr>
          <w:p>
            <w:pPr>
              <w:pStyle w:val="1038"/>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9</w:t>
            </w:r>
            <w:r>
              <w:rPr>
                <w:rFonts w:hint="eastAsia" w:ascii="宋体" w:hAnsi="宋体" w:eastAsia="宋体" w:cs="宋体"/>
                <w:color w:val="000000"/>
                <w:sz w:val="22"/>
                <w:highlight w:val="none"/>
              </w:rPr>
            </w:r>
            <w:r/>
          </w:p>
        </w:tc>
        <w:tc>
          <w:tcPr>
            <w:tcW w:w="2285" w:type="dxa"/>
            <w:vAlign w:val="center"/>
            <w:textDirection w:val="lrTb"/>
            <w:noWrap w:val="false"/>
          </w:tcPr>
          <w:p>
            <w:pPr>
              <w:pStyle w:val="1038"/>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报价方式</w:t>
            </w:r>
            <w:r>
              <w:rPr>
                <w:rFonts w:hint="eastAsia" w:ascii="宋体" w:hAnsi="宋体" w:eastAsia="宋体" w:cs="宋体"/>
                <w:color w:val="000000"/>
                <w:sz w:val="22"/>
                <w:highlight w:val="none"/>
              </w:rPr>
            </w:r>
            <w:r/>
          </w:p>
        </w:tc>
        <w:tc>
          <w:tcPr>
            <w:tcW w:w="6361" w:type="dxa"/>
            <w:vAlign w:val="center"/>
            <w:textDirection w:val="lrTb"/>
            <w:noWrap w:val="false"/>
          </w:tcPr>
          <w:p>
            <w:pPr>
              <w:pStyle w:val="1038"/>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所有投标报价均以人民币报价。投标人的投标报价应遵守《中华人民共和国价格法》。该报价为到采购人现场的全部费用（含相关税费、运输费、保险费、安装费及相关服务费等一切可能发生的费用）。具体报价格式参照招标文件附件“报价一览表格式”。</w:t>
            </w:r>
            <w:r>
              <w:rPr>
                <w:rFonts w:hint="eastAsia"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1038"/>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10</w:t>
            </w:r>
            <w:r>
              <w:rPr>
                <w:rFonts w:hint="eastAsia" w:ascii="宋体" w:hAnsi="宋体" w:eastAsia="宋体" w:cs="宋体"/>
                <w:color w:val="000000"/>
                <w:sz w:val="22"/>
                <w:highlight w:val="none"/>
              </w:rPr>
            </w:r>
            <w:r/>
          </w:p>
        </w:tc>
        <w:tc>
          <w:tcPr>
            <w:tcW w:w="2285" w:type="dxa"/>
            <w:vAlign w:val="center"/>
            <w:textDirection w:val="lrTb"/>
            <w:noWrap w:val="false"/>
          </w:tcPr>
          <w:p>
            <w:pPr>
              <w:pStyle w:val="1038"/>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投标保证金</w:t>
            </w:r>
            <w:r>
              <w:rPr>
                <w:rFonts w:hint="eastAsia" w:ascii="宋体" w:hAnsi="宋体" w:eastAsia="宋体" w:cs="宋体"/>
                <w:color w:val="000000"/>
                <w:sz w:val="22"/>
                <w:highlight w:val="none"/>
              </w:rPr>
            </w:r>
            <w:r/>
          </w:p>
        </w:tc>
        <w:tc>
          <w:tcPr>
            <w:tcW w:w="6361" w:type="dxa"/>
            <w:vAlign w:val="center"/>
            <w:textDirection w:val="lrTb"/>
            <w:noWrap w:val="false"/>
          </w:tcPr>
          <w:p>
            <w:pPr>
              <w:pStyle w:val="1038"/>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无</w:t>
            </w:r>
            <w:r>
              <w:rPr>
                <w:rFonts w:hint="eastAsia"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1038"/>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11</w:t>
            </w:r>
            <w:r>
              <w:rPr>
                <w:rFonts w:hint="eastAsia" w:ascii="宋体" w:hAnsi="宋体" w:eastAsia="宋体" w:cs="宋体"/>
                <w:color w:val="000000"/>
                <w:sz w:val="22"/>
                <w:highlight w:val="none"/>
              </w:rPr>
            </w:r>
            <w:r/>
          </w:p>
        </w:tc>
        <w:tc>
          <w:tcPr>
            <w:tcW w:w="2285" w:type="dxa"/>
            <w:vAlign w:val="center"/>
            <w:textDirection w:val="lrTb"/>
            <w:noWrap w:val="false"/>
          </w:tcPr>
          <w:p>
            <w:pPr>
              <w:pStyle w:val="1038"/>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招标文件获取</w:t>
            </w:r>
            <w:r>
              <w:rPr>
                <w:rFonts w:hint="eastAsia" w:ascii="宋体" w:hAnsi="宋体" w:eastAsia="宋体" w:cs="宋体"/>
                <w:color w:val="000000"/>
                <w:sz w:val="22"/>
                <w:highlight w:val="none"/>
              </w:rPr>
            </w:r>
            <w:r/>
          </w:p>
        </w:tc>
        <w:tc>
          <w:tcPr>
            <w:tcW w:w="6361" w:type="dxa"/>
            <w:vAlign w:val="center"/>
            <w:textDirection w:val="lrTb"/>
            <w:noWrap w:val="false"/>
          </w:tcPr>
          <w:p>
            <w:pPr>
              <w:pStyle w:val="1038"/>
              <w:spacing w:before="0" w:after="0" w:line="240" w:lineRule="auto"/>
              <w:tabs>
                <w:tab w:val="left" w:pos="5250" w:leader="none"/>
              </w:tabs>
              <w:rPr>
                <w:rFonts w:ascii="宋体" w:hAnsi="宋体" w:eastAsia="宋体" w:cs="宋体"/>
                <w:color w:val="000000"/>
                <w:sz w:val="22"/>
                <w:highlight w:val="none"/>
              </w:rPr>
            </w:pPr>
            <w:r>
              <w:rPr>
                <w:rFonts w:hint="eastAsia" w:ascii="宋体" w:hAnsi="宋体" w:eastAsia="宋体" w:cs="宋体"/>
                <w:color w:val="000000"/>
                <w:sz w:val="22"/>
                <w:highlight w:val="none"/>
              </w:rPr>
              <w:t xml:space="preserve">“苏采云”政府采购交易系统。</w:t>
            </w:r>
            <w:r>
              <w:rPr>
                <w:rFonts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1038"/>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12</w:t>
            </w:r>
            <w:r>
              <w:rPr>
                <w:rFonts w:hint="eastAsia" w:ascii="宋体" w:hAnsi="宋体" w:eastAsia="宋体" w:cs="宋体"/>
                <w:color w:val="000000"/>
                <w:sz w:val="22"/>
                <w:highlight w:val="none"/>
              </w:rPr>
            </w:r>
            <w:r/>
          </w:p>
        </w:tc>
        <w:tc>
          <w:tcPr>
            <w:tcW w:w="2285" w:type="dxa"/>
            <w:vAlign w:val="center"/>
            <w:textDirection w:val="lrTb"/>
            <w:noWrap w:val="false"/>
          </w:tcPr>
          <w:p>
            <w:pPr>
              <w:pStyle w:val="1038"/>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答疑</w:t>
            </w:r>
            <w:r>
              <w:rPr>
                <w:rFonts w:hint="eastAsia" w:ascii="宋体" w:hAnsi="宋体" w:eastAsia="宋体" w:cs="宋体"/>
                <w:color w:val="000000"/>
                <w:sz w:val="22"/>
                <w:highlight w:val="none"/>
              </w:rPr>
            </w:r>
            <w:r/>
          </w:p>
          <w:p>
            <w:pPr>
              <w:pStyle w:val="1038"/>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（勘查现场）</w:t>
            </w:r>
            <w:r>
              <w:rPr>
                <w:rFonts w:hint="eastAsia" w:ascii="宋体" w:hAnsi="宋体" w:eastAsia="宋体" w:cs="宋体"/>
                <w:color w:val="000000"/>
                <w:sz w:val="22"/>
                <w:highlight w:val="none"/>
              </w:rPr>
            </w:r>
            <w:r/>
          </w:p>
        </w:tc>
        <w:tc>
          <w:tcPr>
            <w:tcW w:w="6361" w:type="dxa"/>
            <w:vAlign w:val="center"/>
            <w:textDirection w:val="lrTb"/>
            <w:noWrap w:val="false"/>
          </w:tcPr>
          <w:p>
            <w:pPr>
              <w:pStyle w:val="1038"/>
              <w:spacing w:before="0" w:after="0" w:line="300" w:lineRule="auto"/>
              <w:rPr>
                <w:rFonts w:hint="eastAsia" w:ascii="宋体" w:hAnsi="宋体" w:eastAsia="宋体" w:cs="宋体"/>
                <w:b/>
                <w:bCs/>
                <w:color w:val="000000"/>
                <w:sz w:val="22"/>
                <w:highlight w:val="none"/>
              </w:rPr>
            </w:pPr>
            <w:r>
              <w:rPr>
                <w:rFonts w:hint="eastAsia" w:ascii="宋体" w:hAnsi="宋体" w:eastAsia="宋体" w:cs="宋体"/>
                <w:color w:val="000000"/>
                <w:sz w:val="22"/>
                <w:highlight w:val="none"/>
              </w:rPr>
              <w:t xml:space="preserve">采购人不集中组织，投标人可自行联系采购项目负责人答疑。未考察现场或考察工作不详细的投标人，中标后不得以不完全了解现场情况为理由向采购人提出任何索赔或其他要求，对此采购人不承担任何责任，且将不作任何答复。</w:t>
            </w:r>
            <w:r>
              <w:rPr>
                <w:rFonts w:hint="eastAsia" w:ascii="宋体" w:hAnsi="宋体" w:eastAsia="宋体" w:cs="宋体"/>
                <w:b/>
                <w:bCs/>
                <w:color w:val="000000"/>
                <w:sz w:val="22"/>
                <w:highlight w:val="none"/>
              </w:rPr>
            </w:r>
            <w:r/>
          </w:p>
        </w:tc>
      </w:tr>
      <w:tr>
        <w:trPr>
          <w:cantSplit/>
          <w:trHeight w:val="567"/>
        </w:trPr>
        <w:tc>
          <w:tcPr>
            <w:tcW w:w="809" w:type="dxa"/>
            <w:vAlign w:val="center"/>
            <w:textDirection w:val="lrTb"/>
            <w:noWrap w:val="false"/>
          </w:tcPr>
          <w:p>
            <w:pPr>
              <w:pStyle w:val="1038"/>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13</w:t>
            </w:r>
            <w:r>
              <w:rPr>
                <w:rFonts w:hint="eastAsia" w:ascii="宋体" w:hAnsi="宋体" w:eastAsia="宋体" w:cs="宋体"/>
                <w:color w:val="000000"/>
                <w:sz w:val="22"/>
                <w:highlight w:val="none"/>
              </w:rPr>
            </w:r>
            <w:r/>
          </w:p>
        </w:tc>
        <w:tc>
          <w:tcPr>
            <w:tcW w:w="2285" w:type="dxa"/>
            <w:vAlign w:val="center"/>
            <w:textDirection w:val="lrTb"/>
            <w:noWrap w:val="false"/>
          </w:tcPr>
          <w:p>
            <w:pPr>
              <w:pStyle w:val="1038"/>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投标文件接收截止时间及地点</w:t>
            </w:r>
            <w:r>
              <w:rPr>
                <w:rFonts w:hint="eastAsia" w:ascii="宋体" w:hAnsi="宋体" w:eastAsia="宋体" w:cs="宋体"/>
                <w:color w:val="000000"/>
                <w:sz w:val="22"/>
                <w:highlight w:val="none"/>
              </w:rPr>
            </w:r>
            <w:r/>
          </w:p>
        </w:tc>
        <w:tc>
          <w:tcPr>
            <w:tcW w:w="6361" w:type="dxa"/>
            <w:vAlign w:val="center"/>
            <w:textDirection w:val="lrTb"/>
            <w:noWrap w:val="false"/>
          </w:tcPr>
          <w:p>
            <w:pPr>
              <w:pStyle w:val="1038"/>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截止时间（同开标时间）：详见招标公告</w:t>
            </w:r>
            <w:r>
              <w:rPr>
                <w:rFonts w:hint="eastAsia" w:ascii="宋体" w:hAnsi="宋体" w:eastAsia="宋体" w:cs="宋体"/>
                <w:color w:val="000000"/>
                <w:sz w:val="22"/>
                <w:highlight w:val="none"/>
              </w:rPr>
            </w:r>
            <w:r/>
          </w:p>
          <w:p>
            <w:pPr>
              <w:pStyle w:val="1038"/>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接收地点：“苏采云”政府采购交易系统网上开标大厅</w:t>
            </w:r>
            <w:r>
              <w:rPr>
                <w:rFonts w:hint="eastAsia"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1038"/>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14</w:t>
            </w:r>
            <w:r>
              <w:rPr>
                <w:rFonts w:hint="eastAsia" w:ascii="宋体" w:hAnsi="宋体" w:eastAsia="宋体" w:cs="宋体"/>
                <w:color w:val="000000"/>
                <w:sz w:val="22"/>
                <w:highlight w:val="none"/>
              </w:rPr>
            </w:r>
            <w:r/>
          </w:p>
        </w:tc>
        <w:tc>
          <w:tcPr>
            <w:tcW w:w="2285" w:type="dxa"/>
            <w:vAlign w:val="center"/>
            <w:textDirection w:val="lrTb"/>
            <w:noWrap w:val="false"/>
          </w:tcPr>
          <w:p>
            <w:pPr>
              <w:pStyle w:val="1038"/>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投标文件</w:t>
            </w:r>
            <w:r>
              <w:rPr>
                <w:rFonts w:hint="eastAsia" w:ascii="宋体" w:hAnsi="宋体" w:eastAsia="宋体" w:cs="宋体"/>
                <w:color w:val="000000"/>
                <w:sz w:val="22"/>
                <w:highlight w:val="none"/>
              </w:rPr>
            </w:r>
            <w:r/>
          </w:p>
          <w:p>
            <w:pPr>
              <w:pStyle w:val="1038"/>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形式</w:t>
            </w:r>
            <w:r>
              <w:rPr>
                <w:rFonts w:hint="eastAsia" w:ascii="宋体" w:hAnsi="宋体" w:eastAsia="宋体" w:cs="宋体"/>
                <w:color w:val="000000"/>
                <w:sz w:val="22"/>
                <w:highlight w:val="none"/>
              </w:rPr>
            </w:r>
            <w:r/>
          </w:p>
        </w:tc>
        <w:tc>
          <w:tcPr>
            <w:tcW w:w="6361" w:type="dxa"/>
            <w:vAlign w:val="center"/>
            <w:textDirection w:val="lrTb"/>
            <w:noWrap w:val="false"/>
          </w:tcPr>
          <w:p>
            <w:pPr>
              <w:pStyle w:val="1038"/>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“苏采云”政府采购交易系统。本项目需要使用CA数字证书制作、上传电子投标文件完成电子投标，请供应商在参加投标活动前办理好CA数字证书申领及电子签章等操作。</w:t>
            </w:r>
            <w:r>
              <w:rPr>
                <w:rFonts w:hint="eastAsia"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1038"/>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15</w:t>
            </w:r>
            <w:r>
              <w:rPr>
                <w:rFonts w:hint="eastAsia" w:ascii="宋体" w:hAnsi="宋体" w:eastAsia="宋体" w:cs="宋体"/>
                <w:color w:val="000000"/>
                <w:sz w:val="22"/>
                <w:highlight w:val="none"/>
              </w:rPr>
            </w:r>
            <w:r/>
          </w:p>
        </w:tc>
        <w:tc>
          <w:tcPr>
            <w:tcW w:w="2285" w:type="dxa"/>
            <w:vAlign w:val="center"/>
            <w:textDirection w:val="lrTb"/>
            <w:noWrap w:val="false"/>
          </w:tcPr>
          <w:p>
            <w:pPr>
              <w:pStyle w:val="1038"/>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评标时间</w:t>
            </w:r>
            <w:r>
              <w:rPr>
                <w:rFonts w:hint="eastAsia" w:ascii="宋体" w:hAnsi="宋体" w:eastAsia="宋体" w:cs="宋体"/>
                <w:color w:val="000000"/>
                <w:sz w:val="22"/>
                <w:highlight w:val="none"/>
              </w:rPr>
            </w:r>
            <w:r/>
          </w:p>
        </w:tc>
        <w:tc>
          <w:tcPr>
            <w:tcW w:w="6361" w:type="dxa"/>
            <w:vAlign w:val="center"/>
            <w:textDirection w:val="lrTb"/>
            <w:noWrap w:val="false"/>
          </w:tcPr>
          <w:p>
            <w:pPr>
              <w:pStyle w:val="1038"/>
              <w:spacing w:before="0" w:after="0" w:line="24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lang w:eastAsia="zh-CN"/>
              </w:rPr>
              <w:t xml:space="preserve">2026年7月15日 9:30</w:t>
            </w:r>
            <w:r>
              <w:rPr>
                <w:rFonts w:hint="eastAsia" w:ascii="宋体" w:hAnsi="宋体" w:eastAsia="宋体" w:cs="宋体"/>
                <w:color w:val="000000"/>
                <w:sz w:val="22"/>
                <w:highlight w:val="none"/>
              </w:rPr>
              <w:t xml:space="preserve">后（北京时间）</w:t>
            </w:r>
            <w:r>
              <w:rPr>
                <w:rFonts w:hint="eastAsia"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1038"/>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16</w:t>
            </w:r>
            <w:r>
              <w:rPr>
                <w:rFonts w:hint="eastAsia" w:ascii="宋体" w:hAnsi="宋体" w:eastAsia="宋体" w:cs="宋体"/>
                <w:color w:val="000000"/>
                <w:sz w:val="22"/>
                <w:highlight w:val="none"/>
              </w:rPr>
            </w:r>
            <w:r/>
          </w:p>
        </w:tc>
        <w:tc>
          <w:tcPr>
            <w:tcW w:w="2285" w:type="dxa"/>
            <w:vAlign w:val="center"/>
            <w:textDirection w:val="lrTb"/>
            <w:noWrap w:val="false"/>
          </w:tcPr>
          <w:p>
            <w:pPr>
              <w:pStyle w:val="1038"/>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投标文件</w:t>
            </w:r>
            <w:r>
              <w:rPr>
                <w:rFonts w:hint="eastAsia" w:ascii="宋体" w:hAnsi="宋体" w:eastAsia="宋体" w:cs="宋体"/>
                <w:color w:val="000000"/>
                <w:sz w:val="22"/>
                <w:highlight w:val="none"/>
              </w:rPr>
            </w:r>
            <w:r/>
          </w:p>
          <w:p>
            <w:pPr>
              <w:pStyle w:val="1038"/>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完整性</w:t>
            </w:r>
            <w:r>
              <w:rPr>
                <w:rFonts w:hint="eastAsia" w:ascii="宋体" w:hAnsi="宋体" w:eastAsia="宋体" w:cs="宋体"/>
                <w:color w:val="000000"/>
                <w:sz w:val="22"/>
                <w:highlight w:val="none"/>
              </w:rPr>
            </w:r>
            <w:r/>
          </w:p>
        </w:tc>
        <w:tc>
          <w:tcPr>
            <w:tcW w:w="6361" w:type="dxa"/>
            <w:vAlign w:val="center"/>
            <w:textDirection w:val="lrTb"/>
            <w:noWrap w:val="false"/>
          </w:tcPr>
          <w:p>
            <w:pPr>
              <w:pStyle w:val="1038"/>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招标文件中有明确规定需要签字和盖章的必须有签字和盖章，且加盖的公章仅能使用与投标人名称一致的标准公章，不得使用其他形式（如带有“专用章”“合同章”“财务章”“业务章”等字样）的印章，否则，按无效投标文件处理。</w:t>
            </w:r>
            <w:r>
              <w:rPr>
                <w:rFonts w:hint="eastAsia"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1038"/>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17</w:t>
            </w:r>
            <w:r>
              <w:rPr>
                <w:rFonts w:hint="eastAsia" w:ascii="宋体" w:hAnsi="宋体" w:eastAsia="宋体" w:cs="宋体"/>
                <w:color w:val="000000"/>
                <w:sz w:val="22"/>
                <w:highlight w:val="none"/>
              </w:rPr>
            </w:r>
            <w:r/>
          </w:p>
        </w:tc>
        <w:tc>
          <w:tcPr>
            <w:tcW w:w="2285" w:type="dxa"/>
            <w:vAlign w:val="center"/>
            <w:textDirection w:val="lrTb"/>
            <w:noWrap w:val="false"/>
          </w:tcPr>
          <w:p>
            <w:pPr>
              <w:pStyle w:val="1038"/>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投标文件有效期</w:t>
            </w:r>
            <w:r>
              <w:rPr>
                <w:rFonts w:hint="eastAsia" w:ascii="宋体" w:hAnsi="宋体" w:eastAsia="宋体" w:cs="宋体"/>
                <w:color w:val="000000"/>
                <w:sz w:val="22"/>
                <w:highlight w:val="none"/>
              </w:rPr>
            </w:r>
            <w:r/>
          </w:p>
        </w:tc>
        <w:tc>
          <w:tcPr>
            <w:tcW w:w="6361" w:type="dxa"/>
            <w:vAlign w:val="center"/>
            <w:textDirection w:val="lrTb"/>
            <w:noWrap w:val="false"/>
          </w:tcPr>
          <w:p>
            <w:pPr>
              <w:pStyle w:val="1038"/>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投标人提交投标文件截止之日起90天</w:t>
            </w:r>
            <w:r>
              <w:rPr>
                <w:rFonts w:hint="eastAsia"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1038"/>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18</w:t>
            </w:r>
            <w:r>
              <w:rPr>
                <w:rFonts w:hint="eastAsia" w:ascii="宋体" w:hAnsi="宋体" w:eastAsia="宋体" w:cs="宋体"/>
                <w:color w:val="000000"/>
                <w:sz w:val="22"/>
                <w:highlight w:val="none"/>
              </w:rPr>
            </w:r>
            <w:r/>
          </w:p>
        </w:tc>
        <w:tc>
          <w:tcPr>
            <w:tcW w:w="2285" w:type="dxa"/>
            <w:vAlign w:val="center"/>
            <w:textDirection w:val="lrTb"/>
            <w:noWrap w:val="false"/>
          </w:tcPr>
          <w:p>
            <w:pPr>
              <w:pStyle w:val="1038"/>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关于联合体投标</w:t>
            </w:r>
            <w:r>
              <w:rPr>
                <w:rFonts w:hint="eastAsia" w:ascii="宋体" w:hAnsi="宋体" w:eastAsia="宋体" w:cs="宋体"/>
                <w:color w:val="000000"/>
                <w:sz w:val="22"/>
                <w:highlight w:val="none"/>
              </w:rPr>
            </w:r>
            <w:r/>
          </w:p>
        </w:tc>
        <w:tc>
          <w:tcPr>
            <w:tcW w:w="6361" w:type="dxa"/>
            <w:vAlign w:val="center"/>
            <w:textDirection w:val="lrTb"/>
            <w:noWrap w:val="false"/>
          </w:tcPr>
          <w:p>
            <w:pPr>
              <w:pStyle w:val="1038"/>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本项目不接受联合体投标</w:t>
            </w:r>
            <w:r>
              <w:rPr>
                <w:rFonts w:hint="eastAsia"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1038"/>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19</w:t>
            </w:r>
            <w:r>
              <w:rPr>
                <w:rFonts w:hint="eastAsia" w:ascii="宋体" w:hAnsi="宋体" w:eastAsia="宋体" w:cs="宋体"/>
                <w:color w:val="000000"/>
                <w:sz w:val="22"/>
                <w:highlight w:val="none"/>
              </w:rPr>
            </w:r>
            <w:r/>
          </w:p>
        </w:tc>
        <w:tc>
          <w:tcPr>
            <w:tcW w:w="2285" w:type="dxa"/>
            <w:vAlign w:val="center"/>
            <w:textDirection w:val="lrTb"/>
            <w:noWrap w:val="false"/>
          </w:tcPr>
          <w:p>
            <w:pPr>
              <w:pStyle w:val="1038"/>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中标候选人及中标人数量</w:t>
            </w:r>
            <w:r>
              <w:rPr>
                <w:rFonts w:hint="eastAsia" w:ascii="宋体" w:hAnsi="宋体" w:eastAsia="宋体" w:cs="宋体"/>
                <w:color w:val="000000"/>
                <w:sz w:val="22"/>
                <w:highlight w:val="none"/>
              </w:rPr>
            </w:r>
            <w:r/>
          </w:p>
        </w:tc>
        <w:tc>
          <w:tcPr>
            <w:tcW w:w="6361" w:type="dxa"/>
            <w:vAlign w:val="center"/>
            <w:textDirection w:val="lrTb"/>
            <w:noWrap w:val="false"/>
          </w:tcPr>
          <w:p>
            <w:pPr>
              <w:pStyle w:val="1038"/>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中标候选人：3名/包；中标人：1名/包</w:t>
            </w:r>
            <w:r>
              <w:rPr>
                <w:rFonts w:hint="eastAsia"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1038"/>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20</w:t>
            </w:r>
            <w:r>
              <w:rPr>
                <w:rFonts w:hint="eastAsia" w:ascii="宋体" w:hAnsi="宋体" w:eastAsia="宋体" w:cs="宋体"/>
                <w:color w:val="000000"/>
                <w:sz w:val="22"/>
                <w:highlight w:val="none"/>
              </w:rPr>
            </w:r>
            <w:r/>
          </w:p>
        </w:tc>
        <w:tc>
          <w:tcPr>
            <w:tcW w:w="2285" w:type="dxa"/>
            <w:vAlign w:val="center"/>
            <w:textDirection w:val="lrTb"/>
            <w:noWrap w:val="false"/>
          </w:tcPr>
          <w:p>
            <w:pPr>
              <w:pStyle w:val="1038"/>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投标费用</w:t>
            </w:r>
            <w:r>
              <w:rPr>
                <w:rFonts w:hint="eastAsia" w:ascii="宋体" w:hAnsi="宋体" w:eastAsia="宋体" w:cs="宋体"/>
                <w:color w:val="000000"/>
                <w:sz w:val="22"/>
                <w:highlight w:val="none"/>
              </w:rPr>
            </w:r>
            <w:r/>
          </w:p>
        </w:tc>
        <w:tc>
          <w:tcPr>
            <w:tcW w:w="6361" w:type="dxa"/>
            <w:vAlign w:val="center"/>
            <w:textDirection w:val="lrTb"/>
            <w:noWrap w:val="false"/>
          </w:tcPr>
          <w:p>
            <w:pPr>
              <w:pStyle w:val="1038"/>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本项目采购代理服务费由中标人承担，交纳给招标代理机构。交纳时间：获取中标通知书当日。投标人自行承担所有与准备和参加投标有关的全部费用，不论投标结果如何，采购人均无义务和责任承担这些费用。</w:t>
            </w:r>
            <w:r>
              <w:rPr>
                <w:rFonts w:hint="eastAsia"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1038"/>
              <w:jc w:val="center"/>
              <w:spacing w:before="0" w:after="0" w:line="300" w:lineRule="auto"/>
              <w:rPr>
                <w:rFonts w:ascii="宋体" w:hAnsi="宋体" w:eastAsia="宋体" w:cs="宋体"/>
                <w:color w:val="000000"/>
                <w:sz w:val="22"/>
                <w:highlight w:val="none"/>
              </w:rPr>
            </w:pPr>
            <w:r>
              <w:rPr>
                <w:rFonts w:hint="eastAsia" w:ascii="宋体" w:hAnsi="宋体" w:eastAsia="宋体" w:cs="宋体"/>
                <w:color w:val="000000"/>
                <w:sz w:val="22"/>
                <w:highlight w:val="none"/>
              </w:rPr>
              <w:t xml:space="preserve">21</w:t>
            </w:r>
            <w:r>
              <w:rPr>
                <w:rFonts w:ascii="宋体" w:hAnsi="宋体" w:eastAsia="宋体" w:cs="宋体"/>
                <w:color w:val="000000"/>
                <w:sz w:val="22"/>
                <w:highlight w:val="none"/>
              </w:rPr>
            </w:r>
            <w:r/>
          </w:p>
        </w:tc>
        <w:tc>
          <w:tcPr>
            <w:tcW w:w="2285" w:type="dxa"/>
            <w:vAlign w:val="center"/>
            <w:textDirection w:val="lrTb"/>
            <w:noWrap w:val="false"/>
          </w:tcPr>
          <w:p>
            <w:pPr>
              <w:pStyle w:val="1038"/>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其他要求</w:t>
            </w:r>
            <w:r>
              <w:rPr>
                <w:rFonts w:hint="eastAsia" w:ascii="宋体" w:hAnsi="宋体" w:eastAsia="宋体" w:cs="宋体"/>
                <w:color w:val="000000"/>
                <w:sz w:val="22"/>
                <w:highlight w:val="none"/>
              </w:rPr>
            </w:r>
            <w:r/>
          </w:p>
        </w:tc>
        <w:tc>
          <w:tcPr>
            <w:tcW w:w="6361" w:type="dxa"/>
            <w:vAlign w:val="center"/>
            <w:textDirection w:val="lrTb"/>
            <w:noWrap w:val="false"/>
          </w:tcPr>
          <w:p>
            <w:pPr>
              <w:pStyle w:val="1038"/>
              <w:jc w:val="left"/>
              <w:spacing w:before="0" w:after="0" w:line="300" w:lineRule="auto"/>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rPr>
              <w:t xml:space="preserve">中标供应商须在中标公示期结束后将与“苏采云”政府采购交易系统中一致的纸质版投标文件（文件份数：1份）邮寄至下列地址：南京市建邺区云龙山路56号大唐科技大厦A座高区15楼，方东</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t xml:space="preserve">15195998576</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lang w:eastAsia="zh-CN"/>
              </w:rPr>
            </w:r>
            <w:r/>
          </w:p>
          <w:p>
            <w:pPr>
              <w:pStyle w:val="1038"/>
              <w:jc w:val="left"/>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请投标人务必认真阅读本招标文件，严格遵照上述要求应标。</w:t>
            </w:r>
            <w:r>
              <w:rPr>
                <w:rFonts w:hint="eastAsia" w:ascii="宋体" w:hAnsi="宋体" w:eastAsia="宋体" w:cs="宋体"/>
                <w:color w:val="000000"/>
                <w:sz w:val="22"/>
                <w:highlight w:val="none"/>
              </w:rPr>
            </w:r>
            <w:r/>
          </w:p>
        </w:tc>
      </w:tr>
    </w:tbl>
    <w:p>
      <w:pPr>
        <w:pStyle w:val="1038"/>
        <w:numPr>
          <w:ilvl w:val="0"/>
          <w:numId w:val="5"/>
        </w:numPr>
        <w:rPr>
          <w:rFonts w:hint="eastAsia" w:ascii="宋体" w:hAnsi="宋体" w:eastAsia="宋体" w:cs="宋体"/>
          <w:b/>
          <w:bCs/>
          <w:color w:val="000000"/>
          <w:szCs w:val="21"/>
          <w:highlight w:val="none"/>
        </w:rPr>
        <w:outlineLvl w:val="1"/>
      </w:pPr>
      <w:r/>
      <w:bookmarkStart w:id="21" w:name="_Toc27197"/>
      <w:r>
        <w:rPr>
          <w:rFonts w:hint="eastAsia" w:ascii="宋体" w:hAnsi="宋体" w:cs="宋体"/>
          <w:color w:val="000000"/>
          <w:highlight w:val="none"/>
        </w:rPr>
        <w:br w:type="page" w:clear="all"/>
      </w:r>
      <w:bookmarkEnd w:id="21"/>
      <w:r/>
      <w:bookmarkStart w:id="22" w:name="_Toc209510615"/>
      <w:r/>
      <w:bookmarkStart w:id="23" w:name="_Toc17556"/>
      <w:r/>
      <w:bookmarkStart w:id="24" w:name="_Toc209510674"/>
      <w:r/>
      <w:bookmarkStart w:id="25" w:name="_Toc20838"/>
      <w:r/>
      <w:bookmarkStart w:id="26" w:name="_Toc28411"/>
      <w:r/>
      <w:bookmarkStart w:id="27" w:name="_Toc1344"/>
      <w:r/>
      <w:bookmarkStart w:id="28" w:name="_Toc21658"/>
      <w:r>
        <w:rPr>
          <w:rFonts w:hint="eastAsia" w:ascii="宋体" w:hAnsi="宋体" w:eastAsia="宋体" w:cs="宋体"/>
          <w:b/>
          <w:bCs/>
          <w:color w:val="000000"/>
          <w:szCs w:val="21"/>
          <w:highlight w:val="none"/>
          <w:lang w:val="zh-CN"/>
        </w:rPr>
        <w:t xml:space="preserve">总则</w:t>
      </w:r>
      <w:bookmarkEnd w:id="22"/>
      <w:r/>
      <w:bookmarkEnd w:id="23"/>
      <w:r/>
      <w:bookmarkEnd w:id="24"/>
      <w:r/>
      <w:bookmarkEnd w:id="25"/>
      <w:r/>
      <w:bookmarkEnd w:id="26"/>
      <w:r>
        <w:rPr>
          <w:rFonts w:hint="eastAsia" w:ascii="宋体" w:hAnsi="宋体" w:eastAsia="宋体" w:cs="宋体"/>
          <w:b/>
          <w:bCs/>
          <w:color w:val="000000"/>
          <w:szCs w:val="21"/>
          <w:highlight w:val="none"/>
        </w:rPr>
      </w:r>
      <w:r/>
    </w:p>
    <w:p>
      <w:pPr>
        <w:pStyle w:val="1038"/>
        <w:numPr>
          <w:ilvl w:val="0"/>
          <w:numId w:val="6"/>
        </w:numPr>
        <w:ind w:firstLine="422"/>
        <w:rPr>
          <w:rFonts w:hint="eastAsia" w:ascii="宋体" w:hAnsi="宋体" w:eastAsia="宋体" w:cs="宋体"/>
          <w:b/>
          <w:bCs/>
          <w:color w:val="000000"/>
          <w:szCs w:val="21"/>
          <w:highlight w:val="none"/>
        </w:rPr>
        <w:outlineLvl w:val="2"/>
      </w:pPr>
      <w:r/>
      <w:bookmarkStart w:id="29" w:name="_Toc209510675"/>
      <w:r>
        <w:rPr>
          <w:rFonts w:hint="eastAsia" w:ascii="宋体" w:hAnsi="宋体" w:eastAsia="宋体" w:cs="宋体"/>
          <w:b/>
          <w:bCs/>
          <w:color w:val="000000"/>
          <w:szCs w:val="21"/>
          <w:highlight w:val="none"/>
        </w:rPr>
        <w:t xml:space="preserve">适用法律</w:t>
      </w:r>
      <w:bookmarkEnd w:id="29"/>
      <w:r>
        <w:rPr>
          <w:rFonts w:hint="eastAsia" w:ascii="宋体" w:hAnsi="宋体" w:eastAsia="宋体" w:cs="宋体"/>
          <w:b/>
          <w:bCs/>
          <w:color w:val="000000"/>
          <w:szCs w:val="21"/>
          <w:highlight w:val="none"/>
        </w:rPr>
      </w:r>
      <w:r/>
    </w:p>
    <w:p>
      <w:pPr>
        <w:pStyle w:val="1038"/>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 本次招标适用《中华人民共和国政府采购法》（以下简称“政府采购法”</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《中华人民共和国政府采购法实施条例》（以下简称“政府采购法实施条例”</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《政府采购货物和服务招标投标管理办法》等法律、行政法规、部门规章和规范性文件。</w:t>
      </w:r>
      <w:r>
        <w:rPr>
          <w:rFonts w:hint="eastAsia" w:ascii="宋体" w:hAnsi="宋体" w:eastAsia="宋体" w:cs="宋体"/>
          <w:color w:val="000000"/>
          <w:szCs w:val="21"/>
          <w:highlight w:val="none"/>
        </w:rPr>
      </w:r>
      <w:r/>
    </w:p>
    <w:p>
      <w:pPr>
        <w:pStyle w:val="1038"/>
        <w:numPr>
          <w:ilvl w:val="0"/>
          <w:numId w:val="6"/>
        </w:numPr>
        <w:ind w:firstLine="422"/>
        <w:rPr>
          <w:rFonts w:hint="eastAsia" w:ascii="宋体" w:hAnsi="宋体" w:eastAsia="宋体" w:cs="宋体"/>
          <w:b/>
          <w:bCs/>
          <w:color w:val="000000"/>
          <w:szCs w:val="21"/>
          <w:highlight w:val="none"/>
        </w:rPr>
        <w:outlineLvl w:val="2"/>
      </w:pPr>
      <w:r/>
      <w:bookmarkStart w:id="30" w:name="_Toc209510676"/>
      <w:r>
        <w:rPr>
          <w:rFonts w:hint="eastAsia" w:ascii="宋体" w:hAnsi="宋体" w:eastAsia="宋体" w:cs="宋体"/>
          <w:b/>
          <w:bCs/>
          <w:color w:val="000000"/>
          <w:szCs w:val="21"/>
          <w:highlight w:val="none"/>
        </w:rPr>
        <w:t xml:space="preserve">定义</w:t>
      </w:r>
      <w:bookmarkEnd w:id="30"/>
      <w:r>
        <w:rPr>
          <w:rFonts w:hint="eastAsia" w:ascii="宋体" w:hAnsi="宋体" w:eastAsia="宋体" w:cs="宋体"/>
          <w:b/>
          <w:bCs/>
          <w:color w:val="000000"/>
          <w:szCs w:val="21"/>
          <w:highlight w:val="none"/>
        </w:rPr>
      </w:r>
      <w:r/>
    </w:p>
    <w:p>
      <w:pPr>
        <w:pStyle w:val="1038"/>
        <w:numPr>
          <w:ilvl w:val="0"/>
          <w:numId w:val="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“采购人”是指依法进行政府采购的国家机关、事业单位、团体组织。</w:t>
      </w:r>
      <w:r>
        <w:rPr>
          <w:rFonts w:hint="eastAsia" w:ascii="宋体" w:hAnsi="宋体" w:eastAsia="宋体" w:cs="宋体"/>
          <w:color w:val="000000"/>
          <w:szCs w:val="21"/>
          <w:highlight w:val="none"/>
        </w:rPr>
      </w:r>
      <w:r/>
    </w:p>
    <w:p>
      <w:pPr>
        <w:pStyle w:val="1038"/>
        <w:numPr>
          <w:ilvl w:val="0"/>
          <w:numId w:val="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“投标人（供应商）”是指参加投标竞争，并符合招标文件规定资格条件的法人、其他组织或者自然人。</w:t>
      </w:r>
      <w:r>
        <w:rPr>
          <w:rFonts w:hint="eastAsia" w:ascii="宋体" w:hAnsi="宋体" w:eastAsia="宋体" w:cs="宋体"/>
          <w:color w:val="000000"/>
          <w:szCs w:val="21"/>
          <w:highlight w:val="none"/>
        </w:rPr>
      </w:r>
      <w:r/>
    </w:p>
    <w:p>
      <w:pPr>
        <w:pStyle w:val="1038"/>
        <w:numPr>
          <w:ilvl w:val="0"/>
          <w:numId w:val="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“采购代理机构”是指集中采购机构和集中采购机构以外的采购代理机构，集中采购机构以外的采购代理机构，是从事采购代理业务的社会中介机构。</w:t>
      </w:r>
      <w:r>
        <w:rPr>
          <w:rFonts w:hint="eastAsia" w:ascii="宋体" w:hAnsi="宋体" w:eastAsia="宋体" w:cs="宋体"/>
          <w:color w:val="000000"/>
          <w:szCs w:val="21"/>
          <w:highlight w:val="none"/>
        </w:rPr>
      </w:r>
      <w:r/>
    </w:p>
    <w:p>
      <w:pPr>
        <w:pStyle w:val="1038"/>
        <w:numPr>
          <w:ilvl w:val="0"/>
          <w:numId w:val="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“货物和服务”指本招标文件中所述产品及相关服务。</w:t>
      </w:r>
      <w:r>
        <w:rPr>
          <w:rFonts w:hint="eastAsia" w:ascii="宋体" w:hAnsi="宋体" w:eastAsia="宋体" w:cs="宋体"/>
          <w:color w:val="000000"/>
          <w:szCs w:val="21"/>
          <w:highlight w:val="none"/>
        </w:rPr>
      </w:r>
      <w:r/>
    </w:p>
    <w:p>
      <w:pPr>
        <w:pStyle w:val="1038"/>
        <w:numPr>
          <w:ilvl w:val="0"/>
          <w:numId w:val="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“用户或使用单位”是指使用货物，接受服务的单位。</w:t>
      </w:r>
      <w:r>
        <w:rPr>
          <w:rFonts w:hint="eastAsia" w:ascii="宋体" w:hAnsi="宋体" w:eastAsia="宋体" w:cs="宋体"/>
          <w:color w:val="000000"/>
          <w:szCs w:val="21"/>
          <w:highlight w:val="none"/>
        </w:rPr>
      </w:r>
      <w:r/>
    </w:p>
    <w:p>
      <w:pPr>
        <w:pStyle w:val="1038"/>
        <w:numPr>
          <w:ilvl w:val="0"/>
          <w:numId w:val="6"/>
        </w:numPr>
        <w:ind w:firstLine="422"/>
        <w:rPr>
          <w:rFonts w:hint="eastAsia" w:ascii="宋体" w:hAnsi="宋体" w:eastAsia="宋体" w:cs="宋体"/>
          <w:b/>
          <w:bCs/>
          <w:color w:val="000000"/>
          <w:szCs w:val="21"/>
          <w:highlight w:val="none"/>
        </w:rPr>
        <w:outlineLvl w:val="2"/>
      </w:pPr>
      <w:r/>
      <w:bookmarkStart w:id="31" w:name="_Toc209510677"/>
      <w:r>
        <w:rPr>
          <w:rFonts w:hint="eastAsia" w:ascii="宋体" w:hAnsi="宋体" w:eastAsia="宋体" w:cs="宋体"/>
          <w:b/>
          <w:bCs/>
          <w:color w:val="000000"/>
          <w:szCs w:val="21"/>
          <w:highlight w:val="none"/>
        </w:rPr>
        <w:t xml:space="preserve">政策功能</w:t>
      </w:r>
      <w:bookmarkEnd w:id="31"/>
      <w:r>
        <w:rPr>
          <w:rFonts w:hint="eastAsia" w:ascii="宋体" w:hAnsi="宋体" w:eastAsia="宋体" w:cs="宋体"/>
          <w:b/>
          <w:bCs/>
          <w:color w:val="000000"/>
          <w:szCs w:val="21"/>
          <w:highlight w:val="none"/>
        </w:rPr>
      </w:r>
      <w:r/>
    </w:p>
    <w:p>
      <w:pPr>
        <w:pStyle w:val="1038"/>
        <w:numPr>
          <w:ilvl w:val="0"/>
          <w:numId w:val="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rPr>
          <w:rFonts w:hint="eastAsia" w:ascii="宋体" w:hAnsi="宋体" w:eastAsia="宋体" w:cs="宋体"/>
          <w:color w:val="000000"/>
          <w:szCs w:val="21"/>
          <w:highlight w:val="none"/>
        </w:rPr>
      </w:r>
      <w:r/>
    </w:p>
    <w:p>
      <w:pPr>
        <w:pStyle w:val="1038"/>
        <w:numPr>
          <w:ilvl w:val="0"/>
          <w:numId w:val="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hint="eastAsia" w:ascii="宋体" w:hAnsi="宋体" w:eastAsia="宋体" w:cs="宋体"/>
          <w:color w:val="000000"/>
          <w:szCs w:val="21"/>
          <w:highlight w:val="none"/>
        </w:rPr>
      </w:r>
      <w:r/>
    </w:p>
    <w:p>
      <w:pPr>
        <w:pStyle w:val="1038"/>
        <w:numPr>
          <w:ilvl w:val="0"/>
          <w:numId w:val="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hint="eastAsia" w:ascii="宋体" w:hAnsi="宋体" w:eastAsia="宋体" w:cs="宋体"/>
          <w:color w:val="000000"/>
          <w:szCs w:val="21"/>
          <w:highlight w:val="none"/>
        </w:rPr>
      </w:r>
      <w:r/>
    </w:p>
    <w:p>
      <w:pPr>
        <w:pStyle w:val="1038"/>
        <w:numPr>
          <w:ilvl w:val="0"/>
          <w:numId w:val="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rPr>
          <w:rFonts w:hint="eastAsia" w:ascii="宋体" w:hAnsi="宋体" w:eastAsia="宋体" w:cs="宋体"/>
          <w:color w:val="000000"/>
          <w:szCs w:val="21"/>
          <w:highlight w:val="none"/>
        </w:rPr>
      </w:r>
      <w:r/>
    </w:p>
    <w:p>
      <w:pPr>
        <w:pStyle w:val="1038"/>
        <w:numPr>
          <w:ilvl w:val="0"/>
          <w:numId w:val="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强制采购信息安全产品。参加政府采购活动的信息安全产品投标人应当选择经国家认证的信息安全产品投标，并提供由国家信息安全认证中心按国家标准认证颁发的有效认证证书。</w:t>
      </w:r>
      <w:r>
        <w:rPr>
          <w:rFonts w:hint="eastAsia" w:ascii="宋体" w:hAnsi="宋体" w:eastAsia="宋体" w:cs="宋体"/>
          <w:color w:val="000000"/>
          <w:szCs w:val="21"/>
          <w:highlight w:val="none"/>
        </w:rPr>
      </w:r>
      <w:r/>
    </w:p>
    <w:p>
      <w:pPr>
        <w:pStyle w:val="1038"/>
        <w:numPr>
          <w:ilvl w:val="0"/>
          <w:numId w:val="8"/>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进口产品政策</w:t>
      </w:r>
      <w:r>
        <w:rPr>
          <w:rFonts w:hint="eastAsia" w:ascii="宋体" w:hAnsi="宋体" w:eastAsia="宋体" w:cs="宋体"/>
          <w:color w:val="000000"/>
          <w:szCs w:val="21"/>
          <w:highlight w:val="none"/>
          <w:lang w:eastAsia="en-US"/>
        </w:rPr>
      </w:r>
      <w:r/>
    </w:p>
    <w:p>
      <w:pPr>
        <w:pStyle w:val="1038"/>
        <w:numPr>
          <w:ilvl w:val="0"/>
          <w:numId w:val="9"/>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除招标公告载明接受进口产品参加外，不允许进口产品参加。进口产品认定依照《财政部关于政府采购进口产品管理有关问题的通知》（财办库〔2008〕248号）的规定。</w:t>
      </w:r>
      <w:r>
        <w:rPr>
          <w:rFonts w:hint="eastAsia" w:ascii="宋体" w:hAnsi="宋体" w:eastAsia="宋体" w:cs="宋体"/>
          <w:color w:val="000000"/>
          <w:szCs w:val="21"/>
          <w:highlight w:val="none"/>
        </w:rPr>
      </w:r>
      <w:r/>
    </w:p>
    <w:p>
      <w:pPr>
        <w:pStyle w:val="1038"/>
        <w:numPr>
          <w:ilvl w:val="0"/>
          <w:numId w:val="9"/>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允许进口产品参加的，满足需求的国内产品可以参加。</w:t>
      </w:r>
      <w:r>
        <w:rPr>
          <w:rFonts w:hint="eastAsia" w:ascii="宋体" w:hAnsi="宋体" w:eastAsia="宋体" w:cs="宋体"/>
          <w:color w:val="000000"/>
          <w:szCs w:val="21"/>
          <w:highlight w:val="none"/>
        </w:rPr>
      </w:r>
      <w:r/>
    </w:p>
    <w:p>
      <w:pPr>
        <w:pStyle w:val="1038"/>
        <w:numPr>
          <w:ilvl w:val="0"/>
          <w:numId w:val="9"/>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允许进口产品参加的，优先采购向我国企业转让技术、与我国企业签订消化吸收再创新方案的投标人的进口产品。</w:t>
      </w:r>
      <w:r>
        <w:rPr>
          <w:rFonts w:hint="eastAsia" w:ascii="宋体" w:hAnsi="宋体" w:eastAsia="宋体" w:cs="宋体"/>
          <w:color w:val="000000"/>
          <w:szCs w:val="21"/>
          <w:highlight w:val="none"/>
        </w:rPr>
      </w:r>
      <w:r/>
    </w:p>
    <w:p>
      <w:pPr>
        <w:pStyle w:val="1038"/>
        <w:numPr>
          <w:ilvl w:val="0"/>
          <w:numId w:val="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未按要求提供相关材料的，不享受相关政策。</w:t>
      </w:r>
      <w:r>
        <w:rPr>
          <w:rFonts w:hint="eastAsia" w:ascii="宋体" w:hAnsi="宋体" w:eastAsia="宋体" w:cs="宋体"/>
          <w:color w:val="000000"/>
          <w:szCs w:val="21"/>
          <w:highlight w:val="none"/>
        </w:rPr>
      </w:r>
      <w:r/>
    </w:p>
    <w:p>
      <w:pPr>
        <w:pStyle w:val="1038"/>
        <w:numPr>
          <w:ilvl w:val="0"/>
          <w:numId w:val="5"/>
        </w:numPr>
        <w:rPr>
          <w:rFonts w:hint="eastAsia" w:ascii="宋体" w:hAnsi="宋体" w:eastAsia="宋体" w:cs="宋体"/>
          <w:b/>
          <w:bCs/>
          <w:color w:val="000000"/>
          <w:szCs w:val="21"/>
          <w:highlight w:val="none"/>
        </w:rPr>
        <w:outlineLvl w:val="1"/>
      </w:pPr>
      <w:r/>
      <w:bookmarkStart w:id="32" w:name="_Toc209510678"/>
      <w:r/>
      <w:bookmarkStart w:id="33" w:name="_Toc209510616"/>
      <w:r/>
      <w:bookmarkStart w:id="34" w:name="_Toc7274"/>
      <w:r/>
      <w:bookmarkStart w:id="35" w:name="_Toc17507"/>
      <w:r/>
      <w:bookmarkStart w:id="36" w:name="_Toc18152"/>
      <w:r/>
      <w:bookmarkStart w:id="37" w:name="_Toc20589"/>
      <w:r/>
      <w:bookmarkStart w:id="38" w:name="_Toc9697"/>
      <w:r>
        <w:rPr>
          <w:rFonts w:hint="eastAsia" w:ascii="宋体" w:hAnsi="宋体" w:eastAsia="宋体" w:cs="宋体"/>
          <w:b/>
          <w:bCs/>
          <w:color w:val="000000"/>
          <w:szCs w:val="21"/>
          <w:highlight w:val="none"/>
        </w:rPr>
        <w:t xml:space="preserve">招标文件构成</w:t>
      </w:r>
      <w:bookmarkEnd w:id="32"/>
      <w:r/>
      <w:bookmarkEnd w:id="33"/>
      <w:r/>
      <w:bookmarkEnd w:id="34"/>
      <w:r/>
      <w:bookmarkEnd w:id="35"/>
      <w:r/>
      <w:bookmarkEnd w:id="36"/>
      <w:r/>
      <w:bookmarkEnd w:id="37"/>
      <w:r/>
      <w:bookmarkEnd w:id="38"/>
      <w:r>
        <w:rPr>
          <w:rFonts w:hint="eastAsia" w:ascii="宋体" w:hAnsi="宋体" w:eastAsia="宋体" w:cs="宋体"/>
          <w:b/>
          <w:bCs/>
          <w:color w:val="000000"/>
          <w:szCs w:val="21"/>
          <w:highlight w:val="none"/>
        </w:rPr>
      </w:r>
      <w:r/>
    </w:p>
    <w:p>
      <w:pPr>
        <w:pStyle w:val="1038"/>
        <w:numPr>
          <w:ilvl w:val="0"/>
          <w:numId w:val="6"/>
        </w:numPr>
        <w:ind w:firstLine="422"/>
        <w:rPr>
          <w:rFonts w:hint="eastAsia" w:ascii="宋体" w:hAnsi="宋体" w:eastAsia="宋体" w:cs="宋体"/>
          <w:b/>
          <w:bCs/>
          <w:color w:val="000000"/>
          <w:szCs w:val="21"/>
          <w:highlight w:val="none"/>
        </w:rPr>
        <w:outlineLvl w:val="2"/>
      </w:pPr>
      <w:r/>
      <w:bookmarkStart w:id="39" w:name="_Toc209510679"/>
      <w:r>
        <w:rPr>
          <w:rFonts w:hint="eastAsia" w:ascii="宋体" w:hAnsi="宋体" w:eastAsia="宋体" w:cs="宋体"/>
          <w:b/>
          <w:bCs/>
          <w:color w:val="000000"/>
          <w:szCs w:val="21"/>
          <w:highlight w:val="none"/>
        </w:rPr>
        <w:t xml:space="preserve">招标文件组成</w:t>
      </w:r>
      <w:bookmarkEnd w:id="39"/>
      <w:r>
        <w:rPr>
          <w:rFonts w:hint="eastAsia" w:ascii="宋体" w:hAnsi="宋体" w:eastAsia="宋体" w:cs="宋体"/>
          <w:b/>
          <w:bCs/>
          <w:color w:val="000000"/>
          <w:szCs w:val="21"/>
          <w:highlight w:val="none"/>
        </w:rPr>
      </w:r>
      <w:r/>
    </w:p>
    <w:p>
      <w:pPr>
        <w:pStyle w:val="1038"/>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招标文件包括以下主要内容：</w:t>
      </w:r>
      <w:r>
        <w:rPr>
          <w:rFonts w:hint="eastAsia" w:ascii="宋体" w:hAnsi="宋体" w:eastAsia="宋体" w:cs="宋体"/>
          <w:color w:val="000000"/>
          <w:szCs w:val="21"/>
          <w:highlight w:val="none"/>
        </w:rPr>
      </w:r>
      <w:r/>
    </w:p>
    <w:p>
      <w:pPr>
        <w:pStyle w:val="1038"/>
        <w:numPr>
          <w:ilvl w:val="0"/>
          <w:numId w:val="10"/>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招标公告；</w:t>
      </w:r>
      <w:r>
        <w:rPr>
          <w:rFonts w:hint="eastAsia" w:ascii="宋体" w:hAnsi="宋体" w:eastAsia="宋体" w:cs="宋体"/>
          <w:color w:val="000000"/>
          <w:szCs w:val="21"/>
          <w:highlight w:val="none"/>
          <w:lang w:eastAsia="en-US"/>
        </w:rPr>
      </w:r>
      <w:r/>
    </w:p>
    <w:p>
      <w:pPr>
        <w:pStyle w:val="1038"/>
        <w:numPr>
          <w:ilvl w:val="0"/>
          <w:numId w:val="10"/>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投标人须知；</w:t>
      </w:r>
      <w:r>
        <w:rPr>
          <w:rFonts w:hint="eastAsia" w:ascii="宋体" w:hAnsi="宋体" w:eastAsia="宋体" w:cs="宋体"/>
          <w:color w:val="000000"/>
          <w:szCs w:val="21"/>
          <w:highlight w:val="none"/>
          <w:lang w:eastAsia="en-US"/>
        </w:rPr>
      </w:r>
      <w:r/>
    </w:p>
    <w:p>
      <w:pPr>
        <w:pStyle w:val="1038"/>
        <w:numPr>
          <w:ilvl w:val="0"/>
          <w:numId w:val="10"/>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评标标准（评分标准）；</w:t>
      </w:r>
      <w:r>
        <w:rPr>
          <w:rFonts w:hint="eastAsia" w:ascii="宋体" w:hAnsi="宋体" w:eastAsia="宋体" w:cs="宋体"/>
          <w:color w:val="000000"/>
          <w:szCs w:val="21"/>
          <w:highlight w:val="none"/>
          <w:lang w:eastAsia="en-US"/>
        </w:rPr>
      </w:r>
      <w:r/>
    </w:p>
    <w:p>
      <w:pPr>
        <w:pStyle w:val="1038"/>
        <w:numPr>
          <w:ilvl w:val="0"/>
          <w:numId w:val="10"/>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采购需求；</w:t>
      </w:r>
      <w:r>
        <w:rPr>
          <w:rFonts w:hint="eastAsia" w:ascii="宋体" w:hAnsi="宋体" w:eastAsia="宋体" w:cs="宋体"/>
          <w:color w:val="000000"/>
          <w:szCs w:val="21"/>
          <w:highlight w:val="none"/>
          <w:lang w:eastAsia="en-US"/>
        </w:rPr>
      </w:r>
      <w:r/>
    </w:p>
    <w:p>
      <w:pPr>
        <w:pStyle w:val="1038"/>
        <w:numPr>
          <w:ilvl w:val="0"/>
          <w:numId w:val="10"/>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合同主要条款及格式；</w:t>
      </w:r>
      <w:r>
        <w:rPr>
          <w:rFonts w:hint="eastAsia" w:ascii="宋体" w:hAnsi="宋体" w:eastAsia="宋体" w:cs="宋体"/>
          <w:color w:val="000000"/>
          <w:szCs w:val="21"/>
          <w:highlight w:val="none"/>
          <w:lang w:eastAsia="en-US"/>
        </w:rPr>
      </w:r>
      <w:r/>
    </w:p>
    <w:p>
      <w:pPr>
        <w:pStyle w:val="1038"/>
        <w:numPr>
          <w:ilvl w:val="0"/>
          <w:numId w:val="10"/>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投标文件格式及附件。</w:t>
      </w:r>
      <w:r>
        <w:rPr>
          <w:rFonts w:hint="eastAsia" w:ascii="宋体" w:hAnsi="宋体" w:eastAsia="宋体" w:cs="宋体"/>
          <w:color w:val="000000"/>
          <w:szCs w:val="21"/>
          <w:highlight w:val="none"/>
          <w:lang w:eastAsia="en-US"/>
        </w:rPr>
      </w:r>
      <w:r/>
    </w:p>
    <w:p>
      <w:pPr>
        <w:pStyle w:val="1038"/>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如标书制作工具中格式和内容与“江苏政府采购网”发布的招标文件不一致的，以上述网站发布的招标文件为准。</w:t>
      </w:r>
      <w:r>
        <w:rPr>
          <w:rFonts w:hint="eastAsia" w:ascii="宋体" w:hAnsi="宋体" w:eastAsia="宋体" w:cs="宋体"/>
          <w:color w:val="000000"/>
          <w:szCs w:val="21"/>
          <w:highlight w:val="none"/>
        </w:rPr>
      </w:r>
      <w:r/>
    </w:p>
    <w:p>
      <w:pPr>
        <w:pStyle w:val="1038"/>
        <w:numPr>
          <w:ilvl w:val="0"/>
          <w:numId w:val="11"/>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招标的最小单位是标段。招标货物数量及技术要求中未分标段的，投标人对要求提供的货物和服务不得部分投标；招标货物数量及技术要求中已经分标段的，可以以标段为单位投标。</w:t>
      </w:r>
      <w:r>
        <w:rPr>
          <w:rFonts w:hint="eastAsia" w:ascii="宋体" w:hAnsi="宋体" w:eastAsia="宋体" w:cs="宋体"/>
          <w:color w:val="000000"/>
          <w:szCs w:val="21"/>
          <w:highlight w:val="none"/>
        </w:rPr>
      </w:r>
      <w:r/>
    </w:p>
    <w:p>
      <w:pPr>
        <w:pStyle w:val="1038"/>
        <w:numPr>
          <w:ilvl w:val="0"/>
          <w:numId w:val="11"/>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采购代理机构如果要求投标人按照招标文件规定提交备选投标方案的，投标人可以提交备选方案；否则，备选方案将被拒绝。</w:t>
      </w:r>
      <w:r>
        <w:rPr>
          <w:rFonts w:hint="eastAsia" w:ascii="宋体" w:hAnsi="宋体" w:eastAsia="宋体" w:cs="宋体"/>
          <w:color w:val="000000"/>
          <w:szCs w:val="21"/>
          <w:highlight w:val="none"/>
        </w:rPr>
      </w:r>
      <w:r/>
    </w:p>
    <w:p>
      <w:pPr>
        <w:pStyle w:val="1038"/>
        <w:numPr>
          <w:ilvl w:val="0"/>
          <w:numId w:val="11"/>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招标文件中要求的产品品牌或型号，是采购人根据项目所要实现的功能推荐的品牌或型号，仅供投标人参考，并不是限制条件。</w:t>
      </w:r>
      <w:r>
        <w:rPr>
          <w:rFonts w:hint="eastAsia" w:ascii="宋体" w:hAnsi="宋体" w:eastAsia="宋体" w:cs="宋体"/>
          <w:color w:val="000000"/>
          <w:szCs w:val="21"/>
          <w:highlight w:val="none"/>
        </w:rPr>
      </w:r>
      <w:r/>
    </w:p>
    <w:p>
      <w:pPr>
        <w:pStyle w:val="1038"/>
        <w:numPr>
          <w:ilvl w:val="0"/>
          <w:numId w:val="6"/>
        </w:numPr>
        <w:ind w:firstLine="422"/>
        <w:rPr>
          <w:rFonts w:hint="eastAsia" w:ascii="宋体" w:hAnsi="宋体" w:eastAsia="宋体" w:cs="宋体"/>
          <w:b/>
          <w:bCs/>
          <w:color w:val="000000"/>
          <w:szCs w:val="21"/>
          <w:highlight w:val="none"/>
        </w:rPr>
        <w:outlineLvl w:val="2"/>
      </w:pPr>
      <w:r/>
      <w:bookmarkStart w:id="40" w:name="_Toc209510680"/>
      <w:r>
        <w:rPr>
          <w:rFonts w:hint="eastAsia" w:ascii="宋体" w:hAnsi="宋体" w:eastAsia="宋体" w:cs="宋体"/>
          <w:b/>
          <w:bCs/>
          <w:color w:val="000000"/>
          <w:szCs w:val="21"/>
          <w:highlight w:val="none"/>
        </w:rPr>
        <w:t xml:space="preserve">招标文件的澄清或者修改</w:t>
      </w:r>
      <w:bookmarkEnd w:id="40"/>
      <w:r>
        <w:rPr>
          <w:rFonts w:hint="eastAsia" w:ascii="宋体" w:hAnsi="宋体" w:eastAsia="宋体" w:cs="宋体"/>
          <w:b/>
          <w:bCs/>
          <w:color w:val="000000"/>
          <w:szCs w:val="21"/>
          <w:highlight w:val="none"/>
        </w:rPr>
      </w:r>
      <w:r/>
    </w:p>
    <w:p>
      <w:pPr>
        <w:pStyle w:val="1038"/>
        <w:numPr>
          <w:ilvl w:val="0"/>
          <w:numId w:val="12"/>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rPr>
        <w:t xml:space="preserve">采购人或者采购代理机构可以对已发出的招标文件进行必要的澄清或者修改，但不得改变采购标的和资格条件。澄清或者修改应当在原公告发布媒体上发布澄清公告。</w:t>
      </w:r>
      <w:r>
        <w:rPr>
          <w:rFonts w:hint="eastAsia" w:ascii="宋体" w:hAnsi="宋体" w:eastAsia="宋体" w:cs="宋体"/>
          <w:color w:val="000000"/>
          <w:szCs w:val="21"/>
          <w:highlight w:val="none"/>
          <w:lang w:eastAsia="en-US"/>
        </w:rPr>
        <w:t xml:space="preserve">澄清或者修改的内容为招标文件的组成部分。</w:t>
      </w:r>
      <w:r>
        <w:rPr>
          <w:rFonts w:hint="eastAsia" w:ascii="宋体" w:hAnsi="宋体" w:eastAsia="宋体" w:cs="宋体"/>
          <w:color w:val="000000"/>
          <w:szCs w:val="21"/>
          <w:highlight w:val="none"/>
          <w:lang w:eastAsia="en-US"/>
        </w:rPr>
      </w:r>
      <w:r/>
    </w:p>
    <w:p>
      <w:pPr>
        <w:pStyle w:val="1038"/>
        <w:numPr>
          <w:ilvl w:val="0"/>
          <w:numId w:val="12"/>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rPr>
          <w:rFonts w:hint="eastAsia" w:ascii="宋体" w:hAnsi="宋体" w:eastAsia="宋体" w:cs="宋体"/>
          <w:color w:val="000000"/>
          <w:szCs w:val="21"/>
          <w:highlight w:val="none"/>
        </w:rPr>
      </w:r>
      <w:r/>
    </w:p>
    <w:p>
      <w:pPr>
        <w:pStyle w:val="1038"/>
        <w:numPr>
          <w:ilvl w:val="0"/>
          <w:numId w:val="12"/>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宋体"/>
          <w:color w:val="000000"/>
          <w:szCs w:val="21"/>
          <w:highlight w:val="none"/>
        </w:rPr>
      </w:r>
      <w:r/>
    </w:p>
    <w:p>
      <w:pPr>
        <w:pStyle w:val="1038"/>
        <w:numPr>
          <w:ilvl w:val="0"/>
          <w:numId w:val="5"/>
        </w:numPr>
        <w:rPr>
          <w:rFonts w:hint="eastAsia" w:ascii="宋体" w:hAnsi="宋体" w:eastAsia="宋体" w:cs="宋体"/>
          <w:b/>
          <w:bCs/>
          <w:color w:val="000000"/>
          <w:szCs w:val="21"/>
          <w:highlight w:val="none"/>
        </w:rPr>
        <w:outlineLvl w:val="1"/>
      </w:pPr>
      <w:r/>
      <w:bookmarkStart w:id="41" w:name="_Toc209510681"/>
      <w:r/>
      <w:bookmarkStart w:id="42" w:name="_Toc22828"/>
      <w:r/>
      <w:bookmarkStart w:id="43" w:name="_Toc7702"/>
      <w:r/>
      <w:bookmarkStart w:id="44" w:name="_Toc6845"/>
      <w:r/>
      <w:bookmarkStart w:id="45" w:name="_Toc19603"/>
      <w:r/>
      <w:bookmarkStart w:id="46" w:name="_Toc3559"/>
      <w:r/>
      <w:bookmarkStart w:id="47" w:name="_Toc209510617"/>
      <w:r>
        <w:rPr>
          <w:rFonts w:hint="eastAsia" w:ascii="宋体" w:hAnsi="宋体" w:eastAsia="宋体" w:cs="宋体"/>
          <w:b/>
          <w:bCs/>
          <w:color w:val="000000"/>
          <w:szCs w:val="21"/>
          <w:highlight w:val="none"/>
        </w:rPr>
        <w:t xml:space="preserve">投标文件的编制</w:t>
      </w:r>
      <w:bookmarkEnd w:id="41"/>
      <w:r/>
      <w:bookmarkEnd w:id="42"/>
      <w:r/>
      <w:bookmarkEnd w:id="43"/>
      <w:r/>
      <w:bookmarkEnd w:id="44"/>
      <w:r/>
      <w:bookmarkEnd w:id="45"/>
      <w:r/>
      <w:bookmarkEnd w:id="46"/>
      <w:r/>
      <w:bookmarkEnd w:id="47"/>
      <w:r>
        <w:rPr>
          <w:rFonts w:hint="eastAsia" w:ascii="宋体" w:hAnsi="宋体" w:eastAsia="宋体" w:cs="宋体"/>
          <w:b/>
          <w:bCs/>
          <w:color w:val="000000"/>
          <w:szCs w:val="21"/>
          <w:highlight w:val="none"/>
        </w:rPr>
      </w:r>
      <w:r/>
    </w:p>
    <w:p>
      <w:pPr>
        <w:pStyle w:val="1038"/>
        <w:numPr>
          <w:ilvl w:val="0"/>
          <w:numId w:val="13"/>
        </w:numPr>
        <w:ind w:left="0" w:firstLine="422"/>
        <w:rPr>
          <w:rFonts w:hint="eastAsia" w:ascii="宋体" w:hAnsi="宋体" w:eastAsia="宋体" w:cs="宋体"/>
          <w:b/>
          <w:bCs/>
          <w:color w:val="000000"/>
          <w:szCs w:val="21"/>
          <w:highlight w:val="none"/>
        </w:rPr>
      </w:pPr>
      <w:r/>
      <w:bookmarkStart w:id="48" w:name="_Toc209510682"/>
      <w:r>
        <w:rPr>
          <w:rFonts w:hint="eastAsia" w:ascii="宋体" w:hAnsi="宋体" w:eastAsia="宋体" w:cs="宋体"/>
          <w:b/>
          <w:bCs/>
          <w:color w:val="000000"/>
          <w:szCs w:val="21"/>
          <w:highlight w:val="none"/>
        </w:rPr>
        <w:t xml:space="preserve">投标文件的语言、计量单位、货币和编制</w:t>
      </w:r>
      <w:bookmarkEnd w:id="48"/>
      <w:r>
        <w:rPr>
          <w:rFonts w:hint="eastAsia" w:ascii="宋体" w:hAnsi="宋体" w:eastAsia="宋体" w:cs="宋体"/>
          <w:b/>
          <w:bCs/>
          <w:color w:val="000000"/>
          <w:szCs w:val="21"/>
          <w:highlight w:val="none"/>
        </w:rPr>
      </w:r>
      <w:r/>
    </w:p>
    <w:p>
      <w:pPr>
        <w:pStyle w:val="1038"/>
        <w:numPr>
          <w:ilvl w:val="0"/>
          <w:numId w:val="1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eastAsia="宋体" w:cs="宋体"/>
          <w:color w:val="000000"/>
          <w:szCs w:val="21"/>
          <w:highlight w:val="none"/>
        </w:rPr>
      </w:r>
      <w:r/>
    </w:p>
    <w:p>
      <w:pPr>
        <w:pStyle w:val="1038"/>
        <w:numPr>
          <w:ilvl w:val="0"/>
          <w:numId w:val="1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投标人所使用的计量单位应为国家法定计量单位。</w:t>
      </w:r>
      <w:r>
        <w:rPr>
          <w:rFonts w:hint="eastAsia" w:ascii="宋体" w:hAnsi="宋体" w:eastAsia="宋体" w:cs="宋体"/>
          <w:color w:val="000000"/>
          <w:szCs w:val="21"/>
          <w:highlight w:val="none"/>
        </w:rPr>
      </w:r>
      <w:r/>
    </w:p>
    <w:p>
      <w:pPr>
        <w:pStyle w:val="1038"/>
        <w:numPr>
          <w:ilvl w:val="0"/>
          <w:numId w:val="1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投标人应用人民币报价。投标产品如果是进口产品的，应提供人民币与</w:t>
      </w:r>
      <w:r>
        <w:rPr>
          <w:rFonts w:hint="eastAsia" w:ascii="宋体" w:hAnsi="宋体" w:eastAsia="宋体" w:cs="宋体"/>
          <w:b/>
          <w:color w:val="000000"/>
          <w:szCs w:val="21"/>
          <w:highlight w:val="none"/>
        </w:rPr>
        <w:t xml:space="preserve">外币之间的汇率。</w:t>
      </w:r>
      <w:r>
        <w:rPr>
          <w:rFonts w:hint="eastAsia" w:ascii="宋体" w:hAnsi="宋体" w:eastAsia="宋体" w:cs="宋体"/>
          <w:color w:val="000000"/>
          <w:szCs w:val="21"/>
          <w:highlight w:val="none"/>
        </w:rPr>
      </w:r>
      <w:r/>
    </w:p>
    <w:p>
      <w:pPr>
        <w:pStyle w:val="1038"/>
        <w:numPr>
          <w:ilvl w:val="0"/>
          <w:numId w:val="1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投标文件应按照招标文件的规定编写并制作目录。</w:t>
      </w:r>
      <w:r>
        <w:rPr>
          <w:rFonts w:hint="eastAsia" w:ascii="宋体" w:hAnsi="宋体" w:eastAsia="宋体" w:cs="宋体"/>
          <w:color w:val="000000"/>
          <w:szCs w:val="21"/>
          <w:highlight w:val="none"/>
        </w:rPr>
      </w:r>
      <w:r/>
    </w:p>
    <w:p>
      <w:pPr>
        <w:pStyle w:val="1038"/>
        <w:numPr>
          <w:ilvl w:val="0"/>
          <w:numId w:val="1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投标人应在投标文件中写清相应的项目编号、项目名称、投标人全称、地址、电话、传真等。</w:t>
      </w:r>
      <w:r>
        <w:rPr>
          <w:rFonts w:hint="eastAsia" w:ascii="宋体" w:hAnsi="宋体" w:eastAsia="宋体" w:cs="宋体"/>
          <w:color w:val="000000"/>
          <w:szCs w:val="21"/>
          <w:highlight w:val="none"/>
        </w:rPr>
      </w:r>
      <w:r/>
    </w:p>
    <w:p>
      <w:pPr>
        <w:pStyle w:val="1038"/>
        <w:numPr>
          <w:ilvl w:val="0"/>
          <w:numId w:val="1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投标人根据招标文件载明的标的采购项目实际情况，拟在中标后将中标项目的非主体、非关键性工作交由他人完成的，应当在投标文件中载明。</w:t>
      </w:r>
      <w:r>
        <w:rPr>
          <w:rFonts w:hint="eastAsia" w:ascii="宋体" w:hAnsi="宋体" w:eastAsia="宋体" w:cs="宋体"/>
          <w:color w:val="000000"/>
          <w:szCs w:val="21"/>
          <w:highlight w:val="none"/>
        </w:rPr>
      </w:r>
      <w:r/>
    </w:p>
    <w:p>
      <w:pPr>
        <w:pStyle w:val="1038"/>
        <w:numPr>
          <w:ilvl w:val="0"/>
          <w:numId w:val="13"/>
        </w:numPr>
        <w:ind w:left="0"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联合体投标（本项目不适用）</w:t>
      </w:r>
      <w:r>
        <w:rPr>
          <w:rFonts w:hint="eastAsia" w:ascii="宋体" w:hAnsi="宋体" w:eastAsia="宋体" w:cs="宋体"/>
          <w:b/>
          <w:color w:val="000000"/>
          <w:szCs w:val="21"/>
          <w:highlight w:val="none"/>
        </w:rPr>
      </w:r>
      <w:r/>
    </w:p>
    <w:p>
      <w:pPr>
        <w:pStyle w:val="1038"/>
        <w:numPr>
          <w:ilvl w:val="0"/>
          <w:numId w:val="13"/>
        </w:numPr>
        <w:ind w:left="0" w:firstLine="422"/>
        <w:rPr>
          <w:rFonts w:hint="eastAsia" w:ascii="宋体" w:hAnsi="宋体" w:eastAsia="宋体" w:cs="宋体"/>
          <w:b/>
          <w:color w:val="000000"/>
          <w:szCs w:val="21"/>
          <w:highlight w:val="none"/>
          <w:lang w:eastAsia="en-US"/>
        </w:rPr>
      </w:pPr>
      <w:r>
        <w:rPr>
          <w:rFonts w:hint="eastAsia" w:ascii="宋体" w:hAnsi="宋体" w:eastAsia="宋体" w:cs="宋体"/>
          <w:b/>
          <w:color w:val="000000"/>
          <w:szCs w:val="21"/>
          <w:highlight w:val="none"/>
          <w:lang w:eastAsia="en-US"/>
        </w:rPr>
        <w:t xml:space="preserve">投标文件的组成</w:t>
      </w:r>
      <w:r>
        <w:rPr>
          <w:rFonts w:hint="eastAsia" w:ascii="宋体" w:hAnsi="宋体" w:eastAsia="宋体" w:cs="宋体"/>
          <w:b/>
          <w:color w:val="000000"/>
          <w:szCs w:val="21"/>
          <w:highlight w:val="none"/>
          <w:lang w:eastAsia="en-US"/>
        </w:rPr>
      </w:r>
      <w:r/>
    </w:p>
    <w:p>
      <w:pPr>
        <w:pStyle w:val="1038"/>
        <w:numPr>
          <w:ilvl w:val="0"/>
          <w:numId w:val="1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供应商编写的投标文件应包括资格证明文件、符合性证明文件、投标分项报价表、响应及偏离表、其他证明文件、投标函、开标一览表等部分</w:t>
      </w:r>
      <w:r>
        <w:rPr>
          <w:rFonts w:hint="eastAsia" w:ascii="宋体" w:hAnsi="宋体" w:eastAsia="宋体" w:cs="宋体"/>
          <w:b/>
          <w:color w:val="000000"/>
          <w:szCs w:val="21"/>
          <w:highlight w:val="none"/>
        </w:rPr>
        <w:t xml:space="preserve">。</w:t>
      </w:r>
      <w:r>
        <w:rPr>
          <w:rFonts w:hint="eastAsia" w:ascii="宋体" w:hAnsi="宋体" w:eastAsia="宋体" w:cs="宋体"/>
          <w:color w:val="000000"/>
          <w:szCs w:val="21"/>
          <w:highlight w:val="none"/>
        </w:rPr>
      </w:r>
      <w:r/>
    </w:p>
    <w:p>
      <w:pPr>
        <w:pStyle w:val="1038"/>
        <w:numPr>
          <w:ilvl w:val="0"/>
          <w:numId w:val="1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如标书制作工具中格式和内容与“江苏政府采购网”发布的招标文件不一致，以“江苏政府采购网”发布的招标文件为准。</w:t>
      </w:r>
      <w:r>
        <w:rPr>
          <w:rFonts w:hint="eastAsia" w:ascii="宋体" w:hAnsi="宋体" w:eastAsia="宋体" w:cs="宋体"/>
          <w:color w:val="000000"/>
          <w:szCs w:val="21"/>
          <w:highlight w:val="none"/>
        </w:rPr>
      </w:r>
      <w:r/>
    </w:p>
    <w:p>
      <w:pPr>
        <w:pStyle w:val="1038"/>
        <w:numPr>
          <w:ilvl w:val="0"/>
          <w:numId w:val="1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供应商应当根据招标文件要求编制投标文件，投标文件应对招标文件提出的要求和条件作出实质性响</w:t>
      </w:r>
      <w:r>
        <w:rPr>
          <w:rFonts w:hint="eastAsia" w:ascii="宋体" w:hAnsi="宋体" w:eastAsia="宋体" w:cs="宋体"/>
          <w:color w:val="000000"/>
          <w:szCs w:val="21"/>
          <w:highlight w:val="none"/>
        </w:rPr>
        <w:t xml:space="preserve">应，并在《商务条款偏离表》和《技术条款偏离表》等处逐条标明满足与否。对带星号（“★”）的技术条款须在投标文件中提供招标文件技术参数中所要求的技术支持资料（如白皮书、彩页、手册、检测报告等），未提供技术支持资料的，或未对招标文件做出实质性响应，将导致投标文件被视为无效，若评分细则另有规定的以评分细则规定为准。对带▲号参数指标（如有）为主要技术参数要求，投标文件中须提供技术参数中所要求提供的货物、软件操作界面的图片或其他材料以佐证，否则将视为未响应▲号参数，作负偏离处理，若评分细则另有规定的以评分细则规定为准。</w:t>
      </w:r>
      <w:r>
        <w:rPr>
          <w:rFonts w:hint="eastAsia" w:ascii="宋体" w:hAnsi="宋体" w:eastAsia="宋体" w:cs="宋体"/>
          <w:color w:val="000000"/>
          <w:szCs w:val="21"/>
          <w:highlight w:val="none"/>
        </w:rPr>
      </w:r>
      <w:r/>
    </w:p>
    <w:p>
      <w:pPr>
        <w:pStyle w:val="1038"/>
        <w:numPr>
          <w:ilvl w:val="0"/>
          <w:numId w:val="13"/>
        </w:numPr>
        <w:ind w:left="0" w:firstLine="422"/>
        <w:rPr>
          <w:rFonts w:hint="eastAsia" w:ascii="宋体" w:hAnsi="宋体" w:eastAsia="宋体" w:cs="宋体"/>
          <w:b/>
          <w:color w:val="000000"/>
          <w:szCs w:val="21"/>
          <w:highlight w:val="none"/>
          <w:lang w:eastAsia="en-US"/>
        </w:rPr>
      </w:pPr>
      <w:r>
        <w:rPr>
          <w:rFonts w:hint="eastAsia" w:ascii="宋体" w:hAnsi="宋体" w:eastAsia="宋体" w:cs="宋体"/>
          <w:b/>
          <w:color w:val="000000"/>
          <w:szCs w:val="21"/>
          <w:highlight w:val="none"/>
          <w:lang w:eastAsia="en-US"/>
        </w:rPr>
        <w:t xml:space="preserve">投标文件的商务内容</w:t>
      </w:r>
      <w:r>
        <w:rPr>
          <w:rFonts w:hint="eastAsia" w:ascii="宋体" w:hAnsi="宋体" w:eastAsia="宋体" w:cs="宋体"/>
          <w:b/>
          <w:color w:val="000000"/>
          <w:szCs w:val="21"/>
          <w:highlight w:val="none"/>
          <w:lang w:eastAsia="en-US"/>
        </w:rPr>
      </w:r>
      <w:r/>
    </w:p>
    <w:p>
      <w:pPr>
        <w:pStyle w:val="1038"/>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9.1商务部分内容是证明投标人有资格参加投标和中标后有能力履行合同的文件，这些文件应能满足招标的要求，包括但不限于下列文件（</w:t>
      </w:r>
      <w:r>
        <w:rPr>
          <w:rFonts w:hint="eastAsia" w:ascii="宋体" w:hAnsi="宋体" w:eastAsia="宋体" w:cs="宋体"/>
          <w:b/>
          <w:color w:val="000000"/>
          <w:szCs w:val="21"/>
          <w:highlight w:val="none"/>
        </w:rPr>
        <w:t xml:space="preserve">“</w:t>
      </w:r>
      <w:r>
        <w:rPr>
          <w:rFonts w:hint="eastAsia" w:ascii="宋体" w:hAnsi="宋体" w:eastAsia="宋体" w:cs="宋体"/>
          <w:color w:val="000000"/>
          <w:sz w:val="22"/>
          <w:szCs w:val="22"/>
          <w:highlight w:val="none"/>
        </w:rPr>
        <w:t xml:space="preserve">※</w:t>
      </w:r>
      <w:r>
        <w:rPr>
          <w:rFonts w:hint="eastAsia" w:ascii="宋体" w:hAnsi="宋体" w:eastAsia="宋体" w:cs="宋体"/>
          <w:b/>
          <w:color w:val="000000"/>
          <w:szCs w:val="21"/>
          <w:highlight w:val="none"/>
        </w:rPr>
        <w:t xml:space="preserve">”所述材料不得有缺失或提供不全或不满足招标文件的实质性要求</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38"/>
        <w:numPr>
          <w:ilvl w:val="0"/>
          <w:numId w:val="16"/>
        </w:numPr>
        <w:ind w:firstLine="440"/>
        <w:rPr>
          <w:rFonts w:hint="eastAsia" w:ascii="宋体" w:hAnsi="宋体" w:eastAsia="宋体" w:cs="宋体"/>
          <w:color w:val="000000"/>
          <w:szCs w:val="21"/>
          <w:highlight w:val="none"/>
        </w:rPr>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Cs w:val="21"/>
          <w:highlight w:val="none"/>
        </w:rPr>
        <w:t xml:space="preserve">投标函（投标申请及声明） ；</w:t>
      </w:r>
      <w:r>
        <w:rPr>
          <w:rFonts w:hint="eastAsia" w:ascii="宋体" w:hAnsi="宋体" w:eastAsia="宋体" w:cs="宋体"/>
          <w:color w:val="000000"/>
          <w:szCs w:val="21"/>
          <w:highlight w:val="none"/>
        </w:rPr>
      </w:r>
      <w:r/>
    </w:p>
    <w:p>
      <w:pPr>
        <w:pStyle w:val="1038"/>
        <w:numPr>
          <w:ilvl w:val="0"/>
          <w:numId w:val="16"/>
        </w:numPr>
        <w:ind w:firstLine="440"/>
        <w:rPr>
          <w:rFonts w:hint="eastAsia" w:ascii="宋体" w:hAnsi="宋体" w:eastAsia="宋体" w:cs="宋体"/>
          <w:color w:val="000000"/>
          <w:szCs w:val="21"/>
          <w:highlight w:val="none"/>
          <w:lang w:eastAsia="en-US"/>
        </w:rPr>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Cs w:val="21"/>
          <w:highlight w:val="none"/>
          <w:lang w:eastAsia="en-US"/>
        </w:rPr>
        <w:t xml:space="preserve">法人授权书</w:t>
      </w:r>
      <w:r>
        <w:rPr>
          <w:rFonts w:hint="eastAsia" w:ascii="宋体" w:hAnsi="宋体" w:eastAsia="宋体" w:cs="宋体"/>
          <w:color w:val="000000"/>
          <w:szCs w:val="21"/>
          <w:highlight w:val="none"/>
          <w:lang w:val="en-US" w:eastAsia="zh-CN"/>
        </w:rPr>
        <w:t xml:space="preserve">(法人代表授权书（原件）及法定代表人、授权代表身份证复印件)</w:t>
      </w:r>
      <w:r>
        <w:rPr>
          <w:rFonts w:hint="eastAsia" w:ascii="宋体" w:hAnsi="宋体" w:eastAsia="宋体" w:cs="宋体"/>
          <w:color w:val="000000"/>
          <w:szCs w:val="21"/>
          <w:highlight w:val="none"/>
          <w:lang w:eastAsia="en-US"/>
        </w:rPr>
      </w:r>
      <w:r/>
    </w:p>
    <w:p>
      <w:pPr>
        <w:pStyle w:val="1038"/>
        <w:numPr>
          <w:ilvl w:val="0"/>
          <w:numId w:val="16"/>
        </w:numPr>
        <w:ind w:firstLine="440"/>
        <w:rPr>
          <w:rFonts w:hint="eastAsia" w:ascii="宋体" w:hAnsi="宋体" w:eastAsia="宋体" w:cs="宋体"/>
          <w:color w:val="000000"/>
          <w:szCs w:val="21"/>
          <w:highlight w:val="none"/>
        </w:rPr>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Cs w:val="21"/>
          <w:highlight w:val="none"/>
        </w:rPr>
        <w:t xml:space="preserve">投标人资格资信证明文件：</w:t>
      </w:r>
      <w:r>
        <w:rPr>
          <w:rFonts w:hint="eastAsia" w:ascii="宋体" w:hAnsi="宋体" w:eastAsia="宋体" w:cs="宋体"/>
          <w:color w:val="000000"/>
          <w:szCs w:val="21"/>
          <w:highlight w:val="none"/>
        </w:rPr>
      </w:r>
      <w:r/>
    </w:p>
    <w:p>
      <w:pPr>
        <w:pStyle w:val="1038"/>
        <w:numPr>
          <w:ilvl w:val="0"/>
          <w:numId w:val="16"/>
        </w:numPr>
        <w:ind w:firstLine="440"/>
        <w:rPr>
          <w:rFonts w:hint="eastAsia" w:ascii="宋体" w:hAnsi="宋体" w:eastAsia="宋体" w:cs="宋体"/>
          <w:color w:val="000000"/>
          <w:szCs w:val="21"/>
          <w:highlight w:val="none"/>
          <w:lang w:eastAsia="en-US"/>
        </w:rPr>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Cs w:val="21"/>
          <w:highlight w:val="none"/>
          <w:lang w:eastAsia="en-US"/>
        </w:rPr>
        <w:t xml:space="preserve">开标一览表（格式见附件） ；</w:t>
      </w:r>
      <w:r>
        <w:rPr>
          <w:rFonts w:hint="eastAsia" w:ascii="宋体" w:hAnsi="宋体" w:eastAsia="宋体" w:cs="宋体"/>
          <w:color w:val="000000"/>
          <w:szCs w:val="21"/>
          <w:highlight w:val="none"/>
          <w:lang w:eastAsia="en-US"/>
        </w:rPr>
      </w:r>
      <w:r/>
    </w:p>
    <w:p>
      <w:pPr>
        <w:pStyle w:val="1038"/>
        <w:numPr>
          <w:ilvl w:val="0"/>
          <w:numId w:val="16"/>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《商务条款偏离表》；</w:t>
      </w:r>
      <w:r>
        <w:rPr>
          <w:rFonts w:hint="eastAsia" w:ascii="宋体" w:hAnsi="宋体" w:eastAsia="宋体" w:cs="宋体"/>
          <w:color w:val="000000"/>
          <w:szCs w:val="21"/>
          <w:highlight w:val="none"/>
          <w:lang w:eastAsia="en-US"/>
        </w:rPr>
      </w:r>
      <w:r/>
    </w:p>
    <w:p>
      <w:pPr>
        <w:pStyle w:val="1038"/>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（6）分项报价表（格式见附件）；</w:t>
      </w:r>
      <w:r>
        <w:rPr>
          <w:rFonts w:hint="eastAsia" w:ascii="宋体" w:hAnsi="宋体" w:eastAsia="宋体" w:cs="宋体"/>
          <w:color w:val="000000"/>
          <w:sz w:val="22"/>
          <w:szCs w:val="22"/>
          <w:highlight w:val="none"/>
        </w:rPr>
      </w:r>
      <w:r/>
    </w:p>
    <w:p>
      <w:pPr>
        <w:pStyle w:val="1038"/>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（7）第三章评标标准中对应的其他所需证明材料（如有自行添加）；</w:t>
      </w:r>
      <w:r>
        <w:rPr>
          <w:rFonts w:hint="eastAsia" w:ascii="宋体" w:hAnsi="宋体" w:eastAsia="宋体" w:cs="宋体"/>
          <w:color w:val="000000"/>
          <w:sz w:val="22"/>
          <w:szCs w:val="22"/>
          <w:highlight w:val="none"/>
        </w:rPr>
      </w:r>
      <w:r/>
    </w:p>
    <w:p>
      <w:pPr>
        <w:pStyle w:val="1038"/>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（8）要求采购人提供的配合（如有自拟并自行添加）；</w:t>
      </w:r>
      <w:r>
        <w:rPr>
          <w:rFonts w:hint="eastAsia" w:ascii="宋体" w:hAnsi="宋体" w:eastAsia="宋体" w:cs="宋体"/>
          <w:color w:val="000000"/>
          <w:sz w:val="22"/>
          <w:szCs w:val="22"/>
          <w:highlight w:val="none"/>
        </w:rPr>
      </w:r>
      <w:r/>
    </w:p>
    <w:p>
      <w:pPr>
        <w:pStyle w:val="1038"/>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（9）供应商认为需要提供的其他资格证明文件和商务资料。</w:t>
      </w:r>
      <w:r>
        <w:rPr>
          <w:rFonts w:hint="eastAsia" w:ascii="宋体" w:hAnsi="宋体" w:eastAsia="宋体" w:cs="宋体"/>
          <w:color w:val="000000"/>
          <w:sz w:val="22"/>
          <w:szCs w:val="22"/>
          <w:highlight w:val="none"/>
        </w:rPr>
      </w:r>
      <w:r/>
    </w:p>
    <w:p>
      <w:pPr>
        <w:pStyle w:val="1038"/>
        <w:numPr>
          <w:ilvl w:val="0"/>
          <w:numId w:val="13"/>
        </w:numPr>
        <w:ind w:left="0" w:firstLine="422"/>
        <w:rPr>
          <w:rFonts w:hint="eastAsia" w:ascii="宋体" w:hAnsi="宋体" w:eastAsia="宋体" w:cs="宋体"/>
          <w:b/>
          <w:color w:val="000000"/>
          <w:szCs w:val="21"/>
          <w:highlight w:val="none"/>
          <w:lang w:eastAsia="en-US"/>
        </w:rPr>
      </w:pPr>
      <w:r>
        <w:rPr>
          <w:rFonts w:hint="eastAsia" w:ascii="宋体" w:hAnsi="宋体" w:eastAsia="宋体" w:cs="宋体"/>
          <w:b/>
          <w:color w:val="000000"/>
          <w:szCs w:val="21"/>
          <w:highlight w:val="none"/>
          <w:lang w:eastAsia="en-US"/>
        </w:rPr>
        <w:t xml:space="preserve">投标文件的技术内容</w:t>
      </w:r>
      <w:r>
        <w:rPr>
          <w:rFonts w:hint="eastAsia" w:ascii="宋体" w:hAnsi="宋体" w:eastAsia="宋体" w:cs="宋体"/>
          <w:b/>
          <w:color w:val="000000"/>
          <w:szCs w:val="21"/>
          <w:highlight w:val="none"/>
          <w:lang w:eastAsia="en-US"/>
        </w:rPr>
      </w:r>
      <w:r/>
    </w:p>
    <w:p>
      <w:pPr>
        <w:pStyle w:val="1038"/>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技术部分是证明供应商提供的产品/服务是合格的、并符合招标文件要求的证明文件，以及对产品/服务的详细说明，这些文件可以是文字资料、图纸和数据等。提供的产品/服务如与招标文件要求有不符之处，应说明其差别之所在。包括但不限于下列文件，其中加※项目不得有缺失或无效：</w:t>
      </w:r>
      <w:r>
        <w:rPr>
          <w:rFonts w:hint="eastAsia" w:ascii="宋体" w:hAnsi="宋体" w:eastAsia="宋体" w:cs="宋体"/>
          <w:color w:val="000000"/>
          <w:sz w:val="22"/>
          <w:szCs w:val="22"/>
          <w:highlight w:val="none"/>
        </w:rPr>
      </w:r>
      <w:r/>
    </w:p>
    <w:p>
      <w:pPr>
        <w:pStyle w:val="1038"/>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（1）货物、服务内容的详细说明；</w:t>
      </w:r>
      <w:r>
        <w:rPr>
          <w:rFonts w:hint="eastAsia" w:ascii="宋体" w:hAnsi="宋体" w:eastAsia="宋体" w:cs="宋体"/>
          <w:color w:val="000000"/>
          <w:sz w:val="22"/>
          <w:szCs w:val="22"/>
          <w:highlight w:val="none"/>
        </w:rPr>
      </w:r>
      <w:r/>
    </w:p>
    <w:p>
      <w:pPr>
        <w:pStyle w:val="1038"/>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（2）※《技术条款偏离表》；</w:t>
      </w:r>
      <w:r>
        <w:rPr>
          <w:rFonts w:hint="eastAsia" w:ascii="宋体" w:hAnsi="宋体" w:eastAsia="宋体" w:cs="宋体"/>
          <w:color w:val="000000"/>
          <w:sz w:val="22"/>
          <w:szCs w:val="22"/>
          <w:highlight w:val="none"/>
        </w:rPr>
      </w:r>
      <w:r/>
    </w:p>
    <w:p>
      <w:pPr>
        <w:pStyle w:val="1038"/>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（3）投标产品配置清单及技术说明；</w:t>
      </w:r>
      <w:r>
        <w:rPr>
          <w:rFonts w:hint="eastAsia" w:ascii="宋体" w:hAnsi="宋体" w:eastAsia="宋体" w:cs="宋体"/>
          <w:color w:val="000000"/>
          <w:sz w:val="22"/>
          <w:szCs w:val="22"/>
          <w:highlight w:val="none"/>
        </w:rPr>
      </w:r>
      <w:r/>
    </w:p>
    <w:p>
      <w:pPr>
        <w:pStyle w:val="1038"/>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（4）货物安装、验收标准、货物技术资料；</w:t>
      </w:r>
      <w:r>
        <w:rPr>
          <w:rFonts w:hint="eastAsia" w:ascii="宋体" w:hAnsi="宋体" w:eastAsia="宋体" w:cs="宋体"/>
          <w:color w:val="000000"/>
          <w:sz w:val="22"/>
          <w:szCs w:val="22"/>
          <w:highlight w:val="none"/>
        </w:rPr>
      </w:r>
      <w:r/>
    </w:p>
    <w:p>
      <w:pPr>
        <w:pStyle w:val="1038"/>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（5）项目集成（实施）方案；</w:t>
      </w:r>
      <w:r>
        <w:rPr>
          <w:rFonts w:hint="eastAsia" w:ascii="宋体" w:hAnsi="宋体" w:eastAsia="宋体" w:cs="宋体"/>
          <w:color w:val="000000"/>
          <w:sz w:val="22"/>
          <w:szCs w:val="22"/>
          <w:highlight w:val="none"/>
        </w:rPr>
      </w:r>
      <w:r/>
    </w:p>
    <w:p>
      <w:pPr>
        <w:pStyle w:val="1038"/>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（6）服务承诺；</w:t>
      </w:r>
      <w:r>
        <w:rPr>
          <w:rFonts w:hint="eastAsia" w:ascii="宋体" w:hAnsi="宋体" w:eastAsia="宋体" w:cs="宋体"/>
          <w:color w:val="000000"/>
          <w:sz w:val="22"/>
          <w:szCs w:val="22"/>
          <w:highlight w:val="none"/>
        </w:rPr>
      </w:r>
      <w:r/>
    </w:p>
    <w:p>
      <w:pPr>
        <w:pStyle w:val="1038"/>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（7）供应商认为需要提供的其他技术资料。</w:t>
      </w:r>
      <w:r>
        <w:rPr>
          <w:rFonts w:hint="eastAsia" w:ascii="宋体" w:hAnsi="宋体" w:eastAsia="宋体" w:cs="宋体"/>
          <w:color w:val="000000"/>
          <w:sz w:val="22"/>
          <w:szCs w:val="22"/>
          <w:highlight w:val="none"/>
        </w:rPr>
      </w:r>
      <w:r/>
    </w:p>
    <w:p>
      <w:pPr>
        <w:pStyle w:val="1038"/>
        <w:numPr>
          <w:ilvl w:val="0"/>
          <w:numId w:val="13"/>
        </w:numPr>
        <w:ind w:left="0" w:firstLine="422"/>
        <w:rPr>
          <w:rFonts w:hint="eastAsia" w:ascii="宋体" w:hAnsi="宋体" w:eastAsia="宋体" w:cs="宋体"/>
          <w:b/>
          <w:color w:val="000000"/>
          <w:szCs w:val="21"/>
          <w:highlight w:val="none"/>
          <w:lang w:eastAsia="en-US"/>
        </w:rPr>
      </w:pPr>
      <w:r>
        <w:rPr>
          <w:rFonts w:hint="eastAsia" w:ascii="宋体" w:hAnsi="宋体" w:eastAsia="宋体" w:cs="宋体"/>
          <w:b/>
          <w:color w:val="000000"/>
          <w:szCs w:val="21"/>
          <w:highlight w:val="none"/>
          <w:lang w:eastAsia="en-US"/>
        </w:rPr>
        <w:t xml:space="preserve">投标文件的价格内容</w:t>
      </w:r>
      <w:r>
        <w:rPr>
          <w:rFonts w:hint="eastAsia" w:ascii="宋体" w:hAnsi="宋体" w:eastAsia="宋体" w:cs="宋体"/>
          <w:b/>
          <w:color w:val="000000"/>
          <w:szCs w:val="21"/>
          <w:highlight w:val="none"/>
          <w:lang w:eastAsia="en-US"/>
        </w:rPr>
      </w:r>
      <w:r/>
    </w:p>
    <w:p>
      <w:pPr>
        <w:pStyle w:val="1038"/>
        <w:numPr>
          <w:ilvl w:val="0"/>
          <w:numId w:val="1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价格部分内容是对采购标的价格构成的说明，招标文件如无特别说明，每一项货物及服务仅接受一个价格。</w:t>
      </w:r>
      <w:r>
        <w:rPr>
          <w:rFonts w:hint="eastAsia" w:ascii="宋体" w:hAnsi="宋体" w:eastAsia="宋体" w:cs="宋体"/>
          <w:color w:val="000000"/>
          <w:szCs w:val="21"/>
          <w:highlight w:val="none"/>
        </w:rPr>
      </w:r>
      <w:r/>
    </w:p>
    <w:p>
      <w:pPr>
        <w:pStyle w:val="1038"/>
        <w:numPr>
          <w:ilvl w:val="0"/>
          <w:numId w:val="1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报价应包含为履行本项目合同项下所有义务的全部含税费用（包括但不限于货物设计、制造、包装、仓储、运输</w:t>
      </w:r>
      <w:r>
        <w:rPr>
          <w:rFonts w:hint="eastAsia" w:ascii="宋体" w:hAnsi="宋体" w:eastAsia="宋体" w:cs="宋体"/>
          <w:color w:val="000000"/>
          <w:szCs w:val="21"/>
          <w:highlight w:val="none"/>
          <w:lang w:eastAsia="zh-CN"/>
        </w:rPr>
        <w:t xml:space="preserve">装卸</w:t>
      </w:r>
      <w:r>
        <w:rPr>
          <w:rFonts w:hint="eastAsia" w:ascii="宋体" w:hAnsi="宋体" w:eastAsia="宋体" w:cs="宋体"/>
          <w:color w:val="000000"/>
          <w:szCs w:val="21"/>
          <w:highlight w:val="none"/>
        </w:rPr>
        <w:t xml:space="preserve">、保险、安装、调试</w:t>
      </w:r>
      <w:r>
        <w:rPr>
          <w:rFonts w:hint="eastAsia" w:ascii="宋体" w:hAnsi="宋体" w:eastAsia="宋体" w:cs="宋体"/>
          <w:color w:val="000000"/>
          <w:szCs w:val="21"/>
          <w:highlight w:val="none"/>
          <w:lang w:eastAsia="zh-CN"/>
        </w:rPr>
        <w:t xml:space="preserve">及</w:t>
      </w:r>
      <w:r>
        <w:rPr>
          <w:rFonts w:hint="eastAsia" w:ascii="宋体" w:hAnsi="宋体" w:eastAsia="宋体" w:cs="宋体"/>
          <w:color w:val="000000"/>
          <w:szCs w:val="21"/>
          <w:highlight w:val="none"/>
        </w:rPr>
        <w:t xml:space="preserve">材料</w:t>
      </w:r>
      <w:r>
        <w:rPr>
          <w:rFonts w:hint="eastAsia" w:ascii="宋体" w:hAnsi="宋体" w:eastAsia="宋体" w:cs="宋体"/>
          <w:color w:val="000000"/>
          <w:szCs w:val="21"/>
          <w:highlight w:val="none"/>
          <w:lang w:eastAsia="zh-CN"/>
        </w:rPr>
        <w:t xml:space="preserve">，以及</w:t>
      </w:r>
      <w:r>
        <w:rPr>
          <w:rFonts w:hint="eastAsia" w:ascii="宋体" w:hAnsi="宋体" w:eastAsia="宋体" w:cs="宋体"/>
          <w:color w:val="000000"/>
          <w:szCs w:val="21"/>
          <w:highlight w:val="none"/>
        </w:rPr>
        <w:t xml:space="preserve">验收合格之前保管及保修期内备品备件、专用工具、伴随服务、技术图纸资料、人员培训发生的所有含税费用、支付给员工的工资和国家强制缴纳的各种社会保障资金），以及投标人认为需要的其他费用等</w:t>
      </w:r>
      <w:r>
        <w:rPr>
          <w:rFonts w:hint="eastAsia" w:ascii="宋体" w:hAnsi="宋体" w:eastAsia="宋体" w:cs="宋体"/>
          <w:b/>
          <w:color w:val="000000"/>
          <w:szCs w:val="21"/>
          <w:highlight w:val="none"/>
        </w:rPr>
        <w:t xml:space="preserve">。</w:t>
      </w:r>
      <w:r>
        <w:rPr>
          <w:rFonts w:hint="eastAsia" w:ascii="宋体" w:hAnsi="宋体" w:eastAsia="宋体" w:cs="宋体"/>
          <w:color w:val="000000"/>
          <w:szCs w:val="21"/>
          <w:highlight w:val="none"/>
        </w:rPr>
      </w:r>
      <w:r/>
    </w:p>
    <w:p>
      <w:pPr>
        <w:pStyle w:val="1038"/>
        <w:numPr>
          <w:ilvl w:val="0"/>
          <w:numId w:val="17"/>
        </w:numPr>
        <w:ind w:firstLine="440"/>
        <w:rPr>
          <w:rFonts w:hint="eastAsia" w:ascii="宋体" w:hAnsi="宋体" w:eastAsia="宋体" w:cs="宋体"/>
          <w:color w:val="000000"/>
          <w:szCs w:val="21"/>
          <w:highlight w:val="none"/>
        </w:rPr>
      </w:pPr>
      <w:r>
        <w:rPr>
          <w:rFonts w:hint="eastAsia" w:ascii="宋体" w:hAnsi="宋体" w:eastAsia="宋体" w:cs="宋体"/>
          <w:color w:val="000000"/>
          <w:sz w:val="22"/>
          <w:szCs w:val="22"/>
          <w:highlight w:val="none"/>
        </w:rPr>
        <w:t xml:space="preserve">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rFonts w:hint="eastAsia" w:ascii="宋体" w:hAnsi="宋体" w:eastAsia="宋体" w:cs="宋体"/>
          <w:color w:val="000000"/>
          <w:szCs w:val="21"/>
          <w:highlight w:val="none"/>
        </w:rPr>
      </w:r>
      <w:r/>
    </w:p>
    <w:p>
      <w:pPr>
        <w:pStyle w:val="1038"/>
        <w:numPr>
          <w:ilvl w:val="0"/>
          <w:numId w:val="13"/>
        </w:numPr>
        <w:ind w:left="0" w:firstLine="422"/>
        <w:rPr>
          <w:rFonts w:hint="eastAsia" w:ascii="宋体" w:hAnsi="宋体" w:eastAsia="宋体" w:cs="宋体"/>
          <w:b/>
          <w:color w:val="000000"/>
          <w:szCs w:val="21"/>
          <w:highlight w:val="none"/>
          <w:lang w:eastAsia="en-US"/>
        </w:rPr>
      </w:pPr>
      <w:r>
        <w:rPr>
          <w:rFonts w:hint="eastAsia" w:ascii="宋体" w:hAnsi="宋体" w:eastAsia="宋体" w:cs="宋体"/>
          <w:b/>
          <w:color w:val="000000"/>
          <w:szCs w:val="21"/>
          <w:highlight w:val="none"/>
          <w:lang w:eastAsia="en-US"/>
        </w:rPr>
        <w:t xml:space="preserve">投标文件的其他部分</w:t>
      </w:r>
      <w:r>
        <w:rPr>
          <w:rFonts w:hint="eastAsia" w:ascii="宋体" w:hAnsi="宋体" w:eastAsia="宋体" w:cs="宋体"/>
          <w:b/>
          <w:color w:val="000000"/>
          <w:szCs w:val="21"/>
          <w:highlight w:val="none"/>
          <w:lang w:eastAsia="en-US"/>
        </w:rPr>
      </w:r>
      <w:r/>
    </w:p>
    <w:p>
      <w:pPr>
        <w:pStyle w:val="1038"/>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12.1 其他部分由投标人根据编制投标文件需要提供的其他相关文件组成。</w:t>
      </w:r>
      <w:r>
        <w:rPr>
          <w:rFonts w:hint="eastAsia" w:ascii="宋体" w:hAnsi="宋体" w:eastAsia="宋体" w:cs="宋体"/>
          <w:color w:val="000000"/>
          <w:szCs w:val="21"/>
          <w:highlight w:val="none"/>
        </w:rPr>
      </w:r>
      <w:r/>
    </w:p>
    <w:p>
      <w:pPr>
        <w:pStyle w:val="1038"/>
        <w:numPr>
          <w:ilvl w:val="0"/>
          <w:numId w:val="13"/>
        </w:numPr>
        <w:ind w:left="0"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投标保证金（本项目无需缴纳投标保证金）</w:t>
      </w:r>
      <w:r>
        <w:rPr>
          <w:rFonts w:hint="eastAsia" w:ascii="宋体" w:hAnsi="宋体" w:eastAsia="宋体" w:cs="宋体"/>
          <w:b/>
          <w:color w:val="000000"/>
          <w:szCs w:val="21"/>
          <w:highlight w:val="none"/>
        </w:rPr>
      </w:r>
      <w:r/>
    </w:p>
    <w:p>
      <w:pPr>
        <w:pStyle w:val="1038"/>
        <w:numPr>
          <w:ilvl w:val="0"/>
          <w:numId w:val="13"/>
        </w:numPr>
        <w:ind w:left="0" w:firstLine="422"/>
        <w:rPr>
          <w:rFonts w:hint="eastAsia" w:ascii="宋体" w:hAnsi="宋体" w:eastAsia="宋体" w:cs="宋体"/>
          <w:b/>
          <w:color w:val="000000"/>
          <w:szCs w:val="21"/>
          <w:highlight w:val="none"/>
          <w:lang w:eastAsia="en-US"/>
        </w:rPr>
      </w:pPr>
      <w:r>
        <w:rPr>
          <w:rFonts w:hint="eastAsia" w:ascii="宋体" w:hAnsi="宋体" w:eastAsia="宋体" w:cs="宋体"/>
          <w:b/>
          <w:color w:val="000000"/>
          <w:szCs w:val="21"/>
          <w:highlight w:val="none"/>
          <w:lang w:eastAsia="en-US"/>
        </w:rPr>
        <w:t xml:space="preserve">投标有效期</w:t>
      </w:r>
      <w:r>
        <w:rPr>
          <w:rFonts w:hint="eastAsia" w:ascii="宋体" w:hAnsi="宋体" w:eastAsia="宋体" w:cs="宋体"/>
          <w:b/>
          <w:color w:val="000000"/>
          <w:szCs w:val="21"/>
          <w:highlight w:val="none"/>
          <w:lang w:eastAsia="en-US"/>
        </w:rPr>
      </w:r>
      <w:r/>
    </w:p>
    <w:p>
      <w:pPr>
        <w:pStyle w:val="1038"/>
        <w:numPr>
          <w:ilvl w:val="0"/>
          <w:numId w:val="1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自开标之日起</w:t>
      </w:r>
      <w:r>
        <w:rPr>
          <w:rFonts w:hint="eastAsia" w:ascii="宋体" w:hAnsi="宋体" w:eastAsia="宋体" w:cs="宋体"/>
          <w:b/>
          <w:color w:val="000000"/>
          <w:szCs w:val="21"/>
          <w:highlight w:val="none"/>
        </w:rPr>
        <w:t xml:space="preserve">90</w:t>
      </w:r>
      <w:r>
        <w:rPr>
          <w:rFonts w:hint="eastAsia" w:ascii="宋体" w:hAnsi="宋体" w:eastAsia="宋体" w:cs="宋体"/>
          <w:color w:val="000000"/>
          <w:szCs w:val="21"/>
          <w:highlight w:val="none"/>
        </w:rPr>
        <w:t xml:space="preserve">天内投标有效</w:t>
      </w:r>
      <w:r>
        <w:rPr>
          <w:rFonts w:hint="eastAsia" w:ascii="宋体" w:hAnsi="宋体" w:eastAsia="宋体" w:cs="宋体"/>
          <w:b/>
          <w:color w:val="000000"/>
          <w:szCs w:val="21"/>
          <w:highlight w:val="none"/>
        </w:rPr>
        <w:t xml:space="preserve">，投标有效期从提交投标文件的截止之日起算。投标文件中承诺的投标有效期应当不少于招标文件中载明的投标有效期。</w:t>
      </w:r>
      <w:r>
        <w:rPr>
          <w:rFonts w:hint="eastAsia" w:ascii="宋体" w:hAnsi="宋体" w:eastAsia="宋体" w:cs="宋体"/>
          <w:color w:val="000000"/>
          <w:szCs w:val="21"/>
          <w:highlight w:val="none"/>
        </w:rPr>
      </w:r>
      <w:r/>
    </w:p>
    <w:p>
      <w:pPr>
        <w:pStyle w:val="1038"/>
        <w:numPr>
          <w:ilvl w:val="0"/>
          <w:numId w:val="1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在特殊情况下，于原投标有效期满之前，可向投标人提出延长投标有效期的要求。这种要求与答复均应采用书面形式。投标人可以拒绝这一要求而放弃投标。同意延长投标有效期的投标人既不能要求也不允许修改其投标文件，同时受投标有效期约束的所有权利与义务均延长至新的有效期满。</w:t>
      </w:r>
      <w:r>
        <w:rPr>
          <w:rFonts w:hint="eastAsia" w:ascii="宋体" w:hAnsi="宋体" w:eastAsia="宋体" w:cs="宋体"/>
          <w:color w:val="000000"/>
          <w:szCs w:val="21"/>
          <w:highlight w:val="none"/>
        </w:rPr>
      </w:r>
      <w:r/>
    </w:p>
    <w:p>
      <w:pPr>
        <w:pStyle w:val="1038"/>
        <w:numPr>
          <w:ilvl w:val="0"/>
          <w:numId w:val="13"/>
        </w:numPr>
        <w:ind w:left="0" w:firstLine="422"/>
        <w:rPr>
          <w:rFonts w:hint="eastAsia" w:ascii="宋体" w:hAnsi="宋体" w:eastAsia="宋体" w:cs="宋体"/>
          <w:b/>
          <w:color w:val="000000"/>
          <w:szCs w:val="21"/>
          <w:highlight w:val="none"/>
          <w:lang w:eastAsia="en-US"/>
        </w:rPr>
      </w:pPr>
      <w:r>
        <w:rPr>
          <w:rFonts w:hint="eastAsia" w:ascii="宋体" w:hAnsi="宋体" w:eastAsia="宋体" w:cs="宋体"/>
          <w:b/>
          <w:color w:val="000000"/>
          <w:szCs w:val="21"/>
          <w:highlight w:val="none"/>
          <w:lang w:eastAsia="en-US"/>
        </w:rPr>
        <w:t xml:space="preserve">投标文件签署</w:t>
      </w:r>
      <w:r>
        <w:rPr>
          <w:rFonts w:hint="eastAsia" w:ascii="宋体" w:hAnsi="宋体" w:eastAsia="宋体" w:cs="宋体"/>
          <w:b/>
          <w:color w:val="000000"/>
          <w:szCs w:val="21"/>
          <w:highlight w:val="none"/>
          <w:lang w:eastAsia="en-US"/>
        </w:rPr>
      </w:r>
      <w:r/>
    </w:p>
    <w:p>
      <w:pPr>
        <w:pStyle w:val="1038"/>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15.1 投标文件应按照招标文件要求加盖电子公章，否则视为无效投标。</w:t>
      </w:r>
      <w:r>
        <w:rPr>
          <w:rFonts w:hint="eastAsia" w:ascii="宋体" w:hAnsi="宋体" w:eastAsia="宋体" w:cs="宋体"/>
          <w:color w:val="000000"/>
          <w:szCs w:val="21"/>
          <w:highlight w:val="none"/>
        </w:rPr>
      </w:r>
      <w:r/>
    </w:p>
    <w:p>
      <w:pPr>
        <w:pStyle w:val="1038"/>
        <w:numPr>
          <w:ilvl w:val="0"/>
          <w:numId w:val="13"/>
        </w:numPr>
        <w:ind w:left="0" w:firstLine="422"/>
        <w:rPr>
          <w:rFonts w:hint="eastAsia" w:ascii="宋体" w:hAnsi="宋体" w:eastAsia="宋体" w:cs="宋体"/>
          <w:b/>
          <w:color w:val="000000"/>
          <w:szCs w:val="21"/>
          <w:highlight w:val="none"/>
          <w:lang w:eastAsia="en-US"/>
        </w:rPr>
      </w:pPr>
      <w:r>
        <w:rPr>
          <w:rFonts w:hint="eastAsia" w:ascii="宋体" w:hAnsi="宋体" w:eastAsia="宋体" w:cs="宋体"/>
          <w:b/>
          <w:color w:val="000000"/>
          <w:szCs w:val="21"/>
          <w:highlight w:val="none"/>
          <w:lang w:eastAsia="en-US"/>
        </w:rPr>
        <w:t xml:space="preserve">投标费用</w:t>
      </w:r>
      <w:r>
        <w:rPr>
          <w:rFonts w:hint="eastAsia" w:ascii="宋体" w:hAnsi="宋体" w:eastAsia="宋体" w:cs="宋体"/>
          <w:b/>
          <w:color w:val="000000"/>
          <w:szCs w:val="21"/>
          <w:highlight w:val="none"/>
          <w:lang w:eastAsia="en-US"/>
        </w:rPr>
      </w:r>
      <w:r/>
    </w:p>
    <w:p>
      <w:pPr>
        <w:pStyle w:val="1038"/>
        <w:numPr>
          <w:ilvl w:val="0"/>
          <w:numId w:val="19"/>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投标人应承担所有与准备和参加投标有关的费用，无论招标结果如何，采购代理机构和采购人在任何情况下均无义务和责任承担这些费用。</w:t>
      </w:r>
      <w:r>
        <w:rPr>
          <w:rFonts w:hint="eastAsia" w:ascii="宋体" w:hAnsi="宋体" w:eastAsia="宋体" w:cs="宋体"/>
          <w:color w:val="000000"/>
          <w:szCs w:val="21"/>
          <w:highlight w:val="none"/>
        </w:rPr>
      </w:r>
      <w:r/>
    </w:p>
    <w:p>
      <w:pPr>
        <w:pStyle w:val="1038"/>
        <w:numPr>
          <w:ilvl w:val="0"/>
          <w:numId w:val="19"/>
        </w:numPr>
        <w:ind w:firstLine="420"/>
        <w:rPr>
          <w:rFonts w:hint="eastAsia" w:ascii="宋体" w:hAnsi="宋体" w:eastAsia="宋体" w:cs="宋体"/>
          <w:color w:val="000000"/>
          <w:szCs w:val="21"/>
          <w:highlight w:val="none"/>
        </w:rPr>
      </w:pPr>
      <w:r/>
      <w:bookmarkStart w:id="49" w:name="_Toc19595"/>
      <w:r/>
      <w:bookmarkStart w:id="50" w:name="_Toc30521"/>
      <w:r/>
      <w:bookmarkStart w:id="51" w:name="_Toc17969"/>
      <w:r/>
      <w:bookmarkStart w:id="52" w:name="_Toc3953"/>
      <w:r/>
      <w:bookmarkStart w:id="53" w:name="_Toc209510618"/>
      <w:r/>
      <w:bookmarkStart w:id="54" w:name="_Toc1619"/>
      <w:r/>
      <w:bookmarkStart w:id="55" w:name="_Toc209510683"/>
      <w:r>
        <w:rPr>
          <w:rFonts w:hint="eastAsia" w:ascii="宋体" w:hAnsi="宋体" w:eastAsia="宋体" w:cs="宋体"/>
          <w:color w:val="000000"/>
          <w:szCs w:val="21"/>
          <w:highlight w:val="none"/>
        </w:rPr>
        <w:t xml:space="preserve">本次采购活动采购代理服务费和公证费（如有）由中标供应商一次性支付，中标供应商领取《中标通知书》时向采购代理机构缴纳。</w:t>
      </w:r>
      <w:r>
        <w:rPr>
          <w:rFonts w:hint="eastAsia" w:ascii="宋体" w:hAnsi="宋体" w:eastAsia="宋体" w:cs="宋体"/>
          <w:color w:val="000000"/>
          <w:szCs w:val="21"/>
          <w:highlight w:val="none"/>
        </w:rPr>
      </w:r>
      <w:r/>
    </w:p>
    <w:p>
      <w:pPr>
        <w:pStyle w:val="1038"/>
        <w:ind w:firstLine="420"/>
        <w:shd w:val="clear" w:color="auto" w:fill="ffffff"/>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本次招标，中标人参照下表（“国家计委关于印发《招标代理服务收费管理暂行办法》的通知（计价格〔2002〕1980号））收费标准的80%，向代理机构支付采购代理服务费：</w:t>
      </w:r>
      <w:r>
        <w:rPr>
          <w:rFonts w:hint="eastAsia" w:ascii="宋体" w:hAnsi="宋体" w:eastAsia="宋体" w:cs="宋体"/>
          <w:b/>
          <w:color w:val="000000"/>
          <w:szCs w:val="21"/>
          <w:highlight w:val="none"/>
        </w:rPr>
      </w:r>
      <w:r/>
    </w:p>
    <w:tbl>
      <w:tblPr>
        <w:tblW w:w="92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0"/>
        <w:gridCol w:w="2332"/>
        <w:gridCol w:w="2259"/>
        <w:gridCol w:w="2277"/>
      </w:tblGrid>
      <w:tr>
        <w:trPr>
          <w:trHeight w:val="725"/>
        </w:trPr>
        <w:tc>
          <w:tcPr>
            <w:tcW w:w="2410" w:type="dxa"/>
            <w:vAlign w:val="center"/>
            <w:textDirection w:val="lrTb"/>
            <w:noWrap w:val="false"/>
          </w:tcPr>
          <w:p>
            <w:pPr>
              <w:pStyle w:val="1038"/>
              <w:ind w:right="241"/>
              <w:jc w:val="right"/>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分类</w:t>
            </w:r>
            <w:r>
              <w:rPr>
                <w:rFonts w:hint="eastAsia" w:ascii="宋体" w:hAnsi="宋体" w:eastAsia="宋体" w:cs="宋体"/>
                <w:bCs/>
                <w:color w:val="000000"/>
                <w:szCs w:val="21"/>
                <w:highlight w:val="none"/>
              </w:rPr>
            </w:r>
            <w:r/>
          </w:p>
          <w:p>
            <w:pPr>
              <w:pStyle w:val="1038"/>
              <w:ind w:firstLine="210"/>
              <w:jc w:val="left"/>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费率</w:t>
            </w:r>
            <w:r>
              <w:rPr>
                <w:rFonts w:hint="eastAsia" w:ascii="宋体" w:hAnsi="宋体" w:eastAsia="宋体" w:cs="宋体"/>
                <w:color w:val="000000"/>
                <w:szCs w:val="21"/>
                <w:highlight w:val="none"/>
              </w:rPr>
            </w:r>
            <w:r/>
          </w:p>
        </w:tc>
        <w:tc>
          <w:tcPr>
            <w:tcW w:w="2332" w:type="dxa"/>
            <w:vAlign w:val="center"/>
            <w:vMerge w:val="restart"/>
            <w:textDirection w:val="lrTb"/>
            <w:noWrap w:val="false"/>
          </w:tcPr>
          <w:p>
            <w:pPr>
              <w:pStyle w:val="1038"/>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货物项目</w:t>
            </w:r>
            <w:r>
              <w:rPr>
                <w:rFonts w:hint="eastAsia" w:ascii="宋体" w:hAnsi="宋体" w:eastAsia="宋体" w:cs="宋体"/>
                <w:color w:val="000000"/>
                <w:szCs w:val="21"/>
                <w:highlight w:val="none"/>
              </w:rPr>
            </w:r>
            <w:r/>
          </w:p>
        </w:tc>
        <w:tc>
          <w:tcPr>
            <w:tcW w:w="2259" w:type="dxa"/>
            <w:vAlign w:val="center"/>
            <w:vMerge w:val="restart"/>
            <w:textDirection w:val="lrTb"/>
            <w:noWrap w:val="false"/>
          </w:tcPr>
          <w:p>
            <w:pPr>
              <w:pStyle w:val="1038"/>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服务项目</w:t>
            </w:r>
            <w:r>
              <w:rPr>
                <w:rFonts w:hint="eastAsia" w:ascii="宋体" w:hAnsi="宋体" w:eastAsia="宋体" w:cs="宋体"/>
                <w:color w:val="000000"/>
                <w:szCs w:val="21"/>
                <w:highlight w:val="none"/>
              </w:rPr>
            </w:r>
            <w:r/>
          </w:p>
        </w:tc>
        <w:tc>
          <w:tcPr>
            <w:tcW w:w="2277" w:type="dxa"/>
            <w:vAlign w:val="center"/>
            <w:vMerge w:val="restart"/>
            <w:textDirection w:val="lrTb"/>
            <w:noWrap w:val="false"/>
          </w:tcPr>
          <w:p>
            <w:pPr>
              <w:pStyle w:val="1038"/>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工程项目</w:t>
            </w:r>
            <w:r>
              <w:rPr>
                <w:rFonts w:hint="eastAsia" w:ascii="宋体" w:hAnsi="宋体" w:eastAsia="宋体" w:cs="宋体"/>
                <w:color w:val="000000"/>
                <w:szCs w:val="21"/>
                <w:highlight w:val="none"/>
              </w:rPr>
            </w:r>
            <w:r/>
          </w:p>
        </w:tc>
      </w:tr>
      <w:tr>
        <w:trPr>
          <w:trHeight w:val="449"/>
        </w:trPr>
        <w:tc>
          <w:tcPr>
            <w:tcW w:w="2410" w:type="dxa"/>
            <w:vAlign w:val="center"/>
            <w:textDirection w:val="lrTb"/>
            <w:noWrap w:val="false"/>
          </w:tcPr>
          <w:p>
            <w:pPr>
              <w:pStyle w:val="1038"/>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中标金额（万元）</w:t>
            </w:r>
            <w:r>
              <w:rPr>
                <w:rFonts w:hint="eastAsia" w:ascii="宋体" w:hAnsi="宋体" w:eastAsia="宋体" w:cs="宋体"/>
                <w:color w:val="000000"/>
                <w:szCs w:val="21"/>
                <w:highlight w:val="none"/>
              </w:rPr>
            </w:r>
            <w:r/>
          </w:p>
        </w:tc>
        <w:tc>
          <w:tcPr>
            <w:tcW w:w="2332" w:type="dxa"/>
            <w:vAlign w:val="center"/>
            <w:vMerge w:val="continue"/>
            <w:textDirection w:val="lrTb"/>
            <w:noWrap w:val="false"/>
          </w:tcPr>
          <w:p>
            <w:pPr>
              <w:pStyle w:val="1038"/>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259" w:type="dxa"/>
            <w:vAlign w:val="center"/>
            <w:vMerge w:val="continue"/>
            <w:textDirection w:val="lrTb"/>
            <w:noWrap w:val="false"/>
          </w:tcPr>
          <w:p>
            <w:pPr>
              <w:pStyle w:val="1038"/>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277" w:type="dxa"/>
            <w:vAlign w:val="center"/>
            <w:vMerge w:val="continue"/>
            <w:textDirection w:val="lrTb"/>
            <w:noWrap w:val="false"/>
          </w:tcPr>
          <w:p>
            <w:pPr>
              <w:pStyle w:val="1038"/>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16"/>
        </w:trPr>
        <w:tc>
          <w:tcPr>
            <w:tcW w:w="2410" w:type="dxa"/>
            <w:vAlign w:val="center"/>
            <w:textDirection w:val="lrTb"/>
            <w:noWrap w:val="false"/>
          </w:tcPr>
          <w:p>
            <w:pPr>
              <w:pStyle w:val="1038"/>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100以下</w:t>
            </w:r>
            <w:r>
              <w:rPr>
                <w:rFonts w:hint="eastAsia" w:ascii="宋体" w:hAnsi="宋体" w:eastAsia="宋体" w:cs="宋体"/>
                <w:color w:val="000000"/>
                <w:szCs w:val="21"/>
                <w:highlight w:val="none"/>
              </w:rPr>
            </w:r>
            <w:r/>
          </w:p>
        </w:tc>
        <w:tc>
          <w:tcPr>
            <w:tcW w:w="2332" w:type="dxa"/>
            <w:vAlign w:val="center"/>
            <w:textDirection w:val="lrTb"/>
            <w:noWrap w:val="false"/>
          </w:tcPr>
          <w:p>
            <w:pPr>
              <w:pStyle w:val="1038"/>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w:t>
            </w:r>
            <w:r>
              <w:rPr>
                <w:rFonts w:hint="eastAsia" w:ascii="宋体" w:hAnsi="宋体" w:eastAsia="宋体" w:cs="宋体"/>
                <w:color w:val="000000"/>
                <w:szCs w:val="21"/>
                <w:highlight w:val="none"/>
              </w:rPr>
            </w:r>
            <w:r/>
          </w:p>
        </w:tc>
        <w:tc>
          <w:tcPr>
            <w:tcW w:w="2259" w:type="dxa"/>
            <w:vAlign w:val="center"/>
            <w:textDirection w:val="lrTb"/>
            <w:noWrap w:val="false"/>
          </w:tcPr>
          <w:p>
            <w:pPr>
              <w:pStyle w:val="1038"/>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w:t>
            </w:r>
            <w:r>
              <w:rPr>
                <w:rFonts w:hint="eastAsia" w:ascii="宋体" w:hAnsi="宋体" w:eastAsia="宋体" w:cs="宋体"/>
                <w:color w:val="000000"/>
                <w:szCs w:val="21"/>
                <w:highlight w:val="none"/>
              </w:rPr>
            </w:r>
            <w:r/>
          </w:p>
        </w:tc>
        <w:tc>
          <w:tcPr>
            <w:tcW w:w="2277" w:type="dxa"/>
            <w:vAlign w:val="center"/>
            <w:textDirection w:val="lrTb"/>
            <w:noWrap w:val="false"/>
          </w:tcPr>
          <w:p>
            <w:pPr>
              <w:pStyle w:val="1038"/>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w:t>
            </w:r>
            <w:r>
              <w:rPr>
                <w:rFonts w:hint="eastAsia" w:ascii="宋体" w:hAnsi="宋体" w:eastAsia="宋体" w:cs="宋体"/>
                <w:color w:val="000000"/>
                <w:szCs w:val="21"/>
                <w:highlight w:val="none"/>
              </w:rPr>
            </w:r>
            <w:r/>
          </w:p>
        </w:tc>
      </w:tr>
      <w:tr>
        <w:trPr>
          <w:trHeight w:val="516"/>
        </w:trPr>
        <w:tc>
          <w:tcPr>
            <w:tcW w:w="2410" w:type="dxa"/>
            <w:vAlign w:val="center"/>
            <w:textDirection w:val="lrTb"/>
            <w:noWrap w:val="false"/>
          </w:tcPr>
          <w:p>
            <w:pPr>
              <w:pStyle w:val="1038"/>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100-500</w:t>
            </w:r>
            <w:r>
              <w:rPr>
                <w:rFonts w:hint="eastAsia" w:ascii="宋体" w:hAnsi="宋体" w:eastAsia="宋体" w:cs="宋体"/>
                <w:color w:val="000000"/>
                <w:szCs w:val="21"/>
                <w:highlight w:val="none"/>
              </w:rPr>
            </w:r>
            <w:r/>
          </w:p>
        </w:tc>
        <w:tc>
          <w:tcPr>
            <w:tcW w:w="2332" w:type="dxa"/>
            <w:vAlign w:val="center"/>
            <w:textDirection w:val="lrTb"/>
            <w:noWrap w:val="false"/>
          </w:tcPr>
          <w:p>
            <w:pPr>
              <w:pStyle w:val="1038"/>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w:t>
            </w:r>
            <w:r>
              <w:rPr>
                <w:rFonts w:hint="eastAsia" w:ascii="宋体" w:hAnsi="宋体" w:eastAsia="宋体" w:cs="宋体"/>
                <w:color w:val="000000"/>
                <w:szCs w:val="21"/>
                <w:highlight w:val="none"/>
              </w:rPr>
            </w:r>
            <w:r/>
          </w:p>
        </w:tc>
        <w:tc>
          <w:tcPr>
            <w:tcW w:w="2259" w:type="dxa"/>
            <w:vAlign w:val="center"/>
            <w:textDirection w:val="lrTb"/>
            <w:noWrap w:val="false"/>
          </w:tcPr>
          <w:p>
            <w:pPr>
              <w:pStyle w:val="1038"/>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0.8%</w:t>
            </w:r>
            <w:r>
              <w:rPr>
                <w:rFonts w:hint="eastAsia" w:ascii="宋体" w:hAnsi="宋体" w:eastAsia="宋体" w:cs="宋体"/>
                <w:color w:val="000000"/>
                <w:szCs w:val="21"/>
                <w:highlight w:val="none"/>
              </w:rPr>
            </w:r>
            <w:r/>
          </w:p>
        </w:tc>
        <w:tc>
          <w:tcPr>
            <w:tcW w:w="2277" w:type="dxa"/>
            <w:vAlign w:val="center"/>
            <w:textDirection w:val="lrTb"/>
            <w:noWrap w:val="false"/>
          </w:tcPr>
          <w:p>
            <w:pPr>
              <w:pStyle w:val="1038"/>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0.7%</w:t>
            </w:r>
            <w:r>
              <w:rPr>
                <w:rFonts w:hint="eastAsia" w:ascii="宋体" w:hAnsi="宋体" w:eastAsia="宋体" w:cs="宋体"/>
                <w:color w:val="000000"/>
                <w:szCs w:val="21"/>
                <w:highlight w:val="none"/>
              </w:rPr>
            </w:r>
            <w:r/>
          </w:p>
        </w:tc>
      </w:tr>
      <w:tr>
        <w:trPr>
          <w:trHeight w:val="516"/>
        </w:trPr>
        <w:tc>
          <w:tcPr>
            <w:tcW w:w="2410" w:type="dxa"/>
            <w:vAlign w:val="center"/>
            <w:textDirection w:val="lrTb"/>
            <w:noWrap w:val="false"/>
          </w:tcPr>
          <w:p>
            <w:pPr>
              <w:pStyle w:val="1038"/>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500-1000</w:t>
            </w:r>
            <w:r>
              <w:rPr>
                <w:rFonts w:hint="eastAsia" w:ascii="宋体" w:hAnsi="宋体" w:eastAsia="宋体" w:cs="宋体"/>
                <w:color w:val="000000"/>
                <w:szCs w:val="21"/>
                <w:highlight w:val="none"/>
              </w:rPr>
            </w:r>
            <w:r/>
          </w:p>
        </w:tc>
        <w:tc>
          <w:tcPr>
            <w:tcW w:w="2332" w:type="dxa"/>
            <w:vAlign w:val="center"/>
            <w:textDirection w:val="lrTb"/>
            <w:noWrap w:val="false"/>
          </w:tcPr>
          <w:p>
            <w:pPr>
              <w:pStyle w:val="1038"/>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0.8%</w:t>
            </w:r>
            <w:r>
              <w:rPr>
                <w:rFonts w:hint="eastAsia" w:ascii="宋体" w:hAnsi="宋体" w:eastAsia="宋体" w:cs="宋体"/>
                <w:color w:val="000000"/>
                <w:szCs w:val="21"/>
                <w:highlight w:val="none"/>
              </w:rPr>
            </w:r>
            <w:r/>
          </w:p>
        </w:tc>
        <w:tc>
          <w:tcPr>
            <w:tcW w:w="2259" w:type="dxa"/>
            <w:vAlign w:val="center"/>
            <w:textDirection w:val="lrTb"/>
            <w:noWrap w:val="false"/>
          </w:tcPr>
          <w:p>
            <w:pPr>
              <w:pStyle w:val="1038"/>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0.45%</w:t>
            </w:r>
            <w:r>
              <w:rPr>
                <w:rFonts w:hint="eastAsia" w:ascii="宋体" w:hAnsi="宋体" w:eastAsia="宋体" w:cs="宋体"/>
                <w:color w:val="000000"/>
                <w:szCs w:val="21"/>
                <w:highlight w:val="none"/>
              </w:rPr>
            </w:r>
            <w:r/>
          </w:p>
        </w:tc>
        <w:tc>
          <w:tcPr>
            <w:tcW w:w="2277" w:type="dxa"/>
            <w:vAlign w:val="center"/>
            <w:textDirection w:val="lrTb"/>
            <w:noWrap w:val="false"/>
          </w:tcPr>
          <w:p>
            <w:pPr>
              <w:pStyle w:val="1038"/>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0.55%</w:t>
            </w:r>
            <w:r>
              <w:rPr>
                <w:rFonts w:hint="eastAsia" w:ascii="宋体" w:hAnsi="宋体" w:eastAsia="宋体" w:cs="宋体"/>
                <w:color w:val="000000"/>
                <w:szCs w:val="21"/>
                <w:highlight w:val="none"/>
              </w:rPr>
            </w:r>
            <w:r/>
          </w:p>
        </w:tc>
      </w:tr>
      <w:tr>
        <w:trPr>
          <w:trHeight w:val="516"/>
        </w:trPr>
        <w:tc>
          <w:tcPr>
            <w:tcW w:w="2410" w:type="dxa"/>
            <w:vAlign w:val="center"/>
            <w:textDirection w:val="lrTb"/>
            <w:noWrap w:val="false"/>
          </w:tcPr>
          <w:p>
            <w:pPr>
              <w:pStyle w:val="1038"/>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1000-5000</w:t>
            </w:r>
            <w:r>
              <w:rPr>
                <w:rFonts w:hint="eastAsia" w:ascii="宋体" w:hAnsi="宋体" w:eastAsia="宋体" w:cs="宋体"/>
                <w:color w:val="000000"/>
                <w:szCs w:val="21"/>
                <w:highlight w:val="none"/>
              </w:rPr>
            </w:r>
            <w:r/>
          </w:p>
        </w:tc>
        <w:tc>
          <w:tcPr>
            <w:tcW w:w="2332" w:type="dxa"/>
            <w:vAlign w:val="center"/>
            <w:textDirection w:val="lrTb"/>
            <w:noWrap w:val="false"/>
          </w:tcPr>
          <w:p>
            <w:pPr>
              <w:pStyle w:val="1038"/>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0.5%</w:t>
            </w:r>
            <w:r>
              <w:rPr>
                <w:rFonts w:hint="eastAsia" w:ascii="宋体" w:hAnsi="宋体" w:eastAsia="宋体" w:cs="宋体"/>
                <w:color w:val="000000"/>
                <w:szCs w:val="21"/>
                <w:highlight w:val="none"/>
              </w:rPr>
            </w:r>
            <w:r/>
          </w:p>
        </w:tc>
        <w:tc>
          <w:tcPr>
            <w:tcW w:w="2259" w:type="dxa"/>
            <w:vAlign w:val="center"/>
            <w:textDirection w:val="lrTb"/>
            <w:noWrap w:val="false"/>
          </w:tcPr>
          <w:p>
            <w:pPr>
              <w:pStyle w:val="1038"/>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0.25%</w:t>
            </w:r>
            <w:r>
              <w:rPr>
                <w:rFonts w:hint="eastAsia" w:ascii="宋体" w:hAnsi="宋体" w:eastAsia="宋体" w:cs="宋体"/>
                <w:color w:val="000000"/>
                <w:szCs w:val="21"/>
                <w:highlight w:val="none"/>
              </w:rPr>
            </w:r>
            <w:r/>
          </w:p>
        </w:tc>
        <w:tc>
          <w:tcPr>
            <w:tcW w:w="2277" w:type="dxa"/>
            <w:vAlign w:val="center"/>
            <w:textDirection w:val="lrTb"/>
            <w:noWrap w:val="false"/>
          </w:tcPr>
          <w:p>
            <w:pPr>
              <w:pStyle w:val="1038"/>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0.35%</w:t>
            </w:r>
            <w:r>
              <w:rPr>
                <w:rFonts w:hint="eastAsia" w:ascii="宋体" w:hAnsi="宋体" w:eastAsia="宋体" w:cs="宋体"/>
                <w:color w:val="000000"/>
                <w:szCs w:val="21"/>
                <w:highlight w:val="none"/>
              </w:rPr>
            </w:r>
            <w:r/>
          </w:p>
        </w:tc>
      </w:tr>
      <w:tr>
        <w:trPr>
          <w:trHeight w:val="516"/>
        </w:trPr>
        <w:tc>
          <w:tcPr>
            <w:tcW w:w="2410" w:type="dxa"/>
            <w:vAlign w:val="center"/>
            <w:textDirection w:val="lrTb"/>
            <w:noWrap w:val="false"/>
          </w:tcPr>
          <w:p>
            <w:pPr>
              <w:pStyle w:val="1038"/>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5000-10000</w:t>
            </w:r>
            <w:r>
              <w:rPr>
                <w:rFonts w:hint="eastAsia" w:ascii="宋体" w:hAnsi="宋体" w:eastAsia="宋体" w:cs="宋体"/>
                <w:color w:val="000000"/>
                <w:szCs w:val="21"/>
                <w:highlight w:val="none"/>
              </w:rPr>
            </w:r>
            <w:r/>
          </w:p>
        </w:tc>
        <w:tc>
          <w:tcPr>
            <w:tcW w:w="2332" w:type="dxa"/>
            <w:vAlign w:val="center"/>
            <w:textDirection w:val="lrTb"/>
            <w:noWrap w:val="false"/>
          </w:tcPr>
          <w:p>
            <w:pPr>
              <w:pStyle w:val="1038"/>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0.25%</w:t>
            </w:r>
            <w:r>
              <w:rPr>
                <w:rFonts w:hint="eastAsia" w:ascii="宋体" w:hAnsi="宋体" w:eastAsia="宋体" w:cs="宋体"/>
                <w:color w:val="000000"/>
                <w:szCs w:val="21"/>
                <w:highlight w:val="none"/>
              </w:rPr>
            </w:r>
            <w:r/>
          </w:p>
        </w:tc>
        <w:tc>
          <w:tcPr>
            <w:tcW w:w="2259" w:type="dxa"/>
            <w:vAlign w:val="center"/>
            <w:textDirection w:val="lrTb"/>
            <w:noWrap w:val="false"/>
          </w:tcPr>
          <w:p>
            <w:pPr>
              <w:pStyle w:val="1038"/>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0.1%</w:t>
            </w:r>
            <w:r>
              <w:rPr>
                <w:rFonts w:hint="eastAsia" w:ascii="宋体" w:hAnsi="宋体" w:eastAsia="宋体" w:cs="宋体"/>
                <w:color w:val="000000"/>
                <w:szCs w:val="21"/>
                <w:highlight w:val="none"/>
              </w:rPr>
            </w:r>
            <w:r/>
          </w:p>
        </w:tc>
        <w:tc>
          <w:tcPr>
            <w:tcW w:w="2277" w:type="dxa"/>
            <w:vAlign w:val="center"/>
            <w:textDirection w:val="lrTb"/>
            <w:noWrap w:val="false"/>
          </w:tcPr>
          <w:p>
            <w:pPr>
              <w:pStyle w:val="1038"/>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0.2%</w:t>
            </w:r>
            <w:r>
              <w:rPr>
                <w:rFonts w:hint="eastAsia" w:ascii="宋体" w:hAnsi="宋体" w:eastAsia="宋体" w:cs="宋体"/>
                <w:color w:val="000000"/>
                <w:szCs w:val="21"/>
                <w:highlight w:val="none"/>
              </w:rPr>
            </w:r>
            <w:r/>
          </w:p>
        </w:tc>
      </w:tr>
      <w:tr>
        <w:trPr>
          <w:trHeight w:val="516"/>
        </w:trPr>
        <w:tc>
          <w:tcPr>
            <w:tcW w:w="2410" w:type="dxa"/>
            <w:vAlign w:val="center"/>
            <w:textDirection w:val="lrTb"/>
            <w:noWrap w:val="false"/>
          </w:tcPr>
          <w:p>
            <w:pPr>
              <w:pStyle w:val="1038"/>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10000-100000</w:t>
            </w:r>
            <w:r>
              <w:rPr>
                <w:rFonts w:hint="eastAsia" w:ascii="宋体" w:hAnsi="宋体" w:eastAsia="宋体" w:cs="宋体"/>
                <w:color w:val="000000"/>
                <w:szCs w:val="21"/>
                <w:highlight w:val="none"/>
              </w:rPr>
            </w:r>
            <w:r/>
          </w:p>
        </w:tc>
        <w:tc>
          <w:tcPr>
            <w:tcW w:w="2332" w:type="dxa"/>
            <w:vAlign w:val="center"/>
            <w:textDirection w:val="lrTb"/>
            <w:noWrap w:val="false"/>
          </w:tcPr>
          <w:p>
            <w:pPr>
              <w:pStyle w:val="1038"/>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0.05%</w:t>
            </w:r>
            <w:r>
              <w:rPr>
                <w:rFonts w:hint="eastAsia" w:ascii="宋体" w:hAnsi="宋体" w:eastAsia="宋体" w:cs="宋体"/>
                <w:color w:val="000000"/>
                <w:szCs w:val="21"/>
                <w:highlight w:val="none"/>
              </w:rPr>
            </w:r>
            <w:r/>
          </w:p>
        </w:tc>
        <w:tc>
          <w:tcPr>
            <w:tcW w:w="2259" w:type="dxa"/>
            <w:vAlign w:val="center"/>
            <w:textDirection w:val="lrTb"/>
            <w:noWrap w:val="false"/>
          </w:tcPr>
          <w:p>
            <w:pPr>
              <w:pStyle w:val="1038"/>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0.05%</w:t>
            </w:r>
            <w:r>
              <w:rPr>
                <w:rFonts w:hint="eastAsia" w:ascii="宋体" w:hAnsi="宋体" w:eastAsia="宋体" w:cs="宋体"/>
                <w:color w:val="000000"/>
                <w:szCs w:val="21"/>
                <w:highlight w:val="none"/>
              </w:rPr>
            </w:r>
            <w:r/>
          </w:p>
        </w:tc>
        <w:tc>
          <w:tcPr>
            <w:tcW w:w="2277" w:type="dxa"/>
            <w:vAlign w:val="center"/>
            <w:textDirection w:val="lrTb"/>
            <w:noWrap w:val="false"/>
          </w:tcPr>
          <w:p>
            <w:pPr>
              <w:pStyle w:val="1038"/>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0.05%</w:t>
            </w:r>
            <w:r>
              <w:rPr>
                <w:rFonts w:hint="eastAsia" w:ascii="宋体" w:hAnsi="宋体" w:eastAsia="宋体" w:cs="宋体"/>
                <w:color w:val="000000"/>
                <w:szCs w:val="21"/>
                <w:highlight w:val="none"/>
              </w:rPr>
            </w:r>
            <w:r/>
          </w:p>
        </w:tc>
      </w:tr>
      <w:tr>
        <w:trPr>
          <w:trHeight w:val="507"/>
        </w:trPr>
        <w:tc>
          <w:tcPr>
            <w:tcW w:w="2410" w:type="dxa"/>
            <w:vAlign w:val="center"/>
            <w:textDirection w:val="lrTb"/>
            <w:noWrap w:val="false"/>
          </w:tcPr>
          <w:p>
            <w:pPr>
              <w:pStyle w:val="1038"/>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1000000以上</w:t>
            </w:r>
            <w:r>
              <w:rPr>
                <w:rFonts w:hint="eastAsia" w:ascii="宋体" w:hAnsi="宋体" w:eastAsia="宋体" w:cs="宋体"/>
                <w:color w:val="000000"/>
                <w:szCs w:val="21"/>
                <w:highlight w:val="none"/>
              </w:rPr>
            </w:r>
            <w:r/>
          </w:p>
        </w:tc>
        <w:tc>
          <w:tcPr>
            <w:tcW w:w="2332" w:type="dxa"/>
            <w:vAlign w:val="center"/>
            <w:textDirection w:val="lrTb"/>
            <w:noWrap w:val="false"/>
          </w:tcPr>
          <w:p>
            <w:pPr>
              <w:pStyle w:val="1038"/>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0.01%</w:t>
            </w:r>
            <w:r>
              <w:rPr>
                <w:rFonts w:hint="eastAsia" w:ascii="宋体" w:hAnsi="宋体" w:eastAsia="宋体" w:cs="宋体"/>
                <w:color w:val="000000"/>
                <w:szCs w:val="21"/>
                <w:highlight w:val="none"/>
              </w:rPr>
            </w:r>
            <w:r/>
          </w:p>
        </w:tc>
        <w:tc>
          <w:tcPr>
            <w:tcW w:w="2259" w:type="dxa"/>
            <w:vAlign w:val="center"/>
            <w:textDirection w:val="lrTb"/>
            <w:noWrap w:val="false"/>
          </w:tcPr>
          <w:p>
            <w:pPr>
              <w:pStyle w:val="1038"/>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0.01%</w:t>
            </w:r>
            <w:r>
              <w:rPr>
                <w:rFonts w:hint="eastAsia" w:ascii="宋体" w:hAnsi="宋体" w:eastAsia="宋体" w:cs="宋体"/>
                <w:color w:val="000000"/>
                <w:szCs w:val="21"/>
                <w:highlight w:val="none"/>
              </w:rPr>
            </w:r>
            <w:r/>
          </w:p>
        </w:tc>
        <w:tc>
          <w:tcPr>
            <w:tcW w:w="2277" w:type="dxa"/>
            <w:vAlign w:val="center"/>
            <w:textDirection w:val="lrTb"/>
            <w:noWrap w:val="false"/>
          </w:tcPr>
          <w:p>
            <w:pPr>
              <w:pStyle w:val="1038"/>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0.01%</w:t>
            </w:r>
            <w:r>
              <w:rPr>
                <w:rFonts w:hint="eastAsia" w:ascii="宋体" w:hAnsi="宋体" w:eastAsia="宋体" w:cs="宋体"/>
                <w:color w:val="000000"/>
                <w:szCs w:val="21"/>
                <w:highlight w:val="none"/>
              </w:rPr>
            </w:r>
            <w:r/>
          </w:p>
        </w:tc>
      </w:tr>
    </w:tbl>
    <w:p>
      <w:pPr>
        <w:pStyle w:val="1038"/>
        <w:ind w:firstLine="638"/>
        <w:spacing w:before="24" w:line="560" w:lineRule="exact"/>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注：1、代理服务收费按差额定率累进法计算中标人在领取中标通知书前向招标代理机构支付招标服务费。2、本项费用无需在投标报价表中单列。</w:t>
      </w:r>
      <w:r>
        <w:rPr>
          <w:rFonts w:hint="eastAsia" w:ascii="宋体" w:hAnsi="宋体" w:eastAsia="宋体" w:cs="宋体"/>
          <w:b/>
          <w:color w:val="000000"/>
          <w:szCs w:val="21"/>
          <w:highlight w:val="none"/>
        </w:rPr>
      </w:r>
      <w:r/>
    </w:p>
    <w:p>
      <w:pPr>
        <w:pStyle w:val="1038"/>
        <w:ind w:firstLine="420"/>
        <w:shd w:val="clear" w:color="auto" w:fill="ffffff"/>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本次采购公证费（如有）按照“省物价局 省司法厅关于明确我省公证服务收费试行标准的通知（苏价费〔2018〕114号）”中规定的江苏省公证服务收费项目和试行收费标准收取。</w:t>
      </w:r>
      <w:r>
        <w:rPr>
          <w:rFonts w:hint="eastAsia" w:ascii="宋体" w:hAnsi="宋体" w:eastAsia="宋体" w:cs="宋体"/>
          <w:b/>
          <w:color w:val="000000"/>
          <w:szCs w:val="21"/>
          <w:highlight w:val="none"/>
        </w:rPr>
      </w:r>
      <w:r/>
    </w:p>
    <w:p>
      <w:pPr>
        <w:pStyle w:val="1038"/>
        <w:ind w:firstLine="420"/>
        <w:jc w:val="center"/>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附：江苏省公证服务收费项目和试行标准表</w:t>
      </w:r>
      <w:r>
        <w:rPr>
          <w:rFonts w:hint="eastAsia" w:ascii="宋体" w:hAnsi="宋体" w:eastAsia="宋体" w:cs="宋体"/>
          <w:bCs/>
          <w:color w:val="000000"/>
          <w:szCs w:val="21"/>
          <w:highlight w:val="none"/>
        </w:rPr>
      </w:r>
      <w:r/>
    </w:p>
    <w:p>
      <w:pPr>
        <w:pStyle w:val="1038"/>
        <w:ind w:firstLine="420"/>
        <w:jc w:val="center"/>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                                                                        单位：元</w:t>
      </w:r>
      <w:r>
        <w:rPr>
          <w:rFonts w:hint="eastAsia" w:ascii="宋体" w:hAnsi="宋体" w:eastAsia="宋体" w:cs="宋体"/>
          <w:bCs/>
          <w:color w:val="000000"/>
          <w:szCs w:val="21"/>
          <w:highlight w:val="none"/>
        </w:rPr>
      </w:r>
      <w:r/>
    </w:p>
    <w:tbl>
      <w:tblPr>
        <w:tblW w:w="946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24"/>
        <w:gridCol w:w="1480"/>
        <w:gridCol w:w="5270"/>
        <w:gridCol w:w="693"/>
      </w:tblGrid>
      <w:tr>
        <w:trPr>
          <w:trHeight w:val="369"/>
          <w:tblHeader/>
        </w:trPr>
        <w:tc>
          <w:tcPr>
            <w:tcW w:w="2024" w:type="dxa"/>
            <w:vAlign w:val="center"/>
            <w:textDirection w:val="lrTb"/>
            <w:noWrap w:val="false"/>
          </w:tcPr>
          <w:p>
            <w:pPr>
              <w:pStyle w:val="1038"/>
              <w:jc w:val="center"/>
              <w:spacing w:line="240" w:lineRule="auto"/>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类别</w:t>
            </w:r>
            <w:r>
              <w:rPr>
                <w:rFonts w:hint="eastAsia" w:ascii="宋体" w:hAnsi="宋体" w:eastAsia="宋体" w:cs="宋体"/>
                <w:bCs/>
                <w:color w:val="000000"/>
                <w:szCs w:val="21"/>
                <w:highlight w:val="none"/>
              </w:rPr>
            </w:r>
            <w:r/>
          </w:p>
        </w:tc>
        <w:tc>
          <w:tcPr>
            <w:tcW w:w="1480" w:type="dxa"/>
            <w:vAlign w:val="center"/>
            <w:textDirection w:val="lrTb"/>
            <w:noWrap w:val="false"/>
          </w:tcPr>
          <w:p>
            <w:pPr>
              <w:pStyle w:val="1038"/>
              <w:jc w:val="center"/>
              <w:spacing w:line="240" w:lineRule="auto"/>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收费项目</w:t>
            </w:r>
            <w:r>
              <w:rPr>
                <w:rFonts w:hint="eastAsia" w:ascii="宋体" w:hAnsi="宋体" w:eastAsia="宋体" w:cs="宋体"/>
                <w:bCs/>
                <w:color w:val="000000"/>
                <w:szCs w:val="21"/>
                <w:highlight w:val="none"/>
              </w:rPr>
            </w:r>
            <w:r/>
          </w:p>
        </w:tc>
        <w:tc>
          <w:tcPr>
            <w:tcW w:w="5270" w:type="dxa"/>
            <w:vAlign w:val="center"/>
            <w:textDirection w:val="lrTb"/>
            <w:noWrap w:val="false"/>
          </w:tcPr>
          <w:p>
            <w:pPr>
              <w:pStyle w:val="1038"/>
              <w:jc w:val="center"/>
              <w:spacing w:line="240" w:lineRule="auto"/>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收费标准</w:t>
            </w:r>
            <w:r>
              <w:rPr>
                <w:rFonts w:hint="eastAsia" w:ascii="宋体" w:hAnsi="宋体" w:eastAsia="宋体" w:cs="宋体"/>
                <w:bCs/>
                <w:color w:val="000000"/>
                <w:szCs w:val="21"/>
                <w:highlight w:val="none"/>
              </w:rPr>
            </w:r>
            <w:r/>
          </w:p>
        </w:tc>
        <w:tc>
          <w:tcPr>
            <w:tcW w:w="693" w:type="dxa"/>
            <w:vAlign w:val="center"/>
            <w:textDirection w:val="lrTb"/>
            <w:noWrap w:val="false"/>
          </w:tcPr>
          <w:p>
            <w:pPr>
              <w:pStyle w:val="1038"/>
              <w:jc w:val="center"/>
              <w:spacing w:line="240" w:lineRule="auto"/>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备注</w:t>
            </w:r>
            <w:r>
              <w:rPr>
                <w:rFonts w:hint="eastAsia" w:ascii="宋体" w:hAnsi="宋体" w:eastAsia="宋体" w:cs="宋体"/>
                <w:bCs/>
                <w:color w:val="000000"/>
                <w:szCs w:val="21"/>
                <w:highlight w:val="none"/>
              </w:rPr>
            </w:r>
            <w:r/>
          </w:p>
        </w:tc>
      </w:tr>
      <w:tr>
        <w:trPr>
          <w:trHeight w:val="369"/>
        </w:trPr>
        <w:tc>
          <w:tcPr>
            <w:tcW w:w="2024" w:type="dxa"/>
            <w:vAlign w:val="top"/>
            <w:textDirection w:val="lrTb"/>
            <w:noWrap w:val="false"/>
          </w:tcPr>
          <w:p>
            <w:pPr>
              <w:pStyle w:val="1038"/>
              <w:jc w:val="cente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一、证明法律行为</w:t>
            </w:r>
            <w:r>
              <w:rPr>
                <w:rFonts w:hint="eastAsia" w:ascii="宋体" w:hAnsi="宋体" w:eastAsia="宋体" w:cs="宋体"/>
                <w:color w:val="000000"/>
                <w:szCs w:val="21"/>
                <w:highlight w:val="none"/>
              </w:rPr>
            </w:r>
            <w:r/>
          </w:p>
        </w:tc>
        <w:tc>
          <w:tcPr>
            <w:tcW w:w="1480" w:type="dxa"/>
            <w:vAlign w:val="center"/>
            <w:textDirection w:val="lrTb"/>
            <w:noWrap w:val="false"/>
          </w:tcPr>
          <w:p>
            <w:pPr>
              <w:pStyle w:val="1038"/>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5270" w:type="dxa"/>
            <w:vAlign w:val="center"/>
            <w:textDirection w:val="lrTb"/>
            <w:noWrap w:val="false"/>
          </w:tcPr>
          <w:p>
            <w:pPr>
              <w:pStyle w:val="1038"/>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693" w:type="dxa"/>
            <w:vAlign w:val="center"/>
            <w:textDirection w:val="lrTb"/>
            <w:noWrap w:val="false"/>
          </w:tcPr>
          <w:p>
            <w:pPr>
              <w:pStyle w:val="1038"/>
              <w:jc w:val="center"/>
              <w:spacing w:line="240" w:lineRule="auto"/>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r>
      <w:tr>
        <w:trPr>
          <w:trHeight w:val="510"/>
        </w:trPr>
        <w:tc>
          <w:tcPr>
            <w:tcW w:w="2024" w:type="dxa"/>
            <w:vAlign w:val="center"/>
            <w:textDirection w:val="lrTb"/>
            <w:noWrap w:val="false"/>
          </w:tcPr>
          <w:p>
            <w:pPr>
              <w:pStyle w:val="1038"/>
              <w:jc w:val="cente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现场监督公证</w:t>
            </w:r>
            <w:r>
              <w:rPr>
                <w:rFonts w:hint="eastAsia" w:ascii="宋体" w:hAnsi="宋体" w:eastAsia="宋体" w:cs="宋体"/>
                <w:color w:val="000000"/>
                <w:szCs w:val="21"/>
                <w:highlight w:val="none"/>
              </w:rPr>
            </w:r>
            <w:r/>
          </w:p>
        </w:tc>
        <w:tc>
          <w:tcPr>
            <w:tcW w:w="1480" w:type="dxa"/>
            <w:vAlign w:val="center"/>
            <w:textDirection w:val="lrTb"/>
            <w:noWrap w:val="false"/>
          </w:tcPr>
          <w:p>
            <w:pPr>
              <w:pStyle w:val="1038"/>
              <w:jc w:val="cente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证明招标投标、拍卖、挂牌等竞争性交易行为公证</w:t>
            </w:r>
            <w:r>
              <w:rPr>
                <w:rFonts w:hint="eastAsia" w:ascii="宋体" w:hAnsi="宋体" w:eastAsia="宋体" w:cs="宋体"/>
                <w:color w:val="000000"/>
                <w:szCs w:val="21"/>
                <w:highlight w:val="none"/>
              </w:rPr>
            </w:r>
            <w:r/>
          </w:p>
        </w:tc>
        <w:tc>
          <w:tcPr>
            <w:tcW w:w="5270" w:type="dxa"/>
            <w:vAlign w:val="center"/>
            <w:textDirection w:val="lrTb"/>
            <w:noWrap w:val="false"/>
          </w:tcPr>
          <w:p>
            <w:pPr>
              <w:pStyle w:val="1038"/>
              <w:ind w:right="-118"/>
              <w:jc w:val="left"/>
              <w:spacing w:before="0" w:after="0"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根据标的额大小，按以下标准收费：不超过200万元的，每件按2000元收取；超过200万元至964.5万元的部分，按0.1%收取；超过964.5万元至3000万元的部分，按0.08%收取；超过3000万元至5000万元的部分，按0.05%收取；超过5000万元的部分，按0.01%收取。</w:t>
            </w:r>
            <w:r>
              <w:rPr>
                <w:rFonts w:hint="eastAsia" w:ascii="宋体" w:hAnsi="宋体" w:eastAsia="宋体" w:cs="宋体"/>
                <w:color w:val="000000"/>
                <w:szCs w:val="21"/>
                <w:highlight w:val="none"/>
              </w:rPr>
            </w:r>
            <w:r/>
          </w:p>
        </w:tc>
        <w:tc>
          <w:tcPr>
            <w:tcW w:w="693" w:type="dxa"/>
            <w:vAlign w:val="center"/>
            <w:textDirection w:val="lrTb"/>
            <w:noWrap w:val="false"/>
          </w:tcPr>
          <w:p>
            <w:pPr>
              <w:pStyle w:val="1038"/>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1038"/>
        <w:numPr>
          <w:ilvl w:val="0"/>
          <w:numId w:val="5"/>
        </w:numPr>
        <w:ind w:firstLine="422"/>
        <w:rPr>
          <w:rFonts w:hint="eastAsia" w:ascii="宋体" w:hAnsi="宋体" w:eastAsia="宋体" w:cs="宋体"/>
          <w:b/>
          <w:bCs/>
          <w:color w:val="000000"/>
          <w:szCs w:val="21"/>
          <w:highlight w:val="none"/>
        </w:rPr>
        <w:outlineLvl w:val="1"/>
      </w:pPr>
      <w:r>
        <w:rPr>
          <w:rFonts w:hint="eastAsia" w:ascii="宋体" w:hAnsi="宋体" w:eastAsia="宋体" w:cs="宋体"/>
          <w:b/>
          <w:bCs/>
          <w:color w:val="000000"/>
          <w:szCs w:val="21"/>
          <w:highlight w:val="none"/>
        </w:rPr>
        <w:t xml:space="preserve">投标文件的递交</w:t>
      </w:r>
      <w:bookmarkEnd w:id="49"/>
      <w:r/>
      <w:bookmarkEnd w:id="50"/>
      <w:r/>
      <w:bookmarkEnd w:id="51"/>
      <w:r/>
      <w:bookmarkEnd w:id="52"/>
      <w:r/>
      <w:bookmarkEnd w:id="53"/>
      <w:r/>
      <w:bookmarkEnd w:id="54"/>
      <w:r/>
      <w:bookmarkEnd w:id="55"/>
      <w:r>
        <w:rPr>
          <w:rFonts w:hint="eastAsia" w:ascii="宋体" w:hAnsi="宋体" w:eastAsia="宋体" w:cs="宋体"/>
          <w:b/>
          <w:bCs/>
          <w:color w:val="000000"/>
          <w:szCs w:val="21"/>
          <w:highlight w:val="none"/>
        </w:rPr>
      </w:r>
      <w:r/>
    </w:p>
    <w:p>
      <w:pPr>
        <w:pStyle w:val="1038"/>
        <w:numPr>
          <w:ilvl w:val="0"/>
          <w:numId w:val="20"/>
        </w:numPr>
        <w:ind w:firstLine="422"/>
        <w:rPr>
          <w:rFonts w:hint="eastAsia" w:ascii="宋体" w:hAnsi="宋体" w:eastAsia="宋体" w:cs="宋体"/>
          <w:b/>
          <w:bCs/>
          <w:color w:val="000000"/>
          <w:szCs w:val="21"/>
          <w:highlight w:val="none"/>
        </w:rPr>
        <w:outlineLvl w:val="2"/>
      </w:pPr>
      <w:r/>
      <w:bookmarkStart w:id="56" w:name="_Toc209510684"/>
      <w:r>
        <w:rPr>
          <w:rFonts w:hint="eastAsia" w:ascii="宋体" w:hAnsi="宋体" w:eastAsia="宋体" w:cs="宋体"/>
          <w:b/>
          <w:bCs/>
          <w:color w:val="000000"/>
          <w:szCs w:val="21"/>
          <w:highlight w:val="none"/>
        </w:rPr>
        <w:t xml:space="preserve">投标文件的递交</w:t>
      </w:r>
      <w:bookmarkEnd w:id="56"/>
      <w:r>
        <w:rPr>
          <w:rFonts w:hint="eastAsia" w:ascii="宋体" w:hAnsi="宋体" w:eastAsia="宋体" w:cs="宋体"/>
          <w:b/>
          <w:bCs/>
          <w:color w:val="000000"/>
          <w:szCs w:val="21"/>
          <w:highlight w:val="none"/>
        </w:rPr>
      </w:r>
      <w:r/>
    </w:p>
    <w:p>
      <w:pPr>
        <w:pStyle w:val="1038"/>
        <w:ind w:firstLine="422"/>
        <w:jc w:val="lef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17.1 投标人应当按照《操作手册》规定，在招标公告规定的投标截止时间前制作并上传电子投标文件。招标代理机构拒绝接收提交投标文件截止时间后上传的任何电子投标文件。</w:t>
      </w:r>
      <w:r>
        <w:rPr>
          <w:rFonts w:hint="eastAsia" w:ascii="宋体" w:hAnsi="宋体" w:eastAsia="宋体" w:cs="宋体"/>
          <w:b/>
          <w:color w:val="000000"/>
          <w:szCs w:val="21"/>
          <w:highlight w:val="none"/>
        </w:rPr>
      </w:r>
      <w:r/>
    </w:p>
    <w:p>
      <w:pPr>
        <w:pStyle w:val="1038"/>
        <w:numPr>
          <w:ilvl w:val="0"/>
          <w:numId w:val="20"/>
        </w:numPr>
        <w:ind w:firstLine="422"/>
        <w:rPr>
          <w:rFonts w:hint="eastAsia" w:ascii="宋体" w:hAnsi="宋体" w:eastAsia="宋体" w:cs="宋体"/>
          <w:b/>
          <w:bCs/>
          <w:color w:val="000000"/>
          <w:szCs w:val="21"/>
          <w:highlight w:val="none"/>
        </w:rPr>
        <w:outlineLvl w:val="2"/>
      </w:pPr>
      <w:r/>
      <w:bookmarkStart w:id="57" w:name="_Toc209510685"/>
      <w:r>
        <w:rPr>
          <w:rFonts w:hint="eastAsia" w:ascii="宋体" w:hAnsi="宋体" w:eastAsia="宋体" w:cs="宋体"/>
          <w:b/>
          <w:bCs/>
          <w:color w:val="000000"/>
          <w:szCs w:val="21"/>
          <w:highlight w:val="none"/>
        </w:rPr>
        <w:t xml:space="preserve">投标文件的解密</w:t>
      </w:r>
      <w:bookmarkEnd w:id="57"/>
      <w:r>
        <w:rPr>
          <w:rFonts w:hint="eastAsia" w:ascii="宋体" w:hAnsi="宋体" w:eastAsia="宋体" w:cs="宋体"/>
          <w:b/>
          <w:bCs/>
          <w:color w:val="000000"/>
          <w:szCs w:val="21"/>
          <w:highlight w:val="none"/>
        </w:rPr>
      </w:r>
      <w:r/>
    </w:p>
    <w:p>
      <w:pPr>
        <w:pStyle w:val="1038"/>
        <w:numPr>
          <w:ilvl w:val="0"/>
          <w:numId w:val="21"/>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人应当按照《操作手册》规定，在“苏采云”系统规定的时间内对投标文件进行解密，投标人应充分考虑网络环境、网络带宽等因素可能对投标产生的影响，如因投标人自身原因造成的电子投标文件上传不成功的，按</w:t>
      </w:r>
      <w:r>
        <w:rPr>
          <w:rFonts w:hint="eastAsia" w:ascii="宋体" w:hAnsi="宋体" w:eastAsia="宋体" w:cs="宋体"/>
          <w:b/>
          <w:color w:val="000000"/>
          <w:szCs w:val="21"/>
          <w:highlight w:val="none"/>
          <w:lang w:eastAsia="zh-CN"/>
        </w:rPr>
        <w:t xml:space="preserve">作无效投标</w:t>
      </w:r>
      <w:r>
        <w:rPr>
          <w:rFonts w:hint="eastAsia" w:ascii="宋体" w:hAnsi="宋体" w:eastAsia="宋体" w:cs="宋体"/>
          <w:b/>
          <w:color w:val="000000"/>
          <w:szCs w:val="21"/>
          <w:highlight w:val="none"/>
        </w:rPr>
        <w:t xml:space="preserve">处理</w:t>
      </w:r>
      <w:r>
        <w:rPr>
          <w:rFonts w:hint="eastAsia" w:ascii="宋体" w:hAnsi="宋体" w:eastAsia="宋体" w:cs="宋体"/>
          <w:b/>
          <w:color w:val="000000"/>
          <w:szCs w:val="21"/>
          <w:highlight w:val="none"/>
        </w:rPr>
      </w:r>
      <w:r/>
    </w:p>
    <w:p>
      <w:pPr>
        <w:pStyle w:val="1038"/>
        <w:numPr>
          <w:ilvl w:val="0"/>
          <w:numId w:val="21"/>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采购人可以按照规定，通过修改招标文件酌情延长投标截止时间，在此情况下，投标人的所有权利和义务均以延长后新的截止时间为准。</w:t>
      </w:r>
      <w:r>
        <w:rPr>
          <w:rFonts w:hint="eastAsia" w:ascii="宋体" w:hAnsi="宋体" w:eastAsia="宋体" w:cs="宋体"/>
          <w:b/>
          <w:color w:val="000000"/>
          <w:szCs w:val="21"/>
          <w:highlight w:val="none"/>
        </w:rPr>
      </w:r>
      <w:r/>
    </w:p>
    <w:p>
      <w:pPr>
        <w:pStyle w:val="1038"/>
        <w:numPr>
          <w:ilvl w:val="0"/>
          <w:numId w:val="20"/>
        </w:numPr>
        <w:ind w:firstLine="422"/>
        <w:rPr>
          <w:rFonts w:hint="eastAsia" w:ascii="宋体" w:hAnsi="宋体" w:eastAsia="宋体" w:cs="宋体"/>
          <w:b/>
          <w:bCs/>
          <w:color w:val="000000"/>
          <w:szCs w:val="21"/>
          <w:highlight w:val="none"/>
        </w:rPr>
        <w:outlineLvl w:val="2"/>
      </w:pPr>
      <w:r/>
      <w:bookmarkStart w:id="58" w:name="_Toc209510686"/>
      <w:r>
        <w:rPr>
          <w:rFonts w:hint="eastAsia" w:ascii="宋体" w:hAnsi="宋体" w:eastAsia="宋体" w:cs="宋体"/>
          <w:b/>
          <w:bCs/>
          <w:color w:val="000000"/>
          <w:szCs w:val="21"/>
          <w:highlight w:val="none"/>
        </w:rPr>
        <w:t xml:space="preserve">投标文件的修改和撤回</w:t>
      </w:r>
      <w:bookmarkEnd w:id="58"/>
      <w:r>
        <w:rPr>
          <w:rFonts w:hint="eastAsia" w:ascii="宋体" w:hAnsi="宋体" w:eastAsia="宋体" w:cs="宋体"/>
          <w:b/>
          <w:bCs/>
          <w:color w:val="000000"/>
          <w:szCs w:val="21"/>
          <w:highlight w:val="none"/>
        </w:rPr>
      </w:r>
      <w:r/>
    </w:p>
    <w:p>
      <w:pPr>
        <w:pStyle w:val="1038"/>
        <w:numPr>
          <w:ilvl w:val="0"/>
          <w:numId w:val="22"/>
        </w:numPr>
        <w:ind w:firstLine="420"/>
        <w:rPr>
          <w:rFonts w:hint="eastAsia" w:ascii="宋体" w:hAnsi="宋体" w:eastAsia="宋体" w:cs="宋体"/>
          <w:b/>
          <w:color w:val="000000"/>
          <w:szCs w:val="21"/>
          <w:highlight w:val="none"/>
        </w:rPr>
        <w:outlineLvl w:val="3"/>
      </w:pPr>
      <w:r>
        <w:rPr>
          <w:rFonts w:hint="eastAsia" w:ascii="宋体" w:hAnsi="宋体" w:eastAsia="宋体" w:cs="宋体"/>
          <w:color w:val="000000"/>
          <w:szCs w:val="21"/>
          <w:highlight w:val="none"/>
        </w:rPr>
        <w:t xml:space="preserve">投标文件的撤回</w:t>
      </w:r>
      <w:r>
        <w:rPr>
          <w:rFonts w:hint="eastAsia" w:ascii="宋体" w:hAnsi="宋体" w:eastAsia="宋体" w:cs="宋体"/>
          <w:b/>
          <w:color w:val="000000"/>
          <w:szCs w:val="21"/>
          <w:highlight w:val="none"/>
        </w:rPr>
      </w:r>
      <w:r/>
    </w:p>
    <w:p>
      <w:pPr>
        <w:pStyle w:val="1038"/>
        <w:numPr>
          <w:ilvl w:val="0"/>
          <w:numId w:val="23"/>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投标人可在投标截止时间前撤回其电子投标文件，具体操作方法见《操作手册》。</w:t>
      </w:r>
      <w:r>
        <w:rPr>
          <w:rFonts w:hint="eastAsia" w:ascii="宋体" w:hAnsi="宋体" w:eastAsia="宋体" w:cs="宋体"/>
          <w:color w:val="000000"/>
          <w:szCs w:val="21"/>
          <w:highlight w:val="none"/>
        </w:rPr>
      </w:r>
      <w:r/>
    </w:p>
    <w:p>
      <w:pPr>
        <w:pStyle w:val="1038"/>
        <w:numPr>
          <w:ilvl w:val="0"/>
          <w:numId w:val="23"/>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投标人撤回电子投标文件，则认为其不再参与本项目投标活动。</w:t>
      </w:r>
      <w:r>
        <w:rPr>
          <w:rFonts w:hint="eastAsia" w:ascii="宋体" w:hAnsi="宋体" w:eastAsia="宋体" w:cs="宋体"/>
          <w:color w:val="000000"/>
          <w:szCs w:val="21"/>
          <w:highlight w:val="none"/>
        </w:rPr>
      </w:r>
      <w:r/>
    </w:p>
    <w:p>
      <w:pPr>
        <w:pStyle w:val="1038"/>
        <w:numPr>
          <w:ilvl w:val="0"/>
          <w:numId w:val="22"/>
        </w:numPr>
        <w:ind w:firstLine="422"/>
        <w:rPr>
          <w:rFonts w:hint="eastAsia" w:ascii="宋体" w:hAnsi="宋体" w:eastAsia="宋体" w:cs="宋体"/>
          <w:b/>
          <w:bCs/>
          <w:color w:val="000000"/>
          <w:szCs w:val="21"/>
          <w:highlight w:val="none"/>
        </w:rPr>
        <w:outlineLvl w:val="3"/>
      </w:pPr>
      <w:r>
        <w:rPr>
          <w:rFonts w:hint="eastAsia" w:ascii="宋体" w:hAnsi="宋体" w:eastAsia="宋体" w:cs="宋体"/>
          <w:b/>
          <w:bCs/>
          <w:color w:val="000000"/>
          <w:szCs w:val="21"/>
          <w:highlight w:val="none"/>
        </w:rPr>
        <w:t xml:space="preserve">投标文件的修改</w:t>
      </w:r>
      <w:r>
        <w:rPr>
          <w:rFonts w:hint="eastAsia" w:ascii="宋体" w:hAnsi="宋体" w:eastAsia="宋体" w:cs="宋体"/>
          <w:b/>
          <w:bCs/>
          <w:color w:val="000000"/>
          <w:szCs w:val="21"/>
          <w:highlight w:val="none"/>
        </w:rPr>
      </w:r>
      <w:r/>
    </w:p>
    <w:p>
      <w:pPr>
        <w:pStyle w:val="1038"/>
        <w:numPr>
          <w:ilvl w:val="0"/>
          <w:numId w:val="2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投标人可在投标截止时间前对其电子投标文件进行修改，具体操作方法见《操作手册》。</w:t>
      </w:r>
      <w:r>
        <w:rPr>
          <w:rFonts w:hint="eastAsia" w:ascii="宋体" w:hAnsi="宋体" w:eastAsia="宋体" w:cs="宋体"/>
          <w:color w:val="000000"/>
          <w:szCs w:val="21"/>
          <w:highlight w:val="none"/>
        </w:rPr>
      </w:r>
      <w:r/>
    </w:p>
    <w:p>
      <w:pPr>
        <w:pStyle w:val="1038"/>
        <w:numPr>
          <w:ilvl w:val="0"/>
          <w:numId w:val="2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投标截止时间之后，投标人不得对其电子投标文件作任何修改。</w:t>
      </w:r>
      <w:r>
        <w:rPr>
          <w:rFonts w:hint="eastAsia" w:ascii="宋体" w:hAnsi="宋体" w:eastAsia="宋体" w:cs="宋体"/>
          <w:color w:val="000000"/>
          <w:szCs w:val="21"/>
          <w:highlight w:val="none"/>
        </w:rPr>
      </w:r>
      <w:r/>
    </w:p>
    <w:p>
      <w:pPr>
        <w:pStyle w:val="1038"/>
        <w:numPr>
          <w:ilvl w:val="0"/>
          <w:numId w:val="2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在投标截止时间至招标文件中规定的投标有效期满之间的这段时间内，投标人不得撤回其投标。</w:t>
      </w:r>
      <w:r>
        <w:rPr>
          <w:rFonts w:hint="eastAsia" w:ascii="宋体" w:hAnsi="宋体" w:eastAsia="宋体" w:cs="宋体"/>
          <w:color w:val="000000"/>
          <w:szCs w:val="21"/>
          <w:highlight w:val="none"/>
        </w:rPr>
      </w:r>
      <w:r/>
    </w:p>
    <w:p>
      <w:pPr>
        <w:pStyle w:val="1038"/>
        <w:numPr>
          <w:ilvl w:val="0"/>
          <w:numId w:val="20"/>
        </w:numPr>
        <w:ind w:firstLine="422"/>
        <w:rPr>
          <w:rFonts w:hint="eastAsia" w:ascii="宋体" w:hAnsi="宋体" w:eastAsia="宋体" w:cs="宋体"/>
          <w:b/>
          <w:bCs/>
          <w:color w:val="000000"/>
          <w:szCs w:val="21"/>
          <w:highlight w:val="none"/>
        </w:rPr>
        <w:outlineLvl w:val="2"/>
      </w:pPr>
      <w:r/>
      <w:bookmarkStart w:id="59" w:name="_Toc209510687"/>
      <w:r>
        <w:rPr>
          <w:rFonts w:hint="eastAsia" w:ascii="宋体" w:hAnsi="宋体" w:eastAsia="宋体" w:cs="宋体"/>
          <w:b/>
          <w:bCs/>
          <w:color w:val="000000"/>
          <w:szCs w:val="21"/>
          <w:highlight w:val="none"/>
        </w:rPr>
        <w:t xml:space="preserve">诚实信用</w:t>
      </w:r>
      <w:bookmarkEnd w:id="59"/>
      <w:r>
        <w:rPr>
          <w:rFonts w:hint="eastAsia" w:ascii="宋体" w:hAnsi="宋体" w:eastAsia="宋体" w:cs="宋体"/>
          <w:b/>
          <w:bCs/>
          <w:color w:val="000000"/>
          <w:szCs w:val="21"/>
          <w:highlight w:val="none"/>
        </w:rPr>
      </w:r>
      <w:r/>
    </w:p>
    <w:p>
      <w:pPr>
        <w:pStyle w:val="1038"/>
        <w:numPr>
          <w:ilvl w:val="0"/>
          <w:numId w:val="2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投标人应当遵循公平竞争的原则，不得恶意串通，不得妨碍其他投标人的竞争行为，不得损害采购人或者其他投标人的合法权益。</w:t>
      </w:r>
      <w:r>
        <w:rPr>
          <w:rFonts w:hint="eastAsia" w:ascii="宋体" w:hAnsi="宋体" w:eastAsia="宋体" w:cs="宋体"/>
          <w:color w:val="000000"/>
          <w:szCs w:val="21"/>
          <w:highlight w:val="none"/>
        </w:rPr>
      </w:r>
      <w:r/>
    </w:p>
    <w:p>
      <w:pPr>
        <w:pStyle w:val="1038"/>
        <w:numPr>
          <w:ilvl w:val="0"/>
          <w:numId w:val="2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在评标过程中发现投标人有上述情形的，评标委员会应当认定其投标无效，并书面报告本级财政部门。</w:t>
      </w:r>
      <w:r>
        <w:rPr>
          <w:rFonts w:hint="eastAsia" w:ascii="宋体" w:hAnsi="宋体" w:eastAsia="宋体" w:cs="宋体"/>
          <w:color w:val="000000"/>
          <w:szCs w:val="21"/>
          <w:highlight w:val="none"/>
        </w:rPr>
      </w:r>
      <w:r/>
    </w:p>
    <w:p>
      <w:pPr>
        <w:pStyle w:val="1038"/>
        <w:numPr>
          <w:ilvl w:val="0"/>
          <w:numId w:val="5"/>
        </w:numPr>
        <w:ind w:firstLine="422"/>
        <w:rPr>
          <w:rFonts w:hint="eastAsia" w:ascii="宋体" w:hAnsi="宋体" w:eastAsia="宋体" w:cs="宋体"/>
          <w:b/>
          <w:bCs/>
          <w:color w:val="000000"/>
          <w:szCs w:val="21"/>
          <w:highlight w:val="none"/>
        </w:rPr>
        <w:outlineLvl w:val="1"/>
      </w:pPr>
      <w:r/>
      <w:bookmarkStart w:id="60" w:name="_Toc9280"/>
      <w:r/>
      <w:bookmarkStart w:id="61" w:name="_Toc1446"/>
      <w:r/>
      <w:bookmarkStart w:id="62" w:name="_Toc209510619"/>
      <w:r/>
      <w:bookmarkStart w:id="63" w:name="_Toc24742"/>
      <w:r/>
      <w:bookmarkStart w:id="64" w:name="_Toc209510688"/>
      <w:r/>
      <w:bookmarkStart w:id="65" w:name="_Toc18325"/>
      <w:r/>
      <w:bookmarkStart w:id="66" w:name="_Toc29919"/>
      <w:r>
        <w:rPr>
          <w:rFonts w:hint="eastAsia" w:ascii="宋体" w:hAnsi="宋体" w:eastAsia="宋体" w:cs="宋体"/>
          <w:b/>
          <w:bCs/>
          <w:color w:val="000000"/>
          <w:szCs w:val="21"/>
          <w:highlight w:val="none"/>
        </w:rPr>
        <w:t xml:space="preserve">开标、评标与定标</w:t>
      </w:r>
      <w:bookmarkEnd w:id="60"/>
      <w:r/>
      <w:bookmarkEnd w:id="61"/>
      <w:r/>
      <w:bookmarkEnd w:id="62"/>
      <w:r/>
      <w:bookmarkEnd w:id="63"/>
      <w:r/>
      <w:bookmarkEnd w:id="64"/>
      <w:r/>
      <w:bookmarkEnd w:id="65"/>
      <w:r/>
      <w:bookmarkEnd w:id="66"/>
      <w:r>
        <w:rPr>
          <w:rFonts w:hint="eastAsia" w:ascii="宋体" w:hAnsi="宋体" w:eastAsia="宋体" w:cs="宋体"/>
          <w:b/>
          <w:bCs/>
          <w:color w:val="000000"/>
          <w:szCs w:val="21"/>
          <w:highlight w:val="none"/>
        </w:rPr>
      </w:r>
      <w:r/>
    </w:p>
    <w:p>
      <w:pPr>
        <w:pStyle w:val="1038"/>
        <w:numPr>
          <w:ilvl w:val="0"/>
          <w:numId w:val="26"/>
        </w:numPr>
        <w:ind w:firstLine="422"/>
        <w:rPr>
          <w:rFonts w:hint="eastAsia" w:ascii="宋体" w:hAnsi="宋体" w:eastAsia="宋体" w:cs="宋体"/>
          <w:b/>
          <w:bCs/>
          <w:color w:val="000000"/>
          <w:szCs w:val="21"/>
          <w:highlight w:val="none"/>
        </w:rPr>
        <w:outlineLvl w:val="2"/>
      </w:pPr>
      <w:r/>
      <w:bookmarkStart w:id="67" w:name="_Toc209510689"/>
      <w:r>
        <w:rPr>
          <w:rFonts w:hint="eastAsia" w:ascii="宋体" w:hAnsi="宋体" w:eastAsia="宋体" w:cs="宋体"/>
          <w:b/>
          <w:bCs/>
          <w:color w:val="000000"/>
          <w:szCs w:val="21"/>
          <w:highlight w:val="none"/>
        </w:rPr>
        <w:t xml:space="preserve">开标</w:t>
      </w:r>
      <w:bookmarkEnd w:id="67"/>
      <w:r>
        <w:rPr>
          <w:rFonts w:hint="eastAsia" w:ascii="宋体" w:hAnsi="宋体" w:eastAsia="宋体" w:cs="宋体"/>
          <w:b/>
          <w:bCs/>
          <w:color w:val="000000"/>
          <w:szCs w:val="21"/>
          <w:highlight w:val="none"/>
        </w:rPr>
      </w:r>
      <w:r/>
    </w:p>
    <w:p>
      <w:pPr>
        <w:pStyle w:val="1038"/>
        <w:numPr>
          <w:ilvl w:val="0"/>
          <w:numId w:val="27"/>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rPr>
        <w:t xml:space="preserve">采购人在招标公告中规定的时间和地点组织公开开标。投标人按照《操作手册》规定参加开标活动，并在苏采云系统规定的时间内对投标文件进行解密。</w:t>
      </w:r>
      <w:r>
        <w:rPr>
          <w:rFonts w:hint="eastAsia" w:ascii="宋体" w:hAnsi="宋体" w:eastAsia="宋体" w:cs="宋体"/>
          <w:color w:val="000000"/>
          <w:szCs w:val="21"/>
          <w:highlight w:val="none"/>
          <w:lang w:eastAsia="en-US"/>
        </w:rPr>
        <w:t xml:space="preserve">苏采云系统公布各投标人名称和投标价格。</w:t>
      </w:r>
      <w:r>
        <w:rPr>
          <w:rFonts w:hint="eastAsia" w:ascii="宋体" w:hAnsi="宋体" w:eastAsia="宋体" w:cs="宋体"/>
          <w:color w:val="000000"/>
          <w:szCs w:val="21"/>
          <w:highlight w:val="none"/>
          <w:lang w:eastAsia="en-US"/>
        </w:rPr>
      </w:r>
      <w:r/>
    </w:p>
    <w:p>
      <w:pPr>
        <w:pStyle w:val="1038"/>
        <w:numPr>
          <w:ilvl w:val="0"/>
          <w:numId w:val="2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投标人在开标过程中</w:t>
      </w:r>
      <w:r>
        <w:rPr>
          <w:rFonts w:hint="eastAsia" w:ascii="宋体" w:hAnsi="宋体" w:eastAsia="宋体" w:cs="宋体"/>
          <w:color w:val="000000"/>
          <w:szCs w:val="21"/>
          <w:highlight w:val="none"/>
          <w:lang w:eastAsia="zh-CN"/>
        </w:rPr>
        <w:t xml:space="preserve">涉及</w:t>
      </w:r>
      <w:r>
        <w:rPr>
          <w:rFonts w:hint="eastAsia" w:ascii="宋体" w:hAnsi="宋体" w:eastAsia="宋体" w:cs="宋体"/>
          <w:color w:val="000000"/>
          <w:szCs w:val="21"/>
          <w:highlight w:val="none"/>
        </w:rPr>
        <w:t xml:space="preserve">的投标文件解密、开标结果确认等工作，应按照《操作手册》规定执行。</w:t>
      </w:r>
      <w:r>
        <w:rPr>
          <w:rFonts w:hint="eastAsia" w:ascii="宋体" w:hAnsi="宋体" w:eastAsia="宋体" w:cs="宋体"/>
          <w:color w:val="000000"/>
          <w:szCs w:val="21"/>
          <w:highlight w:val="none"/>
        </w:rPr>
      </w:r>
      <w:r/>
    </w:p>
    <w:p>
      <w:pPr>
        <w:pStyle w:val="1038"/>
        <w:numPr>
          <w:ilvl w:val="0"/>
          <w:numId w:val="2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投标人不足3家的，不得开标。</w:t>
      </w:r>
      <w:r>
        <w:rPr>
          <w:rFonts w:hint="eastAsia" w:ascii="宋体" w:hAnsi="宋体" w:eastAsia="宋体" w:cs="宋体"/>
          <w:color w:val="000000"/>
          <w:szCs w:val="21"/>
          <w:highlight w:val="none"/>
        </w:rPr>
      </w:r>
      <w:r/>
    </w:p>
    <w:p>
      <w:pPr>
        <w:pStyle w:val="1038"/>
        <w:numPr>
          <w:ilvl w:val="0"/>
          <w:numId w:val="2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投标人如果对开标过程和开标结果有疑义，应当根据《操作手册》规定提出，“苏采云”系统中《开标记录表》公布后5分钟内未提出的，视同认可开标结果。</w:t>
      </w:r>
      <w:r>
        <w:rPr>
          <w:rFonts w:hint="eastAsia" w:ascii="宋体" w:hAnsi="宋体" w:eastAsia="宋体" w:cs="宋体"/>
          <w:color w:val="000000"/>
          <w:szCs w:val="21"/>
          <w:highlight w:val="none"/>
        </w:rPr>
      </w:r>
      <w:r/>
    </w:p>
    <w:p>
      <w:pPr>
        <w:pStyle w:val="1038"/>
        <w:numPr>
          <w:ilvl w:val="0"/>
          <w:numId w:val="26"/>
        </w:numPr>
        <w:ind w:firstLine="422"/>
        <w:rPr>
          <w:rFonts w:hint="eastAsia" w:ascii="宋体" w:hAnsi="宋体" w:eastAsia="宋体" w:cs="宋体"/>
          <w:b/>
          <w:bCs/>
          <w:color w:val="000000"/>
          <w:szCs w:val="21"/>
          <w:highlight w:val="none"/>
        </w:rPr>
        <w:outlineLvl w:val="2"/>
      </w:pPr>
      <w:r/>
      <w:bookmarkStart w:id="68" w:name="_Toc209510690"/>
      <w:r>
        <w:rPr>
          <w:rFonts w:hint="eastAsia" w:ascii="宋体" w:hAnsi="宋体" w:eastAsia="宋体" w:cs="宋体"/>
          <w:b/>
          <w:bCs/>
          <w:color w:val="000000"/>
          <w:szCs w:val="21"/>
          <w:highlight w:val="none"/>
        </w:rPr>
        <w:t xml:space="preserve">评标</w:t>
      </w:r>
      <w:bookmarkEnd w:id="68"/>
      <w:r>
        <w:rPr>
          <w:rFonts w:hint="eastAsia" w:ascii="宋体" w:hAnsi="宋体" w:eastAsia="宋体" w:cs="宋体"/>
          <w:b/>
          <w:bCs/>
          <w:color w:val="000000"/>
          <w:szCs w:val="21"/>
          <w:highlight w:val="none"/>
        </w:rPr>
      </w:r>
      <w:r/>
    </w:p>
    <w:p>
      <w:pPr>
        <w:pStyle w:val="1038"/>
        <w:numPr>
          <w:ilvl w:val="0"/>
          <w:numId w:val="28"/>
        </w:numPr>
        <w:ind w:firstLine="422"/>
        <w:rPr>
          <w:rFonts w:hint="eastAsia" w:ascii="宋体" w:hAnsi="宋体" w:eastAsia="宋体" w:cs="宋体"/>
          <w:b/>
          <w:bCs/>
          <w:color w:val="000000"/>
          <w:szCs w:val="21"/>
          <w:highlight w:val="none"/>
        </w:rPr>
        <w:outlineLvl w:val="3"/>
      </w:pPr>
      <w:r>
        <w:rPr>
          <w:rFonts w:hint="eastAsia" w:ascii="宋体" w:hAnsi="宋体" w:eastAsia="宋体" w:cs="宋体"/>
          <w:b/>
          <w:bCs/>
          <w:color w:val="000000"/>
          <w:szCs w:val="21"/>
          <w:highlight w:val="none"/>
        </w:rPr>
        <w:t xml:space="preserve">评标委员会</w:t>
      </w:r>
      <w:r>
        <w:rPr>
          <w:rFonts w:hint="eastAsia" w:ascii="宋体" w:hAnsi="宋体" w:eastAsia="宋体" w:cs="宋体"/>
          <w:b/>
          <w:bCs/>
          <w:color w:val="000000"/>
          <w:szCs w:val="21"/>
          <w:highlight w:val="none"/>
        </w:rPr>
      </w:r>
      <w:r/>
    </w:p>
    <w:p>
      <w:pPr>
        <w:pStyle w:val="1038"/>
        <w:numPr>
          <w:ilvl w:val="0"/>
          <w:numId w:val="29"/>
        </w:numPr>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评标</w:t>
      </w:r>
      <w:r>
        <w:rPr>
          <w:rFonts w:hint="eastAsia" w:ascii="宋体" w:hAnsi="宋体" w:eastAsia="宋体" w:cs="宋体"/>
          <w:bCs/>
          <w:color w:val="000000"/>
          <w:szCs w:val="21"/>
          <w:highlight w:val="none"/>
          <w:lang w:eastAsia="zh-CN"/>
        </w:rPr>
        <w:t xml:space="preserve">由</w:t>
      </w:r>
      <w:r>
        <w:rPr>
          <w:rFonts w:hint="eastAsia" w:ascii="宋体" w:hAnsi="宋体" w:eastAsia="宋体" w:cs="宋体"/>
          <w:bCs/>
          <w:color w:val="000000"/>
          <w:szCs w:val="21"/>
          <w:highlight w:val="none"/>
        </w:rPr>
        <w:t xml:space="preserve">评标委员会（以下简称“评委会”）进行。</w:t>
      </w:r>
      <w:r>
        <w:rPr>
          <w:rFonts w:hint="eastAsia" w:ascii="宋体" w:hAnsi="宋体" w:eastAsia="宋体" w:cs="宋体"/>
          <w:bCs/>
          <w:color w:val="000000"/>
          <w:szCs w:val="21"/>
          <w:highlight w:val="none"/>
        </w:rPr>
      </w:r>
      <w:r/>
    </w:p>
    <w:p>
      <w:pPr>
        <w:pStyle w:val="1038"/>
        <w:numPr>
          <w:ilvl w:val="0"/>
          <w:numId w:val="29"/>
        </w:numPr>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评委会由采购人代表和有关技术、经济等方面的专家组成，且人员构成符合政府采购有关规定。</w:t>
      </w:r>
      <w:r>
        <w:rPr>
          <w:rFonts w:hint="eastAsia" w:ascii="宋体" w:hAnsi="宋体" w:eastAsia="宋体" w:cs="宋体"/>
          <w:bCs/>
          <w:color w:val="000000"/>
          <w:szCs w:val="21"/>
          <w:highlight w:val="none"/>
        </w:rPr>
      </w:r>
      <w:r/>
    </w:p>
    <w:p>
      <w:pPr>
        <w:pStyle w:val="1038"/>
        <w:numPr>
          <w:ilvl w:val="0"/>
          <w:numId w:val="29"/>
        </w:numPr>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评委会独立工作，负责评审所有投标文件并推荐中标候选人，或根据采购人授权直接确定中标人。</w:t>
      </w:r>
      <w:r>
        <w:rPr>
          <w:rFonts w:hint="eastAsia" w:ascii="宋体" w:hAnsi="宋体" w:eastAsia="宋体" w:cs="宋体"/>
          <w:bCs/>
          <w:color w:val="000000"/>
          <w:szCs w:val="21"/>
          <w:highlight w:val="none"/>
        </w:rPr>
      </w:r>
      <w:r/>
    </w:p>
    <w:p>
      <w:pPr>
        <w:pStyle w:val="1038"/>
        <w:ind w:firstLine="420"/>
        <w:rPr>
          <w:rFonts w:hint="eastAsia" w:ascii="宋体" w:hAnsi="宋体" w:eastAsia="宋体" w:cs="宋体"/>
          <w:b/>
          <w:color w:val="000000"/>
          <w:szCs w:val="21"/>
          <w:highlight w:val="none"/>
        </w:rPr>
        <w:outlineLvl w:val="4"/>
      </w:pPr>
      <w:r>
        <w:rPr>
          <w:rFonts w:hint="eastAsia" w:ascii="宋体" w:hAnsi="宋体" w:eastAsia="宋体" w:cs="宋体"/>
          <w:color w:val="000000"/>
          <w:szCs w:val="21"/>
          <w:highlight w:val="none"/>
        </w:rPr>
        <w:t xml:space="preserve">22.1.1评标委员会负责具体评标事务，并独立履行下列职责：</w:t>
      </w:r>
      <w:r>
        <w:rPr>
          <w:rFonts w:hint="eastAsia" w:ascii="宋体" w:hAnsi="宋体" w:eastAsia="宋体" w:cs="宋体"/>
          <w:b/>
          <w:color w:val="000000"/>
          <w:szCs w:val="21"/>
          <w:highlight w:val="none"/>
        </w:rPr>
      </w:r>
      <w:r/>
    </w:p>
    <w:p>
      <w:pPr>
        <w:pStyle w:val="1038"/>
        <w:numPr>
          <w:ilvl w:val="0"/>
          <w:numId w:val="3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审查、评价投标文件是否符合招标文件的商务、技术等实质性要求；</w:t>
      </w:r>
      <w:r>
        <w:rPr>
          <w:rFonts w:hint="eastAsia" w:ascii="宋体" w:hAnsi="宋体" w:eastAsia="宋体" w:cs="宋体"/>
          <w:color w:val="000000"/>
          <w:szCs w:val="21"/>
          <w:highlight w:val="none"/>
        </w:rPr>
      </w:r>
      <w:r/>
    </w:p>
    <w:p>
      <w:pPr>
        <w:pStyle w:val="1038"/>
        <w:numPr>
          <w:ilvl w:val="0"/>
          <w:numId w:val="3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要求投标人对投标文件有关事项作出澄清或者说明；</w:t>
      </w:r>
      <w:r>
        <w:rPr>
          <w:rFonts w:hint="eastAsia" w:ascii="宋体" w:hAnsi="宋体" w:eastAsia="宋体" w:cs="宋体"/>
          <w:color w:val="000000"/>
          <w:szCs w:val="21"/>
          <w:highlight w:val="none"/>
        </w:rPr>
      </w:r>
      <w:r/>
    </w:p>
    <w:p>
      <w:pPr>
        <w:pStyle w:val="1038"/>
        <w:numPr>
          <w:ilvl w:val="0"/>
          <w:numId w:val="3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对投标文件进行比较和评价；</w:t>
      </w:r>
      <w:r>
        <w:rPr>
          <w:rFonts w:hint="eastAsia" w:ascii="宋体" w:hAnsi="宋体" w:eastAsia="宋体" w:cs="宋体"/>
          <w:color w:val="000000"/>
          <w:szCs w:val="21"/>
          <w:highlight w:val="none"/>
        </w:rPr>
      </w:r>
      <w:r/>
    </w:p>
    <w:p>
      <w:pPr>
        <w:pStyle w:val="1038"/>
        <w:numPr>
          <w:ilvl w:val="0"/>
          <w:numId w:val="3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确定中标候选人名单，以及根据采购人委托直接确定中标人；</w:t>
      </w:r>
      <w:r>
        <w:rPr>
          <w:rFonts w:hint="eastAsia" w:ascii="宋体" w:hAnsi="宋体" w:eastAsia="宋体" w:cs="宋体"/>
          <w:color w:val="000000"/>
          <w:szCs w:val="21"/>
          <w:highlight w:val="none"/>
        </w:rPr>
      </w:r>
      <w:r/>
    </w:p>
    <w:p>
      <w:pPr>
        <w:pStyle w:val="1038"/>
        <w:numPr>
          <w:ilvl w:val="0"/>
          <w:numId w:val="3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向采购人、采购代理机构或者有关部门报告评标中发现的违法行为。</w:t>
      </w:r>
      <w:r>
        <w:rPr>
          <w:rFonts w:hint="eastAsia" w:ascii="宋体" w:hAnsi="宋体" w:eastAsia="宋体" w:cs="宋体"/>
          <w:color w:val="000000"/>
          <w:szCs w:val="21"/>
          <w:highlight w:val="none"/>
        </w:rPr>
      </w:r>
      <w:r/>
    </w:p>
    <w:p>
      <w:pPr>
        <w:pStyle w:val="1038"/>
        <w:numPr>
          <w:ilvl w:val="0"/>
          <w:numId w:val="28"/>
        </w:numPr>
        <w:ind w:firstLine="422"/>
        <w:rPr>
          <w:rFonts w:hint="eastAsia" w:ascii="宋体" w:hAnsi="宋体" w:eastAsia="宋体" w:cs="宋体"/>
          <w:b/>
          <w:bCs/>
          <w:color w:val="000000"/>
          <w:szCs w:val="21"/>
          <w:highlight w:val="none"/>
        </w:rPr>
        <w:outlineLvl w:val="3"/>
      </w:pPr>
      <w:r>
        <w:rPr>
          <w:rFonts w:hint="eastAsia" w:ascii="宋体" w:hAnsi="宋体" w:eastAsia="宋体" w:cs="宋体"/>
          <w:b/>
          <w:bCs/>
          <w:color w:val="000000"/>
          <w:szCs w:val="21"/>
          <w:highlight w:val="none"/>
        </w:rPr>
        <w:t xml:space="preserve">评标程序</w:t>
      </w:r>
      <w:r>
        <w:rPr>
          <w:rFonts w:hint="eastAsia" w:ascii="宋体" w:hAnsi="宋体" w:eastAsia="宋体" w:cs="宋体"/>
          <w:b/>
          <w:bCs/>
          <w:color w:val="000000"/>
          <w:szCs w:val="21"/>
          <w:highlight w:val="none"/>
        </w:rPr>
      </w:r>
      <w:r/>
    </w:p>
    <w:p>
      <w:pPr>
        <w:pStyle w:val="1038"/>
        <w:numPr>
          <w:ilvl w:val="0"/>
          <w:numId w:val="31"/>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投标文件的资格性检查。</w:t>
      </w:r>
      <w:r>
        <w:rPr>
          <w:rFonts w:hint="eastAsia" w:ascii="宋体" w:hAnsi="宋体" w:eastAsia="宋体" w:cs="宋体"/>
          <w:color w:val="000000"/>
          <w:szCs w:val="21"/>
          <w:highlight w:val="none"/>
        </w:rPr>
        <w:t xml:space="preserve">公开招标采购项目开标结束后，采购人或者采购代理机构应当依法对投标人的资格进行审查。合格投标人不足3家的，不得评标。</w:t>
      </w:r>
      <w:r>
        <w:rPr>
          <w:rFonts w:hint="eastAsia" w:ascii="宋体" w:hAnsi="宋体" w:eastAsia="宋体" w:cs="宋体"/>
          <w:b/>
          <w:color w:val="000000"/>
          <w:szCs w:val="21"/>
          <w:highlight w:val="none"/>
        </w:rPr>
      </w:r>
      <w:r/>
    </w:p>
    <w:p>
      <w:pPr>
        <w:pStyle w:val="1038"/>
        <w:numPr>
          <w:ilvl w:val="0"/>
          <w:numId w:val="31"/>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投标文件的符合性审查。评标委员会对通过资格性检查的投标人的投标文件进行符合性审查，以确定其是否满足招标文件的实质性要求。投标文件有下列情况之一的，在符合性检查时按照无效投标处理：</w:t>
      </w:r>
      <w:r>
        <w:rPr>
          <w:rFonts w:hint="eastAsia" w:ascii="宋体" w:hAnsi="宋体" w:eastAsia="宋体" w:cs="宋体"/>
          <w:b/>
          <w:color w:val="000000"/>
          <w:szCs w:val="21"/>
          <w:highlight w:val="none"/>
        </w:rPr>
      </w:r>
      <w:r/>
    </w:p>
    <w:p>
      <w:pPr>
        <w:pStyle w:val="1038"/>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投标人在“苏采云”系统规定的时间内未成功解密电子投标文件的；</w:t>
      </w:r>
      <w:r>
        <w:rPr>
          <w:rFonts w:hint="eastAsia" w:ascii="宋体" w:hAnsi="宋体" w:eastAsia="宋体" w:cs="宋体"/>
          <w:b/>
          <w:color w:val="000000"/>
          <w:szCs w:val="21"/>
          <w:highlight w:val="none"/>
        </w:rPr>
      </w:r>
      <w:r/>
    </w:p>
    <w:p>
      <w:pPr>
        <w:pStyle w:val="1038"/>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投标人未按照招标文件要求上传电子投标文件的；</w:t>
      </w:r>
      <w:r>
        <w:rPr>
          <w:rFonts w:hint="eastAsia" w:ascii="宋体" w:hAnsi="宋体" w:eastAsia="宋体" w:cs="宋体"/>
          <w:b/>
          <w:color w:val="000000"/>
          <w:szCs w:val="21"/>
          <w:highlight w:val="none"/>
        </w:rPr>
      </w:r>
      <w:r/>
    </w:p>
    <w:p>
      <w:pPr>
        <w:pStyle w:val="1038"/>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同一投标人提交两个（含两个）以上不同的投标报价的；</w:t>
      </w:r>
      <w:r>
        <w:rPr>
          <w:rFonts w:hint="eastAsia" w:ascii="宋体" w:hAnsi="宋体" w:eastAsia="宋体" w:cs="宋体"/>
          <w:b/>
          <w:color w:val="000000"/>
          <w:szCs w:val="21"/>
          <w:highlight w:val="none"/>
        </w:rPr>
      </w:r>
      <w:r/>
    </w:p>
    <w:p>
      <w:pPr>
        <w:pStyle w:val="1038"/>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投标文件未按照招标文件要求加盖电子公章的；</w:t>
      </w:r>
      <w:r>
        <w:rPr>
          <w:rFonts w:hint="eastAsia" w:ascii="宋体" w:hAnsi="宋体" w:eastAsia="宋体" w:cs="宋体"/>
          <w:b/>
          <w:color w:val="000000"/>
          <w:szCs w:val="21"/>
          <w:highlight w:val="none"/>
        </w:rPr>
      </w:r>
      <w:r/>
    </w:p>
    <w:p>
      <w:pPr>
        <w:pStyle w:val="1038"/>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不具备招标文件中规定的资格要求的；</w:t>
      </w:r>
      <w:r>
        <w:rPr>
          <w:rFonts w:hint="eastAsia" w:ascii="宋体" w:hAnsi="宋体" w:eastAsia="宋体" w:cs="宋体"/>
          <w:b/>
          <w:color w:val="000000"/>
          <w:szCs w:val="21"/>
          <w:highlight w:val="none"/>
        </w:rPr>
      </w:r>
      <w:r/>
    </w:p>
    <w:p>
      <w:pPr>
        <w:pStyle w:val="1038"/>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报价超过招标文件中规定的预算金额或者最高限价的；</w:t>
      </w:r>
      <w:r>
        <w:rPr>
          <w:rFonts w:hint="eastAsia" w:ascii="宋体" w:hAnsi="宋体" w:eastAsia="宋体" w:cs="宋体"/>
          <w:b/>
          <w:color w:val="000000"/>
          <w:szCs w:val="21"/>
          <w:highlight w:val="none"/>
        </w:rPr>
      </w:r>
      <w:r/>
    </w:p>
    <w:p>
      <w:pPr>
        <w:pStyle w:val="1038"/>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投标文件含有采购人不能接受的附加条件的；</w:t>
      </w:r>
      <w:r>
        <w:rPr>
          <w:rFonts w:hint="eastAsia" w:ascii="宋体" w:hAnsi="宋体" w:eastAsia="宋体" w:cs="宋体"/>
          <w:b/>
          <w:color w:val="000000"/>
          <w:szCs w:val="21"/>
          <w:highlight w:val="none"/>
        </w:rPr>
      </w:r>
      <w:r/>
    </w:p>
    <w:p>
      <w:pPr>
        <w:pStyle w:val="1038"/>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投标文件内容不全或不符合招标文件中规定的其他实质性要求的；</w:t>
      </w:r>
      <w:r>
        <w:rPr>
          <w:rFonts w:hint="eastAsia" w:ascii="宋体" w:hAnsi="宋体" w:eastAsia="宋体" w:cs="宋体"/>
          <w:b/>
          <w:color w:val="000000"/>
          <w:szCs w:val="21"/>
          <w:highlight w:val="none"/>
        </w:rPr>
      </w:r>
      <w:r/>
    </w:p>
    <w:p>
      <w:pPr>
        <w:pStyle w:val="1038"/>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现行法律、法规、规章和招标文件规定的其他无效情形。</w:t>
      </w:r>
      <w:r>
        <w:rPr>
          <w:rFonts w:hint="eastAsia" w:ascii="宋体" w:hAnsi="宋体" w:eastAsia="宋体" w:cs="宋体"/>
          <w:b/>
          <w:color w:val="000000"/>
          <w:szCs w:val="21"/>
          <w:highlight w:val="none"/>
        </w:rPr>
      </w:r>
      <w:r/>
    </w:p>
    <w:p>
      <w:pPr>
        <w:pStyle w:val="1038"/>
        <w:numPr>
          <w:ilvl w:val="0"/>
          <w:numId w:val="33"/>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实质性要求是指本招标文件中用带星号（“★”）等或者其他明确要求的废标的商务和技术要求。</w:t>
      </w:r>
      <w:r>
        <w:rPr>
          <w:rFonts w:hint="eastAsia" w:ascii="宋体" w:hAnsi="宋体" w:eastAsia="宋体" w:cs="宋体"/>
          <w:b/>
          <w:color w:val="000000"/>
          <w:szCs w:val="21"/>
          <w:highlight w:val="none"/>
        </w:rPr>
      </w:r>
      <w:r/>
    </w:p>
    <w:p>
      <w:pPr>
        <w:pStyle w:val="1038"/>
        <w:numPr>
          <w:ilvl w:val="0"/>
          <w:numId w:val="33"/>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未通过资格审查或符合性审查的投标人，代理机构将通过“苏采云”系统告知其具体原因，评标结束后不再接受有关询问。</w:t>
      </w:r>
      <w:r>
        <w:rPr>
          <w:rFonts w:hint="eastAsia" w:ascii="宋体" w:hAnsi="宋体" w:eastAsia="宋体" w:cs="宋体"/>
          <w:b/>
          <w:color w:val="000000"/>
          <w:szCs w:val="21"/>
          <w:highlight w:val="none"/>
        </w:rPr>
      </w:r>
      <w:r/>
    </w:p>
    <w:p>
      <w:pPr>
        <w:pStyle w:val="1038"/>
        <w:numPr>
          <w:ilvl w:val="0"/>
          <w:numId w:val="33"/>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有下列情形之一的予以废标：</w:t>
      </w:r>
      <w:r>
        <w:rPr>
          <w:rFonts w:hint="eastAsia" w:ascii="宋体" w:hAnsi="宋体" w:eastAsia="宋体" w:cs="宋体"/>
          <w:b/>
          <w:color w:val="000000"/>
          <w:szCs w:val="21"/>
          <w:highlight w:val="none"/>
        </w:rPr>
      </w:r>
      <w:r/>
    </w:p>
    <w:p>
      <w:pPr>
        <w:pStyle w:val="1038"/>
        <w:numPr>
          <w:ilvl w:val="0"/>
          <w:numId w:val="3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符合专业条件的投标人或者对招标文件作实质性响应的投标人不足三家的；</w:t>
      </w:r>
      <w:r>
        <w:rPr>
          <w:rFonts w:hint="eastAsia" w:ascii="宋体" w:hAnsi="宋体" w:eastAsia="宋体" w:cs="宋体"/>
          <w:color w:val="000000"/>
          <w:szCs w:val="21"/>
          <w:highlight w:val="none"/>
        </w:rPr>
      </w:r>
      <w:r/>
    </w:p>
    <w:p>
      <w:pPr>
        <w:pStyle w:val="1038"/>
        <w:numPr>
          <w:ilvl w:val="0"/>
          <w:numId w:val="3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出现影响采购公正的违法、违规行为的；</w:t>
      </w:r>
      <w:r>
        <w:rPr>
          <w:rFonts w:hint="eastAsia" w:ascii="宋体" w:hAnsi="宋体" w:eastAsia="宋体" w:cs="宋体"/>
          <w:color w:val="000000"/>
          <w:szCs w:val="21"/>
          <w:highlight w:val="none"/>
        </w:rPr>
      </w:r>
      <w:r/>
    </w:p>
    <w:p>
      <w:pPr>
        <w:pStyle w:val="1038"/>
        <w:numPr>
          <w:ilvl w:val="0"/>
          <w:numId w:val="3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投标人的报价均超过了采购预算，采购人不能支付的；</w:t>
      </w:r>
      <w:r>
        <w:rPr>
          <w:rFonts w:hint="eastAsia" w:ascii="宋体" w:hAnsi="宋体" w:eastAsia="宋体" w:cs="宋体"/>
          <w:color w:val="000000"/>
          <w:szCs w:val="21"/>
          <w:highlight w:val="none"/>
        </w:rPr>
      </w:r>
      <w:r/>
    </w:p>
    <w:p>
      <w:pPr>
        <w:pStyle w:val="1038"/>
        <w:numPr>
          <w:ilvl w:val="0"/>
          <w:numId w:val="3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因苏采云系统故障造成开标不成功的；</w:t>
      </w:r>
      <w:r>
        <w:rPr>
          <w:rFonts w:hint="eastAsia" w:ascii="宋体" w:hAnsi="宋体" w:eastAsia="宋体" w:cs="宋体"/>
          <w:color w:val="000000"/>
          <w:szCs w:val="21"/>
          <w:highlight w:val="none"/>
        </w:rPr>
      </w:r>
      <w:r/>
    </w:p>
    <w:p>
      <w:pPr>
        <w:pStyle w:val="1038"/>
        <w:numPr>
          <w:ilvl w:val="0"/>
          <w:numId w:val="3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因重大变故，采购任务取消的。</w:t>
      </w:r>
      <w:r>
        <w:rPr>
          <w:rFonts w:hint="eastAsia" w:ascii="宋体" w:hAnsi="宋体" w:eastAsia="宋体" w:cs="宋体"/>
          <w:color w:val="000000"/>
          <w:szCs w:val="21"/>
          <w:highlight w:val="none"/>
        </w:rPr>
      </w:r>
      <w:r/>
    </w:p>
    <w:p>
      <w:pPr>
        <w:pStyle w:val="1038"/>
        <w:numPr>
          <w:ilvl w:val="0"/>
          <w:numId w:val="3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投标人以明显低于其他通过符合性审查投标人的报价，有可能影响产品质量或者不能诚信履约的，且不能证明其报价合理性的。</w:t>
      </w:r>
      <w:r>
        <w:rPr>
          <w:rFonts w:hint="eastAsia" w:ascii="宋体" w:hAnsi="宋体" w:eastAsia="宋体" w:cs="宋体"/>
          <w:color w:val="000000"/>
          <w:szCs w:val="21"/>
          <w:highlight w:val="none"/>
        </w:rPr>
      </w:r>
      <w:r/>
    </w:p>
    <w:p>
      <w:pPr>
        <w:pStyle w:val="1038"/>
        <w:numPr>
          <w:ilvl w:val="0"/>
          <w:numId w:val="31"/>
        </w:numPr>
        <w:ind w:firstLine="422"/>
        <w:rPr>
          <w:rFonts w:hint="eastAsia" w:ascii="宋体" w:hAnsi="宋体" w:eastAsia="宋体" w:cs="宋体"/>
          <w:color w:val="000000"/>
          <w:szCs w:val="21"/>
          <w:highlight w:val="none"/>
          <w:lang w:eastAsia="en-US"/>
        </w:rPr>
      </w:pPr>
      <w:r>
        <w:rPr>
          <w:rFonts w:hint="eastAsia" w:ascii="宋体" w:hAnsi="宋体" w:eastAsia="宋体" w:cs="宋体"/>
          <w:b/>
          <w:color w:val="000000"/>
          <w:szCs w:val="21"/>
          <w:highlight w:val="none"/>
          <w:lang w:eastAsia="en-US"/>
        </w:rPr>
        <w:t xml:space="preserve">澄清有关问题</w:t>
      </w:r>
      <w:r>
        <w:rPr>
          <w:rFonts w:hint="eastAsia" w:ascii="宋体" w:hAnsi="宋体" w:eastAsia="宋体" w:cs="宋体"/>
          <w:color w:val="000000"/>
          <w:szCs w:val="21"/>
          <w:highlight w:val="none"/>
          <w:lang w:eastAsia="en-US"/>
        </w:rPr>
        <w:t xml:space="preserve">。</w:t>
      </w:r>
      <w:r>
        <w:rPr>
          <w:rFonts w:hint="eastAsia" w:ascii="宋体" w:hAnsi="宋体" w:eastAsia="宋体" w:cs="宋体"/>
          <w:color w:val="000000"/>
          <w:szCs w:val="21"/>
          <w:highlight w:val="none"/>
          <w:lang w:eastAsia="en-US"/>
        </w:rPr>
      </w:r>
      <w:r/>
    </w:p>
    <w:p>
      <w:pPr>
        <w:pStyle w:val="1038"/>
        <w:numPr>
          <w:ilvl w:val="0"/>
          <w:numId w:val="3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宋体"/>
          <w:color w:val="000000"/>
          <w:szCs w:val="21"/>
          <w:highlight w:val="none"/>
        </w:rPr>
      </w:r>
      <w:r/>
    </w:p>
    <w:p>
      <w:pPr>
        <w:pStyle w:val="1038"/>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投标人的澄清、说明或者补正不得超出投标文件的范围或者改变投标文件的实质性内容。</w:t>
      </w:r>
      <w:r>
        <w:rPr>
          <w:rFonts w:hint="eastAsia" w:ascii="宋体" w:hAnsi="宋体" w:eastAsia="宋体" w:cs="宋体"/>
          <w:color w:val="000000"/>
          <w:szCs w:val="21"/>
          <w:highlight w:val="none"/>
        </w:rPr>
      </w:r>
      <w:r/>
    </w:p>
    <w:p>
      <w:pPr>
        <w:pStyle w:val="1038"/>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评委会并非对每个投标人都做澄清要求。</w:t>
      </w:r>
      <w:r>
        <w:rPr>
          <w:rFonts w:hint="eastAsia" w:ascii="宋体" w:hAnsi="宋体" w:eastAsia="宋体" w:cs="宋体"/>
          <w:color w:val="000000"/>
          <w:szCs w:val="21"/>
          <w:highlight w:val="none"/>
        </w:rPr>
      </w:r>
      <w:r/>
    </w:p>
    <w:p>
      <w:pPr>
        <w:pStyle w:val="1038"/>
        <w:numPr>
          <w:ilvl w:val="0"/>
          <w:numId w:val="3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ascii="宋体" w:hAnsi="宋体" w:eastAsia="宋体" w:cs="宋体"/>
          <w:color w:val="000000"/>
          <w:szCs w:val="21"/>
          <w:highlight w:val="none"/>
        </w:rPr>
      </w:r>
      <w:r/>
    </w:p>
    <w:p>
      <w:pPr>
        <w:pStyle w:val="1038"/>
        <w:numPr>
          <w:ilvl w:val="0"/>
          <w:numId w:val="3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接到评委会澄清、说明和补正要求的，投标人如未按规定作出澄清、说明和补正，其风险由投标人自行承担。</w:t>
      </w:r>
      <w:r>
        <w:rPr>
          <w:rFonts w:hint="eastAsia" w:ascii="宋体" w:hAnsi="宋体" w:eastAsia="宋体" w:cs="宋体"/>
          <w:color w:val="000000"/>
          <w:szCs w:val="21"/>
          <w:highlight w:val="none"/>
        </w:rPr>
      </w:r>
      <w:r/>
    </w:p>
    <w:p>
      <w:pPr>
        <w:pStyle w:val="1038"/>
        <w:numPr>
          <w:ilvl w:val="0"/>
          <w:numId w:val="3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投标人在开、评标全过程中应</w:t>
      </w:r>
      <w:r>
        <w:rPr>
          <w:rFonts w:hint="eastAsia" w:ascii="宋体" w:hAnsi="宋体" w:eastAsia="宋体" w:cs="宋体"/>
          <w:color w:val="000000"/>
          <w:szCs w:val="21"/>
          <w:highlight w:val="none"/>
          <w:lang w:eastAsia="zh-CN"/>
        </w:rPr>
        <w:t xml:space="preserve">保持通信畅通</w:t>
      </w:r>
      <w:r>
        <w:rPr>
          <w:rFonts w:hint="eastAsia" w:ascii="宋体" w:hAnsi="宋体" w:eastAsia="宋体" w:cs="宋体"/>
          <w:color w:val="000000"/>
          <w:szCs w:val="21"/>
          <w:highlight w:val="none"/>
        </w:rPr>
        <w:t xml:space="preserve">，及时登录苏采云系统查阅、答复相关信息，并安排专人与代理机构及评委会联系。</w:t>
      </w:r>
      <w:r>
        <w:rPr>
          <w:rFonts w:hint="eastAsia" w:ascii="宋体" w:hAnsi="宋体" w:eastAsia="宋体" w:cs="宋体"/>
          <w:color w:val="000000"/>
          <w:szCs w:val="21"/>
          <w:highlight w:val="none"/>
        </w:rPr>
      </w:r>
      <w:r/>
    </w:p>
    <w:p>
      <w:pPr>
        <w:pStyle w:val="1038"/>
        <w:numPr>
          <w:ilvl w:val="0"/>
          <w:numId w:val="31"/>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比较与评价。评标委员会应当按照招标文件中规定的评标方法和标准，对符合性审查合格的投标文件进行商务和技术评估，综合比较与评价。</w:t>
      </w:r>
      <w:r>
        <w:rPr>
          <w:rFonts w:hint="eastAsia" w:ascii="宋体" w:hAnsi="宋体" w:eastAsia="宋体" w:cs="宋体"/>
          <w:color w:val="000000"/>
          <w:szCs w:val="21"/>
          <w:highlight w:val="none"/>
        </w:rPr>
      </w:r>
      <w:r/>
    </w:p>
    <w:p>
      <w:pPr>
        <w:pStyle w:val="1038"/>
        <w:numPr>
          <w:ilvl w:val="0"/>
          <w:numId w:val="31"/>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相同品牌产品的投标</w:t>
      </w:r>
      <w:r>
        <w:rPr>
          <w:rFonts w:hint="eastAsia" w:ascii="宋体" w:hAnsi="宋体" w:eastAsia="宋体" w:cs="宋体"/>
          <w:color w:val="000000"/>
          <w:szCs w:val="21"/>
          <w:highlight w:val="none"/>
          <w:lang w:eastAsia="en-US"/>
        </w:rPr>
      </w:r>
      <w:r/>
    </w:p>
    <w:p>
      <w:pPr>
        <w:pStyle w:val="1038"/>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rPr>
          <w:rFonts w:hint="eastAsia" w:ascii="宋体" w:hAnsi="宋体" w:eastAsia="宋体" w:cs="宋体"/>
          <w:color w:val="000000"/>
          <w:szCs w:val="21"/>
          <w:highlight w:val="none"/>
        </w:rPr>
      </w:r>
      <w:r/>
    </w:p>
    <w:p>
      <w:pPr>
        <w:pStyle w:val="1038"/>
        <w:ind w:left="118" w:firstLine="422"/>
        <w:jc w:val="left"/>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rPr>
          <w:rFonts w:hint="eastAsia" w:ascii="宋体" w:hAnsi="宋体" w:eastAsia="宋体" w:cs="宋体"/>
          <w:color w:val="000000"/>
          <w:szCs w:val="21"/>
          <w:highlight w:val="none"/>
        </w:rPr>
      </w:r>
      <w:r/>
    </w:p>
    <w:p>
      <w:pPr>
        <w:pStyle w:val="1038"/>
        <w:ind w:left="118" w:firstLine="422"/>
        <w:jc w:val="lef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非单一产品采购项目，确定核心产品的方法在招标文件技术需求中载明。多家投标人提供的核心产品品牌相同的，按前两款规定处理。</w:t>
      </w:r>
      <w:r>
        <w:rPr>
          <w:rFonts w:hint="eastAsia" w:ascii="宋体" w:hAnsi="宋体" w:eastAsia="宋体" w:cs="宋体"/>
          <w:b/>
          <w:bCs/>
          <w:color w:val="000000"/>
          <w:szCs w:val="21"/>
          <w:highlight w:val="none"/>
        </w:rPr>
      </w:r>
      <w:r/>
    </w:p>
    <w:p>
      <w:pPr>
        <w:pStyle w:val="1038"/>
        <w:numPr>
          <w:ilvl w:val="0"/>
          <w:numId w:val="28"/>
        </w:numPr>
        <w:ind w:firstLine="422"/>
        <w:rPr>
          <w:rFonts w:hint="eastAsia" w:ascii="宋体" w:hAnsi="宋体" w:eastAsia="宋体" w:cs="宋体"/>
          <w:b/>
          <w:bCs/>
          <w:color w:val="000000"/>
          <w:szCs w:val="21"/>
          <w:highlight w:val="none"/>
        </w:rPr>
        <w:outlineLvl w:val="3"/>
      </w:pPr>
      <w:r>
        <w:rPr>
          <w:rFonts w:hint="eastAsia" w:ascii="宋体" w:hAnsi="宋体" w:eastAsia="宋体" w:cs="宋体"/>
          <w:b/>
          <w:bCs/>
          <w:color w:val="000000"/>
          <w:szCs w:val="21"/>
          <w:highlight w:val="none"/>
        </w:rPr>
        <w:t xml:space="preserve">评标方法和标准</w:t>
      </w:r>
      <w:r>
        <w:rPr>
          <w:rFonts w:hint="eastAsia" w:ascii="宋体" w:hAnsi="宋体" w:eastAsia="宋体" w:cs="宋体"/>
          <w:b/>
          <w:bCs/>
          <w:color w:val="000000"/>
          <w:szCs w:val="21"/>
          <w:highlight w:val="none"/>
        </w:rPr>
      </w:r>
      <w:r/>
    </w:p>
    <w:p>
      <w:pPr>
        <w:pStyle w:val="1038"/>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22.3.1 采用综合评分法的，评标结果按评审后最终得分由高到低进行排名，得分相同的，按投标报价由低到高顺序排列。得分</w:t>
      </w:r>
      <w:r>
        <w:rPr>
          <w:rFonts w:hint="eastAsia" w:ascii="宋体" w:hAnsi="宋体" w:eastAsia="宋体" w:cs="宋体"/>
          <w:color w:val="000000"/>
          <w:szCs w:val="21"/>
          <w:highlight w:val="none"/>
          <w:lang w:eastAsia="zh-CN"/>
        </w:rPr>
        <w:t xml:space="preserve">相同且</w:t>
      </w:r>
      <w:r>
        <w:rPr>
          <w:rFonts w:hint="eastAsia" w:ascii="宋体" w:hAnsi="宋体" w:eastAsia="宋体" w:cs="宋体"/>
          <w:color w:val="000000"/>
          <w:szCs w:val="21"/>
          <w:highlight w:val="none"/>
        </w:rPr>
        <w:t xml:space="preserve">投标报价相同的，按技术部分方案优劣顺序排列。</w:t>
      </w:r>
      <w:r>
        <w:rPr>
          <w:rFonts w:hint="eastAsia" w:ascii="宋体" w:hAnsi="宋体" w:eastAsia="宋体" w:cs="宋体"/>
          <w:color w:val="000000"/>
          <w:szCs w:val="21"/>
          <w:highlight w:val="none"/>
        </w:rPr>
      </w:r>
      <w:r/>
    </w:p>
    <w:p>
      <w:pPr>
        <w:pStyle w:val="1038"/>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22.3.2评审过程中出现下列情形之一的，评审委员会应当启动异常低价投标(响应)审查程序:</w:t>
      </w:r>
      <w:r>
        <w:rPr>
          <w:rFonts w:hint="eastAsia" w:ascii="宋体" w:hAnsi="宋体" w:eastAsia="宋体" w:cs="宋体"/>
          <w:color w:val="000000"/>
          <w:szCs w:val="21"/>
          <w:highlight w:val="none"/>
        </w:rPr>
      </w:r>
      <w:r/>
    </w:p>
    <w:p>
      <w:pPr>
        <w:pStyle w:val="1038"/>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（1）投标（响应）报价低于全部通过符合性审查供应商投标（响应）报价平均值50%的，即投标（响应）报价&lt;全部通过符合性审查供应商投标（响应）报价平均值×50%； </w:t>
      </w:r>
      <w:r>
        <w:rPr>
          <w:rFonts w:hint="eastAsia" w:ascii="宋体" w:hAnsi="宋体" w:eastAsia="宋体" w:cs="宋体"/>
          <w:color w:val="000000"/>
          <w:szCs w:val="21"/>
          <w:highlight w:val="none"/>
        </w:rPr>
      </w:r>
      <w:r/>
    </w:p>
    <w:p>
      <w:pPr>
        <w:pStyle w:val="1038"/>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（2）投标（响应）报价低于通过符合性审查的次低报价供应商投标（响应）报价50%的，即投标（响应）报价&lt;通过符合性审查的次低报价供应商投标（响应）报价×50%； </w:t>
      </w:r>
      <w:r>
        <w:rPr>
          <w:rFonts w:hint="eastAsia" w:ascii="宋体" w:hAnsi="宋体" w:eastAsia="宋体" w:cs="宋体"/>
          <w:color w:val="000000"/>
          <w:szCs w:val="21"/>
          <w:highlight w:val="none"/>
        </w:rPr>
      </w:r>
      <w:r/>
    </w:p>
    <w:p>
      <w:pPr>
        <w:pStyle w:val="1038"/>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（3）投标（响应）报价低于采购项目最高限价45%的，即投标（响应）报价&lt;采购项目最高限价×45%； </w:t>
      </w:r>
      <w:r>
        <w:rPr>
          <w:rFonts w:hint="eastAsia" w:ascii="宋体" w:hAnsi="宋体" w:eastAsia="宋体" w:cs="宋体"/>
          <w:color w:val="000000"/>
          <w:szCs w:val="21"/>
          <w:highlight w:val="none"/>
        </w:rPr>
      </w:r>
      <w:r/>
    </w:p>
    <w:p>
      <w:pPr>
        <w:pStyle w:val="1038"/>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（4）评审委员会基于专业判断，认为供应商报价过低，有可能影响产品质量或者不能诚信履约的其他情形。 </w:t>
      </w:r>
      <w:r>
        <w:rPr>
          <w:rFonts w:hint="eastAsia" w:ascii="宋体" w:hAnsi="宋体" w:eastAsia="宋体" w:cs="宋体"/>
          <w:color w:val="000000"/>
          <w:szCs w:val="21"/>
          <w:highlight w:val="none"/>
        </w:rPr>
      </w:r>
      <w:r/>
    </w:p>
    <w:p>
      <w:pPr>
        <w:pStyle w:val="1038"/>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22.3.3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rPr>
          <w:rFonts w:hint="eastAsia" w:ascii="宋体" w:hAnsi="宋体" w:eastAsia="宋体" w:cs="宋体"/>
          <w:color w:val="000000"/>
          <w:szCs w:val="21"/>
          <w:highlight w:val="none"/>
        </w:rPr>
      </w:r>
      <w:r/>
    </w:p>
    <w:p>
      <w:pPr>
        <w:pStyle w:val="1038"/>
        <w:numPr>
          <w:ilvl w:val="0"/>
          <w:numId w:val="26"/>
        </w:numPr>
        <w:ind w:firstLine="422"/>
        <w:rPr>
          <w:rFonts w:hint="eastAsia" w:ascii="宋体" w:hAnsi="宋体" w:eastAsia="宋体" w:cs="宋体"/>
          <w:b/>
          <w:bCs/>
          <w:color w:val="000000"/>
          <w:szCs w:val="21"/>
          <w:highlight w:val="none"/>
        </w:rPr>
        <w:outlineLvl w:val="2"/>
      </w:pPr>
      <w:r/>
      <w:bookmarkStart w:id="69" w:name="_Toc209510691"/>
      <w:r>
        <w:rPr>
          <w:rFonts w:hint="eastAsia" w:ascii="宋体" w:hAnsi="宋体" w:eastAsia="宋体" w:cs="宋体"/>
          <w:b/>
          <w:bCs/>
          <w:color w:val="000000"/>
          <w:szCs w:val="21"/>
          <w:highlight w:val="none"/>
        </w:rPr>
        <w:t xml:space="preserve">确定中标人</w:t>
      </w:r>
      <w:bookmarkEnd w:id="69"/>
      <w:r>
        <w:rPr>
          <w:rFonts w:hint="eastAsia" w:ascii="宋体" w:hAnsi="宋体" w:eastAsia="宋体" w:cs="宋体"/>
          <w:b/>
          <w:bCs/>
          <w:color w:val="000000"/>
          <w:szCs w:val="21"/>
          <w:highlight w:val="none"/>
        </w:rPr>
      </w:r>
      <w:r/>
    </w:p>
    <w:p>
      <w:pPr>
        <w:pStyle w:val="1038"/>
        <w:numPr>
          <w:ilvl w:val="0"/>
          <w:numId w:val="36"/>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用综合评分法的，评委会将对确定为实质性响应招标文件要求的投标文件进行评价和比较，评标结果按评审后得分由高到低顺序排列。提供相同品牌产品且通过资格性审查、符合性审查的不同供应商参加本项目投标的，按一家供应商计算，评审后得分最高的同品牌供应商获得中标人推荐资格；评审得分相同的，由采购人或者采购人委托评标委员会按照随机抽取的方式确定中标人推荐资格，其他同品牌供应商不作为中标候选人。</w:t>
      </w:r>
      <w:r>
        <w:rPr>
          <w:rFonts w:hint="eastAsia" w:ascii="宋体" w:hAnsi="宋体" w:eastAsia="宋体" w:cs="宋体"/>
          <w:color w:val="000000"/>
          <w:szCs w:val="21"/>
          <w:highlight w:val="none"/>
        </w:rPr>
      </w:r>
      <w:r/>
    </w:p>
    <w:p>
      <w:pPr>
        <w:pStyle w:val="1038"/>
        <w:numPr>
          <w:ilvl w:val="0"/>
          <w:numId w:val="36"/>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按以下第（2）种方式确定中标人：</w:t>
      </w:r>
      <w:r>
        <w:rPr>
          <w:rFonts w:hint="eastAsia" w:ascii="宋体" w:hAnsi="宋体" w:eastAsia="宋体" w:cs="宋体"/>
          <w:color w:val="000000"/>
          <w:szCs w:val="21"/>
          <w:highlight w:val="none"/>
        </w:rPr>
      </w:r>
      <w:r/>
    </w:p>
    <w:p>
      <w:pPr>
        <w:pStyle w:val="1038"/>
        <w:numPr>
          <w:ilvl w:val="0"/>
          <w:numId w:val="3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评委会直接确定排名第一的中标候选人为中标人；</w:t>
      </w:r>
      <w:r>
        <w:rPr>
          <w:rFonts w:hint="eastAsia" w:ascii="宋体" w:hAnsi="宋体" w:eastAsia="宋体" w:cs="宋体"/>
          <w:color w:val="000000"/>
          <w:szCs w:val="21"/>
          <w:highlight w:val="none"/>
        </w:rPr>
      </w:r>
      <w:r/>
    </w:p>
    <w:p>
      <w:pPr>
        <w:pStyle w:val="1038"/>
        <w:numPr>
          <w:ilvl w:val="0"/>
          <w:numId w:val="3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采购人在评委会推荐的中标候选人中按顺序确定中标人。</w:t>
      </w:r>
      <w:r>
        <w:rPr>
          <w:rFonts w:hint="eastAsia" w:ascii="宋体" w:hAnsi="宋体" w:eastAsia="宋体" w:cs="宋体"/>
          <w:color w:val="000000"/>
          <w:szCs w:val="21"/>
          <w:highlight w:val="none"/>
        </w:rPr>
      </w:r>
      <w:r/>
    </w:p>
    <w:p>
      <w:pPr>
        <w:pStyle w:val="1038"/>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rPr>
          <w:rFonts w:hint="eastAsia" w:ascii="宋体" w:hAnsi="宋体" w:eastAsia="宋体" w:cs="宋体"/>
          <w:color w:val="000000"/>
          <w:szCs w:val="21"/>
          <w:highlight w:val="none"/>
        </w:rPr>
      </w:r>
      <w:r/>
    </w:p>
    <w:p>
      <w:pPr>
        <w:pStyle w:val="1038"/>
        <w:numPr>
          <w:ilvl w:val="0"/>
          <w:numId w:val="36"/>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中标人确定后，将在“江苏政府采购网”发布中标公告，公告期限为1个工作日。</w:t>
      </w:r>
      <w:r>
        <w:rPr>
          <w:rFonts w:hint="eastAsia" w:ascii="宋体" w:hAnsi="宋体" w:eastAsia="宋体" w:cs="宋体"/>
          <w:color w:val="000000"/>
          <w:szCs w:val="21"/>
          <w:highlight w:val="none"/>
        </w:rPr>
      </w:r>
      <w:r/>
    </w:p>
    <w:p>
      <w:pPr>
        <w:pStyle w:val="1038"/>
        <w:numPr>
          <w:ilvl w:val="0"/>
          <w:numId w:val="26"/>
        </w:numPr>
        <w:ind w:firstLine="422"/>
        <w:rPr>
          <w:rFonts w:hint="eastAsia" w:ascii="宋体" w:hAnsi="宋体" w:eastAsia="宋体" w:cs="宋体"/>
          <w:b/>
          <w:bCs/>
          <w:color w:val="000000"/>
          <w:szCs w:val="21"/>
          <w:highlight w:val="none"/>
        </w:rPr>
        <w:outlineLvl w:val="2"/>
      </w:pPr>
      <w:r/>
      <w:bookmarkStart w:id="70" w:name="_Toc209510692"/>
      <w:r>
        <w:rPr>
          <w:rFonts w:hint="eastAsia" w:ascii="宋体" w:hAnsi="宋体" w:eastAsia="宋体" w:cs="宋体"/>
          <w:b/>
          <w:bCs/>
          <w:color w:val="000000"/>
          <w:szCs w:val="21"/>
          <w:highlight w:val="none"/>
        </w:rPr>
        <w:t xml:space="preserve">中标通知书</w:t>
      </w:r>
      <w:bookmarkEnd w:id="70"/>
      <w:r>
        <w:rPr>
          <w:rFonts w:hint="eastAsia" w:ascii="宋体" w:hAnsi="宋体" w:eastAsia="宋体" w:cs="宋体"/>
          <w:b/>
          <w:bCs/>
          <w:color w:val="000000"/>
          <w:szCs w:val="21"/>
          <w:highlight w:val="none"/>
        </w:rPr>
      </w:r>
      <w:r/>
    </w:p>
    <w:p>
      <w:pPr>
        <w:pStyle w:val="1038"/>
        <w:numPr>
          <w:ilvl w:val="0"/>
          <w:numId w:val="3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结果确定后，将向中标人发出《中标通知书》。中标人可在中标结果公告届满之日起三十日内,登录苏采云系统下载。因系统存储空间有限，中标结果公告届满之日起三十日后，苏采云系统不再保证提供下载《中标通知书》服务，因未及时下载而造成的不利后果由中标人自行承担。</w:t>
      </w:r>
      <w:r>
        <w:rPr>
          <w:rFonts w:hint="eastAsia" w:ascii="宋体" w:hAnsi="宋体" w:eastAsia="宋体" w:cs="宋体"/>
          <w:color w:val="000000"/>
          <w:szCs w:val="21"/>
          <w:highlight w:val="none"/>
        </w:rPr>
      </w:r>
      <w:r/>
    </w:p>
    <w:p>
      <w:pPr>
        <w:pStyle w:val="1038"/>
        <w:numPr>
          <w:ilvl w:val="0"/>
          <w:numId w:val="3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《中标通知书》是合同的一个组成部分，对采购人和中标人均具有法律效力。《中标通知书》发出后，采购人改变中标结果或者中标人放弃中标项目的，应当依法承担法律责任。</w:t>
      </w:r>
      <w:r>
        <w:rPr>
          <w:rFonts w:hint="eastAsia" w:ascii="宋体" w:hAnsi="宋体" w:eastAsia="宋体" w:cs="宋体"/>
          <w:color w:val="000000"/>
          <w:szCs w:val="21"/>
          <w:highlight w:val="none"/>
        </w:rPr>
      </w:r>
      <w:r/>
    </w:p>
    <w:p>
      <w:pPr>
        <w:pStyle w:val="1038"/>
        <w:numPr>
          <w:ilvl w:val="0"/>
          <w:numId w:val="26"/>
        </w:numPr>
        <w:ind w:firstLine="422"/>
        <w:rPr>
          <w:rFonts w:hint="eastAsia" w:ascii="宋体" w:hAnsi="宋体" w:eastAsia="宋体" w:cs="宋体"/>
          <w:b/>
          <w:bCs/>
          <w:color w:val="000000"/>
          <w:szCs w:val="21"/>
          <w:highlight w:val="none"/>
        </w:rPr>
        <w:outlineLvl w:val="2"/>
      </w:pPr>
      <w:r/>
      <w:bookmarkStart w:id="71" w:name="_Toc209510693"/>
      <w:r>
        <w:rPr>
          <w:rFonts w:hint="eastAsia" w:ascii="宋体" w:hAnsi="宋体" w:eastAsia="宋体" w:cs="宋体"/>
          <w:b/>
          <w:bCs/>
          <w:color w:val="000000"/>
          <w:szCs w:val="21"/>
          <w:highlight w:val="none"/>
        </w:rPr>
        <w:t xml:space="preserve">评标过程的保密性</w:t>
      </w:r>
      <w:bookmarkEnd w:id="71"/>
      <w:r>
        <w:rPr>
          <w:rFonts w:hint="eastAsia" w:ascii="宋体" w:hAnsi="宋体" w:eastAsia="宋体" w:cs="宋体"/>
          <w:b/>
          <w:bCs/>
          <w:color w:val="000000"/>
          <w:szCs w:val="21"/>
          <w:highlight w:val="none"/>
        </w:rPr>
      </w:r>
      <w:r/>
    </w:p>
    <w:p>
      <w:pPr>
        <w:pStyle w:val="1038"/>
        <w:numPr>
          <w:ilvl w:val="0"/>
          <w:numId w:val="39"/>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凡是与审查、澄清、评价和比较投标的有关资料以及投标建议等，采购人、评委、均不得向投标人或与评标无关的其他人员透露。</w:t>
      </w:r>
      <w:r>
        <w:rPr>
          <w:rFonts w:hint="eastAsia" w:ascii="宋体" w:hAnsi="宋体" w:eastAsia="宋体" w:cs="宋体"/>
          <w:color w:val="000000"/>
          <w:szCs w:val="21"/>
          <w:highlight w:val="none"/>
        </w:rPr>
      </w:r>
      <w:r/>
    </w:p>
    <w:p>
      <w:pPr>
        <w:pStyle w:val="1038"/>
        <w:numPr>
          <w:ilvl w:val="0"/>
          <w:numId w:val="39"/>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投标人不得以任何方式影响评标，否则其投标文件将被作为无效投标文件。</w:t>
      </w:r>
      <w:r>
        <w:rPr>
          <w:rFonts w:hint="eastAsia" w:ascii="宋体" w:hAnsi="宋体" w:eastAsia="宋体" w:cs="宋体"/>
          <w:color w:val="000000"/>
          <w:szCs w:val="21"/>
          <w:highlight w:val="none"/>
        </w:rPr>
      </w:r>
      <w:r/>
    </w:p>
    <w:p>
      <w:pPr>
        <w:pStyle w:val="1038"/>
        <w:numPr>
          <w:ilvl w:val="0"/>
          <w:numId w:val="39"/>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采购人和评委会不向未中标的投标人解释未中标原因，也不公布评标过程中的相关细节。</w:t>
      </w:r>
      <w:r>
        <w:rPr>
          <w:rFonts w:hint="eastAsia" w:ascii="宋体" w:hAnsi="宋体" w:eastAsia="宋体" w:cs="宋体"/>
          <w:color w:val="000000"/>
          <w:szCs w:val="21"/>
          <w:highlight w:val="none"/>
        </w:rPr>
      </w:r>
      <w:r/>
    </w:p>
    <w:p>
      <w:pPr>
        <w:pStyle w:val="1038"/>
        <w:numPr>
          <w:ilvl w:val="0"/>
          <w:numId w:val="39"/>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采用综合评分法的项目，未中标的投标人可于中标结果公告期限届满之日起通过苏采云系统查看本单位的评审得分及排名情况。</w:t>
      </w:r>
      <w:r>
        <w:rPr>
          <w:rFonts w:hint="eastAsia" w:ascii="宋体" w:hAnsi="宋体" w:eastAsia="宋体" w:cs="宋体"/>
          <w:color w:val="000000"/>
          <w:szCs w:val="21"/>
          <w:highlight w:val="none"/>
        </w:rPr>
      </w:r>
      <w:r/>
    </w:p>
    <w:p>
      <w:pPr>
        <w:pStyle w:val="1038"/>
        <w:numPr>
          <w:ilvl w:val="0"/>
          <w:numId w:val="5"/>
        </w:numPr>
        <w:ind w:firstLine="422"/>
        <w:rPr>
          <w:rFonts w:hint="eastAsia" w:ascii="宋体" w:hAnsi="宋体" w:eastAsia="宋体" w:cs="宋体"/>
          <w:b/>
          <w:bCs/>
          <w:color w:val="000000"/>
          <w:szCs w:val="21"/>
          <w:highlight w:val="none"/>
        </w:rPr>
        <w:outlineLvl w:val="1"/>
      </w:pPr>
      <w:r/>
      <w:bookmarkStart w:id="72" w:name="_Toc464"/>
      <w:r/>
      <w:bookmarkStart w:id="73" w:name="_Toc7293"/>
      <w:r/>
      <w:bookmarkStart w:id="74" w:name="_Toc209510694"/>
      <w:r/>
      <w:bookmarkStart w:id="75" w:name="_Toc209510620"/>
      <w:r/>
      <w:bookmarkStart w:id="76" w:name="_Toc22453"/>
      <w:r/>
      <w:bookmarkStart w:id="77" w:name="_Toc15223"/>
      <w:r/>
      <w:bookmarkStart w:id="78" w:name="_Toc17865"/>
      <w:r>
        <w:rPr>
          <w:rFonts w:hint="eastAsia" w:ascii="宋体" w:hAnsi="宋体" w:eastAsia="宋体" w:cs="宋体"/>
          <w:b/>
          <w:bCs/>
          <w:color w:val="000000"/>
          <w:szCs w:val="21"/>
          <w:highlight w:val="none"/>
        </w:rPr>
        <w:t xml:space="preserve">签订合同</w:t>
      </w:r>
      <w:bookmarkEnd w:id="72"/>
      <w:r/>
      <w:bookmarkEnd w:id="73"/>
      <w:r/>
      <w:bookmarkEnd w:id="74"/>
      <w:r/>
      <w:bookmarkEnd w:id="75"/>
      <w:r/>
      <w:bookmarkEnd w:id="76"/>
      <w:r/>
      <w:bookmarkEnd w:id="77"/>
      <w:r/>
      <w:bookmarkEnd w:id="78"/>
      <w:r>
        <w:rPr>
          <w:rFonts w:hint="eastAsia" w:ascii="宋体" w:hAnsi="宋体" w:eastAsia="宋体" w:cs="宋体"/>
          <w:b/>
          <w:bCs/>
          <w:color w:val="000000"/>
          <w:szCs w:val="21"/>
          <w:highlight w:val="none"/>
        </w:rPr>
      </w:r>
      <w:r/>
    </w:p>
    <w:p>
      <w:pPr>
        <w:pStyle w:val="1038"/>
        <w:ind w:firstLine="422"/>
        <w:rPr>
          <w:rFonts w:hint="eastAsia" w:ascii="宋体" w:hAnsi="宋体" w:eastAsia="宋体" w:cs="宋体"/>
          <w:b/>
          <w:bCs/>
          <w:color w:val="000000"/>
          <w:szCs w:val="21"/>
          <w:highlight w:val="none"/>
        </w:rPr>
        <w:outlineLvl w:val="2"/>
      </w:pPr>
      <w:r/>
      <w:bookmarkStart w:id="79" w:name="_Toc209510695"/>
      <w:r>
        <w:rPr>
          <w:rFonts w:hint="eastAsia" w:ascii="宋体" w:hAnsi="宋体" w:eastAsia="宋体" w:cs="宋体"/>
          <w:b/>
          <w:bCs/>
          <w:color w:val="000000"/>
          <w:szCs w:val="21"/>
          <w:highlight w:val="none"/>
        </w:rPr>
        <w:t xml:space="preserve">26、签订合同</w:t>
      </w:r>
      <w:bookmarkEnd w:id="79"/>
      <w:r>
        <w:rPr>
          <w:rFonts w:hint="eastAsia" w:ascii="宋体" w:hAnsi="宋体" w:eastAsia="宋体" w:cs="宋体"/>
          <w:b/>
          <w:bCs/>
          <w:color w:val="000000"/>
          <w:szCs w:val="21"/>
          <w:highlight w:val="none"/>
        </w:rPr>
      </w:r>
      <w:r/>
    </w:p>
    <w:p>
      <w:pPr>
        <w:pStyle w:val="1038"/>
        <w:numPr>
          <w:ilvl w:val="0"/>
          <w:numId w:val="4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中标人应当在《中标通知书》发出之日起三十日内，按照招标文件确定的事项与采购人签订政府采购合同。</w:t>
      </w:r>
      <w:r>
        <w:rPr>
          <w:rFonts w:hint="eastAsia" w:ascii="宋体" w:hAnsi="宋体" w:eastAsia="宋体" w:cs="宋体"/>
          <w:color w:val="000000"/>
          <w:szCs w:val="21"/>
          <w:highlight w:val="none"/>
        </w:rPr>
      </w:r>
      <w:r/>
    </w:p>
    <w:p>
      <w:pPr>
        <w:pStyle w:val="1038"/>
        <w:numPr>
          <w:ilvl w:val="0"/>
          <w:numId w:val="40"/>
        </w:numPr>
        <w:ind w:firstLine="420"/>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招标文件、中标人的投标文件及招标过程中有关澄清、承诺文件均作为合同附件</w:t>
      </w:r>
      <w:r>
        <w:rPr>
          <w:rFonts w:hint="eastAsia" w:ascii="宋体" w:hAnsi="宋体" w:eastAsia="宋体" w:cs="宋体"/>
          <w:b/>
          <w:color w:val="000000"/>
          <w:szCs w:val="21"/>
          <w:highlight w:val="none"/>
        </w:rPr>
        <w:t xml:space="preserve">。</w:t>
      </w:r>
      <w:r>
        <w:rPr>
          <w:rFonts w:hint="eastAsia" w:ascii="宋体" w:hAnsi="宋体" w:eastAsia="宋体" w:cs="宋体"/>
          <w:b/>
          <w:color w:val="000000"/>
          <w:szCs w:val="21"/>
          <w:highlight w:val="none"/>
        </w:rPr>
      </w:r>
      <w:r/>
    </w:p>
    <w:p>
      <w:pPr>
        <w:pStyle w:val="1038"/>
        <w:numPr>
          <w:ilvl w:val="0"/>
          <w:numId w:val="4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宋体"/>
          <w:color w:val="000000"/>
          <w:szCs w:val="21"/>
          <w:highlight w:val="none"/>
        </w:rPr>
      </w:r>
      <w:r/>
    </w:p>
    <w:p>
      <w:pPr>
        <w:pStyle w:val="1038"/>
        <w:numPr>
          <w:ilvl w:val="0"/>
          <w:numId w:val="4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中标人因自身原因拒绝与采购人签订合同的，不得参加采购人重新组织的采购活动，</w:t>
      </w:r>
      <w:r>
        <w:rPr>
          <w:rFonts w:hint="eastAsia" w:ascii="宋体" w:hAnsi="宋体" w:eastAsia="宋体" w:cs="宋体"/>
          <w:color w:val="000000"/>
          <w:szCs w:val="21"/>
          <w:highlight w:val="none"/>
          <w:lang w:eastAsia="zh-CN"/>
        </w:rPr>
        <w:t xml:space="preserve">且</w:t>
      </w:r>
      <w:r>
        <w:rPr>
          <w:rFonts w:hint="eastAsia" w:ascii="宋体" w:hAnsi="宋体" w:eastAsia="宋体" w:cs="宋体"/>
          <w:color w:val="000000"/>
          <w:szCs w:val="21"/>
          <w:highlight w:val="none"/>
        </w:rPr>
        <w:t xml:space="preserve">可能被拒绝参加该采购人一年内的其他政府采购活动。</w:t>
      </w:r>
      <w:r>
        <w:rPr>
          <w:rFonts w:hint="eastAsia" w:ascii="宋体" w:hAnsi="宋体" w:eastAsia="宋体" w:cs="宋体"/>
          <w:color w:val="000000"/>
          <w:szCs w:val="21"/>
          <w:highlight w:val="none"/>
        </w:rPr>
      </w:r>
      <w:r/>
    </w:p>
    <w:p>
      <w:pPr>
        <w:pStyle w:val="1038"/>
        <w:numPr>
          <w:ilvl w:val="0"/>
          <w:numId w:val="4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中标人因不可抗力或者自身原因不能履行合同的，采购人可以重新招标，也可以视情与排位在中标供应商之后第一位的中标候选人签订采购合同。</w:t>
      </w:r>
      <w:r>
        <w:rPr>
          <w:rFonts w:hint="eastAsia" w:ascii="宋体" w:hAnsi="宋体" w:eastAsia="宋体" w:cs="宋体"/>
          <w:color w:val="000000"/>
          <w:szCs w:val="21"/>
          <w:highlight w:val="none"/>
        </w:rPr>
      </w:r>
      <w:r/>
    </w:p>
    <w:p>
      <w:pPr>
        <w:pStyle w:val="1038"/>
        <w:numPr>
          <w:ilvl w:val="0"/>
          <w:numId w:val="4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采购人与中标人应当根据合同的约定依法履行合同义务。</w:t>
      </w:r>
      <w:r>
        <w:rPr>
          <w:rFonts w:hint="eastAsia" w:ascii="宋体" w:hAnsi="宋体" w:eastAsia="宋体" w:cs="宋体"/>
          <w:color w:val="000000"/>
          <w:szCs w:val="21"/>
          <w:highlight w:val="none"/>
        </w:rPr>
      </w:r>
      <w:r/>
    </w:p>
    <w:p>
      <w:pPr>
        <w:pStyle w:val="1038"/>
        <w:numPr>
          <w:ilvl w:val="0"/>
          <w:numId w:val="5"/>
        </w:numPr>
        <w:ind w:firstLine="422"/>
        <w:rPr>
          <w:rFonts w:hint="eastAsia" w:ascii="宋体" w:hAnsi="宋体" w:eastAsia="宋体" w:cs="宋体"/>
          <w:b/>
          <w:bCs/>
          <w:color w:val="000000"/>
          <w:szCs w:val="21"/>
          <w:highlight w:val="none"/>
        </w:rPr>
        <w:outlineLvl w:val="1"/>
      </w:pPr>
      <w:r/>
      <w:bookmarkStart w:id="80" w:name="_Toc209510621"/>
      <w:r/>
      <w:bookmarkStart w:id="81" w:name="_Toc209510696"/>
      <w:r/>
      <w:bookmarkStart w:id="82" w:name="_Toc24959"/>
      <w:r/>
      <w:bookmarkStart w:id="83" w:name="_Toc8885"/>
      <w:r/>
      <w:bookmarkStart w:id="84" w:name="_Toc28967"/>
      <w:r/>
      <w:bookmarkStart w:id="85" w:name="_Toc10685"/>
      <w:r/>
      <w:bookmarkStart w:id="86" w:name="_Toc22926"/>
      <w:r>
        <w:rPr>
          <w:rFonts w:hint="eastAsia" w:ascii="宋体" w:hAnsi="宋体" w:eastAsia="宋体" w:cs="宋体"/>
          <w:b/>
          <w:bCs/>
          <w:color w:val="000000"/>
          <w:szCs w:val="21"/>
          <w:highlight w:val="none"/>
        </w:rPr>
        <w:t xml:space="preserve">质疑和投诉</w:t>
      </w:r>
      <w:bookmarkEnd w:id="80"/>
      <w:r/>
      <w:bookmarkEnd w:id="81"/>
      <w:r/>
      <w:bookmarkEnd w:id="82"/>
      <w:r/>
      <w:bookmarkEnd w:id="83"/>
      <w:r/>
      <w:bookmarkEnd w:id="84"/>
      <w:r/>
      <w:bookmarkEnd w:id="85"/>
      <w:r/>
      <w:bookmarkEnd w:id="86"/>
      <w:r>
        <w:rPr>
          <w:rFonts w:hint="eastAsia" w:ascii="宋体" w:hAnsi="宋体" w:eastAsia="宋体" w:cs="宋体"/>
          <w:b/>
          <w:bCs/>
          <w:color w:val="000000"/>
          <w:szCs w:val="21"/>
          <w:highlight w:val="none"/>
        </w:rPr>
      </w:r>
      <w:r/>
    </w:p>
    <w:p>
      <w:pPr>
        <w:pStyle w:val="1038"/>
        <w:ind w:firstLine="422"/>
        <w:rPr>
          <w:rFonts w:hint="eastAsia" w:ascii="宋体" w:hAnsi="宋体" w:eastAsia="宋体" w:cs="宋体"/>
          <w:b/>
          <w:bCs/>
          <w:color w:val="000000"/>
          <w:szCs w:val="21"/>
          <w:highlight w:val="none"/>
        </w:rPr>
      </w:pPr>
      <w:r/>
      <w:bookmarkStart w:id="87" w:name="_Toc29346"/>
      <w:r/>
      <w:bookmarkStart w:id="88" w:name="_Toc209510622"/>
      <w:r/>
      <w:bookmarkStart w:id="89" w:name="_Toc209510697"/>
      <w:r/>
      <w:bookmarkStart w:id="90" w:name="_Toc7947"/>
      <w:r>
        <w:rPr>
          <w:rFonts w:hint="eastAsia" w:ascii="宋体" w:hAnsi="宋体" w:eastAsia="宋体" w:cs="宋体"/>
          <w:b/>
          <w:bCs/>
          <w:color w:val="000000"/>
          <w:szCs w:val="21"/>
          <w:highlight w:val="none"/>
        </w:rPr>
        <w:t xml:space="preserve">27.询问</w:t>
      </w:r>
      <w:bookmarkEnd w:id="87"/>
      <w:r/>
      <w:bookmarkEnd w:id="88"/>
      <w:r/>
      <w:bookmarkEnd w:id="89"/>
      <w:r/>
      <w:bookmarkEnd w:id="90"/>
      <w:r>
        <w:rPr>
          <w:rFonts w:hint="eastAsia" w:ascii="宋体" w:hAnsi="宋体" w:eastAsia="宋体" w:cs="宋体"/>
          <w:b/>
          <w:bCs/>
          <w:color w:val="000000"/>
          <w:szCs w:val="21"/>
          <w:highlight w:val="none"/>
        </w:rPr>
      </w:r>
      <w:r/>
    </w:p>
    <w:p>
      <w:pPr>
        <w:pStyle w:val="1038"/>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27.1 供应商对招标活动事项有疑问的，可以向代理机构或采购人提出询问，代理机构或采购人将在两个工作日内作出答复，但答复的内容不涉及商业秘密。</w:t>
      </w:r>
      <w:r>
        <w:rPr>
          <w:rFonts w:hint="eastAsia" w:ascii="宋体" w:hAnsi="宋体" w:eastAsia="宋体" w:cs="宋体"/>
          <w:color w:val="000000"/>
          <w:szCs w:val="21"/>
          <w:highlight w:val="none"/>
        </w:rPr>
      </w:r>
      <w:r/>
    </w:p>
    <w:p>
      <w:pPr>
        <w:pStyle w:val="1038"/>
        <w:ind w:firstLine="422"/>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28.质疑</w:t>
      </w:r>
      <w:r>
        <w:rPr>
          <w:rFonts w:hint="eastAsia" w:ascii="宋体" w:hAnsi="宋体" w:eastAsia="宋体" w:cs="宋体"/>
          <w:b/>
          <w:bCs/>
          <w:color w:val="000000"/>
          <w:szCs w:val="21"/>
          <w:highlight w:val="none"/>
        </w:rPr>
      </w:r>
      <w:r/>
    </w:p>
    <w:p>
      <w:pPr>
        <w:pStyle w:val="1038"/>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28.1供应商的质疑行为应符合《政府采购质疑和投诉办法》（财政部令第94号）相关规定，质疑供应商是指直接参加本次采购活动的供应商，未参加采购活动的供应商或在采购活动中自身权益未受到损害的供应商所提出的质疑不予受理。</w:t>
      </w:r>
      <w:r>
        <w:rPr>
          <w:rFonts w:hint="eastAsia" w:ascii="宋体" w:hAnsi="宋体" w:eastAsia="宋体" w:cs="宋体"/>
          <w:color w:val="000000"/>
          <w:szCs w:val="21"/>
          <w:highlight w:val="none"/>
        </w:rPr>
      </w:r>
      <w:r/>
    </w:p>
    <w:p>
      <w:pPr>
        <w:pStyle w:val="1038"/>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28.2供应商认为招标文件、采购过程和中标/成交结果使自己的合法权益受到损害的，可以在知道或者应当知道其权益受到损害之日起七个工作日内，以书面形式向采购代理机构或采购人提出质疑。供应商应当在法定质疑期内一次性提出针对同一采购程序环节的质疑。供应商如在法定期限内对同一采购程序环节提出多次质疑的，招标代理机构、采购人将只对供应商第一次质疑作出答复。</w:t>
      </w:r>
      <w:r>
        <w:rPr>
          <w:rFonts w:hint="eastAsia" w:ascii="宋体" w:hAnsi="宋体" w:eastAsia="宋体" w:cs="宋体"/>
          <w:color w:val="000000"/>
          <w:szCs w:val="21"/>
          <w:highlight w:val="none"/>
        </w:rPr>
      </w:r>
      <w:r/>
    </w:p>
    <w:p>
      <w:pPr>
        <w:pStyle w:val="1038"/>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28.3上述应知其权益受到损害之日是指：</w:t>
      </w:r>
      <w:r>
        <w:rPr>
          <w:rFonts w:hint="eastAsia" w:ascii="宋体" w:hAnsi="宋体" w:eastAsia="宋体" w:cs="宋体"/>
          <w:color w:val="000000"/>
          <w:szCs w:val="21"/>
          <w:highlight w:val="none"/>
        </w:rPr>
      </w:r>
      <w:r/>
    </w:p>
    <w:p>
      <w:pPr>
        <w:pStyle w:val="1038"/>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（1）对招标文件提出质疑的，</w:t>
      </w:r>
      <w:r>
        <w:rPr>
          <w:rFonts w:hint="eastAsia" w:ascii="宋体" w:hAnsi="宋体" w:eastAsia="宋体" w:cs="宋体"/>
          <w:color w:val="000000"/>
          <w:szCs w:val="21"/>
          <w:highlight w:val="none"/>
          <w:lang w:eastAsia="zh-CN"/>
        </w:rPr>
        <w:t xml:space="preserve">自</w:t>
      </w:r>
      <w:r>
        <w:rPr>
          <w:rFonts w:hint="eastAsia" w:ascii="宋体" w:hAnsi="宋体" w:eastAsia="宋体" w:cs="宋体"/>
          <w:color w:val="000000"/>
          <w:szCs w:val="21"/>
          <w:highlight w:val="none"/>
        </w:rPr>
        <w:t xml:space="preserve">招标文件公告期限届满之日起计算；</w:t>
      </w:r>
      <w:r>
        <w:rPr>
          <w:rFonts w:hint="eastAsia" w:ascii="宋体" w:hAnsi="宋体" w:eastAsia="宋体" w:cs="宋体"/>
          <w:color w:val="000000"/>
          <w:szCs w:val="21"/>
          <w:highlight w:val="none"/>
        </w:rPr>
      </w:r>
      <w:r/>
    </w:p>
    <w:p>
      <w:pPr>
        <w:pStyle w:val="1038"/>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（2）对采购过程提出质疑的，自采购程序环节结束之日起计算；</w:t>
      </w:r>
      <w:r>
        <w:rPr>
          <w:rFonts w:hint="eastAsia" w:ascii="宋体" w:hAnsi="宋体" w:eastAsia="宋体" w:cs="宋体"/>
          <w:color w:val="000000"/>
          <w:szCs w:val="21"/>
          <w:highlight w:val="none"/>
        </w:rPr>
      </w:r>
      <w:r/>
    </w:p>
    <w:p>
      <w:pPr>
        <w:pStyle w:val="1038"/>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（3）对中标/成交结果提出质疑的，自中标/成交结果公告期限届满之日起计算。  </w:t>
      </w:r>
      <w:r>
        <w:rPr>
          <w:rFonts w:hint="eastAsia" w:ascii="宋体" w:hAnsi="宋体" w:eastAsia="宋体" w:cs="宋体"/>
          <w:color w:val="000000"/>
          <w:szCs w:val="21"/>
          <w:highlight w:val="none"/>
        </w:rPr>
      </w:r>
      <w:r/>
    </w:p>
    <w:p>
      <w:pPr>
        <w:pStyle w:val="1038"/>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28.4 质疑文件应包括以下主要内容，并按照“谁主张、谁举证”的原则，附上相关证明材料。否则，代理人不予受理：</w:t>
      </w:r>
      <w:r>
        <w:rPr>
          <w:rFonts w:hint="eastAsia" w:ascii="宋体" w:hAnsi="宋体" w:eastAsia="宋体" w:cs="宋体"/>
          <w:color w:val="000000"/>
          <w:szCs w:val="21"/>
          <w:highlight w:val="none"/>
        </w:rPr>
      </w:r>
      <w:r/>
    </w:p>
    <w:p>
      <w:pPr>
        <w:pStyle w:val="1038"/>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（1）质疑项目名称、项目编号、采购公告发布时间、开标时间；</w:t>
      </w:r>
      <w:r>
        <w:rPr>
          <w:rFonts w:hint="eastAsia" w:ascii="宋体" w:hAnsi="宋体" w:eastAsia="宋体" w:cs="宋体"/>
          <w:color w:val="000000"/>
          <w:szCs w:val="21"/>
          <w:highlight w:val="none"/>
        </w:rPr>
      </w:r>
      <w:r/>
    </w:p>
    <w:p>
      <w:pPr>
        <w:pStyle w:val="1038"/>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（2）提起质疑的日期、具体的质疑事项及事实根据（具体条款）；</w:t>
      </w:r>
      <w:r>
        <w:rPr>
          <w:rFonts w:hint="eastAsia" w:ascii="宋体" w:hAnsi="宋体" w:eastAsia="宋体" w:cs="宋体"/>
          <w:color w:val="000000"/>
          <w:szCs w:val="21"/>
          <w:highlight w:val="none"/>
        </w:rPr>
      </w:r>
      <w:r/>
    </w:p>
    <w:p>
      <w:pPr>
        <w:pStyle w:val="1038"/>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（3）认为自己合法权益受到损害或可能受到损害的相关证据材料。</w:t>
      </w:r>
      <w:r>
        <w:rPr>
          <w:rFonts w:hint="eastAsia" w:ascii="宋体" w:hAnsi="宋体" w:eastAsia="宋体" w:cs="宋体"/>
          <w:color w:val="000000"/>
          <w:szCs w:val="21"/>
          <w:highlight w:val="none"/>
        </w:rPr>
      </w:r>
      <w:r/>
    </w:p>
    <w:p>
      <w:pPr>
        <w:pStyle w:val="1038"/>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（4）质疑供应商名称、地址、邮编、联系人、联系电话（包括座机、手机、传真号码等）；</w:t>
      </w:r>
      <w:r>
        <w:rPr>
          <w:rFonts w:hint="eastAsia" w:ascii="宋体" w:hAnsi="宋体" w:eastAsia="宋体" w:cs="宋体"/>
          <w:color w:val="000000"/>
          <w:szCs w:val="21"/>
          <w:highlight w:val="none"/>
        </w:rPr>
      </w:r>
      <w:r/>
    </w:p>
    <w:p>
      <w:pPr>
        <w:pStyle w:val="1038"/>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（5）质疑函应当署名，质疑人为自然人的，应当由本人签字并附有效身份证明；质疑人为法人或其他组织的，应当由法定代表人签字并加盖单位公章。</w:t>
      </w:r>
      <w:r>
        <w:rPr>
          <w:rFonts w:hint="eastAsia" w:ascii="宋体" w:hAnsi="宋体" w:eastAsia="宋体" w:cs="宋体"/>
          <w:color w:val="000000"/>
          <w:szCs w:val="21"/>
          <w:highlight w:val="none"/>
        </w:rPr>
      </w:r>
      <w:r/>
    </w:p>
    <w:p>
      <w:pPr>
        <w:pStyle w:val="1038"/>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（6）供应商委托代理质疑的，应当提交授权委托书，并载明委托代理的具体权限和事项。</w:t>
      </w:r>
      <w:r>
        <w:rPr>
          <w:rFonts w:hint="eastAsia" w:ascii="宋体" w:hAnsi="宋体" w:eastAsia="宋体" w:cs="宋体"/>
          <w:color w:val="000000"/>
          <w:szCs w:val="21"/>
          <w:highlight w:val="none"/>
        </w:rPr>
      </w:r>
      <w:r/>
    </w:p>
    <w:p>
      <w:pPr>
        <w:pStyle w:val="1038"/>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28.5质疑材料接收信息：</w:t>
      </w:r>
      <w:r>
        <w:rPr>
          <w:rFonts w:hint="eastAsia" w:ascii="宋体" w:hAnsi="宋体" w:eastAsia="宋体" w:cs="宋体"/>
          <w:color w:val="000000"/>
          <w:szCs w:val="21"/>
          <w:highlight w:val="none"/>
        </w:rPr>
      </w:r>
      <w:r/>
    </w:p>
    <w:p>
      <w:pPr>
        <w:pStyle w:val="1038"/>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（1）接收单位：江苏海外集团国际工程咨询有限公司</w:t>
      </w:r>
      <w:r>
        <w:rPr>
          <w:rFonts w:hint="eastAsia" w:ascii="宋体" w:hAnsi="宋体" w:eastAsia="宋体" w:cs="宋体"/>
          <w:color w:val="000000"/>
          <w:szCs w:val="21"/>
          <w:highlight w:val="none"/>
        </w:rPr>
      </w:r>
      <w:r/>
    </w:p>
    <w:p>
      <w:pPr>
        <w:pStyle w:val="1038"/>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（2）联 系 人：方东</w:t>
      </w:r>
      <w:r>
        <w:rPr>
          <w:rFonts w:hint="eastAsia" w:ascii="宋体" w:hAnsi="宋体" w:eastAsia="宋体" w:cs="宋体"/>
          <w:color w:val="000000"/>
          <w:szCs w:val="21"/>
          <w:highlight w:val="none"/>
        </w:rPr>
      </w:r>
      <w:r/>
    </w:p>
    <w:p>
      <w:pPr>
        <w:pStyle w:val="1038"/>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（3）联系电话：025-84795433/5991</w:t>
      </w:r>
      <w:r>
        <w:rPr>
          <w:rFonts w:hint="eastAsia" w:ascii="宋体" w:hAnsi="宋体" w:eastAsia="宋体" w:cs="宋体"/>
          <w:color w:val="000000"/>
          <w:szCs w:val="21"/>
          <w:highlight w:val="none"/>
        </w:rPr>
      </w:r>
      <w:r/>
    </w:p>
    <w:p>
      <w:pPr>
        <w:pStyle w:val="1038"/>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（4）联系邮箱：fangdong@jocite.com</w:t>
      </w:r>
      <w:r>
        <w:rPr>
          <w:rFonts w:hint="eastAsia" w:ascii="宋体" w:hAnsi="宋体" w:eastAsia="宋体" w:cs="宋体"/>
          <w:color w:val="000000"/>
          <w:szCs w:val="21"/>
          <w:highlight w:val="none"/>
        </w:rPr>
      </w:r>
      <w:r/>
    </w:p>
    <w:p>
      <w:pPr>
        <w:pStyle w:val="1038"/>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（5）接收地址：南京市建邺区云龙山路56号大唐科技大厦A座高区15楼</w:t>
      </w:r>
      <w:r>
        <w:rPr>
          <w:rFonts w:hint="eastAsia" w:ascii="宋体" w:hAnsi="宋体" w:eastAsia="宋体" w:cs="宋体"/>
          <w:color w:val="000000"/>
          <w:szCs w:val="21"/>
          <w:highlight w:val="none"/>
        </w:rPr>
      </w:r>
      <w:r/>
    </w:p>
    <w:p>
      <w:pPr>
        <w:pStyle w:val="1038"/>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28.6 以下情形的质疑不予</w:t>
      </w:r>
      <w:r>
        <w:rPr>
          <w:rFonts w:hint="eastAsia" w:ascii="宋体" w:hAnsi="宋体" w:eastAsia="宋体" w:cs="宋体"/>
          <w:color w:val="000000"/>
          <w:szCs w:val="21"/>
          <w:highlight w:val="none"/>
          <w:lang w:eastAsia="zh-CN"/>
        </w:rPr>
        <w:t xml:space="preserve">受理：</w:t>
      </w:r>
      <w:r>
        <w:rPr>
          <w:rFonts w:hint="eastAsia" w:ascii="宋体" w:hAnsi="宋体" w:eastAsia="宋体" w:cs="宋体"/>
          <w:color w:val="000000"/>
          <w:szCs w:val="21"/>
          <w:highlight w:val="none"/>
        </w:rPr>
      </w:r>
      <w:r/>
    </w:p>
    <w:p>
      <w:pPr>
        <w:pStyle w:val="1038"/>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（1）内容不符合《政府采购质疑和投诉办法》第十二条规定的质疑。</w:t>
      </w:r>
      <w:r>
        <w:rPr>
          <w:rFonts w:hint="eastAsia" w:ascii="宋体" w:hAnsi="宋体" w:eastAsia="宋体" w:cs="宋体"/>
          <w:color w:val="000000"/>
          <w:szCs w:val="21"/>
          <w:highlight w:val="none"/>
        </w:rPr>
      </w:r>
      <w:r/>
    </w:p>
    <w:p>
      <w:pPr>
        <w:pStyle w:val="1038"/>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（2）超出政府采购法定期限的质疑。</w:t>
      </w:r>
      <w:r>
        <w:rPr>
          <w:rFonts w:hint="eastAsia" w:ascii="宋体" w:hAnsi="宋体" w:eastAsia="宋体" w:cs="宋体"/>
          <w:color w:val="000000"/>
          <w:szCs w:val="21"/>
          <w:highlight w:val="none"/>
        </w:rPr>
      </w:r>
      <w:r/>
    </w:p>
    <w:p>
      <w:pPr>
        <w:pStyle w:val="1038"/>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（3）以传真、电子邮件等方式递交的非原件形式的质疑。</w:t>
      </w:r>
      <w:r>
        <w:rPr>
          <w:rFonts w:hint="eastAsia" w:ascii="宋体" w:hAnsi="宋体" w:eastAsia="宋体" w:cs="宋体"/>
          <w:color w:val="000000"/>
          <w:szCs w:val="21"/>
          <w:highlight w:val="none"/>
        </w:rPr>
      </w:r>
      <w:r/>
    </w:p>
    <w:p>
      <w:pPr>
        <w:pStyle w:val="1038"/>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（4）未参加采购活动的供应商或在采购活动中自身权益未受到损害的供应商所提出的质疑。</w:t>
      </w:r>
      <w:r>
        <w:rPr>
          <w:rFonts w:hint="eastAsia" w:ascii="宋体" w:hAnsi="宋体" w:eastAsia="宋体" w:cs="宋体"/>
          <w:color w:val="000000"/>
          <w:szCs w:val="21"/>
          <w:highlight w:val="none"/>
        </w:rPr>
      </w:r>
      <w:r/>
    </w:p>
    <w:p>
      <w:pPr>
        <w:pStyle w:val="1038"/>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（5）供应商组成联合体参加投标，联合体中任何一方或多方未按要求签字、盖章、加盖公章的质疑。</w:t>
      </w:r>
      <w:r>
        <w:rPr>
          <w:rFonts w:hint="eastAsia" w:ascii="宋体" w:hAnsi="宋体" w:eastAsia="宋体" w:cs="宋体"/>
          <w:color w:val="000000"/>
          <w:szCs w:val="21"/>
          <w:highlight w:val="none"/>
        </w:rPr>
      </w:r>
      <w:r/>
    </w:p>
    <w:p>
      <w:pPr>
        <w:pStyle w:val="1038"/>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28.7供应商不得虚假质疑和恶意质疑，并对质疑内容的真实性承担责任。供应商或者其他利害关系人通过捏造事实、伪造证明材料等方式提出异议或投诉，阻碍采购活动正常进行的，属于严重不良行为，采购人（采购代理机构）将提请财政部门将其列入不良行为记录名单，并依法予以处罚。</w:t>
      </w:r>
      <w:r>
        <w:rPr>
          <w:rFonts w:hint="eastAsia" w:ascii="宋体" w:hAnsi="宋体" w:eastAsia="宋体" w:cs="宋体"/>
          <w:color w:val="000000"/>
          <w:szCs w:val="21"/>
          <w:highlight w:val="none"/>
        </w:rPr>
      </w:r>
      <w:r/>
    </w:p>
    <w:p>
      <w:pPr>
        <w:pStyle w:val="1038"/>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28.8采购人（采购代理机构）在收到供应商的书面质疑后将及时组织调查核实，在七个工作日内作出答复，并以书面形式通知质疑供应商和其他有关供应商，答复的内容不涉及商业秘密。</w:t>
      </w:r>
      <w:r>
        <w:rPr>
          <w:rFonts w:hint="eastAsia" w:ascii="宋体" w:hAnsi="宋体" w:eastAsia="宋体" w:cs="宋体"/>
          <w:color w:val="000000"/>
          <w:szCs w:val="21"/>
          <w:highlight w:val="none"/>
        </w:rPr>
      </w:r>
      <w:r/>
    </w:p>
    <w:p>
      <w:pPr>
        <w:pStyle w:val="1038"/>
        <w:ind w:firstLine="422"/>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29.投诉</w:t>
      </w:r>
      <w:r>
        <w:rPr>
          <w:rFonts w:hint="eastAsia" w:ascii="宋体" w:hAnsi="宋体" w:eastAsia="宋体" w:cs="宋体"/>
          <w:b/>
          <w:bCs/>
          <w:color w:val="000000"/>
          <w:szCs w:val="21"/>
          <w:highlight w:val="none"/>
        </w:rPr>
      </w:r>
      <w:r/>
    </w:p>
    <w:p>
      <w:pPr>
        <w:pStyle w:val="1038"/>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29.1质疑供应商对采购人（采购代理机构）的答复不满意或者采购人（采购代理机构）未在规定的时间内作出答复的，可以在答复期满后十五个工作日内向同级政府采购监督管理部门投诉。</w:t>
      </w:r>
      <w:r>
        <w:rPr>
          <w:rFonts w:hint="eastAsia" w:ascii="宋体" w:hAnsi="宋体" w:eastAsia="宋体" w:cs="宋体"/>
          <w:color w:val="000000"/>
          <w:szCs w:val="21"/>
          <w:highlight w:val="none"/>
        </w:rPr>
      </w:r>
      <w:r/>
    </w:p>
    <w:p>
      <w:pPr>
        <w:pStyle w:val="1038"/>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29.2质疑供应商的投诉应当有明确的请求和必要的证明材料，其投诉的事项不得超出已质疑事项的范围。</w:t>
      </w:r>
      <w:r>
        <w:rPr>
          <w:rFonts w:hint="eastAsia" w:ascii="宋体" w:hAnsi="宋体" w:eastAsia="宋体" w:cs="宋体"/>
          <w:color w:val="000000"/>
          <w:szCs w:val="21"/>
          <w:highlight w:val="none"/>
        </w:rPr>
      </w:r>
      <w:r/>
    </w:p>
    <w:p>
      <w:pPr>
        <w:pStyle w:val="1038"/>
        <w:rPr>
          <w:rFonts w:hint="eastAsia" w:ascii="宋体" w:hAnsi="宋体" w:eastAsia="宋体" w:cs="宋体"/>
          <w:bCs/>
          <w:color w:val="000000"/>
          <w:sz w:val="22"/>
          <w:szCs w:val="22"/>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Cs/>
          <w:color w:val="000000"/>
          <w:sz w:val="22"/>
          <w:szCs w:val="22"/>
          <w:highlight w:val="none"/>
        </w:rPr>
      </w:r>
      <w:r/>
    </w:p>
    <w:p>
      <w:pPr>
        <w:pStyle w:val="1039"/>
        <w:ind w:firstLine="0"/>
        <w:spacing w:before="480"/>
        <w:tabs>
          <w:tab w:val="left" w:pos="1440" w:leader="none"/>
          <w:tab w:val="left" w:pos="5670" w:leader="none"/>
        </w:tabs>
        <w:rPr>
          <w:rFonts w:hint="eastAsia" w:ascii="宋体" w:hAnsi="宋体" w:eastAsia="宋体" w:cs="宋体"/>
          <w:color w:val="000000"/>
          <w:highlight w:val="none"/>
        </w:rPr>
      </w:pPr>
      <w:r/>
      <w:bookmarkStart w:id="91" w:name="_Toc7217"/>
      <w:r>
        <w:rPr>
          <w:rFonts w:hint="eastAsia" w:ascii="宋体" w:hAnsi="宋体" w:eastAsia="宋体" w:cs="宋体"/>
          <w:color w:val="000000"/>
          <w:highlight w:val="none"/>
        </w:rPr>
        <w:t xml:space="preserve">第三章 评分标准</w:t>
      </w:r>
      <w:bookmarkEnd w:id="27"/>
      <w:r/>
      <w:bookmarkEnd w:id="28"/>
      <w:r/>
      <w:bookmarkEnd w:id="91"/>
      <w:r>
        <w:rPr>
          <w:rFonts w:hint="eastAsia" w:ascii="宋体" w:hAnsi="宋体" w:eastAsia="宋体" w:cs="宋体"/>
          <w:color w:val="000000"/>
          <w:highlight w:val="none"/>
        </w:rPr>
      </w:r>
      <w:r/>
    </w:p>
    <w:p>
      <w:pPr>
        <w:pStyle w:val="1038"/>
        <w:ind w:firstLine="440"/>
        <w:rPr>
          <w:rFonts w:hint="eastAsia" w:ascii="宋体" w:hAnsi="宋体" w:eastAsia="宋体" w:cs="宋体"/>
          <w:color w:val="000000"/>
          <w:sz w:val="22"/>
          <w:szCs w:val="22"/>
          <w:highlight w:val="none"/>
        </w:rPr>
      </w:pPr>
      <w:r/>
      <w:bookmarkStart w:id="92" w:name="OLE_LINK14"/>
      <w:r>
        <w:rPr>
          <w:rFonts w:hint="eastAsia" w:ascii="宋体" w:hAnsi="宋体" w:eastAsia="宋体" w:cs="宋体"/>
          <w:color w:val="000000"/>
          <w:sz w:val="22"/>
          <w:szCs w:val="22"/>
          <w:highlight w:val="none"/>
        </w:rPr>
        <w:t xml:space="preserve">本项目采用综合评分法确定中标候选人（3名）。评标委员会将按以下评标办法和标准进行评分。总分值为100分，小数点后保留两位。评审后总得分由高到低顺序排列，总得分相同的，按投标报价由低到高顺序排列，总得分且投标报价相同的，按技术部分指标优劣顺序排列。</w:t>
      </w:r>
      <w:r>
        <w:rPr>
          <w:rFonts w:hint="eastAsia" w:ascii="宋体" w:hAnsi="宋体" w:eastAsia="宋体" w:cs="宋体"/>
          <w:color w:val="000000"/>
          <w:sz w:val="22"/>
          <w:szCs w:val="22"/>
          <w:highlight w:val="none"/>
        </w:rPr>
      </w:r>
      <w:r/>
    </w:p>
    <w:p>
      <w:pPr>
        <w:pStyle w:val="1038"/>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如供应商的报价明显低于其他通过资格及符合性审查供应商的报价，未能提供相关价格构成有可能影响服务质量或者不能诚信履约的按无效响应处理。具体评审办法如下：</w:t>
      </w:r>
      <w:r>
        <w:rPr>
          <w:rFonts w:hint="eastAsia" w:ascii="宋体" w:hAnsi="宋体" w:eastAsia="宋体" w:cs="宋体"/>
          <w:color w:val="000000"/>
          <w:sz w:val="22"/>
          <w:szCs w:val="22"/>
          <w:highlight w:val="none"/>
        </w:rPr>
      </w:r>
      <w:r/>
    </w:p>
    <w:p>
      <w:pPr>
        <w:pStyle w:val="1038"/>
        <w:ind w:firstLine="442"/>
        <w:rPr>
          <w:rFonts w:hint="eastAsia" w:ascii="宋体" w:hAnsi="宋体" w:eastAsia="宋体" w:cs="宋体"/>
          <w:color w:val="000000"/>
          <w:sz w:val="22"/>
          <w:szCs w:val="22"/>
          <w:highlight w:val="none"/>
        </w:rPr>
      </w:pPr>
      <w:r/>
      <w:bookmarkEnd w:id="92"/>
      <w:r>
        <w:rPr>
          <w:rFonts w:hint="eastAsia" w:ascii="宋体" w:hAnsi="宋体" w:eastAsia="宋体" w:cs="宋体"/>
          <w:b/>
          <w:bCs/>
          <w:color w:val="000000"/>
          <w:sz w:val="22"/>
          <w:szCs w:val="22"/>
          <w:highlight w:val="none"/>
          <w:lang w:val="zh-CN"/>
        </w:rPr>
        <w:t xml:space="preserve">评标细则</w:t>
      </w:r>
      <w:r>
        <w:rPr>
          <w:rFonts w:hint="eastAsia" w:ascii="宋体" w:hAnsi="宋体" w:eastAsia="宋体" w:cs="宋体"/>
          <w:color w:val="000000"/>
          <w:sz w:val="22"/>
          <w:szCs w:val="22"/>
          <w:highlight w:val="none"/>
        </w:rPr>
      </w:r>
      <w:r/>
    </w:p>
    <w:p>
      <w:pPr>
        <w:pStyle w:val="1038"/>
        <w:ind w:firstLine="442"/>
        <w:rPr>
          <w:rFonts w:hint="eastAsia" w:ascii="宋体" w:hAnsi="宋体" w:eastAsia="宋体" w:cs="宋体"/>
          <w:b/>
          <w:color w:val="000000"/>
          <w:sz w:val="22"/>
          <w:szCs w:val="22"/>
          <w:highlight w:val="none"/>
        </w:rPr>
        <w:outlineLvl w:val="1"/>
      </w:pPr>
      <w:r/>
      <w:bookmarkStart w:id="93" w:name="_Toc28196"/>
      <w:r>
        <w:rPr>
          <w:rFonts w:hint="eastAsia" w:ascii="宋体" w:hAnsi="宋体" w:eastAsia="宋体" w:cs="宋体"/>
          <w:b/>
          <w:color w:val="000000"/>
          <w:sz w:val="22"/>
          <w:szCs w:val="22"/>
          <w:highlight w:val="none"/>
        </w:rPr>
        <w:t xml:space="preserve">一、资格性审查</w:t>
      </w:r>
      <w:bookmarkEnd w:id="93"/>
      <w:r>
        <w:rPr>
          <w:rFonts w:hint="eastAsia" w:ascii="宋体" w:hAnsi="宋体" w:eastAsia="宋体" w:cs="宋体"/>
          <w:b/>
          <w:color w:val="000000"/>
          <w:sz w:val="22"/>
          <w:szCs w:val="22"/>
          <w:highlight w:val="none"/>
        </w:rPr>
      </w:r>
      <w:r/>
    </w:p>
    <w:tbl>
      <w:tblPr>
        <w:tblW w:w="4997"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303"/>
        <w:gridCol w:w="5057"/>
        <w:gridCol w:w="1897"/>
        <w:gridCol w:w="1699"/>
      </w:tblGrid>
      <w:tr>
        <w:trPr>
          <w:trHeight w:val="23"/>
        </w:trPr>
        <w:tc>
          <w:tcPr>
            <w:tcBorders>
              <w:top w:val="single" w:color="000000" w:sz="2" w:space="0"/>
              <w:left w:val="single" w:color="000000" w:sz="2" w:space="0"/>
              <w:bottom w:val="single" w:color="000000" w:sz="2" w:space="0"/>
              <w:right w:val="single" w:color="000000" w:sz="2" w:space="0"/>
            </w:tcBorders>
            <w:tcW w:w="1304" w:type="dxa"/>
            <w:vAlign w:val="center"/>
            <w:textDirection w:val="lrTb"/>
            <w:noWrap w:val="false"/>
          </w:tcPr>
          <w:p>
            <w:pPr>
              <w:pStyle w:val="1038"/>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序号</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58" w:type="dxa"/>
            <w:vAlign w:val="center"/>
            <w:textDirection w:val="lrTb"/>
            <w:noWrap w:val="false"/>
          </w:tcPr>
          <w:p>
            <w:pPr>
              <w:pStyle w:val="1038"/>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评定标准</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897" w:type="dxa"/>
            <w:vAlign w:val="center"/>
            <w:textDirection w:val="lrTb"/>
            <w:noWrap w:val="false"/>
          </w:tcPr>
          <w:p>
            <w:pPr>
              <w:pStyle w:val="1038"/>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通过√</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9" w:type="dxa"/>
            <w:vAlign w:val="center"/>
            <w:textDirection w:val="lrTb"/>
            <w:noWrap w:val="false"/>
          </w:tcPr>
          <w:p>
            <w:pPr>
              <w:pStyle w:val="1038"/>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未通过×</w:t>
            </w:r>
            <w:r>
              <w:rPr>
                <w:rFonts w:hint="eastAsia" w:ascii="宋体" w:hAnsi="宋体" w:eastAsia="宋体" w:cs="宋体"/>
                <w:color w:val="000000"/>
                <w:sz w:val="22"/>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304" w:type="dxa"/>
            <w:vAlign w:val="center"/>
            <w:textDirection w:val="lrTb"/>
            <w:noWrap w:val="false"/>
          </w:tcPr>
          <w:p>
            <w:pPr>
              <w:pStyle w:val="1038"/>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1</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58" w:type="dxa"/>
            <w:vAlign w:val="center"/>
            <w:textDirection w:val="lrTb"/>
            <w:noWrap w:val="false"/>
          </w:tcPr>
          <w:p>
            <w:pPr>
              <w:pStyle w:val="1038"/>
              <w:ind w:right="-130"/>
              <w:jc w:val="center"/>
              <w:spacing w:line="300" w:lineRule="auto"/>
              <w:tabs>
                <w:tab w:val="left" w:pos="709" w:leader="none"/>
              </w:tabs>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投标人资质要求</w:t>
            </w:r>
            <w:r>
              <w:rPr>
                <w:rFonts w:hint="eastAsia" w:ascii="宋体" w:hAnsi="宋体" w:eastAsia="宋体" w:cs="宋体"/>
                <w:color w:val="000000"/>
                <w:sz w:val="22"/>
                <w:highlight w:val="none"/>
              </w:rPr>
            </w:r>
            <w:r/>
          </w:p>
        </w:tc>
        <w:tc>
          <w:tcPr>
            <w:tcBorders>
              <w:top w:val="single" w:color="000000" w:sz="2" w:space="0"/>
              <w:left w:val="single" w:color="000000" w:sz="2" w:space="0"/>
              <w:bottom w:val="single" w:color="000000" w:sz="2" w:space="0"/>
              <w:right w:val="single" w:color="000000" w:sz="2" w:space="0"/>
            </w:tcBorders>
            <w:tcW w:w="1897" w:type="dxa"/>
            <w:vAlign w:val="center"/>
            <w:textDirection w:val="lrTb"/>
            <w:noWrap w:val="false"/>
          </w:tcPr>
          <w:p>
            <w:pPr>
              <w:pStyle w:val="1038"/>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9" w:type="dxa"/>
            <w:vAlign w:val="center"/>
            <w:textDirection w:val="lrTb"/>
            <w:noWrap w:val="false"/>
          </w:tcPr>
          <w:p>
            <w:pPr>
              <w:pStyle w:val="1038"/>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r>
    </w:tbl>
    <w:p>
      <w:pPr>
        <w:pStyle w:val="1038"/>
        <w:ind w:firstLine="442"/>
        <w:rPr>
          <w:rFonts w:hint="eastAsia" w:ascii="宋体" w:hAnsi="宋体" w:eastAsia="宋体" w:cs="宋体"/>
          <w:b/>
          <w:color w:val="000000"/>
          <w:sz w:val="22"/>
          <w:szCs w:val="22"/>
          <w:highlight w:val="none"/>
        </w:rPr>
        <w:outlineLvl w:val="1"/>
      </w:pPr>
      <w:r/>
      <w:bookmarkStart w:id="94" w:name="_Toc14304"/>
      <w:r>
        <w:rPr>
          <w:rFonts w:hint="eastAsia" w:ascii="宋体" w:hAnsi="宋体" w:eastAsia="宋体" w:cs="宋体"/>
          <w:b/>
          <w:color w:val="000000"/>
          <w:sz w:val="22"/>
          <w:szCs w:val="22"/>
          <w:highlight w:val="none"/>
        </w:rPr>
        <w:t xml:space="preserve">二、符合性审查</w:t>
      </w:r>
      <w:bookmarkEnd w:id="94"/>
      <w:r>
        <w:rPr>
          <w:rFonts w:hint="eastAsia" w:ascii="宋体" w:hAnsi="宋体" w:eastAsia="宋体" w:cs="宋体"/>
          <w:b/>
          <w:color w:val="000000"/>
          <w:sz w:val="22"/>
          <w:szCs w:val="22"/>
          <w:highlight w:val="none"/>
        </w:rPr>
      </w:r>
      <w:r/>
    </w:p>
    <w:tbl>
      <w:tblPr>
        <w:tblW w:w="4998"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295"/>
        <w:gridCol w:w="5092"/>
        <w:gridCol w:w="1877"/>
        <w:gridCol w:w="1694"/>
      </w:tblGrid>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038"/>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序号</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038"/>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评定标准</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038"/>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通过√</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038"/>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未通过×</w:t>
            </w:r>
            <w:r>
              <w:rPr>
                <w:rFonts w:hint="eastAsia" w:ascii="宋体" w:hAnsi="宋体" w:eastAsia="宋体" w:cs="宋体"/>
                <w:color w:val="000000"/>
                <w:sz w:val="22"/>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038"/>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1</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038"/>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rPr>
              <w:t xml:space="preserve">投标报价是否超过采购预算或限价</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038"/>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038"/>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038"/>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2</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038"/>
              <w:ind w:right="-130"/>
              <w:jc w:val="center"/>
              <w:spacing w:line="300" w:lineRule="auto"/>
              <w:tabs>
                <w:tab w:val="left" w:pos="709" w:leader="none"/>
              </w:tabs>
              <w:rPr>
                <w:rFonts w:hint="eastAsia" w:ascii="宋体" w:hAnsi="宋体" w:eastAsia="宋体" w:cs="宋体"/>
                <w:color w:val="000000"/>
                <w:sz w:val="22"/>
                <w:highlight w:val="none"/>
              </w:rPr>
            </w:pPr>
            <w:r>
              <w:rPr>
                <w:rFonts w:hint="eastAsia" w:ascii="宋体" w:hAnsi="宋体" w:eastAsia="宋体" w:cs="宋体"/>
                <w:color w:val="000000"/>
                <w:sz w:val="22"/>
                <w:highlight w:val="none"/>
                <w:lang w:val="zh-CN"/>
              </w:rPr>
              <w:t xml:space="preserve">投标文件的有效性（</w:t>
            </w:r>
            <w:r>
              <w:rPr>
                <w:rFonts w:hint="eastAsia" w:ascii="宋体" w:hAnsi="宋体" w:eastAsia="宋体" w:cs="宋体"/>
                <w:color w:val="000000"/>
                <w:sz w:val="22"/>
                <w:highlight w:val="none"/>
              </w:rPr>
              <w:t xml:space="preserve">是否签字盖章）</w:t>
            </w:r>
            <w:r>
              <w:rPr>
                <w:rFonts w:hint="eastAsia" w:ascii="宋体" w:hAnsi="宋体" w:eastAsia="宋体" w:cs="宋体"/>
                <w:color w:val="000000"/>
                <w:sz w:val="22"/>
                <w:highlight w:val="none"/>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038"/>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038"/>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r>
      <w:tr>
        <w:trPr>
          <w:trHeight w:val="90"/>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038"/>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rPr>
              <w:t xml:space="preserve">3</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038"/>
              <w:ind w:right="-130"/>
              <w:jc w:val="center"/>
              <w:spacing w:line="300" w:lineRule="auto"/>
              <w:tabs>
                <w:tab w:val="left" w:pos="709" w:leader="none"/>
              </w:tabs>
              <w:rPr>
                <w:rFonts w:hint="eastAsia" w:ascii="宋体" w:hAnsi="宋体" w:eastAsia="宋体" w:cs="宋体"/>
                <w:color w:val="000000"/>
                <w:sz w:val="22"/>
                <w:highlight w:val="none"/>
              </w:rPr>
            </w:pPr>
            <w:r>
              <w:rPr>
                <w:rFonts w:hint="eastAsia" w:ascii="宋体" w:hAnsi="宋体" w:eastAsia="宋体" w:cs="宋体"/>
                <w:color w:val="000000"/>
                <w:sz w:val="22"/>
                <w:highlight w:val="none"/>
                <w:lang w:val="zh-CN"/>
              </w:rPr>
              <w:t xml:space="preserve">投标文件的完整性</w:t>
            </w:r>
            <w:r>
              <w:rPr>
                <w:rFonts w:hint="eastAsia" w:ascii="宋体" w:hAnsi="宋体" w:eastAsia="宋体" w:cs="宋体"/>
                <w:color w:val="000000"/>
                <w:sz w:val="22"/>
                <w:highlight w:val="none"/>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038"/>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038"/>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038"/>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rPr>
              <w:t xml:space="preserve">4</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038"/>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符合</w:t>
            </w:r>
            <w:r>
              <w:rPr>
                <w:rFonts w:hint="eastAsia" w:ascii="宋体" w:hAnsi="宋体" w:eastAsia="宋体" w:cs="宋体"/>
                <w:color w:val="000000"/>
                <w:sz w:val="22"/>
                <w:highlight w:val="none"/>
              </w:rPr>
              <w:t xml:space="preserve">招标</w:t>
            </w:r>
            <w:r>
              <w:rPr>
                <w:rFonts w:hint="eastAsia" w:ascii="宋体" w:hAnsi="宋体" w:eastAsia="宋体" w:cs="宋体"/>
                <w:color w:val="000000"/>
                <w:sz w:val="22"/>
                <w:highlight w:val="none"/>
                <w:lang w:val="zh-CN"/>
              </w:rPr>
              <w:t xml:space="preserve">文件第六章格式中（1-</w:t>
            </w:r>
            <w:r>
              <w:rPr>
                <w:rFonts w:hint="eastAsia" w:ascii="宋体" w:hAnsi="宋体" w:eastAsia="宋体" w:cs="宋体"/>
                <w:color w:val="000000"/>
                <w:sz w:val="22"/>
                <w:highlight w:val="none"/>
              </w:rPr>
              <w:t xml:space="preserve">6</w:t>
            </w:r>
            <w:r>
              <w:rPr>
                <w:rFonts w:hint="eastAsia" w:ascii="宋体" w:hAnsi="宋体" w:eastAsia="宋体" w:cs="宋体"/>
                <w:color w:val="000000"/>
                <w:sz w:val="22"/>
                <w:highlight w:val="none"/>
                <w:lang w:val="zh-CN"/>
              </w:rPr>
              <w:t xml:space="preserve">）</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038"/>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038"/>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038"/>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rPr>
              <w:t xml:space="preserve">5</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038"/>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不存在重大负偏离</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038"/>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038"/>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r>
    </w:tbl>
    <w:p>
      <w:pPr>
        <w:pStyle w:val="1038"/>
        <w:ind w:firstLine="442"/>
        <w:rPr>
          <w:rFonts w:hint="eastAsia" w:ascii="宋体" w:hAnsi="宋体" w:eastAsia="宋体" w:cs="宋体"/>
          <w:b/>
          <w:color w:val="000000"/>
          <w:sz w:val="22"/>
          <w:szCs w:val="22"/>
          <w:highlight w:val="none"/>
        </w:rPr>
        <w:outlineLvl w:val="1"/>
      </w:pPr>
      <w:r/>
      <w:bookmarkStart w:id="95" w:name="_Toc7288"/>
      <w:r/>
      <w:bookmarkStart w:id="96" w:name="_Toc6239"/>
      <w:r>
        <w:rPr>
          <w:rFonts w:hint="eastAsia" w:ascii="宋体" w:hAnsi="宋体" w:eastAsia="宋体" w:cs="宋体"/>
          <w:b/>
          <w:color w:val="000000"/>
          <w:sz w:val="22"/>
          <w:szCs w:val="22"/>
          <w:highlight w:val="none"/>
        </w:rPr>
        <w:t xml:space="preserve">三、异常低价投标（响应）审查</w:t>
      </w:r>
      <w:bookmarkEnd w:id="95"/>
      <w:r/>
      <w:bookmarkEnd w:id="96"/>
      <w:r>
        <w:rPr>
          <w:rFonts w:hint="eastAsia" w:ascii="宋体" w:hAnsi="宋体" w:eastAsia="宋体" w:cs="宋体"/>
          <w:b/>
          <w:color w:val="000000"/>
          <w:sz w:val="22"/>
          <w:szCs w:val="22"/>
          <w:highlight w:val="none"/>
        </w:rPr>
      </w:r>
      <w:r/>
    </w:p>
    <w:p>
      <w:pPr>
        <w:pStyle w:val="1038"/>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1.依据《关于推动解决政府采购异常低价问题的通知》（财库〔2026〕2号），政府采购评审中出现下列情形之一的，评审委员会应当启动异常低价投标（响应）审查程序：</w:t>
      </w:r>
      <w:r>
        <w:rPr>
          <w:rFonts w:hint="eastAsia" w:ascii="宋体" w:hAnsi="宋体" w:eastAsia="宋体" w:cs="宋体"/>
          <w:color w:val="000000"/>
          <w:sz w:val="22"/>
          <w:szCs w:val="22"/>
          <w:highlight w:val="none"/>
        </w:rPr>
      </w:r>
      <w:r/>
    </w:p>
    <w:p>
      <w:pPr>
        <w:pStyle w:val="1038"/>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（1）投标（响应）报价低于全部通过符合性审查供应商投标（响应）报价平均值</w:t>
      </w:r>
      <w:r>
        <w:rPr>
          <w:rFonts w:hint="eastAsia" w:ascii="宋体" w:hAnsi="宋体" w:eastAsia="宋体" w:cs="宋体"/>
          <w:color w:val="000000"/>
          <w:sz w:val="22"/>
          <w:szCs w:val="22"/>
          <w:highlight w:val="none"/>
          <w:lang w:val="en-US" w:eastAsia="zh-CN"/>
        </w:rPr>
        <w:t xml:space="preserve">65</w:t>
      </w:r>
      <w:r>
        <w:rPr>
          <w:rFonts w:hint="eastAsia" w:ascii="宋体" w:hAnsi="宋体" w:eastAsia="宋体" w:cs="宋体"/>
          <w:color w:val="000000"/>
          <w:sz w:val="22"/>
          <w:szCs w:val="22"/>
          <w:highlight w:val="none"/>
        </w:rPr>
        <w:t xml:space="preserve">%的，即投标（响应）报价&lt;全部通过符合性审查供应商投标（响应）报价平均值×</w:t>
      </w:r>
      <w:r>
        <w:rPr>
          <w:rFonts w:hint="eastAsia" w:ascii="宋体" w:hAnsi="宋体" w:eastAsia="宋体" w:cs="宋体"/>
          <w:color w:val="000000"/>
          <w:sz w:val="22"/>
          <w:szCs w:val="22"/>
          <w:highlight w:val="none"/>
          <w:lang w:val="en-US" w:eastAsia="zh-CN"/>
        </w:rPr>
        <w:t xml:space="preserve">65</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rPr>
      </w:r>
      <w:r/>
    </w:p>
    <w:p>
      <w:pPr>
        <w:pStyle w:val="1038"/>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（2）投标（响应）报价低于通过符合性审查的次低报价供应商投标（响应）报价</w:t>
      </w:r>
      <w:r>
        <w:rPr>
          <w:rFonts w:hint="eastAsia" w:ascii="宋体" w:hAnsi="宋体" w:eastAsia="宋体" w:cs="宋体"/>
          <w:color w:val="000000"/>
          <w:sz w:val="22"/>
          <w:szCs w:val="22"/>
          <w:highlight w:val="none"/>
          <w:lang w:val="en-US" w:eastAsia="zh-CN"/>
        </w:rPr>
        <w:t xml:space="preserve">65</w:t>
      </w:r>
      <w:r>
        <w:rPr>
          <w:rFonts w:hint="eastAsia" w:ascii="宋体" w:hAnsi="宋体" w:eastAsia="宋体" w:cs="宋体"/>
          <w:color w:val="000000"/>
          <w:sz w:val="22"/>
          <w:szCs w:val="22"/>
          <w:highlight w:val="none"/>
        </w:rPr>
        <w:t xml:space="preserve">%的，即投标（响应）报价&lt;通过符合性审查的次低报价供应商投标（响应）报价×</w:t>
      </w:r>
      <w:r>
        <w:rPr>
          <w:rFonts w:hint="eastAsia" w:ascii="宋体" w:hAnsi="宋体" w:eastAsia="宋体" w:cs="宋体"/>
          <w:color w:val="000000"/>
          <w:sz w:val="22"/>
          <w:szCs w:val="22"/>
          <w:highlight w:val="none"/>
          <w:lang w:val="en-US" w:eastAsia="zh-CN"/>
        </w:rPr>
        <w:t xml:space="preserve">65</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rPr>
      </w:r>
      <w:r/>
    </w:p>
    <w:p>
      <w:pPr>
        <w:pStyle w:val="1038"/>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（3）投标（响应）报价低于采购项目最高限价</w:t>
      </w:r>
      <w:r>
        <w:rPr>
          <w:rFonts w:hint="eastAsia" w:ascii="宋体" w:hAnsi="宋体" w:eastAsia="宋体" w:cs="宋体"/>
          <w:color w:val="000000"/>
          <w:sz w:val="22"/>
          <w:szCs w:val="22"/>
          <w:highlight w:val="none"/>
          <w:lang w:val="en-US" w:eastAsia="zh-CN"/>
        </w:rPr>
        <w:t xml:space="preserve">65</w:t>
      </w:r>
      <w:r>
        <w:rPr>
          <w:rFonts w:hint="eastAsia" w:ascii="宋体" w:hAnsi="宋体" w:eastAsia="宋体" w:cs="宋体"/>
          <w:color w:val="000000"/>
          <w:sz w:val="22"/>
          <w:szCs w:val="22"/>
          <w:highlight w:val="none"/>
        </w:rPr>
        <w:t xml:space="preserve">%的，即投标（响应）报价&lt;采购项目最高限价×</w:t>
      </w:r>
      <w:r>
        <w:rPr>
          <w:rFonts w:hint="eastAsia" w:ascii="宋体" w:hAnsi="宋体" w:eastAsia="宋体" w:cs="宋体"/>
          <w:color w:val="000000"/>
          <w:sz w:val="22"/>
          <w:szCs w:val="22"/>
          <w:highlight w:val="none"/>
          <w:lang w:val="en-US" w:eastAsia="zh-CN"/>
        </w:rPr>
        <w:t xml:space="preserve">65</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rPr>
      </w:r>
      <w:r/>
    </w:p>
    <w:p>
      <w:pPr>
        <w:pStyle w:val="1038"/>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（4）评审委员会基于专业判断，认为供应商报价过低，有可能影响产品质量或者不能诚信履约的其他情形。 </w:t>
      </w:r>
      <w:r>
        <w:rPr>
          <w:rFonts w:hint="eastAsia" w:ascii="宋体" w:hAnsi="宋体" w:eastAsia="宋体" w:cs="宋体"/>
          <w:color w:val="000000"/>
          <w:sz w:val="22"/>
          <w:szCs w:val="22"/>
          <w:highlight w:val="none"/>
        </w:rPr>
      </w:r>
      <w:r/>
    </w:p>
    <w:p>
      <w:pPr>
        <w:pStyle w:val="1038"/>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采购人可以结合具体项目实际情况，提高上述第（1）项至第（3）项中启动异常低价投标（响应）审查的数值标准，但是最高不得超过65%。 </w:t>
      </w:r>
      <w:r>
        <w:rPr>
          <w:rFonts w:hint="eastAsia" w:ascii="宋体" w:hAnsi="宋体" w:eastAsia="宋体" w:cs="宋体"/>
          <w:color w:val="000000"/>
          <w:sz w:val="22"/>
          <w:szCs w:val="22"/>
          <w:highlight w:val="none"/>
        </w:rPr>
      </w:r>
      <w:r/>
    </w:p>
    <w:p>
      <w:pPr>
        <w:pStyle w:val="1038"/>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相关法律法规对供应商报价有规定的，从其规定。</w:t>
      </w:r>
      <w:r>
        <w:rPr>
          <w:rFonts w:hint="eastAsia" w:ascii="宋体" w:hAnsi="宋体" w:eastAsia="宋体" w:cs="宋体"/>
          <w:color w:val="000000"/>
          <w:sz w:val="22"/>
          <w:szCs w:val="22"/>
          <w:highlight w:val="none"/>
        </w:rPr>
      </w:r>
      <w:r/>
    </w:p>
    <w:p>
      <w:pPr>
        <w:pStyle w:val="1038"/>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hint="eastAsia" w:ascii="宋体" w:hAnsi="宋体" w:eastAsia="宋体" w:cs="宋体"/>
          <w:color w:val="000000"/>
          <w:sz w:val="22"/>
          <w:szCs w:val="22"/>
          <w:highlight w:val="none"/>
        </w:rPr>
      </w:r>
      <w:r/>
    </w:p>
    <w:p>
      <w:pPr>
        <w:pStyle w:val="1038"/>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ascii="宋体" w:hAnsi="宋体" w:eastAsia="宋体" w:cs="宋体"/>
          <w:color w:val="000000"/>
          <w:sz w:val="22"/>
          <w:szCs w:val="22"/>
          <w:highlight w:val="none"/>
        </w:rPr>
      </w:r>
      <w:r/>
    </w:p>
    <w:p>
      <w:pPr>
        <w:pStyle w:val="1038"/>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rPr>
          <w:rFonts w:hint="eastAsia" w:ascii="宋体" w:hAnsi="宋体" w:eastAsia="宋体" w:cs="宋体"/>
          <w:color w:val="000000"/>
          <w:sz w:val="22"/>
          <w:szCs w:val="22"/>
          <w:highlight w:val="none"/>
        </w:rPr>
      </w:r>
      <w:r/>
    </w:p>
    <w:p>
      <w:pPr>
        <w:pStyle w:val="1038"/>
        <w:ind w:firstLine="440"/>
        <w:rPr>
          <w:rFonts w:hint="eastAsia" w:ascii="宋体" w:hAnsi="宋体" w:eastAsia="宋体" w:cs="宋体"/>
          <w:b/>
          <w:color w:val="000000"/>
          <w:sz w:val="22"/>
          <w:szCs w:val="22"/>
          <w:highlight w:val="none"/>
        </w:rPr>
      </w:pPr>
      <w:r>
        <w:rPr>
          <w:rFonts w:hint="eastAsia" w:ascii="宋体" w:hAnsi="宋体" w:eastAsia="宋体" w:cs="宋体"/>
          <w:color w:val="000000"/>
          <w:sz w:val="22"/>
          <w:szCs w:val="22"/>
          <w:highlight w:val="none"/>
        </w:rPr>
        <w:t xml:space="preserve">异常低价投标（响应）审查的启动原因、审查意见和审查结果应当在评审报告中记录，并随供应商提供的相关书面说明及证明材料，以及评审委员会有关互联网浏览、查询历史一并归档。</w:t>
      </w:r>
      <w:bookmarkStart w:id="97" w:name="_Toc25427"/>
      <w:r>
        <w:rPr>
          <w:rFonts w:hint="eastAsia" w:ascii="宋体" w:hAnsi="宋体" w:eastAsia="宋体" w:cs="宋体"/>
          <w:b/>
          <w:color w:val="000000"/>
          <w:sz w:val="22"/>
          <w:szCs w:val="22"/>
          <w:highlight w:val="none"/>
        </w:rPr>
      </w:r>
      <w:r/>
    </w:p>
    <w:p>
      <w:pPr>
        <w:pStyle w:val="1038"/>
        <w:rPr>
          <w:rFonts w:hint="eastAsia" w:ascii="宋体" w:hAnsi="宋体" w:eastAsia="宋体" w:cs="宋体"/>
          <w:b/>
          <w:bCs/>
          <w:color w:val="000000"/>
          <w:sz w:val="22"/>
          <w:szCs w:val="22"/>
          <w:highlight w:val="none"/>
          <w:u w:val="single"/>
        </w:rPr>
        <w:outlineLvl w:val="1"/>
      </w:pPr>
      <w:r>
        <w:rPr>
          <w:rFonts w:hint="eastAsia" w:ascii="宋体" w:hAnsi="宋体" w:eastAsia="宋体" w:cs="宋体"/>
          <w:b/>
          <w:color w:val="000000"/>
          <w:sz w:val="22"/>
          <w:szCs w:val="22"/>
          <w:highlight w:val="none"/>
        </w:rPr>
        <w:t xml:space="preserve">四</w:t>
      </w:r>
      <w:r>
        <w:rPr>
          <w:rFonts w:hint="eastAsia" w:ascii="宋体" w:hAnsi="宋体" w:eastAsia="宋体" w:cs="宋体"/>
          <w:b/>
          <w:color w:val="000000"/>
          <w:sz w:val="22"/>
          <w:szCs w:val="22"/>
          <w:highlight w:val="none"/>
          <w:lang w:eastAsia="zh-CN"/>
        </w:rPr>
        <w:t xml:space="preserve">、</w:t>
      </w:r>
      <w:r>
        <w:rPr>
          <w:rFonts w:hint="eastAsia" w:ascii="宋体" w:hAnsi="宋体" w:eastAsia="宋体" w:cs="宋体"/>
          <w:b/>
          <w:color w:val="000000"/>
          <w:sz w:val="22"/>
          <w:szCs w:val="22"/>
          <w:highlight w:val="none"/>
        </w:rPr>
        <w:t xml:space="preserve">评分表（综合评分法）</w:t>
      </w:r>
      <w:bookmarkEnd w:id="97"/>
      <w:r>
        <w:rPr>
          <w:rFonts w:hint="eastAsia" w:ascii="宋体" w:hAnsi="宋体" w:eastAsia="宋体" w:cs="宋体"/>
          <w:b/>
          <w:bCs/>
          <w:color w:val="000000"/>
          <w:sz w:val="22"/>
          <w:szCs w:val="22"/>
          <w:highlight w:val="none"/>
          <w:u w:val="single"/>
        </w:rPr>
      </w:r>
      <w:r/>
    </w:p>
    <w:tbl>
      <w:tblPr>
        <w:tblStyle w:val="1473"/>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24"/>
        <w:gridCol w:w="1509"/>
        <w:gridCol w:w="6125"/>
        <w:gridCol w:w="1260"/>
      </w:tblGrid>
      <w:tr>
        <w:trPr>
          <w:trHeight w:val="621"/>
        </w:trPr>
        <w:tc>
          <w:tcPr>
            <w:tcW w:w="724" w:type="dxa"/>
            <w:vAlign w:val="center"/>
            <w:textDirection w:val="lrTb"/>
            <w:noWrap w:val="false"/>
          </w:tcPr>
          <w:p>
            <w:pPr>
              <w:pStyle w:val="1472"/>
              <w:ind w:left="113" w:right="102" w:firstLine="23"/>
              <w:jc w:val="center"/>
              <w:keepLines w:val="0"/>
              <w:keepNext w:val="0"/>
              <w:pageBreakBefore w:val="0"/>
              <w:spacing w:before="0" w:after="0" w:line="240" w:lineRule="auto"/>
              <w:widowControl w:val="off"/>
              <w:rPr>
                <w:rFonts w:hint="eastAsia" w:ascii="宋体" w:hAnsi="宋体" w:eastAsia="宋体" w:cs="宋体"/>
                <w:b w:val="0"/>
                <w:bCs w:val="0"/>
                <w:color w:val="000000"/>
                <w:sz w:val="28"/>
                <w:szCs w:val="22"/>
                <w:highlight w:val="none"/>
              </w:rPr>
            </w:pPr>
            <w:r>
              <w:rPr>
                <w:rFonts w:hint="eastAsia" w:ascii="宋体" w:hAnsi="宋体" w:eastAsia="宋体" w:cs="宋体"/>
                <w:b w:val="0"/>
                <w:bCs w:val="0"/>
                <w:color w:val="000000"/>
                <w:sz w:val="28"/>
                <w:szCs w:val="22"/>
                <w:highlight w:val="none"/>
              </w:rPr>
              <w:t xml:space="preserve">序号</w:t>
            </w:r>
            <w:r>
              <w:rPr>
                <w:rFonts w:hint="eastAsia" w:ascii="宋体" w:hAnsi="宋体" w:eastAsia="宋体" w:cs="宋体"/>
                <w:b w:val="0"/>
                <w:bCs w:val="0"/>
                <w:color w:val="000000"/>
                <w:sz w:val="28"/>
                <w:szCs w:val="22"/>
                <w:highlight w:val="none"/>
              </w:rPr>
            </w:r>
            <w:r/>
          </w:p>
        </w:tc>
        <w:tc>
          <w:tcPr>
            <w:tcW w:w="1509" w:type="dxa"/>
            <w:vAlign w:val="center"/>
            <w:textDirection w:val="lrTb"/>
            <w:noWrap w:val="false"/>
          </w:tcPr>
          <w:p>
            <w:pPr>
              <w:pStyle w:val="1472"/>
              <w:ind w:left="113" w:right="102" w:firstLine="23"/>
              <w:jc w:val="center"/>
              <w:keepLines w:val="0"/>
              <w:keepNext w:val="0"/>
              <w:pageBreakBefore w:val="0"/>
              <w:spacing w:before="0" w:after="0" w:line="240" w:lineRule="auto"/>
              <w:widowControl w:val="off"/>
              <w:rPr>
                <w:rFonts w:hint="eastAsia" w:ascii="宋体" w:hAnsi="宋体" w:eastAsia="宋体" w:cs="宋体"/>
                <w:b w:val="0"/>
                <w:bCs w:val="0"/>
                <w:color w:val="000000"/>
                <w:sz w:val="28"/>
                <w:szCs w:val="22"/>
                <w:highlight w:val="none"/>
              </w:rPr>
            </w:pPr>
            <w:r>
              <w:rPr>
                <w:rFonts w:hint="eastAsia" w:ascii="宋体" w:hAnsi="宋体" w:eastAsia="宋体" w:cs="宋体"/>
                <w:b w:val="0"/>
                <w:bCs w:val="0"/>
                <w:color w:val="000000"/>
                <w:sz w:val="28"/>
                <w:szCs w:val="22"/>
                <w:highlight w:val="none"/>
              </w:rPr>
              <w:t xml:space="preserve">评审项目</w:t>
            </w:r>
            <w:r>
              <w:rPr>
                <w:rFonts w:hint="eastAsia" w:ascii="宋体" w:hAnsi="宋体" w:eastAsia="宋体" w:cs="宋体"/>
                <w:b w:val="0"/>
                <w:bCs w:val="0"/>
                <w:color w:val="000000"/>
                <w:sz w:val="28"/>
                <w:szCs w:val="22"/>
                <w:highlight w:val="none"/>
              </w:rPr>
            </w:r>
            <w:r/>
          </w:p>
        </w:tc>
        <w:tc>
          <w:tcPr>
            <w:tcW w:w="6125" w:type="dxa"/>
            <w:vAlign w:val="center"/>
            <w:textDirection w:val="lrTb"/>
            <w:noWrap w:val="false"/>
          </w:tcPr>
          <w:p>
            <w:pPr>
              <w:pStyle w:val="1472"/>
              <w:ind w:left="113" w:right="102" w:firstLine="23"/>
              <w:jc w:val="center"/>
              <w:keepLines w:val="0"/>
              <w:keepNext w:val="0"/>
              <w:pageBreakBefore w:val="0"/>
              <w:spacing w:before="0" w:after="0" w:line="240" w:lineRule="auto"/>
              <w:widowControl w:val="off"/>
              <w:rPr>
                <w:rFonts w:hint="eastAsia" w:ascii="宋体" w:hAnsi="宋体" w:eastAsia="宋体" w:cs="宋体"/>
                <w:b w:val="0"/>
                <w:bCs w:val="0"/>
                <w:color w:val="000000"/>
                <w:sz w:val="28"/>
                <w:szCs w:val="22"/>
                <w:highlight w:val="none"/>
              </w:rPr>
            </w:pPr>
            <w:r>
              <w:rPr>
                <w:rFonts w:hint="eastAsia" w:ascii="宋体" w:hAnsi="宋体" w:eastAsia="宋体" w:cs="宋体"/>
                <w:b w:val="0"/>
                <w:bCs w:val="0"/>
                <w:color w:val="000000"/>
                <w:sz w:val="28"/>
                <w:szCs w:val="22"/>
                <w:highlight w:val="none"/>
              </w:rPr>
              <w:t xml:space="preserve">评审内容</w:t>
            </w:r>
            <w:r>
              <w:rPr>
                <w:rFonts w:hint="eastAsia" w:ascii="宋体" w:hAnsi="宋体" w:eastAsia="宋体" w:cs="宋体"/>
                <w:b w:val="0"/>
                <w:bCs w:val="0"/>
                <w:color w:val="000000"/>
                <w:sz w:val="28"/>
                <w:szCs w:val="22"/>
                <w:highlight w:val="none"/>
              </w:rPr>
            </w:r>
            <w:r/>
          </w:p>
        </w:tc>
        <w:tc>
          <w:tcPr>
            <w:tcW w:w="1260" w:type="dxa"/>
            <w:vAlign w:val="center"/>
            <w:textDirection w:val="lrTb"/>
            <w:noWrap w:val="false"/>
          </w:tcPr>
          <w:p>
            <w:pPr>
              <w:pStyle w:val="1472"/>
              <w:ind w:left="113" w:right="102" w:firstLine="23"/>
              <w:jc w:val="center"/>
              <w:keepLines w:val="0"/>
              <w:keepNext w:val="0"/>
              <w:pageBreakBefore w:val="0"/>
              <w:spacing w:before="0" w:after="0" w:line="240" w:lineRule="auto"/>
              <w:widowControl w:val="off"/>
              <w:rPr>
                <w:rFonts w:hint="eastAsia" w:ascii="宋体" w:hAnsi="宋体" w:eastAsia="宋体" w:cs="宋体"/>
                <w:b w:val="0"/>
                <w:bCs w:val="0"/>
                <w:color w:val="000000"/>
                <w:sz w:val="28"/>
                <w:szCs w:val="22"/>
                <w:highlight w:val="none"/>
              </w:rPr>
            </w:pPr>
            <w:r>
              <w:rPr>
                <w:rFonts w:hint="eastAsia" w:ascii="宋体" w:hAnsi="宋体" w:eastAsia="宋体" w:cs="宋体"/>
                <w:b w:val="0"/>
                <w:bCs w:val="0"/>
                <w:color w:val="000000"/>
                <w:sz w:val="28"/>
                <w:szCs w:val="22"/>
                <w:highlight w:val="none"/>
              </w:rPr>
              <w:t xml:space="preserve">标准</w:t>
            </w:r>
            <w:r>
              <w:rPr>
                <w:rFonts w:hint="eastAsia" w:ascii="宋体" w:hAnsi="宋体" w:eastAsia="宋体" w:cs="宋体"/>
                <w:b w:val="0"/>
                <w:bCs w:val="0"/>
                <w:color w:val="000000"/>
                <w:sz w:val="28"/>
                <w:szCs w:val="22"/>
                <w:highlight w:val="none"/>
                <w:lang w:val="en-US" w:eastAsia="zh-CN"/>
              </w:rPr>
              <w:t xml:space="preserve">分值</w:t>
            </w:r>
            <w:r>
              <w:rPr>
                <w:rFonts w:hint="eastAsia" w:ascii="宋体" w:hAnsi="宋体" w:eastAsia="宋体" w:cs="宋体"/>
                <w:b w:val="0"/>
                <w:bCs w:val="0"/>
                <w:color w:val="000000"/>
                <w:sz w:val="28"/>
                <w:szCs w:val="22"/>
                <w:highlight w:val="none"/>
              </w:rPr>
            </w:r>
            <w:r/>
          </w:p>
        </w:tc>
      </w:tr>
      <w:tr>
        <w:trPr>
          <w:trHeight w:val="419"/>
        </w:trPr>
        <w:tc>
          <w:tcPr>
            <w:tcW w:w="724" w:type="dxa"/>
            <w:vAlign w:val="center"/>
            <w:textDirection w:val="lrTb"/>
            <w:noWrap w:val="false"/>
          </w:tcPr>
          <w:p>
            <w:pPr>
              <w:pStyle w:val="1472"/>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rPr>
            </w:pPr>
            <w:r>
              <w:rPr>
                <w:rFonts w:hint="eastAsia" w:ascii="宋体" w:hAnsi="宋体" w:eastAsia="宋体" w:cs="宋体"/>
                <w:b w:val="0"/>
                <w:bCs w:val="0"/>
                <w:color w:val="000000"/>
                <w:spacing w:val="-4"/>
                <w:highlight w:val="none"/>
              </w:rPr>
              <w:t xml:space="preserve">1</w:t>
            </w:r>
            <w:r>
              <w:rPr>
                <w:rFonts w:hint="eastAsia" w:ascii="宋体" w:hAnsi="宋体" w:eastAsia="宋体" w:cs="宋体"/>
                <w:b w:val="0"/>
                <w:bCs w:val="0"/>
                <w:color w:val="000000"/>
                <w:spacing w:val="-4"/>
                <w:highlight w:val="none"/>
              </w:rPr>
            </w:r>
            <w:r/>
          </w:p>
        </w:tc>
        <w:tc>
          <w:tcPr>
            <w:tcW w:w="1509" w:type="dxa"/>
            <w:vAlign w:val="center"/>
            <w:textDirection w:val="lrTb"/>
            <w:noWrap w:val="false"/>
          </w:tcPr>
          <w:p>
            <w:pPr>
              <w:pStyle w:val="1472"/>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rPr>
            </w:pPr>
            <w:r>
              <w:rPr>
                <w:rFonts w:hint="eastAsia" w:ascii="宋体" w:hAnsi="宋体" w:eastAsia="宋体" w:cs="宋体"/>
                <w:b w:val="0"/>
                <w:bCs w:val="0"/>
                <w:color w:val="000000"/>
                <w:spacing w:val="-4"/>
                <w:highlight w:val="none"/>
              </w:rPr>
              <w:t xml:space="preserve">投标报价</w:t>
            </w:r>
            <w:r>
              <w:rPr>
                <w:rFonts w:hint="eastAsia" w:ascii="宋体" w:hAnsi="宋体" w:eastAsia="宋体" w:cs="宋体"/>
                <w:b w:val="0"/>
                <w:bCs w:val="0"/>
                <w:color w:val="000000"/>
                <w:spacing w:val="-4"/>
                <w:highlight w:val="none"/>
              </w:rPr>
            </w:r>
            <w:r/>
          </w:p>
          <w:p>
            <w:pPr>
              <w:pStyle w:val="1472"/>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rPr>
            </w:pPr>
            <w:r>
              <w:rPr>
                <w:rFonts w:hint="eastAsia" w:ascii="宋体" w:hAnsi="宋体" w:eastAsia="宋体" w:cs="宋体"/>
                <w:b w:val="0"/>
                <w:bCs w:val="0"/>
                <w:color w:val="000000"/>
                <w:spacing w:val="-4"/>
                <w:highlight w:val="none"/>
              </w:rPr>
              <w:t xml:space="preserve">（30 分）</w:t>
            </w:r>
            <w:r>
              <w:rPr>
                <w:rFonts w:hint="eastAsia" w:ascii="宋体" w:hAnsi="宋体" w:eastAsia="宋体" w:cs="宋体"/>
                <w:b w:val="0"/>
                <w:bCs w:val="0"/>
                <w:color w:val="000000"/>
                <w:spacing w:val="-4"/>
                <w:highlight w:val="none"/>
              </w:rPr>
            </w:r>
            <w:r/>
          </w:p>
        </w:tc>
        <w:tc>
          <w:tcPr>
            <w:tcW w:w="6125" w:type="dxa"/>
            <w:vAlign w:val="top"/>
            <w:textDirection w:val="lrTb"/>
            <w:noWrap w:val="false"/>
          </w:tcPr>
          <w:p>
            <w:pPr>
              <w:pStyle w:val="1038"/>
              <w:keepLines w:val="0"/>
              <w:keepNext w:val="0"/>
              <w:pageBreakBefore w:val="0"/>
              <w:spacing w:before="0" w:after="0" w:line="24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满足招标文件要求进入详细评审且投标报价最低的有效投标报价为评标基准价，其价格分为30分。其他</w:t>
            </w:r>
            <w:r>
              <w:rPr>
                <w:rFonts w:hint="eastAsia" w:ascii="宋体" w:hAnsi="宋体" w:eastAsia="宋体" w:cs="宋体"/>
                <w:b w:val="0"/>
                <w:bCs w:val="0"/>
                <w:color w:val="000000"/>
                <w:szCs w:val="21"/>
                <w:highlight w:val="none"/>
                <w:lang w:eastAsia="zh-CN"/>
              </w:rPr>
              <w:t xml:space="preserve">投标人</w:t>
            </w:r>
            <w:r>
              <w:rPr>
                <w:rFonts w:hint="eastAsia" w:ascii="宋体" w:hAnsi="宋体" w:eastAsia="宋体" w:cs="宋体"/>
                <w:b w:val="0"/>
                <w:bCs w:val="0"/>
                <w:color w:val="000000"/>
                <w:szCs w:val="21"/>
                <w:highlight w:val="none"/>
              </w:rPr>
              <w:t xml:space="preserve">的价格分统一按照下列公式计算：投标报价得分=（评标基准价／投标报价）×30，小数点后保留两位。</w:t>
            </w:r>
            <w:r>
              <w:rPr>
                <w:rFonts w:hint="eastAsia" w:ascii="宋体" w:hAnsi="宋体" w:eastAsia="宋体" w:cs="宋体"/>
                <w:b w:val="0"/>
                <w:bCs w:val="0"/>
                <w:color w:val="000000"/>
                <w:szCs w:val="21"/>
                <w:highlight w:val="none"/>
              </w:rPr>
            </w:r>
            <w:r/>
          </w:p>
          <w:p>
            <w:pPr>
              <w:pStyle w:val="1472"/>
              <w:ind w:left="114" w:right="102" w:firstLine="22"/>
              <w:jc w:val="both"/>
              <w:keepLines w:val="0"/>
              <w:keepNext w:val="0"/>
              <w:pageBreakBefore w:val="0"/>
              <w:spacing w:before="0" w:after="0" w:line="24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价格扣除说明：投标人需提供《中小企业声明函》、《残疾人福利性单位声明函》、《属于监狱企业的证明文件》、《关于符合本国产品标准的声明函》。如未按要求提供、填写，或相关内容表述不清的，不得享受价格扣除。</w:t>
            </w:r>
            <w:r>
              <w:rPr>
                <w:rFonts w:hint="eastAsia" w:ascii="宋体" w:hAnsi="宋体" w:eastAsia="宋体" w:cs="宋体"/>
                <w:b w:val="0"/>
                <w:bCs w:val="0"/>
                <w:color w:val="000000"/>
                <w:sz w:val="21"/>
                <w:szCs w:val="21"/>
                <w:highlight w:val="none"/>
                <w:lang w:val="en-US" w:eastAsia="zh-CN" w:bidi="ar-SA"/>
              </w:rPr>
            </w:r>
            <w:r/>
          </w:p>
        </w:tc>
        <w:tc>
          <w:tcPr>
            <w:tcW w:w="1260" w:type="dxa"/>
            <w:vAlign w:val="center"/>
            <w:textDirection w:val="lrTb"/>
            <w:noWrap w:val="false"/>
          </w:tcPr>
          <w:p>
            <w:pPr>
              <w:pStyle w:val="1472"/>
              <w:jc w:val="center"/>
              <w:keepLines w:val="0"/>
              <w:keepNext w:val="0"/>
              <w:pageBreakBefore w:val="0"/>
              <w:spacing w:before="0" w:after="0" w:line="24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spacing w:val="-3"/>
                <w:highlight w:val="none"/>
              </w:rPr>
              <w:t xml:space="preserve">30</w:t>
            </w:r>
            <w:r>
              <w:rPr>
                <w:rFonts w:hint="eastAsia" w:ascii="宋体" w:hAnsi="宋体" w:eastAsia="宋体" w:cs="宋体"/>
                <w:b w:val="0"/>
                <w:bCs w:val="0"/>
                <w:color w:val="000000"/>
                <w:highlight w:val="none"/>
              </w:rPr>
            </w:r>
            <w:r/>
          </w:p>
        </w:tc>
      </w:tr>
      <w:tr>
        <w:trPr>
          <w:trHeight w:val="3359"/>
        </w:trPr>
        <w:tc>
          <w:tcPr>
            <w:tcW w:w="724" w:type="dxa"/>
            <w:vAlign w:val="center"/>
            <w:textDirection w:val="lrTb"/>
            <w:noWrap w:val="false"/>
          </w:tcPr>
          <w:p>
            <w:pPr>
              <w:pStyle w:val="1472"/>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rPr>
            </w:pPr>
            <w:r>
              <w:rPr>
                <w:rFonts w:hint="eastAsia" w:ascii="宋体" w:hAnsi="宋体" w:eastAsia="宋体" w:cs="宋体"/>
                <w:b w:val="0"/>
                <w:bCs w:val="0"/>
                <w:color w:val="000000"/>
                <w:spacing w:val="-4"/>
                <w:highlight w:val="none"/>
              </w:rPr>
            </w:r>
            <w:r/>
          </w:p>
          <w:p>
            <w:pPr>
              <w:pStyle w:val="1472"/>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rPr>
            </w:pPr>
            <w:r>
              <w:rPr>
                <w:rFonts w:hint="eastAsia" w:ascii="宋体" w:hAnsi="宋体" w:eastAsia="宋体" w:cs="宋体"/>
                <w:b w:val="0"/>
                <w:bCs w:val="0"/>
                <w:color w:val="000000"/>
                <w:spacing w:val="-4"/>
                <w:highlight w:val="none"/>
              </w:rPr>
              <w:t xml:space="preserve">2</w:t>
            </w:r>
            <w:r>
              <w:rPr>
                <w:rFonts w:hint="eastAsia" w:ascii="宋体" w:hAnsi="宋体" w:eastAsia="宋体" w:cs="宋体"/>
                <w:b w:val="0"/>
                <w:bCs w:val="0"/>
                <w:color w:val="000000"/>
                <w:spacing w:val="-4"/>
                <w:highlight w:val="none"/>
              </w:rPr>
            </w:r>
            <w:r/>
          </w:p>
        </w:tc>
        <w:tc>
          <w:tcPr>
            <w:tcW w:w="1509" w:type="dxa"/>
            <w:vAlign w:val="center"/>
            <w:textDirection w:val="lrTb"/>
            <w:noWrap w:val="false"/>
          </w:tcPr>
          <w:p>
            <w:pPr>
              <w:pStyle w:val="1472"/>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rPr>
            </w:pPr>
            <w:r>
              <w:rPr>
                <w:rFonts w:hint="eastAsia" w:ascii="宋体" w:hAnsi="宋体" w:eastAsia="宋体" w:cs="宋体"/>
                <w:b w:val="0"/>
                <w:bCs w:val="0"/>
                <w:color w:val="000000"/>
                <w:spacing w:val="-4"/>
                <w:highlight w:val="none"/>
              </w:rPr>
            </w:r>
            <w:r/>
          </w:p>
          <w:p>
            <w:pPr>
              <w:pStyle w:val="1472"/>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rPr>
            </w:pPr>
            <w:r>
              <w:rPr>
                <w:rFonts w:hint="eastAsia" w:ascii="宋体" w:hAnsi="宋体" w:eastAsia="宋体" w:cs="宋体"/>
                <w:b w:val="0"/>
                <w:bCs w:val="0"/>
                <w:color w:val="000000"/>
                <w:spacing w:val="-4"/>
                <w:highlight w:val="none"/>
              </w:rPr>
              <w:t xml:space="preserve">技术参</w:t>
            </w:r>
            <w:r>
              <w:rPr>
                <w:rFonts w:hint="eastAsia" w:ascii="宋体" w:hAnsi="宋体" w:eastAsia="宋体" w:cs="宋体"/>
                <w:b w:val="0"/>
                <w:bCs w:val="0"/>
                <w:color w:val="000000"/>
                <w:spacing w:val="-4"/>
                <w:highlight w:val="none"/>
              </w:rPr>
            </w:r>
            <w:r/>
          </w:p>
          <w:p>
            <w:pPr>
              <w:pStyle w:val="1472"/>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rPr>
            </w:pPr>
            <w:r>
              <w:rPr>
                <w:rFonts w:hint="eastAsia" w:ascii="宋体" w:hAnsi="宋体" w:eastAsia="宋体" w:cs="宋体"/>
                <w:b w:val="0"/>
                <w:bCs w:val="0"/>
                <w:color w:val="000000"/>
                <w:spacing w:val="-4"/>
                <w:highlight w:val="none"/>
              </w:rPr>
              <w:t xml:space="preserve">数响应性</w:t>
            </w:r>
            <w:r>
              <w:rPr>
                <w:rFonts w:hint="eastAsia" w:ascii="宋体" w:hAnsi="宋体" w:eastAsia="宋体" w:cs="宋体"/>
                <w:b w:val="0"/>
                <w:bCs w:val="0"/>
                <w:color w:val="000000"/>
                <w:spacing w:val="-4"/>
                <w:highlight w:val="none"/>
              </w:rPr>
            </w:r>
            <w:r/>
          </w:p>
          <w:p>
            <w:pPr>
              <w:pStyle w:val="1472"/>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rPr>
            </w:pPr>
            <w:r>
              <w:rPr>
                <w:rFonts w:hint="eastAsia" w:ascii="宋体" w:hAnsi="宋体" w:eastAsia="宋体" w:cs="宋体"/>
                <w:b w:val="0"/>
                <w:bCs w:val="0"/>
                <w:color w:val="000000"/>
                <w:spacing w:val="-4"/>
                <w:highlight w:val="none"/>
              </w:rPr>
              <w:t xml:space="preserve">（</w:t>
            </w:r>
            <w:r>
              <w:rPr>
                <w:rFonts w:hint="eastAsia" w:ascii="宋体" w:hAnsi="宋体" w:eastAsia="宋体" w:cs="宋体"/>
                <w:b w:val="0"/>
                <w:bCs w:val="0"/>
                <w:color w:val="000000"/>
                <w:spacing w:val="-4"/>
                <w:highlight w:val="none"/>
                <w:lang w:val="en-US" w:eastAsia="zh-CN"/>
              </w:rPr>
              <w:t xml:space="preserve">3</w:t>
            </w:r>
            <w:r>
              <w:rPr>
                <w:rFonts w:hint="eastAsia" w:eastAsia="宋体" w:cs="宋体"/>
                <w:b w:val="0"/>
                <w:bCs w:val="0"/>
                <w:color w:val="000000"/>
                <w:spacing w:val="-4"/>
                <w:highlight w:val="none"/>
                <w:lang w:val="en-US" w:eastAsia="zh-CN"/>
              </w:rPr>
              <w:t xml:space="preserve">5</w:t>
            </w:r>
            <w:r>
              <w:rPr>
                <w:rFonts w:hint="eastAsia" w:ascii="宋体" w:hAnsi="宋体" w:eastAsia="宋体" w:cs="宋体"/>
                <w:b w:val="0"/>
                <w:bCs w:val="0"/>
                <w:color w:val="000000"/>
                <w:spacing w:val="-4"/>
                <w:highlight w:val="none"/>
              </w:rPr>
              <w:t xml:space="preserve">分）</w:t>
            </w:r>
            <w:r>
              <w:rPr>
                <w:rFonts w:hint="eastAsia" w:ascii="宋体" w:hAnsi="宋体" w:eastAsia="宋体" w:cs="宋体"/>
                <w:b w:val="0"/>
                <w:bCs w:val="0"/>
                <w:color w:val="000000"/>
                <w:spacing w:val="-4"/>
                <w:highlight w:val="none"/>
              </w:rPr>
            </w:r>
            <w:r/>
          </w:p>
        </w:tc>
        <w:tc>
          <w:tcPr>
            <w:tcW w:w="6125" w:type="dxa"/>
            <w:vAlign w:val="top"/>
            <w:textDirection w:val="lrTb"/>
            <w:noWrap w:val="false"/>
          </w:tcPr>
          <w:p>
            <w:pPr>
              <w:pStyle w:val="1038"/>
              <w:keepLines w:val="0"/>
              <w:keepNext w:val="0"/>
              <w:pageBreakBefore w:val="0"/>
              <w:spacing w:before="0" w:after="0" w:line="24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设备技术参数及商务要求全部满足招标要求的得满分35分；</w:t>
            </w:r>
            <w:r>
              <w:rPr>
                <w:rFonts w:hint="eastAsia" w:ascii="宋体" w:hAnsi="宋体" w:eastAsia="宋体" w:cs="宋体"/>
                <w:b w:val="0"/>
                <w:bCs w:val="0"/>
                <w:color w:val="000000"/>
                <w:szCs w:val="21"/>
                <w:highlight w:val="none"/>
              </w:rPr>
            </w:r>
            <w:r/>
          </w:p>
          <w:p>
            <w:pPr>
              <w:pStyle w:val="1038"/>
              <w:keepLines w:val="0"/>
              <w:keepNext w:val="0"/>
              <w:pageBreakBefore w:val="0"/>
              <w:spacing w:before="0" w:after="0" w:line="24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在此基础上，招标文件中标注“</w:t>
            </w:r>
            <w:r>
              <w:rPr>
                <w:rFonts w:hint="eastAsia" w:ascii="宋体" w:hAnsi="宋体" w:eastAsia="宋体" w:cs="宋体"/>
                <w:b w:val="0"/>
                <w:bCs w:val="0"/>
                <w:color w:val="000000"/>
                <w:szCs w:val="21"/>
                <w:highlight w:val="none"/>
              </w:rPr>
              <w:t xml:space="preserve">★”的条款为实质性要求，有一项负偏离，作无效投标处理。“▲”的条款号主要技术参数要求，每有一项负偏离扣</w:t>
            </w:r>
            <w:r>
              <w:rPr>
                <w:rFonts w:hint="eastAsia" w:ascii="宋体" w:hAnsi="宋体" w:eastAsia="宋体" w:cs="宋体"/>
                <w:b w:val="0"/>
                <w:bCs w:val="0"/>
                <w:color w:val="000000"/>
                <w:szCs w:val="21"/>
                <w:highlight w:val="none"/>
                <w:lang w:val="en-US" w:eastAsia="zh-CN"/>
              </w:rPr>
              <w:t xml:space="preserve">2</w:t>
            </w:r>
            <w:r>
              <w:rPr>
                <w:rFonts w:hint="eastAsia" w:ascii="宋体" w:hAnsi="宋体" w:eastAsia="宋体" w:cs="宋体"/>
                <w:b w:val="0"/>
                <w:bCs w:val="0"/>
                <w:color w:val="000000"/>
                <w:szCs w:val="21"/>
                <w:highlight w:val="none"/>
              </w:rPr>
              <w:t xml:space="preserve">分。</w:t>
            </w:r>
            <w:r>
              <w:rPr>
                <w:rFonts w:hint="eastAsia" w:ascii="宋体" w:hAnsi="宋体" w:eastAsia="宋体" w:cs="宋体"/>
                <w:b w:val="0"/>
                <w:bCs w:val="0"/>
                <w:color w:val="000000"/>
                <w:szCs w:val="21"/>
                <w:highlight w:val="none"/>
              </w:rPr>
              <w:t xml:space="preserve">其他非重要技术条款每有一项负偏离扣0.5分，扣完为止。对招标文件明确的需主观判定的功能性描述要求未做任何情况说明或响应承诺的，评标委员会有权予以否决或做负偏离处理。</w:t>
            </w:r>
            <w:r>
              <w:rPr>
                <w:rFonts w:hint="eastAsia" w:ascii="宋体" w:hAnsi="宋体" w:eastAsia="宋体" w:cs="宋体"/>
                <w:b w:val="0"/>
                <w:bCs w:val="0"/>
                <w:color w:val="000000"/>
                <w:szCs w:val="21"/>
                <w:highlight w:val="none"/>
              </w:rPr>
            </w:r>
            <w:r/>
          </w:p>
          <w:p>
            <w:pPr>
              <w:pStyle w:val="1038"/>
              <w:keepLines w:val="0"/>
              <w:keepNext w:val="0"/>
              <w:pageBreakBefore w:val="0"/>
              <w:spacing w:before="0" w:after="0" w:line="240" w:lineRule="auto"/>
              <w:rPr>
                <w:rFonts w:hint="eastAsia" w:ascii="宋体" w:hAnsi="宋体" w:eastAsia="宋体" w:cs="宋体"/>
                <w:b w:val="0"/>
                <w:bCs w:val="0"/>
                <w:color w:val="000000"/>
                <w:spacing w:val="0"/>
                <w:position w:val="0"/>
                <w:sz w:val="21"/>
                <w:szCs w:val="21"/>
                <w:highlight w:val="none"/>
                <w:lang w:eastAsia="zh-CN"/>
              </w:rPr>
            </w:pPr>
            <w:r>
              <w:rPr>
                <w:rFonts w:hint="eastAsia" w:ascii="宋体" w:hAnsi="宋体" w:eastAsia="宋体" w:cs="宋体"/>
                <w:b w:val="0"/>
                <w:bCs w:val="0"/>
                <w:color w:val="000000"/>
                <w:sz w:val="21"/>
                <w:szCs w:val="21"/>
                <w:highlight w:val="none"/>
                <w:lang w:val="en-US" w:eastAsia="zh-CN" w:bidi="ar-SA"/>
              </w:rPr>
              <w:t xml:space="preserve">注：所有对招标文件标注“★”、“▲”的具体要求、参数、数值指标的响应，要求投标人必须在投标文件中提供技术支持资料（技术支持资料种类以文件第四章要求为准，如无特殊要求，则为明确说明该技术内容的公开发行的手册、彩页、官网截图、功能页面截图、检测报告、白皮书等）。</w:t>
            </w:r>
            <w:r>
              <w:rPr>
                <w:rFonts w:hint="eastAsia" w:ascii="宋体" w:hAnsi="宋体" w:eastAsia="宋体" w:cs="宋体"/>
                <w:b w:val="0"/>
                <w:bCs w:val="0"/>
                <w:color w:val="000000"/>
                <w:spacing w:val="0"/>
                <w:position w:val="0"/>
                <w:sz w:val="21"/>
                <w:szCs w:val="21"/>
                <w:highlight w:val="none"/>
                <w:lang w:eastAsia="zh-CN"/>
              </w:rPr>
            </w:r>
            <w:r/>
          </w:p>
        </w:tc>
        <w:tc>
          <w:tcPr>
            <w:tcW w:w="1260" w:type="dxa"/>
            <w:vAlign w:val="center"/>
            <w:textDirection w:val="lrTb"/>
            <w:noWrap w:val="false"/>
          </w:tcPr>
          <w:p>
            <w:pPr>
              <w:pStyle w:val="1472"/>
              <w:jc w:val="center"/>
              <w:keepLines w:val="0"/>
              <w:keepNext w:val="0"/>
              <w:pageBreakBefore w:val="0"/>
              <w:spacing w:before="0" w:after="0" w:line="240" w:lineRule="auto"/>
              <w:rPr>
                <w:rFonts w:ascii="宋体" w:hAnsi="宋体" w:eastAsia="宋体" w:cs="宋体"/>
                <w:b w:val="0"/>
                <w:bCs w:val="0"/>
                <w:color w:val="000000"/>
                <w:highlight w:val="none"/>
                <w:lang w:val="en-US" w:eastAsia="zh-CN"/>
              </w:rPr>
            </w:pPr>
            <w:r>
              <w:rPr>
                <w:rFonts w:hint="eastAsia" w:eastAsia="宋体" w:cs="宋体"/>
                <w:b w:val="0"/>
                <w:bCs w:val="0"/>
                <w:color w:val="000000"/>
                <w:spacing w:val="-3"/>
                <w:highlight w:val="none"/>
                <w:lang w:val="en-US" w:eastAsia="zh-CN"/>
              </w:rPr>
              <w:t xml:space="preserve">35</w:t>
            </w:r>
            <w:r>
              <w:rPr>
                <w:rFonts w:ascii="宋体" w:hAnsi="宋体" w:eastAsia="宋体" w:cs="宋体"/>
                <w:b w:val="0"/>
                <w:bCs w:val="0"/>
                <w:color w:val="000000"/>
                <w:highlight w:val="none"/>
                <w:lang w:val="en-US" w:eastAsia="zh-CN"/>
              </w:rPr>
            </w:r>
            <w:r/>
          </w:p>
        </w:tc>
      </w:tr>
      <w:tr>
        <w:trPr>
          <w:trHeight w:val="1796"/>
        </w:trPr>
        <w:tc>
          <w:tcPr>
            <w:tcW w:w="724" w:type="dxa"/>
            <w:vAlign w:val="center"/>
            <w:textDirection w:val="lrTb"/>
            <w:noWrap w:val="false"/>
          </w:tcPr>
          <w:p>
            <w:pPr>
              <w:pStyle w:val="1472"/>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lang w:eastAsia="zh-CN"/>
              </w:rPr>
            </w:pPr>
            <w:r>
              <w:rPr>
                <w:rFonts w:hint="eastAsia" w:eastAsia="宋体" w:cs="宋体"/>
                <w:b w:val="0"/>
                <w:bCs w:val="0"/>
                <w:color w:val="000000"/>
                <w:spacing w:val="-4"/>
                <w:highlight w:val="none"/>
                <w:lang w:val="en-US" w:eastAsia="zh-CN"/>
              </w:rPr>
              <w:t xml:space="preserve">3</w:t>
            </w:r>
            <w:r>
              <w:rPr>
                <w:rFonts w:hint="eastAsia" w:ascii="宋体" w:hAnsi="宋体" w:eastAsia="宋体" w:cs="宋体"/>
                <w:b w:val="0"/>
                <w:bCs w:val="0"/>
                <w:color w:val="000000"/>
                <w:spacing w:val="-4"/>
                <w:highlight w:val="none"/>
                <w:lang w:eastAsia="zh-CN"/>
              </w:rPr>
            </w:r>
            <w:r/>
          </w:p>
        </w:tc>
        <w:tc>
          <w:tcPr>
            <w:tcW w:w="1509" w:type="dxa"/>
            <w:vAlign w:val="center"/>
            <w:textDirection w:val="lrTb"/>
            <w:noWrap w:val="false"/>
          </w:tcPr>
          <w:p>
            <w:pPr>
              <w:pStyle w:val="1472"/>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rPr>
            </w:pPr>
            <w:r>
              <w:rPr>
                <w:rFonts w:hint="eastAsia" w:ascii="宋体" w:hAnsi="宋体" w:eastAsia="宋体" w:cs="宋体"/>
                <w:b w:val="0"/>
                <w:bCs w:val="0"/>
                <w:color w:val="000000"/>
                <w:spacing w:val="-4"/>
                <w:highlight w:val="none"/>
              </w:rPr>
              <w:t xml:space="preserve">技术方案</w:t>
            </w:r>
            <w:r>
              <w:rPr>
                <w:rFonts w:hint="eastAsia" w:ascii="宋体" w:hAnsi="宋体" w:eastAsia="宋体" w:cs="宋体"/>
                <w:b w:val="0"/>
                <w:bCs w:val="0"/>
                <w:color w:val="000000"/>
                <w:spacing w:val="-4"/>
                <w:highlight w:val="none"/>
              </w:rPr>
            </w:r>
            <w:r/>
          </w:p>
          <w:p>
            <w:pPr>
              <w:pStyle w:val="1472"/>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rPr>
            </w:pPr>
            <w:r>
              <w:rPr>
                <w:rFonts w:hint="eastAsia" w:ascii="宋体" w:hAnsi="宋体" w:eastAsia="宋体" w:cs="宋体"/>
                <w:b w:val="0"/>
                <w:bCs w:val="0"/>
                <w:color w:val="000000"/>
                <w:spacing w:val="-4"/>
                <w:highlight w:val="none"/>
              </w:rPr>
              <w:t xml:space="preserve">（</w:t>
            </w:r>
            <w:r>
              <w:rPr>
                <w:rFonts w:hint="eastAsia" w:eastAsia="宋体" w:cs="宋体"/>
                <w:b w:val="0"/>
                <w:bCs w:val="0"/>
                <w:color w:val="000000"/>
                <w:spacing w:val="-4"/>
                <w:highlight w:val="none"/>
                <w:lang w:val="en-US" w:eastAsia="zh-CN"/>
              </w:rPr>
              <w:t xml:space="preserve">5</w:t>
            </w:r>
            <w:r>
              <w:rPr>
                <w:rFonts w:hint="eastAsia" w:ascii="宋体" w:hAnsi="宋体" w:eastAsia="宋体" w:cs="宋体"/>
                <w:b w:val="0"/>
                <w:bCs w:val="0"/>
                <w:color w:val="000000"/>
                <w:spacing w:val="-4"/>
                <w:highlight w:val="none"/>
              </w:rPr>
              <w:t xml:space="preserve">分）</w:t>
            </w:r>
            <w:r>
              <w:rPr>
                <w:rFonts w:hint="eastAsia" w:ascii="宋体" w:hAnsi="宋体" w:eastAsia="宋体" w:cs="宋体"/>
                <w:b w:val="0"/>
                <w:bCs w:val="0"/>
                <w:color w:val="000000"/>
                <w:spacing w:val="-4"/>
                <w:highlight w:val="none"/>
              </w:rPr>
            </w:r>
            <w:r/>
          </w:p>
          <w:p>
            <w:pPr>
              <w:pStyle w:val="1472"/>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rPr>
            </w:pPr>
            <w:r>
              <w:rPr>
                <w:rFonts w:hint="eastAsia" w:ascii="宋体" w:hAnsi="宋体" w:eastAsia="宋体" w:cs="宋体"/>
                <w:b w:val="0"/>
                <w:bCs w:val="0"/>
                <w:color w:val="000000"/>
                <w:spacing w:val="-4"/>
                <w:highlight w:val="none"/>
              </w:rPr>
            </w:r>
            <w:r/>
          </w:p>
        </w:tc>
        <w:tc>
          <w:tcPr>
            <w:tcW w:w="6125" w:type="dxa"/>
            <w:vAlign w:val="center"/>
            <w:textDirection w:val="lrTb"/>
            <w:noWrap w:val="false"/>
          </w:tcPr>
          <w:p>
            <w:pPr>
              <w:pStyle w:val="1112"/>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1"/>
                <w:szCs w:val="21"/>
                <w:highlight w:val="none"/>
              </w:rPr>
              <w:suppressLineNumbers w:val="0"/>
            </w:pPr>
            <w:r>
              <w:rPr>
                <w:rFonts w:hint="eastAsia" w:ascii="宋体" w:hAnsi="宋体" w:eastAsia="宋体" w:cs="宋体"/>
                <w:b w:val="0"/>
                <w:bCs w:val="0"/>
                <w:color w:val="000000"/>
                <w:spacing w:val="0"/>
                <w:position w:val="0"/>
                <w:sz w:val="21"/>
                <w:szCs w:val="21"/>
                <w:highlight w:val="none"/>
              </w:rPr>
              <w:t xml:space="preserve">根据</w:t>
            </w:r>
            <w:r>
              <w:rPr>
                <w:rFonts w:hint="eastAsia" w:ascii="宋体" w:hAnsi="宋体" w:eastAsia="宋体" w:cs="宋体"/>
                <w:b w:val="0"/>
                <w:bCs w:val="0"/>
                <w:color w:val="000000"/>
                <w:spacing w:val="0"/>
                <w:position w:val="0"/>
                <w:sz w:val="21"/>
                <w:szCs w:val="21"/>
                <w:highlight w:val="none"/>
                <w:lang w:eastAsia="zh-CN"/>
              </w:rPr>
              <w:t xml:space="preserve">投标人</w:t>
            </w:r>
            <w:r>
              <w:rPr>
                <w:rFonts w:hint="eastAsia" w:ascii="宋体" w:hAnsi="宋体" w:eastAsia="宋体" w:cs="宋体"/>
                <w:b w:val="0"/>
                <w:bCs w:val="0"/>
                <w:color w:val="000000"/>
                <w:spacing w:val="0"/>
                <w:position w:val="0"/>
                <w:sz w:val="21"/>
                <w:szCs w:val="21"/>
                <w:highlight w:val="none"/>
              </w:rPr>
              <w:t xml:space="preserve">提供</w:t>
            </w:r>
            <w:r>
              <w:rPr>
                <w:rFonts w:hint="eastAsia" w:ascii="宋体" w:hAnsi="宋体" w:eastAsia="宋体" w:cs="宋体"/>
                <w:b w:val="0"/>
                <w:bCs w:val="0"/>
                <w:color w:val="000000"/>
                <w:spacing w:val="0"/>
                <w:position w:val="0"/>
                <w:sz w:val="21"/>
                <w:szCs w:val="21"/>
                <w:highlight w:val="none"/>
                <w:lang w:eastAsia="zh-CN"/>
              </w:rPr>
              <w:t xml:space="preserve">的供货</w:t>
            </w:r>
            <w:r>
              <w:rPr>
                <w:rFonts w:hint="eastAsia" w:ascii="宋体" w:hAnsi="宋体" w:eastAsia="宋体" w:cs="宋体"/>
                <w:b w:val="0"/>
                <w:bCs w:val="0"/>
                <w:color w:val="000000"/>
                <w:spacing w:val="0"/>
                <w:position w:val="0"/>
                <w:sz w:val="21"/>
                <w:szCs w:val="21"/>
                <w:highlight w:val="none"/>
              </w:rPr>
              <w:t xml:space="preserve">周期</w:t>
            </w:r>
            <w:r>
              <w:rPr>
                <w:rFonts w:hint="eastAsia" w:ascii="宋体" w:hAnsi="宋体" w:eastAsia="宋体" w:cs="宋体"/>
                <w:b w:val="0"/>
                <w:bCs w:val="0"/>
                <w:color w:val="000000"/>
                <w:spacing w:val="0"/>
                <w:position w:val="0"/>
                <w:sz w:val="21"/>
                <w:szCs w:val="21"/>
                <w:highlight w:val="none"/>
                <w:lang w:eastAsia="zh-CN"/>
              </w:rPr>
              <w:t xml:space="preserve">、</w:t>
            </w:r>
            <w:r>
              <w:rPr>
                <w:rFonts w:hint="eastAsia" w:ascii="宋体" w:hAnsi="宋体" w:eastAsia="宋体" w:cs="宋体"/>
                <w:b w:val="0"/>
                <w:bCs w:val="0"/>
                <w:color w:val="000000"/>
                <w:spacing w:val="0"/>
                <w:position w:val="0"/>
                <w:sz w:val="21"/>
                <w:szCs w:val="21"/>
                <w:highlight w:val="none"/>
              </w:rPr>
              <w:t xml:space="preserve">安装调试方案及进度、质量管理及安全措施</w:t>
            </w:r>
            <w:r>
              <w:rPr>
                <w:rFonts w:hint="eastAsia" w:ascii="宋体" w:hAnsi="宋体" w:eastAsia="宋体" w:cs="宋体"/>
                <w:b w:val="0"/>
                <w:bCs w:val="0"/>
                <w:color w:val="000000"/>
                <w:spacing w:val="0"/>
                <w:position w:val="0"/>
                <w:sz w:val="21"/>
                <w:szCs w:val="21"/>
                <w:highlight w:val="none"/>
                <w:lang w:eastAsia="zh-CN"/>
              </w:rPr>
              <w:t xml:space="preserve">等整体</w:t>
            </w:r>
            <w:r>
              <w:rPr>
                <w:rFonts w:hint="eastAsia" w:ascii="宋体" w:hAnsi="宋体" w:eastAsia="宋体" w:cs="宋体"/>
                <w:b w:val="0"/>
                <w:bCs w:val="0"/>
                <w:color w:val="000000"/>
                <w:spacing w:val="0"/>
                <w:position w:val="0"/>
                <w:sz w:val="21"/>
                <w:szCs w:val="21"/>
                <w:highlight w:val="none"/>
              </w:rPr>
              <w:t xml:space="preserve">技术方案</w:t>
            </w:r>
            <w:r>
              <w:rPr>
                <w:rFonts w:hint="eastAsia" w:ascii="宋体" w:hAnsi="宋体" w:eastAsia="宋体" w:cs="宋体"/>
                <w:b w:val="0"/>
                <w:bCs w:val="0"/>
                <w:color w:val="000000"/>
                <w:spacing w:val="0"/>
                <w:position w:val="0"/>
                <w:sz w:val="21"/>
                <w:szCs w:val="21"/>
                <w:highlight w:val="none"/>
                <w:lang w:eastAsia="zh-CN"/>
              </w:rPr>
              <w:t xml:space="preserve">，从</w:t>
            </w:r>
            <w:r>
              <w:rPr>
                <w:rFonts w:hint="eastAsia" w:ascii="宋体" w:hAnsi="宋体" w:eastAsia="宋体" w:cs="宋体"/>
                <w:b w:val="0"/>
                <w:bCs w:val="0"/>
                <w:color w:val="000000"/>
                <w:spacing w:val="0"/>
                <w:position w:val="0"/>
                <w:sz w:val="21"/>
                <w:szCs w:val="21"/>
                <w:highlight w:val="none"/>
              </w:rPr>
              <w:t xml:space="preserve">方案是否详细、合理，</w:t>
            </w:r>
            <w:r>
              <w:rPr>
                <w:rFonts w:hint="eastAsia" w:ascii="宋体" w:hAnsi="宋体" w:eastAsia="宋体" w:cs="宋体"/>
                <w:b w:val="0"/>
                <w:bCs w:val="0"/>
                <w:color w:val="000000"/>
                <w:spacing w:val="0"/>
                <w:position w:val="0"/>
                <w:sz w:val="21"/>
                <w:szCs w:val="21"/>
                <w:highlight w:val="none"/>
                <w:lang w:eastAsia="zh-CN"/>
              </w:rPr>
              <w:t xml:space="preserve">是否适合采购人</w:t>
            </w:r>
            <w:r>
              <w:rPr>
                <w:rFonts w:hint="eastAsia" w:ascii="宋体" w:hAnsi="宋体" w:eastAsia="宋体" w:cs="宋体"/>
                <w:b w:val="0"/>
                <w:bCs w:val="0"/>
                <w:color w:val="000000"/>
                <w:spacing w:val="0"/>
                <w:position w:val="0"/>
                <w:sz w:val="21"/>
                <w:szCs w:val="21"/>
                <w:highlight w:val="none"/>
              </w:rPr>
              <w:t xml:space="preserve">要求，</w:t>
            </w:r>
            <w:r>
              <w:rPr>
                <w:rFonts w:hint="eastAsia" w:ascii="宋体" w:hAnsi="宋体" w:eastAsia="宋体" w:cs="宋体"/>
                <w:b w:val="0"/>
                <w:bCs w:val="0"/>
                <w:color w:val="000000"/>
                <w:spacing w:val="0"/>
                <w:position w:val="0"/>
                <w:sz w:val="21"/>
                <w:szCs w:val="21"/>
                <w:highlight w:val="none"/>
                <w:lang w:eastAsia="zh-CN"/>
              </w:rPr>
              <w:t xml:space="preserve">是否吻合采购人</w:t>
            </w:r>
            <w:r>
              <w:rPr>
                <w:rFonts w:hint="eastAsia" w:ascii="宋体" w:hAnsi="宋体" w:eastAsia="宋体" w:cs="宋体"/>
                <w:b w:val="0"/>
                <w:bCs w:val="0"/>
                <w:color w:val="000000"/>
                <w:spacing w:val="0"/>
                <w:position w:val="0"/>
                <w:sz w:val="21"/>
                <w:szCs w:val="21"/>
                <w:highlight w:val="none"/>
              </w:rPr>
              <w:t xml:space="preserve">现场情况</w:t>
            </w:r>
            <w:r>
              <w:rPr>
                <w:rFonts w:hint="eastAsia" w:ascii="宋体" w:hAnsi="宋体" w:eastAsia="宋体" w:cs="宋体"/>
                <w:b w:val="0"/>
                <w:bCs w:val="0"/>
                <w:color w:val="000000"/>
                <w:spacing w:val="0"/>
                <w:position w:val="0"/>
                <w:sz w:val="21"/>
                <w:szCs w:val="21"/>
                <w:highlight w:val="none"/>
                <w:lang w:eastAsia="zh-CN"/>
              </w:rPr>
              <w:t xml:space="preserve">等方面进行</w:t>
            </w:r>
            <w:r>
              <w:rPr>
                <w:rFonts w:hint="eastAsia" w:ascii="宋体" w:hAnsi="宋体" w:eastAsia="宋体" w:cs="宋体"/>
                <w:b w:val="0"/>
                <w:bCs w:val="0"/>
                <w:color w:val="000000"/>
                <w:spacing w:val="0"/>
                <w:position w:val="0"/>
                <w:sz w:val="21"/>
                <w:szCs w:val="21"/>
                <w:highlight w:val="none"/>
              </w:rPr>
              <w:t xml:space="preserve">综合评审：</w:t>
            </w:r>
            <w:r>
              <w:rPr>
                <w:rFonts w:hint="eastAsia" w:ascii="宋体" w:hAnsi="宋体" w:eastAsia="宋体" w:cs="宋体"/>
                <w:b w:val="0"/>
                <w:bCs w:val="0"/>
                <w:color w:val="000000"/>
                <w:spacing w:val="0"/>
                <w:position w:val="0"/>
                <w:sz w:val="21"/>
                <w:szCs w:val="21"/>
                <w:highlight w:val="none"/>
              </w:rPr>
            </w:r>
            <w:r/>
          </w:p>
          <w:p>
            <w:pPr>
              <w:pStyle w:val="1112"/>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1"/>
                <w:szCs w:val="21"/>
                <w:highlight w:val="none"/>
              </w:rPr>
              <w:suppressLineNumbers w:val="0"/>
            </w:pPr>
            <w:r>
              <w:rPr>
                <w:rFonts w:hint="eastAsia" w:ascii="宋体" w:hAnsi="宋体" w:eastAsia="宋体" w:cs="宋体"/>
                <w:b w:val="0"/>
                <w:bCs w:val="0"/>
                <w:color w:val="000000"/>
                <w:spacing w:val="0"/>
                <w:position w:val="0"/>
                <w:sz w:val="21"/>
                <w:szCs w:val="21"/>
                <w:highlight w:val="none"/>
              </w:rPr>
              <w:t xml:space="preserve">方案合理性、协调性、可行性优，得</w:t>
            </w:r>
            <w:r>
              <w:rPr>
                <w:rFonts w:hint="eastAsia" w:ascii="宋体" w:hAnsi="宋体" w:eastAsia="宋体" w:cs="宋体"/>
                <w:b w:val="0"/>
                <w:bCs w:val="0"/>
                <w:color w:val="000000"/>
                <w:spacing w:val="0"/>
                <w:position w:val="0"/>
                <w:sz w:val="21"/>
                <w:szCs w:val="21"/>
                <w:highlight w:val="none"/>
                <w:lang w:val="en-US" w:eastAsia="zh-CN"/>
              </w:rPr>
              <w:t xml:space="preserve">5</w:t>
            </w:r>
            <w:r>
              <w:rPr>
                <w:rFonts w:hint="eastAsia" w:ascii="宋体" w:hAnsi="宋体" w:eastAsia="宋体" w:cs="宋体"/>
                <w:b w:val="0"/>
                <w:bCs w:val="0"/>
                <w:color w:val="000000"/>
                <w:spacing w:val="0"/>
                <w:position w:val="0"/>
                <w:sz w:val="21"/>
                <w:szCs w:val="21"/>
                <w:highlight w:val="none"/>
              </w:rPr>
              <w:t xml:space="preserve">分；</w:t>
            </w:r>
            <w:r>
              <w:rPr>
                <w:rFonts w:hint="eastAsia" w:ascii="宋体" w:hAnsi="宋体" w:eastAsia="宋体" w:cs="宋体"/>
                <w:b w:val="0"/>
                <w:bCs w:val="0"/>
                <w:color w:val="000000"/>
                <w:spacing w:val="0"/>
                <w:position w:val="0"/>
                <w:sz w:val="21"/>
                <w:szCs w:val="21"/>
                <w:highlight w:val="none"/>
              </w:rPr>
            </w:r>
            <w:r/>
          </w:p>
          <w:p>
            <w:pPr>
              <w:pStyle w:val="1112"/>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1"/>
                <w:szCs w:val="21"/>
                <w:highlight w:val="none"/>
              </w:rPr>
              <w:suppressLineNumbers w:val="0"/>
            </w:pPr>
            <w:r>
              <w:rPr>
                <w:rFonts w:hint="eastAsia" w:ascii="宋体" w:hAnsi="宋体" w:eastAsia="宋体" w:cs="宋体"/>
                <w:b w:val="0"/>
                <w:bCs w:val="0"/>
                <w:color w:val="000000"/>
                <w:spacing w:val="0"/>
                <w:position w:val="0"/>
                <w:sz w:val="21"/>
                <w:szCs w:val="21"/>
                <w:highlight w:val="none"/>
              </w:rPr>
              <w:t xml:space="preserve">方案合理性、协调性、可行性较好，得3分；</w:t>
            </w:r>
            <w:r>
              <w:rPr>
                <w:rFonts w:hint="eastAsia" w:ascii="宋体" w:hAnsi="宋体" w:eastAsia="宋体" w:cs="宋体"/>
                <w:b w:val="0"/>
                <w:bCs w:val="0"/>
                <w:color w:val="000000"/>
                <w:spacing w:val="0"/>
                <w:position w:val="0"/>
                <w:sz w:val="21"/>
                <w:szCs w:val="21"/>
                <w:highlight w:val="none"/>
              </w:rPr>
            </w:r>
            <w:r/>
          </w:p>
          <w:p>
            <w:pPr>
              <w:pStyle w:val="1112"/>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1"/>
                <w:szCs w:val="21"/>
                <w:highlight w:val="none"/>
              </w:rPr>
              <w:suppressLineNumbers w:val="0"/>
            </w:pPr>
            <w:r>
              <w:rPr>
                <w:rFonts w:hint="eastAsia" w:ascii="宋体" w:hAnsi="宋体" w:eastAsia="宋体" w:cs="宋体"/>
                <w:b w:val="0"/>
                <w:bCs w:val="0"/>
                <w:color w:val="000000"/>
                <w:spacing w:val="0"/>
                <w:position w:val="0"/>
                <w:sz w:val="21"/>
                <w:szCs w:val="21"/>
                <w:highlight w:val="none"/>
              </w:rPr>
              <w:t xml:space="preserve">方案合理性、协调性、可行性一般，得1分；</w:t>
            </w:r>
            <w:r>
              <w:rPr>
                <w:rFonts w:hint="eastAsia" w:ascii="宋体" w:hAnsi="宋体" w:eastAsia="宋体" w:cs="宋体"/>
                <w:b w:val="0"/>
                <w:bCs w:val="0"/>
                <w:color w:val="000000"/>
                <w:spacing w:val="0"/>
                <w:position w:val="0"/>
                <w:sz w:val="21"/>
                <w:szCs w:val="21"/>
                <w:highlight w:val="none"/>
              </w:rPr>
            </w:r>
            <w:r/>
          </w:p>
          <w:p>
            <w:pPr>
              <w:pStyle w:val="1112"/>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1"/>
                <w:szCs w:val="21"/>
                <w:highlight w:val="none"/>
                <w:lang w:eastAsia="zh-CN"/>
              </w:rPr>
              <w:suppressLineNumbers w:val="0"/>
            </w:pPr>
            <w:r>
              <w:rPr>
                <w:rFonts w:hint="eastAsia" w:ascii="宋体" w:hAnsi="宋体" w:eastAsia="宋体" w:cs="宋体"/>
                <w:b w:val="0"/>
                <w:bCs w:val="0"/>
                <w:color w:val="000000"/>
                <w:spacing w:val="0"/>
                <w:position w:val="0"/>
                <w:sz w:val="21"/>
                <w:szCs w:val="21"/>
                <w:highlight w:val="none"/>
              </w:rPr>
              <w:t xml:space="preserve">方案合理性、协调性、可行性差或者未提供相应内容的不得分</w:t>
            </w:r>
            <w:r>
              <w:rPr>
                <w:rFonts w:hint="eastAsia" w:ascii="宋体" w:hAnsi="宋体" w:eastAsia="宋体" w:cs="宋体"/>
                <w:b w:val="0"/>
                <w:bCs w:val="0"/>
                <w:color w:val="000000"/>
                <w:spacing w:val="0"/>
                <w:position w:val="0"/>
                <w:sz w:val="21"/>
                <w:szCs w:val="21"/>
                <w:highlight w:val="none"/>
                <w:lang w:eastAsia="zh-CN"/>
              </w:rPr>
              <w:t xml:space="preserve">。</w:t>
            </w:r>
            <w:r>
              <w:rPr>
                <w:rFonts w:hint="eastAsia" w:ascii="宋体" w:hAnsi="宋体" w:eastAsia="宋体" w:cs="宋体"/>
                <w:b w:val="0"/>
                <w:bCs w:val="0"/>
                <w:color w:val="000000"/>
                <w:spacing w:val="0"/>
                <w:position w:val="0"/>
                <w:sz w:val="21"/>
                <w:szCs w:val="21"/>
                <w:highlight w:val="none"/>
                <w:lang w:eastAsia="zh-CN"/>
              </w:rPr>
            </w:r>
            <w:r/>
          </w:p>
        </w:tc>
        <w:tc>
          <w:tcPr>
            <w:tcW w:w="1260" w:type="dxa"/>
            <w:vAlign w:val="center"/>
            <w:textDirection w:val="lrTb"/>
            <w:noWrap w:val="false"/>
          </w:tcPr>
          <w:p>
            <w:pPr>
              <w:pStyle w:val="1472"/>
              <w:jc w:val="center"/>
              <w:keepLines w:val="0"/>
              <w:keepNext w:val="0"/>
              <w:pageBreakBefore w:val="0"/>
              <w:spacing w:before="0" w:after="0" w:line="240" w:lineRule="auto"/>
              <w:rPr>
                <w:rFonts w:hint="eastAsia" w:ascii="宋体" w:hAnsi="宋体" w:eastAsia="宋体" w:cs="宋体"/>
                <w:b w:val="0"/>
                <w:bCs w:val="0"/>
                <w:color w:val="000000"/>
                <w:highlight w:val="none"/>
                <w:lang w:val="en-US" w:eastAsia="zh-CN"/>
              </w:rPr>
            </w:pPr>
            <w:r>
              <w:rPr>
                <w:rFonts w:hint="eastAsia" w:eastAsia="宋体" w:cs="宋体"/>
                <w:b w:val="0"/>
                <w:bCs w:val="0"/>
                <w:color w:val="000000"/>
                <w:highlight w:val="none"/>
                <w:lang w:val="en-US" w:eastAsia="zh-CN"/>
              </w:rPr>
              <w:t xml:space="preserve">5</w:t>
            </w:r>
            <w:r>
              <w:rPr>
                <w:rFonts w:hint="eastAsia" w:ascii="宋体" w:hAnsi="宋体" w:eastAsia="宋体" w:cs="宋体"/>
                <w:b w:val="0"/>
                <w:bCs w:val="0"/>
                <w:color w:val="000000"/>
                <w:highlight w:val="none"/>
                <w:lang w:val="en-US" w:eastAsia="zh-CN"/>
              </w:rPr>
            </w:r>
            <w:r/>
          </w:p>
        </w:tc>
      </w:tr>
      <w:tr>
        <w:trPr>
          <w:trHeight w:val="90"/>
        </w:trPr>
        <w:tc>
          <w:tcPr>
            <w:tcW w:w="724" w:type="dxa"/>
            <w:vAlign w:val="center"/>
            <w:vMerge w:val="restart"/>
            <w:textDirection w:val="lrTb"/>
            <w:noWrap w:val="false"/>
          </w:tcPr>
          <w:p>
            <w:pPr>
              <w:pStyle w:val="1472"/>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lang w:val="en-US" w:eastAsia="zh-CN"/>
              </w:rPr>
            </w:pPr>
            <w:r>
              <w:rPr>
                <w:rFonts w:hint="eastAsia" w:eastAsia="宋体" w:cs="宋体"/>
                <w:b w:val="0"/>
                <w:bCs w:val="0"/>
                <w:color w:val="000000"/>
                <w:spacing w:val="-4"/>
                <w:highlight w:val="none"/>
                <w:lang w:val="en-US" w:eastAsia="zh-CN"/>
              </w:rPr>
              <w:t xml:space="preserve">4</w:t>
            </w:r>
            <w:r>
              <w:rPr>
                <w:rFonts w:hint="eastAsia" w:ascii="宋体" w:hAnsi="宋体" w:eastAsia="宋体" w:cs="宋体"/>
                <w:b w:val="0"/>
                <w:bCs w:val="0"/>
                <w:color w:val="000000"/>
                <w:spacing w:val="-4"/>
                <w:highlight w:val="none"/>
                <w:lang w:val="en-US" w:eastAsia="zh-CN"/>
              </w:rPr>
            </w:r>
            <w:r/>
          </w:p>
        </w:tc>
        <w:tc>
          <w:tcPr>
            <w:tcW w:w="1509" w:type="dxa"/>
            <w:vAlign w:val="center"/>
            <w:vMerge w:val="restart"/>
            <w:textDirection w:val="lrTb"/>
            <w:noWrap w:val="false"/>
          </w:tcPr>
          <w:p>
            <w:pPr>
              <w:pStyle w:val="1472"/>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rPr>
            </w:pPr>
            <w:r>
              <w:rPr>
                <w:rFonts w:hint="eastAsia" w:ascii="宋体" w:hAnsi="宋体" w:eastAsia="宋体" w:cs="宋体"/>
                <w:b w:val="0"/>
                <w:bCs w:val="0"/>
                <w:color w:val="000000"/>
                <w:spacing w:val="-4"/>
                <w:highlight w:val="none"/>
              </w:rPr>
              <w:t xml:space="preserve">样品综合评审</w:t>
            </w:r>
            <w:r>
              <w:rPr>
                <w:rFonts w:hint="eastAsia" w:ascii="宋体" w:hAnsi="宋体" w:eastAsia="宋体" w:cs="宋体"/>
                <w:b w:val="0"/>
                <w:bCs w:val="0"/>
                <w:color w:val="000000"/>
                <w:spacing w:val="-4"/>
                <w:highlight w:val="none"/>
              </w:rPr>
            </w:r>
            <w:r/>
          </w:p>
          <w:p>
            <w:pPr>
              <w:pStyle w:val="1472"/>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rPr>
            </w:pPr>
            <w:r>
              <w:rPr>
                <w:rFonts w:hint="eastAsia" w:ascii="宋体" w:hAnsi="宋体" w:eastAsia="宋体" w:cs="宋体"/>
                <w:b w:val="0"/>
                <w:bCs w:val="0"/>
                <w:color w:val="000000"/>
                <w:spacing w:val="-4"/>
                <w:highlight w:val="none"/>
              </w:rPr>
              <w:t xml:space="preserve">（1</w:t>
            </w:r>
            <w:r>
              <w:rPr>
                <w:rFonts w:hint="eastAsia" w:eastAsia="宋体" w:cs="宋体"/>
                <w:b w:val="0"/>
                <w:bCs w:val="0"/>
                <w:color w:val="000000"/>
                <w:spacing w:val="-4"/>
                <w:highlight w:val="none"/>
                <w:lang w:val="en-US" w:eastAsia="zh-CN"/>
              </w:rPr>
              <w:t xml:space="preserve">5</w:t>
            </w:r>
            <w:r>
              <w:rPr>
                <w:rFonts w:hint="eastAsia" w:ascii="宋体" w:hAnsi="宋体" w:eastAsia="宋体" w:cs="宋体"/>
                <w:b w:val="0"/>
                <w:bCs w:val="0"/>
                <w:color w:val="000000"/>
                <w:spacing w:val="-4"/>
                <w:highlight w:val="none"/>
              </w:rPr>
              <w:t xml:space="preserve">分）</w:t>
            </w:r>
            <w:r>
              <w:rPr>
                <w:rFonts w:hint="eastAsia" w:ascii="宋体" w:hAnsi="宋体" w:eastAsia="宋体" w:cs="宋体"/>
                <w:b w:val="0"/>
                <w:bCs w:val="0"/>
                <w:color w:val="000000"/>
                <w:spacing w:val="-4"/>
                <w:highlight w:val="none"/>
              </w:rPr>
            </w:r>
            <w:r/>
          </w:p>
          <w:p>
            <w:pPr>
              <w:pStyle w:val="1472"/>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rPr>
            </w:pPr>
            <w:r>
              <w:rPr>
                <w:rFonts w:hint="eastAsia" w:ascii="宋体" w:hAnsi="宋体" w:eastAsia="宋体" w:cs="宋体"/>
                <w:b w:val="0"/>
                <w:bCs w:val="0"/>
                <w:color w:val="000000"/>
                <w:spacing w:val="-4"/>
                <w:highlight w:val="none"/>
              </w:rPr>
            </w:r>
            <w:r/>
          </w:p>
        </w:tc>
        <w:tc>
          <w:tcPr>
            <w:tcW w:w="6125" w:type="dxa"/>
            <w:vAlign w:val="center"/>
            <w:textDirection w:val="lrTb"/>
            <w:noWrap w:val="false"/>
          </w:tcPr>
          <w:p>
            <w:pPr>
              <w:pStyle w:val="1112"/>
              <w:jc w:val="both"/>
              <w:keepLines w:val="0"/>
              <w:keepNext w:val="0"/>
              <w:pageBreakBefore w:val="0"/>
              <w:spacing w:before="0" w:beforeAutospacing="0" w:after="0" w:afterAutospacing="0" w:line="240" w:lineRule="auto"/>
              <w:widowControl/>
              <w:rPr>
                <w:rFonts w:ascii="宋体" w:hAnsi="宋体" w:eastAsia="宋体" w:cs="宋体"/>
                <w:b w:val="0"/>
                <w:bCs w:val="0"/>
                <w:color w:val="000000"/>
                <w:spacing w:val="0"/>
                <w:position w:val="0"/>
                <w:sz w:val="21"/>
                <w:szCs w:val="21"/>
                <w:highlight w:val="none"/>
                <w:lang w:val="en-US" w:eastAsia="zh-CN"/>
              </w:rPr>
              <w:suppressLineNumbers w:val="0"/>
            </w:pPr>
            <w:r>
              <w:rPr>
                <w:rFonts w:ascii="宋体" w:hAnsi="宋体" w:eastAsia="宋体" w:cs="宋体"/>
                <w:b w:val="0"/>
                <w:bCs w:val="0"/>
                <w:color w:val="000000"/>
                <w:spacing w:val="0"/>
                <w:position w:val="0"/>
                <w:sz w:val="21"/>
                <w:szCs w:val="21"/>
                <w:highlight w:val="none"/>
                <w:lang w:val="en-US" w:eastAsia="zh-CN"/>
              </w:rPr>
              <w:t xml:space="preserve">产品整体观感（</w:t>
            </w:r>
            <w:r>
              <w:rPr>
                <w:rFonts w:hint="eastAsia" w:ascii="宋体" w:hAnsi="宋体" w:eastAsia="宋体" w:cs="宋体"/>
                <w:b w:val="0"/>
                <w:bCs w:val="0"/>
                <w:color w:val="000000"/>
                <w:spacing w:val="0"/>
                <w:position w:val="0"/>
                <w:sz w:val="21"/>
                <w:szCs w:val="21"/>
                <w:highlight w:val="none"/>
                <w:lang w:val="en-US" w:eastAsia="zh-CN"/>
              </w:rPr>
              <w:t xml:space="preserve">5</w:t>
            </w:r>
            <w:r>
              <w:rPr>
                <w:rFonts w:ascii="宋体" w:hAnsi="宋体" w:eastAsia="宋体" w:cs="宋体"/>
                <w:b w:val="0"/>
                <w:bCs w:val="0"/>
                <w:color w:val="000000"/>
                <w:spacing w:val="0"/>
                <w:position w:val="0"/>
                <w:sz w:val="21"/>
                <w:szCs w:val="21"/>
                <w:highlight w:val="none"/>
                <w:lang w:val="en-US" w:eastAsia="zh-CN"/>
              </w:rPr>
              <w:t xml:space="preserve">分）</w:t>
            </w:r>
            <w:r>
              <w:rPr>
                <w:rFonts w:ascii="宋体" w:hAnsi="宋体" w:eastAsia="宋体" w:cs="宋体"/>
                <w:b w:val="0"/>
                <w:bCs w:val="0"/>
                <w:color w:val="000000"/>
                <w:spacing w:val="0"/>
                <w:position w:val="0"/>
                <w:sz w:val="21"/>
                <w:szCs w:val="21"/>
                <w:highlight w:val="none"/>
                <w:lang w:val="en-US" w:eastAsia="zh-CN"/>
              </w:rPr>
            </w:r>
            <w:r/>
          </w:p>
          <w:p>
            <w:pPr>
              <w:pStyle w:val="1112"/>
              <w:ind w:left="0" w:hanging="2"/>
              <w:jc w:val="both"/>
              <w:keepLines w:val="0"/>
              <w:keepNext w:val="0"/>
              <w:pageBreakBefore w:val="0"/>
              <w:spacing w:before="0" w:beforeAutospacing="0" w:after="0" w:afterAutospacing="0" w:line="240" w:lineRule="auto"/>
              <w:widowControl/>
              <w:rPr>
                <w:rFonts w:ascii="宋体" w:hAnsi="宋体" w:eastAsia="宋体" w:cs="宋体"/>
                <w:b w:val="0"/>
                <w:bCs w:val="0"/>
                <w:color w:val="000000"/>
                <w:spacing w:val="0"/>
                <w:position w:val="0"/>
                <w:sz w:val="21"/>
                <w:szCs w:val="21"/>
                <w:highlight w:val="none"/>
                <w:lang w:val="en-US" w:eastAsia="zh-CN"/>
              </w:rPr>
              <w:suppressLineNumbers w:val="0"/>
            </w:pPr>
            <w:r>
              <w:rPr>
                <w:rFonts w:ascii="宋体" w:hAnsi="宋体" w:eastAsia="宋体" w:cs="宋体"/>
                <w:b w:val="0"/>
                <w:bCs w:val="0"/>
                <w:color w:val="000000"/>
                <w:spacing w:val="0"/>
                <w:position w:val="0"/>
                <w:sz w:val="21"/>
                <w:szCs w:val="21"/>
                <w:highlight w:val="none"/>
                <w:lang w:val="en-US" w:eastAsia="zh-CN"/>
              </w:rPr>
              <w:t xml:space="preserve">根据外观设计风格、美观大方情况，款式、尺寸、内部结构是否符合招标文件要求，有无明显色差；产品是否清洁无污迹；有无缺口和毛刺等综合评价。</w:t>
            </w:r>
            <w:r>
              <w:rPr>
                <w:rFonts w:ascii="宋体" w:hAnsi="宋体" w:eastAsia="宋体" w:cs="宋体"/>
                <w:b w:val="0"/>
                <w:bCs w:val="0"/>
                <w:color w:val="000000"/>
                <w:spacing w:val="0"/>
                <w:position w:val="0"/>
                <w:sz w:val="21"/>
                <w:szCs w:val="21"/>
                <w:highlight w:val="none"/>
                <w:lang w:val="en-US" w:eastAsia="zh-CN"/>
              </w:rPr>
            </w:r>
            <w:r/>
          </w:p>
          <w:p>
            <w:pPr>
              <w:pStyle w:val="1112"/>
              <w:ind w:left="0" w:hanging="2"/>
              <w:jc w:val="both"/>
              <w:keepLines w:val="0"/>
              <w:keepNext w:val="0"/>
              <w:pageBreakBefore w:val="0"/>
              <w:spacing w:before="0" w:beforeAutospacing="0" w:after="0" w:afterAutospacing="0" w:line="240" w:lineRule="auto"/>
              <w:widowControl/>
              <w:rPr>
                <w:rFonts w:ascii="宋体" w:hAnsi="宋体" w:eastAsia="宋体" w:cs="宋体"/>
                <w:b w:val="0"/>
                <w:bCs w:val="0"/>
                <w:color w:val="000000"/>
                <w:spacing w:val="0"/>
                <w:position w:val="0"/>
                <w:sz w:val="21"/>
                <w:szCs w:val="21"/>
                <w:highlight w:val="none"/>
                <w:lang w:val="en-US" w:eastAsia="zh-CN"/>
              </w:rPr>
              <w:suppressLineNumbers w:val="0"/>
            </w:pPr>
            <w:r>
              <w:rPr>
                <w:rFonts w:ascii="宋体" w:hAnsi="宋体" w:eastAsia="宋体" w:cs="宋体"/>
                <w:b w:val="0"/>
                <w:bCs w:val="0"/>
                <w:color w:val="000000"/>
                <w:spacing w:val="0"/>
                <w:position w:val="0"/>
                <w:sz w:val="21"/>
                <w:szCs w:val="21"/>
                <w:highlight w:val="none"/>
                <w:lang w:val="en-US" w:eastAsia="zh-CN"/>
              </w:rPr>
              <w:t xml:space="preserve">设计美观、款式尺寸符合招标要求、内部结构合理、无色差、清洁、无缺口及毛刺得</w:t>
            </w:r>
            <w:r>
              <w:rPr>
                <w:rFonts w:hint="eastAsia" w:ascii="宋体" w:hAnsi="宋体" w:eastAsia="宋体" w:cs="宋体"/>
                <w:b w:val="0"/>
                <w:bCs w:val="0"/>
                <w:color w:val="000000"/>
                <w:spacing w:val="0"/>
                <w:position w:val="0"/>
                <w:sz w:val="21"/>
                <w:szCs w:val="21"/>
                <w:highlight w:val="none"/>
                <w:lang w:val="en-US" w:eastAsia="zh-CN"/>
              </w:rPr>
              <w:t xml:space="preserve">5</w:t>
            </w:r>
            <w:r>
              <w:rPr>
                <w:rFonts w:ascii="宋体" w:hAnsi="宋体" w:eastAsia="宋体" w:cs="宋体"/>
                <w:b w:val="0"/>
                <w:bCs w:val="0"/>
                <w:color w:val="000000"/>
                <w:spacing w:val="0"/>
                <w:position w:val="0"/>
                <w:sz w:val="21"/>
                <w:szCs w:val="21"/>
                <w:highlight w:val="none"/>
                <w:lang w:val="en-US" w:eastAsia="zh-CN"/>
              </w:rPr>
              <w:t xml:space="preserve">分；</w:t>
            </w:r>
            <w:r>
              <w:rPr>
                <w:rFonts w:ascii="宋体" w:hAnsi="宋体" w:eastAsia="宋体" w:cs="宋体"/>
                <w:b w:val="0"/>
                <w:bCs w:val="0"/>
                <w:color w:val="000000"/>
                <w:spacing w:val="0"/>
                <w:position w:val="0"/>
                <w:sz w:val="21"/>
                <w:szCs w:val="21"/>
                <w:highlight w:val="none"/>
                <w:lang w:val="en-US" w:eastAsia="zh-CN"/>
              </w:rPr>
            </w:r>
            <w:r/>
          </w:p>
          <w:p>
            <w:pPr>
              <w:pStyle w:val="1112"/>
              <w:ind w:left="0" w:hanging="2"/>
              <w:jc w:val="both"/>
              <w:keepLines w:val="0"/>
              <w:keepNext w:val="0"/>
              <w:pageBreakBefore w:val="0"/>
              <w:spacing w:before="0" w:beforeAutospacing="0" w:after="0" w:afterAutospacing="0" w:line="240" w:lineRule="auto"/>
              <w:widowControl/>
              <w:rPr>
                <w:rFonts w:ascii="宋体" w:hAnsi="宋体" w:eastAsia="宋体" w:cs="宋体"/>
                <w:b w:val="0"/>
                <w:bCs w:val="0"/>
                <w:color w:val="000000"/>
                <w:spacing w:val="0"/>
                <w:position w:val="0"/>
                <w:sz w:val="21"/>
                <w:szCs w:val="21"/>
                <w:highlight w:val="none"/>
                <w:lang w:val="en-US" w:eastAsia="zh-CN"/>
              </w:rPr>
              <w:suppressLineNumbers w:val="0"/>
            </w:pPr>
            <w:r>
              <w:rPr>
                <w:rFonts w:ascii="宋体" w:hAnsi="宋体" w:eastAsia="宋体" w:cs="宋体"/>
                <w:b w:val="0"/>
                <w:bCs w:val="0"/>
                <w:color w:val="000000"/>
                <w:spacing w:val="0"/>
                <w:position w:val="0"/>
                <w:sz w:val="21"/>
                <w:szCs w:val="21"/>
                <w:highlight w:val="none"/>
                <w:lang w:val="en-US" w:eastAsia="zh-CN"/>
              </w:rPr>
              <w:t xml:space="preserve">设计一般、款式尺寸基本符合招标要求、内部结构基本合理、基本无色差、清洁、基本无缺口及毛刺得3分</w:t>
            </w:r>
            <w:r>
              <w:rPr>
                <w:rFonts w:ascii="宋体" w:hAnsi="宋体" w:eastAsia="宋体" w:cs="宋体"/>
                <w:b w:val="0"/>
                <w:bCs w:val="0"/>
                <w:color w:val="000000"/>
                <w:spacing w:val="0"/>
                <w:position w:val="0"/>
                <w:sz w:val="21"/>
                <w:szCs w:val="21"/>
                <w:highlight w:val="none"/>
                <w:lang w:val="en-US" w:eastAsia="zh-CN"/>
              </w:rPr>
              <w:t xml:space="preserve">；</w:t>
            </w:r>
            <w:r>
              <w:rPr>
                <w:rFonts w:ascii="宋体" w:hAnsi="宋体" w:eastAsia="宋体" w:cs="宋体"/>
                <w:b w:val="0"/>
                <w:bCs w:val="0"/>
                <w:color w:val="000000"/>
                <w:spacing w:val="0"/>
                <w:position w:val="0"/>
                <w:sz w:val="21"/>
                <w:szCs w:val="21"/>
                <w:highlight w:val="none"/>
                <w:lang w:val="en-US" w:eastAsia="zh-CN"/>
              </w:rPr>
            </w:r>
            <w:r/>
          </w:p>
          <w:p>
            <w:pPr>
              <w:pStyle w:val="1112"/>
              <w:ind w:left="0" w:hanging="2"/>
              <w:jc w:val="both"/>
              <w:keepLines w:val="0"/>
              <w:keepNext w:val="0"/>
              <w:pageBreakBefore w:val="0"/>
              <w:spacing w:before="0" w:beforeAutospacing="0" w:after="0" w:afterAutospacing="0" w:line="240" w:lineRule="auto"/>
              <w:widowControl/>
              <w:rPr>
                <w:rFonts w:ascii="宋体" w:hAnsi="宋体" w:eastAsia="宋体" w:cs="宋体"/>
                <w:b w:val="0"/>
                <w:bCs w:val="0"/>
                <w:color w:val="000000"/>
                <w:spacing w:val="0"/>
                <w:position w:val="0"/>
                <w:sz w:val="21"/>
                <w:szCs w:val="21"/>
                <w:highlight w:val="none"/>
                <w:lang w:val="en-US" w:eastAsia="zh-CN"/>
              </w:rPr>
              <w:suppressLineNumbers w:val="0"/>
            </w:pPr>
            <w:r>
              <w:rPr>
                <w:rFonts w:ascii="宋体" w:hAnsi="宋体" w:eastAsia="宋体" w:cs="宋体"/>
                <w:b w:val="0"/>
                <w:bCs w:val="0"/>
                <w:color w:val="000000"/>
                <w:spacing w:val="0"/>
                <w:position w:val="0"/>
                <w:sz w:val="21"/>
                <w:szCs w:val="21"/>
                <w:highlight w:val="none"/>
                <w:lang w:val="en-US" w:eastAsia="zh-CN"/>
              </w:rPr>
              <w:t xml:space="preserve">设计一般、款式尺寸基本符合招标要求、内部结构较差、存在色差、污迹或有缺口及毛刺得1分。</w:t>
            </w:r>
            <w:r>
              <w:rPr>
                <w:rFonts w:ascii="宋体" w:hAnsi="宋体" w:eastAsia="宋体" w:cs="宋体"/>
                <w:b w:val="0"/>
                <w:bCs w:val="0"/>
                <w:color w:val="000000"/>
                <w:spacing w:val="0"/>
                <w:position w:val="0"/>
                <w:sz w:val="21"/>
                <w:szCs w:val="21"/>
                <w:highlight w:val="none"/>
                <w:lang w:val="en-US" w:eastAsia="zh-CN"/>
              </w:rPr>
            </w:r>
            <w:r/>
          </w:p>
          <w:p>
            <w:pPr>
              <w:pStyle w:val="1112"/>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1"/>
                <w:szCs w:val="21"/>
                <w:highlight w:val="none"/>
              </w:rPr>
              <w:suppressLineNumbers w:val="0"/>
            </w:pPr>
            <w:r>
              <w:rPr>
                <w:rFonts w:hint="eastAsia" w:ascii="Times New Roman" w:hAnsi="Times New Roman" w:eastAsia="宋体" w:cs="Times New Roman"/>
                <w:color w:val="000000"/>
                <w:sz w:val="21"/>
                <w:szCs w:val="21"/>
                <w:highlight w:val="none"/>
                <w:lang w:val="en-US" w:eastAsia="zh-CN" w:bidi="ar-SA"/>
              </w:rPr>
              <w:t xml:space="preserve">未提供样品不得分。</w:t>
            </w:r>
            <w:r>
              <w:rPr>
                <w:rFonts w:hint="eastAsia" w:ascii="宋体" w:hAnsi="宋体" w:eastAsia="宋体" w:cs="宋体"/>
                <w:b w:val="0"/>
                <w:bCs w:val="0"/>
                <w:color w:val="000000"/>
                <w:spacing w:val="0"/>
                <w:position w:val="0"/>
                <w:sz w:val="21"/>
                <w:szCs w:val="21"/>
                <w:highlight w:val="none"/>
              </w:rPr>
            </w:r>
            <w:r/>
          </w:p>
        </w:tc>
        <w:tc>
          <w:tcPr>
            <w:tcW w:w="1260" w:type="dxa"/>
            <w:vAlign w:val="center"/>
            <w:textDirection w:val="lrTb"/>
            <w:noWrap w:val="false"/>
          </w:tcPr>
          <w:p>
            <w:pPr>
              <w:pStyle w:val="1472"/>
              <w:jc w:val="center"/>
              <w:keepLines w:val="0"/>
              <w:keepNext w:val="0"/>
              <w:pageBreakBefore w:val="0"/>
              <w:spacing w:before="0" w:after="0" w:line="240" w:lineRule="auto"/>
              <w:rPr>
                <w:rFonts w:hint="eastAsia" w:ascii="宋体" w:hAnsi="宋体" w:eastAsia="宋体" w:cs="宋体"/>
                <w:b w:val="0"/>
                <w:bCs w:val="0"/>
                <w:color w:val="000000"/>
                <w:highlight w:val="none"/>
                <w:lang w:val="en-US" w:eastAsia="zh-CN"/>
              </w:rPr>
            </w:pPr>
            <w:r>
              <w:rPr>
                <w:rFonts w:hint="eastAsia" w:eastAsia="宋体" w:cs="宋体"/>
                <w:b w:val="0"/>
                <w:bCs w:val="0"/>
                <w:color w:val="000000"/>
                <w:highlight w:val="none"/>
                <w:lang w:val="en-US" w:eastAsia="zh-CN"/>
              </w:rPr>
              <w:t xml:space="preserve">5</w:t>
            </w:r>
            <w:r>
              <w:rPr>
                <w:rFonts w:hint="eastAsia" w:ascii="宋体" w:hAnsi="宋体" w:eastAsia="宋体" w:cs="宋体"/>
                <w:b w:val="0"/>
                <w:bCs w:val="0"/>
                <w:color w:val="000000"/>
                <w:highlight w:val="none"/>
                <w:lang w:val="en-US" w:eastAsia="zh-CN"/>
              </w:rPr>
            </w:r>
            <w:r/>
          </w:p>
        </w:tc>
      </w:tr>
      <w:tr>
        <w:trPr>
          <w:trHeight w:val="310"/>
        </w:trPr>
        <w:tc>
          <w:tcPr>
            <w:tcW w:w="724" w:type="dxa"/>
            <w:vAlign w:val="center"/>
            <w:vMerge w:val="continue"/>
            <w:textDirection w:val="lrTb"/>
            <w:noWrap w:val="false"/>
          </w:tcPr>
          <w:p>
            <w:pPr>
              <w:pStyle w:val="1472"/>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rPr>
            </w:pPr>
            <w:r>
              <w:rPr>
                <w:rFonts w:hint="eastAsia" w:ascii="宋体" w:hAnsi="宋体" w:eastAsia="宋体" w:cs="宋体"/>
                <w:b w:val="0"/>
                <w:bCs w:val="0"/>
                <w:color w:val="000000"/>
                <w:spacing w:val="-4"/>
                <w:highlight w:val="none"/>
              </w:rPr>
            </w:r>
            <w:r/>
          </w:p>
        </w:tc>
        <w:tc>
          <w:tcPr>
            <w:tcW w:w="1509" w:type="dxa"/>
            <w:vAlign w:val="center"/>
            <w:vMerge w:val="continue"/>
            <w:textDirection w:val="lrTb"/>
            <w:noWrap w:val="false"/>
          </w:tcPr>
          <w:p>
            <w:pPr>
              <w:pStyle w:val="1472"/>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rPr>
            </w:pPr>
            <w:r>
              <w:rPr>
                <w:rFonts w:hint="eastAsia" w:ascii="宋体" w:hAnsi="宋体" w:eastAsia="宋体" w:cs="宋体"/>
                <w:b w:val="0"/>
                <w:bCs w:val="0"/>
                <w:color w:val="000000"/>
                <w:spacing w:val="-4"/>
                <w:highlight w:val="none"/>
              </w:rPr>
            </w:r>
            <w:r/>
          </w:p>
        </w:tc>
        <w:tc>
          <w:tcPr>
            <w:tcW w:w="6125" w:type="dxa"/>
            <w:vAlign w:val="center"/>
            <w:textDirection w:val="lrTb"/>
            <w:noWrap w:val="false"/>
          </w:tcPr>
          <w:p>
            <w:pPr>
              <w:pStyle w:val="1112"/>
              <w:jc w:val="both"/>
              <w:keepLines w:val="0"/>
              <w:keepNext w:val="0"/>
              <w:pageBreakBefore w:val="0"/>
              <w:spacing w:before="0" w:beforeAutospacing="0" w:after="0" w:afterAutospacing="0" w:line="240" w:lineRule="auto"/>
              <w:widowControl/>
              <w:rPr>
                <w:rFonts w:ascii="宋体" w:hAnsi="宋体" w:eastAsia="宋体" w:cs="宋体"/>
                <w:b w:val="0"/>
                <w:bCs w:val="0"/>
                <w:color w:val="000000"/>
                <w:spacing w:val="0"/>
                <w:position w:val="0"/>
                <w:sz w:val="21"/>
                <w:szCs w:val="21"/>
                <w:highlight w:val="none"/>
                <w:lang w:val="en-US" w:eastAsia="zh-CN"/>
              </w:rPr>
              <w:suppressLineNumbers w:val="0"/>
            </w:pPr>
            <w:r>
              <w:rPr>
                <w:rFonts w:ascii="宋体" w:hAnsi="宋体" w:eastAsia="宋体" w:cs="宋体"/>
                <w:b w:val="0"/>
                <w:bCs w:val="0"/>
                <w:color w:val="000000"/>
                <w:spacing w:val="0"/>
                <w:position w:val="0"/>
                <w:sz w:val="21"/>
                <w:szCs w:val="21"/>
                <w:highlight w:val="none"/>
                <w:lang w:val="en-US" w:eastAsia="zh-CN"/>
              </w:rPr>
              <w:t xml:space="preserve">制作工艺（</w:t>
            </w:r>
            <w:r>
              <w:rPr>
                <w:rFonts w:hint="eastAsia" w:ascii="宋体" w:hAnsi="宋体" w:eastAsia="宋体" w:cs="宋体"/>
                <w:b w:val="0"/>
                <w:bCs w:val="0"/>
                <w:color w:val="000000"/>
                <w:spacing w:val="0"/>
                <w:position w:val="0"/>
                <w:sz w:val="21"/>
                <w:szCs w:val="21"/>
                <w:highlight w:val="none"/>
                <w:lang w:val="en-US" w:eastAsia="zh-CN"/>
              </w:rPr>
              <w:t xml:space="preserve">5</w:t>
            </w:r>
            <w:r>
              <w:rPr>
                <w:rFonts w:ascii="宋体" w:hAnsi="宋体" w:eastAsia="宋体" w:cs="宋体"/>
                <w:b w:val="0"/>
                <w:bCs w:val="0"/>
                <w:color w:val="000000"/>
                <w:spacing w:val="0"/>
                <w:position w:val="0"/>
                <w:sz w:val="21"/>
                <w:szCs w:val="21"/>
                <w:highlight w:val="none"/>
                <w:lang w:val="en-US" w:eastAsia="zh-CN"/>
              </w:rPr>
              <w:t xml:space="preserve">分）</w:t>
            </w:r>
            <w:r>
              <w:rPr>
                <w:rFonts w:ascii="宋体" w:hAnsi="宋体" w:eastAsia="宋体" w:cs="宋体"/>
                <w:b w:val="0"/>
                <w:bCs w:val="0"/>
                <w:color w:val="000000"/>
                <w:spacing w:val="0"/>
                <w:position w:val="0"/>
                <w:sz w:val="21"/>
                <w:szCs w:val="21"/>
                <w:highlight w:val="none"/>
                <w:lang w:val="en-US" w:eastAsia="zh-CN"/>
              </w:rPr>
            </w:r>
            <w:r/>
          </w:p>
          <w:p>
            <w:pPr>
              <w:pStyle w:val="1112"/>
              <w:ind w:left="0" w:hanging="2"/>
              <w:jc w:val="both"/>
              <w:keepLines w:val="0"/>
              <w:keepNext w:val="0"/>
              <w:pageBreakBefore w:val="0"/>
              <w:spacing w:before="0" w:beforeAutospacing="0" w:after="0" w:afterAutospacing="0" w:line="240" w:lineRule="auto"/>
              <w:widowControl/>
              <w:rPr>
                <w:rFonts w:ascii="宋体" w:hAnsi="宋体" w:eastAsia="宋体" w:cs="宋体"/>
                <w:b w:val="0"/>
                <w:bCs w:val="0"/>
                <w:color w:val="000000"/>
                <w:spacing w:val="0"/>
                <w:position w:val="0"/>
                <w:sz w:val="21"/>
                <w:szCs w:val="21"/>
                <w:highlight w:val="none"/>
                <w:lang w:val="en-US" w:eastAsia="zh-CN"/>
              </w:rPr>
              <w:suppressLineNumbers w:val="0"/>
            </w:pPr>
            <w:r>
              <w:rPr>
                <w:rFonts w:ascii="宋体" w:hAnsi="宋体" w:eastAsia="宋体" w:cs="宋体"/>
                <w:b w:val="0"/>
                <w:bCs w:val="0"/>
                <w:color w:val="000000"/>
                <w:spacing w:val="0"/>
                <w:position w:val="0"/>
                <w:sz w:val="21"/>
                <w:szCs w:val="21"/>
                <w:highlight w:val="none"/>
                <w:lang w:val="en-US" w:eastAsia="zh-CN"/>
              </w:rPr>
              <w:t xml:space="preserve">样品制作工艺优良、喷涂均匀、钢板厚度、导轨性能等完全符合招标文件要求得</w:t>
            </w:r>
            <w:r>
              <w:rPr>
                <w:rFonts w:hint="eastAsia" w:ascii="宋体" w:hAnsi="宋体" w:eastAsia="宋体" w:cs="宋体"/>
                <w:b w:val="0"/>
                <w:bCs w:val="0"/>
                <w:color w:val="000000"/>
                <w:spacing w:val="0"/>
                <w:position w:val="0"/>
                <w:sz w:val="21"/>
                <w:szCs w:val="21"/>
                <w:highlight w:val="none"/>
                <w:lang w:val="en-US" w:eastAsia="zh-CN"/>
              </w:rPr>
              <w:t xml:space="preserve">5</w:t>
            </w:r>
            <w:r>
              <w:rPr>
                <w:rFonts w:ascii="宋体" w:hAnsi="宋体" w:eastAsia="宋体" w:cs="宋体"/>
                <w:b w:val="0"/>
                <w:bCs w:val="0"/>
                <w:color w:val="000000"/>
                <w:spacing w:val="0"/>
                <w:position w:val="0"/>
                <w:sz w:val="21"/>
                <w:szCs w:val="21"/>
                <w:highlight w:val="none"/>
                <w:lang w:val="en-US" w:eastAsia="zh-CN"/>
              </w:rPr>
              <w:t xml:space="preserve">分；</w:t>
            </w:r>
            <w:r>
              <w:rPr>
                <w:rFonts w:ascii="宋体" w:hAnsi="宋体" w:eastAsia="宋体" w:cs="宋体"/>
                <w:b w:val="0"/>
                <w:bCs w:val="0"/>
                <w:color w:val="000000"/>
                <w:spacing w:val="0"/>
                <w:position w:val="0"/>
                <w:sz w:val="21"/>
                <w:szCs w:val="21"/>
                <w:highlight w:val="none"/>
                <w:lang w:val="en-US" w:eastAsia="zh-CN"/>
              </w:rPr>
            </w:r>
            <w:r/>
          </w:p>
          <w:p>
            <w:pPr>
              <w:pStyle w:val="1112"/>
              <w:ind w:left="0" w:hanging="2"/>
              <w:jc w:val="both"/>
              <w:keepLines w:val="0"/>
              <w:keepNext w:val="0"/>
              <w:pageBreakBefore w:val="0"/>
              <w:spacing w:before="0" w:beforeAutospacing="0" w:after="0" w:afterAutospacing="0" w:line="240" w:lineRule="auto"/>
              <w:widowControl/>
              <w:rPr>
                <w:rFonts w:ascii="宋体" w:hAnsi="宋体" w:eastAsia="宋体" w:cs="宋体"/>
                <w:b w:val="0"/>
                <w:bCs w:val="0"/>
                <w:color w:val="000000"/>
                <w:spacing w:val="0"/>
                <w:position w:val="0"/>
                <w:sz w:val="21"/>
                <w:szCs w:val="21"/>
                <w:highlight w:val="none"/>
                <w:lang w:val="en-US" w:eastAsia="zh-CN"/>
              </w:rPr>
              <w:suppressLineNumbers w:val="0"/>
            </w:pPr>
            <w:r>
              <w:rPr>
                <w:rFonts w:ascii="宋体" w:hAnsi="宋体" w:eastAsia="宋体" w:cs="宋体"/>
                <w:b w:val="0"/>
                <w:bCs w:val="0"/>
                <w:color w:val="000000"/>
                <w:spacing w:val="0"/>
                <w:position w:val="0"/>
                <w:sz w:val="21"/>
                <w:szCs w:val="21"/>
                <w:highlight w:val="none"/>
                <w:lang w:val="en-US" w:eastAsia="zh-CN"/>
              </w:rPr>
              <w:t xml:space="preserve">样品制作工艺一般、喷涂均匀略有瑕疵，钢板厚度、导轨性能等基本符合招标文件要求得3分</w:t>
            </w:r>
            <w:r>
              <w:rPr>
                <w:rFonts w:ascii="宋体" w:hAnsi="宋体" w:eastAsia="宋体" w:cs="宋体"/>
                <w:b w:val="0"/>
                <w:bCs w:val="0"/>
                <w:color w:val="000000"/>
                <w:spacing w:val="0"/>
                <w:position w:val="0"/>
                <w:sz w:val="21"/>
                <w:szCs w:val="21"/>
                <w:highlight w:val="none"/>
                <w:lang w:val="en-US" w:eastAsia="zh-CN"/>
              </w:rPr>
              <w:t xml:space="preserve">；</w:t>
            </w:r>
            <w:r>
              <w:rPr>
                <w:rFonts w:ascii="宋体" w:hAnsi="宋体" w:eastAsia="宋体" w:cs="宋体"/>
                <w:b w:val="0"/>
                <w:bCs w:val="0"/>
                <w:color w:val="000000"/>
                <w:spacing w:val="0"/>
                <w:position w:val="0"/>
                <w:sz w:val="21"/>
                <w:szCs w:val="21"/>
                <w:highlight w:val="none"/>
                <w:lang w:val="en-US" w:eastAsia="zh-CN"/>
              </w:rPr>
            </w:r>
            <w:r/>
          </w:p>
          <w:p>
            <w:pPr>
              <w:pStyle w:val="1112"/>
              <w:ind w:left="0" w:hanging="2"/>
              <w:jc w:val="both"/>
              <w:keepLines w:val="0"/>
              <w:keepNext w:val="0"/>
              <w:pageBreakBefore w:val="0"/>
              <w:spacing w:before="0" w:beforeAutospacing="0" w:after="0" w:afterAutospacing="0" w:line="240" w:lineRule="auto"/>
              <w:widowControl/>
              <w:rPr>
                <w:rFonts w:ascii="宋体" w:hAnsi="宋体" w:eastAsia="宋体" w:cs="宋体"/>
                <w:b w:val="0"/>
                <w:bCs w:val="0"/>
                <w:color w:val="000000"/>
                <w:spacing w:val="0"/>
                <w:position w:val="0"/>
                <w:sz w:val="21"/>
                <w:szCs w:val="21"/>
                <w:highlight w:val="none"/>
                <w:lang w:val="en-US" w:eastAsia="zh-CN"/>
              </w:rPr>
              <w:suppressLineNumbers w:val="0"/>
            </w:pPr>
            <w:r>
              <w:rPr>
                <w:rFonts w:ascii="宋体" w:hAnsi="宋体" w:eastAsia="宋体" w:cs="宋体"/>
                <w:b w:val="0"/>
                <w:bCs w:val="0"/>
                <w:color w:val="000000"/>
                <w:spacing w:val="0"/>
                <w:position w:val="0"/>
                <w:sz w:val="21"/>
                <w:szCs w:val="21"/>
                <w:highlight w:val="none"/>
                <w:lang w:val="en-US" w:eastAsia="zh-CN"/>
              </w:rPr>
              <w:t xml:space="preserve">样品制作工艺较差、喷涂有瑕疵得1分。</w:t>
            </w:r>
            <w:r>
              <w:rPr>
                <w:rFonts w:ascii="宋体" w:hAnsi="宋体" w:eastAsia="宋体" w:cs="宋体"/>
                <w:b w:val="0"/>
                <w:bCs w:val="0"/>
                <w:color w:val="000000"/>
                <w:spacing w:val="0"/>
                <w:position w:val="0"/>
                <w:sz w:val="21"/>
                <w:szCs w:val="21"/>
                <w:highlight w:val="none"/>
                <w:lang w:val="en-US" w:eastAsia="zh-CN"/>
              </w:rPr>
            </w:r>
            <w:r/>
          </w:p>
          <w:p>
            <w:pPr>
              <w:pStyle w:val="1112"/>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1"/>
                <w:szCs w:val="21"/>
                <w:highlight w:val="none"/>
                <w:lang w:val="en-US" w:eastAsia="zh-CN"/>
              </w:rPr>
              <w:suppressLineNumbers w:val="0"/>
            </w:pPr>
            <w:r>
              <w:rPr>
                <w:rFonts w:hint="eastAsia" w:ascii="Times New Roman" w:hAnsi="Times New Roman" w:eastAsia="宋体" w:cs="Times New Roman"/>
                <w:color w:val="000000"/>
                <w:sz w:val="21"/>
                <w:szCs w:val="21"/>
                <w:highlight w:val="none"/>
                <w:lang w:val="en-US" w:eastAsia="zh-CN" w:bidi="ar-SA"/>
              </w:rPr>
              <w:t xml:space="preserve">未提供样品不得分。</w:t>
            </w:r>
            <w:r>
              <w:rPr>
                <w:rFonts w:hint="eastAsia" w:ascii="宋体" w:hAnsi="宋体" w:eastAsia="宋体" w:cs="宋体"/>
                <w:b w:val="0"/>
                <w:bCs w:val="0"/>
                <w:color w:val="000000"/>
                <w:spacing w:val="0"/>
                <w:position w:val="0"/>
                <w:sz w:val="21"/>
                <w:szCs w:val="21"/>
                <w:highlight w:val="none"/>
                <w:lang w:val="en-US" w:eastAsia="zh-CN"/>
              </w:rPr>
            </w:r>
            <w:r/>
          </w:p>
        </w:tc>
        <w:tc>
          <w:tcPr>
            <w:tcW w:w="1260" w:type="dxa"/>
            <w:vAlign w:val="center"/>
            <w:textDirection w:val="lrTb"/>
            <w:noWrap w:val="false"/>
          </w:tcPr>
          <w:p>
            <w:pPr>
              <w:pStyle w:val="1472"/>
              <w:jc w:val="center"/>
              <w:keepLines w:val="0"/>
              <w:keepNext w:val="0"/>
              <w:pageBreakBefore w:val="0"/>
              <w:spacing w:before="0" w:after="0" w:line="240" w:lineRule="auto"/>
              <w:rPr>
                <w:rFonts w:hint="eastAsia" w:ascii="宋体" w:hAnsi="宋体" w:eastAsia="宋体" w:cs="宋体"/>
                <w:b w:val="0"/>
                <w:bCs w:val="0"/>
                <w:color w:val="000000"/>
                <w:highlight w:val="none"/>
                <w:lang w:val="en-US" w:eastAsia="zh-CN"/>
              </w:rPr>
            </w:pPr>
            <w:r>
              <w:rPr>
                <w:rFonts w:hint="eastAsia" w:eastAsia="宋体" w:cs="宋体"/>
                <w:b w:val="0"/>
                <w:bCs w:val="0"/>
                <w:color w:val="000000"/>
                <w:highlight w:val="none"/>
                <w:lang w:val="en-US" w:eastAsia="zh-CN"/>
              </w:rPr>
              <w:t xml:space="preserve">5</w:t>
            </w:r>
            <w:r>
              <w:rPr>
                <w:rFonts w:hint="eastAsia" w:ascii="宋体" w:hAnsi="宋体" w:eastAsia="宋体" w:cs="宋体"/>
                <w:b w:val="0"/>
                <w:bCs w:val="0"/>
                <w:color w:val="000000"/>
                <w:highlight w:val="none"/>
                <w:lang w:val="en-US" w:eastAsia="zh-CN"/>
              </w:rPr>
            </w:r>
            <w:r/>
          </w:p>
        </w:tc>
      </w:tr>
      <w:tr>
        <w:trPr>
          <w:trHeight w:val="2091"/>
        </w:trPr>
        <w:tc>
          <w:tcPr>
            <w:tcW w:w="724" w:type="dxa"/>
            <w:vAlign w:val="center"/>
            <w:vMerge w:val="continue"/>
            <w:textDirection w:val="lrTb"/>
            <w:noWrap w:val="false"/>
          </w:tcPr>
          <w:p>
            <w:pPr>
              <w:pStyle w:val="1472"/>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rPr>
            </w:pPr>
            <w:r>
              <w:rPr>
                <w:rFonts w:hint="eastAsia" w:ascii="宋体" w:hAnsi="宋体" w:eastAsia="宋体" w:cs="宋体"/>
                <w:b w:val="0"/>
                <w:bCs w:val="0"/>
                <w:color w:val="000000"/>
                <w:spacing w:val="-4"/>
                <w:highlight w:val="none"/>
              </w:rPr>
            </w:r>
            <w:r/>
          </w:p>
        </w:tc>
        <w:tc>
          <w:tcPr>
            <w:tcW w:w="1509" w:type="dxa"/>
            <w:vAlign w:val="center"/>
            <w:vMerge w:val="continue"/>
            <w:textDirection w:val="lrTb"/>
            <w:noWrap w:val="false"/>
          </w:tcPr>
          <w:p>
            <w:pPr>
              <w:pStyle w:val="1472"/>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rPr>
            </w:pPr>
            <w:r>
              <w:rPr>
                <w:rFonts w:hint="eastAsia" w:ascii="宋体" w:hAnsi="宋体" w:eastAsia="宋体" w:cs="宋体"/>
                <w:b w:val="0"/>
                <w:bCs w:val="0"/>
                <w:color w:val="000000"/>
                <w:spacing w:val="-4"/>
                <w:highlight w:val="none"/>
              </w:rPr>
            </w:r>
            <w:r/>
          </w:p>
        </w:tc>
        <w:tc>
          <w:tcPr>
            <w:tcW w:w="6125" w:type="dxa"/>
            <w:vAlign w:val="center"/>
            <w:textDirection w:val="lrTb"/>
            <w:noWrap w:val="false"/>
          </w:tcPr>
          <w:p>
            <w:pPr>
              <w:pStyle w:val="1112"/>
              <w:jc w:val="both"/>
              <w:keepLines w:val="0"/>
              <w:keepNext w:val="0"/>
              <w:pageBreakBefore w:val="0"/>
              <w:spacing w:before="0" w:beforeAutospacing="0" w:after="0" w:afterAutospacing="0" w:line="240" w:lineRule="auto"/>
              <w:widowControl/>
              <w:rPr>
                <w:rFonts w:hint="eastAsia" w:ascii="Times New Roman" w:hAnsi="Times New Roman" w:eastAsia="宋体" w:cs="Times New Roman"/>
                <w:color w:val="000000"/>
                <w:sz w:val="21"/>
                <w:szCs w:val="21"/>
                <w:highlight w:val="none"/>
                <w:lang w:val="en-US" w:eastAsia="zh-CN" w:bidi="ar-SA"/>
              </w:rPr>
              <w:suppressLineNumbers w:val="0"/>
            </w:pPr>
            <w:r>
              <w:rPr>
                <w:rFonts w:hint="eastAsia" w:ascii="Times New Roman" w:hAnsi="Times New Roman" w:eastAsia="宋体" w:cs="Times New Roman"/>
                <w:color w:val="000000"/>
                <w:sz w:val="21"/>
                <w:szCs w:val="21"/>
                <w:highlight w:val="none"/>
                <w:lang w:val="en-US" w:eastAsia="zh-CN" w:bidi="ar-SA"/>
              </w:rPr>
              <w:t xml:space="preserve">产品稳定性、导轨性能、产品细节、气味情况（5分）</w:t>
            </w:r>
            <w:r>
              <w:rPr>
                <w:rFonts w:hint="eastAsia" w:ascii="Times New Roman" w:hAnsi="Times New Roman" w:eastAsia="宋体" w:cs="Times New Roman"/>
                <w:color w:val="000000"/>
                <w:sz w:val="21"/>
                <w:szCs w:val="21"/>
                <w:highlight w:val="none"/>
                <w:lang w:val="en-US" w:eastAsia="zh-CN" w:bidi="ar-SA"/>
              </w:rPr>
            </w:r>
            <w:r/>
          </w:p>
          <w:p>
            <w:pPr>
              <w:pStyle w:val="1112"/>
              <w:ind w:left="0" w:hanging="2"/>
              <w:jc w:val="both"/>
              <w:keepLines w:val="0"/>
              <w:keepNext w:val="0"/>
              <w:pageBreakBefore w:val="0"/>
              <w:spacing w:before="0" w:beforeAutospacing="0" w:after="0" w:afterAutospacing="0" w:line="240" w:lineRule="auto"/>
              <w:widowControl/>
              <w:rPr>
                <w:rFonts w:hint="eastAsia" w:ascii="Times New Roman" w:hAnsi="Times New Roman" w:eastAsia="宋体" w:cs="Times New Roman"/>
                <w:color w:val="000000"/>
                <w:sz w:val="21"/>
                <w:szCs w:val="21"/>
                <w:highlight w:val="none"/>
                <w:lang w:val="en-US" w:eastAsia="zh-CN" w:bidi="ar-SA"/>
              </w:rPr>
              <w:suppressLineNumbers w:val="0"/>
            </w:pPr>
            <w:r>
              <w:rPr>
                <w:rFonts w:hint="eastAsia" w:ascii="Times New Roman" w:hAnsi="Times New Roman" w:eastAsia="宋体" w:cs="Times New Roman"/>
                <w:color w:val="000000"/>
                <w:sz w:val="21"/>
                <w:szCs w:val="21"/>
                <w:highlight w:val="none"/>
                <w:lang w:val="en-US" w:eastAsia="zh-CN" w:bidi="ar-SA"/>
              </w:rPr>
              <w:t xml:space="preserve">样品稳固、承重力强，导轨性能良好、安装连接紧密、无气味，推拉门灵活得5分；</w:t>
            </w:r>
            <w:r>
              <w:rPr>
                <w:rFonts w:hint="eastAsia" w:ascii="Times New Roman" w:hAnsi="Times New Roman" w:eastAsia="宋体" w:cs="Times New Roman"/>
                <w:color w:val="000000"/>
                <w:sz w:val="21"/>
                <w:szCs w:val="21"/>
                <w:highlight w:val="none"/>
                <w:lang w:val="en-US" w:eastAsia="zh-CN" w:bidi="ar-SA"/>
              </w:rPr>
            </w:r>
            <w:r/>
          </w:p>
          <w:p>
            <w:pPr>
              <w:pStyle w:val="1112"/>
              <w:ind w:left="0" w:hanging="2"/>
              <w:jc w:val="both"/>
              <w:keepLines w:val="0"/>
              <w:keepNext w:val="0"/>
              <w:pageBreakBefore w:val="0"/>
              <w:spacing w:before="0" w:beforeAutospacing="0" w:after="0" w:afterAutospacing="0" w:line="240" w:lineRule="auto"/>
              <w:widowControl/>
              <w:rPr>
                <w:rFonts w:hint="eastAsia" w:ascii="Times New Roman" w:hAnsi="Times New Roman" w:eastAsia="宋体" w:cs="Times New Roman"/>
                <w:color w:val="000000"/>
                <w:sz w:val="21"/>
                <w:szCs w:val="21"/>
                <w:highlight w:val="none"/>
                <w:lang w:val="en-US" w:eastAsia="zh-CN" w:bidi="ar-SA"/>
              </w:rPr>
              <w:suppressLineNumbers w:val="0"/>
            </w:pPr>
            <w:r>
              <w:rPr>
                <w:rFonts w:hint="eastAsia" w:ascii="Times New Roman" w:hAnsi="Times New Roman" w:eastAsia="宋体" w:cs="Times New Roman"/>
                <w:color w:val="000000"/>
                <w:sz w:val="21"/>
                <w:szCs w:val="21"/>
                <w:highlight w:val="none"/>
                <w:lang w:val="en-US" w:eastAsia="zh-CN" w:bidi="ar-SA"/>
              </w:rPr>
              <w:t xml:space="preserve">样品较稳固、承重力一般、导轨性能一般、无气味，推拉门较灵活得3分；</w:t>
            </w:r>
            <w:r>
              <w:rPr>
                <w:rFonts w:hint="eastAsia" w:ascii="Times New Roman" w:hAnsi="Times New Roman" w:eastAsia="宋体" w:cs="Times New Roman"/>
                <w:color w:val="000000"/>
                <w:sz w:val="21"/>
                <w:szCs w:val="21"/>
                <w:highlight w:val="none"/>
                <w:lang w:val="en-US" w:eastAsia="zh-CN" w:bidi="ar-SA"/>
              </w:rPr>
            </w:r>
            <w:r/>
          </w:p>
          <w:p>
            <w:pPr>
              <w:pStyle w:val="1112"/>
              <w:ind w:left="0" w:hanging="2"/>
              <w:jc w:val="both"/>
              <w:keepLines w:val="0"/>
              <w:keepNext w:val="0"/>
              <w:pageBreakBefore w:val="0"/>
              <w:spacing w:before="0" w:beforeAutospacing="0" w:after="0" w:afterAutospacing="0" w:line="240" w:lineRule="auto"/>
              <w:widowControl/>
              <w:rPr>
                <w:rFonts w:hint="eastAsia" w:ascii="Times New Roman" w:hAnsi="Times New Roman" w:eastAsia="宋体" w:cs="Times New Roman"/>
                <w:color w:val="000000"/>
                <w:sz w:val="21"/>
                <w:szCs w:val="21"/>
                <w:highlight w:val="none"/>
                <w:lang w:val="en-US" w:eastAsia="zh-CN" w:bidi="ar-SA"/>
              </w:rPr>
              <w:suppressLineNumbers w:val="0"/>
            </w:pPr>
            <w:r>
              <w:rPr>
                <w:rFonts w:hint="eastAsia" w:ascii="Times New Roman" w:hAnsi="Times New Roman" w:eastAsia="宋体" w:cs="Times New Roman"/>
                <w:color w:val="000000"/>
                <w:sz w:val="21"/>
                <w:szCs w:val="21"/>
                <w:highlight w:val="none"/>
                <w:lang w:val="en-US" w:eastAsia="zh-CN" w:bidi="ar-SA"/>
              </w:rPr>
              <w:t xml:space="preserve">样品不稳定，导轨性能较差、略有异味，推拉门不灵活得1分。</w:t>
            </w:r>
            <w:r>
              <w:rPr>
                <w:rFonts w:hint="eastAsia" w:ascii="Times New Roman" w:hAnsi="Times New Roman" w:eastAsia="宋体" w:cs="Times New Roman"/>
                <w:color w:val="000000"/>
                <w:sz w:val="21"/>
                <w:szCs w:val="21"/>
                <w:highlight w:val="none"/>
                <w:lang w:val="en-US" w:eastAsia="zh-CN" w:bidi="ar-SA"/>
              </w:rPr>
            </w:r>
            <w:r/>
          </w:p>
          <w:p>
            <w:pPr>
              <w:pStyle w:val="1112"/>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1"/>
                <w:szCs w:val="21"/>
                <w:highlight w:val="none"/>
                <w:lang w:val="en-US" w:eastAsia="zh-CN"/>
              </w:rPr>
              <w:suppressLineNumbers w:val="0"/>
            </w:pPr>
            <w:r>
              <w:rPr>
                <w:rFonts w:hint="eastAsia" w:ascii="Times New Roman" w:hAnsi="Times New Roman" w:eastAsia="宋体" w:cs="Times New Roman"/>
                <w:color w:val="000000"/>
                <w:sz w:val="21"/>
                <w:szCs w:val="21"/>
                <w:highlight w:val="none"/>
                <w:lang w:val="en-US" w:eastAsia="zh-CN" w:bidi="ar-SA"/>
              </w:rPr>
              <w:t xml:space="preserve">未提供样品不得分。</w:t>
            </w:r>
            <w:r>
              <w:rPr>
                <w:rFonts w:hint="eastAsia" w:ascii="宋体" w:hAnsi="宋体" w:eastAsia="宋体" w:cs="宋体"/>
                <w:b w:val="0"/>
                <w:bCs w:val="0"/>
                <w:color w:val="000000"/>
                <w:spacing w:val="0"/>
                <w:position w:val="0"/>
                <w:sz w:val="21"/>
                <w:szCs w:val="21"/>
                <w:highlight w:val="none"/>
                <w:lang w:val="en-US" w:eastAsia="zh-CN"/>
              </w:rPr>
            </w:r>
            <w:r/>
          </w:p>
        </w:tc>
        <w:tc>
          <w:tcPr>
            <w:tcW w:w="1260" w:type="dxa"/>
            <w:vAlign w:val="center"/>
            <w:textDirection w:val="lrTb"/>
            <w:noWrap w:val="false"/>
          </w:tcPr>
          <w:p>
            <w:pPr>
              <w:pStyle w:val="1472"/>
              <w:jc w:val="center"/>
              <w:keepLines w:val="0"/>
              <w:keepNext w:val="0"/>
              <w:pageBreakBefore w:val="0"/>
              <w:spacing w:before="0" w:after="0" w:line="240" w:lineRule="auto"/>
              <w:rPr>
                <w:rFonts w:hint="eastAsia" w:ascii="宋体" w:hAnsi="宋体" w:eastAsia="宋体" w:cs="宋体"/>
                <w:b w:val="0"/>
                <w:bCs w:val="0"/>
                <w:color w:val="000000"/>
                <w:highlight w:val="none"/>
                <w:lang w:val="en-US" w:eastAsia="zh-CN"/>
              </w:rPr>
            </w:pPr>
            <w:r>
              <w:rPr>
                <w:rFonts w:hint="eastAsia" w:eastAsia="宋体" w:cs="宋体"/>
                <w:b w:val="0"/>
                <w:bCs w:val="0"/>
                <w:color w:val="000000"/>
                <w:highlight w:val="none"/>
                <w:lang w:val="en-US" w:eastAsia="zh-CN"/>
              </w:rPr>
              <w:t xml:space="preserve">5</w:t>
            </w:r>
            <w:r>
              <w:rPr>
                <w:rFonts w:hint="eastAsia" w:ascii="宋体" w:hAnsi="宋体" w:eastAsia="宋体" w:cs="宋体"/>
                <w:b w:val="0"/>
                <w:bCs w:val="0"/>
                <w:color w:val="000000"/>
                <w:highlight w:val="none"/>
                <w:lang w:val="en-US" w:eastAsia="zh-CN"/>
              </w:rPr>
            </w:r>
            <w:r/>
          </w:p>
        </w:tc>
      </w:tr>
      <w:tr>
        <w:trPr>
          <w:trHeight w:val="1281"/>
        </w:trPr>
        <w:tc>
          <w:tcPr>
            <w:tcW w:w="724" w:type="dxa"/>
            <w:vAlign w:val="center"/>
            <w:textDirection w:val="lrTb"/>
            <w:noWrap w:val="false"/>
          </w:tcPr>
          <w:p>
            <w:pPr>
              <w:pStyle w:val="1472"/>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lang w:val="en-US" w:eastAsia="zh-CN"/>
              </w:rPr>
            </w:pPr>
            <w:r>
              <w:rPr>
                <w:rFonts w:hint="eastAsia" w:eastAsia="宋体" w:cs="宋体"/>
                <w:b w:val="0"/>
                <w:bCs w:val="0"/>
                <w:color w:val="000000"/>
                <w:spacing w:val="-4"/>
                <w:highlight w:val="none"/>
                <w:lang w:val="en-US" w:eastAsia="zh-CN"/>
              </w:rPr>
              <w:t xml:space="preserve">5</w:t>
            </w:r>
            <w:r>
              <w:rPr>
                <w:rFonts w:hint="eastAsia" w:ascii="宋体" w:hAnsi="宋体" w:eastAsia="宋体" w:cs="宋体"/>
                <w:b w:val="0"/>
                <w:bCs w:val="0"/>
                <w:color w:val="000000"/>
                <w:spacing w:val="-4"/>
                <w:highlight w:val="none"/>
                <w:lang w:val="en-US" w:eastAsia="zh-CN"/>
              </w:rPr>
            </w:r>
            <w:r/>
          </w:p>
        </w:tc>
        <w:tc>
          <w:tcPr>
            <w:tcW w:w="1509" w:type="dxa"/>
            <w:vAlign w:val="center"/>
            <w:textDirection w:val="lrTb"/>
            <w:noWrap w:val="false"/>
          </w:tcPr>
          <w:p>
            <w:pPr>
              <w:pStyle w:val="1472"/>
              <w:ind w:left="18" w:hanging="18"/>
              <w:jc w:val="center"/>
              <w:keepLines w:val="0"/>
              <w:keepNext w:val="0"/>
              <w:pageBreakBefore w:val="0"/>
              <w:spacing w:before="0" w:after="0" w:line="240" w:lineRule="auto"/>
              <w:widowControl/>
              <w:rPr>
                <w:rFonts w:hint="eastAsia" w:eastAsia="宋体" w:cs="宋体"/>
                <w:b w:val="0"/>
                <w:bCs w:val="0"/>
                <w:color w:val="000000"/>
                <w:spacing w:val="-4"/>
                <w:highlight w:val="none"/>
                <w:lang w:val="en-US" w:eastAsia="zh-CN"/>
              </w:rPr>
            </w:pPr>
            <w:r>
              <w:rPr>
                <w:rFonts w:hint="eastAsia" w:eastAsia="宋体" w:cs="宋体"/>
                <w:b w:val="0"/>
                <w:bCs w:val="0"/>
                <w:color w:val="000000"/>
                <w:spacing w:val="-4"/>
                <w:highlight w:val="none"/>
                <w:lang w:val="en-US" w:eastAsia="zh-CN"/>
              </w:rPr>
              <w:t xml:space="preserve">设计方案比较</w:t>
            </w:r>
            <w:r>
              <w:rPr>
                <w:rFonts w:hint="eastAsia" w:eastAsia="宋体" w:cs="宋体"/>
                <w:b w:val="0"/>
                <w:bCs w:val="0"/>
                <w:color w:val="000000"/>
                <w:spacing w:val="-4"/>
                <w:highlight w:val="none"/>
                <w:lang w:val="en-US" w:eastAsia="zh-CN"/>
              </w:rPr>
            </w:r>
            <w:r/>
          </w:p>
          <w:p>
            <w:pPr>
              <w:pStyle w:val="1472"/>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rPr>
            </w:pPr>
            <w:r>
              <w:rPr>
                <w:rFonts w:hint="eastAsia" w:ascii="宋体" w:hAnsi="宋体" w:eastAsia="宋体" w:cs="宋体"/>
                <w:b w:val="0"/>
                <w:bCs w:val="0"/>
                <w:color w:val="000000"/>
                <w:spacing w:val="-4"/>
                <w:highlight w:val="none"/>
              </w:rPr>
              <w:t xml:space="preserve">（</w:t>
            </w:r>
            <w:r>
              <w:rPr>
                <w:rFonts w:hint="eastAsia" w:eastAsia="宋体" w:cs="宋体"/>
                <w:b w:val="0"/>
                <w:bCs w:val="0"/>
                <w:color w:val="000000"/>
                <w:spacing w:val="-4"/>
                <w:highlight w:val="none"/>
                <w:lang w:val="en-US" w:eastAsia="zh-CN"/>
              </w:rPr>
              <w:t xml:space="preserve">5</w:t>
            </w:r>
            <w:r>
              <w:rPr>
                <w:rFonts w:hint="eastAsia" w:ascii="宋体" w:hAnsi="宋体" w:eastAsia="宋体" w:cs="宋体"/>
                <w:b w:val="0"/>
                <w:bCs w:val="0"/>
                <w:color w:val="000000"/>
                <w:spacing w:val="-4"/>
                <w:highlight w:val="none"/>
              </w:rPr>
              <w:t xml:space="preserve">分）</w:t>
            </w:r>
            <w:r>
              <w:rPr>
                <w:rFonts w:hint="eastAsia" w:ascii="宋体" w:hAnsi="宋体" w:eastAsia="宋体" w:cs="宋体"/>
                <w:b w:val="0"/>
                <w:bCs w:val="0"/>
                <w:color w:val="000000"/>
                <w:spacing w:val="-4"/>
                <w:highlight w:val="none"/>
              </w:rPr>
            </w:r>
            <w:r/>
          </w:p>
        </w:tc>
        <w:tc>
          <w:tcPr>
            <w:tcW w:w="6125" w:type="dxa"/>
            <w:vAlign w:val="center"/>
            <w:textDirection w:val="lrTb"/>
            <w:noWrap w:val="false"/>
          </w:tcPr>
          <w:p>
            <w:pPr>
              <w:pStyle w:val="1112"/>
              <w:jc w:val="both"/>
              <w:keepLines w:val="0"/>
              <w:keepNext w:val="0"/>
              <w:pageBreakBefore w:val="0"/>
              <w:spacing w:before="0" w:beforeAutospacing="0" w:after="0" w:afterAutospacing="0" w:line="240" w:lineRule="auto"/>
              <w:widowControl/>
              <w:rPr>
                <w:rFonts w:hint="eastAsia" w:ascii="Times New Roman" w:hAnsi="Times New Roman" w:eastAsia="宋体" w:cs="Times New Roman"/>
                <w:color w:val="000000"/>
                <w:sz w:val="21"/>
                <w:szCs w:val="21"/>
                <w:highlight w:val="none"/>
                <w:lang w:val="en-US" w:eastAsia="zh-CN" w:bidi="ar-SA"/>
              </w:rPr>
              <w:suppressLineNumbers w:val="0"/>
            </w:pPr>
            <w:r>
              <w:rPr>
                <w:rFonts w:hint="eastAsia" w:ascii="Times New Roman" w:hAnsi="Times New Roman" w:eastAsia="宋体" w:cs="Times New Roman"/>
                <w:color w:val="000000"/>
                <w:sz w:val="21"/>
                <w:szCs w:val="21"/>
                <w:highlight w:val="none"/>
                <w:lang w:val="en-US" w:eastAsia="zh-CN" w:bidi="ar-SA"/>
              </w:rPr>
              <w:t xml:space="preserve">提供所投中央台、边台、产品的立面图、单件解析图等设计图纸。 </w:t>
            </w:r>
            <w:r>
              <w:rPr>
                <w:rFonts w:hint="eastAsia" w:ascii="Times New Roman" w:hAnsi="Times New Roman" w:eastAsia="宋体" w:cs="Times New Roman"/>
                <w:color w:val="000000"/>
                <w:sz w:val="21"/>
                <w:szCs w:val="21"/>
                <w:highlight w:val="none"/>
                <w:lang w:val="en-US" w:eastAsia="zh-CN" w:bidi="ar-SA"/>
              </w:rPr>
            </w:r>
            <w:r/>
          </w:p>
          <w:p>
            <w:pPr>
              <w:pStyle w:val="1112"/>
              <w:ind w:left="0" w:hanging="2"/>
              <w:jc w:val="both"/>
              <w:keepLines w:val="0"/>
              <w:keepNext w:val="0"/>
              <w:pageBreakBefore w:val="0"/>
              <w:spacing w:before="0" w:beforeAutospacing="0" w:after="0" w:afterAutospacing="0" w:line="240" w:lineRule="auto"/>
              <w:widowControl/>
              <w:rPr>
                <w:rFonts w:hint="eastAsia" w:ascii="Times New Roman" w:hAnsi="Times New Roman" w:eastAsia="宋体" w:cs="Times New Roman"/>
                <w:color w:val="000000"/>
                <w:sz w:val="21"/>
                <w:szCs w:val="21"/>
                <w:highlight w:val="none"/>
                <w:lang w:val="en-US" w:eastAsia="zh-CN" w:bidi="ar-SA"/>
              </w:rPr>
              <w:suppressLineNumbers w:val="0"/>
            </w:pPr>
            <w:r>
              <w:rPr>
                <w:rFonts w:hint="eastAsia" w:ascii="Times New Roman" w:hAnsi="Times New Roman" w:eastAsia="宋体" w:cs="Times New Roman"/>
                <w:color w:val="000000"/>
                <w:sz w:val="21"/>
                <w:szCs w:val="21"/>
                <w:highlight w:val="none"/>
                <w:lang w:val="en-US" w:eastAsia="zh-CN" w:bidi="ar-SA"/>
              </w:rPr>
              <w:t xml:space="preserve">设计及配色方案与整体环境协调，产品的立面图、单件解析图提供详细的，得5分；</w:t>
            </w:r>
            <w:r>
              <w:rPr>
                <w:rFonts w:hint="eastAsia" w:ascii="Times New Roman" w:hAnsi="Times New Roman" w:eastAsia="宋体" w:cs="Times New Roman"/>
                <w:color w:val="000000"/>
                <w:sz w:val="21"/>
                <w:szCs w:val="21"/>
                <w:highlight w:val="none"/>
                <w:lang w:val="en-US" w:eastAsia="zh-CN" w:bidi="ar-SA"/>
              </w:rPr>
            </w:r>
            <w:r/>
          </w:p>
          <w:p>
            <w:pPr>
              <w:pStyle w:val="1112"/>
              <w:ind w:left="0" w:hanging="2"/>
              <w:jc w:val="both"/>
              <w:keepLines w:val="0"/>
              <w:keepNext w:val="0"/>
              <w:pageBreakBefore w:val="0"/>
              <w:spacing w:before="0" w:beforeAutospacing="0" w:after="0" w:afterAutospacing="0" w:line="240" w:lineRule="auto"/>
              <w:widowControl/>
              <w:rPr>
                <w:rFonts w:hint="eastAsia" w:ascii="Times New Roman" w:hAnsi="Times New Roman" w:eastAsia="宋体" w:cs="Times New Roman"/>
                <w:color w:val="000000"/>
                <w:sz w:val="21"/>
                <w:szCs w:val="21"/>
                <w:highlight w:val="none"/>
                <w:lang w:val="en-US" w:eastAsia="zh-CN" w:bidi="ar-SA"/>
              </w:rPr>
              <w:suppressLineNumbers w:val="0"/>
            </w:pPr>
            <w:r>
              <w:rPr>
                <w:rFonts w:hint="eastAsia" w:ascii="Times New Roman" w:hAnsi="Times New Roman" w:eastAsia="宋体" w:cs="Times New Roman"/>
                <w:color w:val="000000"/>
                <w:sz w:val="21"/>
                <w:szCs w:val="21"/>
                <w:highlight w:val="none"/>
                <w:lang w:val="en-US" w:eastAsia="zh-CN" w:bidi="ar-SA"/>
              </w:rPr>
              <w:t xml:space="preserve"> 设计及配色较美观，基本符合本项目实际需要，产品的立面图、效果图、单件解析图较为完整详细的，得3分；</w:t>
            </w:r>
            <w:r>
              <w:rPr>
                <w:rFonts w:hint="eastAsia" w:ascii="Times New Roman" w:hAnsi="Times New Roman" w:eastAsia="宋体" w:cs="Times New Roman"/>
                <w:color w:val="000000"/>
                <w:sz w:val="21"/>
                <w:szCs w:val="21"/>
                <w:highlight w:val="none"/>
                <w:lang w:val="en-US" w:eastAsia="zh-CN" w:bidi="ar-SA"/>
              </w:rPr>
            </w:r>
            <w:r/>
          </w:p>
          <w:p>
            <w:pPr>
              <w:pStyle w:val="1112"/>
              <w:ind w:left="0" w:hanging="2"/>
              <w:jc w:val="both"/>
              <w:keepLines w:val="0"/>
              <w:keepNext w:val="0"/>
              <w:pageBreakBefore w:val="0"/>
              <w:spacing w:before="0" w:beforeAutospacing="0" w:after="0" w:afterAutospacing="0" w:line="240" w:lineRule="auto"/>
              <w:widowControl/>
              <w:rPr>
                <w:rFonts w:hint="eastAsia" w:ascii="Times New Roman" w:hAnsi="Times New Roman" w:eastAsia="宋体" w:cs="Times New Roman"/>
                <w:color w:val="000000"/>
                <w:sz w:val="21"/>
                <w:szCs w:val="21"/>
                <w:highlight w:val="none"/>
                <w:lang w:val="en-US" w:eastAsia="zh-CN" w:bidi="ar-SA"/>
              </w:rPr>
              <w:suppressLineNumbers w:val="0"/>
            </w:pPr>
            <w:r>
              <w:rPr>
                <w:rFonts w:hint="eastAsia" w:ascii="Times New Roman" w:hAnsi="Times New Roman" w:eastAsia="宋体" w:cs="Times New Roman"/>
                <w:color w:val="000000"/>
                <w:sz w:val="21"/>
                <w:szCs w:val="21"/>
                <w:highlight w:val="none"/>
                <w:lang w:val="en-US" w:eastAsia="zh-CN" w:bidi="ar-SA"/>
              </w:rPr>
              <w:t xml:space="preserve">提供的产品立面图、效果图、单件解析图不完整的，得1分；</w:t>
            </w:r>
            <w:r>
              <w:rPr>
                <w:rFonts w:hint="eastAsia" w:ascii="Times New Roman" w:hAnsi="Times New Roman" w:eastAsia="宋体" w:cs="Times New Roman"/>
                <w:color w:val="000000"/>
                <w:sz w:val="21"/>
                <w:szCs w:val="21"/>
                <w:highlight w:val="none"/>
                <w:lang w:val="en-US" w:eastAsia="zh-CN" w:bidi="ar-SA"/>
              </w:rPr>
            </w:r>
            <w:r/>
          </w:p>
          <w:p>
            <w:pPr>
              <w:pStyle w:val="1112"/>
              <w:ind w:left="0" w:hanging="2"/>
              <w:jc w:val="both"/>
              <w:keepLines w:val="0"/>
              <w:keepNext w:val="0"/>
              <w:pageBreakBefore w:val="0"/>
              <w:spacing w:before="0" w:beforeAutospacing="0" w:after="0" w:afterAutospacing="0" w:line="240" w:lineRule="auto"/>
              <w:widowControl/>
              <w:rPr>
                <w:rFonts w:hint="eastAsia" w:ascii="Times New Roman" w:hAnsi="Times New Roman" w:eastAsia="宋体" w:cs="Times New Roman"/>
                <w:color w:val="000000"/>
                <w:sz w:val="21"/>
                <w:szCs w:val="21"/>
                <w:highlight w:val="none"/>
                <w:lang w:val="en-US" w:eastAsia="zh-CN" w:bidi="ar-SA"/>
              </w:rPr>
              <w:suppressLineNumbers w:val="0"/>
            </w:pPr>
            <w:r>
              <w:rPr>
                <w:rFonts w:hint="eastAsia" w:ascii="Times New Roman" w:hAnsi="Times New Roman" w:eastAsia="宋体" w:cs="Times New Roman"/>
                <w:color w:val="000000"/>
                <w:sz w:val="21"/>
                <w:szCs w:val="21"/>
                <w:highlight w:val="none"/>
                <w:lang w:val="en-US" w:eastAsia="zh-CN" w:bidi="ar-SA"/>
              </w:rPr>
              <w:t xml:space="preserve">未提供不得分。</w:t>
            </w:r>
            <w:r>
              <w:rPr>
                <w:rFonts w:hint="eastAsia" w:ascii="Times New Roman" w:hAnsi="Times New Roman" w:eastAsia="宋体" w:cs="Times New Roman"/>
                <w:color w:val="000000"/>
                <w:sz w:val="21"/>
                <w:szCs w:val="21"/>
                <w:highlight w:val="none"/>
                <w:lang w:val="en-US" w:eastAsia="zh-CN" w:bidi="ar-SA"/>
              </w:rPr>
            </w:r>
            <w:r/>
          </w:p>
        </w:tc>
        <w:tc>
          <w:tcPr>
            <w:tcW w:w="1260" w:type="dxa"/>
            <w:vAlign w:val="center"/>
            <w:textDirection w:val="lrTb"/>
            <w:noWrap w:val="false"/>
          </w:tcPr>
          <w:p>
            <w:pPr>
              <w:pStyle w:val="1472"/>
              <w:jc w:val="center"/>
              <w:keepLines w:val="0"/>
              <w:keepNext w:val="0"/>
              <w:pageBreakBefore w:val="0"/>
              <w:spacing w:before="0" w:after="0" w:line="240" w:lineRule="auto"/>
              <w:rPr>
                <w:rFonts w:hint="eastAsia" w:ascii="宋体" w:hAnsi="宋体" w:eastAsia="宋体" w:cs="宋体"/>
                <w:b w:val="0"/>
                <w:bCs w:val="0"/>
                <w:color w:val="000000"/>
                <w:highlight w:val="none"/>
                <w:lang w:val="en-US" w:eastAsia="zh-CN"/>
              </w:rPr>
            </w:pPr>
            <w:r>
              <w:rPr>
                <w:rFonts w:hint="eastAsia" w:eastAsia="宋体" w:cs="宋体"/>
                <w:b w:val="0"/>
                <w:bCs w:val="0"/>
                <w:color w:val="000000"/>
                <w:highlight w:val="none"/>
                <w:lang w:val="en-US" w:eastAsia="zh-CN"/>
              </w:rPr>
              <w:t xml:space="preserve">5</w:t>
            </w:r>
            <w:r>
              <w:rPr>
                <w:rFonts w:hint="eastAsia" w:ascii="宋体" w:hAnsi="宋体" w:eastAsia="宋体" w:cs="宋体"/>
                <w:b w:val="0"/>
                <w:bCs w:val="0"/>
                <w:color w:val="000000"/>
                <w:highlight w:val="none"/>
                <w:lang w:val="en-US" w:eastAsia="zh-CN"/>
              </w:rPr>
            </w:r>
            <w:r/>
          </w:p>
        </w:tc>
      </w:tr>
      <w:tr>
        <w:trPr>
          <w:trHeight w:val="3387"/>
        </w:trPr>
        <w:tc>
          <w:tcPr>
            <w:tcW w:w="724" w:type="dxa"/>
            <w:vAlign w:val="center"/>
            <w:textDirection w:val="lrTb"/>
            <w:noWrap w:val="false"/>
          </w:tcPr>
          <w:p>
            <w:pPr>
              <w:pStyle w:val="1472"/>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lang w:val="en-US" w:eastAsia="zh-CN"/>
              </w:rPr>
            </w:pPr>
            <w:r>
              <w:rPr>
                <w:rFonts w:hint="eastAsia" w:eastAsia="宋体" w:cs="宋体"/>
                <w:b w:val="0"/>
                <w:bCs w:val="0"/>
                <w:color w:val="000000"/>
                <w:spacing w:val="-4"/>
                <w:highlight w:val="none"/>
                <w:lang w:val="en-US" w:eastAsia="zh-CN"/>
              </w:rPr>
              <w:t xml:space="preserve">6</w:t>
            </w:r>
            <w:r>
              <w:rPr>
                <w:rFonts w:hint="eastAsia" w:ascii="宋体" w:hAnsi="宋体" w:eastAsia="宋体" w:cs="宋体"/>
                <w:b w:val="0"/>
                <w:bCs w:val="0"/>
                <w:color w:val="000000"/>
                <w:spacing w:val="-4"/>
                <w:highlight w:val="none"/>
                <w:lang w:val="en-US" w:eastAsia="zh-CN"/>
              </w:rPr>
            </w:r>
            <w:r/>
          </w:p>
        </w:tc>
        <w:tc>
          <w:tcPr>
            <w:tcW w:w="1509" w:type="dxa"/>
            <w:vAlign w:val="center"/>
            <w:textDirection w:val="lrTb"/>
            <w:noWrap w:val="false"/>
          </w:tcPr>
          <w:p>
            <w:pPr>
              <w:pStyle w:val="1472"/>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0"/>
                <w:position w:val="0"/>
                <w:sz w:val="21"/>
                <w:szCs w:val="21"/>
                <w:highlight w:val="none"/>
                <w:lang w:val="en-US" w:eastAsia="zh-CN" w:bidi="ar-SA"/>
              </w:rPr>
            </w:pPr>
            <w:r>
              <w:rPr>
                <w:rFonts w:hint="eastAsia" w:ascii="宋体" w:hAnsi="宋体" w:eastAsia="宋体" w:cs="宋体"/>
                <w:b w:val="0"/>
                <w:bCs w:val="0"/>
                <w:color w:val="000000"/>
                <w:spacing w:val="-4"/>
                <w:highlight w:val="none"/>
                <w:lang w:val="en-US" w:eastAsia="zh-CN"/>
              </w:rPr>
              <w:t xml:space="preserve">售后服务     （4分）</w:t>
            </w:r>
            <w:r>
              <w:rPr>
                <w:rFonts w:hint="eastAsia" w:ascii="宋体" w:hAnsi="宋体" w:eastAsia="宋体" w:cs="宋体"/>
                <w:b w:val="0"/>
                <w:bCs w:val="0"/>
                <w:color w:val="000000"/>
                <w:spacing w:val="0"/>
                <w:position w:val="0"/>
                <w:sz w:val="21"/>
                <w:szCs w:val="21"/>
                <w:highlight w:val="none"/>
                <w:lang w:val="en-US" w:eastAsia="zh-CN" w:bidi="ar-SA"/>
              </w:rPr>
            </w:r>
            <w:r/>
          </w:p>
        </w:tc>
        <w:tc>
          <w:tcPr>
            <w:tcW w:w="6125" w:type="dxa"/>
            <w:vAlign w:val="top"/>
            <w:textDirection w:val="lrTb"/>
            <w:noWrap w:val="false"/>
          </w:tcPr>
          <w:p>
            <w:pPr>
              <w:pStyle w:val="1112"/>
              <w:ind w:left="0" w:firstLine="0"/>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1"/>
                <w:szCs w:val="21"/>
                <w:highlight w:val="none"/>
                <w:lang w:val="en-US" w:eastAsia="zh-CN"/>
              </w:rPr>
              <w:suppressLineNumbers w:val="0"/>
            </w:pPr>
            <w:r>
              <w:rPr>
                <w:rFonts w:hint="eastAsia" w:ascii="宋体" w:hAnsi="宋体" w:eastAsia="宋体" w:cs="宋体"/>
                <w:b w:val="0"/>
                <w:bCs w:val="0"/>
                <w:color w:val="000000"/>
                <w:spacing w:val="0"/>
                <w:position w:val="0"/>
                <w:sz w:val="21"/>
                <w:szCs w:val="21"/>
                <w:highlight w:val="none"/>
                <w:lang w:val="en-US" w:eastAsia="zh-CN"/>
              </w:rPr>
              <w:t xml:space="preserve">根据售后服务方案、服务人员、售后范围（含质保期内及期满后）故障及应急处理方案、售后人员配置及响应时间综合打分，具体标准如下：</w:t>
            </w:r>
            <w:r>
              <w:rPr>
                <w:rFonts w:hint="eastAsia" w:ascii="宋体" w:hAnsi="宋体" w:eastAsia="宋体" w:cs="宋体"/>
                <w:b w:val="0"/>
                <w:bCs w:val="0"/>
                <w:color w:val="000000"/>
                <w:spacing w:val="0"/>
                <w:position w:val="0"/>
                <w:sz w:val="21"/>
                <w:szCs w:val="21"/>
                <w:highlight w:val="none"/>
                <w:lang w:val="en-US" w:eastAsia="zh-CN"/>
              </w:rPr>
            </w:r>
            <w:r/>
          </w:p>
          <w:p>
            <w:pPr>
              <w:pStyle w:val="1112"/>
              <w:ind w:left="0" w:firstLine="0"/>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1"/>
                <w:szCs w:val="21"/>
                <w:highlight w:val="none"/>
                <w:lang w:val="en-US" w:eastAsia="zh-CN"/>
              </w:rPr>
              <w:suppressLineNumbers w:val="0"/>
            </w:pPr>
            <w:r>
              <w:rPr>
                <w:rFonts w:hint="eastAsia" w:ascii="宋体" w:hAnsi="宋体" w:eastAsia="宋体" w:cs="宋体"/>
                <w:b w:val="0"/>
                <w:bCs w:val="0"/>
                <w:color w:val="000000"/>
                <w:spacing w:val="0"/>
                <w:position w:val="0"/>
                <w:sz w:val="21"/>
                <w:szCs w:val="21"/>
                <w:highlight w:val="none"/>
                <w:lang w:val="en-US" w:eastAsia="zh-CN"/>
              </w:rPr>
              <w:t xml:space="preserve">售后服务方案完善详实，服务覆盖面齐全，故障响应迅速，应急处置方案科学可行，得4分；</w:t>
            </w:r>
            <w:r>
              <w:rPr>
                <w:rFonts w:hint="eastAsia" w:ascii="宋体" w:hAnsi="宋体" w:eastAsia="宋体" w:cs="宋体"/>
                <w:b w:val="0"/>
                <w:bCs w:val="0"/>
                <w:color w:val="000000"/>
                <w:spacing w:val="0"/>
                <w:position w:val="0"/>
                <w:sz w:val="21"/>
                <w:szCs w:val="21"/>
                <w:highlight w:val="none"/>
                <w:lang w:val="en-US" w:eastAsia="zh-CN"/>
              </w:rPr>
            </w:r>
            <w:r/>
          </w:p>
          <w:p>
            <w:pPr>
              <w:pStyle w:val="1112"/>
              <w:ind w:left="0" w:firstLine="0"/>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1"/>
                <w:szCs w:val="21"/>
                <w:highlight w:val="none"/>
                <w:lang w:val="en-US" w:eastAsia="zh-CN"/>
              </w:rPr>
              <w:suppressLineNumbers w:val="0"/>
            </w:pPr>
            <w:r>
              <w:rPr>
                <w:rFonts w:hint="eastAsia" w:ascii="宋体" w:hAnsi="宋体" w:eastAsia="宋体" w:cs="宋体"/>
                <w:b w:val="0"/>
                <w:bCs w:val="0"/>
                <w:color w:val="000000"/>
                <w:spacing w:val="0"/>
                <w:position w:val="0"/>
                <w:sz w:val="21"/>
                <w:szCs w:val="21"/>
                <w:highlight w:val="none"/>
                <w:lang w:val="en-US" w:eastAsia="zh-CN"/>
              </w:rPr>
              <w:t xml:space="preserve">售后服务方案内容较为详实，服务范围达标，响应时效良好，应急方案合理，且配备合格售后人员，得2分；</w:t>
            </w:r>
            <w:r>
              <w:rPr>
                <w:rFonts w:hint="eastAsia" w:ascii="宋体" w:hAnsi="宋体" w:eastAsia="宋体" w:cs="宋体"/>
                <w:b w:val="0"/>
                <w:bCs w:val="0"/>
                <w:color w:val="000000"/>
                <w:spacing w:val="0"/>
                <w:position w:val="0"/>
                <w:sz w:val="21"/>
                <w:szCs w:val="21"/>
                <w:highlight w:val="none"/>
                <w:lang w:val="en-US" w:eastAsia="zh-CN"/>
              </w:rPr>
            </w:r>
            <w:r/>
          </w:p>
          <w:p>
            <w:pPr>
              <w:pStyle w:val="1112"/>
              <w:ind w:left="0" w:firstLine="0"/>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1"/>
                <w:szCs w:val="21"/>
                <w:highlight w:val="none"/>
                <w:lang w:val="en-US" w:eastAsia="zh-CN"/>
              </w:rPr>
              <w:suppressLineNumbers w:val="0"/>
            </w:pPr>
            <w:r>
              <w:rPr>
                <w:rFonts w:hint="eastAsia" w:ascii="宋体" w:hAnsi="宋体" w:eastAsia="宋体" w:cs="宋体"/>
                <w:b w:val="0"/>
                <w:bCs w:val="0"/>
                <w:color w:val="000000"/>
                <w:spacing w:val="0"/>
                <w:position w:val="0"/>
                <w:sz w:val="21"/>
                <w:szCs w:val="21"/>
                <w:highlight w:val="none"/>
                <w:lang w:val="en-US" w:eastAsia="zh-CN"/>
              </w:rPr>
              <w:t xml:space="preserve">仅有基础售后服务方案，内容简略笼统，仅可基本满足项目需求，未配备专属售后人员，得1分；</w:t>
            </w:r>
            <w:r>
              <w:rPr>
                <w:rFonts w:hint="eastAsia" w:ascii="宋体" w:hAnsi="宋体" w:eastAsia="宋体" w:cs="宋体"/>
                <w:b w:val="0"/>
                <w:bCs w:val="0"/>
                <w:color w:val="000000"/>
                <w:spacing w:val="0"/>
                <w:position w:val="0"/>
                <w:sz w:val="21"/>
                <w:szCs w:val="21"/>
                <w:highlight w:val="none"/>
                <w:lang w:val="en-US" w:eastAsia="zh-CN"/>
              </w:rPr>
            </w:r>
            <w:r/>
          </w:p>
          <w:p>
            <w:pPr>
              <w:pStyle w:val="1112"/>
              <w:ind w:left="0" w:firstLine="0"/>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1"/>
                <w:szCs w:val="21"/>
                <w:highlight w:val="none"/>
                <w:lang w:val="en-US" w:eastAsia="zh-CN"/>
              </w:rPr>
              <w:suppressLineNumbers w:val="0"/>
            </w:pPr>
            <w:r>
              <w:rPr>
                <w:rFonts w:hint="eastAsia" w:ascii="宋体" w:hAnsi="宋体" w:eastAsia="宋体" w:cs="宋体"/>
                <w:b w:val="0"/>
                <w:bCs w:val="0"/>
                <w:color w:val="000000"/>
                <w:spacing w:val="0"/>
                <w:position w:val="0"/>
                <w:sz w:val="21"/>
                <w:szCs w:val="21"/>
                <w:highlight w:val="none"/>
                <w:lang w:val="en-US" w:eastAsia="zh-CN"/>
              </w:rPr>
              <w:t xml:space="preserve">未提供售后服务方案，或所提供方案不符合项目实际需求，本项不得分。</w:t>
            </w:r>
            <w:r>
              <w:rPr>
                <w:rFonts w:hint="eastAsia" w:ascii="宋体" w:hAnsi="宋体" w:eastAsia="宋体" w:cs="宋体"/>
                <w:b w:val="0"/>
                <w:bCs w:val="0"/>
                <w:color w:val="000000"/>
                <w:spacing w:val="0"/>
                <w:position w:val="0"/>
                <w:sz w:val="21"/>
                <w:szCs w:val="21"/>
                <w:highlight w:val="none"/>
                <w:lang w:val="en-US" w:eastAsia="zh-CN"/>
              </w:rPr>
            </w:r>
            <w:r/>
          </w:p>
          <w:p>
            <w:pPr>
              <w:pStyle w:val="1112"/>
              <w:ind w:left="0" w:firstLine="0"/>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1"/>
                <w:szCs w:val="21"/>
                <w:highlight w:val="none"/>
                <w:lang w:val="en-US" w:eastAsia="zh-CN"/>
              </w:rPr>
              <w:suppressLineNumbers w:val="0"/>
            </w:pPr>
            <w:r>
              <w:rPr>
                <w:rFonts w:hint="eastAsia" w:ascii="宋体" w:hAnsi="宋体" w:eastAsia="宋体" w:cs="宋体"/>
                <w:b w:val="0"/>
                <w:bCs w:val="0"/>
                <w:color w:val="000000"/>
                <w:spacing w:val="0"/>
                <w:position w:val="0"/>
                <w:sz w:val="21"/>
                <w:szCs w:val="21"/>
                <w:highlight w:val="none"/>
                <w:lang w:val="en-US" w:eastAsia="zh-CN"/>
              </w:rPr>
              <w:t xml:space="preserve">注：售后人员及响应时间以投标承诺为准；售后服务方案需完整提供，否则按对应档位下限计分。</w:t>
            </w:r>
            <w:r>
              <w:rPr>
                <w:rFonts w:hint="eastAsia" w:ascii="宋体" w:hAnsi="宋体" w:eastAsia="宋体" w:cs="宋体"/>
                <w:b w:val="0"/>
                <w:bCs w:val="0"/>
                <w:color w:val="000000"/>
                <w:spacing w:val="0"/>
                <w:position w:val="0"/>
                <w:sz w:val="21"/>
                <w:szCs w:val="21"/>
                <w:highlight w:val="none"/>
                <w:lang w:val="en-US" w:eastAsia="zh-CN"/>
              </w:rPr>
            </w:r>
            <w:r/>
          </w:p>
        </w:tc>
        <w:tc>
          <w:tcPr>
            <w:tcW w:w="1260" w:type="dxa"/>
            <w:vAlign w:val="center"/>
            <w:textDirection w:val="lrTb"/>
            <w:noWrap w:val="false"/>
          </w:tcPr>
          <w:p>
            <w:pPr>
              <w:pStyle w:val="1472"/>
              <w:jc w:val="center"/>
              <w:keepLines w:val="0"/>
              <w:keepNext w:val="0"/>
              <w:pageBreakBefore w:val="0"/>
              <w:spacing w:before="0" w:after="0" w:line="240" w:lineRule="auto"/>
              <w:rPr>
                <w:rFonts w:hint="eastAsia" w:ascii="宋体" w:hAnsi="宋体" w:eastAsia="宋体" w:cs="宋体"/>
                <w:b w:val="0"/>
                <w:bCs w:val="0"/>
                <w:color w:val="000000"/>
                <w:sz w:val="21"/>
                <w:szCs w:val="21"/>
                <w:highlight w:val="none"/>
                <w:lang w:val="en-US" w:eastAsia="zh-CN" w:bidi="ar-SA"/>
              </w:rPr>
            </w:pPr>
            <w:r>
              <w:rPr>
                <w:rFonts w:hint="eastAsia" w:eastAsia="宋体" w:cs="宋体"/>
                <w:b w:val="0"/>
                <w:bCs w:val="0"/>
                <w:color w:val="000000"/>
                <w:highlight w:val="none"/>
                <w:lang w:val="en-US" w:eastAsia="zh-CN"/>
              </w:rPr>
              <w:t xml:space="preserve">4</w:t>
            </w:r>
            <w:r>
              <w:rPr>
                <w:rFonts w:hint="eastAsia" w:ascii="宋体" w:hAnsi="宋体" w:eastAsia="宋体" w:cs="宋体"/>
                <w:b w:val="0"/>
                <w:bCs w:val="0"/>
                <w:color w:val="000000"/>
                <w:sz w:val="21"/>
                <w:szCs w:val="21"/>
                <w:highlight w:val="none"/>
                <w:lang w:val="en-US" w:eastAsia="zh-CN" w:bidi="ar-SA"/>
              </w:rPr>
            </w:r>
            <w:r/>
          </w:p>
        </w:tc>
      </w:tr>
      <w:tr>
        <w:trPr>
          <w:trHeight w:val="1108"/>
        </w:trPr>
        <w:tc>
          <w:tcPr>
            <w:tcW w:w="724" w:type="dxa"/>
            <w:vAlign w:val="center"/>
            <w:textDirection w:val="lrTb"/>
            <w:noWrap w:val="false"/>
          </w:tcPr>
          <w:p>
            <w:pPr>
              <w:pStyle w:val="1472"/>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lang w:val="en-US" w:eastAsia="zh-CN"/>
              </w:rPr>
            </w:pPr>
            <w:r>
              <w:rPr>
                <w:rFonts w:hint="eastAsia" w:eastAsia="宋体" w:cs="宋体"/>
                <w:b w:val="0"/>
                <w:bCs w:val="0"/>
                <w:color w:val="000000"/>
                <w:spacing w:val="-4"/>
                <w:highlight w:val="none"/>
                <w:lang w:val="en-US" w:eastAsia="zh-CN"/>
              </w:rPr>
              <w:t xml:space="preserve">7</w:t>
            </w:r>
            <w:r>
              <w:rPr>
                <w:rFonts w:hint="eastAsia" w:ascii="宋体" w:hAnsi="宋体" w:eastAsia="宋体" w:cs="宋体"/>
                <w:b w:val="0"/>
                <w:bCs w:val="0"/>
                <w:color w:val="000000"/>
                <w:spacing w:val="-4"/>
                <w:highlight w:val="none"/>
                <w:lang w:val="en-US" w:eastAsia="zh-CN"/>
              </w:rPr>
            </w:r>
            <w:r/>
          </w:p>
        </w:tc>
        <w:tc>
          <w:tcPr>
            <w:tcW w:w="1509" w:type="dxa"/>
            <w:vAlign w:val="center"/>
            <w:textDirection w:val="lrTb"/>
            <w:noWrap w:val="false"/>
          </w:tcPr>
          <w:p>
            <w:pPr>
              <w:pStyle w:val="1472"/>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lang w:val="en-US" w:eastAsia="zh-CN"/>
              </w:rPr>
            </w:pPr>
            <w:r>
              <w:rPr>
                <w:rFonts w:hint="eastAsia" w:ascii="宋体" w:hAnsi="宋体" w:eastAsia="宋体" w:cs="宋体"/>
                <w:b w:val="0"/>
                <w:bCs w:val="0"/>
                <w:color w:val="000000"/>
                <w:spacing w:val="-4"/>
                <w:highlight w:val="none"/>
                <w:lang w:val="en-US" w:eastAsia="zh-CN"/>
              </w:rPr>
              <w:t xml:space="preserve">类似业绩</w:t>
            </w:r>
            <w:r>
              <w:rPr>
                <w:rFonts w:hint="eastAsia" w:ascii="宋体" w:hAnsi="宋体" w:eastAsia="宋体" w:cs="宋体"/>
                <w:b w:val="0"/>
                <w:bCs w:val="0"/>
                <w:color w:val="000000"/>
                <w:spacing w:val="-4"/>
                <w:highlight w:val="none"/>
                <w:lang w:val="en-US" w:eastAsia="zh-CN"/>
              </w:rPr>
            </w:r>
            <w:r/>
          </w:p>
          <w:p>
            <w:pPr>
              <w:pStyle w:val="1472"/>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sz w:val="21"/>
                <w:szCs w:val="21"/>
                <w:highlight w:val="none"/>
                <w:lang w:val="en-US" w:eastAsia="zh-CN" w:bidi="ar-SA"/>
              </w:rPr>
            </w:pPr>
            <w:r>
              <w:rPr>
                <w:rFonts w:hint="eastAsia" w:ascii="宋体" w:hAnsi="宋体" w:eastAsia="宋体" w:cs="宋体"/>
                <w:b w:val="0"/>
                <w:bCs w:val="0"/>
                <w:color w:val="000000"/>
                <w:spacing w:val="-4"/>
                <w:highlight w:val="none"/>
                <w:lang w:val="en-US" w:eastAsia="zh-CN"/>
              </w:rPr>
              <w:t xml:space="preserve">（3分）</w:t>
            </w:r>
            <w:r>
              <w:rPr>
                <w:rFonts w:hint="eastAsia" w:ascii="宋体" w:hAnsi="宋体" w:eastAsia="宋体" w:cs="宋体"/>
                <w:b w:val="0"/>
                <w:bCs w:val="0"/>
                <w:color w:val="000000"/>
                <w:spacing w:val="-4"/>
                <w:sz w:val="21"/>
                <w:szCs w:val="21"/>
                <w:highlight w:val="none"/>
                <w:lang w:val="en-US" w:eastAsia="zh-CN" w:bidi="ar-SA"/>
              </w:rPr>
            </w:r>
            <w:r/>
          </w:p>
        </w:tc>
        <w:tc>
          <w:tcPr>
            <w:tcW w:w="6125" w:type="dxa"/>
            <w:vAlign w:val="top"/>
            <w:textDirection w:val="lrTb"/>
            <w:noWrap w:val="false"/>
          </w:tcPr>
          <w:p>
            <w:pPr>
              <w:pStyle w:val="1112"/>
              <w:ind w:left="0" w:firstLine="0"/>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1"/>
                <w:szCs w:val="21"/>
                <w:highlight w:val="none"/>
                <w:lang w:val="en-US" w:eastAsia="zh-CN"/>
              </w:rPr>
              <w:suppressLineNumbers w:val="0"/>
            </w:pPr>
            <w:r>
              <w:rPr>
                <w:rFonts w:hint="eastAsia" w:ascii="宋体" w:hAnsi="宋体" w:eastAsia="宋体" w:cs="宋体"/>
                <w:b w:val="0"/>
                <w:bCs w:val="0"/>
                <w:color w:val="000000"/>
                <w:spacing w:val="0"/>
                <w:position w:val="0"/>
                <w:sz w:val="21"/>
                <w:szCs w:val="21"/>
                <w:highlight w:val="none"/>
                <w:lang w:val="en-US" w:eastAsia="zh-CN"/>
              </w:rPr>
              <w:t xml:space="preserve">投标人自2023年5月1日以来（以合同签订时间为准）已完成的类似业绩（业绩中包含实验室家具），每有1个得1分，最高得3分。需提供合同有效复印件。</w:t>
            </w:r>
            <w:r>
              <w:rPr>
                <w:rFonts w:hint="eastAsia" w:ascii="宋体" w:hAnsi="宋体" w:eastAsia="宋体" w:cs="宋体"/>
                <w:b w:val="0"/>
                <w:bCs w:val="0"/>
                <w:color w:val="000000"/>
                <w:spacing w:val="0"/>
                <w:position w:val="0"/>
                <w:sz w:val="21"/>
                <w:szCs w:val="21"/>
                <w:highlight w:val="none"/>
                <w:lang w:val="en-US" w:eastAsia="zh-CN"/>
              </w:rPr>
            </w:r>
            <w:r/>
          </w:p>
          <w:p>
            <w:pPr>
              <w:pStyle w:val="1112"/>
              <w:ind w:left="0" w:firstLine="0"/>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1"/>
                <w:szCs w:val="21"/>
                <w:highlight w:val="none"/>
                <w:lang w:val="en-US" w:eastAsia="en-US"/>
              </w:rPr>
              <w:suppressLineNumbers w:val="0"/>
            </w:pPr>
            <w:r>
              <w:rPr>
                <w:rFonts w:hint="eastAsia" w:ascii="宋体" w:hAnsi="宋体" w:eastAsia="宋体" w:cs="宋体"/>
                <w:b w:val="0"/>
                <w:bCs w:val="0"/>
                <w:color w:val="000000"/>
                <w:spacing w:val="0"/>
                <w:position w:val="0"/>
                <w:sz w:val="21"/>
                <w:szCs w:val="21"/>
                <w:highlight w:val="none"/>
                <w:lang w:val="en-US" w:eastAsia="zh-CN"/>
              </w:rPr>
              <w:t xml:space="preserve">合同内容明细或签订时间不清晰的不算分，原件备查。</w:t>
            </w:r>
            <w:r>
              <w:rPr>
                <w:rFonts w:hint="eastAsia" w:ascii="宋体" w:hAnsi="宋体" w:eastAsia="宋体" w:cs="宋体"/>
                <w:b w:val="0"/>
                <w:bCs w:val="0"/>
                <w:color w:val="000000"/>
                <w:spacing w:val="0"/>
                <w:position w:val="0"/>
                <w:sz w:val="21"/>
                <w:szCs w:val="21"/>
                <w:highlight w:val="none"/>
                <w:lang w:val="en-US" w:eastAsia="en-US"/>
              </w:rPr>
            </w:r>
            <w:r/>
          </w:p>
        </w:tc>
        <w:tc>
          <w:tcPr>
            <w:tcW w:w="1260" w:type="dxa"/>
            <w:vAlign w:val="center"/>
            <w:textDirection w:val="lrTb"/>
            <w:noWrap w:val="false"/>
          </w:tcPr>
          <w:p>
            <w:pPr>
              <w:pStyle w:val="1472"/>
              <w:jc w:val="center"/>
              <w:keepLines w:val="0"/>
              <w:keepNext w:val="0"/>
              <w:pageBreakBefore w:val="0"/>
              <w:spacing w:before="0" w:after="0" w:line="24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highlight w:val="none"/>
                <w:lang w:val="en-US" w:eastAsia="zh-CN"/>
              </w:rPr>
              <w:t xml:space="preserve">3</w:t>
            </w:r>
            <w:r>
              <w:rPr>
                <w:rFonts w:hint="eastAsia" w:ascii="宋体" w:hAnsi="宋体" w:eastAsia="宋体" w:cs="宋体"/>
                <w:b w:val="0"/>
                <w:bCs w:val="0"/>
                <w:color w:val="000000"/>
                <w:sz w:val="21"/>
                <w:szCs w:val="21"/>
                <w:highlight w:val="none"/>
                <w:lang w:val="en-US" w:eastAsia="zh-CN" w:bidi="ar-SA"/>
              </w:rPr>
            </w:r>
            <w:r/>
          </w:p>
        </w:tc>
      </w:tr>
      <w:tr>
        <w:trPr>
          <w:trHeight w:val="1657"/>
        </w:trPr>
        <w:tc>
          <w:tcPr>
            <w:tcW w:w="724" w:type="dxa"/>
            <w:vAlign w:val="center"/>
            <w:textDirection w:val="lrTb"/>
            <w:noWrap w:val="false"/>
          </w:tcPr>
          <w:p>
            <w:pPr>
              <w:pStyle w:val="1472"/>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lang w:val="en-US" w:eastAsia="zh-CN"/>
              </w:rPr>
            </w:pPr>
            <w:r>
              <w:rPr>
                <w:rFonts w:hint="eastAsia" w:eastAsia="宋体" w:cs="宋体"/>
                <w:b w:val="0"/>
                <w:bCs w:val="0"/>
                <w:color w:val="000000"/>
                <w:spacing w:val="-4"/>
                <w:highlight w:val="none"/>
                <w:lang w:val="en-US" w:eastAsia="zh-CN"/>
              </w:rPr>
              <w:t xml:space="preserve">8</w:t>
            </w:r>
            <w:r>
              <w:rPr>
                <w:rFonts w:hint="eastAsia" w:ascii="宋体" w:hAnsi="宋体" w:eastAsia="宋体" w:cs="宋体"/>
                <w:b w:val="0"/>
                <w:bCs w:val="0"/>
                <w:color w:val="000000"/>
                <w:spacing w:val="-4"/>
                <w:highlight w:val="none"/>
                <w:lang w:val="en-US" w:eastAsia="zh-CN"/>
              </w:rPr>
            </w:r>
            <w:r/>
          </w:p>
        </w:tc>
        <w:tc>
          <w:tcPr>
            <w:tcW w:w="1509" w:type="dxa"/>
            <w:vAlign w:val="center"/>
            <w:textDirection w:val="lrTb"/>
            <w:noWrap w:val="false"/>
          </w:tcPr>
          <w:p>
            <w:pPr>
              <w:pStyle w:val="1472"/>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lang w:val="en-US" w:eastAsia="zh-CN"/>
              </w:rPr>
            </w:pPr>
            <w:r>
              <w:rPr>
                <w:rFonts w:hint="eastAsia" w:ascii="宋体" w:hAnsi="宋体" w:eastAsia="宋体" w:cs="宋体"/>
                <w:b w:val="0"/>
                <w:bCs w:val="0"/>
                <w:color w:val="000000"/>
                <w:spacing w:val="-4"/>
                <w:highlight w:val="none"/>
                <w:lang w:val="en-US" w:eastAsia="zh-CN"/>
              </w:rPr>
              <w:t xml:space="preserve">认证证书</w:t>
            </w:r>
            <w:r>
              <w:rPr>
                <w:rFonts w:hint="eastAsia" w:ascii="宋体" w:hAnsi="宋体" w:eastAsia="宋体" w:cs="宋体"/>
                <w:b w:val="0"/>
                <w:bCs w:val="0"/>
                <w:color w:val="000000"/>
                <w:spacing w:val="-4"/>
                <w:highlight w:val="none"/>
                <w:lang w:val="en-US" w:eastAsia="zh-CN"/>
              </w:rPr>
            </w:r>
            <w:r/>
          </w:p>
          <w:p>
            <w:pPr>
              <w:pStyle w:val="1472"/>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lang w:val="en-US" w:eastAsia="zh-CN"/>
              </w:rPr>
            </w:pPr>
            <w:r>
              <w:rPr>
                <w:rFonts w:hint="eastAsia" w:ascii="宋体" w:hAnsi="宋体" w:eastAsia="宋体" w:cs="宋体"/>
                <w:b w:val="0"/>
                <w:bCs w:val="0"/>
                <w:color w:val="000000"/>
                <w:spacing w:val="-4"/>
                <w:highlight w:val="none"/>
                <w:lang w:val="en-US" w:eastAsia="zh-CN"/>
              </w:rPr>
              <w:t xml:space="preserve">（3分）</w:t>
            </w:r>
            <w:r>
              <w:rPr>
                <w:rFonts w:hint="eastAsia" w:ascii="宋体" w:hAnsi="宋体" w:eastAsia="宋体" w:cs="宋体"/>
                <w:b w:val="0"/>
                <w:bCs w:val="0"/>
                <w:color w:val="000000"/>
                <w:spacing w:val="-4"/>
                <w:highlight w:val="none"/>
                <w:lang w:val="en-US" w:eastAsia="zh-CN"/>
              </w:rPr>
            </w:r>
            <w:r/>
          </w:p>
          <w:p>
            <w:pPr>
              <w:pStyle w:val="1472"/>
              <w:ind w:left="16" w:hanging="16"/>
              <w:jc w:val="center"/>
              <w:keepLines w:val="0"/>
              <w:keepNext w:val="0"/>
              <w:pageBreakBefore w:val="0"/>
              <w:spacing w:before="0" w:after="0" w:line="240" w:lineRule="auto"/>
              <w:widowControl/>
              <w:rPr>
                <w:rFonts w:hint="eastAsia" w:ascii="宋体" w:hAnsi="宋体" w:eastAsia="宋体" w:cs="宋体"/>
                <w:b w:val="0"/>
                <w:bCs w:val="0"/>
                <w:color w:val="000000"/>
                <w:spacing w:val="-4"/>
                <w:sz w:val="21"/>
                <w:szCs w:val="21"/>
                <w:highlight w:val="none"/>
                <w:lang w:val="en-US" w:eastAsia="zh-CN" w:bidi="ar-SA"/>
              </w:rPr>
            </w:pPr>
            <w:r>
              <w:rPr>
                <w:rFonts w:hint="eastAsia" w:ascii="宋体" w:hAnsi="宋体" w:eastAsia="宋体" w:cs="宋体"/>
                <w:b w:val="0"/>
                <w:bCs w:val="0"/>
                <w:color w:val="000000"/>
                <w:spacing w:val="-4"/>
                <w:sz w:val="21"/>
                <w:szCs w:val="21"/>
                <w:highlight w:val="none"/>
                <w:lang w:val="en-US" w:eastAsia="zh-CN" w:bidi="ar-SA"/>
              </w:rPr>
            </w:r>
            <w:r/>
          </w:p>
        </w:tc>
        <w:tc>
          <w:tcPr>
            <w:tcW w:w="6125" w:type="dxa"/>
            <w:vAlign w:val="top"/>
            <w:textDirection w:val="lrTb"/>
            <w:noWrap w:val="false"/>
          </w:tcPr>
          <w:p>
            <w:pPr>
              <w:pStyle w:val="1112"/>
              <w:ind w:left="0" w:hanging="2"/>
              <w:jc w:val="both"/>
              <w:keepLines w:val="0"/>
              <w:keepNext w:val="0"/>
              <w:pageBreakBefore w:val="0"/>
              <w:spacing w:before="0" w:beforeAutospacing="0" w:after="0" w:afterAutospacing="0" w:line="240" w:lineRule="auto"/>
              <w:widowControl/>
              <w:rPr>
                <w:rFonts w:hint="eastAsia" w:ascii="Times New Roman" w:hAnsi="Times New Roman" w:eastAsia="宋体" w:cs="Times New Roman"/>
                <w:bCs/>
                <w:color w:val="000000"/>
                <w:sz w:val="21"/>
                <w:szCs w:val="21"/>
                <w:highlight w:val="none"/>
                <w:lang w:val="en-US" w:eastAsia="zh-CN" w:bidi="ar-SA"/>
              </w:rPr>
              <w:suppressLineNumbers w:val="0"/>
            </w:pPr>
            <w:r>
              <w:rPr>
                <w:rFonts w:hint="eastAsia" w:ascii="Times New Roman" w:hAnsi="Times New Roman" w:eastAsia="宋体" w:cs="Times New Roman"/>
                <w:bCs/>
                <w:color w:val="000000"/>
                <w:sz w:val="21"/>
                <w:szCs w:val="21"/>
                <w:highlight w:val="none"/>
                <w:lang w:val="en-US" w:eastAsia="zh-CN" w:bidi="ar-SA"/>
              </w:rPr>
              <w:t xml:space="preserve">投标人具备有效的 ISO9001 质量管理体系认证、ISO14001 环境管理体系认证、ISO45001 职业健康安全管理体系认证，每提供一项有效证书得 1 分，满分 3 分，未提供或提供不符要求证书不得分。所有证书认证范围须包含实验家具，且证书处于有效存续期内。投标文件内附证书复印件，原件以备核查，证书超出有效期、认证范围不符的均不予计分。</w:t>
            </w:r>
            <w:r>
              <w:rPr>
                <w:rFonts w:hint="eastAsia" w:ascii="Times New Roman" w:hAnsi="Times New Roman" w:eastAsia="宋体" w:cs="Times New Roman"/>
                <w:bCs/>
                <w:color w:val="000000"/>
                <w:sz w:val="21"/>
                <w:szCs w:val="21"/>
                <w:highlight w:val="none"/>
                <w:lang w:val="en-US" w:eastAsia="zh-CN" w:bidi="ar-SA"/>
              </w:rPr>
            </w:r>
            <w:r/>
          </w:p>
        </w:tc>
        <w:tc>
          <w:tcPr>
            <w:tcW w:w="1260" w:type="dxa"/>
            <w:vAlign w:val="center"/>
            <w:textDirection w:val="lrTb"/>
            <w:noWrap w:val="false"/>
          </w:tcPr>
          <w:p>
            <w:pPr>
              <w:pStyle w:val="1472"/>
              <w:jc w:val="center"/>
              <w:keepLines w:val="0"/>
              <w:keepNext w:val="0"/>
              <w:pageBreakBefore w:val="0"/>
              <w:spacing w:before="0" w:after="0" w:line="240" w:lineRule="auto"/>
              <w:rPr>
                <w:rFonts w:hint="eastAsia" w:ascii="宋体" w:hAnsi="宋体" w:eastAsia="宋体" w:cs="宋体"/>
                <w:b w:val="0"/>
                <w:bCs w:val="0"/>
                <w:color w:val="000000"/>
                <w:sz w:val="21"/>
                <w:szCs w:val="21"/>
                <w:highlight w:val="none"/>
                <w:lang w:val="en-US" w:eastAsia="zh-CN" w:bidi="ar-SA"/>
              </w:rPr>
            </w:pPr>
            <w:r>
              <w:rPr>
                <w:rFonts w:hint="eastAsia" w:eastAsia="宋体" w:cs="宋体"/>
                <w:b w:val="0"/>
                <w:bCs w:val="0"/>
                <w:color w:val="000000"/>
                <w:highlight w:val="none"/>
                <w:lang w:val="en-US" w:eastAsia="zh-CN"/>
              </w:rPr>
              <w:t xml:space="preserve">3</w:t>
            </w:r>
            <w:r>
              <w:rPr>
                <w:rFonts w:hint="eastAsia" w:ascii="宋体" w:hAnsi="宋体" w:eastAsia="宋体" w:cs="宋体"/>
                <w:b w:val="0"/>
                <w:bCs w:val="0"/>
                <w:color w:val="000000"/>
                <w:sz w:val="21"/>
                <w:szCs w:val="21"/>
                <w:highlight w:val="none"/>
                <w:lang w:val="en-US" w:eastAsia="zh-CN" w:bidi="ar-SA"/>
              </w:rPr>
            </w:r>
            <w:r/>
          </w:p>
        </w:tc>
      </w:tr>
      <w:tr>
        <w:trPr>
          <w:trHeight w:val="623"/>
        </w:trPr>
        <w:tc>
          <w:tcPr>
            <w:gridSpan w:val="3"/>
            <w:tcW w:w="8358" w:type="dxa"/>
            <w:vAlign w:val="center"/>
            <w:textDirection w:val="lrTb"/>
            <w:noWrap w:val="false"/>
          </w:tcPr>
          <w:p>
            <w:pPr>
              <w:pStyle w:val="1112"/>
              <w:ind w:left="0" w:firstLine="0"/>
              <w:jc w:val="center"/>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1"/>
                <w:szCs w:val="21"/>
                <w:highlight w:val="none"/>
                <w:lang w:val="en-US" w:eastAsia="zh-CN"/>
              </w:rPr>
              <w:suppressLineNumbers w:val="0"/>
            </w:pPr>
            <w:r>
              <w:rPr>
                <w:rFonts w:hint="eastAsia" w:ascii="宋体" w:hAnsi="宋体" w:eastAsia="宋体" w:cs="宋体"/>
                <w:b w:val="0"/>
                <w:bCs w:val="0"/>
                <w:color w:val="000000"/>
                <w:spacing w:val="0"/>
                <w:position w:val="0"/>
                <w:sz w:val="24"/>
                <w:szCs w:val="24"/>
                <w:highlight w:val="none"/>
                <w:lang w:val="en-US" w:eastAsia="zh-CN"/>
              </w:rPr>
              <w:t xml:space="preserve">合计</w:t>
            </w:r>
            <w:r>
              <w:rPr>
                <w:rFonts w:hint="eastAsia" w:ascii="宋体" w:hAnsi="宋体" w:eastAsia="宋体" w:cs="宋体"/>
                <w:b w:val="0"/>
                <w:bCs w:val="0"/>
                <w:color w:val="000000"/>
                <w:spacing w:val="0"/>
                <w:position w:val="0"/>
                <w:sz w:val="21"/>
                <w:szCs w:val="21"/>
                <w:highlight w:val="none"/>
                <w:lang w:val="en-US" w:eastAsia="zh-CN"/>
              </w:rPr>
            </w:r>
            <w:r/>
          </w:p>
        </w:tc>
        <w:tc>
          <w:tcPr>
            <w:tcW w:w="1260" w:type="dxa"/>
            <w:vAlign w:val="center"/>
            <w:textDirection w:val="lrTb"/>
            <w:noWrap w:val="false"/>
          </w:tcPr>
          <w:p>
            <w:pPr>
              <w:pStyle w:val="1472"/>
              <w:jc w:val="center"/>
              <w:keepLines w:val="0"/>
              <w:keepNext w:val="0"/>
              <w:pageBreakBefore w:val="0"/>
              <w:spacing w:before="0" w:after="0" w:line="240" w:lineRule="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spacing w:val="-5"/>
                <w:position w:val="1"/>
                <w:highlight w:val="none"/>
              </w:rPr>
              <w:t xml:space="preserve">100</w:t>
            </w:r>
            <w:r>
              <w:rPr>
                <w:rFonts w:hint="eastAsia" w:eastAsia="宋体" w:cs="宋体"/>
                <w:b w:val="0"/>
                <w:bCs w:val="0"/>
                <w:color w:val="000000"/>
                <w:spacing w:val="-5"/>
                <w:position w:val="1"/>
                <w:highlight w:val="none"/>
                <w:lang w:val="en-US" w:eastAsia="zh-CN"/>
              </w:rPr>
              <w:t xml:space="preserve">分</w:t>
            </w:r>
            <w:r>
              <w:rPr>
                <w:rFonts w:hint="eastAsia" w:ascii="宋体" w:hAnsi="宋体" w:eastAsia="宋体" w:cs="宋体"/>
                <w:b w:val="0"/>
                <w:bCs w:val="0"/>
                <w:color w:val="000000"/>
                <w:highlight w:val="none"/>
                <w:lang w:val="en-US" w:eastAsia="zh-CN"/>
              </w:rPr>
            </w:r>
            <w:r/>
          </w:p>
        </w:tc>
      </w:tr>
    </w:tbl>
    <w:p>
      <w:pPr>
        <w:pStyle w:val="1038"/>
        <w:ind w:firstLine="442"/>
        <w:rPr>
          <w:rFonts w:hint="eastAsia" w:ascii="宋体" w:hAnsi="宋体" w:eastAsia="宋体" w:cs="宋体"/>
          <w:b/>
          <w:color w:val="000000"/>
          <w:sz w:val="22"/>
          <w:szCs w:val="22"/>
          <w:highlight w:val="none"/>
        </w:rPr>
        <w:outlineLvl w:val="1"/>
      </w:pPr>
      <w:r/>
      <w:bookmarkStart w:id="98" w:name="_Toc29051"/>
      <w:r>
        <w:rPr>
          <w:rFonts w:hint="eastAsia" w:ascii="宋体" w:hAnsi="宋体" w:eastAsia="宋体" w:cs="宋体"/>
          <w:b/>
          <w:color w:val="000000"/>
          <w:sz w:val="22"/>
          <w:szCs w:val="22"/>
          <w:highlight w:val="none"/>
        </w:rPr>
        <w:t xml:space="preserve">五、评分因素及分值说明</w:t>
      </w:r>
      <w:bookmarkEnd w:id="98"/>
      <w:r>
        <w:rPr>
          <w:rFonts w:hint="eastAsia" w:ascii="宋体" w:hAnsi="宋体" w:eastAsia="宋体" w:cs="宋体"/>
          <w:b/>
          <w:color w:val="000000"/>
          <w:sz w:val="22"/>
          <w:szCs w:val="22"/>
          <w:highlight w:val="none"/>
        </w:rPr>
      </w:r>
      <w:r/>
    </w:p>
    <w:p>
      <w:pPr>
        <w:pStyle w:val="1038"/>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1.评审委员会成员按招标文件和本办法上述有关规定给各投标文件评分。</w:t>
      </w:r>
      <w:r>
        <w:rPr>
          <w:rFonts w:hint="eastAsia" w:ascii="宋体" w:hAnsi="宋体" w:eastAsia="宋体" w:cs="宋体"/>
          <w:color w:val="000000"/>
          <w:sz w:val="22"/>
          <w:szCs w:val="22"/>
          <w:highlight w:val="none"/>
        </w:rPr>
      </w:r>
      <w:r/>
    </w:p>
    <w:p>
      <w:pPr>
        <w:pStyle w:val="1038"/>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2.各供应商的得分为各评委所评定分数的算术平均值。</w:t>
      </w:r>
      <w:r>
        <w:rPr>
          <w:rFonts w:hint="eastAsia" w:ascii="宋体" w:hAnsi="宋体" w:eastAsia="宋体" w:cs="宋体"/>
          <w:color w:val="000000"/>
          <w:sz w:val="22"/>
          <w:szCs w:val="22"/>
          <w:highlight w:val="none"/>
        </w:rPr>
      </w:r>
      <w:r/>
    </w:p>
    <w:p>
      <w:pPr>
        <w:pStyle w:val="1038"/>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3.各项统计、评分结果均按四舍五入方法精确到小数点后两位。</w:t>
      </w:r>
      <w:r>
        <w:rPr>
          <w:rFonts w:hint="eastAsia" w:ascii="宋体" w:hAnsi="宋体" w:eastAsia="宋体" w:cs="宋体"/>
          <w:color w:val="000000"/>
          <w:sz w:val="22"/>
          <w:szCs w:val="22"/>
          <w:highlight w:val="none"/>
        </w:rPr>
      </w:r>
      <w:r/>
    </w:p>
    <w:p>
      <w:pPr>
        <w:pStyle w:val="1038"/>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评审委员会根据各供应商投标文件的最终评分，按高低次序确定供应商最终排列名次，并按照招标文件规定推荐3名合格的中标候选人。如果供应商的最终评分相同，则投标报价低的供应商排名优先，得分相同且投标报价相同的，按技术部分指标优劣顺序排列，如报价及技术部分指标评分都相同则抽签决定。</w:t>
      </w:r>
      <w:r>
        <w:rPr>
          <w:rFonts w:hint="eastAsia" w:ascii="宋体" w:hAnsi="宋体" w:eastAsia="宋体" w:cs="宋体"/>
          <w:color w:val="000000"/>
          <w:sz w:val="22"/>
          <w:szCs w:val="22"/>
          <w:highlight w:val="none"/>
        </w:rPr>
      </w:r>
      <w:r/>
    </w:p>
    <w:p>
      <w:pPr>
        <w:pStyle w:val="1038"/>
        <w:ind w:firstLine="440"/>
        <w:spacing w:before="0" w:after="0"/>
        <w:rPr>
          <w:rFonts w:hint="eastAsia" w:ascii="宋体" w:hAnsi="宋体" w:eastAsia="宋体" w:cs="宋体"/>
          <w:color w:val="000000"/>
          <w:sz w:val="22"/>
          <w:szCs w:val="22"/>
          <w:highlight w:val="none"/>
        </w:rPr>
      </w:pPr>
      <w:r/>
      <w:bookmarkStart w:id="99" w:name="_Toc462837790"/>
      <w:r>
        <w:rPr>
          <w:rFonts w:hint="eastAsia" w:ascii="宋体" w:hAnsi="宋体" w:eastAsia="宋体" w:cs="宋体"/>
          <w:color w:val="000000"/>
          <w:sz w:val="22"/>
          <w:szCs w:val="22"/>
          <w:highlight w:val="none"/>
        </w:rPr>
        <w:t xml:space="preserve">5.</w:t>
      </w:r>
      <w:bookmarkEnd w:id="99"/>
      <w:r>
        <w:rPr>
          <w:rFonts w:hint="eastAsia" w:ascii="宋体" w:hAnsi="宋体" w:eastAsia="宋体" w:cs="宋体"/>
          <w:color w:val="000000"/>
          <w:sz w:val="22"/>
          <w:szCs w:val="22"/>
          <w:highlight w:val="none"/>
        </w:rPr>
        <w:t xml:space="preserve">政府采购政策功能落实</w:t>
      </w:r>
      <w:r>
        <w:rPr>
          <w:rFonts w:hint="eastAsia" w:ascii="宋体" w:hAnsi="宋体" w:eastAsia="宋体" w:cs="宋体"/>
          <w:color w:val="000000"/>
          <w:sz w:val="22"/>
          <w:szCs w:val="22"/>
          <w:highlight w:val="none"/>
        </w:rPr>
      </w:r>
      <w:r/>
    </w:p>
    <w:p>
      <w:pPr>
        <w:pStyle w:val="1038"/>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5.1小微型企业价格扣除</w:t>
      </w:r>
      <w:r>
        <w:rPr>
          <w:rFonts w:hint="eastAsia" w:ascii="宋体" w:hAnsi="宋体" w:eastAsia="宋体" w:cs="宋体"/>
          <w:color w:val="000000"/>
          <w:sz w:val="22"/>
          <w:szCs w:val="22"/>
          <w:highlight w:val="none"/>
        </w:rPr>
      </w:r>
      <w:r/>
    </w:p>
    <w:p>
      <w:pPr>
        <w:pStyle w:val="1038"/>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（1）对小型和微型企业产品给予10%的扣除价格，用扣除后的价格参与评审。</w:t>
      </w:r>
      <w:r>
        <w:rPr>
          <w:rFonts w:hint="eastAsia" w:ascii="宋体" w:hAnsi="宋体" w:eastAsia="宋体" w:cs="宋体"/>
          <w:color w:val="000000"/>
          <w:sz w:val="22"/>
          <w:szCs w:val="22"/>
          <w:highlight w:val="none"/>
        </w:rPr>
      </w:r>
      <w:r/>
    </w:p>
    <w:p>
      <w:pPr>
        <w:pStyle w:val="1038"/>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（2）供应商需按照招标文件的要求提供相应的《企业声明函》。</w:t>
      </w:r>
      <w:r>
        <w:rPr>
          <w:rFonts w:hint="eastAsia" w:ascii="宋体" w:hAnsi="宋体" w:eastAsia="宋体" w:cs="宋体"/>
          <w:color w:val="000000"/>
          <w:sz w:val="22"/>
          <w:szCs w:val="22"/>
          <w:highlight w:val="none"/>
        </w:rPr>
      </w:r>
      <w:r/>
    </w:p>
    <w:p>
      <w:pPr>
        <w:pStyle w:val="1038"/>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（3）企业标准请参照《关于印发中小企业划型标准规定的通知》（工信部联企业〔2011〕300号）文件规定自行填写。</w:t>
      </w:r>
      <w:r>
        <w:rPr>
          <w:rFonts w:hint="eastAsia" w:ascii="宋体" w:hAnsi="宋体" w:eastAsia="宋体" w:cs="宋体"/>
          <w:color w:val="000000"/>
          <w:sz w:val="22"/>
          <w:szCs w:val="22"/>
          <w:highlight w:val="none"/>
        </w:rPr>
      </w:r>
      <w:r/>
    </w:p>
    <w:p>
      <w:pPr>
        <w:pStyle w:val="1038"/>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5.2残疾人福利单位价格扣除</w:t>
      </w:r>
      <w:r>
        <w:rPr>
          <w:rFonts w:hint="eastAsia" w:ascii="宋体" w:hAnsi="宋体" w:eastAsia="宋体" w:cs="宋体"/>
          <w:color w:val="000000"/>
          <w:sz w:val="22"/>
          <w:szCs w:val="22"/>
          <w:highlight w:val="none"/>
        </w:rPr>
      </w:r>
      <w:r/>
    </w:p>
    <w:p>
      <w:pPr>
        <w:pStyle w:val="1038"/>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（1）对残疾人福利性单位视同小型、微型企业，给予10%的价格扣除，用扣除后的价格参与评审。</w:t>
      </w:r>
      <w:r>
        <w:rPr>
          <w:rFonts w:hint="eastAsia" w:ascii="宋体" w:hAnsi="宋体" w:eastAsia="宋体" w:cs="宋体"/>
          <w:color w:val="000000"/>
          <w:sz w:val="22"/>
          <w:szCs w:val="22"/>
          <w:highlight w:val="none"/>
        </w:rPr>
      </w:r>
      <w:r/>
    </w:p>
    <w:p>
      <w:pPr>
        <w:pStyle w:val="1038"/>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（2）残疾人福利单位需按照招标文件的要求提供《残疾人福利性单位声明函》。</w:t>
      </w:r>
      <w:r>
        <w:rPr>
          <w:rFonts w:hint="eastAsia" w:ascii="宋体" w:hAnsi="宋体" w:eastAsia="宋体" w:cs="宋体"/>
          <w:color w:val="000000"/>
          <w:sz w:val="22"/>
          <w:szCs w:val="22"/>
          <w:highlight w:val="none"/>
        </w:rPr>
      </w:r>
      <w:r/>
    </w:p>
    <w:p>
      <w:pPr>
        <w:pStyle w:val="1038"/>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（3）残疾人福利单位标准请参照《关于促进残疾人就业政府采购政策的通知》（财库〔2017〕141号）。</w:t>
      </w:r>
      <w:r>
        <w:rPr>
          <w:rFonts w:hint="eastAsia" w:ascii="宋体" w:hAnsi="宋体" w:eastAsia="宋体" w:cs="宋体"/>
          <w:color w:val="000000"/>
          <w:sz w:val="22"/>
          <w:szCs w:val="22"/>
          <w:highlight w:val="none"/>
        </w:rPr>
      </w:r>
      <w:r/>
    </w:p>
    <w:p>
      <w:pPr>
        <w:pStyle w:val="1038"/>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5.3监狱和戒毒企业价格扣除</w:t>
      </w:r>
      <w:r>
        <w:rPr>
          <w:rFonts w:hint="eastAsia" w:ascii="宋体" w:hAnsi="宋体" w:eastAsia="宋体" w:cs="宋体"/>
          <w:color w:val="000000"/>
          <w:sz w:val="22"/>
          <w:szCs w:val="22"/>
          <w:highlight w:val="none"/>
        </w:rPr>
      </w:r>
      <w:r/>
    </w:p>
    <w:p>
      <w:pPr>
        <w:pStyle w:val="1038"/>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（1）对监狱和戒毒企业（简称监狱企业）视同小型、微型企业，给予10%的价格扣除，用扣除后的价格参与评审。</w:t>
      </w:r>
      <w:r>
        <w:rPr>
          <w:rFonts w:hint="eastAsia" w:ascii="宋体" w:hAnsi="宋体" w:eastAsia="宋体" w:cs="宋体"/>
          <w:color w:val="000000"/>
          <w:sz w:val="22"/>
          <w:szCs w:val="22"/>
          <w:highlight w:val="none"/>
        </w:rPr>
      </w:r>
      <w:r/>
    </w:p>
    <w:p>
      <w:pPr>
        <w:pStyle w:val="1038"/>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color w:val="000000"/>
          <w:sz w:val="22"/>
          <w:szCs w:val="22"/>
          <w:highlight w:val="none"/>
        </w:rPr>
      </w:r>
      <w:r/>
    </w:p>
    <w:p>
      <w:pPr>
        <w:pStyle w:val="1038"/>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（3）监狱企业标准请参照《关于政府采购支持监狱企业发展有关问题的通知》（财库〔2014〕68号）。</w:t>
      </w:r>
      <w:r>
        <w:rPr>
          <w:rFonts w:hint="eastAsia" w:ascii="宋体" w:hAnsi="宋体" w:eastAsia="宋体" w:cs="宋体"/>
          <w:color w:val="000000"/>
          <w:sz w:val="22"/>
          <w:szCs w:val="22"/>
          <w:highlight w:val="none"/>
        </w:rPr>
      </w:r>
      <w:r/>
    </w:p>
    <w:p>
      <w:pPr>
        <w:pStyle w:val="1038"/>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5.4残疾人福利单位、监狱企业属于小型、微型企业的，不重复享受政策。</w:t>
      </w:r>
      <w:bookmarkStart w:id="100" w:name="_Toc150538845"/>
      <w:r>
        <w:rPr>
          <w:rFonts w:hint="eastAsia" w:ascii="宋体" w:hAnsi="宋体" w:eastAsia="宋体" w:cs="宋体"/>
          <w:color w:val="000000"/>
          <w:sz w:val="22"/>
          <w:szCs w:val="22"/>
          <w:highlight w:val="none"/>
        </w:rPr>
      </w:r>
      <w:r/>
    </w:p>
    <w:p>
      <w:pPr>
        <w:pStyle w:val="1038"/>
        <w:ind w:firstLine="440"/>
        <w:rPr>
          <w:rFonts w:hint="eastAsia" w:ascii="宋体" w:hAnsi="宋体" w:eastAsia="宋体" w:cs="宋体"/>
          <w:color w:val="000000"/>
          <w:highlight w:val="none"/>
        </w:rPr>
      </w:pPr>
      <w:r>
        <w:rPr>
          <w:rFonts w:hint="eastAsia" w:ascii="宋体" w:hAnsi="宋体" w:eastAsia="宋体" w:cs="宋体"/>
          <w:color w:val="000000"/>
          <w:sz w:val="22"/>
          <w:szCs w:val="22"/>
          <w:highlight w:val="none"/>
        </w:rPr>
        <w:t xml:space="preserve">5.5属于专门面向中小微企业的项目不适用以上“政府采购政策功能落实”价格扣除条款。</w:t>
      </w:r>
      <w:bookmarkStart w:id="101" w:name="_Toc649"/>
      <w:r>
        <w:rPr>
          <w:rFonts w:hint="eastAsia" w:ascii="宋体" w:hAnsi="宋体" w:eastAsia="宋体" w:cs="宋体"/>
          <w:color w:val="000000"/>
          <w:highlight w:val="none"/>
        </w:rPr>
      </w:r>
      <w:r/>
    </w:p>
    <w:p>
      <w:pPr>
        <w:pStyle w:val="1038"/>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6.对本国产品的支持政策</w:t>
      </w:r>
      <w:r>
        <w:rPr>
          <w:rFonts w:hint="eastAsia" w:ascii="宋体" w:hAnsi="宋体" w:eastAsia="宋体" w:cs="宋体"/>
          <w:color w:val="000000"/>
          <w:sz w:val="22"/>
          <w:szCs w:val="22"/>
          <w:highlight w:val="none"/>
        </w:rPr>
      </w:r>
      <w:r/>
    </w:p>
    <w:p>
      <w:pPr>
        <w:pStyle w:val="1038"/>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6.1政府采购活动中既有本国产品又有非本国产品参与竞争的，依法对本国产品给予价格评审优惠，对本国产品的报价给予20%的价格扣除，用扣除后的价格参与评审。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highlight w:val="none"/>
        </w:rPr>
      </w:r>
      <w:r/>
    </w:p>
    <w:p>
      <w:pPr>
        <w:pStyle w:val="1038"/>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6.2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对其提供的产品出具《关于符合本国产品标准的声明函》（格式详见附件）。</w:t>
      </w:r>
      <w:r>
        <w:rPr>
          <w:rFonts w:hint="eastAsia" w:ascii="宋体" w:hAnsi="宋体" w:eastAsia="宋体" w:cs="宋体"/>
          <w:color w:val="000000"/>
          <w:highlight w:val="none"/>
        </w:rPr>
      </w:r>
      <w:r/>
    </w:p>
    <w:p>
      <w:pPr>
        <w:pStyle w:val="1038"/>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6.3产品在中国境内生产的组件成本核算规则。产品在中国境内生产的组件成本，按照《中国境内生产的组件成本核算基本规则》计算，具体规则如下：产品在中国境内生产的组件成本，一般按照其二级组件的相关成本进行核算。按照产品的一级组件进行成本核算能够满足中国境内生产的组件成本判定需求的，可以按照一级组件的相关成本进行核算。</w:t>
      </w:r>
      <w:r>
        <w:rPr>
          <w:rFonts w:hint="eastAsia" w:ascii="宋体" w:hAnsi="宋体" w:eastAsia="宋体" w:cs="宋体"/>
          <w:color w:val="000000"/>
          <w:highlight w:val="none"/>
        </w:rPr>
      </w:r>
      <w:r/>
    </w:p>
    <w:p>
      <w:pPr>
        <w:pStyle w:val="1038"/>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（1）产品的一级组件是指直接组成产品的组件。产品的二级组件是指直接组成产品一级组件的组件。一级组件不可分解的，视同二级组件。</w:t>
      </w:r>
      <w:r>
        <w:rPr>
          <w:rFonts w:hint="eastAsia" w:ascii="宋体" w:hAnsi="宋体" w:eastAsia="宋体" w:cs="宋体"/>
          <w:color w:val="000000"/>
          <w:highlight w:val="none"/>
        </w:rPr>
      </w:r>
      <w:r/>
    </w:p>
    <w:p>
      <w:pPr>
        <w:pStyle w:val="1038"/>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（2）二级组件在中国境内生产的，其全部成本计入中国境内生产的组件成本；二级组件不在中国境内生产的，其成本不计入中国境内生产的组件成本。</w:t>
      </w:r>
      <w:r>
        <w:rPr>
          <w:rFonts w:hint="eastAsia" w:ascii="宋体" w:hAnsi="宋体" w:eastAsia="宋体" w:cs="宋体"/>
          <w:color w:val="000000"/>
          <w:highlight w:val="none"/>
        </w:rPr>
      </w:r>
      <w:r/>
    </w:p>
    <w:p>
      <w:pPr>
        <w:pStyle w:val="1038"/>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（3）产品总成本和组件成本以相关会计核算数据、采购合同、进货记录等为基础进行计算。</w:t>
      </w:r>
      <w:r>
        <w:rPr>
          <w:rFonts w:hint="eastAsia" w:ascii="宋体" w:hAnsi="宋体" w:eastAsia="宋体" w:cs="宋体"/>
          <w:color w:val="000000"/>
          <w:highlight w:val="none"/>
        </w:rPr>
      </w:r>
      <w:r/>
    </w:p>
    <w:p>
      <w:pPr>
        <w:pStyle w:val="1038"/>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（4）需要对成本核算规则予以进一步明确的其他有关事项，由财政部会同有关部门另行规定。</w:t>
      </w:r>
      <w:r>
        <w:rPr>
          <w:rFonts w:hint="eastAsia" w:ascii="宋体" w:hAnsi="宋体" w:eastAsia="宋体" w:cs="宋体"/>
          <w:color w:val="000000"/>
          <w:highlight w:val="none"/>
        </w:rPr>
      </w:r>
      <w:r/>
    </w:p>
    <w:p>
      <w:pPr>
        <w:pStyle w:val="1038"/>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6.4供应商需在《声明函》中逐一、准确填写产品名称、厂名、生产厂址三项信息，三项信息中任意一项未填写的视为该项产品不符合本国产品标准，不享受本国产品价格评审优惠。</w:t>
      </w:r>
      <w:r>
        <w:rPr>
          <w:rFonts w:hint="eastAsia" w:ascii="宋体" w:hAnsi="宋体" w:eastAsia="宋体" w:cs="宋体"/>
          <w:color w:val="000000"/>
          <w:highlight w:val="none"/>
        </w:rPr>
      </w:r>
      <w:r/>
    </w:p>
    <w:p>
      <w:pPr>
        <w:pStyle w:val="1038"/>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6.5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color w:val="000000"/>
          <w:highlight w:val="none"/>
        </w:rPr>
      </w:r>
      <w:r/>
    </w:p>
    <w:p>
      <w:pPr>
        <w:pStyle w:val="1038"/>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同品牌投标人的认定：</w:t>
      </w:r>
      <w:r>
        <w:rPr>
          <w:rFonts w:hint="eastAsia" w:ascii="宋体" w:hAnsi="宋体" w:eastAsia="宋体" w:cs="宋体"/>
          <w:color w:val="000000"/>
          <w:highlight w:val="none"/>
        </w:rPr>
      </w:r>
      <w:r/>
    </w:p>
    <w:p>
      <w:pPr>
        <w:pStyle w:val="1038"/>
        <w:ind w:firstLine="420"/>
        <w:jc w:val="left"/>
        <w:rPr>
          <w:rFonts w:hint="eastAsia"/>
          <w:color w:val="000000"/>
          <w:highlight w:val="none"/>
        </w:rPr>
      </w:pPr>
      <w:r>
        <w:rPr>
          <w:rFonts w:hint="eastAsia" w:ascii="宋体" w:hAnsi="宋体" w:eastAsia="宋体" w:cs="宋体"/>
          <w:color w:val="000000"/>
          <w:highlight w:val="none"/>
        </w:rPr>
        <w:t xml:space="preserve">提供核心产品品牌相同且通过资格审查、符合性审查的不同投标供应商参加同一合同项下投标的，按一家投标供应商计算，评审后得分最高的同品牌投标供应商获得中标人推荐资格；评审得分相同的，采取最低价方式确定一个投标供应商获得中标人推荐资格，其他同品牌投标供应商不作为中标候选人（本项目中的同品牌特指核心产品，非核心产品不作要求）。</w:t>
      </w:r>
      <w:r>
        <w:rPr>
          <w:rFonts w:hint="eastAsia"/>
          <w:color w:val="000000"/>
          <w:highlight w:val="none"/>
        </w:rPr>
      </w:r>
      <w:r/>
    </w:p>
    <w:p>
      <w:pPr>
        <w:pStyle w:val="1038"/>
        <w:ind w:firstLine="420"/>
        <w:jc w:val="left"/>
        <w:rPr>
          <w:rFonts w:hint="eastAsia" w:ascii="宋体" w:hAnsi="宋体" w:eastAsia="宋体" w:cs="宋体"/>
          <w:b w:val="0"/>
          <w:bCs w:val="0"/>
          <w:color w:val="000000"/>
          <w:highlight w:val="none"/>
        </w:rPr>
      </w:pP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rPr>
        <w:t xml:space="preserve">本项目核心产品为：</w:t>
      </w:r>
      <w:r>
        <w:rPr>
          <w:rFonts w:hint="eastAsia" w:ascii="宋体" w:hAnsi="宋体" w:eastAsia="宋体" w:cs="宋体"/>
          <w:color w:val="000000"/>
          <w:highlight w:val="none"/>
          <w:lang w:val="en-US" w:eastAsia="zh-CN"/>
        </w:rPr>
        <w:t xml:space="preserve">详见技术要求</w:t>
      </w:r>
      <w:r>
        <w:rPr>
          <w:rFonts w:hint="eastAsia" w:ascii="宋体" w:hAnsi="宋体" w:eastAsia="宋体" w:cs="宋体"/>
          <w:b w:val="0"/>
          <w:bCs w:val="0"/>
          <w:color w:val="000000"/>
          <w:highlight w:val="none"/>
        </w:rPr>
        <w:t xml:space="preserve">。</w:t>
      </w:r>
      <w:r>
        <w:rPr>
          <w:rFonts w:hint="eastAsia" w:ascii="宋体" w:hAnsi="宋体" w:eastAsia="宋体" w:cs="宋体"/>
          <w:b w:val="0"/>
          <w:bCs w:val="0"/>
          <w:color w:val="000000"/>
          <w:highlight w:val="none"/>
        </w:rPr>
      </w:r>
      <w:r/>
    </w:p>
    <w:p>
      <w:pPr>
        <w:pStyle w:val="1038"/>
        <w:ind w:firstLine="420"/>
        <w:jc w:val="left"/>
        <w:rPr>
          <w:rFonts w:hint="eastAsia" w:ascii="宋体" w:hAnsi="宋体" w:eastAsia="宋体" w:cs="宋体"/>
          <w:color w:val="000000"/>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highlight w:val="none"/>
        </w:rPr>
      </w:r>
      <w:r/>
    </w:p>
    <w:p>
      <w:pPr>
        <w:pStyle w:val="1039"/>
        <w:ind w:firstLine="0"/>
        <w:spacing w:before="480"/>
        <w:tabs>
          <w:tab w:val="left" w:pos="1440" w:leader="none"/>
          <w:tab w:val="left" w:pos="5670" w:leader="none"/>
        </w:tabs>
        <w:rPr>
          <w:rFonts w:hint="eastAsia"/>
          <w:color w:val="000000"/>
          <w:highlight w:val="none"/>
        </w:rPr>
      </w:pPr>
      <w:r/>
      <w:bookmarkStart w:id="102" w:name="_Toc19039"/>
      <w:r>
        <w:rPr>
          <w:rFonts w:hint="eastAsia" w:ascii="宋体" w:hAnsi="宋体" w:eastAsia="宋体" w:cs="宋体"/>
          <w:color w:val="000000"/>
          <w:highlight w:val="none"/>
        </w:rPr>
        <w:t xml:space="preserve">第四章 </w:t>
      </w:r>
      <w:bookmarkEnd w:id="100"/>
      <w:r/>
      <w:bookmarkEnd w:id="101"/>
      <w:r>
        <w:rPr>
          <w:rFonts w:hint="eastAsia" w:ascii="宋体" w:hAnsi="宋体" w:eastAsia="宋体" w:cs="宋体"/>
          <w:color w:val="000000"/>
          <w:highlight w:val="none"/>
        </w:rPr>
        <w:t xml:space="preserve">采购需求</w:t>
      </w:r>
      <w:bookmarkEnd w:id="102"/>
      <w:r>
        <w:rPr>
          <w:rFonts w:hint="eastAsia"/>
          <w:color w:val="000000"/>
          <w:highlight w:val="none"/>
        </w:rPr>
      </w:r>
      <w:r/>
    </w:p>
    <w:p>
      <w:pPr>
        <w:pStyle w:val="1038"/>
        <w:numPr>
          <w:ilvl w:val="0"/>
          <w:numId w:val="41"/>
        </w:numPr>
        <w:spacing w:after="5"/>
        <w:rPr>
          <w:rFonts w:hint="eastAsia" w:ascii="宋体" w:hAnsi="宋体" w:eastAsia="宋体" w:cs="宋体"/>
          <w:b/>
          <w:color w:val="000000"/>
          <w:sz w:val="28"/>
          <w:szCs w:val="28"/>
          <w:highlight w:val="none"/>
        </w:rPr>
        <w:outlineLvl w:val="1"/>
      </w:pPr>
      <w:r/>
      <w:bookmarkStart w:id="103" w:name="_Toc22347"/>
      <w:r/>
      <w:bookmarkStart w:id="104" w:name="_Toc15398"/>
      <w:r/>
      <w:bookmarkStart w:id="105" w:name="_Toc22261"/>
      <w:r/>
      <w:bookmarkStart w:id="106" w:name="_Toc3459"/>
      <w:r>
        <w:rPr>
          <w:rFonts w:hint="eastAsia" w:ascii="宋体" w:hAnsi="宋体" w:eastAsia="宋体" w:cs="宋体"/>
          <w:b/>
          <w:color w:val="000000"/>
          <w:sz w:val="28"/>
          <w:szCs w:val="28"/>
          <w:highlight w:val="none"/>
        </w:rPr>
        <w:t xml:space="preserve">项目概况：</w:t>
      </w:r>
      <w:bookmarkEnd w:id="103"/>
      <w:r/>
      <w:bookmarkEnd w:id="104"/>
      <w:r>
        <w:rPr>
          <w:rFonts w:hint="eastAsia" w:ascii="宋体" w:hAnsi="宋体" w:eastAsia="宋体" w:cs="宋体"/>
          <w:b/>
          <w:color w:val="000000"/>
          <w:sz w:val="28"/>
          <w:szCs w:val="28"/>
          <w:highlight w:val="none"/>
        </w:rPr>
      </w:r>
      <w:r/>
    </w:p>
    <w:p>
      <w:pPr>
        <w:pStyle w:val="1038"/>
        <w:ind w:firstLine="560"/>
        <w:spacing w:before="0" w:after="0"/>
        <w:rPr>
          <w:rFonts w:hint="eastAsia"/>
          <w:color w:val="000000"/>
          <w:highlight w:val="none"/>
        </w:rPr>
      </w:pPr>
      <w:r>
        <w:rPr>
          <w:rFonts w:hint="eastAsia" w:ascii="宋体" w:hAnsi="宋体" w:eastAsia="宋体" w:cs="宋体"/>
          <w:bCs/>
          <w:color w:val="000000"/>
          <w:sz w:val="28"/>
          <w:szCs w:val="28"/>
          <w:highlight w:val="none"/>
        </w:rPr>
        <w:t xml:space="preserve">本项目为</w:t>
      </w:r>
      <w:r>
        <w:rPr>
          <w:rFonts w:hint="eastAsia" w:ascii="宋体" w:hAnsi="宋体" w:eastAsia="宋体" w:cs="宋体"/>
          <w:color w:val="000000"/>
          <w:sz w:val="28"/>
          <w:szCs w:val="28"/>
          <w:highlight w:val="none"/>
          <w:lang w:eastAsia="zh-CN"/>
        </w:rPr>
        <w:t xml:space="preserve">江苏省计量检测基地(二期)实验室家具采购</w:t>
      </w:r>
      <w:r>
        <w:rPr>
          <w:rFonts w:hint="eastAsia" w:ascii="宋体" w:hAnsi="宋体" w:eastAsia="宋体" w:cs="宋体"/>
          <w:color w:val="000000"/>
          <w:sz w:val="28"/>
          <w:szCs w:val="28"/>
          <w:highlight w:val="none"/>
        </w:rPr>
        <w:t xml:space="preserve">，相关要求详见技术要求及商务要求。实验室家具分布明细详情</w:t>
      </w:r>
      <w:r>
        <w:rPr>
          <w:rFonts w:hint="eastAsia" w:ascii="宋体" w:hAnsi="宋体" w:eastAsia="宋体" w:cs="宋体"/>
          <w:color w:val="000000"/>
          <w:sz w:val="28"/>
          <w:szCs w:val="28"/>
          <w:highlight w:val="none"/>
          <w:lang w:val="en-US" w:eastAsia="zh-CN"/>
        </w:rPr>
        <w:t xml:space="preserve">详见</w:t>
      </w:r>
      <w:r>
        <w:rPr>
          <w:rFonts w:hint="eastAsia" w:ascii="宋体" w:hAnsi="宋体" w:eastAsia="宋体" w:cs="宋体"/>
          <w:color w:val="000000"/>
          <w:sz w:val="28"/>
          <w:szCs w:val="28"/>
          <w:highlight w:val="none"/>
        </w:rPr>
        <w:t xml:space="preserve">附件</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实验室家具分布明细详情表</w:t>
      </w:r>
      <w:r>
        <w:rPr>
          <w:rFonts w:hint="eastAsia" w:ascii="宋体" w:hAnsi="宋体" w:eastAsia="宋体" w:cs="宋体"/>
          <w:color w:val="000000"/>
          <w:sz w:val="28"/>
          <w:szCs w:val="28"/>
          <w:highlight w:val="none"/>
          <w:lang w:eastAsia="zh-CN"/>
        </w:rPr>
        <w:t xml:space="preserve">”。</w:t>
      </w:r>
      <w:r>
        <w:rPr>
          <w:rFonts w:hint="eastAsia"/>
          <w:color w:val="000000"/>
          <w:highlight w:val="none"/>
        </w:rPr>
      </w:r>
      <w:r/>
    </w:p>
    <w:p>
      <w:pPr>
        <w:pStyle w:val="1038"/>
        <w:numPr>
          <w:ilvl w:val="0"/>
          <w:numId w:val="41"/>
        </w:numPr>
        <w:rPr>
          <w:rFonts w:hint="eastAsia" w:ascii="宋体" w:hAnsi="宋体" w:eastAsia="宋体" w:cs="宋体"/>
          <w:b/>
          <w:color w:val="000000"/>
          <w:sz w:val="28"/>
          <w:szCs w:val="28"/>
          <w:highlight w:val="none"/>
        </w:rPr>
        <w:outlineLvl w:val="1"/>
      </w:pPr>
      <w:r/>
      <w:bookmarkStart w:id="107" w:name="_Toc21425"/>
      <w:r/>
      <w:bookmarkStart w:id="108" w:name="_Toc17578"/>
      <w:r>
        <w:rPr>
          <w:rFonts w:hint="eastAsia" w:ascii="宋体" w:hAnsi="宋体" w:eastAsia="宋体" w:cs="宋体"/>
          <w:b/>
          <w:color w:val="000000"/>
          <w:sz w:val="28"/>
          <w:szCs w:val="28"/>
          <w:highlight w:val="none"/>
        </w:rPr>
        <w:t xml:space="preserve">技术要求：</w:t>
      </w:r>
      <w:bookmarkEnd w:id="107"/>
      <w:r/>
      <w:bookmarkEnd w:id="108"/>
      <w:r>
        <w:rPr>
          <w:rFonts w:hint="eastAsia" w:ascii="宋体" w:hAnsi="宋体" w:eastAsia="宋体" w:cs="宋体"/>
          <w:b/>
          <w:color w:val="000000"/>
          <w:sz w:val="28"/>
          <w:szCs w:val="28"/>
          <w:highlight w:val="none"/>
        </w:rPr>
      </w:r>
      <w:r/>
    </w:p>
    <w:p>
      <w:pPr>
        <w:pStyle w:val="1137"/>
        <w:ind w:firstLine="241"/>
        <w:rPr>
          <w:rFonts w:hint="eastAsia" w:ascii="宋体" w:hAnsi="宋体" w:eastAsia="宋体" w:cs="宋体"/>
          <w:b/>
          <w:bCs/>
          <w:color w:val="000000"/>
          <w:sz w:val="28"/>
          <w:szCs w:val="28"/>
          <w:highlight w:val="none"/>
          <w:lang w:eastAsia="zh-CN"/>
        </w:rPr>
      </w:pPr>
      <w:r>
        <w:rPr>
          <w:rFonts w:hint="eastAsia" w:ascii="宋体" w:hAnsi="宋体" w:eastAsia="宋体" w:cs="宋体"/>
          <w:b/>
          <w:bCs/>
          <w:color w:val="000000"/>
          <w:sz w:val="28"/>
          <w:szCs w:val="28"/>
          <w:highlight w:val="none"/>
          <w:lang w:eastAsia="zh-CN"/>
        </w:rPr>
        <w:t xml:space="preserve">（一）江苏省计量检测基地(二期)实验室家具采购包含以下内容：</w:t>
      </w:r>
      <w:r>
        <w:rPr>
          <w:rFonts w:hint="eastAsia" w:ascii="宋体" w:hAnsi="宋体" w:eastAsia="宋体" w:cs="宋体"/>
          <w:b/>
          <w:bCs/>
          <w:color w:val="000000"/>
          <w:sz w:val="28"/>
          <w:szCs w:val="28"/>
          <w:highlight w:val="none"/>
          <w:lang w:eastAsia="zh-CN"/>
        </w:rPr>
      </w:r>
      <w:r/>
    </w:p>
    <w:p>
      <w:pPr>
        <w:pStyle w:val="1038"/>
        <w:ind w:firstLine="560"/>
        <w:spacing w:before="0" w:after="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分包1</w:t>
      </w:r>
      <w:r>
        <w:rPr>
          <w:rFonts w:hint="eastAsia" w:ascii="宋体" w:hAnsi="宋体" w:eastAsia="宋体" w:cs="宋体"/>
          <w:bCs/>
          <w:color w:val="000000"/>
          <w:sz w:val="28"/>
          <w:szCs w:val="28"/>
          <w:highlight w:val="none"/>
          <w:lang w:eastAsia="zh-CN"/>
        </w:rPr>
        <w:t xml:space="preserve">：</w:t>
      </w:r>
      <w:r>
        <w:rPr>
          <w:rFonts w:hint="eastAsia" w:ascii="宋体" w:hAnsi="宋体" w:eastAsia="宋体" w:cs="宋体"/>
          <w:bCs/>
          <w:color w:val="000000"/>
          <w:sz w:val="28"/>
          <w:szCs w:val="28"/>
          <w:highlight w:val="none"/>
        </w:rPr>
        <w:t xml:space="preserve">普通实验边台及货架</w:t>
      </w:r>
      <w:r>
        <w:rPr>
          <w:rFonts w:hint="eastAsia" w:ascii="宋体" w:hAnsi="宋体" w:eastAsia="宋体" w:cs="宋体"/>
          <w:bCs/>
          <w:color w:val="000000"/>
          <w:sz w:val="28"/>
          <w:szCs w:val="28"/>
          <w:highlight w:val="none"/>
        </w:rPr>
      </w:r>
      <w:r/>
    </w:p>
    <w:tbl>
      <w:tblPr>
        <w:tblW w:w="0" w:type="auto"/>
        <w:jc w:val="center"/>
        <w:tblInd w:w="-2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203"/>
        <w:gridCol w:w="1570"/>
        <w:gridCol w:w="2138"/>
        <w:gridCol w:w="687"/>
        <w:gridCol w:w="666"/>
        <w:gridCol w:w="3180"/>
      </w:tblGrid>
      <w:tr>
        <w:trPr>
          <w:trHeight w:val="560"/>
        </w:trPr>
        <w:tc>
          <w:tcPr>
            <w:tcW w:w="703"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b/>
                <w:bCs/>
                <w:color w:val="000000"/>
                <w:szCs w:val="21"/>
                <w:highlight w:val="none"/>
                <w:lang w:val="en-US" w:eastAsia="zh-CN" w:bidi="ar"/>
              </w:rPr>
            </w:pPr>
            <w:r>
              <w:rPr>
                <w:rFonts w:hint="eastAsia" w:ascii="宋体" w:hAnsi="宋体" w:eastAsia="宋体" w:cs="宋体"/>
                <w:b/>
                <w:bCs/>
                <w:color w:val="000000"/>
                <w:szCs w:val="21"/>
                <w:highlight w:val="none"/>
                <w:lang w:val="en-US" w:eastAsia="zh-CN" w:bidi="ar"/>
              </w:rPr>
              <w:t xml:space="preserve">序号</w:t>
            </w:r>
            <w:r>
              <w:rPr>
                <w:rFonts w:hint="eastAsia" w:ascii="宋体" w:hAnsi="宋体" w:eastAsia="宋体" w:cs="宋体"/>
                <w:b/>
                <w:bCs/>
                <w:color w:val="000000"/>
                <w:szCs w:val="21"/>
                <w:highlight w:val="none"/>
                <w:lang w:val="en-US" w:eastAsia="zh-CN" w:bidi="ar"/>
              </w:rPr>
            </w:r>
            <w:r/>
          </w:p>
        </w:tc>
        <w:tc>
          <w:tcPr>
            <w:tcW w:w="1203"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b/>
                <w:bCs/>
                <w:color w:val="000000"/>
                <w:szCs w:val="21"/>
                <w:highlight w:val="none"/>
                <w:lang w:val="en-US" w:eastAsia="zh-CN" w:bidi="ar"/>
              </w:rPr>
            </w:pPr>
            <w:r>
              <w:rPr>
                <w:rFonts w:hint="eastAsia" w:ascii="宋体" w:hAnsi="宋体" w:eastAsia="宋体" w:cs="宋体"/>
                <w:b/>
                <w:bCs/>
                <w:color w:val="000000"/>
                <w:szCs w:val="21"/>
                <w:highlight w:val="none"/>
                <w:lang w:val="en-US" w:eastAsia="zh-CN" w:bidi="ar"/>
              </w:rPr>
              <w:t xml:space="preserve">产品名称</w:t>
            </w:r>
            <w:r>
              <w:rPr>
                <w:rFonts w:hint="eastAsia" w:ascii="宋体" w:hAnsi="宋体" w:eastAsia="宋体" w:cs="宋体"/>
                <w:b/>
                <w:bCs/>
                <w:color w:val="000000"/>
                <w:szCs w:val="21"/>
                <w:highlight w:val="none"/>
                <w:lang w:val="en-US" w:eastAsia="zh-CN" w:bidi="ar"/>
              </w:rPr>
            </w:r>
            <w:r/>
          </w:p>
        </w:tc>
        <w:tc>
          <w:tcPr>
            <w:tcW w:w="1570"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b/>
                <w:bCs/>
                <w:color w:val="000000"/>
                <w:szCs w:val="21"/>
                <w:highlight w:val="none"/>
                <w:lang w:val="en-US" w:eastAsia="zh-CN" w:bidi="ar"/>
              </w:rPr>
            </w:pPr>
            <w:r>
              <w:rPr>
                <w:rFonts w:hint="eastAsia" w:ascii="宋体" w:hAnsi="宋体" w:eastAsia="宋体" w:cs="宋体"/>
                <w:b/>
                <w:bCs/>
                <w:color w:val="000000"/>
                <w:szCs w:val="21"/>
                <w:highlight w:val="none"/>
                <w:lang w:val="en-US" w:eastAsia="zh-CN" w:bidi="ar"/>
              </w:rPr>
              <w:t xml:space="preserve">规格</w:t>
            </w:r>
            <w:r>
              <w:rPr>
                <w:rFonts w:hint="eastAsia" w:ascii="宋体" w:hAnsi="宋体" w:eastAsia="宋体" w:cs="宋体"/>
                <w:b/>
                <w:bCs/>
                <w:color w:val="000000"/>
                <w:szCs w:val="21"/>
                <w:highlight w:val="none"/>
                <w:lang w:val="en-US" w:eastAsia="zh-CN" w:bidi="ar"/>
              </w:rPr>
            </w:r>
            <w:r/>
          </w:p>
        </w:tc>
        <w:tc>
          <w:tcPr>
            <w:tcW w:w="2138"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b/>
                <w:bCs/>
                <w:color w:val="000000"/>
                <w:szCs w:val="21"/>
                <w:highlight w:val="none"/>
                <w:lang w:val="en-US" w:eastAsia="zh-CN" w:bidi="ar"/>
              </w:rPr>
            </w:pPr>
            <w:r>
              <w:rPr>
                <w:rFonts w:hint="eastAsia" w:ascii="宋体" w:hAnsi="宋体" w:eastAsia="宋体" w:cs="宋体"/>
                <w:b/>
                <w:bCs/>
                <w:color w:val="000000"/>
                <w:szCs w:val="21"/>
                <w:highlight w:val="none"/>
                <w:lang w:val="en-US" w:eastAsia="zh-CN" w:bidi="ar"/>
              </w:rPr>
              <w:t xml:space="preserve">材质</w:t>
            </w:r>
            <w:r>
              <w:rPr>
                <w:rFonts w:hint="eastAsia" w:ascii="宋体" w:hAnsi="宋体" w:eastAsia="宋体" w:cs="宋体"/>
                <w:b/>
                <w:bCs/>
                <w:color w:val="000000"/>
                <w:szCs w:val="21"/>
                <w:highlight w:val="none"/>
                <w:lang w:val="en-US" w:eastAsia="zh-CN" w:bidi="ar"/>
              </w:rPr>
            </w:r>
            <w:r/>
          </w:p>
        </w:tc>
        <w:tc>
          <w:tcPr>
            <w:tcW w:w="687" w:type="dxa"/>
            <w:vAlign w:val="center"/>
            <w:textDirection w:val="lrTb"/>
            <w:noWrap w:val="false"/>
          </w:tcPr>
          <w:p>
            <w:pPr>
              <w:pStyle w:val="1038"/>
              <w:jc w:val="center"/>
              <w:keepLines w:val="0"/>
              <w:keepNext w:val="0"/>
              <w:pageBreakBefore w:val="0"/>
              <w:spacing w:line="240" w:lineRule="auto"/>
              <w:widowControl/>
              <w:rPr>
                <w:rFonts w:hint="eastAsia" w:ascii="宋体" w:hAnsi="宋体" w:eastAsia="宋体" w:cs="宋体"/>
                <w:b/>
                <w:bCs/>
                <w:color w:val="000000"/>
                <w:sz w:val="21"/>
                <w:szCs w:val="21"/>
                <w:highlight w:val="none"/>
                <w:lang w:val="en-US" w:eastAsia="zh-CN" w:bidi="ar"/>
              </w:rPr>
            </w:pPr>
            <w:r>
              <w:rPr>
                <w:rFonts w:hint="eastAsia" w:ascii="宋体" w:hAnsi="宋体" w:eastAsia="宋体" w:cs="宋体"/>
                <w:b/>
                <w:bCs/>
                <w:color w:val="000000"/>
                <w:szCs w:val="21"/>
                <w:highlight w:val="none"/>
                <w:lang w:bidi="ar"/>
              </w:rPr>
              <w:t xml:space="preserve">单位</w:t>
            </w:r>
            <w:r>
              <w:rPr>
                <w:rFonts w:hint="eastAsia" w:ascii="宋体" w:hAnsi="宋体" w:eastAsia="宋体" w:cs="宋体"/>
                <w:b/>
                <w:bCs/>
                <w:color w:val="000000"/>
                <w:sz w:val="21"/>
                <w:szCs w:val="21"/>
                <w:highlight w:val="none"/>
                <w:lang w:val="en-US" w:eastAsia="zh-CN" w:bidi="ar"/>
              </w:rPr>
            </w:r>
            <w:r/>
          </w:p>
        </w:tc>
        <w:tc>
          <w:tcPr>
            <w:tcW w:w="666"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b/>
                <w:bCs/>
                <w:color w:val="000000"/>
                <w:sz w:val="21"/>
                <w:szCs w:val="21"/>
                <w:highlight w:val="none"/>
                <w:lang w:val="en-US" w:eastAsia="zh-CN" w:bidi="ar"/>
              </w:rPr>
            </w:pPr>
            <w:r>
              <w:rPr>
                <w:rFonts w:hint="eastAsia" w:ascii="宋体" w:hAnsi="宋体" w:eastAsia="宋体" w:cs="宋体"/>
                <w:b/>
                <w:bCs/>
                <w:color w:val="000000"/>
                <w:szCs w:val="21"/>
                <w:highlight w:val="none"/>
                <w:lang w:bidi="ar"/>
              </w:rPr>
              <w:t xml:space="preserve">数量</w:t>
            </w:r>
            <w:r>
              <w:rPr>
                <w:rFonts w:hint="eastAsia" w:ascii="宋体" w:hAnsi="宋体" w:eastAsia="宋体" w:cs="宋体"/>
                <w:b/>
                <w:bCs/>
                <w:color w:val="000000"/>
                <w:sz w:val="21"/>
                <w:szCs w:val="21"/>
                <w:highlight w:val="none"/>
                <w:lang w:val="en-US" w:eastAsia="zh-CN" w:bidi="ar"/>
              </w:rPr>
            </w:r>
            <w:r/>
          </w:p>
        </w:tc>
        <w:tc>
          <w:tcPr>
            <w:tcW w:w="3180" w:type="dxa"/>
            <w:vAlign w:val="center"/>
            <w:textDirection w:val="lrTb"/>
            <w:noWrap w:val="false"/>
          </w:tcPr>
          <w:p>
            <w:pPr>
              <w:pStyle w:val="1038"/>
              <w:jc w:val="center"/>
              <w:keepLines w:val="0"/>
              <w:keepNext w:val="0"/>
              <w:pageBreakBefore w:val="0"/>
              <w:spacing w:before="0" w:after="0" w:line="240" w:lineRule="auto"/>
              <w:widowControl/>
              <w:rPr>
                <w:rFonts w:ascii="宋体" w:hAnsi="宋体" w:eastAsia="宋体" w:cs="宋体"/>
                <w:b/>
                <w:bCs/>
                <w:color w:val="000000"/>
                <w:szCs w:val="21"/>
                <w:highlight w:val="none"/>
                <w:lang w:val="en-US" w:eastAsia="zh-CN" w:bidi="ar"/>
              </w:rPr>
            </w:pPr>
            <w:r>
              <w:rPr>
                <w:rFonts w:hint="eastAsia" w:ascii="宋体" w:hAnsi="宋体" w:eastAsia="宋体" w:cs="宋体"/>
                <w:b/>
                <w:bCs/>
                <w:color w:val="000000"/>
                <w:szCs w:val="21"/>
                <w:highlight w:val="none"/>
                <w:lang w:val="en-US" w:eastAsia="zh-CN" w:bidi="ar"/>
              </w:rPr>
              <w:t xml:space="preserve">产品款式示意图</w:t>
            </w:r>
            <w:r>
              <w:rPr>
                <w:rFonts w:ascii="宋体" w:hAnsi="宋体" w:eastAsia="宋体" w:cs="宋体"/>
                <w:b/>
                <w:bCs/>
                <w:color w:val="000000"/>
                <w:szCs w:val="21"/>
                <w:highlight w:val="none"/>
                <w:lang w:val="en-US" w:eastAsia="zh-CN" w:bidi="ar"/>
              </w:rPr>
            </w:r>
            <w:r/>
          </w:p>
          <w:p>
            <w:pPr>
              <w:pStyle w:val="1038"/>
              <w:jc w:val="center"/>
              <w:keepLines w:val="0"/>
              <w:keepNext w:val="0"/>
              <w:pageBreakBefore w:val="0"/>
              <w:spacing w:before="0" w:after="0" w:line="240" w:lineRule="auto"/>
              <w:widowControl/>
              <w:rPr>
                <w:rFonts w:hint="eastAsia" w:ascii="宋体" w:hAnsi="宋体" w:eastAsia="宋体" w:cs="宋体"/>
                <w:b/>
                <w:bCs/>
                <w:color w:val="000000"/>
                <w:szCs w:val="21"/>
                <w:highlight w:val="none"/>
                <w:lang w:val="en-US" w:eastAsia="zh-CN" w:bidi="ar"/>
              </w:rPr>
            </w:pPr>
            <w:r>
              <w:rPr>
                <w:rFonts w:hint="eastAsia" w:ascii="宋体" w:hAnsi="宋体" w:eastAsia="宋体" w:cs="宋体"/>
                <w:b/>
                <w:bCs/>
                <w:color w:val="000000"/>
                <w:szCs w:val="21"/>
                <w:highlight w:val="none"/>
                <w:lang w:val="en-US" w:eastAsia="zh-CN" w:bidi="ar"/>
              </w:rPr>
              <w:t xml:space="preserve">（仅供参考，需进一步深化设计）</w:t>
            </w:r>
            <w:r>
              <w:rPr>
                <w:rFonts w:hint="eastAsia" w:ascii="宋体" w:hAnsi="宋体" w:eastAsia="宋体" w:cs="宋体"/>
                <w:b/>
                <w:bCs/>
                <w:color w:val="000000"/>
                <w:szCs w:val="21"/>
                <w:highlight w:val="none"/>
                <w:lang w:val="en-US" w:eastAsia="zh-CN" w:bidi="ar"/>
              </w:rPr>
            </w:r>
            <w:r/>
          </w:p>
        </w:tc>
      </w:tr>
      <w:tr>
        <w:trPr>
          <w:trHeight w:val="740"/>
        </w:trPr>
        <w:tc>
          <w:tcPr>
            <w:tcW w:w="703"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203" w:type="dxa"/>
            <w:vAlign w:val="center"/>
            <w:textDirection w:val="lrTb"/>
            <w:noWrap w:val="false"/>
          </w:tcPr>
          <w:p>
            <w:pPr>
              <w:pStyle w:val="1038"/>
              <w:jc w:val="center"/>
              <w:keepLines w:val="0"/>
              <w:keepNext w:val="0"/>
              <w:pageBreakBefore w:val="0"/>
              <w:spacing w:before="0" w:after="0" w:line="240" w:lineRule="auto"/>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b/>
                <w:bCs/>
                <w:i w:val="0"/>
                <w:iCs w:val="0"/>
                <w:color w:val="000000"/>
                <w:sz w:val="22"/>
                <w:szCs w:val="22"/>
                <w:highlight w:val="none"/>
                <w:u w:val="none"/>
                <w:lang w:val="en-US" w:eastAsia="zh-CN" w:bidi="ar"/>
              </w:rPr>
              <w:t xml:space="preserve">（核心产品）</w:t>
            </w:r>
            <w:r>
              <w:rPr>
                <w:rFonts w:ascii="宋体" w:hAnsi="宋体" w:eastAsia="宋体" w:cs="宋体"/>
                <w:i w:val="0"/>
                <w:iCs w:val="0"/>
                <w:color w:val="000000"/>
                <w:sz w:val="22"/>
                <w:szCs w:val="22"/>
                <w:highlight w:val="none"/>
                <w:u w:val="none"/>
                <w:lang w:val="en-US" w:eastAsia="zh-CN" w:bidi="ar"/>
              </w:rPr>
            </w:r>
            <w:r/>
          </w:p>
        </w:tc>
        <w:tc>
          <w:tcPr>
            <w:tcW w:w="1570"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2138"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w:t>
            </w:r>
            <w:r>
              <w:rPr>
                <w:rFonts w:hint="eastAsia" w:ascii="宋体" w:hAnsi="宋体" w:eastAsia="宋体" w:cs="宋体"/>
                <w:i w:val="0"/>
                <w:iCs w:val="0"/>
                <w:color w:val="000000"/>
                <w:sz w:val="22"/>
                <w:szCs w:val="22"/>
                <w:highlight w:val="none"/>
                <w:u w:val="none"/>
                <w:lang w:val="en-US" w:eastAsia="zh-CN" w:bidi="ar"/>
              </w:rPr>
              <w:t xml:space="preserve">详见技术要求</w:t>
            </w:r>
            <w:r>
              <w:rPr>
                <w:rFonts w:hint="eastAsia" w:ascii="宋体" w:hAnsi="宋体" w:eastAsia="宋体" w:cs="宋体"/>
                <w:i w:val="0"/>
                <w:iCs w:val="0"/>
                <w:color w:val="000000"/>
                <w:sz w:val="22"/>
                <w:szCs w:val="22"/>
                <w:highlight w:val="none"/>
                <w:u w:val="none"/>
                <w:lang w:val="en-US" w:eastAsia="zh-CN" w:bidi="ar"/>
              </w:rPr>
            </w:r>
            <w:r/>
          </w:p>
        </w:tc>
        <w:tc>
          <w:tcPr>
            <w:tcW w:w="687"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2"/>
                <w:szCs w:val="22"/>
                <w:highlight w:val="none"/>
                <w:u w:val="none"/>
                <w:lang w:val="en-US" w:eastAsia="zh-CN" w:bidi="ar"/>
              </w:rPr>
            </w:r>
            <w:r/>
          </w:p>
        </w:tc>
        <w:tc>
          <w:tcPr>
            <w:tcW w:w="666" w:type="dxa"/>
            <w:vAlign w:val="center"/>
            <w:textDirection w:val="lrTb"/>
            <w:noWrap w:val="false"/>
          </w:tcPr>
          <w:p>
            <w:pPr>
              <w:pStyle w:val="1038"/>
              <w:jc w:val="center"/>
              <w:keepLines w:val="0"/>
              <w:keepNext w:val="0"/>
              <w:pageBreakBefore w:val="0"/>
              <w:spacing w:before="0" w:after="0" w:line="240" w:lineRule="auto"/>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539</w:t>
            </w:r>
            <w:r>
              <w:rPr>
                <w:rFonts w:ascii="宋体" w:hAnsi="宋体" w:eastAsia="宋体" w:cs="宋体"/>
                <w:i w:val="0"/>
                <w:iCs w:val="0"/>
                <w:color w:val="000000"/>
                <w:sz w:val="22"/>
                <w:szCs w:val="22"/>
                <w:highlight w:val="none"/>
                <w:u w:val="none"/>
                <w:lang w:val="en-US" w:eastAsia="zh-CN" w:bidi="ar"/>
              </w:rPr>
            </w:r>
            <w:r/>
          </w:p>
        </w:tc>
        <w:tc>
          <w:tcPr>
            <w:tcW w:w="3180" w:type="dxa"/>
            <w:vAlign w:val="center"/>
            <w:vMerge w:val="restart"/>
            <w:textDirection w:val="lrTb"/>
            <w:noWrap w:val="false"/>
          </w:tcPr>
          <w:p>
            <w:pPr>
              <w:pStyle w:val="1038"/>
              <w:jc w:val="center"/>
              <w:keepLines w:val="0"/>
              <w:keepNext w:val="0"/>
              <w:pageBreakBefore w:val="0"/>
              <w:spacing w:before="0" w:after="0" w:line="240"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eastAsia="zh-CN"/>
              </w:rPr>
              <mc:AlternateContent>
                <mc:Choice Requires="wpg">
                  <w:drawing>
                    <wp:inline xmlns:wp="http://schemas.openxmlformats.org/drawingml/2006/wordprocessingDrawing" distT="0" distB="0" distL="0" distR="0">
                      <wp:extent cx="1878355" cy="1303096"/>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878355" cy="130309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47.9pt;height:102.6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i w:val="0"/>
                <w:iCs w:val="0"/>
                <w:color w:val="000000"/>
                <w:sz w:val="22"/>
                <w:szCs w:val="22"/>
                <w:highlight w:val="none"/>
                <w:u w:val="none"/>
              </w:rPr>
            </w:r>
            <w:r/>
          </w:p>
        </w:tc>
      </w:tr>
      <w:tr>
        <w:trPr>
          <w:trHeight w:val="740"/>
        </w:trPr>
        <w:tc>
          <w:tcPr>
            <w:tcW w:w="703"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SA"/>
              </w:rPr>
            </w:r>
            <w:r/>
          </w:p>
        </w:tc>
        <w:tc>
          <w:tcPr>
            <w:tcW w:w="1203" w:type="dxa"/>
            <w:vAlign w:val="center"/>
            <w:textDirection w:val="lrTb"/>
            <w:noWrap w:val="false"/>
          </w:tcPr>
          <w:p>
            <w:pPr>
              <w:pStyle w:val="1038"/>
              <w:jc w:val="center"/>
              <w:keepLines w:val="0"/>
              <w:keepNext w:val="0"/>
              <w:pageBreakBefore w:val="0"/>
              <w:spacing w:before="0" w:after="0" w:line="240" w:lineRule="auto"/>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ascii="宋体" w:hAnsi="宋体" w:eastAsia="宋体" w:cs="宋体"/>
                <w:i w:val="0"/>
                <w:iCs w:val="0"/>
                <w:color w:val="000000"/>
                <w:sz w:val="22"/>
                <w:szCs w:val="22"/>
                <w:highlight w:val="none"/>
                <w:u w:val="none"/>
                <w:lang w:val="en-US" w:eastAsia="zh-CN" w:bidi="ar"/>
              </w:rPr>
            </w:r>
            <w:r/>
          </w:p>
        </w:tc>
        <w:tc>
          <w:tcPr>
            <w:tcW w:w="1570"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lang w:val="en-US" w:eastAsia="zh-CN" w:bidi="ar"/>
              </w:rPr>
            </w:r>
            <w:r/>
          </w:p>
        </w:tc>
        <w:tc>
          <w:tcPr>
            <w:tcW w:w="2138"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全钢结构，12.7mm防静电理化板台面，</w:t>
            </w:r>
            <w:r>
              <w:rPr>
                <w:rFonts w:hint="eastAsia" w:ascii="宋体" w:hAnsi="宋体" w:eastAsia="宋体" w:cs="宋体"/>
                <w:i w:val="0"/>
                <w:iCs w:val="0"/>
                <w:color w:val="000000"/>
                <w:sz w:val="22"/>
                <w:szCs w:val="22"/>
                <w:highlight w:val="none"/>
                <w:u w:val="none"/>
                <w:lang w:val="en-US" w:eastAsia="zh-CN" w:bidi="ar"/>
              </w:rPr>
              <w:t xml:space="preserve">详见技术要求</w:t>
            </w:r>
            <w:r>
              <w:rPr>
                <w:rFonts w:hint="eastAsia" w:ascii="宋体" w:hAnsi="宋体" w:eastAsia="宋体" w:cs="宋体"/>
                <w:i w:val="0"/>
                <w:iCs w:val="0"/>
                <w:color w:val="000000"/>
                <w:sz w:val="22"/>
                <w:szCs w:val="22"/>
                <w:highlight w:val="none"/>
                <w:u w:val="none"/>
                <w:lang w:val="en-US" w:eastAsia="zh-CN" w:bidi="ar"/>
              </w:rPr>
            </w:r>
            <w:r/>
          </w:p>
        </w:tc>
        <w:tc>
          <w:tcPr>
            <w:tcW w:w="687"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2"/>
                <w:szCs w:val="22"/>
                <w:highlight w:val="none"/>
                <w:u w:val="none"/>
                <w:lang w:val="en-US" w:eastAsia="zh-CN" w:bidi="ar"/>
              </w:rPr>
            </w:r>
            <w:r/>
          </w:p>
        </w:tc>
        <w:tc>
          <w:tcPr>
            <w:tcW w:w="666" w:type="dxa"/>
            <w:vAlign w:val="center"/>
            <w:textDirection w:val="lrTb"/>
            <w:noWrap w:val="false"/>
          </w:tcPr>
          <w:p>
            <w:pPr>
              <w:pStyle w:val="1038"/>
              <w:jc w:val="center"/>
              <w:keepLines w:val="0"/>
              <w:keepNext w:val="0"/>
              <w:pageBreakBefore w:val="0"/>
              <w:spacing w:before="0" w:after="0" w:line="240" w:lineRule="auto"/>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41</w:t>
            </w:r>
            <w:r>
              <w:rPr>
                <w:rFonts w:ascii="宋体" w:hAnsi="宋体" w:eastAsia="宋体" w:cs="宋体"/>
                <w:i w:val="0"/>
                <w:iCs w:val="0"/>
                <w:color w:val="000000"/>
                <w:sz w:val="22"/>
                <w:szCs w:val="22"/>
                <w:highlight w:val="none"/>
                <w:u w:val="none"/>
                <w:lang w:val="en-US" w:eastAsia="zh-CN" w:bidi="ar"/>
              </w:rPr>
            </w:r>
            <w:r/>
          </w:p>
        </w:tc>
        <w:tc>
          <w:tcPr>
            <w:tcW w:w="3180" w:type="dxa"/>
            <w:vAlign w:val="center"/>
            <w:vMerge w:val="continue"/>
            <w:textDirection w:val="lrTb"/>
            <w:noWrap w:val="false"/>
          </w:tcPr>
          <w:p>
            <w:pPr>
              <w:pStyle w:val="1038"/>
              <w:jc w:val="center"/>
              <w:keepLines w:val="0"/>
              <w:keepNext w:val="0"/>
              <w:pageBreakBefore w:val="0"/>
              <w:spacing w:before="0" w:after="0" w:line="240"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775"/>
        </w:trPr>
        <w:tc>
          <w:tcPr>
            <w:tcW w:w="703"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lang w:val="en-US" w:eastAsia="zh-CN" w:bidi="ar-SA"/>
              </w:rPr>
            </w:r>
            <w:r/>
          </w:p>
        </w:tc>
        <w:tc>
          <w:tcPr>
            <w:tcW w:w="1203"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lang w:val="en-US" w:eastAsia="zh-CN" w:bidi="ar"/>
              </w:rPr>
            </w:r>
            <w:r/>
          </w:p>
        </w:tc>
        <w:tc>
          <w:tcPr>
            <w:tcW w:w="1570"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2000*750*850</w:t>
            </w:r>
            <w:r>
              <w:rPr>
                <w:rFonts w:hint="eastAsia" w:ascii="宋体" w:hAnsi="宋体" w:eastAsia="宋体" w:cs="宋体"/>
                <w:i w:val="0"/>
                <w:iCs w:val="0"/>
                <w:color w:val="000000"/>
                <w:sz w:val="22"/>
                <w:szCs w:val="22"/>
                <w:highlight w:val="none"/>
                <w:u w:val="none"/>
                <w:lang w:val="en-US" w:eastAsia="zh-CN" w:bidi="ar-SA"/>
              </w:rPr>
            </w:r>
            <w:r/>
          </w:p>
        </w:tc>
        <w:tc>
          <w:tcPr>
            <w:tcW w:w="2138"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w:t>
            </w:r>
            <w:r>
              <w:rPr>
                <w:rFonts w:hint="eastAsia" w:ascii="宋体" w:hAnsi="宋体" w:eastAsia="宋体" w:cs="宋体"/>
                <w:i w:val="0"/>
                <w:iCs w:val="0"/>
                <w:color w:val="000000"/>
                <w:sz w:val="22"/>
                <w:szCs w:val="22"/>
                <w:highlight w:val="none"/>
                <w:u w:val="none"/>
                <w:lang w:val="en-US" w:eastAsia="zh-CN" w:bidi="ar"/>
              </w:rPr>
              <w:t xml:space="preserve">详见技术要求</w:t>
            </w:r>
            <w:r>
              <w:rPr>
                <w:rFonts w:hint="eastAsia" w:ascii="宋体" w:hAnsi="宋体" w:eastAsia="宋体" w:cs="宋体"/>
                <w:i w:val="0"/>
                <w:iCs w:val="0"/>
                <w:color w:val="000000"/>
                <w:sz w:val="22"/>
                <w:szCs w:val="22"/>
                <w:highlight w:val="none"/>
                <w:u w:val="none"/>
                <w:lang w:val="en-US" w:eastAsia="zh-CN" w:bidi="ar"/>
              </w:rPr>
            </w:r>
            <w:r/>
          </w:p>
        </w:tc>
        <w:tc>
          <w:tcPr>
            <w:tcW w:w="687"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2"/>
                <w:szCs w:val="22"/>
                <w:highlight w:val="none"/>
                <w:u w:val="none"/>
                <w:lang w:val="en-US" w:eastAsia="zh-CN" w:bidi="ar"/>
              </w:rPr>
            </w:r>
            <w:r/>
          </w:p>
        </w:tc>
        <w:tc>
          <w:tcPr>
            <w:tcW w:w="666" w:type="dxa"/>
            <w:vAlign w:val="center"/>
            <w:textDirection w:val="lrTb"/>
            <w:noWrap w:val="false"/>
          </w:tcPr>
          <w:p>
            <w:pPr>
              <w:pStyle w:val="1038"/>
              <w:jc w:val="center"/>
              <w:keepLines w:val="0"/>
              <w:keepNext w:val="0"/>
              <w:pageBreakBefore w:val="0"/>
              <w:spacing w:before="0" w:after="0" w:line="240" w:lineRule="auto"/>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ascii="宋体" w:hAnsi="宋体" w:eastAsia="宋体" w:cs="宋体"/>
                <w:i w:val="0"/>
                <w:iCs w:val="0"/>
                <w:color w:val="000000"/>
                <w:sz w:val="22"/>
                <w:szCs w:val="22"/>
                <w:highlight w:val="none"/>
                <w:u w:val="none"/>
                <w:lang w:val="en-US" w:eastAsia="zh-CN" w:bidi="ar"/>
              </w:rPr>
            </w:r>
            <w:r/>
          </w:p>
        </w:tc>
        <w:tc>
          <w:tcPr>
            <w:tcW w:w="3180" w:type="dxa"/>
            <w:vAlign w:val="center"/>
            <w:vMerge w:val="continue"/>
            <w:textDirection w:val="lrTb"/>
            <w:noWrap w:val="false"/>
          </w:tcPr>
          <w:p>
            <w:pPr>
              <w:pStyle w:val="1038"/>
              <w:jc w:val="center"/>
              <w:keepLines w:val="0"/>
              <w:keepNext w:val="0"/>
              <w:pageBreakBefore w:val="0"/>
              <w:spacing w:before="0" w:after="0" w:line="240"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40"/>
        </w:trPr>
        <w:tc>
          <w:tcPr>
            <w:tcW w:w="703"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SA"/>
              </w:rPr>
            </w:r>
            <w:r/>
          </w:p>
        </w:tc>
        <w:tc>
          <w:tcPr>
            <w:tcW w:w="1203"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lang w:val="en-US" w:eastAsia="zh-CN" w:bidi="ar"/>
              </w:rPr>
            </w:r>
            <w:r/>
          </w:p>
        </w:tc>
        <w:tc>
          <w:tcPr>
            <w:tcW w:w="1570"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1000*750*850</w:t>
            </w:r>
            <w:r>
              <w:rPr>
                <w:rFonts w:hint="eastAsia" w:ascii="宋体" w:hAnsi="宋体" w:eastAsia="宋体" w:cs="宋体"/>
                <w:i w:val="0"/>
                <w:iCs w:val="0"/>
                <w:color w:val="000000"/>
                <w:sz w:val="22"/>
                <w:szCs w:val="22"/>
                <w:highlight w:val="none"/>
                <w:u w:val="none"/>
                <w:lang w:val="en-US" w:eastAsia="zh-CN" w:bidi="ar-SA"/>
              </w:rPr>
            </w:r>
            <w:r/>
          </w:p>
        </w:tc>
        <w:tc>
          <w:tcPr>
            <w:tcW w:w="2138"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w:t>
            </w:r>
            <w:r>
              <w:rPr>
                <w:rFonts w:hint="eastAsia" w:ascii="宋体" w:hAnsi="宋体" w:eastAsia="宋体" w:cs="宋体"/>
                <w:i w:val="0"/>
                <w:iCs w:val="0"/>
                <w:color w:val="000000"/>
                <w:sz w:val="22"/>
                <w:szCs w:val="22"/>
                <w:highlight w:val="none"/>
                <w:u w:val="none"/>
                <w:lang w:val="en-US" w:eastAsia="zh-CN" w:bidi="ar"/>
              </w:rPr>
              <w:t xml:space="preserve">详见技术要求</w:t>
            </w:r>
            <w:r>
              <w:rPr>
                <w:rFonts w:hint="eastAsia" w:ascii="宋体" w:hAnsi="宋体" w:eastAsia="宋体" w:cs="宋体"/>
                <w:i w:val="0"/>
                <w:iCs w:val="0"/>
                <w:color w:val="000000"/>
                <w:sz w:val="22"/>
                <w:szCs w:val="22"/>
                <w:highlight w:val="none"/>
                <w:u w:val="none"/>
                <w:lang w:val="en-US" w:eastAsia="zh-CN" w:bidi="ar"/>
              </w:rPr>
            </w:r>
            <w:r/>
          </w:p>
        </w:tc>
        <w:tc>
          <w:tcPr>
            <w:tcW w:w="687"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2"/>
                <w:szCs w:val="22"/>
                <w:highlight w:val="none"/>
                <w:u w:val="none"/>
                <w:lang w:val="en-US" w:eastAsia="zh-CN" w:bidi="ar"/>
              </w:rPr>
            </w:r>
            <w:r/>
          </w:p>
        </w:tc>
        <w:tc>
          <w:tcPr>
            <w:tcW w:w="666" w:type="dxa"/>
            <w:vAlign w:val="center"/>
            <w:textDirection w:val="lrTb"/>
            <w:noWrap w:val="false"/>
          </w:tcPr>
          <w:p>
            <w:pPr>
              <w:pStyle w:val="1038"/>
              <w:jc w:val="center"/>
              <w:keepLines w:val="0"/>
              <w:keepNext w:val="0"/>
              <w:pageBreakBefore w:val="0"/>
              <w:spacing w:before="0" w:after="0" w:line="240" w:lineRule="auto"/>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ascii="宋体" w:hAnsi="宋体" w:eastAsia="宋体" w:cs="宋体"/>
                <w:i w:val="0"/>
                <w:iCs w:val="0"/>
                <w:color w:val="000000"/>
                <w:sz w:val="22"/>
                <w:szCs w:val="22"/>
                <w:highlight w:val="none"/>
                <w:u w:val="none"/>
                <w:lang w:val="en-US" w:eastAsia="zh-CN" w:bidi="ar"/>
              </w:rPr>
            </w:r>
            <w:r/>
          </w:p>
        </w:tc>
        <w:tc>
          <w:tcPr>
            <w:tcW w:w="3180" w:type="dxa"/>
            <w:vAlign w:val="center"/>
            <w:vMerge w:val="continue"/>
            <w:textDirection w:val="lrTb"/>
            <w:noWrap w:val="false"/>
          </w:tcPr>
          <w:p>
            <w:pPr>
              <w:pStyle w:val="1038"/>
              <w:jc w:val="center"/>
              <w:keepLines w:val="0"/>
              <w:keepNext w:val="0"/>
              <w:pageBreakBefore w:val="0"/>
              <w:spacing w:before="0" w:after="0" w:line="240"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40"/>
        </w:trPr>
        <w:tc>
          <w:tcPr>
            <w:tcW w:w="703"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lang w:val="en-US" w:eastAsia="zh-CN" w:bidi="ar-SA"/>
              </w:rPr>
            </w:r>
            <w:r/>
          </w:p>
        </w:tc>
        <w:tc>
          <w:tcPr>
            <w:tcW w:w="1203"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lang w:val="en-US" w:eastAsia="zh-CN" w:bidi="ar"/>
              </w:rPr>
            </w:r>
            <w:r/>
          </w:p>
        </w:tc>
        <w:tc>
          <w:tcPr>
            <w:tcW w:w="1570"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6000*750*850</w:t>
            </w:r>
            <w:r>
              <w:rPr>
                <w:rFonts w:hint="eastAsia" w:ascii="宋体" w:hAnsi="宋体" w:eastAsia="宋体" w:cs="宋体"/>
                <w:i w:val="0"/>
                <w:iCs w:val="0"/>
                <w:color w:val="000000"/>
                <w:sz w:val="22"/>
                <w:szCs w:val="22"/>
                <w:highlight w:val="none"/>
                <w:u w:val="none"/>
                <w:lang w:val="en-US" w:eastAsia="zh-CN" w:bidi="ar-SA"/>
              </w:rPr>
            </w:r>
            <w:r/>
          </w:p>
        </w:tc>
        <w:tc>
          <w:tcPr>
            <w:tcW w:w="2138"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w:t>
            </w:r>
            <w:r>
              <w:rPr>
                <w:rFonts w:hint="eastAsia" w:ascii="宋体" w:hAnsi="宋体" w:eastAsia="宋体" w:cs="宋体"/>
                <w:i w:val="0"/>
                <w:iCs w:val="0"/>
                <w:color w:val="000000"/>
                <w:sz w:val="22"/>
                <w:szCs w:val="22"/>
                <w:highlight w:val="none"/>
                <w:u w:val="none"/>
                <w:lang w:val="en-US" w:eastAsia="zh-CN" w:bidi="ar"/>
              </w:rPr>
              <w:t xml:space="preserve">详见技术要求</w:t>
            </w:r>
            <w:r>
              <w:rPr>
                <w:rFonts w:hint="eastAsia" w:ascii="宋体" w:hAnsi="宋体" w:eastAsia="宋体" w:cs="宋体"/>
                <w:i w:val="0"/>
                <w:iCs w:val="0"/>
                <w:color w:val="000000"/>
                <w:sz w:val="22"/>
                <w:szCs w:val="22"/>
                <w:highlight w:val="none"/>
                <w:u w:val="none"/>
                <w:lang w:val="en-US" w:eastAsia="zh-CN" w:bidi="ar"/>
              </w:rPr>
            </w:r>
            <w:r/>
          </w:p>
        </w:tc>
        <w:tc>
          <w:tcPr>
            <w:tcW w:w="687"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2"/>
                <w:szCs w:val="22"/>
                <w:highlight w:val="none"/>
                <w:u w:val="none"/>
                <w:lang w:val="en-US" w:eastAsia="zh-CN" w:bidi="ar"/>
              </w:rPr>
            </w:r>
            <w:r/>
          </w:p>
        </w:tc>
        <w:tc>
          <w:tcPr>
            <w:tcW w:w="666" w:type="dxa"/>
            <w:vAlign w:val="center"/>
            <w:textDirection w:val="lrTb"/>
            <w:noWrap w:val="false"/>
          </w:tcPr>
          <w:p>
            <w:pPr>
              <w:pStyle w:val="1038"/>
              <w:jc w:val="center"/>
              <w:keepLines w:val="0"/>
              <w:keepNext w:val="0"/>
              <w:pageBreakBefore w:val="0"/>
              <w:spacing w:before="0" w:after="0" w:line="240" w:lineRule="auto"/>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ascii="宋体" w:hAnsi="宋体" w:eastAsia="宋体" w:cs="宋体"/>
                <w:i w:val="0"/>
                <w:iCs w:val="0"/>
                <w:color w:val="000000"/>
                <w:sz w:val="22"/>
                <w:szCs w:val="22"/>
                <w:highlight w:val="none"/>
                <w:u w:val="none"/>
                <w:lang w:val="en-US" w:eastAsia="zh-CN" w:bidi="ar"/>
              </w:rPr>
            </w:r>
            <w:r/>
          </w:p>
        </w:tc>
        <w:tc>
          <w:tcPr>
            <w:tcW w:w="3180" w:type="dxa"/>
            <w:vAlign w:val="center"/>
            <w:vMerge w:val="continue"/>
            <w:textDirection w:val="lrTb"/>
            <w:noWrap w:val="false"/>
          </w:tcPr>
          <w:p>
            <w:pPr>
              <w:pStyle w:val="1038"/>
              <w:jc w:val="center"/>
              <w:keepLines w:val="0"/>
              <w:keepNext w:val="0"/>
              <w:pageBreakBefore w:val="0"/>
              <w:spacing w:before="0" w:after="0" w:line="240"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794"/>
        </w:trPr>
        <w:tc>
          <w:tcPr>
            <w:tcW w:w="703"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cs="宋体"/>
                <w:i w:val="0"/>
                <w:iCs w:val="0"/>
                <w:color w:val="000000"/>
                <w:sz w:val="22"/>
                <w:szCs w:val="22"/>
                <w:highlight w:val="none"/>
                <w:u w:val="none"/>
                <w:lang w:val="en-US" w:eastAsia="zh-CN"/>
              </w:rPr>
              <w:suppressLineNumbers w:val="0"/>
            </w:pPr>
            <w:r>
              <w:rPr>
                <w:rFonts w:hint="eastAsia" w:ascii="宋体" w:hAnsi="宋体" w:cs="宋体"/>
                <w:i w:val="0"/>
                <w:iCs w:val="0"/>
                <w:color w:val="000000"/>
                <w:sz w:val="22"/>
                <w:szCs w:val="22"/>
                <w:highlight w:val="none"/>
                <w:u w:val="none"/>
                <w:lang w:val="en-US" w:eastAsia="zh-CN"/>
              </w:rPr>
              <w:t xml:space="preserve">6</w:t>
            </w:r>
            <w:r>
              <w:rPr>
                <w:rFonts w:hint="eastAsia" w:ascii="宋体" w:hAnsi="宋体" w:cs="宋体"/>
                <w:i w:val="0"/>
                <w:iCs w:val="0"/>
                <w:color w:val="000000"/>
                <w:sz w:val="22"/>
                <w:szCs w:val="22"/>
                <w:highlight w:val="none"/>
                <w:u w:val="none"/>
                <w:lang w:val="en-US" w:eastAsia="zh-CN"/>
              </w:rPr>
            </w:r>
            <w:r/>
          </w:p>
        </w:tc>
        <w:tc>
          <w:tcPr>
            <w:tcW w:w="1203"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lang w:val="en-US" w:eastAsia="zh-CN" w:bidi="ar"/>
              </w:rPr>
            </w:r>
            <w:r/>
          </w:p>
        </w:tc>
        <w:tc>
          <w:tcPr>
            <w:tcW w:w="1570"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6000*750*850</w:t>
            </w:r>
            <w:r>
              <w:rPr>
                <w:rFonts w:hint="eastAsia" w:ascii="宋体" w:hAnsi="宋体" w:eastAsia="宋体" w:cs="宋体"/>
                <w:i w:val="0"/>
                <w:iCs w:val="0"/>
                <w:color w:val="000000"/>
                <w:sz w:val="22"/>
                <w:szCs w:val="22"/>
                <w:highlight w:val="none"/>
                <w:u w:val="none"/>
                <w:lang w:val="en-US" w:eastAsia="zh-CN" w:bidi="ar"/>
              </w:rPr>
            </w:r>
            <w:r/>
          </w:p>
        </w:tc>
        <w:tc>
          <w:tcPr>
            <w:tcW w:w="2138"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lang w:val="en-US" w:eastAsia="zh-CN" w:bidi="ar"/>
              </w:rPr>
            </w:r>
            <w:r/>
          </w:p>
        </w:tc>
        <w:tc>
          <w:tcPr>
            <w:tcW w:w="687"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rPr>
                <w:rFonts w:hint="eastAsia" w:ascii="宋体" w:hAnsi="宋体" w:eastAsia="宋体" w:cs="宋体"/>
                <w:i w:val="0"/>
                <w:iCs w:val="0"/>
                <w:color w:val="000000"/>
                <w:sz w:val="22"/>
                <w:szCs w:val="22"/>
                <w:highlight w:val="none"/>
                <w:u w:val="none"/>
                <w:lang w:val="en-US" w:eastAsia="zh-CN" w:bidi="ar"/>
              </w:rPr>
            </w:r>
            <w:r/>
          </w:p>
        </w:tc>
        <w:tc>
          <w:tcPr>
            <w:tcW w:w="666"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c>
          <w:tcPr>
            <w:tcW w:w="3180" w:type="dxa"/>
            <w:vAlign w:val="center"/>
            <w:vMerge w:val="continue"/>
            <w:textDirection w:val="lrTb"/>
            <w:noWrap w:val="false"/>
          </w:tcPr>
          <w:p>
            <w:pPr>
              <w:pStyle w:val="1038"/>
              <w:jc w:val="center"/>
              <w:keepLines w:val="0"/>
              <w:keepNext w:val="0"/>
              <w:pageBreakBefore w:val="0"/>
              <w:spacing w:before="0" w:after="0" w:line="240" w:lineRule="auto"/>
              <w:rPr>
                <w:color w:val="000000"/>
                <w:highlight w:val="none"/>
              </w:rPr>
            </w:pPr>
            <w:r>
              <w:rPr>
                <w:color w:val="000000"/>
                <w:highlight w:val="none"/>
              </w:rPr>
            </w:r>
            <w:r/>
          </w:p>
        </w:tc>
      </w:tr>
      <w:tr>
        <w:trPr>
          <w:trHeight w:val="1908"/>
        </w:trPr>
        <w:tc>
          <w:tcPr>
            <w:tcW w:w="703" w:type="dxa"/>
            <w:vAlign w:val="center"/>
            <w:textDirection w:val="lrTb"/>
            <w:noWrap w:val="false"/>
          </w:tcPr>
          <w:p>
            <w:pPr>
              <w:pStyle w:val="1038"/>
              <w:jc w:val="center"/>
              <w:keepLines w:val="0"/>
              <w:keepNext w:val="0"/>
              <w:pageBreakBefore w:val="0"/>
              <w:spacing w:before="0" w:after="0" w:line="240" w:lineRule="auto"/>
              <w:widowControl/>
              <w:rPr>
                <w:rFonts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cs="宋体"/>
                <w:i w:val="0"/>
                <w:iCs w:val="0"/>
                <w:color w:val="000000"/>
                <w:sz w:val="22"/>
                <w:szCs w:val="22"/>
                <w:highlight w:val="none"/>
                <w:u w:val="none"/>
                <w:lang w:val="en-US" w:eastAsia="zh-CN"/>
              </w:rPr>
              <w:t xml:space="preserve">7</w:t>
            </w:r>
            <w:r>
              <w:rPr>
                <w:rFonts w:ascii="宋体" w:hAnsi="宋体" w:eastAsia="宋体" w:cs="宋体"/>
                <w:i w:val="0"/>
                <w:iCs w:val="0"/>
                <w:color w:val="000000"/>
                <w:sz w:val="22"/>
                <w:szCs w:val="22"/>
                <w:highlight w:val="none"/>
                <w:u w:val="none"/>
                <w:lang w:val="en-US" w:eastAsia="zh-CN" w:bidi="ar-SA"/>
              </w:rPr>
            </w:r>
            <w:r/>
          </w:p>
        </w:tc>
        <w:tc>
          <w:tcPr>
            <w:tcW w:w="1203"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lang w:val="en-US" w:eastAsia="zh-CN" w:bidi="ar"/>
              </w:rPr>
            </w:r>
            <w:r/>
          </w:p>
        </w:tc>
        <w:tc>
          <w:tcPr>
            <w:tcW w:w="1570"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lang w:val="en-US" w:eastAsia="zh-CN" w:bidi="ar-SA"/>
              </w:rPr>
            </w:r>
            <w:r/>
          </w:p>
        </w:tc>
        <w:tc>
          <w:tcPr>
            <w:tcW w:w="2138"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w:t>
            </w:r>
            <w:r>
              <w:rPr>
                <w:rFonts w:hint="eastAsia" w:ascii="宋体" w:hAnsi="宋体" w:eastAsia="宋体" w:cs="宋体"/>
                <w:i w:val="0"/>
                <w:iCs w:val="0"/>
                <w:color w:val="000000"/>
                <w:sz w:val="22"/>
                <w:szCs w:val="22"/>
                <w:highlight w:val="none"/>
                <w:u w:val="none"/>
                <w:lang w:val="en-US" w:eastAsia="zh-CN" w:bidi="ar"/>
              </w:rPr>
              <w:t xml:space="preserve">，详见技术要求</w:t>
            </w:r>
            <w:r>
              <w:rPr>
                <w:rFonts w:hint="eastAsia" w:ascii="宋体" w:hAnsi="宋体" w:eastAsia="宋体" w:cs="宋体"/>
                <w:i w:val="0"/>
                <w:iCs w:val="0"/>
                <w:color w:val="000000"/>
                <w:sz w:val="22"/>
                <w:szCs w:val="22"/>
                <w:highlight w:val="none"/>
                <w:u w:val="none"/>
                <w:lang w:val="en-US" w:eastAsia="zh-CN" w:bidi="ar-SA"/>
              </w:rPr>
            </w:r>
            <w:r/>
          </w:p>
        </w:tc>
        <w:tc>
          <w:tcPr>
            <w:tcW w:w="687"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2"/>
                <w:szCs w:val="22"/>
                <w:highlight w:val="none"/>
                <w:u w:val="none"/>
                <w:lang w:val="en-US" w:eastAsia="zh-CN" w:bidi="ar"/>
              </w:rPr>
            </w:r>
            <w:r/>
          </w:p>
        </w:tc>
        <w:tc>
          <w:tcPr>
            <w:tcW w:w="666" w:type="dxa"/>
            <w:vAlign w:val="center"/>
            <w:textDirection w:val="lrTb"/>
            <w:noWrap w:val="false"/>
          </w:tcPr>
          <w:p>
            <w:pPr>
              <w:pStyle w:val="1038"/>
              <w:jc w:val="center"/>
              <w:keepLines w:val="0"/>
              <w:keepNext w:val="0"/>
              <w:pageBreakBefore w:val="0"/>
              <w:spacing w:before="0" w:after="0" w:line="240" w:lineRule="auto"/>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211</w:t>
            </w:r>
            <w:r>
              <w:rPr>
                <w:rFonts w:ascii="宋体" w:hAnsi="宋体" w:eastAsia="宋体" w:cs="宋体"/>
                <w:i w:val="0"/>
                <w:iCs w:val="0"/>
                <w:color w:val="000000"/>
                <w:sz w:val="22"/>
                <w:szCs w:val="22"/>
                <w:highlight w:val="none"/>
                <w:u w:val="none"/>
                <w:lang w:val="en-US" w:eastAsia="zh-CN" w:bidi="ar"/>
              </w:rPr>
            </w:r>
            <w:r/>
          </w:p>
        </w:tc>
        <w:tc>
          <w:tcPr>
            <w:tcW w:w="3180" w:type="dxa"/>
            <w:vAlign w:val="center"/>
            <w:textDirection w:val="lrTb"/>
            <w:noWrap w:val="false"/>
          </w:tcPr>
          <w:p>
            <w:pPr>
              <w:pStyle w:val="1038"/>
              <w:jc w:val="center"/>
              <w:keepLines w:val="0"/>
              <w:keepNext w:val="0"/>
              <w:pageBreakBefore w:val="0"/>
              <w:spacing w:before="0" w:after="0" w:line="240" w:lineRule="auto"/>
              <w:rPr>
                <w:rFonts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sz w:val="22"/>
                <w:szCs w:val="22"/>
                <w:highlight w:val="none"/>
                <w:u w:val="none"/>
                <w:lang w:val="en-US" w:eastAsia="zh-CN" w:bidi="ar-SA"/>
              </w:rPr>
              <w:t xml:space="preserve">/</w:t>
            </w:r>
            <w:r>
              <w:rPr>
                <w:rFonts w:ascii="宋体" w:hAnsi="宋体" w:eastAsia="宋体" w:cs="宋体"/>
                <w:i w:val="0"/>
                <w:iCs w:val="0"/>
                <w:color w:val="000000"/>
                <w:sz w:val="22"/>
                <w:szCs w:val="22"/>
                <w:highlight w:val="none"/>
                <w:u w:val="none"/>
                <w:lang w:val="en-US" w:eastAsia="zh-CN" w:bidi="ar-SA"/>
              </w:rPr>
            </w:r>
            <w:r/>
          </w:p>
        </w:tc>
      </w:tr>
    </w:tbl>
    <w:p>
      <w:pPr>
        <w:pStyle w:val="1038"/>
        <w:ind w:firstLine="560"/>
        <w:keepLines w:val="0"/>
        <w:keepNext w:val="0"/>
        <w:pageBreakBefore w:val="0"/>
        <w:spacing w:before="0" w:after="0" w:line="24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1038"/>
        <w:ind w:firstLine="560"/>
        <w:keepLines w:val="0"/>
        <w:keepNext w:val="0"/>
        <w:pageBreakBefore w:val="0"/>
        <w:spacing w:before="0" w:after="0" w:line="24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1038"/>
        <w:ind w:firstLine="560"/>
        <w:keepLines w:val="0"/>
        <w:keepNext w:val="0"/>
        <w:pageBreakBefore w:val="0"/>
        <w:spacing w:before="0" w:after="0" w:line="24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分包2</w:t>
      </w:r>
      <w:r>
        <w:rPr>
          <w:rFonts w:hint="eastAsia" w:ascii="宋体" w:hAnsi="宋体" w:eastAsia="宋体" w:cs="宋体"/>
          <w:bCs/>
          <w:color w:val="000000"/>
          <w:sz w:val="28"/>
          <w:szCs w:val="28"/>
          <w:highlight w:val="none"/>
          <w:lang w:eastAsia="zh-CN"/>
        </w:rPr>
        <w:t xml:space="preserve">：</w:t>
      </w:r>
      <w:r>
        <w:rPr>
          <w:rFonts w:hint="eastAsia" w:ascii="宋体" w:hAnsi="宋体" w:eastAsia="宋体" w:cs="宋体"/>
          <w:bCs/>
          <w:color w:val="000000"/>
          <w:sz w:val="28"/>
          <w:szCs w:val="28"/>
          <w:highlight w:val="none"/>
        </w:rPr>
        <w:t xml:space="preserve">专用实验台、通风柜及配套设施</w:t>
      </w:r>
      <w:r>
        <w:rPr>
          <w:rFonts w:hint="eastAsia" w:ascii="宋体" w:hAnsi="宋体" w:eastAsia="宋体" w:cs="宋体"/>
          <w:bCs/>
          <w:color w:val="000000"/>
          <w:sz w:val="28"/>
          <w:szCs w:val="28"/>
          <w:highlight w:val="none"/>
        </w:rPr>
      </w:r>
      <w:r/>
    </w:p>
    <w:tbl>
      <w:tblPr>
        <w:tblW w:w="10030"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30"/>
        <w:gridCol w:w="1155"/>
        <w:gridCol w:w="1695"/>
        <w:gridCol w:w="2100"/>
        <w:gridCol w:w="735"/>
        <w:gridCol w:w="720"/>
        <w:gridCol w:w="3095"/>
      </w:tblGrid>
      <w:tr>
        <w:trPr>
          <w:trHeight w:val="1088"/>
        </w:trPr>
        <w:tc>
          <w:tcPr>
            <w:tcW w:w="530"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rPr>
                <w:rFonts w:hint="eastAsia" w:ascii="宋体" w:hAnsi="宋体" w:eastAsia="宋体" w:cs="宋体"/>
                <w:b/>
                <w:bCs/>
                <w:i w:val="0"/>
                <w:iCs w:val="0"/>
                <w:color w:val="000000"/>
                <w:sz w:val="21"/>
                <w:szCs w:val="21"/>
                <w:highlight w:val="none"/>
                <w:u w:val="none"/>
              </w:rPr>
            </w:r>
            <w:r/>
          </w:p>
        </w:tc>
        <w:tc>
          <w:tcPr>
            <w:tcW w:w="1155"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产品名称</w:t>
            </w:r>
            <w:r>
              <w:rPr>
                <w:rFonts w:hint="eastAsia" w:ascii="宋体" w:hAnsi="宋体" w:eastAsia="宋体" w:cs="宋体"/>
                <w:b/>
                <w:bCs/>
                <w:i w:val="0"/>
                <w:iCs w:val="0"/>
                <w:color w:val="000000"/>
                <w:sz w:val="21"/>
                <w:szCs w:val="21"/>
                <w:highlight w:val="none"/>
                <w:u w:val="none"/>
              </w:rPr>
            </w:r>
            <w:r/>
          </w:p>
        </w:tc>
        <w:tc>
          <w:tcPr>
            <w:tcW w:w="1695"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规格</w:t>
            </w:r>
            <w:r>
              <w:rPr>
                <w:rFonts w:hint="eastAsia" w:ascii="宋体" w:hAnsi="宋体" w:eastAsia="宋体" w:cs="宋体"/>
                <w:b/>
                <w:bCs/>
                <w:i w:val="0"/>
                <w:iCs w:val="0"/>
                <w:color w:val="000000"/>
                <w:sz w:val="21"/>
                <w:szCs w:val="21"/>
                <w:highlight w:val="none"/>
                <w:u w:val="none"/>
              </w:rPr>
            </w:r>
            <w:r/>
          </w:p>
        </w:tc>
        <w:tc>
          <w:tcPr>
            <w:tcW w:w="2100"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材质</w:t>
            </w:r>
            <w:r>
              <w:rPr>
                <w:rFonts w:hint="eastAsia" w:ascii="宋体" w:hAnsi="宋体" w:eastAsia="宋体" w:cs="宋体"/>
                <w:b/>
                <w:bCs/>
                <w:i w:val="0"/>
                <w:iCs w:val="0"/>
                <w:color w:val="000000"/>
                <w:sz w:val="21"/>
                <w:szCs w:val="21"/>
                <w:highlight w:val="none"/>
                <w:u w:val="none"/>
              </w:rPr>
            </w:r>
            <w:r/>
          </w:p>
        </w:tc>
        <w:tc>
          <w:tcPr>
            <w:tcW w:w="735"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rPr>
                <w:rFonts w:hint="eastAsia" w:ascii="宋体" w:hAnsi="宋体" w:eastAsia="宋体" w:cs="宋体"/>
                <w:b/>
                <w:bCs/>
                <w:i w:val="0"/>
                <w:iCs w:val="0"/>
                <w:color w:val="000000"/>
                <w:sz w:val="21"/>
                <w:szCs w:val="21"/>
                <w:highlight w:val="none"/>
                <w:u w:val="none"/>
              </w:rPr>
            </w:r>
            <w:r/>
          </w:p>
        </w:tc>
        <w:tc>
          <w:tcPr>
            <w:tcW w:w="720"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rPr>
                <w:rFonts w:hint="eastAsia" w:ascii="宋体" w:hAnsi="宋体" w:eastAsia="宋体" w:cs="宋体"/>
                <w:b/>
                <w:bCs/>
                <w:i w:val="0"/>
                <w:iCs w:val="0"/>
                <w:color w:val="000000"/>
                <w:sz w:val="21"/>
                <w:szCs w:val="21"/>
                <w:highlight w:val="none"/>
                <w:u w:val="none"/>
              </w:rPr>
            </w:r>
            <w:r/>
          </w:p>
        </w:tc>
        <w:tc>
          <w:tcPr>
            <w:tcW w:w="3095" w:type="dxa"/>
            <w:vAlign w:val="center"/>
            <w:textDirection w:val="lrTb"/>
            <w:noWrap w:val="false"/>
          </w:tcPr>
          <w:p>
            <w:pPr>
              <w:pStyle w:val="1038"/>
              <w:jc w:val="center"/>
              <w:keepLines w:val="0"/>
              <w:keepNext w:val="0"/>
              <w:pageBreakBefore w:val="0"/>
              <w:spacing w:before="0" w:after="0" w:line="240" w:lineRule="auto"/>
              <w:widowControl/>
              <w:rPr>
                <w:rFonts w:ascii="宋体" w:hAnsi="宋体" w:eastAsia="宋体" w:cs="宋体"/>
                <w:b/>
                <w:bCs/>
                <w:color w:val="000000"/>
                <w:szCs w:val="21"/>
                <w:highlight w:val="none"/>
                <w:lang w:val="en-US" w:eastAsia="zh-CN" w:bidi="ar"/>
              </w:rPr>
            </w:pPr>
            <w:r>
              <w:rPr>
                <w:rFonts w:hint="eastAsia" w:ascii="宋体" w:hAnsi="宋体" w:eastAsia="宋体" w:cs="宋体"/>
                <w:b/>
                <w:bCs/>
                <w:color w:val="000000"/>
                <w:szCs w:val="21"/>
                <w:highlight w:val="none"/>
                <w:lang w:val="en-US" w:eastAsia="zh-CN" w:bidi="ar"/>
              </w:rPr>
              <w:t xml:space="preserve">产品款式示意图</w:t>
            </w:r>
            <w:r>
              <w:rPr>
                <w:rFonts w:ascii="宋体" w:hAnsi="宋体" w:eastAsia="宋体" w:cs="宋体"/>
                <w:b/>
                <w:bCs/>
                <w:color w:val="000000"/>
                <w:szCs w:val="21"/>
                <w:highlight w:val="none"/>
                <w:lang w:val="en-US" w:eastAsia="zh-CN" w:bidi="ar"/>
              </w:rPr>
            </w:r>
            <w:r/>
          </w:p>
          <w:p>
            <w:pPr>
              <w:pStyle w:val="1038"/>
              <w:jc w:val="center"/>
              <w:keepLines w:val="0"/>
              <w:keepNext w:val="0"/>
              <w:pageBreakBefore w:val="0"/>
              <w:spacing w:before="0" w:after="0" w:line="240" w:lineRule="auto"/>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color w:val="000000"/>
                <w:szCs w:val="21"/>
                <w:highlight w:val="none"/>
                <w:lang w:val="en-US" w:eastAsia="zh-CN" w:bidi="ar"/>
              </w:rPr>
              <w:t xml:space="preserve">（仅供参考，需进一步深化设计）</w:t>
            </w:r>
            <w:r>
              <w:rPr>
                <w:rFonts w:hint="eastAsia" w:ascii="宋体" w:hAnsi="宋体" w:eastAsia="宋体" w:cs="宋体"/>
                <w:b/>
                <w:bCs/>
                <w:i w:val="0"/>
                <w:iCs w:val="0"/>
                <w:color w:val="000000"/>
                <w:sz w:val="21"/>
                <w:szCs w:val="21"/>
                <w:highlight w:val="none"/>
                <w:u w:val="none"/>
                <w:lang w:val="en-US" w:eastAsia="zh-CN" w:bidi="ar"/>
              </w:rPr>
            </w:r>
            <w:r/>
          </w:p>
        </w:tc>
      </w:tr>
      <w:tr>
        <w:trPr>
          <w:trHeight w:val="2181"/>
        </w:trPr>
        <w:tc>
          <w:tcPr>
            <w:tcW w:w="530"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（含全钢边台、1套中号水槽+水龙头、1套洗眼器、1套滴水架）全钢结构，12.7mm理化板台面，详见技术要求</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3095" w:type="dxa"/>
            <w:vAlign w:val="center"/>
            <w:vMerge w:val="restart"/>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1823123" cy="1383678"/>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823122" cy="138367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43.6pt;height:109.0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i w:val="0"/>
                <w:iCs w:val="0"/>
                <w:color w:val="000000"/>
                <w:sz w:val="22"/>
                <w:szCs w:val="22"/>
                <w:highlight w:val="none"/>
                <w:u w:val="none"/>
                <w:lang w:val="en-US" w:eastAsia="zh-CN" w:bidi="ar"/>
              </w:rPr>
            </w:r>
            <w:r/>
          </w:p>
        </w:tc>
      </w:tr>
      <w:tr>
        <w:trPr>
          <w:trHeight w:val="2076"/>
        </w:trPr>
        <w:tc>
          <w:tcPr>
            <w:tcW w:w="530"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1000*750*850</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（含全钢边台、1套中号水槽+水龙头、1套洗眼器、1套滴水架）全钢结构，12.7mm理化板台面，详见技术要求</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3095" w:type="dxa"/>
            <w:vAlign w:val="center"/>
            <w:vMerge w:val="continue"/>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840"/>
        </w:trPr>
        <w:tc>
          <w:tcPr>
            <w:tcW w:w="530"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3000*1500*850</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（含中央台、1套功能柱、3m中央试剂架）全钢结构，12.7mm理化板台面，详见技术要求</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095" w:type="dxa"/>
            <w:vAlign w:val="center"/>
            <w:vMerge w:val="restart"/>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1826971" cy="1374737"/>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1826971" cy="137473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43.9pt;height:108.2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i w:val="0"/>
                <w:iCs w:val="0"/>
                <w:color w:val="000000"/>
                <w:sz w:val="22"/>
                <w:szCs w:val="22"/>
                <w:highlight w:val="none"/>
                <w:u w:val="none"/>
                <w:lang w:val="en-US" w:eastAsia="zh-CN" w:bidi="ar"/>
              </w:rPr>
            </w:r>
            <w:r/>
          </w:p>
        </w:tc>
      </w:tr>
      <w:tr>
        <w:trPr>
          <w:trHeight w:val="700"/>
        </w:trPr>
        <w:tc>
          <w:tcPr>
            <w:tcW w:w="530"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3000*1500*850</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095" w:type="dxa"/>
            <w:vAlign w:val="center"/>
            <w:vMerge w:val="continue"/>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700"/>
        </w:trPr>
        <w:tc>
          <w:tcPr>
            <w:tcW w:w="530"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3750*1500*850</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b/>
                <w:bCs/>
                <w:i w:val="0"/>
                <w:iCs w:val="0"/>
                <w:color w:val="000000"/>
                <w:sz w:val="22"/>
                <w:szCs w:val="22"/>
                <w:highlight w:val="none"/>
                <w:u w:val="none"/>
              </w:rPr>
            </w:r>
            <w:r/>
          </w:p>
        </w:tc>
        <w:tc>
          <w:tcPr>
            <w:tcW w:w="735"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095" w:type="dxa"/>
            <w:vAlign w:val="center"/>
            <w:vMerge w:val="continue"/>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1060"/>
        </w:trPr>
        <w:tc>
          <w:tcPr>
            <w:tcW w:w="530"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3800*1500*850</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（含中央台、1套中号水槽+水龙头、1套洗眼器、1套滴水架、1套功能柱、2.9m中央试剂架）全钢结构，12.7mm理化板台面，详见技术要求</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095" w:type="dxa"/>
            <w:vAlign w:val="center"/>
            <w:vMerge w:val="continue"/>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700"/>
        </w:trPr>
        <w:tc>
          <w:tcPr>
            <w:tcW w:w="530"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3910*1500*850</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全钢结构，12.7mm防静电理化板台面，详见技术要求</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3095" w:type="dxa"/>
            <w:vAlign w:val="center"/>
            <w:vMerge w:val="continue"/>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940"/>
        </w:trPr>
        <w:tc>
          <w:tcPr>
            <w:tcW w:w="530"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4000*1500*850</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（含中央台、2套中号水槽+水龙头、1套洗眼器、2套滴水架）全钢结构，12.7mm理化板台面，详见技术要求</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rPr>
                <w:rFonts w:hint="eastAsia" w:ascii="宋体" w:hAnsi="宋体" w:eastAsia="宋体" w:cs="宋体"/>
                <w:i w:val="0"/>
                <w:iCs w:val="0"/>
                <w:color w:val="000000"/>
                <w:sz w:val="22"/>
                <w:szCs w:val="22"/>
                <w:highlight w:val="none"/>
                <w:u w:val="none"/>
              </w:rPr>
            </w:r>
            <w:r/>
          </w:p>
        </w:tc>
        <w:tc>
          <w:tcPr>
            <w:tcW w:w="3095" w:type="dxa"/>
            <w:vAlign w:val="center"/>
            <w:vMerge w:val="continue"/>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700"/>
        </w:trPr>
        <w:tc>
          <w:tcPr>
            <w:tcW w:w="530"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4500*1500*850</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3095" w:type="dxa"/>
            <w:vAlign w:val="center"/>
            <w:vMerge w:val="continue"/>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940"/>
        </w:trPr>
        <w:tc>
          <w:tcPr>
            <w:tcW w:w="530"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5000*1500*850</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（含中央台、2套中号水槽+水龙头、1套洗眼器、2套滴水架）全钢结构，12.7mm理化板台面，详见技术要求</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3095" w:type="dxa"/>
            <w:vAlign w:val="center"/>
            <w:vMerge w:val="continue"/>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1040"/>
        </w:trPr>
        <w:tc>
          <w:tcPr>
            <w:tcW w:w="530"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5250*1500*850</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（含中央台、1套中号水槽+水龙头、1套洗眼器、1套滴水架、1套功能柱、4.45m中央试剂架）全钢结构，12.7mm理化板台面，详见技术要求</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3095" w:type="dxa"/>
            <w:vAlign w:val="center"/>
            <w:vMerge w:val="continue"/>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1040"/>
        </w:trPr>
        <w:tc>
          <w:tcPr>
            <w:tcW w:w="530"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5250*1500*850</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（含中央台、3套中号水槽+水龙头、1套洗眼器、1套滴水架、1套功能柱、4.45m中央试剂架）全钢结构，12.7mm理化板台面，详见技术要求</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095" w:type="dxa"/>
            <w:vAlign w:val="center"/>
            <w:vMerge w:val="continue"/>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960"/>
        </w:trPr>
        <w:tc>
          <w:tcPr>
            <w:tcW w:w="530"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5250*1500*850</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3095" w:type="dxa"/>
            <w:vAlign w:val="center"/>
            <w:vMerge w:val="continue"/>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607"/>
        </w:trPr>
        <w:tc>
          <w:tcPr>
            <w:tcW w:w="530"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5500*1500*850</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（含中央台、1套中号水槽+水龙头、1套洗眼器、1套滴水架）全钢结构，12.7mm理化板台面，详见技术要求</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095" w:type="dxa"/>
            <w:vAlign w:val="center"/>
            <w:vMerge w:val="continue"/>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880"/>
        </w:trPr>
        <w:tc>
          <w:tcPr>
            <w:tcW w:w="530"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6000*1500*850</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（含中央台、1套中号水槽+水龙头、1套洗眼器、1套滴水架、1套功能柱、4.5m中央试剂架）全钢结构，12.7mm理化板台面，详见技术要求</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095" w:type="dxa"/>
            <w:vAlign w:val="center"/>
            <w:vMerge w:val="continue"/>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1809"/>
        </w:trPr>
        <w:tc>
          <w:tcPr>
            <w:tcW w:w="530"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6000*1500*850</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（含中央台、1套中号水槽+水龙头、1套洗眼器、1套滴水架、1套功能柱）全钢结构，12.7mm理化板台面，详见技术要求</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095" w:type="dxa"/>
            <w:vAlign w:val="center"/>
            <w:vMerge w:val="continue"/>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500"/>
        </w:trPr>
        <w:tc>
          <w:tcPr>
            <w:tcW w:w="530"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6000*1500*850</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全钢结构，12.7mm防静电理化板台面，详见技术要求</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3095" w:type="dxa"/>
            <w:vAlign w:val="center"/>
            <w:vMerge w:val="continue"/>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500"/>
        </w:trPr>
        <w:tc>
          <w:tcPr>
            <w:tcW w:w="530"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6000*1500*850</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3095" w:type="dxa"/>
            <w:vAlign w:val="center"/>
            <w:vMerge w:val="continue"/>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1180"/>
        </w:trPr>
        <w:tc>
          <w:tcPr>
            <w:tcW w:w="530"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6750*1500*850</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（含中央台、1套中号水槽+水龙头、1套洗眼器、1套滴水架、1套功能柱、5.85m中央试剂架）全钢结构，12.7mm理化板台面，详见技术要求</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095" w:type="dxa"/>
            <w:vAlign w:val="center"/>
            <w:vMerge w:val="continue"/>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760"/>
        </w:trPr>
        <w:tc>
          <w:tcPr>
            <w:tcW w:w="530"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高性能全钢通风柜</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2000*850*2350</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全钢结构，12.7mm理化板台面，5mm厚抗倍特板，详见技术要求</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3095" w:type="dxa"/>
            <w:vAlign w:val="center"/>
            <w:vMerge w:val="restart"/>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1475067" cy="1939354"/>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1475067" cy="19393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16.1pt;height:152.7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i w:val="0"/>
                <w:iCs w:val="0"/>
                <w:color w:val="000000"/>
                <w:sz w:val="22"/>
                <w:szCs w:val="22"/>
                <w:highlight w:val="none"/>
                <w:u w:val="none"/>
                <w:lang w:val="en-US" w:eastAsia="zh-CN" w:bidi="ar"/>
              </w:rPr>
            </w:r>
            <w:r/>
          </w:p>
        </w:tc>
      </w:tr>
      <w:tr>
        <w:trPr>
          <w:trHeight w:val="760"/>
        </w:trPr>
        <w:tc>
          <w:tcPr>
            <w:tcW w:w="530"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高性能全钢通风柜</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1500*850*2350</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全钢结构，12.7mm理化板台面，5mm厚抗倍特板，详见技术要求</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w:t>
            </w:r>
            <w:r>
              <w:rPr>
                <w:rFonts w:hint="eastAsia" w:ascii="宋体" w:hAnsi="宋体" w:eastAsia="宋体" w:cs="宋体"/>
                <w:i w:val="0"/>
                <w:iCs w:val="0"/>
                <w:color w:val="000000"/>
                <w:sz w:val="22"/>
                <w:szCs w:val="22"/>
                <w:highlight w:val="none"/>
                <w:u w:val="none"/>
              </w:rPr>
            </w:r>
            <w:r/>
          </w:p>
        </w:tc>
        <w:tc>
          <w:tcPr>
            <w:tcW w:w="3095" w:type="dxa"/>
            <w:vAlign w:val="center"/>
            <w:vMerge w:val="continue"/>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720"/>
        </w:trPr>
        <w:tc>
          <w:tcPr>
            <w:tcW w:w="530"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通风柜控制系统</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通风柜控制系统</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变风量控制，详见技术要求，详见技术要求</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1038"/>
              <w:jc w:val="center"/>
              <w:keepLines w:val="0"/>
              <w:keepNext w:val="0"/>
              <w:pageBreakBefore w:val="0"/>
              <w:spacing w:before="0" w:after="0" w:line="240" w:lineRule="auto"/>
              <w:widowControl/>
              <w:rPr>
                <w:rFonts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rPr>
                <w:rFonts w:ascii="宋体" w:hAnsi="宋体" w:eastAsia="宋体" w:cs="宋体"/>
                <w:i w:val="0"/>
                <w:iCs w:val="0"/>
                <w:color w:val="000000"/>
                <w:sz w:val="22"/>
                <w:szCs w:val="22"/>
                <w:highlight w:val="none"/>
                <w:u w:val="none"/>
                <w:lang w:val="en-US"/>
              </w:rPr>
            </w:r>
            <w:r/>
          </w:p>
        </w:tc>
        <w:tc>
          <w:tcPr>
            <w:tcW w:w="3095" w:type="dxa"/>
            <w:vAlign w:val="center"/>
            <w:textDirection w:val="lrTb"/>
            <w:noWrap w:val="false"/>
          </w:tcPr>
          <w:p>
            <w:pPr>
              <w:pStyle w:val="1038"/>
              <w:jc w:val="center"/>
              <w:keepLines w:val="0"/>
              <w:keepNext w:val="0"/>
              <w:pageBreakBefore w:val="0"/>
              <w:spacing w:before="0" w:after="0" w:line="240" w:lineRule="auto"/>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rPr>
                <w:rFonts w:ascii="宋体" w:hAnsi="宋体" w:eastAsia="宋体" w:cs="宋体"/>
                <w:i w:val="0"/>
                <w:iCs w:val="0"/>
                <w:color w:val="000000"/>
                <w:sz w:val="22"/>
                <w:szCs w:val="22"/>
                <w:highlight w:val="none"/>
                <w:u w:val="none"/>
                <w:lang w:val="en-US" w:eastAsia="zh-CN" w:bidi="ar"/>
              </w:rPr>
            </w:r>
            <w:r/>
          </w:p>
        </w:tc>
      </w:tr>
      <w:tr>
        <w:trPr>
          <w:trHeight w:val="1140"/>
        </w:trPr>
        <w:tc>
          <w:tcPr>
            <w:tcW w:w="530"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23</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万向抽气罩</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主体：总长度（四段式）1650mm±5% 以固定架为中心最大活动半径可达1600mm;导管、旋转关节、松紧按钮材质：聚丙烯（PP），详见技术要求</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90</w:t>
            </w:r>
            <w:r>
              <w:rPr>
                <w:rFonts w:hint="eastAsia" w:ascii="宋体" w:hAnsi="宋体" w:eastAsia="宋体" w:cs="宋体"/>
                <w:i w:val="0"/>
                <w:iCs w:val="0"/>
                <w:color w:val="000000"/>
                <w:sz w:val="22"/>
                <w:szCs w:val="22"/>
                <w:highlight w:val="none"/>
                <w:u w:val="none"/>
              </w:rPr>
            </w:r>
            <w:r/>
          </w:p>
        </w:tc>
        <w:tc>
          <w:tcPr>
            <w:tcW w:w="3095"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1431366" cy="1098062"/>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1431366" cy="109806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12.7pt;height:86.5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i w:val="0"/>
                <w:iCs w:val="0"/>
                <w:color w:val="000000"/>
                <w:sz w:val="22"/>
                <w:szCs w:val="22"/>
                <w:highlight w:val="none"/>
                <w:u w:val="none"/>
                <w:lang w:val="en-US" w:eastAsia="zh-CN" w:bidi="ar"/>
              </w:rPr>
            </w:r>
            <w:r/>
          </w:p>
        </w:tc>
      </w:tr>
      <w:tr>
        <w:trPr>
          <w:trHeight w:val="500"/>
        </w:trPr>
        <w:tc>
          <w:tcPr>
            <w:tcW w:w="530"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40L钢瓶架</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钢制</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40L钢瓶架</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w:t>
            </w:r>
            <w:r>
              <w:rPr>
                <w:rFonts w:hint="eastAsia" w:ascii="宋体" w:hAnsi="宋体" w:eastAsia="宋体" w:cs="宋体"/>
                <w:i w:val="0"/>
                <w:iCs w:val="0"/>
                <w:color w:val="000000"/>
                <w:sz w:val="22"/>
                <w:szCs w:val="22"/>
                <w:highlight w:val="none"/>
                <w:u w:val="none"/>
              </w:rPr>
            </w:r>
            <w:r/>
          </w:p>
        </w:tc>
        <w:tc>
          <w:tcPr>
            <w:tcW w:w="3095" w:type="dxa"/>
            <w:vAlign w:val="center"/>
            <w:textDirection w:val="lrTb"/>
            <w:noWrap w:val="false"/>
          </w:tcPr>
          <w:p>
            <w:pPr>
              <w:pStyle w:val="1038"/>
              <w:jc w:val="center"/>
              <w:keepLines w:val="0"/>
              <w:keepNext w:val="0"/>
              <w:pageBreakBefore w:val="0"/>
              <w:spacing w:before="0" w:after="0" w:line="240" w:lineRule="auto"/>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rPr>
                <w:rFonts w:ascii="宋体" w:hAnsi="宋体" w:eastAsia="宋体" w:cs="宋体"/>
                <w:i w:val="0"/>
                <w:iCs w:val="0"/>
                <w:color w:val="000000"/>
                <w:sz w:val="22"/>
                <w:szCs w:val="22"/>
                <w:highlight w:val="none"/>
                <w:u w:val="none"/>
                <w:lang w:val="en-US" w:eastAsia="zh-CN" w:bidi="ar"/>
              </w:rPr>
            </w:r>
            <w:r/>
          </w:p>
        </w:tc>
      </w:tr>
      <w:tr>
        <w:trPr>
          <w:trHeight w:val="257"/>
        </w:trPr>
        <w:tc>
          <w:tcPr>
            <w:tcW w:w="530"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置物架</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2000*800*2000</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置物架 2000*800*2000</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095" w:type="dxa"/>
            <w:vAlign w:val="center"/>
            <w:textDirection w:val="lrTb"/>
            <w:noWrap w:val="false"/>
          </w:tcPr>
          <w:p>
            <w:pPr>
              <w:pStyle w:val="1038"/>
              <w:jc w:val="center"/>
              <w:keepLines w:val="0"/>
              <w:keepNext w:val="0"/>
              <w:pageBreakBefore w:val="0"/>
              <w:spacing w:before="0" w:after="0" w:line="240" w:lineRule="auto"/>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rPr>
                <w:rFonts w:ascii="宋体" w:hAnsi="宋体" w:eastAsia="宋体" w:cs="宋体"/>
                <w:i w:val="0"/>
                <w:iCs w:val="0"/>
                <w:color w:val="000000"/>
                <w:sz w:val="22"/>
                <w:szCs w:val="22"/>
                <w:highlight w:val="none"/>
                <w:u w:val="none"/>
                <w:lang w:val="en-US" w:eastAsia="zh-CN" w:bidi="ar"/>
              </w:rPr>
            </w:r>
            <w:r/>
          </w:p>
        </w:tc>
      </w:tr>
      <w:tr>
        <w:trPr>
          <w:trHeight w:val="1875"/>
        </w:trPr>
        <w:tc>
          <w:tcPr>
            <w:tcW w:w="530"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仪器台</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9000*900*850</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rPr>
                <w:rFonts w:hint="eastAsia" w:ascii="宋体" w:hAnsi="宋体" w:eastAsia="宋体" w:cs="宋体"/>
                <w:i w:val="0"/>
                <w:iCs w:val="0"/>
                <w:color w:val="000000"/>
                <w:sz w:val="22"/>
                <w:szCs w:val="22"/>
                <w:highlight w:val="none"/>
                <w:u w:val="none"/>
              </w:rPr>
            </w:r>
            <w:r/>
          </w:p>
        </w:tc>
        <w:tc>
          <w:tcPr>
            <w:tcW w:w="3095"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1824317" cy="883177"/>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1824317" cy="88317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43.6pt;height:69.5pt;mso-wrap-distance-left:0.0pt;mso-wrap-distance-top:0.0pt;mso-wrap-distance-right:0.0pt;mso-wrap-distance-bottom:0.0pt;" stroked="f">
                      <v:path textboxrect="0,0,0,0"/>
                      <v:imagedata r:id="rId22" o:title=""/>
                    </v:shape>
                  </w:pict>
                </mc:Fallback>
              </mc:AlternateContent>
            </w:r>
            <w:r>
              <w:rPr>
                <w:rFonts w:hint="eastAsia" w:ascii="宋体" w:hAnsi="宋体" w:eastAsia="宋体" w:cs="宋体"/>
                <w:i w:val="0"/>
                <w:iCs w:val="0"/>
                <w:color w:val="000000"/>
                <w:sz w:val="22"/>
                <w:szCs w:val="22"/>
                <w:highlight w:val="none"/>
                <w:u w:val="none"/>
                <w:lang w:val="en-US" w:eastAsia="zh-CN" w:bidi="ar"/>
              </w:rPr>
            </w:r>
            <w:r/>
          </w:p>
        </w:tc>
      </w:tr>
      <w:tr>
        <w:trPr>
          <w:trHeight w:val="700"/>
        </w:trPr>
        <w:tc>
          <w:tcPr>
            <w:tcW w:w="530"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27</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吊顶拆除及修复</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m2</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部分实验室有吊顶,需走风管，后期吊顶拆除及修复工程量</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m2</w:t>
            </w:r>
            <w:r>
              <w:rPr>
                <w:rFonts w:hint="eastAsia" w:ascii="宋体" w:hAnsi="宋体" w:eastAsia="宋体" w:cs="宋体"/>
                <w:i w:val="0"/>
                <w:iCs w:val="0"/>
                <w:color w:val="000000"/>
                <w:sz w:val="22"/>
                <w:szCs w:val="22"/>
                <w:highlight w:val="none"/>
                <w:u w:val="none"/>
              </w:rPr>
            </w:r>
            <w:r/>
          </w:p>
        </w:tc>
        <w:tc>
          <w:tcPr>
            <w:tcW w:w="720"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257</w:t>
            </w:r>
            <w:r>
              <w:rPr>
                <w:rFonts w:hint="eastAsia" w:ascii="宋体" w:hAnsi="宋体" w:eastAsia="宋体" w:cs="宋体"/>
                <w:i w:val="0"/>
                <w:iCs w:val="0"/>
                <w:color w:val="000000"/>
                <w:sz w:val="22"/>
                <w:szCs w:val="22"/>
                <w:highlight w:val="none"/>
                <w:u w:val="none"/>
              </w:rPr>
            </w:r>
            <w:r/>
          </w:p>
        </w:tc>
        <w:tc>
          <w:tcPr>
            <w:tcW w:w="3095" w:type="dxa"/>
            <w:vAlign w:val="center"/>
            <w:textDirection w:val="lrTb"/>
            <w:noWrap w:val="false"/>
          </w:tcPr>
          <w:p>
            <w:pPr>
              <w:pStyle w:val="1038"/>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部分实验室有吊顶,需走风管，后期吊顶拆除及修复工程量</w:t>
            </w:r>
            <w:r>
              <w:rPr>
                <w:rFonts w:hint="eastAsia" w:ascii="宋体" w:hAnsi="宋体" w:eastAsia="宋体" w:cs="宋体"/>
                <w:i w:val="0"/>
                <w:iCs w:val="0"/>
                <w:color w:val="000000"/>
                <w:sz w:val="22"/>
                <w:szCs w:val="22"/>
                <w:highlight w:val="none"/>
                <w:u w:val="none"/>
                <w:lang w:val="en-US" w:eastAsia="zh-CN" w:bidi="ar"/>
              </w:rPr>
            </w:r>
            <w:r/>
          </w:p>
        </w:tc>
      </w:tr>
    </w:tbl>
    <w:p>
      <w:pPr>
        <w:pStyle w:val="1038"/>
        <w:rPr>
          <w:rFonts w:hint="eastAsia"/>
          <w:color w:val="000000"/>
          <w:highlight w:val="none"/>
          <w:lang w:eastAsia="zh-CN"/>
        </w:rPr>
      </w:pPr>
      <w:r>
        <w:rPr>
          <w:rFonts w:hint="eastAsia"/>
          <w:color w:val="000000"/>
          <w:highlight w:val="none"/>
          <w:lang w:eastAsia="zh-CN"/>
        </w:rPr>
      </w:r>
      <w:r/>
    </w:p>
    <w:p>
      <w:pPr>
        <w:pStyle w:val="1137"/>
        <w:ind w:firstLine="241"/>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（二）技术</w:t>
      </w:r>
      <w:r>
        <w:rPr>
          <w:rFonts w:hint="eastAsia" w:ascii="宋体" w:hAnsi="宋体" w:eastAsia="宋体" w:cs="宋体"/>
          <w:b/>
          <w:bCs/>
          <w:color w:val="000000"/>
          <w:sz w:val="28"/>
          <w:szCs w:val="28"/>
          <w:highlight w:val="none"/>
          <w:lang w:val="en-US" w:eastAsia="zh-CN"/>
        </w:rPr>
        <w:t xml:space="preserve">要求</w:t>
      </w:r>
      <w:r>
        <w:rPr>
          <w:rFonts w:hint="eastAsia" w:ascii="宋体" w:hAnsi="宋体" w:eastAsia="宋体" w:cs="宋体"/>
          <w:b/>
          <w:bCs/>
          <w:color w:val="000000"/>
          <w:sz w:val="28"/>
          <w:szCs w:val="28"/>
          <w:highlight w:val="none"/>
        </w:rPr>
        <w:t xml:space="preserve">（技术指标及功能要求）：</w:t>
      </w:r>
      <w:r>
        <w:rPr>
          <w:rFonts w:hint="eastAsia" w:ascii="宋体" w:hAnsi="宋体" w:eastAsia="宋体" w:cs="宋体"/>
          <w:b/>
          <w:bCs/>
          <w:color w:val="000000"/>
          <w:sz w:val="28"/>
          <w:szCs w:val="28"/>
          <w:highlight w:val="none"/>
        </w:rPr>
      </w:r>
      <w:r/>
    </w:p>
    <w:p>
      <w:pPr>
        <w:pStyle w:val="1038"/>
        <w:ind w:firstLine="562"/>
        <w:spacing w:before="0" w:after="0"/>
        <w:rPr>
          <w:rFonts w:hint="eastAsia" w:ascii="宋体" w:hAnsi="宋体" w:eastAsia="宋体" w:cs="宋体"/>
          <w:b/>
          <w:bCs w:val="0"/>
          <w:color w:val="000000"/>
          <w:sz w:val="28"/>
          <w:szCs w:val="28"/>
          <w:highlight w:val="none"/>
        </w:rPr>
      </w:pPr>
      <w:r/>
      <w:bookmarkStart w:id="109" w:name="_Toc113485530"/>
      <w:r>
        <w:rPr>
          <w:rFonts w:hint="eastAsia" w:ascii="宋体" w:hAnsi="宋体" w:eastAsia="宋体" w:cs="宋体"/>
          <w:b/>
          <w:bCs w:val="0"/>
          <w:color w:val="000000"/>
          <w:sz w:val="28"/>
          <w:szCs w:val="28"/>
          <w:highlight w:val="none"/>
        </w:rPr>
        <w:t xml:space="preserve">分包1</w:t>
      </w:r>
      <w:r>
        <w:rPr>
          <w:rFonts w:hint="eastAsia" w:ascii="宋体" w:hAnsi="宋体" w:eastAsia="宋体" w:cs="宋体"/>
          <w:b/>
          <w:bCs w:val="0"/>
          <w:color w:val="000000"/>
          <w:sz w:val="28"/>
          <w:szCs w:val="28"/>
          <w:highlight w:val="none"/>
          <w:lang w:eastAsia="zh-CN"/>
        </w:rPr>
        <w:t xml:space="preserve">：</w:t>
      </w:r>
      <w:r>
        <w:rPr>
          <w:rFonts w:hint="eastAsia" w:ascii="宋体" w:hAnsi="宋体" w:eastAsia="宋体" w:cs="宋体"/>
          <w:b/>
          <w:bCs w:val="0"/>
          <w:color w:val="000000"/>
          <w:sz w:val="28"/>
          <w:szCs w:val="28"/>
          <w:highlight w:val="none"/>
        </w:rPr>
        <w:t xml:space="preserve">普通实验边台及货架</w:t>
      </w:r>
      <w:r>
        <w:rPr>
          <w:rFonts w:hint="eastAsia" w:ascii="宋体" w:hAnsi="宋体" w:eastAsia="宋体" w:cs="宋体"/>
          <w:b/>
          <w:bCs w:val="0"/>
          <w:color w:val="000000"/>
          <w:sz w:val="28"/>
          <w:szCs w:val="28"/>
          <w:highlight w:val="none"/>
        </w:rPr>
      </w:r>
      <w:r/>
    </w:p>
    <w:p>
      <w:pPr>
        <w:pStyle w:val="1038"/>
        <w:ind w:firstLine="482"/>
        <w:keepLines w:val="0"/>
        <w:keepNext w:val="0"/>
        <w:pageBreakBefore w:val="0"/>
        <w:spacing w:line="240" w:lineRule="auto"/>
        <w:widowControl w:val="off"/>
        <w:rPr>
          <w:rFonts w:hint="eastAsia" w:ascii="宋体" w:hAnsi="宋体" w:eastAsia="宋体" w:cs="宋体"/>
          <w:b/>
          <w:bCs/>
          <w:color w:val="000000"/>
          <w:sz w:val="24"/>
          <w:szCs w:val="24"/>
          <w:highlight w:val="none"/>
          <w:lang w:val="en-US" w:eastAsia="zh-CN"/>
        </w:rPr>
        <w:outlineLvl w:val="2"/>
      </w:pPr>
      <w:r>
        <w:rPr>
          <w:rFonts w:hint="eastAsia" w:ascii="宋体" w:hAnsi="宋体" w:eastAsia="宋体" w:cs="宋体"/>
          <w:b/>
          <w:bCs/>
          <w:color w:val="000000"/>
          <w:sz w:val="24"/>
          <w:szCs w:val="24"/>
          <w:highlight w:val="none"/>
          <w:lang w:val="en-US" w:eastAsia="zh-CN"/>
        </w:rPr>
        <w:t xml:space="preserve">1、全钢边台</w:t>
      </w:r>
      <w:r>
        <w:rPr>
          <w:rFonts w:hint="eastAsia" w:ascii="宋体" w:hAnsi="宋体" w:eastAsia="宋体" w:cs="宋体"/>
          <w:b/>
          <w:bCs/>
          <w:color w:val="000000"/>
          <w:sz w:val="24"/>
          <w:szCs w:val="24"/>
          <w:highlight w:val="none"/>
          <w:lang w:val="en-US" w:eastAsia="zh-CN"/>
        </w:rPr>
      </w:r>
      <w:r/>
    </w:p>
    <w:p>
      <w:pPr>
        <w:pStyle w:val="1038"/>
        <w:ind w:firstLine="480"/>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rPr>
        <w:outlineLvl w:val="2"/>
      </w:pPr>
      <w:r>
        <w:rPr>
          <w:rFonts w:hint="eastAsia" w:ascii="宋体" w:hAnsi="宋体" w:eastAsia="宋体" w:cs="宋体"/>
          <w:b w:val="0"/>
          <w:bCs w:val="0"/>
          <w:color w:val="000000"/>
          <w:sz w:val="24"/>
          <w:szCs w:val="24"/>
          <w:highlight w:val="none"/>
          <w:lang w:val="en-US" w:eastAsia="zh-CN"/>
        </w:rPr>
        <w:t xml:space="preserve">1.1 台面</w:t>
      </w:r>
      <w:r>
        <w:rPr>
          <w:rFonts w:hint="eastAsia" w:ascii="宋体" w:hAnsi="宋体" w:eastAsia="宋体" w:cs="宋体"/>
          <w:b w:val="0"/>
          <w:bCs w:val="0"/>
          <w:color w:val="000000"/>
          <w:sz w:val="24"/>
          <w:szCs w:val="24"/>
          <w:highlight w:val="none"/>
          <w:lang w:val="en-US" w:eastAsia="zh-CN"/>
        </w:rPr>
      </w:r>
      <w:r/>
    </w:p>
    <w:p>
      <w:pPr>
        <w:pStyle w:val="1038"/>
        <w:ind w:firstLine="480"/>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rPr>
        <w:outlineLvl w:val="3"/>
      </w:pPr>
      <w:r>
        <w:rPr>
          <w:rFonts w:hint="eastAsia" w:ascii="宋体" w:hAnsi="宋体" w:eastAsia="宋体" w:cs="宋体"/>
          <w:b w:val="0"/>
          <w:bCs w:val="0"/>
          <w:color w:val="000000"/>
          <w:sz w:val="24"/>
          <w:szCs w:val="24"/>
          <w:highlight w:val="none"/>
          <w:lang w:val="en-US" w:eastAsia="zh-CN"/>
        </w:rPr>
        <w:t xml:space="preserve">1.1.1抗静电物理板台面</w:t>
      </w:r>
      <w:r>
        <w:rPr>
          <w:rFonts w:hint="eastAsia" w:ascii="宋体" w:hAnsi="宋体" w:eastAsia="宋体" w:cs="宋体"/>
          <w:b w:val="0"/>
          <w:bCs w:val="0"/>
          <w:color w:val="000000"/>
          <w:sz w:val="24"/>
          <w:szCs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为保证台面材料质量以及从环保角度保障实验室人员健康，台面材料需符合以下技术参数及要求：</w:t>
      </w:r>
      <w:r>
        <w:rPr>
          <w:rFonts w:hint="eastAsia" w:ascii="宋体" w:hAnsi="宋体" w:eastAsia="宋体" w:cs="宋体"/>
          <w:color w:val="000000"/>
          <w:sz w:val="24"/>
          <w:szCs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1）台面选用≥12.7mm厚抗静电物理板。</w:t>
      </w:r>
      <w:r>
        <w:rPr>
          <w:rFonts w:hint="eastAsia" w:ascii="宋体" w:hAnsi="宋体" w:eastAsia="宋体" w:cs="宋体"/>
          <w:color w:val="000000"/>
          <w:sz w:val="24"/>
          <w:szCs w:val="24"/>
          <w:highlight w:val="none"/>
          <w:lang w:val="en-US" w:eastAsia="zh-CN"/>
        </w:rPr>
      </w:r>
      <w:r/>
    </w:p>
    <w:p>
      <w:pPr>
        <w:pStyle w:val="1038"/>
        <w:numPr>
          <w:ilvl w:val="0"/>
          <w:numId w:val="0"/>
        </w:numPr>
        <w:ind w:firstLine="480"/>
        <w:jc w:val="left"/>
        <w:keepLines w:val="0"/>
        <w:keepNext w:val="0"/>
        <w:pageBreakBefore w:val="0"/>
        <w:spacing w:line="24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ascii="宋体" w:hAnsi="宋体" w:eastAsia="宋体" w:cs="宋体"/>
          <w:color w:val="000000"/>
          <w:sz w:val="24"/>
          <w:szCs w:val="24"/>
          <w:highlight w:val="none"/>
        </w:rPr>
        <w:t xml:space="preserve">提供第三方检测机构出具</w:t>
      </w:r>
      <w:r>
        <w:rPr>
          <w:rFonts w:hint="eastAsia" w:ascii="宋体" w:hAnsi="宋体" w:eastAsia="宋体" w:cs="宋体"/>
          <w:color w:val="000000"/>
          <w:sz w:val="24"/>
          <w:szCs w:val="24"/>
          <w:highlight w:val="none"/>
          <w:lang w:val="en-US" w:eastAsia="zh-CN"/>
        </w:rPr>
        <w:t xml:space="preserve">的</w:t>
      </w:r>
      <w:r>
        <w:rPr>
          <w:rFonts w:ascii="宋体" w:hAnsi="宋体" w:eastAsia="宋体" w:cs="宋体"/>
          <w:color w:val="000000"/>
          <w:sz w:val="24"/>
          <w:szCs w:val="24"/>
          <w:highlight w:val="none"/>
        </w:rPr>
        <w:t xml:space="preserve">有效</w:t>
      </w:r>
      <w:r>
        <w:rPr>
          <w:rFonts w:hint="eastAsia" w:ascii="宋体" w:hAnsi="宋体" w:eastAsia="宋体" w:cs="宋体"/>
          <w:color w:val="000000"/>
          <w:sz w:val="24"/>
          <w:szCs w:val="24"/>
          <w:highlight w:val="none"/>
          <w:lang w:val="en-US" w:eastAsia="zh-CN"/>
        </w:rPr>
        <w:t xml:space="preserve">检测报告</w:t>
      </w:r>
      <w:r>
        <w:rPr>
          <w:rFonts w:ascii="宋体" w:hAnsi="宋体" w:eastAsia="宋体" w:cs="宋体"/>
          <w:color w:val="000000"/>
          <w:sz w:val="24"/>
          <w:szCs w:val="24"/>
          <w:highlight w:val="none"/>
        </w:rPr>
        <w:t xml:space="preserve">，点对点电阻、系统电阻符合实验室防静电相关标准要求。</w:t>
      </w:r>
      <w:r>
        <w:rPr>
          <w:rFonts w:ascii="宋体" w:hAnsi="宋体" w:eastAsia="宋体" w:cs="宋体"/>
          <w:color w:val="000000"/>
          <w:sz w:val="24"/>
          <w:szCs w:val="24"/>
          <w:highlight w:val="none"/>
        </w:rPr>
      </w:r>
      <w:r/>
    </w:p>
    <w:p>
      <w:pPr>
        <w:pStyle w:val="1038"/>
        <w:numPr>
          <w:ilvl w:val="0"/>
          <w:numId w:val="0"/>
        </w:numPr>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rPr>
        <w:t xml:space="preserve">提供第三方检测机构出具</w:t>
      </w:r>
      <w:r>
        <w:rPr>
          <w:rFonts w:hint="eastAsia" w:ascii="宋体" w:hAnsi="宋体" w:eastAsia="宋体" w:cs="宋体"/>
          <w:color w:val="000000"/>
          <w:sz w:val="24"/>
          <w:szCs w:val="24"/>
          <w:highlight w:val="none"/>
          <w:lang w:val="en-US" w:eastAsia="zh-CN"/>
        </w:rPr>
        <w:t xml:space="preserve">的</w:t>
      </w:r>
      <w:r>
        <w:rPr>
          <w:rFonts w:ascii="宋体" w:hAnsi="宋体" w:eastAsia="宋体" w:cs="宋体"/>
          <w:color w:val="000000"/>
          <w:sz w:val="24"/>
          <w:szCs w:val="24"/>
          <w:highlight w:val="none"/>
        </w:rPr>
        <w:t xml:space="preserve">有效</w:t>
      </w:r>
      <w:r>
        <w:rPr>
          <w:rFonts w:hint="eastAsia" w:ascii="宋体" w:hAnsi="宋体" w:eastAsia="宋体" w:cs="宋体"/>
          <w:color w:val="000000"/>
          <w:sz w:val="24"/>
          <w:szCs w:val="24"/>
          <w:highlight w:val="none"/>
          <w:lang w:val="en-US" w:eastAsia="zh-CN"/>
        </w:rPr>
        <w:t xml:space="preserve">检测报告</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拉伸断裂强度、弯曲强度、压缩强度、吸水率、弯曲弹性模量、洛氏硬度、耐高温性能、表面耐磨性、耐污染性、抗落球冲击性等性能符合项目使用要求及相关标准要求。</w:t>
      </w:r>
      <w:r>
        <w:rPr>
          <w:rFonts w:hint="eastAsia" w:ascii="宋体" w:hAnsi="宋体" w:eastAsia="宋体" w:cs="宋体"/>
          <w:color w:val="000000"/>
          <w:sz w:val="24"/>
          <w:szCs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38"/>
        <w:ind w:firstLine="480"/>
        <w:jc w:val="left"/>
        <w:keepLines w:val="0"/>
        <w:keepNext w:val="0"/>
        <w:pageBreakBefore w:val="0"/>
        <w:spacing w:line="240" w:lineRule="auto"/>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1.1.2 陶瓷台面</w:t>
      </w:r>
      <w:r>
        <w:rPr>
          <w:rFonts w:hint="eastAsia" w:ascii="宋体" w:hAnsi="宋体" w:eastAsia="宋体" w:cs="宋体"/>
          <w:b w:val="0"/>
          <w:bCs w:val="0"/>
          <w:color w:val="000000"/>
          <w:sz w:val="24"/>
          <w:szCs w:val="24"/>
          <w:highlight w:val="none"/>
          <w:lang w:val="en-US" w:eastAsia="zh-CN"/>
        </w:rPr>
        <w:t xml:space="preserve"> </w:t>
      </w:r>
      <w:r>
        <w:rPr>
          <w:rFonts w:ascii="宋体" w:hAnsi="宋体" w:eastAsia="宋体" w:cs="宋体"/>
          <w:b w:val="0"/>
          <w:bCs w:val="0"/>
          <w:color w:val="000000"/>
          <w:sz w:val="24"/>
          <w:szCs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采用≥20mm厚一体实芯黑坯体实验室工业陶瓷板台面（釉面细腻，不允许荔枝麻面等粗糙釉面效果、不接受两片薄瓷砖粘贴复合型陶瓷板），台面高温一体烧制成型，耐高温，耐强酸、强碱、强有机溶剂、染色剂等各种化学试剂，耐刮磨，抗污染，抗菌。台面四周带安全倒角，工艺细节美观大方。</w:t>
      </w:r>
      <w:r>
        <w:rPr>
          <w:rFonts w:hint="eastAsia" w:ascii="宋体" w:hAnsi="宋体" w:eastAsia="宋体" w:cs="宋体"/>
          <w:color w:val="000000"/>
          <w:sz w:val="24"/>
          <w:szCs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ascii="宋体" w:hAnsi="宋体" w:eastAsia="宋体" w:cs="宋体"/>
          <w:color w:val="000000"/>
          <w:sz w:val="24"/>
          <w:szCs w:val="24"/>
          <w:highlight w:val="none"/>
        </w:rPr>
        <w:t xml:space="preserve">提供第三方检测机构出具</w:t>
      </w:r>
      <w:r>
        <w:rPr>
          <w:rFonts w:hint="eastAsia" w:ascii="宋体" w:hAnsi="宋体" w:eastAsia="宋体" w:cs="宋体"/>
          <w:color w:val="000000"/>
          <w:sz w:val="24"/>
          <w:szCs w:val="24"/>
          <w:highlight w:val="none"/>
          <w:lang w:val="en-US" w:eastAsia="zh-CN"/>
        </w:rPr>
        <w:t xml:space="preserve">的</w:t>
      </w:r>
      <w:r>
        <w:rPr>
          <w:rFonts w:ascii="宋体" w:hAnsi="宋体" w:eastAsia="宋体" w:cs="宋体"/>
          <w:color w:val="000000"/>
          <w:sz w:val="24"/>
          <w:szCs w:val="24"/>
          <w:highlight w:val="none"/>
        </w:rPr>
        <w:t xml:space="preserve">有效</w:t>
      </w:r>
      <w:r>
        <w:rPr>
          <w:rFonts w:hint="eastAsia" w:ascii="宋体" w:hAnsi="宋体" w:eastAsia="宋体" w:cs="宋体"/>
          <w:color w:val="000000"/>
          <w:sz w:val="24"/>
          <w:szCs w:val="24"/>
          <w:highlight w:val="none"/>
          <w:lang w:val="en-US" w:eastAsia="zh-CN"/>
        </w:rPr>
        <w:t xml:space="preserve">检测报告</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抗化学污染性能：参照GB/T24820-2024标准，表面耐污染性能达到标准要求，检测结果合格。</w:t>
      </w:r>
      <w:r>
        <w:rPr>
          <w:rFonts w:hint="eastAsia" w:ascii="宋体" w:hAnsi="宋体" w:eastAsia="宋体" w:cs="宋体"/>
          <w:color w:val="000000"/>
          <w:sz w:val="24"/>
          <w:szCs w:val="24"/>
          <w:highlight w:val="none"/>
          <w:lang w:val="en-US" w:eastAsia="zh-CN"/>
        </w:rPr>
      </w:r>
      <w:r/>
    </w:p>
    <w:p>
      <w:pPr>
        <w:pStyle w:val="1038"/>
        <w:numPr>
          <w:ilvl w:val="0"/>
          <w:numId w:val="0"/>
        </w:numPr>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rPr>
        <w:t xml:space="preserve">提供第三方检测机构出具</w:t>
      </w:r>
      <w:r>
        <w:rPr>
          <w:rFonts w:hint="eastAsia" w:ascii="宋体" w:hAnsi="宋体" w:eastAsia="宋体" w:cs="宋体"/>
          <w:color w:val="000000"/>
          <w:sz w:val="24"/>
          <w:szCs w:val="24"/>
          <w:highlight w:val="none"/>
          <w:lang w:val="en-US" w:eastAsia="zh-CN"/>
        </w:rPr>
        <w:t xml:space="preserve">的</w:t>
      </w:r>
      <w:r>
        <w:rPr>
          <w:rFonts w:ascii="宋体" w:hAnsi="宋体" w:eastAsia="宋体" w:cs="宋体"/>
          <w:color w:val="000000"/>
          <w:sz w:val="24"/>
          <w:szCs w:val="24"/>
          <w:highlight w:val="none"/>
        </w:rPr>
        <w:t xml:space="preserve">有效</w:t>
      </w:r>
      <w:r>
        <w:rPr>
          <w:rFonts w:hint="eastAsia" w:ascii="宋体" w:hAnsi="宋体" w:eastAsia="宋体" w:cs="宋体"/>
          <w:color w:val="000000"/>
          <w:sz w:val="24"/>
          <w:szCs w:val="24"/>
          <w:highlight w:val="none"/>
          <w:lang w:val="en-US" w:eastAsia="zh-CN"/>
        </w:rPr>
        <w:t xml:space="preserve">检测报告</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光泽度:参照GB/T13891-2008标准，</w:t>
      </w:r>
      <w:r>
        <w:rPr>
          <w:rFonts w:ascii="宋体" w:hAnsi="宋体" w:eastAsia="宋体" w:cs="宋体"/>
          <w:color w:val="000000"/>
          <w:sz w:val="24"/>
          <w:szCs w:val="24"/>
          <w:highlight w:val="none"/>
        </w:rPr>
        <w:t xml:space="preserve">表面光泽均匀一致，外观色泽平整，满足实验室使用及外观验收要求。</w:t>
      </w:r>
      <w:r>
        <w:rPr>
          <w:rFonts w:hint="eastAsia" w:ascii="宋体" w:hAnsi="宋体" w:eastAsia="宋体" w:cs="宋体"/>
          <w:color w:val="000000"/>
          <w:sz w:val="24"/>
          <w:szCs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rPr>
        <w:t xml:space="preserve">提供第三方检测机构出具</w:t>
      </w:r>
      <w:r>
        <w:rPr>
          <w:rFonts w:hint="eastAsia" w:ascii="宋体" w:hAnsi="宋体" w:eastAsia="宋体" w:cs="宋体"/>
          <w:color w:val="000000"/>
          <w:sz w:val="24"/>
          <w:szCs w:val="24"/>
          <w:highlight w:val="none"/>
          <w:lang w:val="en-US" w:eastAsia="zh-CN"/>
        </w:rPr>
        <w:t xml:space="preserve">的</w:t>
      </w:r>
      <w:r>
        <w:rPr>
          <w:rFonts w:ascii="宋体" w:hAnsi="宋体" w:eastAsia="宋体" w:cs="宋体"/>
          <w:color w:val="000000"/>
          <w:sz w:val="24"/>
          <w:szCs w:val="24"/>
          <w:highlight w:val="none"/>
        </w:rPr>
        <w:t xml:space="preserve">有效</w:t>
      </w:r>
      <w:r>
        <w:rPr>
          <w:rFonts w:hint="eastAsia" w:ascii="宋体" w:hAnsi="宋体" w:eastAsia="宋体" w:cs="宋体"/>
          <w:color w:val="000000"/>
          <w:sz w:val="24"/>
          <w:szCs w:val="24"/>
          <w:highlight w:val="none"/>
          <w:lang w:val="en-US" w:eastAsia="zh-CN"/>
        </w:rPr>
        <w:t xml:space="preserve">检测报告</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有害物质限量：</w:t>
      </w:r>
      <w:r>
        <w:rPr>
          <w:rFonts w:ascii="宋体" w:hAnsi="宋体" w:eastAsia="宋体" w:cs="宋体"/>
          <w:color w:val="000000"/>
          <w:sz w:val="24"/>
          <w:szCs w:val="24"/>
          <w:highlight w:val="none"/>
        </w:rPr>
        <w:t xml:space="preserve">有害物质放射性限量须符合</w:t>
      </w:r>
      <w:r>
        <w:rPr>
          <w:rFonts w:ascii="宋体" w:hAnsi="宋体" w:eastAsia="宋体" w:cs="宋体"/>
          <w:color w:val="000000"/>
          <w:sz w:val="24"/>
          <w:szCs w:val="24"/>
          <w:highlight w:val="none"/>
        </w:rPr>
        <w:t xml:space="preserve">GB</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6566-2010相关规</w:t>
      </w:r>
      <w:r>
        <w:rPr>
          <w:rFonts w:ascii="宋体" w:hAnsi="宋体" w:eastAsia="宋体" w:cs="宋体"/>
          <w:color w:val="000000"/>
          <w:sz w:val="24"/>
          <w:szCs w:val="24"/>
          <w:highlight w:val="none"/>
        </w:rPr>
        <w:t xml:space="preserve">定，天然放射性核素指标达到</w:t>
      </w:r>
      <w:r>
        <w:rPr>
          <w:rFonts w:ascii="宋体" w:hAnsi="宋体" w:eastAsia="宋体" w:cs="宋体"/>
          <w:color w:val="000000"/>
          <w:sz w:val="24"/>
          <w:szCs w:val="24"/>
          <w:highlight w:val="none"/>
        </w:rPr>
        <w:t xml:space="preserve">A 类装饰装修材料使</w:t>
      </w:r>
      <w:r>
        <w:rPr>
          <w:rFonts w:ascii="宋体" w:hAnsi="宋体" w:eastAsia="宋体" w:cs="宋体"/>
          <w:color w:val="000000"/>
          <w:sz w:val="24"/>
          <w:szCs w:val="24"/>
          <w:highlight w:val="none"/>
        </w:rPr>
        <w:t xml:space="preserve">用标准，满足室内场所安全使用要求。</w:t>
      </w:r>
      <w:r>
        <w:rPr>
          <w:rFonts w:hint="eastAsia" w:ascii="宋体" w:hAnsi="宋体" w:eastAsia="宋体" w:cs="宋体"/>
          <w:color w:val="000000"/>
          <w:sz w:val="24"/>
          <w:szCs w:val="24"/>
          <w:highlight w:val="none"/>
          <w:lang w:val="en-US" w:eastAsia="zh-CN"/>
        </w:rPr>
      </w:r>
      <w:r/>
    </w:p>
    <w:p>
      <w:pPr>
        <w:pStyle w:val="1038"/>
        <w:numPr>
          <w:ilvl w:val="0"/>
          <w:numId w:val="0"/>
        </w:numPr>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为保障实验人员身体健康，产品环保性能须达标。</w:t>
      </w:r>
      <w:r>
        <w:rPr>
          <w:rFonts w:ascii="宋体" w:hAnsi="宋体" w:eastAsia="宋体" w:cs="宋体"/>
          <w:color w:val="000000"/>
          <w:sz w:val="24"/>
          <w:szCs w:val="24"/>
          <w:highlight w:val="none"/>
        </w:rPr>
        <w:t xml:space="preserve">提供第三方检测机构出具</w:t>
      </w:r>
      <w:r>
        <w:rPr>
          <w:rFonts w:hint="eastAsia" w:ascii="宋体" w:hAnsi="宋体" w:eastAsia="宋体" w:cs="宋体"/>
          <w:color w:val="000000"/>
          <w:sz w:val="24"/>
          <w:szCs w:val="24"/>
          <w:highlight w:val="none"/>
          <w:lang w:val="en-US" w:eastAsia="zh-CN"/>
        </w:rPr>
        <w:t xml:space="preserve">的</w:t>
      </w:r>
      <w:r>
        <w:rPr>
          <w:rFonts w:ascii="宋体" w:hAnsi="宋体" w:eastAsia="宋体" w:cs="宋体"/>
          <w:color w:val="000000"/>
          <w:sz w:val="24"/>
          <w:szCs w:val="24"/>
          <w:highlight w:val="none"/>
        </w:rPr>
        <w:t xml:space="preserve">有效</w:t>
      </w:r>
      <w:r>
        <w:rPr>
          <w:rFonts w:hint="eastAsia" w:ascii="宋体" w:hAnsi="宋体" w:eastAsia="宋体" w:cs="宋体"/>
          <w:color w:val="000000"/>
          <w:sz w:val="24"/>
          <w:szCs w:val="24"/>
          <w:highlight w:val="none"/>
          <w:lang w:val="en-US" w:eastAsia="zh-CN"/>
        </w:rPr>
        <w:t xml:space="preserve">检测报告</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甲醛释放量分别按照GB 18580-2017、GB/T 17657-2022相关规范检测，指标符合国家室内装修材料环保限值标准，满足实验室室内安全使用要求。</w:t>
      </w:r>
      <w:r>
        <w:rPr>
          <w:rFonts w:hint="eastAsia" w:ascii="宋体" w:hAnsi="宋体" w:eastAsia="宋体" w:cs="宋体"/>
          <w:color w:val="000000"/>
          <w:sz w:val="24"/>
          <w:szCs w:val="24"/>
          <w:highlight w:val="none"/>
          <w:lang w:val="en-US" w:eastAsia="zh-CN"/>
        </w:rPr>
      </w:r>
      <w:r/>
    </w:p>
    <w:p>
      <w:pPr>
        <w:pStyle w:val="1038"/>
        <w:numPr>
          <w:ilvl w:val="0"/>
          <w:numId w:val="0"/>
        </w:numPr>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ascii="宋体" w:hAnsi="宋体" w:eastAsia="宋体" w:cs="宋体"/>
          <w:color w:val="000000"/>
          <w:sz w:val="24"/>
          <w:szCs w:val="24"/>
          <w:highlight w:val="none"/>
        </w:rPr>
        <w:t xml:space="preserve">提供第三方检测机构出具</w:t>
      </w:r>
      <w:r>
        <w:rPr>
          <w:rFonts w:hint="eastAsia" w:ascii="宋体" w:hAnsi="宋体" w:eastAsia="宋体" w:cs="宋体"/>
          <w:color w:val="000000"/>
          <w:sz w:val="24"/>
          <w:szCs w:val="24"/>
          <w:highlight w:val="none"/>
          <w:lang w:val="en-US" w:eastAsia="zh-CN"/>
        </w:rPr>
        <w:t xml:space="preserve">的</w:t>
      </w:r>
      <w:r>
        <w:rPr>
          <w:rFonts w:ascii="宋体" w:hAnsi="宋体" w:eastAsia="宋体" w:cs="宋体"/>
          <w:color w:val="000000"/>
          <w:sz w:val="24"/>
          <w:szCs w:val="24"/>
          <w:highlight w:val="none"/>
        </w:rPr>
        <w:t xml:space="preserve">有效</w:t>
      </w:r>
      <w:r>
        <w:rPr>
          <w:rFonts w:hint="eastAsia" w:ascii="宋体" w:hAnsi="宋体" w:eastAsia="宋体" w:cs="宋体"/>
          <w:color w:val="000000"/>
          <w:sz w:val="24"/>
          <w:szCs w:val="24"/>
          <w:highlight w:val="none"/>
          <w:lang w:val="en-US" w:eastAsia="zh-CN"/>
        </w:rPr>
        <w:t xml:space="preserve">检测报告</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t xml:space="preserve">耐高温性能</w:t>
      </w:r>
      <w:r>
        <w:rPr>
          <w:rFonts w:ascii="宋体" w:hAnsi="宋体" w:eastAsia="宋体" w:cs="宋体"/>
          <w:color w:val="000000"/>
          <w:sz w:val="24"/>
          <w:szCs w:val="24"/>
          <w:highlight w:val="none"/>
        </w:rPr>
        <w:t xml:space="preserve">参照GB/T24820-2024、QB/T5589-2021相关标准执行，产品经耐高温测试后表面</w:t>
      </w:r>
      <w:r>
        <w:rPr>
          <w:rFonts w:hint="eastAsia" w:ascii="宋体" w:hAnsi="宋体" w:eastAsia="宋体" w:cs="宋体"/>
          <w:color w:val="000000"/>
          <w:sz w:val="24"/>
          <w:szCs w:val="24"/>
          <w:highlight w:val="none"/>
          <w:lang w:val="en-US" w:eastAsia="zh-CN"/>
        </w:rPr>
        <w:t xml:space="preserve">无裂纹</w:t>
      </w:r>
      <w:r>
        <w:rPr>
          <w:rFonts w:ascii="宋体" w:hAnsi="宋体" w:eastAsia="宋体" w:cs="宋体"/>
          <w:color w:val="000000"/>
          <w:sz w:val="24"/>
          <w:szCs w:val="24"/>
          <w:highlight w:val="none"/>
        </w:rPr>
        <w:t xml:space="preserve">，满足日常实验使用环境要求。</w:t>
      </w:r>
      <w:r>
        <w:rPr>
          <w:rFonts w:hint="eastAsia" w:ascii="宋体" w:hAnsi="宋体" w:eastAsia="宋体" w:cs="宋体"/>
          <w:color w:val="000000"/>
          <w:sz w:val="24"/>
          <w:szCs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w:t>
      </w:r>
      <w:r>
        <w:rPr>
          <w:rFonts w:ascii="宋体" w:hAnsi="宋体" w:eastAsia="宋体" w:cs="宋体"/>
          <w:color w:val="000000"/>
          <w:sz w:val="24"/>
          <w:szCs w:val="24"/>
          <w:highlight w:val="none"/>
        </w:rPr>
        <w:t xml:space="preserve">提供第三方检测机构出具</w:t>
      </w:r>
      <w:r>
        <w:rPr>
          <w:rFonts w:hint="eastAsia" w:ascii="宋体" w:hAnsi="宋体" w:eastAsia="宋体" w:cs="宋体"/>
          <w:color w:val="000000"/>
          <w:sz w:val="24"/>
          <w:szCs w:val="24"/>
          <w:highlight w:val="none"/>
          <w:lang w:val="en-US" w:eastAsia="zh-CN"/>
        </w:rPr>
        <w:t xml:space="preserve">的</w:t>
      </w:r>
      <w:r>
        <w:rPr>
          <w:rFonts w:ascii="宋体" w:hAnsi="宋体" w:eastAsia="宋体" w:cs="宋体"/>
          <w:color w:val="000000"/>
          <w:sz w:val="24"/>
          <w:szCs w:val="24"/>
          <w:highlight w:val="none"/>
        </w:rPr>
        <w:t xml:space="preserve">有效</w:t>
      </w:r>
      <w:r>
        <w:rPr>
          <w:rFonts w:hint="eastAsia" w:ascii="宋体" w:hAnsi="宋体" w:eastAsia="宋体" w:cs="宋体"/>
          <w:color w:val="000000"/>
          <w:sz w:val="24"/>
          <w:szCs w:val="24"/>
          <w:highlight w:val="none"/>
          <w:lang w:val="en-US" w:eastAsia="zh-CN"/>
        </w:rPr>
        <w:t xml:space="preserve">检测报告</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t xml:space="preserve">破坏强度：</w:t>
      </w:r>
      <w:r>
        <w:rPr>
          <w:rFonts w:ascii="宋体" w:hAnsi="宋体" w:eastAsia="宋体" w:cs="宋体"/>
          <w:color w:val="000000"/>
          <w:sz w:val="24"/>
          <w:szCs w:val="24"/>
          <w:highlight w:val="none"/>
        </w:rPr>
        <w:t xml:space="preserve">按照GB/T 3810.4-2016标准检测，满足实验室家具使用及相关技术要求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ascii="宋体" w:hAnsi="宋体" w:eastAsia="宋体" w:cs="宋体"/>
          <w:color w:val="000000"/>
          <w:sz w:val="24"/>
          <w:szCs w:val="24"/>
          <w:highlight w:val="none"/>
        </w:rPr>
        <w:t xml:space="preserve">为保障产品质量，</w:t>
      </w:r>
      <w:r>
        <w:rPr>
          <w:rFonts w:hint="eastAsia" w:ascii="宋体" w:hAnsi="宋体" w:eastAsia="宋体" w:cs="宋体"/>
          <w:color w:val="000000"/>
          <w:sz w:val="24"/>
          <w:szCs w:val="24"/>
          <w:highlight w:val="none"/>
        </w:rPr>
        <w:t xml:space="preserve">投标人自行出具针对本项目台面</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抗静电物理板台面、陶瓷台面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的质保承诺函，承诺质保年限、售后维修更换责任</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中标后</w:t>
      </w:r>
      <w:r>
        <w:rPr>
          <w:rFonts w:hint="eastAsia" w:ascii="宋体" w:hAnsi="宋体" w:eastAsia="宋体" w:cs="宋体"/>
          <w:color w:val="000000"/>
          <w:sz w:val="24"/>
          <w:szCs w:val="24"/>
          <w:highlight w:val="none"/>
        </w:rPr>
        <w:t xml:space="preserve">同步提供台面板材原厂通用质量质保资料及检测报告，若存在弄虚作假行为，将取消其中标资格，并依法追究相关责任。</w:t>
      </w:r>
      <w:r>
        <w:rPr>
          <w:rFonts w:hint="eastAsia" w:ascii="宋体" w:hAnsi="宋体" w:eastAsia="宋体" w:cs="宋体"/>
          <w:color w:val="000000"/>
          <w:sz w:val="24"/>
          <w:szCs w:val="24"/>
          <w:highlight w:val="none"/>
          <w:lang w:val="en-US" w:eastAsia="zh-CN"/>
        </w:rPr>
      </w:r>
      <w:r/>
    </w:p>
    <w:p>
      <w:pPr>
        <w:pStyle w:val="1038"/>
        <w:ind w:firstLine="482"/>
        <w:keepLines w:val="0"/>
        <w:keepNext w:val="0"/>
        <w:pageBreakBefore w:val="0"/>
        <w:spacing w:line="360" w:lineRule="auto"/>
        <w:widowControl w:val="off"/>
        <w:rPr>
          <w:rFonts w:ascii="宋体" w:hAnsi="宋体" w:eastAsia="宋体" w:cs="宋体"/>
          <w:b/>
          <w:bCs/>
          <w:color w:val="000000"/>
          <w:sz w:val="24"/>
          <w:highlight w:val="none"/>
          <w:lang w:val="en-US" w:eastAsia="zh-CN"/>
        </w:rPr>
        <w:outlineLvl w:val="3"/>
      </w:pPr>
      <w:r>
        <w:rPr>
          <w:rFonts w:hint="eastAsia" w:ascii="宋体" w:hAnsi="宋体" w:eastAsia="宋体" w:cs="宋体"/>
          <w:b/>
          <w:bCs/>
          <w:color w:val="000000"/>
          <w:sz w:val="24"/>
          <w:highlight w:val="none"/>
          <w:lang w:val="en-US" w:eastAsia="zh-CN"/>
        </w:rPr>
        <w:t xml:space="preserve">1.2、实验柜</w:t>
      </w:r>
      <w:r>
        <w:rPr>
          <w:rFonts w:ascii="宋体" w:hAnsi="宋体" w:eastAsia="宋体" w:cs="宋体"/>
          <w:b/>
          <w:bCs/>
          <w:color w:val="000000"/>
          <w:sz w:val="24"/>
          <w:highlight w:val="none"/>
          <w:lang w:val="en-US" w:eastAsia="zh-CN"/>
        </w:rPr>
      </w:r>
      <w:r/>
    </w:p>
    <w:p>
      <w:pPr>
        <w:pStyle w:val="1038"/>
        <w:ind w:firstLine="480"/>
        <w:jc w:val="left"/>
        <w:keepLines w:val="0"/>
        <w:keepNext w:val="0"/>
        <w:pageBreakBefore w:val="0"/>
        <w:spacing w:line="240" w:lineRule="auto"/>
        <w:rPr>
          <w:rFonts w:ascii="宋体" w:hAnsi="宋体" w:eastAsia="宋体" w:cs="宋体"/>
          <w:color w:val="000000"/>
          <w:sz w:val="24"/>
          <w:szCs w:val="24"/>
          <w:highlight w:val="none"/>
        </w:rPr>
      </w:pPr>
      <w:r>
        <w:rPr>
          <w:rFonts w:hint="eastAsia" w:ascii="宋体" w:hAnsi="宋体" w:eastAsia="宋体" w:cs="宋体"/>
          <w:color w:val="000000"/>
          <w:sz w:val="24"/>
          <w:highlight w:val="none"/>
          <w:lang w:val="en-US" w:eastAsia="zh-CN"/>
        </w:rPr>
        <w:t xml:space="preserve">▲ 1.2.1</w:t>
      </w:r>
      <w:r>
        <w:rPr>
          <w:rFonts w:ascii="宋体" w:hAnsi="宋体" w:eastAsia="宋体" w:cs="宋体"/>
          <w:color w:val="000000"/>
          <w:sz w:val="24"/>
          <w:szCs w:val="24"/>
          <w:highlight w:val="none"/>
        </w:rPr>
        <w:t xml:space="preserve">提供第三方检测机构出具</w:t>
      </w:r>
      <w:r>
        <w:rPr>
          <w:rFonts w:hint="eastAsia" w:ascii="宋体" w:hAnsi="宋体" w:eastAsia="宋体" w:cs="宋体"/>
          <w:color w:val="000000"/>
          <w:sz w:val="24"/>
          <w:szCs w:val="24"/>
          <w:highlight w:val="none"/>
          <w:lang w:val="en-US" w:eastAsia="zh-CN"/>
        </w:rPr>
        <w:t xml:space="preserve">的</w:t>
      </w:r>
      <w:r>
        <w:rPr>
          <w:rFonts w:ascii="宋体" w:hAnsi="宋体" w:eastAsia="宋体" w:cs="宋体"/>
          <w:color w:val="000000"/>
          <w:sz w:val="24"/>
          <w:szCs w:val="24"/>
          <w:highlight w:val="none"/>
        </w:rPr>
        <w:t xml:space="preserve">有效</w:t>
      </w:r>
      <w:r>
        <w:rPr>
          <w:rFonts w:hint="eastAsia" w:ascii="宋体" w:hAnsi="宋体" w:eastAsia="宋体" w:cs="宋体"/>
          <w:color w:val="000000"/>
          <w:sz w:val="24"/>
          <w:szCs w:val="24"/>
          <w:highlight w:val="none"/>
          <w:lang w:val="en-US" w:eastAsia="zh-CN"/>
        </w:rPr>
        <w:t xml:space="preserve">检测报告</w:t>
      </w:r>
      <w:r>
        <w:rPr>
          <w:rFonts w:ascii="宋体" w:hAnsi="宋体" w:eastAsia="宋体" w:cs="宋体"/>
          <w:color w:val="000000"/>
          <w:sz w:val="24"/>
          <w:szCs w:val="24"/>
          <w:highlight w:val="none"/>
        </w:rPr>
        <w:t xml:space="preserve">，检验依据为QB/T 1951.2-2013《金属家具质量检验及质量评定》，检测项目包含邻边垂直度、翘曲度、着地平稳性、平整度、抽屉下垂度、抽屉摆动度、位差度等，检测结果均符合标准要求。</w:t>
      </w:r>
      <w:r>
        <w:rPr>
          <w:rFonts w:ascii="宋体" w:hAnsi="宋体" w:eastAsia="宋体" w:cs="宋体"/>
          <w:color w:val="000000"/>
          <w:sz w:val="24"/>
          <w:szCs w:val="24"/>
          <w:highlight w:val="none"/>
        </w:rPr>
      </w:r>
      <w:r/>
    </w:p>
    <w:p>
      <w:pPr>
        <w:pStyle w:val="1038"/>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highlight w:val="none"/>
          <w:lang w:val="en-US" w:eastAsia="zh-CN"/>
        </w:rPr>
        <w:t xml:space="preserve">▲1.2.1.1</w:t>
      </w:r>
      <w:r>
        <w:rPr>
          <w:rFonts w:ascii="宋体" w:hAnsi="宋体" w:eastAsia="宋体" w:cs="宋体"/>
          <w:color w:val="000000"/>
          <w:sz w:val="24"/>
          <w:szCs w:val="24"/>
          <w:highlight w:val="none"/>
        </w:rPr>
        <w:t xml:space="preserve">提供第三方检测机构出具的有效中性盐雾试验报告，试验依据GB/T 10125-2021执行，检测结果符合标准要求。</w:t>
      </w:r>
      <w:r>
        <w:rPr>
          <w:rFonts w:hint="eastAsia" w:ascii="宋体" w:hAnsi="宋体" w:eastAsia="宋体" w:cs="宋体"/>
          <w:color w:val="000000"/>
          <w:sz w:val="24"/>
          <w:szCs w:val="24"/>
          <w:highlight w:val="none"/>
          <w:lang w:val="en-US" w:eastAsia="zh-CN"/>
        </w:rPr>
      </w:r>
      <w:r/>
    </w:p>
    <w:p>
      <w:pPr>
        <w:pStyle w:val="1038"/>
        <w:ind w:firstLine="480"/>
        <w:jc w:val="left"/>
        <w:keepLines w:val="0"/>
        <w:keepNext w:val="0"/>
        <w:pageBreakBefore w:val="0"/>
        <w:spacing w:line="240" w:lineRule="auto"/>
        <w:rPr>
          <w:rFonts w:ascii="宋体" w:hAnsi="宋体" w:eastAsia="宋体" w:cs="宋体"/>
          <w:color w:val="000000"/>
          <w:sz w:val="24"/>
          <w:szCs w:val="24"/>
          <w:highlight w:val="none"/>
        </w:rPr>
      </w:pPr>
      <w:r>
        <w:rPr>
          <w:rFonts w:hint="eastAsia" w:ascii="宋体" w:hAnsi="宋体" w:eastAsia="宋体" w:cs="宋体"/>
          <w:color w:val="000000"/>
          <w:sz w:val="24"/>
          <w:highlight w:val="none"/>
          <w:lang w:val="en-US" w:eastAsia="zh-CN"/>
        </w:rPr>
        <w:t xml:space="preserve">▲1.2.1.2</w:t>
      </w:r>
      <w:r>
        <w:rPr>
          <w:rFonts w:ascii="宋体" w:hAnsi="宋体" w:eastAsia="宋体" w:cs="宋体"/>
          <w:color w:val="000000"/>
          <w:sz w:val="24"/>
          <w:szCs w:val="24"/>
          <w:highlight w:val="none"/>
        </w:rPr>
        <w:t xml:space="preserve">提供第三方检测机构出具</w:t>
      </w:r>
      <w:r>
        <w:rPr>
          <w:rFonts w:hint="eastAsia" w:ascii="宋体" w:hAnsi="宋体" w:eastAsia="宋体" w:cs="宋体"/>
          <w:color w:val="000000"/>
          <w:sz w:val="24"/>
          <w:szCs w:val="24"/>
          <w:highlight w:val="none"/>
          <w:lang w:val="en-US" w:eastAsia="zh-CN"/>
        </w:rPr>
        <w:t xml:space="preserve">的</w:t>
      </w:r>
      <w:r>
        <w:rPr>
          <w:rFonts w:ascii="宋体" w:hAnsi="宋体" w:eastAsia="宋体" w:cs="宋体"/>
          <w:color w:val="000000"/>
          <w:sz w:val="24"/>
          <w:szCs w:val="24"/>
          <w:highlight w:val="none"/>
        </w:rPr>
        <w:t xml:space="preserve">有效</w:t>
      </w:r>
      <w:r>
        <w:rPr>
          <w:rFonts w:hint="eastAsia" w:ascii="宋体" w:hAnsi="宋体" w:eastAsia="宋体" w:cs="宋体"/>
          <w:color w:val="000000"/>
          <w:sz w:val="24"/>
          <w:szCs w:val="24"/>
          <w:highlight w:val="none"/>
          <w:lang w:val="en-US" w:eastAsia="zh-CN"/>
        </w:rPr>
        <w:t xml:space="preserve">检测报告</w:t>
      </w:r>
      <w:r>
        <w:rPr>
          <w:rFonts w:ascii="宋体" w:hAnsi="宋体" w:eastAsia="宋体" w:cs="宋体"/>
          <w:color w:val="000000"/>
          <w:sz w:val="24"/>
          <w:szCs w:val="24"/>
          <w:highlight w:val="none"/>
        </w:rPr>
        <w:t xml:space="preserve">，依据GB/T 10357.1-2013《家具力学性能试验 桌类强度和耐久性》 对实验台强度、台面挠度进行检测，检测结果符合标准要求。</w:t>
      </w:r>
      <w:r>
        <w:rPr>
          <w:rFonts w:ascii="宋体" w:hAnsi="宋体" w:eastAsia="宋体" w:cs="宋体"/>
          <w:color w:val="000000"/>
          <w:sz w:val="24"/>
          <w:szCs w:val="24"/>
          <w:highlight w:val="none"/>
        </w:rPr>
      </w:r>
      <w:r/>
    </w:p>
    <w:p>
      <w:pPr>
        <w:pStyle w:val="1038"/>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1.2.2工艺要求</w:t>
      </w:r>
      <w:r>
        <w:rPr>
          <w:rFonts w:hint="eastAsia" w:ascii="宋体" w:hAnsi="宋体" w:eastAsia="宋体" w:cs="宋体"/>
          <w:color w:val="000000"/>
          <w:sz w:val="24"/>
          <w:szCs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1.2.2.1各种配件安装应严密、平整、端正、牢固、结合处应无崩茬或松动。金属配件应做除锈和防腐处理。</w:t>
      </w:r>
      <w:r>
        <w:rPr>
          <w:rFonts w:hint="eastAsia" w:ascii="宋体" w:hAnsi="宋体" w:eastAsia="宋体" w:cs="宋体"/>
          <w:color w:val="000000"/>
          <w:sz w:val="24"/>
          <w:szCs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1.2.2.2 柜体接缝处要求≤5mm；门板与门板间缝≤3mm；整体尺寸误差≤10mm，要求水平、稳固。</w:t>
      </w:r>
      <w:r>
        <w:rPr>
          <w:rFonts w:hint="eastAsia" w:ascii="宋体" w:hAnsi="宋体" w:eastAsia="宋体" w:cs="宋体"/>
          <w:color w:val="000000"/>
          <w:sz w:val="24"/>
          <w:szCs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1.2.2.3 所有水、电、气路要求安全、适用，并隐藏式安装。</w:t>
      </w:r>
      <w:r>
        <w:rPr>
          <w:rFonts w:hint="eastAsia" w:ascii="宋体" w:hAnsi="宋体" w:eastAsia="宋体" w:cs="宋体"/>
          <w:color w:val="000000"/>
          <w:sz w:val="24"/>
          <w:szCs w:val="24"/>
          <w:highlight w:val="none"/>
          <w:lang w:val="en-US" w:eastAsia="zh-CN"/>
        </w:rPr>
      </w:r>
      <w:r/>
    </w:p>
    <w:p>
      <w:pPr>
        <w:pStyle w:val="1038"/>
        <w:ind w:firstLine="480"/>
        <w:jc w:val="left"/>
        <w:keepLines w:val="0"/>
        <w:keepNext w:val="0"/>
        <w:pageBreakBefore w:val="0"/>
        <w:spacing w:line="24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1.2.3柜体要求</w:t>
      </w:r>
      <w:r>
        <w:rPr>
          <w:rFonts w:ascii="宋体" w:hAnsi="宋体" w:eastAsia="宋体" w:cs="宋体"/>
          <w:color w:val="000000"/>
          <w:sz w:val="24"/>
          <w:szCs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1.2.3.1钢制柜体：</w:t>
      </w:r>
      <w:r>
        <w:rPr>
          <w:rFonts w:hint="eastAsia" w:ascii="宋体" w:hAnsi="宋体" w:eastAsia="宋体" w:cs="宋体"/>
          <w:color w:val="000000"/>
          <w:sz w:val="24"/>
          <w:szCs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1.2.3.1.1</w:t>
      </w:r>
      <w:r>
        <w:rPr>
          <w:rFonts w:ascii="宋体" w:hAnsi="宋体" w:eastAsia="宋体" w:cs="宋体"/>
          <w:color w:val="000000"/>
          <w:sz w:val="24"/>
          <w:szCs w:val="24"/>
          <w:highlight w:val="none"/>
        </w:rPr>
        <w:t xml:space="preserve">提供第三方检测机构出具</w:t>
      </w:r>
      <w:r>
        <w:rPr>
          <w:rFonts w:hint="eastAsia" w:ascii="宋体" w:hAnsi="宋体" w:eastAsia="宋体" w:cs="宋体"/>
          <w:color w:val="000000"/>
          <w:sz w:val="24"/>
          <w:szCs w:val="24"/>
          <w:highlight w:val="none"/>
          <w:lang w:val="en-US" w:eastAsia="zh-CN"/>
        </w:rPr>
        <w:t xml:space="preserve">的</w:t>
      </w:r>
      <w:r>
        <w:rPr>
          <w:rFonts w:ascii="宋体" w:hAnsi="宋体" w:eastAsia="宋体" w:cs="宋体"/>
          <w:color w:val="000000"/>
          <w:sz w:val="24"/>
          <w:szCs w:val="24"/>
          <w:highlight w:val="none"/>
        </w:rPr>
        <w:t xml:space="preserve">有效</w:t>
      </w:r>
      <w:r>
        <w:rPr>
          <w:rFonts w:hint="eastAsia" w:ascii="宋体" w:hAnsi="宋体" w:eastAsia="宋体" w:cs="宋体"/>
          <w:color w:val="000000"/>
          <w:sz w:val="24"/>
          <w:szCs w:val="24"/>
          <w:highlight w:val="none"/>
          <w:lang w:val="en-US" w:eastAsia="zh-CN"/>
        </w:rPr>
        <w:t xml:space="preserve">检测报告，钢制柜体的测试内容包括：柜加载试验；柜集中加载试验；柜扭曲试验；门铰链试验；门冲击试验；门循环试验；抽屉静载试验；抽屉冲击试验；抽屉内部滚动冲击试验；抽屉循环试验；搁板静载试验等项目。</w:t>
      </w:r>
      <w:r>
        <w:rPr>
          <w:rFonts w:hint="eastAsia" w:ascii="宋体" w:hAnsi="宋体" w:eastAsia="宋体" w:cs="宋体"/>
          <w:color w:val="000000"/>
          <w:sz w:val="24"/>
          <w:szCs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1.2.3.1.2为保证实验人员的生命健康，依据GB 6675.4-2014标准，对可迁移铅、锑、砷、钡、镉、铬、汞、硒等重金属进行检测，检测结果符合标准要求。</w:t>
      </w:r>
      <w:r>
        <w:rPr>
          <w:rFonts w:hint="eastAsia" w:ascii="宋体" w:hAnsi="宋体" w:eastAsia="宋体" w:cs="宋体"/>
          <w:color w:val="000000"/>
          <w:sz w:val="24"/>
          <w:szCs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1.2.3.1.3钢制柜体主结构、抽屉、门板、活动层板、试剂架、水电管道功能立柱、装饰封板等钢材基本厚度≥1.0mm冷轧碳素钢板；表面使用环氧树脂粉末喷涂防腐处理。</w:t>
      </w:r>
      <w:r>
        <w:rPr>
          <w:rFonts w:hint="eastAsia" w:ascii="宋体" w:hAnsi="宋体" w:eastAsia="宋体" w:cs="宋体"/>
          <w:color w:val="000000"/>
          <w:sz w:val="24"/>
          <w:szCs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1.2.3.1.4踢脚板除正面凹入部分外，两侧需与柜体钢板一体成型，不得以小料拼接烧焊制作，以确保整体承重能力。</w:t>
      </w:r>
      <w:r>
        <w:rPr>
          <w:rFonts w:hint="eastAsia" w:ascii="宋体" w:hAnsi="宋体" w:eastAsia="宋体" w:cs="宋体"/>
          <w:color w:val="000000"/>
          <w:sz w:val="24"/>
          <w:szCs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1.2.3.1.5柜体门板为双层结构，内外面均经环氧树脂粉末静电喷涂，配置门扣组及缓冲垫。</w:t>
      </w:r>
      <w:r>
        <w:rPr>
          <w:rFonts w:hint="eastAsia" w:ascii="宋体" w:hAnsi="宋体" w:eastAsia="宋体" w:cs="宋体"/>
          <w:color w:val="000000"/>
          <w:sz w:val="24"/>
          <w:szCs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1.2.3.1.6抽屉面板为双层结构，内外面均经环氧树脂粉末静电喷涂；抽屉底部和四面抽墙为钢板一体成形设计，配置缓冲垫，以避免与柜体钢板碰撞，拆卸方便。</w:t>
      </w:r>
      <w:r>
        <w:rPr>
          <w:rFonts w:hint="eastAsia" w:ascii="宋体" w:hAnsi="宋体" w:eastAsia="宋体" w:cs="宋体"/>
          <w:color w:val="000000"/>
          <w:sz w:val="24"/>
          <w:szCs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1.2.3.1.7活动背板：采用≥1.0mm厚冷连轧碳素钢板，表面使用环氧树脂粉末喷涂防腐处理；配暗扣拉手，不用辅助工具可手工拆卸。</w:t>
      </w:r>
      <w:r>
        <w:rPr>
          <w:rFonts w:hint="eastAsia" w:ascii="宋体" w:hAnsi="宋体" w:eastAsia="宋体" w:cs="宋体"/>
          <w:color w:val="000000"/>
          <w:sz w:val="24"/>
          <w:szCs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1.2.3.1.8柜体五金及配件：</w:t>
      </w:r>
      <w:r>
        <w:rPr>
          <w:rFonts w:hint="eastAsia" w:ascii="宋体" w:hAnsi="宋体" w:eastAsia="宋体" w:cs="宋体"/>
          <w:color w:val="000000"/>
          <w:sz w:val="24"/>
          <w:szCs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rPr>
        <w:t xml:space="preserve">提供第三方检测机构出具</w:t>
      </w:r>
      <w:r>
        <w:rPr>
          <w:rFonts w:hint="eastAsia" w:ascii="宋体" w:hAnsi="宋体" w:eastAsia="宋体" w:cs="宋体"/>
          <w:color w:val="000000"/>
          <w:sz w:val="24"/>
          <w:szCs w:val="24"/>
          <w:highlight w:val="none"/>
          <w:lang w:val="en-US" w:eastAsia="zh-CN"/>
        </w:rPr>
        <w:t xml:space="preserve">的</w:t>
      </w:r>
      <w:r>
        <w:rPr>
          <w:rFonts w:ascii="宋体" w:hAnsi="宋体" w:eastAsia="宋体" w:cs="宋体"/>
          <w:color w:val="000000"/>
          <w:sz w:val="24"/>
          <w:szCs w:val="24"/>
          <w:highlight w:val="none"/>
        </w:rPr>
        <w:t xml:space="preserve">有效</w:t>
      </w:r>
      <w:r>
        <w:rPr>
          <w:rFonts w:hint="eastAsia" w:ascii="宋体" w:hAnsi="宋体" w:eastAsia="宋体" w:cs="宋体"/>
          <w:color w:val="000000"/>
          <w:sz w:val="24"/>
          <w:szCs w:val="24"/>
          <w:highlight w:val="none"/>
          <w:lang w:val="en-US" w:eastAsia="zh-CN"/>
        </w:rPr>
        <w:t xml:space="preserve">检测报告，合页:采用符合本项目门板荷重要求的厚1.5mm(及以上)的编号304不锈钢材质，每个合页用不低于6个不锈钢螺丝（非自攻螺丝）与门板及底柜相固定。依据GB/T 10125-2021标准，试验结果符合相关要求。</w:t>
      </w:r>
      <w:r>
        <w:rPr>
          <w:rFonts w:hint="eastAsia" w:ascii="宋体" w:hAnsi="宋体" w:eastAsia="宋体" w:cs="宋体"/>
          <w:color w:val="000000"/>
          <w:sz w:val="24"/>
          <w:szCs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 </w:t>
      </w:r>
      <w:r>
        <w:rPr>
          <w:rFonts w:ascii="宋体" w:hAnsi="宋体" w:eastAsia="宋体" w:cs="宋体"/>
          <w:color w:val="000000"/>
          <w:sz w:val="24"/>
          <w:szCs w:val="24"/>
          <w:highlight w:val="none"/>
        </w:rPr>
        <w:t xml:space="preserve">提供第三方检测机构出具</w:t>
      </w:r>
      <w:r>
        <w:rPr>
          <w:rFonts w:hint="eastAsia" w:ascii="宋体" w:hAnsi="宋体" w:eastAsia="宋体" w:cs="宋体"/>
          <w:color w:val="000000"/>
          <w:sz w:val="24"/>
          <w:szCs w:val="24"/>
          <w:highlight w:val="none"/>
          <w:lang w:val="en-US" w:eastAsia="zh-CN"/>
        </w:rPr>
        <w:t xml:space="preserve">的</w:t>
      </w:r>
      <w:r>
        <w:rPr>
          <w:rFonts w:ascii="宋体" w:hAnsi="宋体" w:eastAsia="宋体" w:cs="宋体"/>
          <w:color w:val="000000"/>
          <w:sz w:val="24"/>
          <w:szCs w:val="24"/>
          <w:highlight w:val="none"/>
        </w:rPr>
        <w:t xml:space="preserve">有效</w:t>
      </w:r>
      <w:r>
        <w:rPr>
          <w:rFonts w:hint="eastAsia" w:ascii="宋体" w:hAnsi="宋体" w:eastAsia="宋体" w:cs="宋体"/>
          <w:color w:val="000000"/>
          <w:sz w:val="24"/>
          <w:szCs w:val="24"/>
          <w:highlight w:val="none"/>
          <w:lang w:val="en-US" w:eastAsia="zh-CN"/>
        </w:rPr>
        <w:t xml:space="preserve">检测报告，把手：采用304及以上不锈钢材质把手或一体成型拉手。拉手提供依据GB/T 10125-2021标准，试验结果符合相关要求。</w:t>
      </w:r>
      <w:r>
        <w:rPr>
          <w:rFonts w:hint="eastAsia" w:ascii="宋体" w:hAnsi="宋体" w:eastAsia="宋体" w:cs="宋体"/>
          <w:color w:val="000000"/>
          <w:sz w:val="24"/>
          <w:szCs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3)层板支撑扣：采用厚1.2mm及以上的304及以上不锈钢材质。</w:t>
      </w:r>
      <w:r>
        <w:rPr>
          <w:rFonts w:hint="eastAsia" w:ascii="宋体" w:hAnsi="宋体" w:eastAsia="宋体" w:cs="宋体"/>
          <w:color w:val="000000"/>
          <w:sz w:val="24"/>
          <w:szCs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4)抽屉导轨：为三节式静音阻尼滑轨，钢制滚珠，抽屉内表面均设有防撞垫片。把手需以不锈钢螺丝由后方固定(安装螺丝应隐藏于门板内)，抽屉面板宽度超过600mm以上时应配置两个把手。</w:t>
      </w:r>
      <w:r>
        <w:rPr>
          <w:rFonts w:hint="eastAsia" w:ascii="宋体" w:hAnsi="宋体" w:eastAsia="宋体" w:cs="宋体"/>
          <w:color w:val="000000"/>
          <w:sz w:val="24"/>
          <w:szCs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层板：每个底柜内置一片活动层板，采用1.0mm厚冷轧钢，底部带加强筋增加承重性，表面环氧树脂粉末防腐喷涂，每15mm可自由上下调节高度，层板由四个1.2mm厚304不锈钢扣支撑；层板两侧及前后端应向下折边后再反折，边缘不割手，颜色与柜体同色。</w:t>
      </w:r>
      <w:r>
        <w:rPr>
          <w:rFonts w:hint="eastAsia" w:ascii="宋体" w:hAnsi="宋体" w:eastAsia="宋体" w:cs="宋体"/>
          <w:color w:val="000000"/>
          <w:sz w:val="24"/>
          <w:szCs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38"/>
        <w:keepLines w:val="0"/>
        <w:keepNext w:val="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2、全钢货架</w:t>
      </w:r>
      <w:r>
        <w:rPr>
          <w:rFonts w:hint="eastAsia" w:ascii="宋体" w:hAnsi="宋体" w:eastAsia="宋体" w:cs="宋体"/>
          <w:b/>
          <w:bCs/>
          <w:color w:val="000000"/>
          <w:sz w:val="24"/>
          <w:szCs w:val="24"/>
          <w:highlight w:val="none"/>
          <w:lang w:val="en-US" w:eastAsia="zh-CN"/>
        </w:rPr>
      </w:r>
      <w:r/>
    </w:p>
    <w:p>
      <w:pPr>
        <w:pStyle w:val="1038"/>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框架：采用≥1.5mm优质冷轧钢板，表层环氧树脂粉沫喷涂。层板：采用≥1.0mm优质冷轧钢板，表层环氧树脂粉沫喷涂；折弯成型，同时全部焊接钢制承重筋；四层，活动隔板（可减少层数），每层高度50cm，每20mm可自由上下调节高度，每平米隔板的承载不小于200Kg。除顶部和下部采用焊接结构外其它全部为活动层板。</w:t>
      </w:r>
      <w:r>
        <w:rPr>
          <w:rFonts w:hint="eastAsia" w:ascii="宋体" w:hAnsi="宋体" w:eastAsia="宋体" w:cs="宋体"/>
          <w:color w:val="000000"/>
          <w:sz w:val="24"/>
          <w:szCs w:val="24"/>
          <w:highlight w:val="none"/>
        </w:rPr>
      </w:r>
      <w:r/>
    </w:p>
    <w:p>
      <w:pPr>
        <w:pStyle w:val="1038"/>
        <w:spacing w:before="0" w:after="0"/>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r>
      <w:r/>
    </w:p>
    <w:p>
      <w:pPr>
        <w:pStyle w:val="1038"/>
        <w:spacing w:before="0" w:after="0"/>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分包</w:t>
      </w:r>
      <w:r>
        <w:rPr>
          <w:rFonts w:hint="eastAsia" w:ascii="宋体" w:hAnsi="宋体" w:eastAsia="宋体" w:cs="宋体"/>
          <w:b/>
          <w:bCs w:val="0"/>
          <w:color w:val="000000"/>
          <w:sz w:val="28"/>
          <w:szCs w:val="28"/>
          <w:highlight w:val="none"/>
          <w:lang w:val="en-US" w:eastAsia="zh-CN"/>
        </w:rPr>
        <w:t xml:space="preserve">2</w:t>
      </w:r>
      <w:r>
        <w:rPr>
          <w:rFonts w:hint="eastAsia" w:ascii="宋体" w:hAnsi="宋体" w:eastAsia="宋体" w:cs="宋体"/>
          <w:b/>
          <w:bCs w:val="0"/>
          <w:color w:val="000000"/>
          <w:sz w:val="28"/>
          <w:szCs w:val="28"/>
          <w:highlight w:val="none"/>
          <w:lang w:eastAsia="zh-CN"/>
        </w:rPr>
        <w:t xml:space="preserve">：</w:t>
      </w:r>
      <w:r>
        <w:rPr>
          <w:rFonts w:hint="eastAsia" w:ascii="宋体" w:hAnsi="宋体" w:eastAsia="宋体" w:cs="宋体"/>
          <w:b/>
          <w:bCs w:val="0"/>
          <w:color w:val="000000"/>
          <w:sz w:val="28"/>
          <w:szCs w:val="28"/>
          <w:highlight w:val="none"/>
        </w:rPr>
        <w:t xml:space="preserve">专用实验台、通风柜及配套设施</w:t>
      </w:r>
      <w:r>
        <w:rPr>
          <w:rFonts w:hint="eastAsia" w:ascii="宋体" w:hAnsi="宋体" w:eastAsia="宋体" w:cs="宋体"/>
          <w:b/>
          <w:bCs w:val="0"/>
          <w:color w:val="000000"/>
          <w:sz w:val="28"/>
          <w:szCs w:val="28"/>
          <w:highlight w:val="none"/>
        </w:rPr>
      </w:r>
      <w:r/>
    </w:p>
    <w:p>
      <w:pPr>
        <w:pStyle w:val="1038"/>
        <w:ind w:firstLine="482"/>
        <w:keepLines w:val="0"/>
        <w:keepNext w:val="0"/>
        <w:pageBreakBefore w:val="0"/>
        <w:spacing w:before="0" w:after="0" w:line="360" w:lineRule="auto"/>
        <w:widowControl w:val="off"/>
        <w:rPr>
          <w:rFonts w:hint="eastAsia" w:ascii="宋体" w:hAnsi="宋体" w:eastAsia="宋体" w:cs="宋体"/>
          <w:b/>
          <w:bCs/>
          <w:color w:val="000000"/>
          <w:sz w:val="24"/>
          <w:highlight w:val="none"/>
          <w:lang w:val="en-US" w:eastAsia="zh-CN"/>
        </w:rPr>
        <w:outlineLvl w:val="2"/>
      </w:pPr>
      <w:r>
        <w:rPr>
          <w:rFonts w:hint="eastAsia" w:ascii="宋体" w:hAnsi="宋体" w:eastAsia="宋体" w:cs="宋体"/>
          <w:b/>
          <w:bCs/>
          <w:color w:val="000000"/>
          <w:sz w:val="24"/>
          <w:highlight w:val="none"/>
          <w:lang w:val="en-US" w:eastAsia="zh-CN"/>
        </w:rPr>
        <w:t xml:space="preserve">1、全钢边台</w:t>
      </w:r>
      <w:r>
        <w:rPr>
          <w:rFonts w:hint="eastAsia" w:ascii="宋体" w:hAnsi="宋体" w:eastAsia="宋体" w:cs="宋体"/>
          <w:b/>
          <w:bCs/>
          <w:color w:val="000000"/>
          <w:sz w:val="24"/>
          <w:highlight w:val="none"/>
          <w:lang w:val="en-US" w:eastAsia="zh-CN"/>
        </w:rPr>
      </w:r>
      <w:r/>
    </w:p>
    <w:p>
      <w:pPr>
        <w:pStyle w:val="1038"/>
        <w:ind w:firstLine="482"/>
        <w:keepLines w:val="0"/>
        <w:keepNext w:val="0"/>
        <w:pageBreakBefore w:val="0"/>
        <w:spacing w:line="240" w:lineRule="auto"/>
        <w:widowControl w:val="off"/>
        <w:rPr>
          <w:rFonts w:hint="eastAsia" w:ascii="宋体" w:hAnsi="宋体" w:eastAsia="宋体" w:cs="宋体"/>
          <w:b/>
          <w:bCs/>
          <w:color w:val="000000"/>
          <w:sz w:val="24"/>
          <w:szCs w:val="24"/>
          <w:highlight w:val="none"/>
          <w:lang w:val="en-US" w:eastAsia="zh-CN"/>
        </w:rPr>
        <w:outlineLvl w:val="2"/>
      </w:pPr>
      <w:r>
        <w:rPr>
          <w:rFonts w:hint="eastAsia" w:ascii="宋体" w:hAnsi="宋体" w:eastAsia="宋体" w:cs="宋体"/>
          <w:b/>
          <w:bCs/>
          <w:color w:val="000000"/>
          <w:sz w:val="24"/>
          <w:szCs w:val="24"/>
          <w:highlight w:val="none"/>
          <w:lang w:val="en-US" w:eastAsia="zh-CN"/>
        </w:rPr>
        <w:t xml:space="preserve">1.1 理化板台面</w:t>
      </w:r>
      <w:r>
        <w:rPr>
          <w:rFonts w:hint="eastAsia" w:ascii="宋体" w:hAnsi="宋体" w:eastAsia="宋体" w:cs="宋体"/>
          <w:b/>
          <w:bCs/>
          <w:color w:val="000000"/>
          <w:sz w:val="24"/>
          <w:szCs w:val="24"/>
          <w:highlight w:val="none"/>
          <w:lang w:val="en-US" w:eastAsia="zh-CN"/>
        </w:rPr>
      </w:r>
      <w:r/>
    </w:p>
    <w:p>
      <w:pPr>
        <w:pStyle w:val="1038"/>
        <w:ind w:firstLine="480"/>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台面要求耐化学腐蚀性能优越，抗刮痕；采用≥12.7mm厚度的优质耐腐蚀实芯耐蚀理化板，边缘背边加工带止水槽，打磨，呈弧型。台面应保持水平，拼接台面应保持在一个平面内。台面与柜体之间应连接稳固，台面不能脱落或翘起，且全面满足以下技术指标：</w:t>
      </w:r>
      <w:r>
        <w:rPr>
          <w:rFonts w:hint="eastAsia" w:ascii="宋体" w:hAnsi="宋体" w:eastAsia="宋体" w:cs="宋体"/>
          <w:color w:val="000000"/>
          <w:sz w:val="24"/>
          <w:szCs w:val="24"/>
          <w:highlight w:val="none"/>
          <w:lang w:val="en-US" w:eastAsia="zh-CN"/>
        </w:rPr>
      </w:r>
      <w:r/>
    </w:p>
    <w:p>
      <w:pPr>
        <w:pStyle w:val="1038"/>
        <w:numPr>
          <w:ilvl w:val="0"/>
          <w:numId w:val="0"/>
        </w:numPr>
        <w:ind w:firstLine="24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rPr>
        <w:t xml:space="preserve">化学全面性按照GB/T 17657-2022标准测试，耐化学试剂性能达到标准规定等级，适用于实验室各类常规试剂接触环境。</w:t>
      </w:r>
      <w:r>
        <w:rPr>
          <w:rFonts w:hint="eastAsia" w:ascii="宋体" w:hAnsi="宋体" w:eastAsia="宋体" w:cs="宋体"/>
          <w:color w:val="000000"/>
          <w:sz w:val="24"/>
          <w:szCs w:val="24"/>
          <w:highlight w:val="none"/>
          <w:lang w:val="en-US" w:eastAsia="zh-CN"/>
        </w:rPr>
      </w:r>
      <w:r/>
    </w:p>
    <w:p>
      <w:pPr>
        <w:pStyle w:val="1038"/>
        <w:numPr>
          <w:ilvl w:val="0"/>
          <w:numId w:val="0"/>
        </w:numPr>
        <w:ind w:firstLine="240"/>
        <w:jc w:val="left"/>
        <w:keepLines w:val="0"/>
        <w:keepNext w:val="0"/>
        <w:pageBreakBefore w:val="0"/>
        <w:spacing w:line="24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ascii="宋体" w:hAnsi="宋体" w:eastAsia="宋体" w:cs="宋体"/>
          <w:color w:val="000000"/>
          <w:sz w:val="24"/>
          <w:szCs w:val="24"/>
          <w:highlight w:val="none"/>
        </w:rPr>
        <w:t xml:space="preserve">提供第三方机构出具的有效检测报告</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环保性能：</w:t>
      </w:r>
      <w:r>
        <w:rPr>
          <w:rFonts w:ascii="宋体" w:hAnsi="宋体" w:eastAsia="宋体" w:cs="宋体"/>
          <w:color w:val="000000"/>
          <w:sz w:val="24"/>
          <w:szCs w:val="24"/>
          <w:highlight w:val="none"/>
        </w:rPr>
        <w:t xml:space="preserve">甲醛释放量按GB/T 39600-2021标准检测，符合国家ENF 级环保要求；TVOC、苯、二甲苯等有害物质释放量符合国家相关标准要求。</w:t>
      </w:r>
      <w:r>
        <w:rPr>
          <w:rFonts w:ascii="宋体" w:hAnsi="宋体" w:eastAsia="宋体" w:cs="宋体"/>
          <w:color w:val="000000"/>
          <w:sz w:val="24"/>
          <w:szCs w:val="24"/>
          <w:highlight w:val="none"/>
        </w:rPr>
      </w:r>
      <w:r/>
    </w:p>
    <w:p>
      <w:pPr>
        <w:pStyle w:val="1038"/>
        <w:numPr>
          <w:ilvl w:val="0"/>
          <w:numId w:val="0"/>
        </w:numPr>
        <w:ind w:firstLine="240"/>
        <w:jc w:val="left"/>
        <w:keepLines w:val="0"/>
        <w:keepNext w:val="0"/>
        <w:pageBreakBefore w:val="0"/>
        <w:spacing w:line="24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rPr>
        <w:t xml:space="preserve">燃烧性能须符合GB 8624-2012相关分级要求，燃烧性能及烟气毒性指标满足室内场所使用规范</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r>
      <w:r/>
    </w:p>
    <w:p>
      <w:pPr>
        <w:pStyle w:val="1038"/>
        <w:numPr>
          <w:ilvl w:val="0"/>
          <w:numId w:val="0"/>
        </w:numPr>
        <w:ind w:firstLine="240"/>
        <w:jc w:val="left"/>
        <w:keepLines w:val="0"/>
        <w:keepNext w:val="0"/>
        <w:pageBreakBefore w:val="0"/>
        <w:spacing w:line="24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rPr>
        <w:t xml:space="preserve">提供第三方机构出具的有效检测报告</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物理性能按照GB/T17657-2022相关技术要求检测，静曲强度、耐光色牢度、表面耐龟裂、表面耐污染、表面耐磨、耐黄变、握螺钉力等各项指标均符合标准规定；承重性能遵照GB/T 24820-2024执行，水平静载荷、台面挠度、跌落等试验结果均达标。</w:t>
      </w:r>
      <w:r>
        <w:rPr>
          <w:rFonts w:ascii="宋体" w:hAnsi="宋体" w:eastAsia="宋体" w:cs="宋体"/>
          <w:color w:val="000000"/>
          <w:sz w:val="24"/>
          <w:szCs w:val="24"/>
          <w:highlight w:val="none"/>
        </w:rPr>
      </w:r>
      <w:r/>
    </w:p>
    <w:p>
      <w:pPr>
        <w:pStyle w:val="1038"/>
        <w:ind w:firstLine="24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ascii="宋体" w:hAnsi="宋体" w:eastAsia="宋体" w:cs="宋体"/>
          <w:color w:val="000000"/>
          <w:sz w:val="24"/>
          <w:szCs w:val="24"/>
          <w:highlight w:val="none"/>
        </w:rPr>
        <w:t xml:space="preserve">为保障产品质量，</w:t>
      </w:r>
      <w:r>
        <w:rPr>
          <w:rFonts w:hint="eastAsia" w:ascii="宋体" w:hAnsi="宋体" w:eastAsia="宋体" w:cs="宋体"/>
          <w:color w:val="000000"/>
          <w:sz w:val="24"/>
          <w:szCs w:val="24"/>
          <w:highlight w:val="none"/>
        </w:rPr>
        <w:t xml:space="preserve">投标人自行出具针对本项目台面</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理化板台面</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的质保承诺函，承诺质保年限、售后维修更换责任</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中标后</w:t>
      </w:r>
      <w:r>
        <w:rPr>
          <w:rFonts w:hint="eastAsia" w:ascii="宋体" w:hAnsi="宋体" w:eastAsia="宋体" w:cs="宋体"/>
          <w:color w:val="000000"/>
          <w:sz w:val="24"/>
          <w:szCs w:val="24"/>
          <w:highlight w:val="none"/>
        </w:rPr>
        <w:t xml:space="preserve">同步提供台面板材原厂通用质量质保资料及检测报告，若存在弄虚作假行为，将取消其中标资格，并依法追究相关责任。</w:t>
      </w:r>
      <w:r>
        <w:rPr>
          <w:rFonts w:hint="eastAsia" w:ascii="宋体" w:hAnsi="宋体" w:eastAsia="宋体" w:cs="宋体"/>
          <w:color w:val="000000"/>
          <w:sz w:val="24"/>
          <w:szCs w:val="24"/>
          <w:highlight w:val="none"/>
          <w:lang w:val="en-US" w:eastAsia="zh-CN"/>
        </w:rPr>
      </w:r>
      <w:r/>
    </w:p>
    <w:p>
      <w:pPr>
        <w:pStyle w:val="1038"/>
        <w:ind w:firstLine="480"/>
        <w:keepLines w:val="0"/>
        <w:keepNext w:val="0"/>
        <w:pageBreakBefore w:val="0"/>
        <w:spacing w:before="0" w:after="0" w:line="360" w:lineRule="auto"/>
        <w:widowControl w:val="off"/>
        <w:rPr>
          <w:rFonts w:hint="eastAsia" w:ascii="宋体" w:hAnsi="宋体" w:eastAsia="宋体" w:cs="宋体"/>
          <w:b/>
          <w:bCs/>
          <w:color w:val="000000"/>
          <w:sz w:val="24"/>
          <w:highlight w:val="none"/>
          <w:lang w:val="en-US" w:eastAsia="zh-CN"/>
        </w:rPr>
        <w:outlineLvl w:val="3"/>
      </w:pPr>
      <w:r>
        <w:rPr>
          <w:rFonts w:hint="eastAsia" w:ascii="宋体" w:hAnsi="宋体" w:cs="宋体"/>
          <w:b/>
          <w:bCs/>
          <w:color w:val="000000"/>
          <w:sz w:val="24"/>
          <w:highlight w:val="none"/>
          <w:lang w:val="en-US" w:eastAsia="zh-CN"/>
        </w:rPr>
        <w:t xml:space="preserve">1</w:t>
      </w:r>
      <w:r>
        <w:rPr>
          <w:rFonts w:hint="eastAsia" w:ascii="宋体" w:hAnsi="宋体" w:eastAsia="宋体" w:cs="宋体"/>
          <w:b/>
          <w:bCs/>
          <w:color w:val="000000"/>
          <w:sz w:val="24"/>
          <w:highlight w:val="none"/>
          <w:lang w:val="en-US" w:eastAsia="zh-CN"/>
        </w:rPr>
        <w:t xml:space="preserve">.2实验柜</w:t>
      </w:r>
      <w:r>
        <w:rPr>
          <w:rFonts w:hint="eastAsia" w:ascii="宋体" w:hAnsi="宋体" w:eastAsia="宋体" w:cs="宋体"/>
          <w:b/>
          <w:bCs/>
          <w:color w:val="000000"/>
          <w:sz w:val="24"/>
          <w:highlight w:val="none"/>
          <w:lang w:val="en-US" w:eastAsia="zh-CN"/>
        </w:rPr>
      </w:r>
      <w:r/>
    </w:p>
    <w:p>
      <w:pPr>
        <w:pStyle w:val="1038"/>
        <w:numPr>
          <w:ilvl w:val="0"/>
          <w:numId w:val="0"/>
        </w:numPr>
        <w:ind w:firstLine="24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▲1.2.1</w:t>
      </w:r>
      <w:r>
        <w:rPr>
          <w:rFonts w:ascii="宋体" w:hAnsi="宋体" w:eastAsia="宋体" w:cs="宋体"/>
          <w:color w:val="000000"/>
          <w:sz w:val="24"/>
          <w:szCs w:val="24"/>
          <w:highlight w:val="none"/>
        </w:rPr>
        <w:t xml:space="preserve">提供第三方机构出具的有效检测报告</w:t>
      </w:r>
      <w:r>
        <w:rPr>
          <w:rFonts w:hint="eastAsia" w:ascii="宋体" w:hAnsi="宋体" w:eastAsia="宋体" w:cs="宋体"/>
          <w:color w:val="000000"/>
          <w:sz w:val="24"/>
          <w:highlight w:val="none"/>
          <w:lang w:val="en-US" w:eastAsia="zh-CN"/>
        </w:rPr>
        <w:t xml:space="preserve">，检验报告中的检验依据为GB24820-2024《实验室家具通用技术条件》，检测内容需包含外形尺寸偏差及形状位置公差、结构安全、软硬覆面表面理化性能、金属喷涂层理化性能、实验台力学性能。</w:t>
      </w:r>
      <w:r>
        <w:rPr>
          <w:rFonts w:hint="eastAsia" w:ascii="宋体" w:hAnsi="宋体" w:eastAsia="宋体" w:cs="宋体"/>
          <w:color w:val="000000"/>
          <w:sz w:val="24"/>
          <w:highlight w:val="none"/>
          <w:lang w:val="en-US" w:eastAsia="zh-CN"/>
        </w:rPr>
      </w:r>
      <w:r/>
    </w:p>
    <w:p>
      <w:pPr>
        <w:pStyle w:val="1038"/>
        <w:numPr>
          <w:ilvl w:val="0"/>
          <w:numId w:val="0"/>
        </w:numPr>
        <w:ind w:firstLine="24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▲1.2.1.1</w:t>
      </w:r>
      <w:r>
        <w:rPr>
          <w:rFonts w:ascii="宋体" w:hAnsi="宋体" w:eastAsia="宋体" w:cs="宋体"/>
          <w:color w:val="000000"/>
          <w:sz w:val="24"/>
          <w:szCs w:val="24"/>
          <w:highlight w:val="none"/>
        </w:rPr>
        <w:t xml:space="preserve">提供第三方机构出具的有效检测报告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highlight w:val="none"/>
          <w:lang w:val="en-US" w:eastAsia="zh-CN"/>
        </w:rPr>
        <w:t xml:space="preserve">检测依据GB/T21866-2008标准执行，对金黄色葡萄球菌、大肠杆菌、肺炎克雷伯氏菌等菌种开展抗菌性能检测，各项抗菌指标均符合标准相关技术要求。</w:t>
      </w:r>
      <w:r>
        <w:rPr>
          <w:rFonts w:hint="eastAsia" w:ascii="宋体" w:hAnsi="宋体" w:eastAsia="宋体" w:cs="宋体"/>
          <w:color w:val="000000"/>
          <w:sz w:val="24"/>
          <w:highlight w:val="none"/>
          <w:lang w:val="en-US" w:eastAsia="zh-CN"/>
        </w:rPr>
      </w:r>
      <w:r/>
    </w:p>
    <w:p>
      <w:pPr>
        <w:pStyle w:val="1038"/>
        <w:numPr>
          <w:ilvl w:val="0"/>
          <w:numId w:val="0"/>
        </w:numPr>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highlight w:val="none"/>
          <w:lang w:val="en-US" w:eastAsia="zh-CN"/>
        </w:rPr>
        <w:t xml:space="preserve">1.2.1.2参照GB/T1741-2020检测标准：黄曲霉，宛氏拟青霉，出芽短梗霉，腊叶芽枝霉，黑曲霉菌等不少于9种，耐霉菌性能均达到0级。</w:t>
      </w:r>
      <w:r>
        <w:rPr>
          <w:rFonts w:hint="eastAsia" w:ascii="宋体" w:hAnsi="宋体" w:eastAsia="宋体" w:cs="宋体"/>
          <w:color w:val="000000"/>
          <w:sz w:val="24"/>
          <w:szCs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1.2.2工艺要求：</w:t>
      </w:r>
      <w:r>
        <w:rPr>
          <w:rFonts w:hint="eastAsia" w:ascii="宋体" w:hAnsi="宋体" w:eastAsia="宋体" w:cs="宋体"/>
          <w:color w:val="000000"/>
          <w:sz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1.2.2.1各种配件安装应严密、平整、端正、牢固、结合处应无崩茬或松动。金属配件应做除锈和防腐处理。</w:t>
      </w:r>
      <w:r>
        <w:rPr>
          <w:rFonts w:hint="eastAsia" w:ascii="宋体" w:hAnsi="宋体" w:eastAsia="宋体" w:cs="宋体"/>
          <w:color w:val="000000"/>
          <w:sz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1.2.2.2 柜体接缝处要求≤5mm；门板与门板间缝≤3mm；整体尺寸误差≤10mm，要求水平、稳固。</w:t>
      </w:r>
      <w:r>
        <w:rPr>
          <w:rFonts w:hint="eastAsia" w:ascii="宋体" w:hAnsi="宋体" w:eastAsia="宋体" w:cs="宋体"/>
          <w:color w:val="000000"/>
          <w:sz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1.2.2.3 所有水、电、气路要求安全、适用，并隐藏式安装。</w:t>
      </w:r>
      <w:r>
        <w:rPr>
          <w:rFonts w:hint="eastAsia" w:ascii="宋体" w:hAnsi="宋体" w:eastAsia="宋体" w:cs="宋体"/>
          <w:color w:val="000000"/>
          <w:sz w:val="24"/>
          <w:highlight w:val="none"/>
          <w:lang w:val="en-US" w:eastAsia="zh-CN"/>
        </w:rPr>
      </w:r>
      <w:r/>
    </w:p>
    <w:p>
      <w:pPr>
        <w:pStyle w:val="1038"/>
        <w:ind w:firstLine="480"/>
        <w:jc w:val="left"/>
        <w:keepLines w:val="0"/>
        <w:keepNext w:val="0"/>
        <w:pageBreakBefore w:val="0"/>
        <w:spacing w:line="24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1.2.3柜体要求</w:t>
      </w:r>
      <w:r>
        <w:rPr>
          <w:rFonts w:ascii="宋体" w:hAnsi="宋体" w:eastAsia="宋体" w:cs="宋体"/>
          <w:color w:val="000000"/>
          <w:sz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1.2.3.1钢制柜体：</w:t>
      </w:r>
      <w:r>
        <w:rPr>
          <w:rFonts w:hint="eastAsia" w:ascii="宋体" w:hAnsi="宋体" w:eastAsia="宋体" w:cs="宋体"/>
          <w:color w:val="000000"/>
          <w:sz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▲1.2.3.1.1</w:t>
      </w:r>
      <w:r>
        <w:rPr>
          <w:rFonts w:ascii="宋体" w:hAnsi="宋体" w:eastAsia="宋体" w:cs="宋体"/>
          <w:color w:val="000000"/>
          <w:sz w:val="24"/>
          <w:szCs w:val="24"/>
          <w:highlight w:val="none"/>
        </w:rPr>
        <w:t xml:space="preserve">提供第三方机构出具的有效检测报告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highlight w:val="none"/>
          <w:lang w:val="en-US" w:eastAsia="zh-CN"/>
        </w:rPr>
        <w:t xml:space="preserve">钢制柜体测试报告内容包括：柜加载试验；柜集中加载试验；柜扭曲试验；门铰链试验；门冲击试验；门循环试验；抽屉静载试验；抽屉冲击试验；抽屉内部滚动冲击试验；抽屉循环试验；搁板静载试验等项目。</w:t>
      </w:r>
      <w:r>
        <w:rPr>
          <w:rFonts w:hint="eastAsia" w:ascii="宋体" w:hAnsi="宋体" w:eastAsia="宋体" w:cs="宋体"/>
          <w:color w:val="000000"/>
          <w:sz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1.2.3.1.2</w:t>
      </w:r>
      <w:r>
        <w:rPr>
          <w:rFonts w:hint="eastAsia" w:ascii="宋体" w:hAnsi="宋体" w:eastAsia="宋体" w:cs="宋体"/>
          <w:color w:val="000000"/>
          <w:sz w:val="24"/>
          <w:highlight w:val="none"/>
          <w:lang w:val="en-US" w:eastAsia="zh-CN"/>
        </w:rPr>
        <w:t xml:space="preserve">柜体性能依据GB/T 13448-2019标准进行检测，经耐水浸泡、耐酸碱溶液浸泡试验后，外观色泽及光泽变化情况符合标准技术要求。</w:t>
      </w:r>
      <w:r>
        <w:rPr>
          <w:rFonts w:hint="eastAsia" w:ascii="宋体" w:hAnsi="宋体" w:eastAsia="宋体" w:cs="宋体"/>
          <w:color w:val="000000"/>
          <w:sz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1.2.3.1.3钢制柜体主结构、抽屉、门板、活动层板、试剂架、水电管道功能立柱、装饰封板等钢材基本厚度≥1.0mm冷轧碳素钢板；表面使用品牌环氧树脂粉末喷涂防腐处理。</w:t>
      </w:r>
      <w:r>
        <w:rPr>
          <w:rFonts w:hint="eastAsia" w:ascii="宋体" w:hAnsi="宋体" w:eastAsia="宋体" w:cs="宋体"/>
          <w:color w:val="000000"/>
          <w:sz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1.2.3.1.4实验台需符合GB/T 35607-2024《绿色产品评价家具》标准，桌面水平耐久</w:t>
      </w:r>
      <w:r>
        <w:rPr>
          <w:rFonts w:hint="eastAsia" w:ascii="宋体" w:hAnsi="宋体" w:eastAsia="宋体" w:cs="宋体"/>
          <w:color w:val="000000"/>
          <w:sz w:val="24"/>
          <w:highlight w:val="none"/>
          <w:lang w:val="en-US" w:eastAsia="zh-CN"/>
        </w:rPr>
        <w:t xml:space="preserve">性符合标准规定，产品有害物质甲醛释放量、苯、甲苯、二甲苯、总挥发性有机化合物（TVOC)</w:t>
      </w:r>
      <w:r>
        <w:rPr>
          <w:rFonts w:ascii="宋体" w:hAnsi="宋体" w:eastAsia="宋体" w:cs="宋体"/>
          <w:color w:val="000000"/>
          <w:sz w:val="24"/>
          <w:szCs w:val="24"/>
          <w:highlight w:val="none"/>
        </w:rPr>
        <w:t xml:space="preserve">等有害物质指标均满足标准规定</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▲1.2.3.1.5</w:t>
      </w:r>
      <w:r>
        <w:rPr>
          <w:rFonts w:ascii="宋体" w:hAnsi="宋体" w:eastAsia="宋体" w:cs="宋体"/>
          <w:color w:val="000000"/>
          <w:sz w:val="24"/>
          <w:szCs w:val="24"/>
          <w:highlight w:val="none"/>
        </w:rPr>
        <w:t xml:space="preserve">提供第三方机构出具的有效检测报告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highlight w:val="none"/>
          <w:lang w:val="en-US" w:eastAsia="zh-CN"/>
        </w:rPr>
        <w:t xml:space="preserve">钢制件喷涂符合HJ2547-2016《环境标志产品技术要求家具》标准，提供包括钡、铬、镉、铅、汞、硒、锑、砷等重金属物均未检出的检测报告。</w:t>
      </w:r>
      <w:r>
        <w:rPr>
          <w:rFonts w:hint="eastAsia" w:ascii="宋体" w:hAnsi="宋体" w:eastAsia="宋体" w:cs="宋体"/>
          <w:color w:val="000000"/>
          <w:sz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highlight w:val="none"/>
          <w:lang w:val="en-US" w:eastAsia="zh-CN"/>
        </w:rPr>
        <w:t xml:space="preserve">1.2.3.1.6</w:t>
      </w:r>
      <w:r>
        <w:rPr>
          <w:rFonts w:ascii="宋体" w:hAnsi="宋体" w:eastAsia="宋体" w:cs="宋体"/>
          <w:color w:val="000000"/>
          <w:sz w:val="24"/>
          <w:szCs w:val="24"/>
          <w:highlight w:val="none"/>
        </w:rPr>
        <w:t xml:space="preserve">实验台相关性能按</w:t>
      </w:r>
      <w:r>
        <w:rPr>
          <w:rFonts w:ascii="宋体" w:hAnsi="宋体" w:eastAsia="宋体" w:cs="宋体"/>
          <w:color w:val="000000"/>
          <w:sz w:val="24"/>
          <w:szCs w:val="24"/>
          <w:highlight w:val="none"/>
        </w:rPr>
        <w:t xml:space="preserve">照GB/T3325-2024标准开</w:t>
      </w:r>
      <w:r>
        <w:rPr>
          <w:rFonts w:ascii="宋体" w:hAnsi="宋体" w:eastAsia="宋体" w:cs="宋体"/>
          <w:color w:val="000000"/>
          <w:sz w:val="24"/>
          <w:szCs w:val="24"/>
          <w:highlight w:val="none"/>
        </w:rPr>
        <w:t xml:space="preserve">展盐雾试验，防腐防锈性能符合该标准相关技术规定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1.2.3.1.7柜体门板为双层结构，内外面均经环氧树脂粉末静电喷涂，配置门扣组及缓冲垫；</w:t>
      </w:r>
      <w:r>
        <w:rPr>
          <w:rFonts w:hint="eastAsia" w:ascii="宋体" w:hAnsi="宋体" w:eastAsia="宋体" w:cs="宋体"/>
          <w:color w:val="000000"/>
          <w:sz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1.2.3.1.8抽屉面板为双层结构，内外面均经环氧树脂粉末静电喷涂；抽屉底部和四面抽墙为钢板一体成形设计，配置缓冲垫，以避免与柜体钢板碰撞，拆卸方便。</w:t>
      </w:r>
      <w:r>
        <w:rPr>
          <w:rFonts w:hint="eastAsia" w:ascii="宋体" w:hAnsi="宋体" w:eastAsia="宋体" w:cs="宋体"/>
          <w:color w:val="000000"/>
          <w:sz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1.2.3.1.9活动背板：采用≥1.0mm厚冷连轧碳素钢板，表面使用环氧树脂粉末喷涂防腐处理；配暗扣拉手，不用辅助工具可手工拆卸。</w:t>
      </w:r>
      <w:r>
        <w:rPr>
          <w:rFonts w:hint="eastAsia" w:ascii="宋体" w:hAnsi="宋体" w:eastAsia="宋体" w:cs="宋体"/>
          <w:color w:val="000000"/>
          <w:sz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1.2.3.1.10柜体五金及配件：</w:t>
      </w:r>
      <w:r>
        <w:rPr>
          <w:rFonts w:hint="eastAsia" w:ascii="宋体" w:hAnsi="宋体" w:eastAsia="宋体" w:cs="宋体"/>
          <w:color w:val="000000"/>
          <w:sz w:val="24"/>
          <w:highlight w:val="none"/>
          <w:lang w:val="en-US" w:eastAsia="zh-CN"/>
        </w:rPr>
      </w:r>
      <w:r/>
    </w:p>
    <w:p>
      <w:pPr>
        <w:pStyle w:val="1038"/>
        <w:ind w:firstLine="480"/>
        <w:jc w:val="left"/>
        <w:keepLines w:val="0"/>
        <w:keepNext w:val="0"/>
        <w:pageBreakBefore w:val="0"/>
        <w:spacing w:line="240" w:lineRule="auto"/>
        <w:rPr>
          <w:rFonts w:ascii="宋体" w:hAnsi="宋体" w:eastAsia="宋体" w:cs="宋体"/>
          <w:color w:val="000000"/>
          <w:sz w:val="24"/>
          <w:szCs w:val="24"/>
          <w:highlight w:val="none"/>
        </w:rPr>
      </w:pPr>
      <w:r>
        <w:rPr>
          <w:rFonts w:hint="eastAsia" w:ascii="宋体" w:hAnsi="宋体" w:eastAsia="宋体" w:cs="宋体"/>
          <w:color w:val="000000"/>
          <w:sz w:val="24"/>
          <w:highlight w:val="none"/>
          <w:lang w:val="en-US" w:eastAsia="zh-CN"/>
        </w:rPr>
        <w:t xml:space="preserve">1）合页：</w:t>
      </w:r>
      <w:r>
        <w:rPr>
          <w:rFonts w:ascii="宋体" w:hAnsi="宋体" w:eastAsia="宋体" w:cs="宋体"/>
          <w:color w:val="000000"/>
          <w:sz w:val="24"/>
          <w:szCs w:val="24"/>
          <w:highlight w:val="none"/>
        </w:rPr>
        <w:t xml:space="preserve">合页选用 304 及以上不锈钢材质，厚度不低于 1.5mm，适配本项目门板承重需求，材质耐酸碱腐蚀性能符合相关通用技术规范与使用环境要求。</w:t>
      </w:r>
      <w:r>
        <w:rPr>
          <w:rFonts w:ascii="宋体" w:hAnsi="宋体" w:eastAsia="宋体" w:cs="宋体"/>
          <w:color w:val="000000"/>
          <w:sz w:val="24"/>
          <w:szCs w:val="24"/>
          <w:highlight w:val="none"/>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2）把手：采用304及以上不锈钢材质把手或一体成型拉手。</w:t>
      </w:r>
      <w:r>
        <w:rPr>
          <w:rFonts w:hint="eastAsia" w:ascii="宋体" w:hAnsi="宋体" w:eastAsia="宋体" w:cs="宋体"/>
          <w:color w:val="000000"/>
          <w:sz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3）层板支撑扣：采用厚1.2mm及以上的304及以上不锈钢材质。</w:t>
      </w:r>
      <w:r>
        <w:rPr>
          <w:rFonts w:hint="eastAsia" w:ascii="宋体" w:hAnsi="宋体" w:eastAsia="宋体" w:cs="宋体"/>
          <w:color w:val="000000"/>
          <w:sz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1038"/>
        <w:numPr>
          <w:ilvl w:val="0"/>
          <w:numId w:val="42"/>
        </w:numPr>
        <w:ind w:firstLine="482"/>
        <w:keepLines w:val="0"/>
        <w:keepNext w:val="0"/>
        <w:pageBreakBefore w:val="0"/>
        <w:spacing w:before="0" w:after="0" w:line="360" w:lineRule="auto"/>
        <w:widowControl w:val="off"/>
        <w:rPr>
          <w:rFonts w:hint="eastAsia" w:ascii="宋体" w:hAnsi="宋体" w:cs="宋体"/>
          <w:b/>
          <w:bCs/>
          <w:color w:val="000000"/>
          <w:sz w:val="24"/>
          <w:highlight w:val="none"/>
          <w:lang w:val="en-US" w:eastAsia="zh-CN"/>
        </w:rPr>
        <w:outlineLvl w:val="2"/>
      </w:pPr>
      <w:r>
        <w:rPr>
          <w:rFonts w:hint="eastAsia" w:ascii="宋体" w:hAnsi="宋体" w:eastAsia="宋体" w:cs="宋体"/>
          <w:b/>
          <w:bCs/>
          <w:color w:val="000000"/>
          <w:sz w:val="24"/>
          <w:highlight w:val="none"/>
          <w:lang w:val="en-US" w:eastAsia="zh-CN"/>
        </w:rPr>
        <w:t xml:space="preserve">通风柜</w:t>
      </w:r>
      <w:r>
        <w:rPr>
          <w:rFonts w:hint="eastAsia" w:ascii="宋体" w:hAnsi="宋体" w:cs="宋体"/>
          <w:b/>
          <w:bCs/>
          <w:color w:val="000000"/>
          <w:sz w:val="24"/>
          <w:highlight w:val="none"/>
          <w:lang w:val="en-US" w:eastAsia="zh-CN"/>
        </w:rPr>
      </w:r>
      <w:r/>
    </w:p>
    <w:p>
      <w:pPr>
        <w:pStyle w:val="1038"/>
        <w:ind w:firstLine="480"/>
        <w:jc w:val="left"/>
        <w:keepLines w:val="0"/>
        <w:keepNext w:val="0"/>
        <w:pageBreakBefore w:val="0"/>
        <w:spacing w:line="24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2.1通用技术要求：</w:t>
      </w:r>
      <w:r>
        <w:rPr>
          <w:rFonts w:ascii="宋体" w:hAnsi="宋体" w:eastAsia="宋体" w:cs="宋体"/>
          <w:color w:val="000000"/>
          <w:sz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zh-TW" w:eastAsia="zh-CN"/>
        </w:rPr>
        <w:t xml:space="preserve">实验室专用排风设备的材料及其配套件性能、技术及其安装位置应满足招标人提供的有关文件和设计要求：</w:t>
      </w:r>
      <w:r>
        <w:rPr>
          <w:rFonts w:hint="eastAsia" w:ascii="宋体" w:hAnsi="宋体" w:eastAsia="宋体" w:cs="宋体"/>
          <w:color w:val="000000"/>
          <w:sz w:val="24"/>
          <w:highlight w:val="none"/>
          <w:lang w:val="zh-TW"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2.1.1</w:t>
      </w:r>
      <w:r>
        <w:rPr>
          <w:rFonts w:hint="eastAsia" w:ascii="宋体" w:hAnsi="宋体" w:eastAsia="宋体" w:cs="宋体"/>
          <w:color w:val="000000"/>
          <w:sz w:val="24"/>
          <w:highlight w:val="none"/>
          <w:lang w:val="zh-TW" w:eastAsia="zh-CN"/>
        </w:rPr>
        <w:t xml:space="preserve">排风柜整体结构采用</w:t>
      </w:r>
      <w:r>
        <w:rPr>
          <w:rFonts w:hint="eastAsia" w:ascii="宋体" w:hAnsi="宋体" w:eastAsia="宋体" w:cs="宋体"/>
          <w:color w:val="000000"/>
          <w:sz w:val="24"/>
          <w:highlight w:val="none"/>
          <w:lang w:val="en-US" w:eastAsia="zh-CN"/>
        </w:rPr>
        <w:t xml:space="preserve">优质冷轧钢板</w:t>
      </w:r>
      <w:r>
        <w:rPr>
          <w:rFonts w:hint="eastAsia" w:ascii="宋体" w:hAnsi="宋体" w:eastAsia="宋体" w:cs="宋体"/>
          <w:color w:val="000000"/>
          <w:sz w:val="24"/>
          <w:highlight w:val="none"/>
          <w:lang w:val="zh-TW" w:eastAsia="zh-CN"/>
        </w:rPr>
        <w:t xml:space="preserve">及工业铝合金型材制作。（不接受铝合金型材+木制板材组合结构）</w:t>
      </w:r>
      <w:r>
        <w:rPr>
          <w:rFonts w:hint="eastAsia" w:ascii="宋体" w:hAnsi="宋体" w:eastAsia="宋体" w:cs="宋体"/>
          <w:color w:val="000000"/>
          <w:sz w:val="24"/>
          <w:highlight w:val="none"/>
          <w:lang w:val="zh-TW"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2.1.2</w:t>
      </w:r>
      <w:r>
        <w:rPr>
          <w:rFonts w:hint="eastAsia" w:ascii="宋体" w:hAnsi="宋体" w:eastAsia="宋体" w:cs="宋体"/>
          <w:color w:val="000000"/>
          <w:sz w:val="24"/>
          <w:highlight w:val="none"/>
          <w:lang w:val="zh-TW" w:eastAsia="zh-CN"/>
        </w:rPr>
        <w:t xml:space="preserve">主体支撑采用</w:t>
      </w:r>
      <w:r>
        <w:rPr>
          <w:rFonts w:hint="eastAsia" w:ascii="宋体" w:hAnsi="宋体" w:eastAsia="宋体" w:cs="宋体"/>
          <w:color w:val="000000"/>
          <w:sz w:val="24"/>
          <w:highlight w:val="none"/>
          <w:lang w:val="en-US" w:eastAsia="zh-CN"/>
        </w:rPr>
        <w:t xml:space="preserve">全钢材料，</w:t>
      </w:r>
      <w:r>
        <w:rPr>
          <w:rFonts w:hint="eastAsia" w:ascii="宋体" w:hAnsi="宋体" w:eastAsia="宋体" w:cs="宋体"/>
          <w:color w:val="000000"/>
          <w:sz w:val="24"/>
          <w:highlight w:val="none"/>
          <w:lang w:val="zh-TW" w:eastAsia="zh-CN"/>
        </w:rPr>
        <w:t xml:space="preserve">厚度≥</w:t>
      </w:r>
      <w:r>
        <w:rPr>
          <w:rFonts w:hint="eastAsia" w:ascii="宋体" w:hAnsi="宋体" w:eastAsia="宋体" w:cs="宋体"/>
          <w:color w:val="000000"/>
          <w:sz w:val="24"/>
          <w:highlight w:val="none"/>
          <w:lang w:val="en-US" w:eastAsia="zh-CN"/>
        </w:rPr>
        <w:t xml:space="preserve">1.2</w:t>
      </w:r>
      <w:r>
        <w:rPr>
          <w:rFonts w:hint="eastAsia" w:ascii="宋体" w:hAnsi="宋体" w:eastAsia="宋体" w:cs="宋体"/>
          <w:color w:val="000000"/>
          <w:sz w:val="24"/>
          <w:highlight w:val="none"/>
          <w:lang w:val="zh-TW" w:eastAsia="zh-CN"/>
        </w:rPr>
        <w:t xml:space="preserve">mm</w:t>
      </w:r>
      <w:r>
        <w:rPr>
          <w:rFonts w:hint="eastAsia" w:ascii="宋体" w:hAnsi="宋体" w:eastAsia="宋体" w:cs="宋体"/>
          <w:color w:val="000000"/>
          <w:sz w:val="24"/>
          <w:highlight w:val="none"/>
          <w:lang w:val="en-US" w:eastAsia="zh-CN"/>
        </w:rPr>
        <w:t xml:space="preserve">首钢优质冷轧钢板</w:t>
      </w:r>
      <w:r>
        <w:rPr>
          <w:rFonts w:hint="eastAsia" w:ascii="宋体" w:hAnsi="宋体" w:eastAsia="宋体" w:cs="宋体"/>
          <w:color w:val="000000"/>
          <w:sz w:val="24"/>
          <w:highlight w:val="none"/>
          <w:lang w:val="zh-TW" w:eastAsia="zh-CN"/>
        </w:rPr>
        <w:t xml:space="preserve">，表面为耐腐蚀材料；</w:t>
      </w:r>
      <w:bookmarkStart w:id="110" w:name="_Hlk188355902"/>
      <w:r>
        <w:rPr>
          <w:rFonts w:hint="eastAsia" w:ascii="宋体" w:hAnsi="宋体" w:eastAsia="宋体" w:cs="宋体"/>
          <w:color w:val="000000"/>
          <w:sz w:val="24"/>
          <w:highlight w:val="none"/>
          <w:lang w:val="zh-TW" w:eastAsia="zh-CN"/>
        </w:rPr>
        <w:t xml:space="preserve">工业铝合金型材主体厚度≥1.5mm；</w:t>
      </w:r>
      <w:bookmarkEnd w:id="110"/>
      <w:r>
        <w:rPr>
          <w:rFonts w:hint="eastAsia" w:ascii="宋体" w:hAnsi="宋体" w:eastAsia="宋体" w:cs="宋体"/>
          <w:color w:val="000000"/>
          <w:sz w:val="24"/>
          <w:highlight w:val="none"/>
          <w:lang w:val="zh-TW" w:eastAsia="zh-CN"/>
        </w:rPr>
        <w:t xml:space="preserve">工作台面下方内部空间可布置公用设施管道、配件等。</w:t>
      </w:r>
      <w:r>
        <w:rPr>
          <w:rFonts w:hint="eastAsia" w:ascii="宋体" w:hAnsi="宋体" w:eastAsia="宋体" w:cs="宋体"/>
          <w:color w:val="000000"/>
          <w:sz w:val="24"/>
          <w:highlight w:val="none"/>
          <w:lang w:val="zh-TW"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2.1.3</w:t>
      </w:r>
      <w:r>
        <w:rPr>
          <w:rFonts w:hint="eastAsia" w:ascii="宋体" w:hAnsi="宋体" w:eastAsia="宋体" w:cs="宋体"/>
          <w:color w:val="000000"/>
          <w:sz w:val="24"/>
          <w:highlight w:val="none"/>
          <w:lang w:val="zh-TW" w:eastAsia="zh-CN"/>
        </w:rPr>
        <w:t xml:space="preserve">为方便后期产品维修维护便捷，产品上</w:t>
      </w:r>
      <w:r>
        <w:rPr>
          <w:rFonts w:hint="eastAsia" w:ascii="宋体" w:hAnsi="宋体" w:eastAsia="宋体" w:cs="宋体"/>
          <w:color w:val="000000"/>
          <w:sz w:val="24"/>
          <w:highlight w:val="none"/>
          <w:lang w:val="en-US" w:eastAsia="zh-CN"/>
        </w:rPr>
        <w:t xml:space="preserve">面板具备</w:t>
      </w:r>
      <w:r>
        <w:rPr>
          <w:rFonts w:hint="eastAsia" w:ascii="宋体" w:hAnsi="宋体" w:eastAsia="宋体" w:cs="宋体"/>
          <w:color w:val="000000"/>
          <w:sz w:val="24"/>
          <w:highlight w:val="none"/>
          <w:lang w:val="zh-TW" w:eastAsia="zh-CN"/>
        </w:rPr>
        <w:t xml:space="preserve">上翻打开结构，</w:t>
      </w:r>
      <w:r>
        <w:rPr>
          <w:rFonts w:hint="eastAsia" w:ascii="宋体" w:hAnsi="宋体" w:eastAsia="宋体" w:cs="宋体"/>
          <w:color w:val="000000"/>
          <w:sz w:val="24"/>
          <w:highlight w:val="none"/>
          <w:lang w:val="en-US" w:eastAsia="zh-CN"/>
        </w:rPr>
        <w:t xml:space="preserve">方便</w:t>
      </w:r>
      <w:r>
        <w:rPr>
          <w:rFonts w:hint="eastAsia" w:ascii="宋体" w:hAnsi="宋体" w:eastAsia="宋体" w:cs="宋体"/>
          <w:color w:val="000000"/>
          <w:sz w:val="24"/>
          <w:highlight w:val="none"/>
          <w:lang w:val="zh-TW" w:eastAsia="zh-CN"/>
        </w:rPr>
        <w:t xml:space="preserve">检修维护等。</w:t>
      </w:r>
      <w:r>
        <w:rPr>
          <w:rFonts w:hint="eastAsia" w:ascii="宋体" w:hAnsi="宋体" w:eastAsia="宋体" w:cs="宋体"/>
          <w:color w:val="000000"/>
          <w:sz w:val="24"/>
          <w:highlight w:val="none"/>
          <w:lang w:val="zh-TW"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2.1.4</w:t>
      </w:r>
      <w:r>
        <w:rPr>
          <w:rFonts w:hint="eastAsia" w:ascii="宋体" w:hAnsi="宋体" w:eastAsia="宋体" w:cs="宋体"/>
          <w:color w:val="000000"/>
          <w:sz w:val="24"/>
          <w:highlight w:val="none"/>
          <w:lang w:val="zh-TW" w:eastAsia="zh-CN"/>
        </w:rPr>
        <w:t xml:space="preserve">所有</w:t>
      </w:r>
      <w:r>
        <w:rPr>
          <w:rFonts w:hint="eastAsia" w:ascii="宋体" w:hAnsi="宋体" w:eastAsia="宋体" w:cs="宋体"/>
          <w:color w:val="000000"/>
          <w:sz w:val="24"/>
          <w:highlight w:val="none"/>
          <w:lang w:val="en-US" w:eastAsia="zh-CN"/>
        </w:rPr>
        <w:t xml:space="preserve">金属</w:t>
      </w:r>
      <w:r>
        <w:rPr>
          <w:rFonts w:hint="eastAsia" w:ascii="宋体" w:hAnsi="宋体" w:eastAsia="宋体" w:cs="宋体"/>
          <w:color w:val="000000"/>
          <w:sz w:val="24"/>
          <w:highlight w:val="none"/>
          <w:lang w:val="zh-TW" w:eastAsia="zh-CN"/>
        </w:rPr>
        <w:t xml:space="preserve">表面</w:t>
      </w:r>
      <w:r>
        <w:rPr>
          <w:rFonts w:hint="eastAsia" w:ascii="宋体" w:hAnsi="宋体" w:eastAsia="宋体" w:cs="宋体"/>
          <w:color w:val="000000"/>
          <w:sz w:val="24"/>
          <w:highlight w:val="none"/>
          <w:lang w:val="en-US" w:eastAsia="zh-CN"/>
        </w:rPr>
        <w:t xml:space="preserve">需</w:t>
      </w:r>
      <w:r>
        <w:rPr>
          <w:rFonts w:hint="eastAsia" w:ascii="宋体" w:hAnsi="宋体" w:eastAsia="宋体" w:cs="宋体"/>
          <w:color w:val="000000"/>
          <w:sz w:val="24"/>
          <w:highlight w:val="none"/>
          <w:lang w:val="zh-TW" w:eastAsia="zh-CN"/>
        </w:rPr>
        <w:t xml:space="preserve">喷涂处理，涂层厚度≥50μm，平整光滑，不允许有喷涂层脱落、鼓泡、凹陷、压痕以及表面划伤、麻点、裂痕、崩角和刃口等。</w:t>
      </w:r>
      <w:r>
        <w:rPr>
          <w:rFonts w:hint="eastAsia" w:ascii="宋体" w:hAnsi="宋体" w:eastAsia="宋体" w:cs="宋体"/>
          <w:color w:val="000000"/>
          <w:sz w:val="24"/>
          <w:highlight w:val="none"/>
          <w:lang w:val="zh-TW"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2.1.5</w:t>
      </w:r>
      <w:r>
        <w:rPr>
          <w:rFonts w:hint="eastAsia" w:ascii="宋体" w:hAnsi="宋体" w:eastAsia="宋体" w:cs="宋体"/>
          <w:color w:val="000000"/>
          <w:sz w:val="24"/>
          <w:highlight w:val="none"/>
          <w:lang w:val="zh-TW" w:eastAsia="zh-CN"/>
        </w:rPr>
        <w:t xml:space="preserve">喷涂后</w:t>
      </w:r>
      <w:r>
        <w:rPr>
          <w:rFonts w:hint="eastAsia" w:ascii="宋体" w:hAnsi="宋体" w:eastAsia="宋体" w:cs="宋体"/>
          <w:color w:val="000000"/>
          <w:sz w:val="24"/>
          <w:highlight w:val="none"/>
          <w:lang w:val="en-US" w:eastAsia="zh-CN"/>
        </w:rPr>
        <w:t xml:space="preserve">的金属表</w:t>
      </w:r>
      <w:r>
        <w:rPr>
          <w:rFonts w:hint="eastAsia" w:ascii="宋体" w:hAnsi="宋体" w:eastAsia="宋体" w:cs="宋体"/>
          <w:color w:val="000000"/>
          <w:sz w:val="24"/>
          <w:highlight w:val="none"/>
          <w:lang w:val="zh-TW" w:eastAsia="zh-CN"/>
        </w:rPr>
        <w:t xml:space="preserve">面呈高亮光效果，密度高，具有更优秀的防腐蚀能力。</w:t>
      </w:r>
      <w:r>
        <w:rPr>
          <w:rFonts w:hint="eastAsia" w:ascii="宋体" w:hAnsi="宋体" w:eastAsia="宋体" w:cs="宋体"/>
          <w:color w:val="000000"/>
          <w:sz w:val="24"/>
          <w:highlight w:val="none"/>
          <w:lang w:val="en-US" w:eastAsia="zh-CN"/>
        </w:rPr>
        <w:t xml:space="preserve">（不接受哑光漆面和皱纹漆面）</w:t>
      </w:r>
      <w:r>
        <w:rPr>
          <w:rFonts w:hint="eastAsia" w:ascii="宋体" w:hAnsi="宋体" w:eastAsia="宋体" w:cs="宋体"/>
          <w:color w:val="000000"/>
          <w:sz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2.1.6</w:t>
      </w:r>
      <w:r>
        <w:rPr>
          <w:rFonts w:hint="eastAsia" w:ascii="宋体" w:hAnsi="宋体" w:eastAsia="宋体" w:cs="宋体"/>
          <w:color w:val="000000"/>
          <w:sz w:val="24"/>
          <w:highlight w:val="none"/>
          <w:lang w:val="zh-TW" w:eastAsia="zh-CN"/>
        </w:rPr>
        <w:t xml:space="preserve">预处理：脱脂、水洗、酸洗、水洗中和、磷化、水洗等过程或纳米陶化前处理技术。</w:t>
      </w:r>
      <w:r>
        <w:rPr>
          <w:rFonts w:hint="eastAsia" w:ascii="宋体" w:hAnsi="宋体" w:eastAsia="宋体" w:cs="宋体"/>
          <w:color w:val="000000"/>
          <w:sz w:val="24"/>
          <w:highlight w:val="none"/>
          <w:lang w:val="zh-TW"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2.1.7</w:t>
      </w:r>
      <w:r>
        <w:rPr>
          <w:rFonts w:hint="eastAsia" w:ascii="宋体" w:hAnsi="宋体" w:eastAsia="宋体" w:cs="宋体"/>
          <w:color w:val="000000"/>
          <w:sz w:val="24"/>
          <w:highlight w:val="none"/>
          <w:lang w:val="zh-TW" w:eastAsia="zh-CN"/>
        </w:rPr>
        <w:t xml:space="preserve">喷涂后的金属</w:t>
      </w:r>
      <w:r>
        <w:rPr>
          <w:rFonts w:hint="eastAsia" w:ascii="宋体" w:hAnsi="宋体" w:eastAsia="宋体" w:cs="宋体"/>
          <w:color w:val="000000"/>
          <w:sz w:val="24"/>
          <w:highlight w:val="none"/>
          <w:lang w:val="en-US" w:eastAsia="zh-CN"/>
        </w:rPr>
        <w:t xml:space="preserve">表面涂层需完成如下方面的试验：化学试剂痕迹试验、</w:t>
      </w:r>
      <w:r>
        <w:rPr>
          <w:rFonts w:hint="eastAsia" w:ascii="宋体" w:hAnsi="宋体" w:eastAsia="宋体" w:cs="宋体"/>
          <w:color w:val="000000"/>
          <w:sz w:val="24"/>
          <w:highlight w:val="none"/>
          <w:lang w:val="zh-TW" w:eastAsia="zh-CN"/>
        </w:rPr>
        <w:t xml:space="preserve">热水</w:t>
      </w:r>
      <w:r>
        <w:rPr>
          <w:rFonts w:hint="eastAsia" w:ascii="宋体" w:hAnsi="宋体" w:eastAsia="宋体" w:cs="宋体"/>
          <w:color w:val="000000"/>
          <w:sz w:val="24"/>
          <w:highlight w:val="none"/>
          <w:lang w:val="en-US" w:eastAsia="zh-CN"/>
        </w:rPr>
        <w:t xml:space="preserve">试验、</w:t>
      </w:r>
      <w:r>
        <w:rPr>
          <w:rFonts w:hint="eastAsia" w:ascii="宋体" w:hAnsi="宋体" w:eastAsia="宋体" w:cs="宋体"/>
          <w:color w:val="000000"/>
          <w:sz w:val="24"/>
          <w:highlight w:val="none"/>
          <w:lang w:val="zh-TW" w:eastAsia="zh-CN"/>
        </w:rPr>
        <w:t xml:space="preserve">冲击试验、油漆附着</w:t>
      </w:r>
      <w:r>
        <w:rPr>
          <w:rFonts w:hint="eastAsia" w:ascii="宋体" w:hAnsi="宋体" w:eastAsia="宋体" w:cs="宋体"/>
          <w:color w:val="000000"/>
          <w:sz w:val="24"/>
          <w:highlight w:val="none"/>
          <w:lang w:val="en-US" w:eastAsia="zh-CN"/>
        </w:rPr>
        <w:t xml:space="preserve">力、</w:t>
      </w:r>
      <w:r>
        <w:rPr>
          <w:rFonts w:hint="eastAsia" w:ascii="宋体" w:hAnsi="宋体" w:eastAsia="宋体" w:cs="宋体"/>
          <w:color w:val="000000"/>
          <w:sz w:val="24"/>
          <w:highlight w:val="none"/>
          <w:lang w:val="zh-TW" w:eastAsia="zh-CN"/>
        </w:rPr>
        <w:t xml:space="preserve">油漆硬度、防潮性能、盐雾试验、耐磨试验。</w:t>
      </w:r>
      <w:r>
        <w:rPr>
          <w:rFonts w:hint="eastAsia" w:ascii="宋体" w:hAnsi="宋体" w:eastAsia="宋体" w:cs="宋体"/>
          <w:color w:val="000000"/>
          <w:sz w:val="24"/>
          <w:highlight w:val="none"/>
          <w:lang w:val="zh-TW"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2.1.8</w:t>
      </w:r>
      <w:r>
        <w:rPr>
          <w:rFonts w:hint="eastAsia" w:ascii="宋体" w:hAnsi="宋体" w:eastAsia="宋体" w:cs="宋体"/>
          <w:color w:val="000000"/>
          <w:sz w:val="24"/>
          <w:highlight w:val="none"/>
          <w:lang w:val="zh-TW" w:eastAsia="zh-CN"/>
        </w:rPr>
        <w:t xml:space="preserve">所有钣金配件的焊接处均应打磨平整以保持为平滑表面，不得于安装现场焊接加工，以避免破坏表面涂层。</w:t>
      </w:r>
      <w:r>
        <w:rPr>
          <w:rFonts w:hint="eastAsia" w:ascii="宋体" w:hAnsi="宋体" w:eastAsia="宋体" w:cs="宋体"/>
          <w:color w:val="000000"/>
          <w:sz w:val="24"/>
          <w:highlight w:val="none"/>
          <w:lang w:val="zh-TW"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2.2性能技术要求：</w:t>
      </w:r>
      <w:r>
        <w:rPr>
          <w:rFonts w:hint="eastAsia" w:ascii="宋体" w:hAnsi="宋体" w:eastAsia="宋体" w:cs="宋体"/>
          <w:color w:val="000000"/>
          <w:sz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2.2.1</w:t>
      </w:r>
      <w:r>
        <w:rPr>
          <w:rFonts w:hint="eastAsia" w:ascii="宋体" w:hAnsi="宋体" w:eastAsia="宋体" w:cs="宋体"/>
          <w:color w:val="000000"/>
          <w:sz w:val="24"/>
          <w:highlight w:val="none"/>
          <w:lang w:val="zh-TW" w:eastAsia="zh-CN"/>
        </w:rPr>
        <w:t xml:space="preserve">排风柜整体包含上柜与</w:t>
      </w:r>
      <w:r>
        <w:rPr>
          <w:rFonts w:hint="eastAsia" w:ascii="宋体" w:hAnsi="宋体" w:eastAsia="宋体" w:cs="宋体"/>
          <w:color w:val="000000"/>
          <w:sz w:val="24"/>
          <w:highlight w:val="none"/>
          <w:lang w:val="en-US" w:eastAsia="zh-CN"/>
        </w:rPr>
        <w:t xml:space="preserve">底柜</w:t>
      </w:r>
      <w:r>
        <w:rPr>
          <w:rFonts w:hint="eastAsia" w:ascii="宋体" w:hAnsi="宋体" w:eastAsia="宋体" w:cs="宋体"/>
          <w:color w:val="000000"/>
          <w:sz w:val="24"/>
          <w:highlight w:val="none"/>
          <w:lang w:val="zh-TW" w:eastAsia="zh-CN"/>
        </w:rPr>
        <w:t xml:space="preserve">两部分。上柜用于实验开展，底柜用于物品的储存。上柜包含可视调节门，服务水气阀，插座，工作台面等。底柜</w:t>
      </w:r>
      <w:r>
        <w:rPr>
          <w:rFonts w:hint="eastAsia" w:ascii="宋体" w:hAnsi="宋体" w:eastAsia="宋体" w:cs="宋体"/>
          <w:color w:val="000000"/>
          <w:sz w:val="24"/>
          <w:highlight w:val="none"/>
          <w:lang w:val="en-US" w:eastAsia="zh-CN"/>
        </w:rPr>
        <w:t xml:space="preserve">含</w:t>
      </w:r>
      <w:r>
        <w:rPr>
          <w:rFonts w:hint="eastAsia" w:ascii="宋体" w:hAnsi="宋体" w:eastAsia="宋体" w:cs="宋体"/>
          <w:color w:val="000000"/>
          <w:sz w:val="24"/>
          <w:highlight w:val="none"/>
          <w:lang w:val="zh-TW" w:eastAsia="zh-CN"/>
        </w:rPr>
        <w:t xml:space="preserve">门板,可调隔板等，坚固耐用,具有耐腐蚀功能,方便维护。</w:t>
      </w:r>
      <w:r>
        <w:rPr>
          <w:rFonts w:hint="eastAsia" w:ascii="宋体" w:hAnsi="宋体" w:eastAsia="宋体" w:cs="宋体"/>
          <w:color w:val="000000"/>
          <w:sz w:val="24"/>
          <w:highlight w:val="none"/>
          <w:lang w:val="zh-TW"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2.2.2</w:t>
      </w:r>
      <w:r>
        <w:rPr>
          <w:rFonts w:hint="eastAsia" w:ascii="宋体" w:hAnsi="宋体" w:eastAsia="宋体" w:cs="宋体"/>
          <w:color w:val="000000"/>
          <w:sz w:val="24"/>
          <w:highlight w:val="none"/>
          <w:lang w:val="zh-TW" w:eastAsia="zh-TW"/>
        </w:rPr>
        <w:t xml:space="preserve">规格：整体尺寸W宽度</w:t>
      </w:r>
      <w:r>
        <w:rPr>
          <w:rFonts w:hint="eastAsia" w:ascii="宋体" w:hAnsi="宋体" w:eastAsia="宋体" w:cs="宋体"/>
          <w:color w:val="000000"/>
          <w:sz w:val="24"/>
          <w:highlight w:val="none"/>
          <w:lang w:val="en-US" w:eastAsia="zh-CN"/>
        </w:rPr>
        <w:t xml:space="preserve">1500mm</w:t>
      </w:r>
      <w:r>
        <w:rPr>
          <w:rFonts w:hint="eastAsia" w:ascii="宋体" w:hAnsi="宋体" w:eastAsia="宋体" w:cs="宋体"/>
          <w:color w:val="000000"/>
          <w:sz w:val="24"/>
          <w:highlight w:val="none"/>
          <w:lang w:val="zh-TW" w:eastAsia="zh-TW"/>
        </w:rPr>
        <w:t xml:space="preserve">D深度≥900mm， H高度≥2</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val="zh-TW" w:eastAsia="zh-TW"/>
        </w:rPr>
        <w:t xml:space="preserve">00mm。</w:t>
      </w:r>
      <w:r>
        <w:rPr>
          <w:rFonts w:hint="eastAsia" w:ascii="宋体" w:hAnsi="宋体" w:eastAsia="宋体" w:cs="宋体"/>
          <w:color w:val="000000"/>
          <w:sz w:val="24"/>
          <w:highlight w:val="none"/>
          <w:lang w:val="zh-TW"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▲2.2.3排风柜前立柱宽度需≤50mm，以提供内部更大的使用操作空间。</w:t>
      </w:r>
      <w:r>
        <w:rPr>
          <w:rFonts w:hint="eastAsia" w:ascii="宋体" w:hAnsi="宋体" w:eastAsia="宋体" w:cs="宋体"/>
          <w:color w:val="000000"/>
          <w:sz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bookmarkStart w:id="111" w:name="_Hlk188356551"/>
      <w:r>
        <w:rPr>
          <w:rFonts w:hint="eastAsia" w:ascii="宋体" w:hAnsi="宋体" w:eastAsia="宋体" w:cs="宋体"/>
          <w:color w:val="000000"/>
          <w:sz w:val="24"/>
          <w:highlight w:val="none"/>
          <w:lang w:val="en-US" w:eastAsia="zh-CN"/>
        </w:rPr>
        <w:t xml:space="preserve">▲2.2.4排风柜内部空间高度≥1200mm（工作台面距离顶板），提供内部更高的使用操作空间。</w:t>
      </w:r>
      <w:r>
        <w:rPr>
          <w:rFonts w:hint="eastAsia" w:ascii="宋体" w:hAnsi="宋体" w:eastAsia="宋体" w:cs="宋体"/>
          <w:color w:val="000000"/>
          <w:sz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bookmarkEnd w:id="111"/>
      <w:r>
        <w:rPr>
          <w:rFonts w:hint="eastAsia" w:ascii="宋体" w:hAnsi="宋体" w:eastAsia="宋体" w:cs="宋体"/>
          <w:color w:val="000000"/>
          <w:sz w:val="24"/>
          <w:highlight w:val="none"/>
          <w:lang w:val="en-US" w:eastAsia="zh-CN"/>
        </w:rPr>
        <w:t xml:space="preserve">2.2.5工作台面：采用厚度≥12.7mm的实芯理化板</w:t>
      </w:r>
      <w:r>
        <w:rPr>
          <w:rFonts w:hint="eastAsia" w:ascii="宋体" w:hAnsi="宋体" w:eastAsia="宋体" w:cs="宋体"/>
          <w:color w:val="000000"/>
          <w:sz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2.2.6内衬/导流板：采用内衬材料厚度为≥5mm厚抗倍特板</w:t>
      </w:r>
      <w:r>
        <w:rPr>
          <w:rFonts w:hint="eastAsia" w:ascii="宋体" w:hAnsi="宋体" w:eastAsia="宋体" w:cs="宋体"/>
          <w:color w:val="000000"/>
          <w:sz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2.2.7导流板通过防腐塑料材质固定座固定，用户可以不需使用工具轻易地将导流板拆卸清洗，固定件同时具备安装蒸馏架功能。</w:t>
      </w:r>
      <w:r>
        <w:rPr>
          <w:rFonts w:hint="eastAsia" w:ascii="宋体" w:hAnsi="宋体" w:eastAsia="宋体" w:cs="宋体"/>
          <w:color w:val="000000"/>
          <w:sz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2.2.8柜内顶板上面装有LED节能灯，灯光光线柔和，无频闪、快速启动类型，照明光源由塑料面板与柜内空间隔开。</w:t>
      </w:r>
      <w:r>
        <w:rPr>
          <w:rFonts w:hint="eastAsia" w:ascii="宋体" w:hAnsi="宋体" w:eastAsia="宋体" w:cs="宋体"/>
          <w:color w:val="000000"/>
          <w:sz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2.2.9柜内工作空间顶部应有泄压口设计，当工作空间实验装置发生意外爆炸时，泄压口可以分担柜内压力并释放，以减少对调节门玻璃的冲击力，最大化保护操作人员。</w:t>
      </w:r>
      <w:r>
        <w:rPr>
          <w:rFonts w:hint="eastAsia" w:ascii="宋体" w:hAnsi="宋体" w:eastAsia="宋体" w:cs="宋体"/>
          <w:color w:val="000000"/>
          <w:sz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2.2.10排风柜操作台面的平均照度不应小于800lx，并应采用节能及无频闪的照明灯具。</w:t>
      </w:r>
      <w:r>
        <w:rPr>
          <w:rFonts w:hint="eastAsia" w:ascii="宋体" w:hAnsi="宋体" w:eastAsia="宋体" w:cs="宋体"/>
          <w:color w:val="000000"/>
          <w:sz w:val="24"/>
          <w:highlight w:val="none"/>
          <w:lang w:val="zh-TW"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2.2.11排</w:t>
      </w:r>
      <w:r>
        <w:rPr>
          <w:rFonts w:hint="eastAsia" w:ascii="宋体" w:hAnsi="宋体" w:eastAsia="宋体" w:cs="宋体"/>
          <w:color w:val="000000"/>
          <w:sz w:val="24"/>
          <w:highlight w:val="none"/>
          <w:lang w:val="zh-TW" w:eastAsia="zh-CN"/>
        </w:rPr>
        <w:t xml:space="preserve">风柜的前部</w:t>
      </w:r>
      <w:r>
        <w:rPr>
          <w:rFonts w:hint="eastAsia" w:ascii="宋体" w:hAnsi="宋体" w:eastAsia="宋体" w:cs="宋体"/>
          <w:color w:val="000000"/>
          <w:sz w:val="24"/>
          <w:highlight w:val="none"/>
          <w:lang w:val="en-US" w:eastAsia="zh-CN"/>
        </w:rPr>
        <w:t xml:space="preserve">为</w:t>
      </w:r>
      <w:r>
        <w:rPr>
          <w:rFonts w:hint="eastAsia" w:ascii="宋体" w:hAnsi="宋体" w:eastAsia="宋体" w:cs="宋体"/>
          <w:color w:val="000000"/>
          <w:sz w:val="24"/>
          <w:highlight w:val="none"/>
          <w:lang w:val="zh-TW" w:eastAsia="zh-CN"/>
        </w:rPr>
        <w:t xml:space="preserve">垂直</w:t>
      </w:r>
      <w:r>
        <w:rPr>
          <w:rFonts w:hint="eastAsia" w:ascii="宋体" w:hAnsi="宋体" w:eastAsia="宋体" w:cs="宋体"/>
          <w:color w:val="000000"/>
          <w:sz w:val="24"/>
          <w:highlight w:val="none"/>
          <w:lang w:val="en-US" w:eastAsia="zh-CN"/>
        </w:rPr>
        <w:t xml:space="preserve">升降</w:t>
      </w:r>
      <w:r>
        <w:rPr>
          <w:rFonts w:hint="eastAsia" w:ascii="宋体" w:hAnsi="宋体" w:eastAsia="宋体" w:cs="宋体"/>
          <w:color w:val="000000"/>
          <w:sz w:val="24"/>
          <w:highlight w:val="none"/>
          <w:lang w:val="zh-TW" w:eastAsia="zh-CN"/>
        </w:rPr>
        <w:t xml:space="preserve">安全</w:t>
      </w:r>
      <w:r>
        <w:rPr>
          <w:rFonts w:hint="eastAsia" w:ascii="宋体" w:hAnsi="宋体" w:eastAsia="宋体" w:cs="宋体"/>
          <w:color w:val="000000"/>
          <w:sz w:val="24"/>
          <w:highlight w:val="none"/>
          <w:lang w:val="en-US" w:eastAsia="zh-CN"/>
        </w:rPr>
        <w:t xml:space="preserve">调节门。</w:t>
      </w:r>
      <w:r>
        <w:rPr>
          <w:rFonts w:hint="eastAsia" w:ascii="宋体" w:hAnsi="宋体" w:eastAsia="宋体" w:cs="宋体"/>
          <w:color w:val="000000"/>
          <w:sz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2.2.12调节门玻璃采用不低于2+2mm厚的安全夹层玻璃，可保证万一破碎时不会伤及人员，移门最大开启高度不得低于720mm，调节门最高和最低位置有限位装置；调节门拉手和调节门同宽，为减小进风阻力，使气流顺畅进入排风柜内，拉手结构应为弧形设计，门框及拉手整体使用工业铝合金型材，经环氧树脂喷涂制作。</w:t>
      </w:r>
      <w:r>
        <w:rPr>
          <w:rFonts w:hint="eastAsia" w:ascii="宋体" w:hAnsi="宋体" w:eastAsia="宋体" w:cs="宋体"/>
          <w:color w:val="000000"/>
          <w:sz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2.2.13调节门滑块应使用防腐蚀的塑料材质，增加耐腐性,调节门开关时更加顺畅和安静。</w:t>
      </w:r>
      <w:r>
        <w:rPr>
          <w:rFonts w:hint="eastAsia" w:ascii="宋体" w:hAnsi="宋体" w:eastAsia="宋体" w:cs="宋体"/>
          <w:color w:val="000000"/>
          <w:sz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2.2.14平衡系统使用同步带传动结构，可以保证调节门不倾斜，并且可用一只手轻松操控升、降调节门，采用高强度钢丝芯聚氨酯同步带，具有低噪声高性能和足够的承重能力并保证防腐蚀。</w:t>
      </w:r>
      <w:r>
        <w:rPr>
          <w:rFonts w:hint="eastAsia" w:ascii="宋体" w:hAnsi="宋体" w:eastAsia="宋体" w:cs="宋体"/>
          <w:color w:val="000000"/>
          <w:sz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▲2.2.15</w:t>
      </w:r>
      <w:r>
        <w:rPr>
          <w:rFonts w:ascii="宋体" w:hAnsi="宋体" w:eastAsia="宋体" w:cs="宋体"/>
          <w:color w:val="000000"/>
          <w:sz w:val="24"/>
          <w:szCs w:val="24"/>
          <w:highlight w:val="none"/>
        </w:rPr>
        <w:t xml:space="preserve">提供第三方机构出具的有效检测报告</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同步带材质力学性能、耐温耐水耐油耐久性能均满足行业优质用材技术要求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highlight w:val="none"/>
          <w:lang w:val="zh-TW" w:eastAsia="zh-CN"/>
        </w:rPr>
        <w:t xml:space="preserve">检测报告至少包含以下测试项目：</w:t>
      </w:r>
      <w:r>
        <w:rPr>
          <w:rFonts w:hint="eastAsia" w:ascii="宋体" w:hAnsi="宋体" w:eastAsia="宋体" w:cs="宋体"/>
          <w:color w:val="000000"/>
          <w:sz w:val="24"/>
          <w:highlight w:val="none"/>
          <w:lang w:val="en-US" w:eastAsia="zh-CN"/>
        </w:rPr>
        <w:t xml:space="preserve">拉伸强度、齿体剪切强度、齿体剪切强度(100℃x70h耐油性后)，拉伸强度(100℃(沸水)x3h,(25士5)℃(水)x30min耐水后)。</w:t>
      </w:r>
      <w:r>
        <w:rPr>
          <w:rFonts w:hint="eastAsia" w:ascii="宋体" w:hAnsi="宋体" w:eastAsia="宋体" w:cs="宋体"/>
          <w:color w:val="000000"/>
          <w:sz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2.2.16排风柜的调节门启动、关闭应轻便灵活，在开关行程范围内无卡阻，并可在任意位置停留。</w:t>
      </w:r>
      <w:r>
        <w:rPr>
          <w:rFonts w:hint="eastAsia" w:ascii="宋体" w:hAnsi="宋体" w:eastAsia="宋体" w:cs="宋体"/>
          <w:color w:val="000000"/>
          <w:sz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2.2.17调节门</w:t>
      </w:r>
      <w:r>
        <w:rPr>
          <w:rFonts w:hint="eastAsia" w:ascii="宋体" w:hAnsi="宋体" w:eastAsia="宋体" w:cs="宋体"/>
          <w:color w:val="000000"/>
          <w:sz w:val="24"/>
          <w:highlight w:val="none"/>
          <w:lang w:val="zh-TW" w:eastAsia="zh-CN"/>
        </w:rPr>
        <w:t xml:space="preserve">向上推至</w:t>
      </w:r>
      <w:r>
        <w:rPr>
          <w:rFonts w:hint="eastAsia" w:ascii="宋体" w:hAnsi="宋体" w:eastAsia="宋体" w:cs="宋体"/>
          <w:color w:val="000000"/>
          <w:sz w:val="24"/>
          <w:highlight w:val="none"/>
          <w:lang w:val="en-US" w:eastAsia="zh-CN"/>
        </w:rPr>
        <w:t xml:space="preserve">设计</w:t>
      </w:r>
      <w:r>
        <w:rPr>
          <w:rFonts w:hint="eastAsia" w:ascii="宋体" w:hAnsi="宋体" w:eastAsia="宋体" w:cs="宋体"/>
          <w:color w:val="000000"/>
          <w:sz w:val="24"/>
          <w:highlight w:val="none"/>
          <w:lang w:val="zh-TW" w:eastAsia="zh-CN"/>
        </w:rPr>
        <w:t xml:space="preserve">高</w:t>
      </w:r>
      <w:r>
        <w:rPr>
          <w:rFonts w:hint="eastAsia" w:ascii="宋体" w:hAnsi="宋体" w:eastAsia="宋体" w:cs="宋体"/>
          <w:color w:val="000000"/>
          <w:sz w:val="24"/>
          <w:highlight w:val="none"/>
          <w:lang w:val="en-US" w:eastAsia="zh-CN"/>
        </w:rPr>
        <w:t xml:space="preserve">度</w:t>
      </w:r>
      <w:r>
        <w:rPr>
          <w:rFonts w:hint="eastAsia" w:ascii="宋体" w:hAnsi="宋体" w:eastAsia="宋体" w:cs="宋体"/>
          <w:color w:val="000000"/>
          <w:sz w:val="24"/>
          <w:highlight w:val="none"/>
          <w:lang w:val="zh-TW" w:eastAsia="zh-CN"/>
        </w:rPr>
        <w:t xml:space="preserve">时，</w:t>
      </w:r>
      <w:r>
        <w:rPr>
          <w:rFonts w:hint="eastAsia" w:ascii="宋体" w:hAnsi="宋体" w:eastAsia="宋体" w:cs="宋体"/>
          <w:color w:val="000000"/>
          <w:sz w:val="24"/>
          <w:highlight w:val="none"/>
          <w:lang w:val="en-US" w:eastAsia="zh-CN"/>
        </w:rPr>
        <w:t xml:space="preserve">需有限位装置</w:t>
      </w:r>
      <w:r>
        <w:rPr>
          <w:rFonts w:hint="eastAsia" w:ascii="宋体" w:hAnsi="宋体" w:eastAsia="宋体" w:cs="宋体"/>
          <w:color w:val="000000"/>
          <w:sz w:val="24"/>
          <w:highlight w:val="none"/>
          <w:lang w:val="zh-TW" w:eastAsia="zh-CN"/>
        </w:rPr>
        <w:t xml:space="preserve">，</w:t>
      </w:r>
      <w:r>
        <w:rPr>
          <w:rFonts w:hint="eastAsia" w:ascii="宋体" w:hAnsi="宋体" w:eastAsia="宋体" w:cs="宋体"/>
          <w:color w:val="000000"/>
          <w:sz w:val="24"/>
          <w:highlight w:val="none"/>
          <w:lang w:val="en-US" w:eastAsia="zh-CN"/>
        </w:rPr>
        <w:t xml:space="preserve">如需更大开度时，可单手解除限位，再将调节门打开至最大，关闭调节门时限位装置无需手动操作。</w:t>
      </w:r>
      <w:r>
        <w:rPr>
          <w:rFonts w:hint="eastAsia" w:ascii="宋体" w:hAnsi="宋体" w:eastAsia="宋体" w:cs="宋体"/>
          <w:color w:val="000000"/>
          <w:sz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bookmarkStart w:id="112" w:name="_Hlk188356914"/>
      <w:r>
        <w:rPr>
          <w:rFonts w:hint="eastAsia" w:ascii="宋体" w:hAnsi="宋体" w:eastAsia="宋体" w:cs="宋体"/>
          <w:color w:val="000000"/>
          <w:sz w:val="24"/>
          <w:highlight w:val="none"/>
          <w:lang w:val="en-US" w:eastAsia="zh-CN"/>
        </w:rPr>
        <w:t xml:space="preserve">2.2.18调节门上方为固定式天窗，玻璃采用不低于2+2mm厚的安全夹层玻璃，提供最大视野以观察排风柜内试验装置。</w:t>
      </w:r>
      <w:r>
        <w:rPr>
          <w:rFonts w:hint="eastAsia" w:ascii="宋体" w:hAnsi="宋体" w:eastAsia="宋体" w:cs="宋体"/>
          <w:color w:val="000000"/>
          <w:sz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bookmarkEnd w:id="112"/>
      <w:r>
        <w:rPr>
          <w:rFonts w:hint="eastAsia" w:ascii="宋体" w:hAnsi="宋体" w:eastAsia="宋体" w:cs="宋体"/>
          <w:color w:val="000000"/>
          <w:sz w:val="24"/>
          <w:highlight w:val="none"/>
          <w:lang w:val="en-US" w:eastAsia="zh-CN"/>
        </w:rPr>
        <w:t xml:space="preserve">2.2.19调节门配置防坠落功能，即一侧同步带突然断开，调节门也会停留在最初位置附近，下落距离不大于25mm。防止调节门急速坠落发生意外事故。</w:t>
      </w:r>
      <w:r>
        <w:rPr>
          <w:rFonts w:hint="eastAsia" w:ascii="宋体" w:hAnsi="宋体" w:eastAsia="宋体" w:cs="宋体"/>
          <w:color w:val="000000"/>
          <w:sz w:val="24"/>
          <w:highlight w:val="none"/>
          <w:lang w:val="en-US" w:eastAsia="zh-CN"/>
        </w:rPr>
      </w:r>
      <w:r/>
    </w:p>
    <w:p>
      <w:pPr>
        <w:pStyle w:val="1038"/>
        <w:ind w:firstLine="480"/>
        <w:jc w:val="left"/>
        <w:keepLines w:val="0"/>
        <w:keepNext w:val="0"/>
        <w:pageBreakBefore w:val="0"/>
        <w:spacing w:line="24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highlight w:val="none"/>
          <w:lang w:val="en-US" w:eastAsia="zh-CN"/>
        </w:rPr>
        <w:t xml:space="preserve">2.2.20</w:t>
      </w:r>
      <w:r>
        <w:rPr>
          <w:rFonts w:ascii="宋体" w:hAnsi="宋体" w:eastAsia="宋体" w:cs="宋体"/>
          <w:color w:val="000000"/>
          <w:sz w:val="24"/>
          <w:szCs w:val="24"/>
          <w:highlight w:val="none"/>
        </w:rPr>
        <w:t xml:space="preserve">气翼（下导流翼）整体采用工业铝合金型材制作，结构贴合空气动力学设计，表面施加特氟龙防护涂层，各项理化性能、耐化学腐蚀性能均满足实验室严苛使用环境要求。</w:t>
      </w:r>
      <w:r>
        <w:rPr>
          <w:rFonts w:hint="eastAsia" w:ascii="宋体" w:hAnsi="宋体" w:eastAsia="宋体" w:cs="宋体"/>
          <w:color w:val="000000"/>
          <w:sz w:val="24"/>
          <w:highlight w:val="none"/>
          <w:lang w:val="en-US" w:eastAsia="zh-CN"/>
        </w:rPr>
        <w:t xml:space="preserve">可抵抗强酸强碱，表面涂层性能试验、耐化学性能试验，试验内容至少包括：化学试剂痕迹试验、</w:t>
      </w:r>
      <w:r>
        <w:rPr>
          <w:rFonts w:hint="eastAsia" w:ascii="宋体" w:hAnsi="宋体" w:eastAsia="宋体" w:cs="宋体"/>
          <w:color w:val="000000"/>
          <w:sz w:val="24"/>
          <w:highlight w:val="none"/>
          <w:lang w:val="zh-TW" w:eastAsia="zh-CN"/>
        </w:rPr>
        <w:t xml:space="preserve">热水</w:t>
      </w:r>
      <w:r>
        <w:rPr>
          <w:rFonts w:hint="eastAsia" w:ascii="宋体" w:hAnsi="宋体" w:eastAsia="宋体" w:cs="宋体"/>
          <w:color w:val="000000"/>
          <w:sz w:val="24"/>
          <w:highlight w:val="none"/>
          <w:lang w:val="en-US" w:eastAsia="zh-CN"/>
        </w:rPr>
        <w:t xml:space="preserve">试验、</w:t>
      </w:r>
      <w:r>
        <w:rPr>
          <w:rFonts w:hint="eastAsia" w:ascii="宋体" w:hAnsi="宋体" w:eastAsia="宋体" w:cs="宋体"/>
          <w:color w:val="000000"/>
          <w:sz w:val="24"/>
          <w:highlight w:val="none"/>
          <w:lang w:val="zh-TW" w:eastAsia="zh-CN"/>
        </w:rPr>
        <w:t xml:space="preserve">冲击试验、油漆附着</w:t>
      </w:r>
      <w:r>
        <w:rPr>
          <w:rFonts w:hint="eastAsia" w:ascii="宋体" w:hAnsi="宋体" w:eastAsia="宋体" w:cs="宋体"/>
          <w:color w:val="000000"/>
          <w:sz w:val="24"/>
          <w:highlight w:val="none"/>
          <w:lang w:val="en-US" w:eastAsia="zh-CN"/>
        </w:rPr>
        <w:t xml:space="preserve">力、</w:t>
      </w:r>
      <w:r>
        <w:rPr>
          <w:rFonts w:hint="eastAsia" w:ascii="宋体" w:hAnsi="宋体" w:eastAsia="宋体" w:cs="宋体"/>
          <w:color w:val="000000"/>
          <w:sz w:val="24"/>
          <w:highlight w:val="none"/>
          <w:lang w:val="zh-TW" w:eastAsia="zh-CN"/>
        </w:rPr>
        <w:t xml:space="preserve">油漆硬度、防潮性能、盐雾试验、耐磨试验。</w:t>
      </w:r>
      <w:r>
        <w:rPr>
          <w:rFonts w:ascii="宋体" w:hAnsi="宋体" w:eastAsia="宋体" w:cs="宋体"/>
          <w:color w:val="000000"/>
          <w:sz w:val="24"/>
          <w:szCs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2.2.21集气罩要求防腐蚀塑料材质，锥形缩口设计，应具良好的锥形集气角度及圆滑度，保证低噪音，气流均匀，以获得良好集气平均性及低压损。</w:t>
      </w:r>
      <w:r>
        <w:rPr>
          <w:rFonts w:hint="eastAsia" w:ascii="宋体" w:hAnsi="宋体" w:eastAsia="宋体" w:cs="宋体"/>
          <w:color w:val="000000"/>
          <w:sz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2.2.22</w:t>
      </w:r>
      <w:r>
        <w:rPr>
          <w:rFonts w:hint="eastAsia" w:ascii="宋体" w:hAnsi="宋体" w:eastAsia="宋体" w:cs="宋体"/>
          <w:color w:val="000000"/>
          <w:sz w:val="24"/>
          <w:highlight w:val="none"/>
          <w:lang w:val="zh-TW" w:eastAsia="zh-CN"/>
        </w:rPr>
        <w:t xml:space="preserve">电气设施安装在</w:t>
      </w:r>
      <w:r>
        <w:rPr>
          <w:rFonts w:hint="eastAsia" w:ascii="宋体" w:hAnsi="宋体" w:eastAsia="宋体" w:cs="宋体"/>
          <w:color w:val="000000"/>
          <w:sz w:val="24"/>
          <w:highlight w:val="none"/>
          <w:lang w:val="en-US" w:eastAsia="zh-CN"/>
        </w:rPr>
        <w:t xml:space="preserve">排</w:t>
      </w:r>
      <w:r>
        <w:rPr>
          <w:rFonts w:hint="eastAsia" w:ascii="宋体" w:hAnsi="宋体" w:eastAsia="宋体" w:cs="宋体"/>
          <w:color w:val="000000"/>
          <w:sz w:val="24"/>
          <w:highlight w:val="none"/>
          <w:lang w:val="zh-TW" w:eastAsia="zh-CN"/>
        </w:rPr>
        <w:t xml:space="preserve">风柜的功能面板上，功能面板</w:t>
      </w:r>
      <w:r>
        <w:rPr>
          <w:rFonts w:hint="eastAsia" w:ascii="宋体" w:hAnsi="宋体" w:eastAsia="宋体" w:cs="宋体"/>
          <w:color w:val="000000"/>
          <w:sz w:val="24"/>
          <w:highlight w:val="none"/>
          <w:lang w:val="en-US" w:eastAsia="zh-CN"/>
        </w:rPr>
        <w:t xml:space="preserve">具备灵活的拆卸结构，方便后期功能调整，</w:t>
      </w:r>
      <w:r>
        <w:rPr>
          <w:rFonts w:hint="eastAsia" w:ascii="宋体" w:hAnsi="宋体" w:eastAsia="宋体" w:cs="宋体"/>
          <w:color w:val="000000"/>
          <w:sz w:val="24"/>
          <w:highlight w:val="none"/>
          <w:lang w:val="zh-TW" w:eastAsia="zh-CN"/>
        </w:rPr>
        <w:t xml:space="preserve">灵活性强</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zh-TW" w:eastAsia="zh-CN"/>
        </w:rPr>
        <w:t xml:space="preserve">同时安装有</w:t>
      </w:r>
      <w:r>
        <w:rPr>
          <w:rFonts w:hint="eastAsia" w:ascii="宋体" w:hAnsi="宋体" w:eastAsia="宋体" w:cs="宋体"/>
          <w:color w:val="000000"/>
          <w:sz w:val="24"/>
          <w:highlight w:val="none"/>
          <w:lang w:val="en-US" w:eastAsia="zh-CN"/>
        </w:rPr>
        <w:t xml:space="preserve">1个25A断路器+漏电保护装置</w:t>
      </w:r>
      <w:r>
        <w:rPr>
          <w:rFonts w:hint="eastAsia" w:ascii="宋体" w:hAnsi="宋体" w:eastAsia="宋体" w:cs="宋体"/>
          <w:color w:val="000000"/>
          <w:sz w:val="24"/>
          <w:highlight w:val="none"/>
          <w:lang w:val="zh-TW" w:eastAsia="zh-CN"/>
        </w:rPr>
        <w:t xml:space="preserve">，不少于4 个</w:t>
      </w:r>
      <w:r>
        <w:rPr>
          <w:rFonts w:hint="eastAsia" w:ascii="宋体" w:hAnsi="宋体" w:eastAsia="宋体" w:cs="宋体"/>
          <w:color w:val="000000"/>
          <w:sz w:val="24"/>
          <w:highlight w:val="none"/>
          <w:lang w:val="en-US" w:eastAsia="zh-CN"/>
        </w:rPr>
        <w:t xml:space="preserve">三孔或五孔防尘</w:t>
      </w:r>
      <w:r>
        <w:rPr>
          <w:rFonts w:hint="eastAsia" w:ascii="宋体" w:hAnsi="宋体" w:eastAsia="宋体" w:cs="宋体"/>
          <w:color w:val="000000"/>
          <w:sz w:val="24"/>
          <w:highlight w:val="none"/>
          <w:lang w:val="zh-TW" w:eastAsia="zh-CN"/>
        </w:rPr>
        <w:t xml:space="preserve">插座，220V，10A</w:t>
      </w:r>
      <w:r>
        <w:rPr>
          <w:rFonts w:hint="eastAsia" w:ascii="宋体" w:hAnsi="宋体" w:eastAsia="宋体" w:cs="宋体"/>
          <w:color w:val="000000"/>
          <w:sz w:val="24"/>
          <w:highlight w:val="none"/>
          <w:lang w:val="en-US" w:eastAsia="zh-CN"/>
        </w:rPr>
        <w:t xml:space="preserve">/16A</w:t>
      </w:r>
      <w:r>
        <w:rPr>
          <w:rFonts w:hint="eastAsia" w:ascii="宋体" w:hAnsi="宋体" w:eastAsia="宋体" w:cs="宋体"/>
          <w:color w:val="000000"/>
          <w:sz w:val="24"/>
          <w:highlight w:val="none"/>
          <w:lang w:val="zh-TW" w:eastAsia="zh-CN"/>
        </w:rPr>
        <w:t xml:space="preserve">，，插座保护盒外部尺寸不大于宽 90×高 90×厚30mm（含盖）以匹配整体外观，</w:t>
      </w:r>
      <w:r>
        <w:rPr>
          <w:rFonts w:hint="eastAsia" w:ascii="宋体" w:hAnsi="宋体" w:eastAsia="宋体" w:cs="宋体"/>
          <w:color w:val="000000"/>
          <w:sz w:val="24"/>
          <w:highlight w:val="none"/>
          <w:lang w:val="en-US" w:eastAsia="zh-CN"/>
        </w:rPr>
        <w:t xml:space="preserve">方便设备使用</w:t>
      </w:r>
      <w:r>
        <w:rPr>
          <w:rFonts w:hint="eastAsia" w:ascii="宋体" w:hAnsi="宋体" w:eastAsia="宋体" w:cs="宋体"/>
          <w:color w:val="000000"/>
          <w:sz w:val="24"/>
          <w:highlight w:val="none"/>
          <w:lang w:val="zh-TW" w:eastAsia="zh-CN"/>
        </w:rPr>
        <w:t xml:space="preserve">。</w:t>
      </w:r>
      <w:r>
        <w:rPr>
          <w:rFonts w:hint="eastAsia" w:ascii="宋体" w:hAnsi="宋体" w:eastAsia="宋体" w:cs="宋体"/>
          <w:color w:val="000000"/>
          <w:sz w:val="24"/>
          <w:highlight w:val="none"/>
          <w:lang w:val="zh-TW"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2.2.23</w:t>
      </w:r>
      <w:r>
        <w:rPr>
          <w:rFonts w:hint="eastAsia" w:ascii="宋体" w:hAnsi="宋体" w:eastAsia="宋体" w:cs="宋体"/>
          <w:color w:val="000000"/>
          <w:sz w:val="24"/>
          <w:highlight w:val="none"/>
          <w:lang w:val="zh-TW" w:eastAsia="zh-CN"/>
        </w:rPr>
        <w:t xml:space="preserve">电器设施配置接线底盒，</w:t>
      </w:r>
      <w:r>
        <w:rPr>
          <w:rFonts w:hint="eastAsia" w:ascii="宋体" w:hAnsi="宋体" w:eastAsia="宋体" w:cs="宋体"/>
          <w:color w:val="000000"/>
          <w:sz w:val="24"/>
          <w:highlight w:val="none"/>
          <w:lang w:val="en-US" w:eastAsia="zh-CN"/>
        </w:rPr>
        <w:t xml:space="preserve">可以同时起到连接电线，保障各种电气线路的过渡和保护线路安全的作用。</w:t>
      </w:r>
      <w:r>
        <w:rPr>
          <w:rFonts w:hint="eastAsia" w:ascii="宋体" w:hAnsi="宋体" w:eastAsia="宋体" w:cs="宋体"/>
          <w:color w:val="000000"/>
          <w:sz w:val="24"/>
          <w:highlight w:val="none"/>
          <w:lang w:val="zh-TW"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▲2.2.24排风柜立柱/气翼（下导流翼）向柜内方向设计有辅助气流系统，可为两侧立柱/</w:t>
      </w:r>
      <w:bookmarkStart w:id="113" w:name="_Hlk188357301"/>
      <w:r>
        <w:rPr>
          <w:rFonts w:hint="eastAsia" w:ascii="宋体" w:hAnsi="宋体" w:eastAsia="宋体" w:cs="宋体"/>
          <w:color w:val="000000"/>
          <w:sz w:val="24"/>
          <w:highlight w:val="none"/>
          <w:lang w:val="en-US" w:eastAsia="zh-CN"/>
        </w:rPr>
        <w:t xml:space="preserve">气翼边缘</w:t>
      </w:r>
      <w:bookmarkEnd w:id="113"/>
      <w:r>
        <w:rPr>
          <w:rFonts w:hint="eastAsia" w:ascii="宋体" w:hAnsi="宋体" w:eastAsia="宋体" w:cs="宋体"/>
          <w:color w:val="000000"/>
          <w:sz w:val="24"/>
          <w:highlight w:val="none"/>
          <w:lang w:val="en-US" w:eastAsia="zh-CN"/>
        </w:rPr>
        <w:t xml:space="preserve">提供向柜内的稳定气流，气流分布均匀，提高排风柜安全性能和抗干扰性能。</w:t>
      </w:r>
      <w:bookmarkStart w:id="114" w:name="_Hlk188357480"/>
      <w:r>
        <w:rPr>
          <w:rFonts w:hint="eastAsia" w:ascii="宋体" w:hAnsi="宋体" w:eastAsia="宋体" w:cs="宋体"/>
          <w:color w:val="000000"/>
          <w:sz w:val="24"/>
          <w:highlight w:val="none"/>
          <w:lang w:val="en-US" w:eastAsia="zh-CN"/>
        </w:rPr>
        <w:t xml:space="preserve">辅助气流应预留启停控制点位，方便排风柜的变风量控制系统接入联动启停。</w:t>
      </w:r>
      <w:r>
        <w:rPr>
          <w:rFonts w:hint="eastAsia" w:ascii="宋体" w:hAnsi="宋体" w:eastAsia="宋体" w:cs="宋体"/>
          <w:color w:val="000000"/>
          <w:sz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2.2.25</w:t>
      </w:r>
      <w:r>
        <w:rPr>
          <w:rFonts w:hint="eastAsia" w:ascii="宋体" w:hAnsi="宋体" w:eastAsia="宋体" w:cs="宋体"/>
          <w:color w:val="000000"/>
          <w:sz w:val="24"/>
          <w:highlight w:val="none"/>
          <w:lang w:val="zh-TW" w:eastAsia="zh-CN"/>
        </w:rPr>
        <w:t xml:space="preserve">前框</w:t>
      </w:r>
      <w:r>
        <w:rPr>
          <w:rFonts w:hint="eastAsia" w:ascii="宋体" w:hAnsi="宋体" w:eastAsia="宋体" w:cs="宋体"/>
          <w:color w:val="000000"/>
          <w:sz w:val="24"/>
          <w:highlight w:val="none"/>
          <w:lang w:val="en-US" w:eastAsia="zh-CN"/>
        </w:rPr>
        <w:t xml:space="preserve">两侧立柱整体使用工业铝合金型材，经环氧树脂喷涂制作。</w:t>
      </w:r>
      <w:r>
        <w:rPr>
          <w:rFonts w:hint="eastAsia" w:ascii="宋体" w:hAnsi="宋体" w:eastAsia="宋体" w:cs="宋体"/>
          <w:color w:val="000000"/>
          <w:sz w:val="24"/>
          <w:highlight w:val="none"/>
          <w:lang w:val="zh-TW"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bookmarkEnd w:id="114"/>
      <w:r>
        <w:rPr>
          <w:rFonts w:hint="eastAsia" w:ascii="宋体" w:hAnsi="宋体" w:eastAsia="宋体" w:cs="宋体"/>
          <w:color w:val="000000"/>
          <w:sz w:val="24"/>
          <w:highlight w:val="none"/>
          <w:lang w:val="en-US" w:eastAsia="zh-CN"/>
        </w:rPr>
        <w:t xml:space="preserve">2.2.26调节门两侧边框与滑槽间有旁通设计，提高柜内气流稳定性。</w:t>
      </w:r>
      <w:r>
        <w:rPr>
          <w:rFonts w:hint="eastAsia" w:ascii="宋体" w:hAnsi="宋体" w:eastAsia="宋体" w:cs="宋体"/>
          <w:color w:val="000000"/>
          <w:sz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2.2.27底柜柜体与实验台柜体制作要求同。每个柜体均应为完整独立的落地型全钢制柜体设计，除有特别说明者外，每台排风柜配置两只双开门款式底柜单元。底柜后方应具备容易拆装的活动背板，顶部封有顶板将柜体密封，根据需要可对接排风。</w:t>
      </w:r>
      <w:r>
        <w:rPr>
          <w:rFonts w:hint="eastAsia" w:ascii="宋体" w:hAnsi="宋体" w:eastAsia="宋体" w:cs="宋体"/>
          <w:color w:val="000000"/>
          <w:sz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2.2.28根据需要也可配置框架支撑结构，底柜可选配安全柜或废液收集柜(废液收集柜需配置有PP托盘，托盘并可轻易拉出)。</w:t>
      </w:r>
      <w:r>
        <w:rPr>
          <w:rFonts w:hint="eastAsia" w:ascii="宋体" w:hAnsi="宋体" w:eastAsia="宋体" w:cs="宋体"/>
          <w:color w:val="000000"/>
          <w:sz w:val="24"/>
          <w:highlight w:val="none"/>
          <w:lang w:val="en-US" w:eastAsia="zh-CN"/>
        </w:rPr>
      </w:r>
      <w:r/>
    </w:p>
    <w:p>
      <w:pPr>
        <w:pStyle w:val="1038"/>
        <w:ind w:left="479" w:firstLine="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highlight w:val="none"/>
          <w:lang w:val="en-US" w:eastAsia="zh-CN"/>
        </w:rPr>
        <w:t xml:space="preserve">▲2.2.29</w:t>
      </w:r>
      <w:r>
        <w:rPr>
          <w:rFonts w:ascii="宋体" w:hAnsi="宋体" w:eastAsia="宋体" w:cs="宋体"/>
          <w:color w:val="000000"/>
          <w:sz w:val="24"/>
          <w:szCs w:val="24"/>
          <w:highlight w:val="none"/>
        </w:rPr>
        <w:t xml:space="preserve">提供第三方机构出具的有效检测报告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highlight w:val="none"/>
          <w:lang w:val="en-US" w:eastAsia="zh-CN"/>
        </w:rPr>
        <w:t xml:space="preserve">排风柜阻力小于50Pa。</w:t>
      </w:r>
      <w:r>
        <w:rPr>
          <w:rFonts w:hint="eastAsia" w:ascii="宋体" w:hAnsi="宋体" w:eastAsia="宋体" w:cs="宋体"/>
          <w:color w:val="000000"/>
          <w:sz w:val="24"/>
          <w:szCs w:val="24"/>
          <w:highlight w:val="none"/>
          <w:lang w:val="en-US" w:eastAsia="zh-CN"/>
        </w:rPr>
      </w:r>
      <w:r/>
    </w:p>
    <w:p>
      <w:pPr>
        <w:pStyle w:val="1038"/>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1038"/>
        <w:numPr>
          <w:ilvl w:val="0"/>
          <w:numId w:val="42"/>
        </w:numPr>
        <w:ind w:left="0" w:firstLine="482"/>
        <w:jc w:val="left"/>
        <w:keepLines w:val="0"/>
        <w:keepNext w:val="0"/>
        <w:pageBreakBefore w:val="0"/>
        <w:spacing w:line="240" w:lineRule="auto"/>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通风柜控制系统技术要求 </w:t>
      </w:r>
      <w:r>
        <w:rPr>
          <w:rFonts w:hint="eastAsia" w:ascii="宋体" w:hAnsi="宋体" w:eastAsia="宋体" w:cs="宋体"/>
          <w:b/>
          <w:bCs/>
          <w:color w:val="000000"/>
          <w:sz w:val="24"/>
          <w:highlight w:val="none"/>
          <w:lang w:val="en-US" w:eastAsia="zh-CN"/>
        </w:rPr>
      </w:r>
      <w:r/>
    </w:p>
    <w:p>
      <w:pPr>
        <w:pStyle w:val="1038"/>
        <w:numPr>
          <w:ilvl w:val="0"/>
          <w:numId w:val="0"/>
        </w:numPr>
        <w:ind w:firstLine="480"/>
        <w:jc w:val="left"/>
        <w:keepLines w:val="0"/>
        <w:keepNext w:val="0"/>
        <w:pageBreakBefore w:val="0"/>
        <w:spacing w:line="24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zh-TW" w:eastAsia="zh-CN"/>
        </w:rPr>
        <w:t xml:space="preserve">变风量控制系统应采用成套产品，以保持控制完整性以及维护可靠性。</w:t>
      </w:r>
      <w:r>
        <w:rPr>
          <w:rFonts w:ascii="宋体" w:hAnsi="宋体" w:eastAsia="宋体" w:cs="宋体"/>
          <w:color w:val="000000"/>
          <w:sz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bookmarkStart w:id="115" w:name="_Toc491929021"/>
      <w:r>
        <w:rPr>
          <w:rFonts w:hint="eastAsia" w:ascii="宋体" w:hAnsi="宋体" w:eastAsia="宋体" w:cs="宋体"/>
          <w:color w:val="000000"/>
          <w:sz w:val="24"/>
          <w:highlight w:val="none"/>
          <w:lang w:val="en-US" w:eastAsia="zh-CN"/>
        </w:rPr>
        <w:t xml:space="preserve">3.1</w:t>
      </w:r>
      <w:r>
        <w:rPr>
          <w:rFonts w:hint="eastAsia" w:ascii="宋体" w:hAnsi="宋体" w:eastAsia="宋体" w:cs="宋体"/>
          <w:color w:val="000000"/>
          <w:sz w:val="24"/>
          <w:highlight w:val="none"/>
          <w:lang w:val="zh-TW" w:eastAsia="zh-CN"/>
        </w:rPr>
        <w:t xml:space="preserve">通风柜面风速控制系统</w:t>
      </w:r>
      <w:r>
        <w:rPr>
          <w:rFonts w:hint="eastAsia" w:ascii="宋体" w:hAnsi="宋体" w:eastAsia="宋体" w:cs="宋体"/>
          <w:color w:val="000000"/>
          <w:sz w:val="24"/>
          <w:highlight w:val="none"/>
          <w:lang w:val="zh-TW"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3.1.1</w:t>
      </w:r>
      <w:r>
        <w:rPr>
          <w:rFonts w:hint="eastAsia" w:ascii="宋体" w:hAnsi="宋体" w:eastAsia="宋体" w:cs="宋体"/>
          <w:color w:val="000000"/>
          <w:sz w:val="24"/>
          <w:highlight w:val="none"/>
          <w:lang w:val="zh-TW" w:eastAsia="zh-CN"/>
        </w:rPr>
        <w:t xml:space="preserve">通风柜面风速控制系统采用位移与管道实测风量和需求风量对比双路控制方式，调节窗动作时，由位移传感器检测视窗开度，通风柜控制器调节变风量流量控制阀至标定风量，稳定后转为流量反馈微调，从而保证内通风柜面风速恒定。</w:t>
      </w:r>
      <w:r>
        <w:rPr>
          <w:rFonts w:hint="eastAsia" w:ascii="宋体" w:hAnsi="宋体" w:eastAsia="宋体" w:cs="宋体"/>
          <w:color w:val="000000"/>
          <w:sz w:val="24"/>
          <w:highlight w:val="none"/>
          <w:lang w:val="zh-TW"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3.1.2</w:t>
      </w:r>
      <w:r>
        <w:rPr>
          <w:rFonts w:hint="eastAsia" w:ascii="宋体" w:hAnsi="宋体" w:eastAsia="宋体" w:cs="宋体"/>
          <w:color w:val="000000"/>
          <w:sz w:val="24"/>
          <w:highlight w:val="none"/>
          <w:lang w:val="zh-TW" w:eastAsia="zh-CN"/>
        </w:rPr>
        <w:t xml:space="preserve">每台通风柜配置一套高品质VAV面风速控制系统。该控制系统保证通风柜调节门在任意位置下通风柜面风速能迅速稳定到设定值。VAV面风速控制系统一般包括如下产品：一个不小于5.0吋全触摸液晶显示面板、一个通风柜控制器、一个流量传感器、一个调节窗位移传感器，一个防腐型变风量流量蝶阀。</w:t>
      </w:r>
      <w:r>
        <w:rPr>
          <w:rFonts w:hint="eastAsia" w:ascii="宋体" w:hAnsi="宋体" w:eastAsia="宋体" w:cs="宋体"/>
          <w:color w:val="000000"/>
          <w:sz w:val="24"/>
          <w:highlight w:val="none"/>
          <w:lang w:val="zh-TW"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3.1.3</w:t>
      </w:r>
      <w:r>
        <w:rPr>
          <w:rFonts w:ascii="宋体" w:hAnsi="宋体" w:eastAsia="宋体" w:cs="宋体"/>
          <w:color w:val="000000"/>
          <w:sz w:val="24"/>
          <w:szCs w:val="24"/>
          <w:highlight w:val="none"/>
        </w:rPr>
        <w:t xml:space="preserve">通风柜视窗</w:t>
      </w:r>
      <w:r>
        <w:rPr>
          <w:rFonts w:hint="eastAsia" w:ascii="宋体" w:hAnsi="宋体" w:eastAsia="宋体" w:cs="宋体"/>
          <w:color w:val="000000"/>
          <w:sz w:val="24"/>
          <w:szCs w:val="24"/>
          <w:highlight w:val="none"/>
          <w:lang w:val="en-US" w:eastAsia="zh-CN"/>
        </w:rPr>
        <w:t xml:space="preserve">100%</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50%</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25%</w:t>
      </w:r>
      <w:r>
        <w:rPr>
          <w:rFonts w:ascii="宋体" w:hAnsi="宋体" w:eastAsia="宋体" w:cs="宋体"/>
          <w:color w:val="000000"/>
          <w:sz w:val="24"/>
          <w:szCs w:val="24"/>
          <w:highlight w:val="none"/>
        </w:rPr>
        <w:t xml:space="preserve">等不同操作开度工况检测内容，设备多档位开度下面风速均匀性偏差、风速调节响应速度等核心性能指标均符合规范使用要求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szCs w:val="24"/>
          <w:highlight w:val="none"/>
          <w:lang w:val="en-US" w:eastAsia="zh-CN"/>
        </w:rPr>
        <w:t xml:space="preserve">3.1.4</w:t>
      </w:r>
      <w:r>
        <w:rPr>
          <w:rFonts w:ascii="宋体" w:hAnsi="宋体" w:eastAsia="宋体" w:cs="宋体"/>
          <w:color w:val="000000"/>
          <w:sz w:val="24"/>
          <w:szCs w:val="24"/>
          <w:highlight w:val="none"/>
        </w:rPr>
        <w:t xml:space="preserve">设备控制系统分别在 50℃高温环境连续运行 12 小时、0℃低温环境连续运行 12 小时工况下，均可稳定正常运行，各项功能无异常。</w:t>
      </w:r>
      <w:r>
        <w:rPr>
          <w:rFonts w:hint="eastAsia" w:ascii="宋体" w:hAnsi="宋体" w:eastAsia="宋体" w:cs="宋体"/>
          <w:color w:val="000000"/>
          <w:sz w:val="24"/>
          <w:highlight w:val="none"/>
          <w:lang w:val="zh-TW" w:eastAsia="zh-CN"/>
        </w:rPr>
        <w:t xml:space="preserve">VAV面风速控制系统具有以下功能特性：自动调节以恒定不同状态下的安全面风速设定要求；不安全的条件下，声音及显示报警；支持实测面风速并数字显示面风速值；支持显示当前变风量阀门状态以提醒用户通风柜使用状态；支持一键最大风量紧急排放功能；面风速目标值参数可设定；报警阈值参数可设定。</w:t>
      </w:r>
      <w:r>
        <w:rPr>
          <w:rFonts w:hint="eastAsia" w:ascii="宋体" w:hAnsi="宋体" w:eastAsia="宋体" w:cs="宋体"/>
          <w:color w:val="000000"/>
          <w:sz w:val="24"/>
          <w:highlight w:val="none"/>
          <w:lang w:val="zh-TW"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3.2</w:t>
      </w:r>
      <w:r>
        <w:rPr>
          <w:rFonts w:hint="eastAsia" w:ascii="宋体" w:hAnsi="宋体" w:eastAsia="宋体" w:cs="宋体"/>
          <w:color w:val="000000"/>
          <w:sz w:val="24"/>
          <w:highlight w:val="none"/>
          <w:lang w:val="zh-TW" w:eastAsia="zh-CN"/>
        </w:rPr>
        <w:t xml:space="preserve">产品技术要求：</w:t>
      </w:r>
      <w:r>
        <w:rPr>
          <w:rFonts w:hint="eastAsia" w:ascii="宋体" w:hAnsi="宋体" w:eastAsia="宋体" w:cs="宋体"/>
          <w:color w:val="000000"/>
          <w:sz w:val="24"/>
          <w:highlight w:val="none"/>
          <w:lang w:val="zh-TW"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3.2.1</w:t>
      </w:r>
      <w:r>
        <w:rPr>
          <w:rFonts w:hint="eastAsia" w:ascii="宋体" w:hAnsi="宋体" w:eastAsia="宋体" w:cs="宋体"/>
          <w:color w:val="000000"/>
          <w:sz w:val="24"/>
          <w:highlight w:val="none"/>
          <w:lang w:val="zh-TW" w:eastAsia="zh-CN"/>
        </w:rPr>
        <w:t xml:space="preserve">通风柜液晶显示面板</w:t>
      </w:r>
      <w:r>
        <w:rPr>
          <w:rFonts w:hint="eastAsia" w:ascii="宋体" w:hAnsi="宋体" w:eastAsia="宋体" w:cs="宋体"/>
          <w:color w:val="000000"/>
          <w:sz w:val="24"/>
          <w:highlight w:val="none"/>
          <w:lang w:val="zh-TW"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highlight w:val="none"/>
          <w:lang w:val="zh-TW" w:eastAsia="zh-CN"/>
        </w:rPr>
        <w:t xml:space="preserve">不小于5.0吋彩色高清液晶触摸显示面板，电容屏，可实时显示当前通风柜面风速值，并能进行相关参数设置。所有参数均可就地设置，液晶显示屏应有调整相应指示，且进入界面应设置密码保护避免误操作。可依据室内气流环境，调整面风速或流量传感器敏感度，减少系统波动。具备紧急排风按键，紧急情况下，通过此按键实现最大排风操作。通过液晶屏显示当前安全/危险运行状态，具有声光报警功能，可设定面风速报警上下限及调节窗位移报警阈值。</w:t>
      </w:r>
      <w:r>
        <w:rPr>
          <w:rFonts w:ascii="宋体" w:hAnsi="宋体" w:eastAsia="宋体" w:cs="宋体"/>
          <w:color w:val="000000"/>
          <w:sz w:val="24"/>
          <w:szCs w:val="24"/>
          <w:highlight w:val="none"/>
        </w:rPr>
        <w:t xml:space="preserve">通风柜液晶显示面板燃烧性能</w:t>
      </w:r>
      <w:r>
        <w:rPr>
          <w:rFonts w:ascii="宋体" w:hAnsi="宋体" w:eastAsia="宋体" w:cs="宋体"/>
          <w:color w:val="000000"/>
          <w:sz w:val="24"/>
          <w:szCs w:val="24"/>
          <w:highlight w:val="none"/>
        </w:rPr>
        <w:t xml:space="preserve">需符合GB8624-2012标准相关规定，燃烧性能达到A（A1）级。</w:t>
      </w:r>
      <w:r>
        <w:rPr>
          <w:rFonts w:hint="eastAsia" w:ascii="宋体" w:hAnsi="宋体" w:eastAsia="宋体" w:cs="宋体"/>
          <w:color w:val="000000"/>
          <w:sz w:val="24"/>
          <w:highlight w:val="none"/>
          <w:lang w:val="zh-TW" w:eastAsia="zh-CN"/>
        </w:rPr>
        <w:t xml:space="preserve">按照GB/T17626.4-2018标准进行电快速瞬变脉冲群抗扰度试验，试验期间，屏幕能正常显示，有数据更新；试验后，屏幕能正常显示，有数据更新，可以触控。</w:t>
      </w:r>
      <w:r>
        <w:rPr>
          <w:rFonts w:hint="eastAsia" w:ascii="宋体" w:hAnsi="宋体" w:eastAsia="宋体" w:cs="宋体"/>
          <w:color w:val="000000"/>
          <w:sz w:val="24"/>
          <w:szCs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3.2.2</w:t>
      </w:r>
      <w:r>
        <w:rPr>
          <w:rFonts w:hint="eastAsia" w:ascii="宋体" w:hAnsi="宋体" w:eastAsia="宋体" w:cs="宋体"/>
          <w:color w:val="000000"/>
          <w:sz w:val="24"/>
          <w:highlight w:val="none"/>
          <w:lang w:val="zh-TW" w:eastAsia="zh-CN"/>
        </w:rPr>
        <w:t xml:space="preserve">通风柜控制器</w:t>
      </w:r>
      <w:r>
        <w:rPr>
          <w:rFonts w:hint="eastAsia" w:ascii="宋体" w:hAnsi="宋体" w:eastAsia="宋体" w:cs="宋体"/>
          <w:color w:val="000000"/>
          <w:sz w:val="24"/>
          <w:highlight w:val="none"/>
          <w:lang w:val="zh-TW"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zh-TW" w:eastAsia="zh-CN"/>
        </w:rPr>
        <w:t xml:space="preserve">连接液晶显示面板、风量传感器、位移传感器、快速执行器元器件。采用位移与管道实测风量和需求风量对比双路控制方式，调节窗动作时，由位移传感器检测视窗开度，通风柜控制器调节变风量流量控制阀至标定风量，稳定后转为流量反馈微调，从而保证内通风柜面风速恒定。支持视窗自动升降扩展功能，并触摸控制视窗高度。支持</w:t>
      </w:r>
      <w:r>
        <w:rPr>
          <w:rFonts w:hint="eastAsia" w:ascii="宋体" w:hAnsi="宋体" w:eastAsia="宋体" w:cs="宋体"/>
          <w:color w:val="000000"/>
          <w:sz w:val="24"/>
          <w:highlight w:val="none"/>
          <w:lang w:val="en-US" w:eastAsia="zh-CN"/>
        </w:rPr>
        <w:t xml:space="preserve">RS-485</w:t>
      </w:r>
      <w:r>
        <w:rPr>
          <w:rFonts w:hint="eastAsia" w:ascii="宋体" w:hAnsi="宋体" w:eastAsia="宋体" w:cs="宋体"/>
          <w:color w:val="000000"/>
          <w:sz w:val="24"/>
          <w:highlight w:val="none"/>
          <w:lang w:val="zh-TW" w:eastAsia="zh-CN"/>
        </w:rPr>
        <w:t xml:space="preserve">或以太网通信功能。支持物联网通信功能，支持</w:t>
      </w:r>
      <w:r>
        <w:rPr>
          <w:rFonts w:hint="eastAsia" w:ascii="宋体" w:hAnsi="宋体" w:eastAsia="宋体" w:cs="宋体"/>
          <w:color w:val="000000"/>
          <w:sz w:val="24"/>
          <w:highlight w:val="none"/>
          <w:lang w:val="en-US" w:eastAsia="zh-CN"/>
        </w:rPr>
        <w:t xml:space="preserve">NB</w:t>
      </w:r>
      <w:r>
        <w:rPr>
          <w:rFonts w:hint="eastAsia" w:ascii="宋体" w:hAnsi="宋体" w:eastAsia="宋体" w:cs="宋体"/>
          <w:color w:val="000000"/>
          <w:sz w:val="24"/>
          <w:highlight w:val="none"/>
          <w:lang w:val="zh-TW" w:eastAsia="zh-CN"/>
        </w:rPr>
        <w:t xml:space="preserve">或</w:t>
      </w:r>
      <w:r>
        <w:rPr>
          <w:rFonts w:hint="eastAsia" w:ascii="宋体" w:hAnsi="宋体" w:eastAsia="宋体" w:cs="宋体"/>
          <w:color w:val="000000"/>
          <w:sz w:val="24"/>
          <w:highlight w:val="none"/>
          <w:lang w:val="en-US" w:eastAsia="zh-CN"/>
        </w:rPr>
        <w:t xml:space="preserve">LORA</w:t>
      </w:r>
      <w:r>
        <w:rPr>
          <w:rFonts w:hint="eastAsia" w:ascii="宋体" w:hAnsi="宋体" w:eastAsia="宋体" w:cs="宋体"/>
          <w:color w:val="000000"/>
          <w:sz w:val="24"/>
          <w:highlight w:val="none"/>
          <w:lang w:val="zh-TW" w:eastAsia="zh-CN"/>
        </w:rPr>
        <w:t xml:space="preserve">物联网无线通信模式。</w:t>
      </w:r>
      <w:r>
        <w:rPr>
          <w:rFonts w:hint="eastAsia" w:ascii="宋体" w:hAnsi="宋体" w:eastAsia="宋体" w:cs="宋体"/>
          <w:color w:val="000000"/>
          <w:sz w:val="24"/>
          <w:highlight w:val="none"/>
          <w:lang w:val="zh-TW"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3.2.3</w:t>
      </w:r>
      <w:r>
        <w:rPr>
          <w:rFonts w:hint="eastAsia" w:ascii="宋体" w:hAnsi="宋体" w:eastAsia="宋体" w:cs="宋体"/>
          <w:color w:val="000000"/>
          <w:sz w:val="24"/>
          <w:highlight w:val="none"/>
          <w:lang w:val="zh-TW" w:eastAsia="zh-CN"/>
        </w:rPr>
        <w:t xml:space="preserve">风量传感器</w:t>
      </w:r>
      <w:r>
        <w:rPr>
          <w:rFonts w:hint="eastAsia" w:ascii="宋体" w:hAnsi="宋体" w:eastAsia="宋体" w:cs="宋体"/>
          <w:color w:val="000000"/>
          <w:sz w:val="24"/>
          <w:highlight w:val="none"/>
          <w:lang w:val="zh-TW"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en-GB" w:eastAsia="zh-CN"/>
        </w:rPr>
      </w:pPr>
      <w:r>
        <w:rPr>
          <w:rFonts w:hint="eastAsia" w:ascii="宋体" w:hAnsi="宋体" w:eastAsia="宋体" w:cs="宋体"/>
          <w:color w:val="000000"/>
          <w:sz w:val="24"/>
          <w:highlight w:val="none"/>
          <w:lang w:val="en-GB" w:eastAsia="zh-CN"/>
        </w:rPr>
        <w:t xml:space="preserve">风量传感器集成于通风柜控制器，测量经过阀门测量段两端的压力差，确保测量风量的精度。量程：100～2000m3/h，精度±1%FS</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GB" w:eastAsia="zh-CN"/>
        </w:rPr>
        <w:t xml:space="preserve">反应时间为0.5ms。</w:t>
      </w:r>
      <w:r>
        <w:rPr>
          <w:rFonts w:hint="eastAsia" w:ascii="宋体" w:hAnsi="宋体" w:eastAsia="宋体" w:cs="宋体"/>
          <w:color w:val="000000"/>
          <w:sz w:val="24"/>
          <w:highlight w:val="none"/>
          <w:lang w:val="en-GB"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3.2.4</w:t>
      </w:r>
      <w:r>
        <w:rPr>
          <w:rFonts w:hint="eastAsia" w:ascii="宋体" w:hAnsi="宋体" w:eastAsia="宋体" w:cs="宋体"/>
          <w:color w:val="000000"/>
          <w:sz w:val="24"/>
          <w:highlight w:val="none"/>
          <w:lang w:val="zh-TW" w:eastAsia="zh-CN"/>
        </w:rPr>
        <w:t xml:space="preserve">位移传感器</w:t>
      </w:r>
      <w:r>
        <w:rPr>
          <w:rFonts w:hint="eastAsia" w:ascii="宋体" w:hAnsi="宋体" w:eastAsia="宋体" w:cs="宋体"/>
          <w:color w:val="000000"/>
          <w:sz w:val="24"/>
          <w:highlight w:val="none"/>
          <w:lang w:val="zh-TW"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zh-TW" w:eastAsia="zh-CN"/>
        </w:rPr>
        <w:t xml:space="preserve">高精度电位器带一条钢丝，钢丝直连到调节门或者其配重上。调节门开关，电位器电阻改变，通风柜控制器上产生一个0～10VDC的调节门开度信号。行程范围为0-1000mm，适用于通用通风柜调节窗。轮彀材料：绝缘颗粒涂层阳极氧化铝。测量精度：0.25mm。可重复性：0.12mm。位移传感器的铅、镉、汞、六价铬、多溴联苯、多溴二苯醚、DBP、BBP、DEHP、DIBP  10项均符合RoHS2011/65/EU及修订指令（EU）2015/863附录II要求。</w:t>
      </w:r>
      <w:r>
        <w:rPr>
          <w:rFonts w:hint="eastAsia" w:ascii="宋体" w:hAnsi="宋体" w:eastAsia="宋体" w:cs="宋体"/>
          <w:color w:val="000000"/>
          <w:sz w:val="24"/>
          <w:highlight w:val="none"/>
          <w:lang w:val="zh-TW"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3.2.5</w:t>
      </w:r>
      <w:r>
        <w:rPr>
          <w:rFonts w:hint="eastAsia" w:ascii="宋体" w:hAnsi="宋体" w:eastAsia="宋体" w:cs="宋体"/>
          <w:color w:val="000000"/>
          <w:sz w:val="24"/>
          <w:highlight w:val="none"/>
          <w:lang w:val="zh-TW" w:eastAsia="zh-CN"/>
        </w:rPr>
        <w:t xml:space="preserve">变风量蝶阀</w:t>
      </w:r>
      <w:r>
        <w:rPr>
          <w:rFonts w:hint="eastAsia" w:ascii="宋体" w:hAnsi="宋体" w:eastAsia="宋体" w:cs="宋体"/>
          <w:color w:val="000000"/>
          <w:sz w:val="24"/>
          <w:highlight w:val="none"/>
          <w:lang w:val="zh-TW"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3.2.5.1</w:t>
      </w:r>
      <w:r>
        <w:rPr>
          <w:rFonts w:hint="eastAsia" w:ascii="宋体" w:hAnsi="宋体" w:eastAsia="宋体" w:cs="宋体"/>
          <w:color w:val="000000"/>
          <w:sz w:val="24"/>
          <w:highlight w:val="none"/>
          <w:lang w:val="zh-TW" w:eastAsia="zh-CN"/>
        </w:rPr>
        <w:t xml:space="preserve">变风量蝶阀是高速反应的风量控制设备。按照要求风量的变化，在小于3秒的时间内，完成精确的风量控制，防止有害气体的扩散。阀体采用抗腐蚀PP材质制成，带文丘里流量测量段，带法兰，带气密环，阀片带橡胶密封胶条。风量控制精度：≤±6%。高速反应，执行器驱动方式：电动，0～90°全行程≤2。变风量蝶阀</w:t>
      </w:r>
      <w:r>
        <w:rPr>
          <w:rFonts w:hint="eastAsia" w:ascii="宋体" w:hAnsi="宋体" w:eastAsia="宋体" w:cs="宋体"/>
          <w:color w:val="000000"/>
          <w:sz w:val="24"/>
          <w:highlight w:val="none"/>
          <w:lang w:val="en-US" w:eastAsia="zh-CN"/>
        </w:rPr>
        <w:t xml:space="preserve">根据</w:t>
      </w:r>
      <w:r>
        <w:rPr>
          <w:rFonts w:hint="eastAsia" w:ascii="宋体" w:hAnsi="宋体" w:eastAsia="宋体" w:cs="宋体"/>
          <w:color w:val="000000"/>
          <w:sz w:val="24"/>
          <w:highlight w:val="none"/>
          <w:lang w:val="zh-TW" w:eastAsia="zh-CN"/>
        </w:rPr>
        <w:t xml:space="preserve">GB8624-2012燃烧性能不低于B1等级，防火阻燃等级为UL 94 V-0级。变风量蝶阀阀片密封胶条的阻燃等级为UL 94 V-1级。变风量蝶阀在设定风量为600m3/h、800m3/h、1000m3/h和1200m3/h，阀前静压为-150Pa、-300Pa、-450Pa、-600Pa、-750Pa及-900Pa的情况下，风量偏差≤±6% </w:t>
      </w:r>
      <w:r>
        <w:rPr>
          <w:rFonts w:ascii="宋体" w:hAnsi="宋体" w:eastAsia="宋体" w:cs="宋体"/>
          <w:color w:val="000000"/>
          <w:sz w:val="24"/>
          <w:szCs w:val="24"/>
          <w:highlight w:val="none"/>
        </w:rPr>
        <w:t xml:space="preserve">。</w:t>
      </w:r>
      <w:r>
        <w:rPr>
          <w:rFonts w:hint="eastAsia" w:ascii="宋体" w:hAnsi="宋体" w:eastAsia="宋体" w:cs="宋体"/>
          <w:color w:val="000000"/>
          <w:sz w:val="24"/>
          <w:highlight w:val="none"/>
          <w:lang w:val="zh-TW"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3.2.5.2</w:t>
      </w:r>
      <w:r>
        <w:rPr>
          <w:rFonts w:hint="eastAsia" w:ascii="宋体" w:hAnsi="宋体" w:eastAsia="宋体" w:cs="宋体"/>
          <w:color w:val="000000"/>
          <w:sz w:val="24"/>
          <w:highlight w:val="none"/>
          <w:lang w:val="zh-TW" w:eastAsia="zh-CN"/>
        </w:rPr>
        <w:t xml:space="preserve">变风量蝶阀阀片漏风量在阀片两侧设定压差为500Pa、1000Pa、1500Pa、2000Pa、2500Pa的情况下，单位面积阀片小于8.6m3/h 。</w:t>
      </w:r>
      <w:r>
        <w:rPr>
          <w:rFonts w:hint="eastAsia" w:ascii="宋体" w:hAnsi="宋体" w:eastAsia="宋体" w:cs="宋体"/>
          <w:color w:val="000000"/>
          <w:sz w:val="24"/>
          <w:highlight w:val="none"/>
          <w:lang w:val="zh-TW"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3.2.5.3</w:t>
      </w:r>
      <w:r>
        <w:rPr>
          <w:rFonts w:hint="eastAsia" w:ascii="宋体" w:hAnsi="宋体" w:eastAsia="宋体" w:cs="宋体"/>
          <w:color w:val="000000"/>
          <w:sz w:val="24"/>
          <w:highlight w:val="none"/>
          <w:lang w:val="zh-TW" w:eastAsia="zh-CN"/>
        </w:rPr>
        <w:t xml:space="preserve">变风量蝶阀铅、镉、汞、六价铬、多溴联苯、多溴二苯醚、DBP、BBP、DEHP、DIBP  10项均符合RoHS2011/65/EU及修订指令（EU）2015/863附录II要求。</w:t>
      </w:r>
      <w:r>
        <w:rPr>
          <w:rFonts w:hint="eastAsia" w:ascii="宋体" w:hAnsi="宋体" w:eastAsia="宋体" w:cs="宋体"/>
          <w:color w:val="000000"/>
          <w:sz w:val="24"/>
          <w:highlight w:val="none"/>
          <w:lang w:val="zh-TW"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3.2.5.4</w:t>
      </w:r>
      <w:r>
        <w:rPr>
          <w:rFonts w:hint="eastAsia" w:ascii="宋体" w:hAnsi="宋体" w:eastAsia="宋体" w:cs="宋体"/>
          <w:color w:val="000000"/>
          <w:sz w:val="24"/>
          <w:highlight w:val="none"/>
          <w:lang w:val="zh-TW" w:eastAsia="zh-CN"/>
        </w:rPr>
        <w:t xml:space="preserve">变风量蝶阀采用甲醇、15%HCL、10%NaOH、15%H2SO4在常温下进行检测，检测时间不低于24h，外观无明显变化。</w:t>
      </w:r>
      <w:r>
        <w:rPr>
          <w:rFonts w:hint="eastAsia" w:ascii="宋体" w:hAnsi="宋体" w:eastAsia="宋体" w:cs="宋体"/>
          <w:color w:val="000000"/>
          <w:sz w:val="24"/>
          <w:highlight w:val="none"/>
          <w:lang w:val="zh-TW"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3.2.5.5</w:t>
      </w:r>
      <w:r>
        <w:rPr>
          <w:rFonts w:hint="eastAsia" w:ascii="宋体" w:hAnsi="宋体" w:eastAsia="宋体" w:cs="宋体"/>
          <w:color w:val="000000"/>
          <w:sz w:val="24"/>
          <w:highlight w:val="none"/>
          <w:lang w:val="zh-TW" w:eastAsia="zh-CN"/>
        </w:rPr>
        <w:t xml:space="preserve">变风量蝶阀按照GB/T17626.4-2018标准进行电快速瞬变脉冲群抗扰度试验，试验过程中及试验后，控制器显示面板无闪烁、死机等异常现象，控制器能控制变风量蝶阀的开关。</w:t>
      </w:r>
      <w:r>
        <w:rPr>
          <w:rFonts w:hint="eastAsia" w:ascii="宋体" w:hAnsi="宋体" w:eastAsia="宋体" w:cs="宋体"/>
          <w:color w:val="000000"/>
          <w:sz w:val="24"/>
          <w:highlight w:val="none"/>
          <w:lang w:val="zh-TW"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highlight w:val="none"/>
          <w:lang w:val="en-US" w:eastAsia="zh-CN"/>
        </w:rPr>
        <w:t xml:space="preserve">▲3.2.5.6</w:t>
      </w:r>
      <w:r>
        <w:rPr>
          <w:rFonts w:hint="eastAsia" w:ascii="宋体" w:hAnsi="宋体" w:eastAsia="宋体" w:cs="宋体"/>
          <w:color w:val="000000"/>
          <w:sz w:val="24"/>
          <w:highlight w:val="none"/>
          <w:lang w:val="zh-TW" w:eastAsia="zh-CN"/>
        </w:rPr>
        <w:t xml:space="preserve">变风量阀厂家需要</w:t>
      </w:r>
      <w:r>
        <w:rPr>
          <w:rFonts w:hint="eastAsia" w:ascii="宋体" w:hAnsi="宋体" w:eastAsia="宋体" w:cs="宋体"/>
          <w:color w:val="000000"/>
          <w:sz w:val="24"/>
          <w:highlight w:val="none"/>
          <w:lang w:val="en-US" w:eastAsia="zh-CN"/>
        </w:rPr>
        <w:t xml:space="preserve">具有</w:t>
      </w:r>
      <w:r>
        <w:rPr>
          <w:rFonts w:hint="eastAsia" w:ascii="宋体" w:hAnsi="宋体" w:eastAsia="宋体" w:cs="宋体"/>
          <w:color w:val="000000"/>
          <w:sz w:val="24"/>
          <w:highlight w:val="none"/>
          <w:lang w:val="zh-TW" w:eastAsia="zh-CN"/>
        </w:rPr>
        <w:t xml:space="preserve">由国家空调设备质量监督检验中心或第三方机构出具的关于风量标定台/空气动力性能试验台符合标准GB/T1236-2017《工业通风机 用标准化风道性能试验》规定的性能检测报告，风量标定台/空气动力性能试验台所配备仪器、设备均有有效期内的标定/校准证书；风量标定台/空气动力性能试验台风量检测相对偏差≤2%；风量标定台/空气动力性能试验台在1000Pa压力下，漏风率≤0.5%。</w:t>
      </w:r>
      <w:bookmarkEnd w:id="115"/>
      <w:r>
        <w:rPr>
          <w:rFonts w:hint="eastAsia" w:ascii="宋体" w:hAnsi="宋体" w:eastAsia="宋体" w:cs="宋体"/>
          <w:color w:val="000000"/>
          <w:sz w:val="24"/>
          <w:szCs w:val="24"/>
          <w:highlight w:val="none"/>
          <w:lang w:val="en-US" w:eastAsia="zh-CN"/>
        </w:rPr>
      </w:r>
      <w:r/>
    </w:p>
    <w:p>
      <w:pPr>
        <w:pStyle w:val="1038"/>
        <w:numPr>
          <w:ilvl w:val="0"/>
          <w:numId w:val="42"/>
        </w:numPr>
        <w:ind w:left="0" w:firstLine="482"/>
        <w:keepLines w:val="0"/>
        <w:keepNext w:val="0"/>
        <w:pageBreakBefore w:val="0"/>
        <w:spacing w:line="240" w:lineRule="auto"/>
        <w:widowControl w:val="off"/>
        <w:rPr>
          <w:rFonts w:hint="eastAsia" w:ascii="宋体" w:hAnsi="宋体" w:eastAsia="宋体" w:cs="宋体"/>
          <w:b/>
          <w:bCs/>
          <w:color w:val="000000"/>
          <w:sz w:val="24"/>
          <w:highlight w:val="none"/>
          <w:lang w:val="en-US" w:eastAsia="zh-CN"/>
        </w:rPr>
        <w:outlineLvl w:val="2"/>
      </w:pPr>
      <w:r>
        <w:rPr>
          <w:rFonts w:hint="eastAsia" w:ascii="宋体" w:hAnsi="宋体" w:eastAsia="宋体" w:cs="宋体"/>
          <w:b/>
          <w:bCs/>
          <w:color w:val="000000"/>
          <w:sz w:val="24"/>
          <w:highlight w:val="none"/>
          <w:lang w:val="en-US" w:eastAsia="zh-CN"/>
        </w:rPr>
        <w:t xml:space="preserve">水配件</w:t>
      </w:r>
      <w:r>
        <w:rPr>
          <w:rFonts w:hint="eastAsia" w:ascii="宋体" w:hAnsi="宋体" w:eastAsia="宋体" w:cs="宋体"/>
          <w:b/>
          <w:bCs/>
          <w:color w:val="000000"/>
          <w:sz w:val="24"/>
          <w:highlight w:val="none"/>
          <w:lang w:val="en-US" w:eastAsia="zh-CN"/>
        </w:rPr>
      </w:r>
      <w:r/>
    </w:p>
    <w:p>
      <w:pPr>
        <w:pStyle w:val="1038"/>
        <w:ind w:firstLine="480"/>
        <w:jc w:val="left"/>
        <w:keepLines w:val="0"/>
        <w:keepNext w:val="0"/>
        <w:pageBreakBefore w:val="0"/>
        <w:spacing w:line="24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4.1 PP水槽</w:t>
      </w:r>
      <w:r>
        <w:rPr>
          <w:rFonts w:hint="eastAsia" w:ascii="宋体" w:hAnsi="宋体" w:eastAsia="宋体" w:cs="宋体"/>
          <w:color w:val="000000"/>
          <w:sz w:val="24"/>
          <w:highlight w:val="none"/>
          <w:lang w:val="en-US" w:eastAsia="zh-CN"/>
        </w:rPr>
      </w:r>
      <w:r/>
    </w:p>
    <w:p>
      <w:pPr>
        <w:pStyle w:val="1038"/>
        <w:ind w:firstLine="480"/>
        <w:jc w:val="left"/>
        <w:keepLines w:val="0"/>
        <w:keepNext w:val="0"/>
        <w:pageBreakBefore w:val="0"/>
        <w:spacing w:line="24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highlight w:val="none"/>
          <w:lang w:val="en-US" w:eastAsia="zh-CN"/>
        </w:rPr>
        <w:t xml:space="preserve">4.1.1水槽采用全新PP料及进口色母料，无碳酸钙成分；下水口与水槽一体注塑成型，水槽内壁无缩印，四边平整，表面光滑顺畅，不有划伤、裂纹、气泡、爆边等明显缺陷。水槽壁厚＞5mm；为防止水槽中间或四周有积液，槽体底部有导流线。耐污染性能、紫外老化测试、低温老化性、拉伸强度符合相关标准要求。</w:t>
      </w:r>
      <w:r>
        <w:rPr>
          <w:rFonts w:ascii="宋体" w:hAnsi="宋体" w:eastAsia="宋体" w:cs="宋体"/>
          <w:color w:val="000000"/>
          <w:sz w:val="24"/>
          <w:szCs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highlight w:val="none"/>
          <w:lang w:val="en-US" w:eastAsia="zh-CN"/>
        </w:rPr>
        <w:t xml:space="preserve">▲4.1.2提供绿色产品认证证书，以证明所投产品符合国家对绿色制造与环境产品的相关要求</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4.2 实验室化验水龙头</w:t>
      </w:r>
      <w:r>
        <w:rPr>
          <w:rFonts w:hint="eastAsia" w:ascii="宋体" w:hAnsi="宋体" w:eastAsia="宋体" w:cs="宋体"/>
          <w:color w:val="000000"/>
          <w:sz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4.2.1龙头选用H63黄铜管，使用红冲锻造工艺，不出现砂眼；涂层经哑光环氧树脂粉末涂料热固处理，防紫外线辐射，耐化学腐蚀；陶瓷阀芯可90度旋转、耐磨、耐腐蚀，开关使用寿命测试可达60万次，静态最大耐压2.5MPa，鹅颈出水管可360度旋转；旋钮把手为PP全新料无添加碳酸钙；供水软管：长度1.5米，软性PVC管外覆不锈钢网，外层包裹PE管，有效防止生锈、渗漏。</w:t>
      </w:r>
      <w:r>
        <w:rPr>
          <w:rFonts w:hint="eastAsia" w:ascii="宋体" w:hAnsi="宋体" w:eastAsia="宋体" w:cs="宋体"/>
          <w:color w:val="000000"/>
          <w:sz w:val="24"/>
          <w:highlight w:val="none"/>
          <w:lang w:val="en-US" w:eastAsia="zh-CN"/>
        </w:rPr>
      </w:r>
      <w:r/>
    </w:p>
    <w:p>
      <w:pPr>
        <w:pStyle w:val="1038"/>
        <w:ind w:firstLine="480"/>
        <w:jc w:val="left"/>
        <w:keepLines w:val="0"/>
        <w:keepNext w:val="0"/>
        <w:pageBreakBefore w:val="0"/>
        <w:spacing w:line="24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highlight w:val="none"/>
          <w:lang w:val="en-US" w:eastAsia="zh-CN"/>
        </w:rPr>
        <w:t xml:space="preserve">4.2.2耐液体化学试剂性能、抗菌性、连接软管抗弯曲性、连接软管耐压性符合相关标准要求。</w:t>
      </w:r>
      <w:r>
        <w:rPr>
          <w:rFonts w:ascii="宋体" w:hAnsi="宋体" w:eastAsia="宋体" w:cs="宋体"/>
          <w:color w:val="000000"/>
          <w:sz w:val="24"/>
          <w:szCs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38"/>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4.3洗眼器</w:t>
      </w:r>
      <w:r>
        <w:rPr>
          <w:rFonts w:hint="eastAsia" w:ascii="宋体" w:hAnsi="宋体" w:eastAsia="宋体" w:cs="宋体"/>
          <w:color w:val="000000"/>
          <w:sz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4.3.1主体：加厚铜质H59-1；</w:t>
      </w:r>
      <w:r>
        <w:rPr>
          <w:rFonts w:hint="eastAsia" w:ascii="宋体" w:hAnsi="宋体" w:eastAsia="宋体" w:cs="宋体"/>
          <w:color w:val="000000"/>
          <w:sz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4.3.2洗眼喷头：加厚铜质环氧树脂涂层外加软性橡胶，出水经缓压处理呈泡沫状水柱，防止冲伤眼睛；</w:t>
      </w:r>
      <w:r>
        <w:rPr>
          <w:rFonts w:hint="eastAsia" w:ascii="宋体" w:hAnsi="宋体" w:eastAsia="宋体" w:cs="宋体"/>
          <w:color w:val="000000"/>
          <w:sz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4.3.3莲蓬头护罩：Φ70橡胶质护杯，以避免紧急使用时瞬间接触眼部造成碰撞二次伤害；</w:t>
      </w:r>
      <w:r>
        <w:rPr>
          <w:rFonts w:hint="eastAsia" w:ascii="宋体" w:hAnsi="宋体" w:eastAsia="宋体" w:cs="宋体"/>
          <w:color w:val="000000"/>
          <w:sz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4.3.4防尘盖：PP材质，平常可防尘，使用时可随时被水冲开，并降低突然时短暂的高水压，防止冲伤眼睛，防尘盖有连接于护罩可防尘脱落。使用时自动被水冲开；</w:t>
      </w:r>
      <w:r>
        <w:rPr>
          <w:rFonts w:hint="eastAsia" w:ascii="宋体" w:hAnsi="宋体" w:eastAsia="宋体" w:cs="宋体"/>
          <w:color w:val="000000"/>
          <w:sz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4.3.5水流锁定开关：水流开启，水流锁定功能一次完成，方便使用；</w:t>
      </w:r>
      <w:r>
        <w:rPr>
          <w:rFonts w:hint="eastAsia" w:ascii="宋体" w:hAnsi="宋体" w:eastAsia="宋体" w:cs="宋体"/>
          <w:color w:val="000000"/>
          <w:sz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4.3.6前置过滤器：配有小型前置过滤器主要的去除管道所产生的沉淀杂质和细菌、微生物残骸、铁锈、沙泥等大于5微米以上的颗粒杂质，避免眼睛及人体肌肤受到伤害；</w:t>
      </w:r>
      <w:r>
        <w:rPr>
          <w:rFonts w:hint="eastAsia" w:ascii="宋体" w:hAnsi="宋体" w:eastAsia="宋体" w:cs="宋体"/>
          <w:color w:val="000000"/>
          <w:sz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4.3.7供水软管：长度1.5米，软性PVC管外覆不锈钢网，外层包裹PE管，有效防止生锈、渗漏。</w:t>
      </w:r>
      <w:r>
        <w:rPr>
          <w:rFonts w:hint="eastAsia" w:ascii="宋体" w:hAnsi="宋体" w:eastAsia="宋体" w:cs="宋体"/>
          <w:color w:val="000000"/>
          <w:sz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4.3.8洗眼量：＞6L/min。</w:t>
      </w:r>
      <w:r>
        <w:rPr>
          <w:rFonts w:hint="eastAsia" w:ascii="宋体" w:hAnsi="宋体" w:eastAsia="宋体" w:cs="宋体"/>
          <w:color w:val="000000"/>
          <w:sz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▲4.3.9</w:t>
      </w:r>
      <w:r>
        <w:rPr>
          <w:rFonts w:ascii="宋体" w:hAnsi="宋体" w:eastAsia="宋体" w:cs="宋体"/>
          <w:color w:val="000000"/>
          <w:sz w:val="24"/>
          <w:szCs w:val="24"/>
          <w:highlight w:val="none"/>
        </w:rPr>
        <w:t xml:space="preserve">提供第三方机构出具的有效检测报告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highlight w:val="none"/>
          <w:lang w:val="en-US" w:eastAsia="zh-CN"/>
        </w:rPr>
        <w:t xml:space="preserve">包含以下项目：（1）测试压力0.20MPa，测试时间3min/次，样品提供冲洗液流量：≥10.3L/min，能保持洗眼时间：15min；（2）阀门在0.64s的时间内能完全打开。阀门一经打开，除使用者有意关闭的情况之外，能始终保持开启状态；（3）喷头位于距离使用者站立的水平面的高度距离可调（838mm～1143mm），距离墙壁或最近的障碍物距离可调（≥153mm）。</w:t>
      </w:r>
      <w:r>
        <w:rPr>
          <w:rFonts w:hint="eastAsia" w:ascii="宋体" w:hAnsi="宋体" w:eastAsia="宋体" w:cs="宋体"/>
          <w:color w:val="000000"/>
          <w:sz w:val="24"/>
          <w:highlight w:val="none"/>
          <w:lang w:val="en-US" w:eastAsia="zh-CN"/>
        </w:rPr>
      </w:r>
      <w:r/>
    </w:p>
    <w:p>
      <w:pPr>
        <w:pStyle w:val="1038"/>
        <w:numPr>
          <w:ilvl w:val="0"/>
          <w:numId w:val="0"/>
        </w:numPr>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4.3.10耐污染性能、氙弧灯老化测试、金属污染物析出、中性盐雾试验符合相关标准要求。</w:t>
      </w:r>
      <w:r>
        <w:rPr>
          <w:rFonts w:hint="eastAsia" w:ascii="宋体" w:hAnsi="宋体" w:eastAsia="宋体" w:cs="宋体"/>
          <w:color w:val="000000"/>
          <w:sz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▲4.3.11提供绿色产品认证证书，以证明所投产品符合国家对绿色制造与环境产品的相关要求。</w:t>
      </w:r>
      <w:r>
        <w:rPr>
          <w:rFonts w:hint="eastAsia" w:ascii="宋体" w:hAnsi="宋体" w:eastAsia="宋体" w:cs="宋体"/>
          <w:color w:val="000000"/>
          <w:sz w:val="24"/>
          <w:highlight w:val="none"/>
          <w:lang w:val="en-US" w:eastAsia="zh-CN"/>
        </w:rPr>
      </w:r>
      <w:r/>
    </w:p>
    <w:p>
      <w:pPr>
        <w:pStyle w:val="1038"/>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4.4滴水架</w:t>
      </w:r>
      <w:r>
        <w:rPr>
          <w:rFonts w:hint="eastAsia" w:ascii="宋体" w:hAnsi="宋体" w:eastAsia="宋体" w:cs="宋体"/>
          <w:color w:val="000000"/>
          <w:sz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4.4.1材料：采用高密度PP，一体成型，无异味；表面光洁，无缩印，无划痕，无飞边；内部无气泡、无气纹；</w:t>
      </w:r>
      <w:r>
        <w:rPr>
          <w:rFonts w:hint="eastAsia" w:ascii="宋体" w:hAnsi="宋体" w:eastAsia="宋体" w:cs="宋体"/>
          <w:color w:val="000000"/>
          <w:sz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4.4.2款式：滴水棒卡扣设计为嵌入式，可拆卸，安装简便，插好后不易脱落，左右摇晃&lt;1mm；</w:t>
      </w:r>
      <w:r>
        <w:rPr>
          <w:rFonts w:hint="eastAsia" w:ascii="宋体" w:hAnsi="宋体" w:eastAsia="宋体" w:cs="宋体"/>
          <w:color w:val="000000"/>
          <w:sz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4.4.3接水底部：中间设有排水孔；</w:t>
      </w:r>
      <w:r>
        <w:rPr>
          <w:rFonts w:hint="eastAsia" w:ascii="宋体" w:hAnsi="宋体" w:eastAsia="宋体" w:cs="宋体"/>
          <w:color w:val="000000"/>
          <w:sz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4.4.4可拆卸式滴水棒，滴水棒27/61根；</w:t>
      </w:r>
      <w:r>
        <w:rPr>
          <w:rFonts w:hint="eastAsia" w:ascii="宋体" w:hAnsi="宋体" w:eastAsia="宋体" w:cs="宋体"/>
          <w:color w:val="000000"/>
          <w:sz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4.4.5安装方式：壁挂式/台式。</w:t>
      </w:r>
      <w:r>
        <w:rPr>
          <w:rFonts w:hint="eastAsia" w:ascii="宋体" w:hAnsi="宋体" w:eastAsia="宋体" w:cs="宋体"/>
          <w:color w:val="000000"/>
          <w:sz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4.4.6耐污染性能、紫外老化测试、弯曲强度、抗压强度符合相关标准要求。</w:t>
      </w:r>
      <w:r>
        <w:rPr>
          <w:rFonts w:hint="eastAsia" w:ascii="宋体" w:hAnsi="宋体" w:eastAsia="宋体" w:cs="宋体"/>
          <w:color w:val="000000"/>
          <w:sz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▲4.4.7提供绿色产品认证证书，以证明所投产品符合国家对绿色制造与环境产品的相关要求。</w:t>
      </w:r>
      <w:r>
        <w:rPr>
          <w:rFonts w:hint="eastAsia" w:ascii="宋体" w:hAnsi="宋体" w:eastAsia="宋体" w:cs="宋体"/>
          <w:color w:val="000000"/>
          <w:sz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4.5万向抽气罩</w:t>
      </w:r>
      <w:r>
        <w:rPr>
          <w:rFonts w:hint="eastAsia" w:ascii="宋体" w:hAnsi="宋体" w:eastAsia="宋体" w:cs="宋体"/>
          <w:color w:val="000000"/>
          <w:sz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4.5.1.主体：PP材质；</w:t>
      </w:r>
      <w:r>
        <w:rPr>
          <w:rFonts w:hint="eastAsia" w:ascii="宋体" w:hAnsi="宋体" w:eastAsia="宋体" w:cs="宋体"/>
          <w:color w:val="000000"/>
          <w:sz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4.5.2.直管及罩子旋转装置要求铝合金材料确保装置稳定，并且360°旋转；</w:t>
      </w:r>
      <w:r>
        <w:rPr>
          <w:rFonts w:hint="eastAsia" w:ascii="宋体" w:hAnsi="宋体" w:eastAsia="宋体" w:cs="宋体"/>
          <w:color w:val="000000"/>
          <w:sz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4.5.3.关节PP全新料生产，可360°旋转调节方向，易拆卸、重组及清洗；</w:t>
      </w:r>
      <w:r>
        <w:rPr>
          <w:rFonts w:hint="eastAsia" w:ascii="宋体" w:hAnsi="宋体" w:eastAsia="宋体" w:cs="宋体"/>
          <w:color w:val="000000"/>
          <w:sz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4.5.4.关节连接杆：304不锈钢；</w:t>
      </w:r>
      <w:r>
        <w:rPr>
          <w:rFonts w:hint="eastAsia" w:ascii="宋体" w:hAnsi="宋体" w:eastAsia="宋体" w:cs="宋体"/>
          <w:color w:val="000000"/>
          <w:sz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4.5.5.关节松紧旋钮：全铜材质确保螺纹不滑丝，内嵌不锈钢轴承，与关节连接杆锁合；</w:t>
      </w:r>
      <w:r>
        <w:rPr>
          <w:rFonts w:hint="eastAsia" w:ascii="宋体" w:hAnsi="宋体" w:eastAsia="宋体" w:cs="宋体"/>
          <w:color w:val="000000"/>
          <w:sz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4.5.6.气流调节阀：手动调节外部阀门旋钮，控制进入之气流量； </w:t>
      </w:r>
      <w:r>
        <w:rPr>
          <w:rFonts w:hint="eastAsia" w:ascii="宋体" w:hAnsi="宋体" w:eastAsia="宋体" w:cs="宋体"/>
          <w:color w:val="000000"/>
          <w:sz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4.5.7.伸缩导管Φ75PP管；</w:t>
      </w:r>
      <w:r>
        <w:rPr>
          <w:rFonts w:hint="eastAsia" w:ascii="宋体" w:hAnsi="宋体" w:eastAsia="宋体" w:cs="宋体"/>
          <w:color w:val="000000"/>
          <w:sz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4.5.8.拱形/杯形集气罩：高密度PP/PC材质；</w:t>
      </w:r>
      <w:r>
        <w:rPr>
          <w:rFonts w:hint="eastAsia" w:ascii="宋体" w:hAnsi="宋体" w:eastAsia="宋体" w:cs="宋体"/>
          <w:color w:val="000000"/>
          <w:sz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4.5.9.固定底座：采用PP材质。</w:t>
      </w:r>
      <w:r>
        <w:rPr>
          <w:rFonts w:hint="eastAsia" w:ascii="宋体" w:hAnsi="宋体" w:eastAsia="宋体" w:cs="宋体"/>
          <w:color w:val="000000"/>
          <w:sz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4.5.10.耐污染性能、抗菌性、简支梁缺口冲击强度、氧指数符合相关标准要求。</w:t>
      </w:r>
      <w:r>
        <w:rPr>
          <w:rFonts w:hint="eastAsia" w:ascii="宋体" w:hAnsi="宋体" w:eastAsia="宋体" w:cs="宋体"/>
          <w:color w:val="000000"/>
          <w:sz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▲4.5.11.提供绿色产品认证证书，以证明所投产品符合国家对绿色制造与环境产品的相关要求。</w:t>
      </w:r>
      <w:r>
        <w:rPr>
          <w:rFonts w:hint="eastAsia" w:ascii="宋体" w:hAnsi="宋体" w:eastAsia="宋体" w:cs="宋体"/>
          <w:color w:val="000000"/>
          <w:sz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4.6紧急冲淋洗眼器</w:t>
      </w:r>
      <w:r>
        <w:rPr>
          <w:rFonts w:hint="eastAsia" w:ascii="宋体" w:hAnsi="宋体" w:eastAsia="宋体" w:cs="宋体"/>
          <w:color w:val="000000"/>
          <w:sz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4.6.1、规格：立式</w:t>
      </w:r>
      <w:r>
        <w:rPr>
          <w:rFonts w:hint="eastAsia" w:ascii="宋体" w:hAnsi="宋体" w:eastAsia="宋体" w:cs="宋体"/>
          <w:color w:val="000000"/>
          <w:sz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4.6.2、材质：304不锈钢，冲淋阀门及洗眼器阀门需快开陶瓷阀（非球阀）方便维保。</w:t>
      </w:r>
      <w:r>
        <w:rPr>
          <w:rFonts w:hint="eastAsia" w:ascii="宋体" w:hAnsi="宋体" w:eastAsia="宋体" w:cs="宋体"/>
          <w:color w:val="000000"/>
          <w:sz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4.6.3、技术参数：</w:t>
      </w:r>
      <w:r>
        <w:rPr>
          <w:rFonts w:hint="eastAsia" w:ascii="宋体" w:hAnsi="宋体" w:eastAsia="宋体" w:cs="宋体"/>
          <w:color w:val="000000"/>
          <w:sz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4.6.3.3.1、紧急喷淋铬（Cr）含量大于18%、镍（Ni）含量大于8%；</w:t>
      </w:r>
      <w:r>
        <w:rPr>
          <w:rFonts w:hint="eastAsia" w:ascii="宋体" w:hAnsi="宋体" w:eastAsia="宋体" w:cs="宋体"/>
          <w:color w:val="000000"/>
          <w:sz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4.6.3.3.2、喷淋性能</w:t>
      </w:r>
      <w:r>
        <w:rPr>
          <w:rFonts w:hint="eastAsia" w:ascii="宋体" w:hAnsi="宋体" w:eastAsia="宋体" w:cs="宋体"/>
          <w:color w:val="000000"/>
          <w:sz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（1）喷淋流量：达到至少76L/min，确保快速有效地覆盖受影响区域</w:t>
      </w:r>
      <w:r>
        <w:rPr>
          <w:rFonts w:hint="eastAsia" w:ascii="宋体" w:hAnsi="宋体" w:eastAsia="宋体" w:cs="宋体"/>
          <w:color w:val="000000"/>
          <w:sz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（2）喷淋持续时间：连续供水时间至少为15分钟，以满足紧急情况下的清洗需求。</w:t>
      </w:r>
      <w:r>
        <w:rPr>
          <w:rFonts w:hint="eastAsia" w:ascii="宋体" w:hAnsi="宋体" w:eastAsia="宋体" w:cs="宋体"/>
          <w:color w:val="000000"/>
          <w:sz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（3）喷淋角度与范围：确保360度全方位喷淋，覆盖范围广</w:t>
      </w:r>
      <w:r>
        <w:rPr>
          <w:rFonts w:hint="eastAsia" w:ascii="宋体" w:hAnsi="宋体" w:eastAsia="宋体" w:cs="宋体"/>
          <w:color w:val="000000"/>
          <w:sz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4.6.3.3.3、系统设计与安装</w:t>
      </w:r>
      <w:r>
        <w:rPr>
          <w:rFonts w:hint="eastAsia" w:ascii="宋体" w:hAnsi="宋体" w:eastAsia="宋体" w:cs="宋体"/>
          <w:color w:val="000000"/>
          <w:sz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（1）安装位置：靠近危险区域，确保人员在紧急情况下能够迅速到达。</w:t>
      </w:r>
      <w:r>
        <w:rPr>
          <w:rFonts w:hint="eastAsia" w:ascii="宋体" w:hAnsi="宋体" w:eastAsia="宋体" w:cs="宋体"/>
          <w:color w:val="000000"/>
          <w:sz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（2）材料选择：采用不锈钢材质，确保系统的稳定性和耐用性。</w:t>
      </w:r>
      <w:r>
        <w:rPr>
          <w:rFonts w:hint="eastAsia" w:ascii="宋体" w:hAnsi="宋体" w:eastAsia="宋体" w:cs="宋体"/>
          <w:color w:val="000000"/>
          <w:sz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（3）操作方式：需具有手拉式、脚踏式，便于快速启动。</w:t>
      </w:r>
      <w:r>
        <w:rPr>
          <w:rFonts w:hint="eastAsia" w:ascii="宋体" w:hAnsi="宋体" w:eastAsia="宋体" w:cs="宋体"/>
          <w:color w:val="000000"/>
          <w:sz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4.6.3.3.4、出水要求</w:t>
      </w:r>
      <w:r>
        <w:rPr>
          <w:rFonts w:hint="eastAsia" w:ascii="宋体" w:hAnsi="宋体" w:eastAsia="宋体" w:cs="宋体"/>
          <w:color w:val="000000"/>
          <w:sz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（1）出水温度：使用常温水，避免对皮肤造成刺激。</w:t>
      </w:r>
      <w:r>
        <w:rPr>
          <w:rFonts w:hint="eastAsia" w:ascii="宋体" w:hAnsi="宋体" w:eastAsia="宋体" w:cs="宋体"/>
          <w:color w:val="000000"/>
          <w:sz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（2）水质要求：使用清洁的自来水或去离子水，确保清洗效果。</w:t>
      </w:r>
      <w:r>
        <w:rPr>
          <w:rFonts w:hint="eastAsia" w:ascii="宋体" w:hAnsi="宋体" w:eastAsia="宋体" w:cs="宋体"/>
          <w:color w:val="000000"/>
          <w:sz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4.6.3.3.5、安全标识：设备周围设置明显的安全标识和操作流程，确保人员的正确使用。</w:t>
      </w:r>
      <w:r>
        <w:rPr>
          <w:rFonts w:hint="eastAsia" w:ascii="宋体" w:hAnsi="宋体" w:eastAsia="宋体" w:cs="宋体"/>
          <w:color w:val="000000"/>
          <w:sz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4.6.3.3.6、应急喷淋器一般要求、应急喷淋器控制阀门、洗眼器、洗眼/洗脸器符合相关标准要求。</w:t>
      </w:r>
      <w:r>
        <w:rPr>
          <w:rFonts w:hint="eastAsia" w:ascii="宋体" w:hAnsi="宋体" w:eastAsia="宋体" w:cs="宋体"/>
          <w:color w:val="000000"/>
          <w:sz w:val="24"/>
          <w:highlight w:val="none"/>
          <w:lang w:val="en-US" w:eastAsia="zh-CN"/>
        </w:rPr>
      </w:r>
      <w:r/>
    </w:p>
    <w:p>
      <w:pPr>
        <w:pStyle w:val="1038"/>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4.6.3.3.7、耐污染性能、耐人工气候老化性、中性盐雾试验、不锈钢元素含量符合相关标准要求。</w:t>
      </w:r>
      <w:r>
        <w:rPr>
          <w:rFonts w:hint="eastAsia" w:ascii="宋体" w:hAnsi="宋体" w:eastAsia="宋体" w:cs="宋体"/>
          <w:color w:val="000000"/>
          <w:sz w:val="24"/>
          <w:highlight w:val="none"/>
          <w:lang w:val="en-US" w:eastAsia="zh-CN"/>
        </w:rPr>
      </w:r>
      <w:r/>
    </w:p>
    <w:p>
      <w:pPr>
        <w:pStyle w:val="1137"/>
        <w:ind w:firstLine="241"/>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t xml:space="preserve">（三）说明：</w:t>
      </w:r>
      <w:r>
        <w:rPr>
          <w:rFonts w:hint="eastAsia" w:ascii="宋体" w:hAnsi="宋体" w:eastAsia="宋体" w:cs="宋体"/>
          <w:b/>
          <w:bCs/>
          <w:color w:val="000000"/>
          <w:szCs w:val="24"/>
          <w:highlight w:val="none"/>
        </w:rPr>
      </w:r>
      <w:r/>
    </w:p>
    <w:p>
      <w:pPr>
        <w:pStyle w:val="103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w:t>
      </w:r>
      <w:r>
        <w:rPr>
          <w:rFonts w:hint="eastAsia" w:ascii="宋体" w:hAnsi="宋体" w:eastAsia="宋体" w:cs="宋体"/>
          <w:b/>
          <w:bCs/>
          <w:color w:val="000000"/>
          <w:sz w:val="24"/>
          <w:szCs w:val="24"/>
          <w:highlight w:val="none"/>
        </w:rPr>
        <w:t xml:space="preserve">不接受</w:t>
      </w:r>
      <w:r>
        <w:rPr>
          <w:rFonts w:hint="eastAsia" w:ascii="宋体" w:hAnsi="宋体" w:eastAsia="宋体" w:cs="宋体"/>
          <w:color w:val="000000"/>
          <w:sz w:val="24"/>
          <w:szCs w:val="24"/>
          <w:highlight w:val="none"/>
        </w:rPr>
        <w:t xml:space="preserve">进口产品投标（注：本文件所称进口品牌是指通过中国海关报关验放进入中国境内且产自关境外的品牌）。</w:t>
      </w:r>
      <w:r>
        <w:rPr>
          <w:rFonts w:hint="eastAsia" w:ascii="宋体" w:hAnsi="宋体" w:eastAsia="宋体" w:cs="宋体"/>
          <w:color w:val="000000"/>
          <w:sz w:val="24"/>
          <w:szCs w:val="24"/>
          <w:highlight w:val="none"/>
        </w:rPr>
      </w:r>
      <w:r/>
    </w:p>
    <w:p>
      <w:pPr>
        <w:pStyle w:val="103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需根据招标文件要求，并结合本项目特点，制订完善的项目实施方案、培训计划，方案至少需包括全部产品的安装部署、调试方案、人员安排、供货期、验收方案等；方案应做到完整全面、科学可行，并有针对性，配备具有相应资质和经验的项目经理及技术服务人员，服从采购人管理要求，确保在规定的交付时限内完成。</w:t>
      </w:r>
      <w:r>
        <w:rPr>
          <w:rFonts w:hint="eastAsia" w:ascii="宋体" w:hAnsi="宋体" w:eastAsia="宋体" w:cs="宋体"/>
          <w:color w:val="000000"/>
          <w:sz w:val="24"/>
          <w:szCs w:val="24"/>
          <w:highlight w:val="none"/>
        </w:rPr>
      </w:r>
      <w:r/>
    </w:p>
    <w:p>
      <w:pPr>
        <w:pStyle w:val="1038"/>
        <w:ind w:firstLine="480"/>
        <w:jc w:val="lef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中标后，招标人将对投标人提交的检测报告及技术条款响应真实性进行查验，若存在弄虚作假行为，将取消其中标资格，并依法追究相关责任。</w:t>
      </w:r>
      <w:r>
        <w:rPr>
          <w:rFonts w:hint="eastAsia" w:ascii="宋体" w:hAnsi="宋体" w:eastAsia="宋体" w:cs="宋体"/>
          <w:b/>
          <w:color w:val="000000"/>
          <w:sz w:val="24"/>
          <w:szCs w:val="24"/>
          <w:highlight w:val="none"/>
        </w:rPr>
      </w:r>
      <w:r/>
    </w:p>
    <w:p>
      <w:pPr>
        <w:pStyle w:val="1038"/>
        <w:numPr>
          <w:ilvl w:val="0"/>
          <w:numId w:val="41"/>
        </w:numPr>
        <w:spacing w:after="5"/>
        <w:rPr>
          <w:rFonts w:hint="eastAsia" w:ascii="宋体" w:hAnsi="宋体" w:eastAsia="宋体" w:cs="宋体"/>
          <w:b/>
          <w:color w:val="000000"/>
          <w:sz w:val="28"/>
          <w:szCs w:val="28"/>
          <w:highlight w:val="none"/>
        </w:rPr>
        <w:outlineLvl w:val="1"/>
      </w:pPr>
      <w:r/>
      <w:bookmarkStart w:id="116" w:name="_Toc28503"/>
      <w:r/>
      <w:bookmarkStart w:id="117" w:name="_Toc32321"/>
      <w:r>
        <w:rPr>
          <w:rFonts w:hint="eastAsia" w:ascii="宋体" w:hAnsi="宋体" w:eastAsia="宋体" w:cs="宋体"/>
          <w:b/>
          <w:color w:val="000000"/>
          <w:sz w:val="28"/>
          <w:szCs w:val="28"/>
          <w:highlight w:val="none"/>
        </w:rPr>
        <w:t xml:space="preserve"> 商务要求：</w:t>
      </w:r>
      <w:bookmarkEnd w:id="109"/>
      <w:r/>
      <w:bookmarkEnd w:id="116"/>
      <w:r/>
      <w:bookmarkEnd w:id="117"/>
      <w:r>
        <w:rPr>
          <w:rFonts w:hint="eastAsia" w:ascii="宋体" w:hAnsi="宋体" w:eastAsia="宋体" w:cs="宋体"/>
          <w:b/>
          <w:color w:val="000000"/>
          <w:sz w:val="28"/>
          <w:szCs w:val="28"/>
          <w:highlight w:val="none"/>
        </w:rPr>
      </w:r>
      <w:r/>
    </w:p>
    <w:p>
      <w:pPr>
        <w:pStyle w:val="1038"/>
        <w:ind w:firstLine="42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（一）服务要求：</w:t>
      </w:r>
      <w:r>
        <w:rPr>
          <w:rFonts w:hint="eastAsia" w:ascii="宋体" w:hAnsi="宋体" w:eastAsia="宋体" w:cs="宋体"/>
          <w:b/>
          <w:color w:val="000000"/>
          <w:sz w:val="24"/>
          <w:szCs w:val="24"/>
          <w:highlight w:val="none"/>
        </w:rPr>
      </w:r>
      <w:r/>
    </w:p>
    <w:p>
      <w:pPr>
        <w:pStyle w:val="1038"/>
        <w:ind w:firstLine="48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1.交货期及交货地点：</w:t>
      </w:r>
      <w:r>
        <w:rPr>
          <w:rFonts w:hint="eastAsia" w:ascii="宋体" w:hAnsi="宋体" w:eastAsia="宋体" w:cs="宋体"/>
          <w:b/>
          <w:bCs/>
          <w:color w:val="000000"/>
          <w:sz w:val="24"/>
          <w:szCs w:val="24"/>
          <w:highlight w:val="none"/>
        </w:rPr>
      </w:r>
      <w:r/>
    </w:p>
    <w:p>
      <w:pPr>
        <w:pStyle w:val="1038"/>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（1）交货时间：</w:t>
      </w:r>
      <w:r>
        <w:rPr>
          <w:rFonts w:hint="eastAsia" w:ascii="宋体" w:hAnsi="宋体" w:eastAsia="宋体" w:cs="宋体"/>
          <w:color w:val="000000"/>
          <w:sz w:val="24"/>
          <w:szCs w:val="24"/>
          <w:highlight w:val="none"/>
          <w:lang w:eastAsia="zh-CN"/>
        </w:rPr>
        <w:t xml:space="preserve">合同签订后2个月内供齐所有货物</w:t>
      </w:r>
      <w:r>
        <w:rPr>
          <w:rFonts w:hint="eastAsia" w:ascii="宋体" w:hAnsi="宋体" w:eastAsia="宋体" w:cs="宋体"/>
          <w:color w:val="000000"/>
          <w:sz w:val="24"/>
          <w:szCs w:val="24"/>
          <w:highlight w:val="none"/>
        </w:rPr>
        <w:t xml:space="preserve">，并完成安装、调试、服务及初步验收。</w:t>
      </w:r>
      <w:r>
        <w:rPr>
          <w:rFonts w:hint="eastAsia" w:ascii="宋体" w:hAnsi="宋体" w:eastAsia="宋体" w:cs="宋体"/>
          <w:color w:val="000000"/>
          <w:sz w:val="24"/>
          <w:szCs w:val="24"/>
          <w:highlight w:val="none"/>
        </w:rPr>
      </w:r>
      <w:r/>
    </w:p>
    <w:p>
      <w:pPr>
        <w:pStyle w:val="1038"/>
        <w:ind w:firstLine="480"/>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（2）交货地点：</w:t>
      </w:r>
      <w:r>
        <w:rPr>
          <w:rFonts w:hint="eastAsia" w:ascii="宋体" w:hAnsi="宋体" w:eastAsia="宋体" w:cs="宋体"/>
          <w:bCs/>
          <w:color w:val="000000"/>
          <w:sz w:val="24"/>
          <w:szCs w:val="24"/>
          <w:highlight w:val="none"/>
        </w:rPr>
        <w:t xml:space="preserve">江苏省计量科学研究院（江苏省能源计量数据中心）（南京市栖霞区文澜路95号）或指定地点。</w:t>
      </w:r>
      <w:r>
        <w:rPr>
          <w:rFonts w:hint="eastAsia" w:ascii="宋体" w:hAnsi="宋体" w:eastAsia="宋体" w:cs="宋体"/>
          <w:bCs/>
          <w:color w:val="000000"/>
          <w:sz w:val="24"/>
          <w:szCs w:val="24"/>
          <w:highlight w:val="none"/>
        </w:rPr>
      </w:r>
      <w:r/>
    </w:p>
    <w:p>
      <w:pPr>
        <w:pStyle w:val="1038"/>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设备包装要求：供应商必须按照采购人要求在指定的时间内完成采购人订购货物的制作（或订货），并在采购人规定时间内将货物运送到指定地点。供应商负责设备的包装，包装箱必须坚固，并做到防潮、密封，防水、防火、防锈和防震，并防止因运输而发生损坏，适于海、陆、空运输。包装材料必须符合中国进口动植物检验检疫的有关规定。</w:t>
      </w:r>
      <w:r>
        <w:rPr>
          <w:rFonts w:hint="eastAsia" w:ascii="宋体" w:hAnsi="宋体" w:eastAsia="宋体" w:cs="宋体"/>
          <w:bCs/>
          <w:color w:val="000000"/>
          <w:sz w:val="24"/>
          <w:szCs w:val="24"/>
          <w:highlight w:val="none"/>
        </w:rPr>
      </w:r>
      <w:r/>
    </w:p>
    <w:p>
      <w:pPr>
        <w:pStyle w:val="1038"/>
        <w:ind w:firstLine="482"/>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t xml:space="preserve">2.</w:t>
      </w:r>
      <w:r>
        <w:rPr>
          <w:rFonts w:hint="eastAsia" w:ascii="宋体" w:hAnsi="宋体" w:eastAsia="宋体" w:cs="宋体"/>
          <w:b/>
          <w:color w:val="000000"/>
          <w:sz w:val="24"/>
          <w:szCs w:val="24"/>
          <w:highlight w:val="none"/>
        </w:rPr>
        <w:t xml:space="preserve">付款方式：</w:t>
      </w:r>
      <w:r>
        <w:rPr>
          <w:rFonts w:hint="eastAsia" w:ascii="宋体" w:hAnsi="宋体" w:eastAsia="宋体" w:cs="宋体"/>
          <w:b/>
          <w:color w:val="000000"/>
          <w:sz w:val="24"/>
          <w:szCs w:val="24"/>
          <w:highlight w:val="none"/>
        </w:rPr>
      </w:r>
      <w:r/>
    </w:p>
    <w:p>
      <w:pPr>
        <w:pStyle w:val="1038"/>
        <w:ind w:firstLine="48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合同签订生效后一个月内，采购人向供应商预付合同总价30%的货款；设备、材料全部运抵交货地点，安装结束、调试完毕、验收合格后，采购人向供应商支付合同总价60%的货款。设备验收合格后稳定运行一年后，相关稳定性指标满足要求, 采购人向供应商支付合同总价10%的货款。</w:t>
      </w:r>
      <w:r>
        <w:rPr>
          <w:rFonts w:hint="eastAsia" w:ascii="宋体" w:hAnsi="宋体" w:eastAsia="宋体" w:cs="宋体"/>
          <w:bCs/>
          <w:color w:val="000000"/>
          <w:sz w:val="24"/>
          <w:szCs w:val="24"/>
          <w:highlight w:val="none"/>
        </w:rPr>
      </w:r>
      <w:r/>
    </w:p>
    <w:p>
      <w:pPr>
        <w:pStyle w:val="1038"/>
        <w:ind w:firstLine="48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应在收到采购人通知后开具合法有效发票，采购人收到发票后支付相应款项。若因发票瑕疵导致付款延误，责任由供应商承担。若产品存在质量问题，则不受该付款条件约束，应按照本合同条款其他要求以及民法典有关规定执行。</w:t>
      </w:r>
      <w:r>
        <w:rPr>
          <w:rFonts w:hint="eastAsia" w:ascii="宋体" w:hAnsi="宋体" w:eastAsia="宋体" w:cs="宋体"/>
          <w:bCs/>
          <w:color w:val="000000"/>
          <w:sz w:val="24"/>
          <w:szCs w:val="24"/>
          <w:highlight w:val="none"/>
        </w:rPr>
      </w:r>
      <w:r/>
    </w:p>
    <w:p>
      <w:pPr>
        <w:pStyle w:val="1038"/>
        <w:ind w:firstLine="48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3.安装调试：</w:t>
      </w:r>
      <w:r>
        <w:rPr>
          <w:rFonts w:hint="eastAsia" w:ascii="宋体" w:hAnsi="宋体" w:eastAsia="宋体" w:cs="宋体"/>
          <w:b/>
          <w:color w:val="000000"/>
          <w:sz w:val="24"/>
          <w:szCs w:val="24"/>
          <w:highlight w:val="none"/>
        </w:rPr>
      </w:r>
      <w:r/>
    </w:p>
    <w:p>
      <w:pPr>
        <w:pStyle w:val="1038"/>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设备到货后，供应商应安排人员进行开箱、安装、调试等服务。在安装调试过程中，供应商应向采购人提供完整的技术说明书、用户手册及维修手册等相关技术文档资料。如采购人发现所提供设备不符合要求或有明显损坏，以及在调试过程中有任何软、硬件故障发生，供应商必须更换不合格的部件，并重新进行安装调试，由此引起的全部费用由供应商承担。</w:t>
      </w:r>
      <w:r>
        <w:rPr>
          <w:rFonts w:hint="eastAsia" w:ascii="宋体" w:hAnsi="宋体" w:eastAsia="宋体" w:cs="宋体"/>
          <w:bCs/>
          <w:color w:val="000000"/>
          <w:sz w:val="24"/>
          <w:szCs w:val="24"/>
          <w:highlight w:val="none"/>
        </w:rPr>
      </w:r>
      <w:r/>
    </w:p>
    <w:p>
      <w:pPr>
        <w:pStyle w:val="1038"/>
        <w:ind w:firstLine="48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4..技术支持以及售后服务：</w:t>
      </w:r>
      <w:r>
        <w:rPr>
          <w:rFonts w:hint="eastAsia" w:ascii="宋体" w:hAnsi="宋体" w:eastAsia="宋体" w:cs="宋体"/>
          <w:b/>
          <w:color w:val="000000"/>
          <w:sz w:val="24"/>
          <w:szCs w:val="24"/>
          <w:highlight w:val="none"/>
        </w:rPr>
      </w:r>
      <w:r/>
    </w:p>
    <w:p>
      <w:pPr>
        <w:pStyle w:val="1038"/>
        <w:ind w:firstLine="420"/>
        <w:tabs>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eastAsia="zh-CN"/>
        </w:rPr>
        <w:t xml:space="preserve">江苏省计量检测基地(二期)实验室家具采购</w:t>
      </w:r>
      <w:r>
        <w:rPr>
          <w:rFonts w:hint="eastAsia" w:ascii="宋体" w:hAnsi="宋体" w:eastAsia="宋体" w:cs="宋体"/>
          <w:bCs/>
          <w:color w:val="000000"/>
          <w:sz w:val="24"/>
          <w:szCs w:val="24"/>
          <w:highlight w:val="none"/>
        </w:rPr>
        <w:t xml:space="preserve">的</w:t>
      </w:r>
      <w:r>
        <w:rPr>
          <w:rFonts w:hint="eastAsia" w:ascii="宋体" w:hAnsi="宋体" w:eastAsia="宋体" w:cs="宋体"/>
          <w:bCs/>
          <w:color w:val="000000"/>
          <w:sz w:val="24"/>
          <w:szCs w:val="24"/>
          <w:highlight w:val="none"/>
          <w:lang w:eastAsia="zh-CN"/>
        </w:rPr>
        <w:t xml:space="preserve">整体质保期</w:t>
      </w:r>
      <w:r>
        <w:rPr>
          <w:rFonts w:hint="eastAsia" w:ascii="宋体" w:hAnsi="宋体" w:eastAsia="宋体" w:cs="宋体"/>
          <w:bCs/>
          <w:color w:val="000000"/>
          <w:sz w:val="24"/>
          <w:szCs w:val="24"/>
          <w:highlight w:val="none"/>
        </w:rPr>
        <w:t xml:space="preserve">为验收合格之日起</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val="en-US" w:eastAsia="zh-CN"/>
        </w:rPr>
        <w:t xml:space="preserve">年</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038"/>
        <w:ind w:firstLine="420"/>
        <w:tabs>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（2）质保期内：实行“三包”，采购人所购设备各部件发生非人为故障，供应商免费更换同种品牌不低于原价位、规格、型号的部件。 </w:t>
      </w:r>
      <w:r>
        <w:rPr>
          <w:rFonts w:hint="eastAsia" w:ascii="宋体" w:hAnsi="宋体" w:eastAsia="宋体" w:cs="宋体"/>
          <w:bCs/>
          <w:color w:val="000000"/>
          <w:sz w:val="24"/>
          <w:szCs w:val="24"/>
          <w:highlight w:val="none"/>
        </w:rPr>
      </w:r>
      <w:r/>
    </w:p>
    <w:p>
      <w:pPr>
        <w:pStyle w:val="1038"/>
        <w:ind w:firstLine="420"/>
        <w:tabs>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质保期后：供应商提供终身优惠服务和技术支持，设备出现故障需要修理时，设备制造商须在接到故障信息后24小时内回应，通过电话等方式指导采购人排除故障；若故障仍不能排除，在48小时内上门调试维修排故，所换零件按成本价收取。</w:t>
      </w:r>
      <w:r>
        <w:rPr>
          <w:rFonts w:hint="eastAsia" w:ascii="宋体" w:hAnsi="宋体" w:eastAsia="宋体" w:cs="宋体"/>
          <w:bCs/>
          <w:color w:val="000000"/>
          <w:sz w:val="24"/>
          <w:szCs w:val="24"/>
          <w:highlight w:val="none"/>
        </w:rPr>
      </w:r>
      <w:r/>
    </w:p>
    <w:p>
      <w:pPr>
        <w:pStyle w:val="1038"/>
        <w:ind w:firstLine="420"/>
        <w:tabs>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（4）如规程规范发生变更，终生免费升级系统软件。</w:t>
      </w:r>
      <w:r>
        <w:rPr>
          <w:rFonts w:hint="eastAsia" w:ascii="宋体" w:hAnsi="宋体" w:eastAsia="宋体" w:cs="宋体"/>
          <w:bCs/>
          <w:color w:val="000000"/>
          <w:sz w:val="24"/>
          <w:szCs w:val="24"/>
          <w:highlight w:val="none"/>
        </w:rPr>
      </w:r>
      <w:r/>
    </w:p>
    <w:p>
      <w:pPr>
        <w:pStyle w:val="1038"/>
        <w:ind w:firstLine="422"/>
        <w:tabs>
          <w:tab w:val="left" w:pos="105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（二）报价要求及违约责任：</w:t>
      </w:r>
      <w:r>
        <w:rPr>
          <w:rFonts w:hint="eastAsia" w:ascii="宋体" w:hAnsi="宋体" w:eastAsia="宋体" w:cs="宋体"/>
          <w:b/>
          <w:color w:val="000000"/>
          <w:sz w:val="24"/>
          <w:szCs w:val="24"/>
          <w:highlight w:val="none"/>
        </w:rPr>
      </w:r>
      <w:r/>
    </w:p>
    <w:p>
      <w:pPr>
        <w:pStyle w:val="1038"/>
        <w:ind w:firstLine="480"/>
        <w:tabs>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1.本项目报价，应包括本次采购范围内全部设备、材料、随设备提供的备品配件及专用工具的价格、全部税费、包装费、运杂费（运抵甲方项目现场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保险费、安装费、调试费、甲方操作维护人员培训费、及供应商认为需要的其他费用等，本合同执行期间合同总价款不变。</w:t>
      </w:r>
      <w:r>
        <w:rPr>
          <w:rFonts w:hint="eastAsia" w:ascii="宋体" w:hAnsi="宋体" w:eastAsia="宋体" w:cs="宋体"/>
          <w:color w:val="000000"/>
          <w:sz w:val="24"/>
          <w:szCs w:val="24"/>
          <w:highlight w:val="none"/>
        </w:rPr>
      </w:r>
      <w:r/>
    </w:p>
    <w:p>
      <w:pPr>
        <w:pStyle w:val="1038"/>
        <w:ind w:firstLine="480"/>
        <w:tabs>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2.在安装、调试、验收过程中，如发现有漏项、缺件，卖方应无条件、无偿补齐，所发生的一切费用，视为已包含在乙方投标时的投标报价之中，且并不因此而影响交付甲方使用的时间。</w:t>
      </w:r>
      <w:r>
        <w:rPr>
          <w:rFonts w:hint="eastAsia" w:ascii="宋体" w:hAnsi="宋体" w:eastAsia="宋体" w:cs="宋体"/>
          <w:color w:val="000000"/>
          <w:sz w:val="24"/>
          <w:szCs w:val="24"/>
          <w:highlight w:val="none"/>
        </w:rPr>
      </w:r>
      <w:r/>
    </w:p>
    <w:p>
      <w:pPr>
        <w:pStyle w:val="1038"/>
        <w:ind w:firstLine="480"/>
        <w:tabs>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3.供应商的任何错漏、优惠、竞争性报价不得作为减轻责任、减少服务、增加收费、降低质量的理由。</w:t>
      </w:r>
      <w:r>
        <w:rPr>
          <w:rFonts w:hint="eastAsia" w:ascii="宋体" w:hAnsi="宋体" w:eastAsia="宋体" w:cs="宋体"/>
          <w:color w:val="000000"/>
          <w:sz w:val="24"/>
          <w:szCs w:val="24"/>
          <w:highlight w:val="none"/>
        </w:rPr>
      </w:r>
      <w:r/>
    </w:p>
    <w:p>
      <w:pPr>
        <w:pStyle w:val="1038"/>
        <w:ind w:firstLine="480"/>
        <w:tabs>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4.供应商报价除包含招标文件中列明的项目外还应包括保障服务正常运行应当具有的物资和服务，对服务正常运行应当具有的物资和服务理解不一致的以采购人理解为准。</w:t>
      </w:r>
      <w:r>
        <w:rPr>
          <w:rFonts w:hint="eastAsia" w:ascii="宋体" w:hAnsi="宋体" w:eastAsia="宋体" w:cs="宋体"/>
          <w:color w:val="000000"/>
          <w:sz w:val="24"/>
          <w:szCs w:val="24"/>
          <w:highlight w:val="none"/>
        </w:rPr>
      </w:r>
      <w:r/>
    </w:p>
    <w:p>
      <w:pPr>
        <w:pStyle w:val="1038"/>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5.中标供应商必须按照招标文件要求、投标文件中的承诺以及采购合同内容严格履行本项目。双方无正当理由不得无故终止和解除合同，否则违约方应向对方支付合同总额10%的违约金。</w:t>
      </w:r>
      <w:r>
        <w:rPr>
          <w:rFonts w:hint="eastAsia" w:ascii="宋体" w:hAnsi="宋体" w:eastAsia="宋体" w:cs="宋体"/>
          <w:color w:val="000000"/>
          <w:sz w:val="24"/>
          <w:szCs w:val="24"/>
          <w:highlight w:val="none"/>
        </w:rPr>
      </w:r>
      <w:r/>
    </w:p>
    <w:p>
      <w:pPr>
        <w:pStyle w:val="1038"/>
        <w:numPr>
          <w:ilvl w:val="0"/>
          <w:numId w:val="41"/>
        </w:numPr>
        <w:spacing w:after="5"/>
        <w:rPr>
          <w:rFonts w:hint="eastAsia" w:ascii="宋体" w:hAnsi="宋体" w:eastAsia="宋体" w:cs="宋体"/>
          <w:b/>
          <w:color w:val="000000"/>
          <w:sz w:val="28"/>
          <w:szCs w:val="28"/>
          <w:highlight w:val="none"/>
        </w:rPr>
        <w:outlineLvl w:val="1"/>
      </w:pPr>
      <w:r>
        <w:rPr>
          <w:rFonts w:hint="eastAsia" w:ascii="宋体" w:hAnsi="宋体" w:eastAsia="宋体" w:cs="宋体"/>
          <w:b/>
          <w:color w:val="000000"/>
          <w:sz w:val="28"/>
          <w:szCs w:val="28"/>
          <w:highlight w:val="none"/>
        </w:rPr>
        <w:t xml:space="preserve"> </w:t>
      </w:r>
      <w:r>
        <w:rPr>
          <w:rFonts w:hint="eastAsia" w:ascii="宋体" w:hAnsi="宋体" w:eastAsia="宋体" w:cs="宋体"/>
          <w:b/>
          <w:color w:val="000000"/>
          <w:sz w:val="28"/>
          <w:szCs w:val="28"/>
          <w:highlight w:val="none"/>
          <w:lang w:val="en-US" w:eastAsia="zh-CN"/>
        </w:rPr>
        <w:t xml:space="preserve">样品</w:t>
      </w:r>
      <w:r>
        <w:rPr>
          <w:rFonts w:hint="eastAsia" w:ascii="宋体" w:hAnsi="宋体" w:eastAsia="宋体" w:cs="宋体"/>
          <w:b/>
          <w:color w:val="000000"/>
          <w:sz w:val="28"/>
          <w:szCs w:val="28"/>
          <w:highlight w:val="none"/>
        </w:rPr>
        <w:t xml:space="preserve">要求：</w:t>
      </w:r>
      <w:r>
        <w:rPr>
          <w:rFonts w:hint="eastAsia" w:ascii="宋体" w:hAnsi="宋体" w:eastAsia="宋体" w:cs="宋体"/>
          <w:b/>
          <w:color w:val="000000"/>
          <w:sz w:val="28"/>
          <w:szCs w:val="28"/>
          <w:highlight w:val="none"/>
        </w:rPr>
      </w:r>
      <w:r/>
    </w:p>
    <w:p>
      <w:pPr>
        <w:pStyle w:val="1038"/>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）请供应商提供所投货物（设备）的样品如下，包括：</w:t>
      </w:r>
      <w:r>
        <w:rPr>
          <w:rFonts w:hint="eastAsia" w:ascii="宋体" w:hAnsi="宋体" w:eastAsia="宋体" w:cs="宋体"/>
          <w:color w:val="000000"/>
          <w:sz w:val="24"/>
          <w:szCs w:val="24"/>
          <w:highlight w:val="none"/>
        </w:rPr>
      </w:r>
      <w:r/>
    </w:p>
    <w:p>
      <w:pPr>
        <w:pStyle w:val="1038"/>
        <w:ind w:firstLine="480"/>
        <w:spacing w:before="0" w:after="0"/>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.分包1：</w:t>
      </w:r>
      <w:r>
        <w:rPr>
          <w:rFonts w:ascii="宋体" w:hAnsi="宋体" w:eastAsia="宋体" w:cs="宋体"/>
          <w:color w:val="000000"/>
          <w:sz w:val="24"/>
          <w:szCs w:val="24"/>
          <w:highlight w:val="none"/>
          <w:lang w:val="en-US" w:eastAsia="zh-CN"/>
        </w:rPr>
      </w:r>
      <w:r/>
    </w:p>
    <w:p>
      <w:pPr>
        <w:pStyle w:val="1038"/>
        <w:ind w:firstLine="480"/>
        <w:spacing w:before="0" w:after="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组</w:t>
      </w:r>
      <w:r>
        <w:rPr>
          <w:rFonts w:hint="eastAsia" w:ascii="宋体" w:hAnsi="宋体" w:eastAsia="宋体" w:cs="宋体"/>
          <w:color w:val="000000"/>
          <w:sz w:val="24"/>
          <w:szCs w:val="24"/>
          <w:highlight w:val="none"/>
        </w:rPr>
        <w:t xml:space="preserve">全钢边台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1000*750*850mm</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全钢结构，陶瓷台面。</w:t>
      </w:r>
      <w:r>
        <w:rPr>
          <w:rFonts w:hint="eastAsia" w:ascii="宋体" w:hAnsi="宋体" w:eastAsia="宋体" w:cs="宋体"/>
          <w:color w:val="000000"/>
          <w:sz w:val="24"/>
          <w:szCs w:val="24"/>
          <w:highlight w:val="none"/>
          <w:lang w:eastAsia="zh-CN"/>
        </w:rPr>
      </w:r>
      <w:r/>
    </w:p>
    <w:p>
      <w:pPr>
        <w:pStyle w:val="1038"/>
        <w:ind w:firstLine="480"/>
        <w:spacing w:before="0" w:after="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.分包2：</w:t>
      </w:r>
      <w:r>
        <w:rPr>
          <w:rFonts w:hint="eastAsia" w:ascii="宋体" w:hAnsi="宋体" w:eastAsia="宋体" w:cs="宋体"/>
          <w:color w:val="000000"/>
          <w:sz w:val="24"/>
          <w:szCs w:val="24"/>
          <w:highlight w:val="none"/>
          <w:lang w:val="en-US" w:eastAsia="zh-CN"/>
        </w:rPr>
      </w:r>
      <w:r/>
    </w:p>
    <w:p>
      <w:pPr>
        <w:pStyle w:val="1038"/>
        <w:ind w:firstLine="480"/>
        <w:spacing w:before="0" w:after="0"/>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w:t>
      </w:r>
      <w:r>
        <w:rPr>
          <w:rFonts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组</w:t>
      </w:r>
      <w:r>
        <w:rPr>
          <w:rFonts w:ascii="宋体" w:hAnsi="宋体" w:eastAsia="宋体" w:cs="宋体"/>
          <w:color w:val="000000"/>
          <w:sz w:val="24"/>
          <w:szCs w:val="24"/>
          <w:highlight w:val="none"/>
          <w:lang w:val="en-US" w:eastAsia="zh-CN"/>
        </w:rPr>
        <w:t xml:space="preserve">全钢边台</w:t>
      </w:r>
      <w:r>
        <w:rPr>
          <w:rFonts w:hint="eastAsia" w:ascii="宋体" w:hAnsi="宋体" w:eastAsia="宋体" w:cs="宋体"/>
          <w:color w:val="000000"/>
          <w:sz w:val="24"/>
          <w:szCs w:val="24"/>
          <w:highlight w:val="none"/>
          <w:lang w:val="en-US" w:eastAsia="zh-CN"/>
        </w:rPr>
        <w:t xml:space="preserve">  尺寸：</w:t>
      </w:r>
      <w:r>
        <w:rPr>
          <w:rFonts w:ascii="宋体" w:hAnsi="宋体" w:eastAsia="宋体" w:cs="宋体"/>
          <w:color w:val="000000"/>
          <w:sz w:val="24"/>
          <w:szCs w:val="24"/>
          <w:highlight w:val="none"/>
          <w:lang w:val="en-US" w:eastAsia="zh-CN"/>
        </w:rPr>
        <w:t xml:space="preserve">1000*750*850mm，</w:t>
      </w:r>
      <w:r>
        <w:rPr>
          <w:rFonts w:hint="eastAsia" w:ascii="宋体" w:hAnsi="宋体" w:eastAsia="宋体" w:cs="宋体"/>
          <w:color w:val="000000"/>
          <w:sz w:val="24"/>
          <w:szCs w:val="24"/>
          <w:highlight w:val="none"/>
          <w:lang w:eastAsia="zh-CN"/>
        </w:rPr>
        <w:t xml:space="preserve">全钢结构，</w:t>
      </w:r>
      <w:r>
        <w:rPr>
          <w:rFonts w:hint="eastAsia" w:ascii="宋体" w:hAnsi="宋体" w:eastAsia="宋体" w:cs="宋体"/>
          <w:color w:val="000000"/>
          <w:sz w:val="24"/>
          <w:szCs w:val="24"/>
          <w:highlight w:val="none"/>
          <w:lang w:val="en-US" w:eastAsia="zh-CN"/>
        </w:rPr>
        <w:t xml:space="preserve">理化板</w:t>
      </w:r>
      <w:r>
        <w:rPr>
          <w:rFonts w:hint="eastAsia" w:ascii="宋体" w:hAnsi="宋体" w:eastAsia="宋体" w:cs="宋体"/>
          <w:color w:val="000000"/>
          <w:sz w:val="24"/>
          <w:szCs w:val="24"/>
          <w:highlight w:val="none"/>
          <w:lang w:eastAsia="zh-CN"/>
        </w:rPr>
        <w:t xml:space="preserve">台面</w:t>
      </w:r>
      <w:r>
        <w:rPr>
          <w:rFonts w:hint="eastAsia" w:ascii="宋体" w:hAnsi="宋体" w:eastAsia="宋体" w:cs="宋体"/>
          <w:color w:val="000000"/>
          <w:sz w:val="24"/>
          <w:szCs w:val="24"/>
          <w:highlight w:val="none"/>
          <w:lang w:val="en-US" w:eastAsia="zh-CN"/>
        </w:rPr>
        <w:t xml:space="preserve">②</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中央台”中的“</w:t>
      </w:r>
      <w:r>
        <w:rPr>
          <w:rFonts w:ascii="宋体" w:hAnsi="宋体" w:eastAsia="宋体" w:cs="宋体"/>
          <w:color w:val="000000"/>
          <w:sz w:val="24"/>
          <w:szCs w:val="24"/>
          <w:highlight w:val="none"/>
          <w:lang w:val="en-US" w:eastAsia="zh-CN"/>
        </w:rPr>
        <w:t xml:space="preserve">中央水槽柜</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组</w:t>
      </w:r>
      <w:r>
        <w:rPr>
          <w:rFonts w:hint="eastAsia" w:ascii="宋体" w:hAnsi="宋体" w:eastAsia="宋体" w:cs="宋体"/>
          <w:color w:val="000000"/>
          <w:sz w:val="24"/>
          <w:szCs w:val="24"/>
          <w:highlight w:val="none"/>
          <w:lang w:val="en-US" w:eastAsia="zh-CN"/>
        </w:rPr>
        <w:t xml:space="preserve">，尺寸：</w:t>
      </w:r>
      <w:r>
        <w:rPr>
          <w:rFonts w:ascii="宋体" w:hAnsi="宋体" w:eastAsia="宋体" w:cs="宋体"/>
          <w:color w:val="000000"/>
          <w:sz w:val="24"/>
          <w:szCs w:val="24"/>
          <w:highlight w:val="none"/>
          <w:lang w:val="en-US" w:eastAsia="zh-CN"/>
        </w:rPr>
        <w:t xml:space="preserve">1500*750*850mm</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全钢结构，</w:t>
      </w:r>
      <w:r>
        <w:rPr>
          <w:rFonts w:hint="eastAsia" w:ascii="宋体" w:hAnsi="宋体" w:eastAsia="宋体" w:cs="宋体"/>
          <w:color w:val="000000"/>
          <w:sz w:val="24"/>
          <w:szCs w:val="24"/>
          <w:highlight w:val="none"/>
          <w:lang w:val="en-US" w:eastAsia="zh-CN"/>
        </w:rPr>
        <w:t xml:space="preserve">理化板</w:t>
      </w:r>
      <w:r>
        <w:rPr>
          <w:rFonts w:hint="eastAsia" w:ascii="宋体" w:hAnsi="宋体" w:eastAsia="宋体" w:cs="宋体"/>
          <w:color w:val="000000"/>
          <w:sz w:val="24"/>
          <w:szCs w:val="24"/>
          <w:highlight w:val="none"/>
          <w:lang w:eastAsia="zh-CN"/>
        </w:rPr>
        <w:t xml:space="preserve">台面</w:t>
      </w:r>
      <w:r>
        <w:rPr>
          <w:rFonts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r>
      <w:r/>
    </w:p>
    <w:p>
      <w:pPr>
        <w:pStyle w:val="1038"/>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）样品递交要求：</w:t>
      </w:r>
      <w:r>
        <w:rPr>
          <w:rFonts w:hint="eastAsia" w:ascii="宋体" w:hAnsi="宋体" w:eastAsia="宋体" w:cs="宋体"/>
          <w:color w:val="000000"/>
          <w:sz w:val="24"/>
          <w:szCs w:val="24"/>
          <w:highlight w:val="none"/>
        </w:rPr>
      </w:r>
      <w:r/>
    </w:p>
    <w:p>
      <w:pPr>
        <w:pStyle w:val="1038"/>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样品递交时间（截止时间）：同投标文件递交截止时间，在此期间样品由投标人自行保管。采购人不接收在样品递交截止时间后递交的样品。</w:t>
      </w:r>
      <w:r>
        <w:rPr>
          <w:rFonts w:hint="eastAsia" w:ascii="宋体" w:hAnsi="宋体" w:eastAsia="宋体" w:cs="宋体"/>
          <w:color w:val="000000"/>
          <w:sz w:val="24"/>
          <w:szCs w:val="24"/>
          <w:highlight w:val="none"/>
        </w:rPr>
      </w:r>
      <w:r/>
    </w:p>
    <w:p>
      <w:pPr>
        <w:pStyle w:val="1038"/>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样品递交地点：南京市建邺区云龙山路56号大唐科技大厦A座高区14楼</w:t>
      </w:r>
      <w:r>
        <w:rPr>
          <w:rFonts w:hint="eastAsia" w:ascii="宋体" w:hAnsi="宋体" w:eastAsia="宋体" w:cs="宋体"/>
          <w:color w:val="000000"/>
          <w:sz w:val="24"/>
          <w:szCs w:val="24"/>
          <w:highlight w:val="none"/>
          <w:lang w:val="en-US" w:eastAsia="zh-CN"/>
        </w:rPr>
        <w:t xml:space="preserve">评标二室</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8"/>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lang w:val="en-US" w:eastAsia="zh-CN"/>
        </w:rPr>
        <w:t xml:space="preserve">吴昊13913827688</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方东15195998576</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8"/>
        <w:ind w:firstLine="482"/>
        <w:spacing w:before="0" w:after="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样品上需标明</w:t>
      </w:r>
      <w:r>
        <w:rPr>
          <w:rFonts w:hint="eastAsia" w:ascii="宋体" w:hAnsi="宋体" w:eastAsia="宋体" w:cs="宋体"/>
          <w:b/>
          <w:bCs/>
          <w:color w:val="000000"/>
          <w:sz w:val="24"/>
          <w:szCs w:val="24"/>
          <w:highlight w:val="none"/>
          <w:lang w:val="en-US" w:eastAsia="zh-CN"/>
        </w:rPr>
        <w:t xml:space="preserve">项目名称、分包号、</w:t>
      </w:r>
      <w:r>
        <w:rPr>
          <w:rFonts w:hint="eastAsia" w:ascii="宋体" w:hAnsi="宋体" w:eastAsia="宋体" w:cs="宋体"/>
          <w:b/>
          <w:bCs/>
          <w:color w:val="000000"/>
          <w:sz w:val="24"/>
          <w:szCs w:val="24"/>
          <w:highlight w:val="none"/>
        </w:rPr>
        <w:t xml:space="preserve">投标单位名称等相关信息。</w:t>
      </w:r>
      <w:r>
        <w:rPr>
          <w:rFonts w:hint="eastAsia" w:ascii="宋体" w:hAnsi="宋体" w:eastAsia="宋体" w:cs="宋体"/>
          <w:b/>
          <w:bCs/>
          <w:color w:val="000000"/>
          <w:sz w:val="24"/>
          <w:szCs w:val="24"/>
          <w:highlight w:val="none"/>
        </w:rPr>
      </w:r>
      <w:r/>
    </w:p>
    <w:p>
      <w:pPr>
        <w:pStyle w:val="1038"/>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其他要求：投标人递交样品时应服从现场工作人员要求，爱护现场公共财物，对交样区财物造成损害的，应当赔偿。各投标供应商应将样品送至指定地点按要求递交样品，完成后即离开现场，不得逗留，不得翻看他人样品及进行拍照，投标人如出现违法违规行为的，视为未提交样品并按照相应法律追究责任。各供应商</w:t>
      </w:r>
      <w:r>
        <w:rPr>
          <w:rFonts w:hint="eastAsia" w:ascii="宋体" w:hAnsi="宋体" w:eastAsia="宋体" w:cs="宋体"/>
          <w:color w:val="000000"/>
          <w:sz w:val="24"/>
          <w:szCs w:val="24"/>
          <w:highlight w:val="none"/>
          <w:lang w:val="en-US" w:eastAsia="zh-CN"/>
        </w:rPr>
        <w:t xml:space="preserve">可</w:t>
      </w:r>
      <w:r>
        <w:rPr>
          <w:rFonts w:hint="eastAsia" w:ascii="宋体" w:hAnsi="宋体" w:eastAsia="宋体" w:cs="宋体"/>
          <w:color w:val="000000"/>
          <w:sz w:val="24"/>
          <w:szCs w:val="24"/>
          <w:highlight w:val="none"/>
        </w:rPr>
        <w:t xml:space="preserve">对自身递交的样品进行整体遮盖。</w:t>
      </w:r>
      <w:r>
        <w:rPr>
          <w:rFonts w:hint="eastAsia" w:ascii="宋体" w:hAnsi="宋体" w:eastAsia="宋体" w:cs="宋体"/>
          <w:color w:val="000000"/>
          <w:sz w:val="24"/>
          <w:szCs w:val="24"/>
          <w:highlight w:val="none"/>
        </w:rPr>
      </w:r>
      <w:r/>
    </w:p>
    <w:p>
      <w:pPr>
        <w:pStyle w:val="1038"/>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样品的规格、材质、制作等须符合招标文件的要求，详见样品清单及要求。样品所有费用由供应商自行承担，中标供应商的样品，作为采购方的验收依据。</w:t>
      </w:r>
      <w:r>
        <w:rPr>
          <w:rFonts w:hint="eastAsia" w:ascii="宋体" w:hAnsi="宋体" w:eastAsia="宋体" w:cs="宋体"/>
          <w:color w:val="000000"/>
          <w:sz w:val="24"/>
          <w:szCs w:val="24"/>
          <w:highlight w:val="none"/>
        </w:rPr>
      </w:r>
      <w:r/>
    </w:p>
    <w:p>
      <w:pPr>
        <w:pStyle w:val="1038"/>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样品的退还：评审结束后中标人的样品由中标人负责运送到采购人指定地点并封存，中标人的样品由采购人负责保管、封存，并作为履约验收的参考，采购人应做好全过程的监督工作并确保样品存放安全。未中标样品由供应商自行搬离现场，</w:t>
      </w:r>
      <w:r>
        <w:rPr>
          <w:rFonts w:hint="eastAsia" w:ascii="宋体" w:hAnsi="宋体" w:eastAsia="宋体" w:cs="宋体"/>
          <w:color w:val="000000"/>
          <w:sz w:val="24"/>
          <w:szCs w:val="24"/>
          <w:highlight w:val="none"/>
          <w:lang w:val="en-US" w:eastAsia="zh-CN"/>
        </w:rPr>
        <w:t xml:space="preserve">中标结果公告后</w:t>
      </w:r>
      <w:r>
        <w:rPr>
          <w:rFonts w:hint="eastAsia" w:ascii="宋体" w:hAnsi="宋体" w:eastAsia="宋体" w:cs="宋体"/>
          <w:color w:val="000000"/>
          <w:sz w:val="24"/>
          <w:szCs w:val="24"/>
          <w:highlight w:val="none"/>
        </w:rPr>
        <w:t xml:space="preserve">超过5日未搬离的将作统一处置。</w:t>
      </w:r>
      <w:r>
        <w:rPr>
          <w:rFonts w:hint="eastAsia" w:ascii="宋体" w:hAnsi="宋体" w:eastAsia="宋体" w:cs="宋体"/>
          <w:color w:val="000000"/>
          <w:sz w:val="24"/>
          <w:szCs w:val="24"/>
          <w:highlight w:val="none"/>
        </w:rPr>
      </w:r>
      <w:r/>
    </w:p>
    <w:p>
      <w:pPr>
        <w:pStyle w:val="1038"/>
        <w:numPr>
          <w:ilvl w:val="0"/>
          <w:numId w:val="41"/>
        </w:numPr>
        <w:spacing w:after="5"/>
        <w:rPr>
          <w:rFonts w:hint="eastAsia" w:ascii="宋体" w:hAnsi="宋体" w:eastAsia="宋体" w:cs="宋体"/>
          <w:b/>
          <w:color w:val="000000"/>
          <w:sz w:val="28"/>
          <w:szCs w:val="28"/>
          <w:highlight w:val="none"/>
          <w:lang w:val="en-US" w:eastAsia="zh-CN"/>
        </w:rPr>
        <w:outlineLvl w:val="1"/>
      </w:pPr>
      <w:r>
        <w:rPr>
          <w:rFonts w:hint="eastAsia" w:ascii="宋体" w:hAnsi="宋体" w:eastAsia="宋体" w:cs="宋体"/>
          <w:b/>
          <w:color w:val="000000"/>
          <w:sz w:val="28"/>
          <w:szCs w:val="28"/>
          <w:highlight w:val="none"/>
        </w:rPr>
        <w:t xml:space="preserve"> </w:t>
      </w:r>
      <w:r>
        <w:rPr>
          <w:rFonts w:hint="eastAsia" w:ascii="宋体" w:hAnsi="宋体" w:eastAsia="宋体" w:cs="宋体"/>
          <w:b/>
          <w:color w:val="000000"/>
          <w:sz w:val="28"/>
          <w:szCs w:val="28"/>
          <w:highlight w:val="none"/>
          <w:lang w:val="en-US" w:eastAsia="zh-CN"/>
        </w:rPr>
        <w:t xml:space="preserve">备注：</w:t>
      </w:r>
      <w:r>
        <w:rPr>
          <w:rFonts w:hint="eastAsia" w:ascii="宋体" w:hAnsi="宋体" w:eastAsia="宋体" w:cs="宋体"/>
          <w:b/>
          <w:color w:val="000000"/>
          <w:sz w:val="28"/>
          <w:szCs w:val="28"/>
          <w:highlight w:val="none"/>
          <w:lang w:val="en-US" w:eastAsia="zh-CN"/>
        </w:rPr>
      </w:r>
      <w:r/>
    </w:p>
    <w:p>
      <w:pPr>
        <w:pStyle w:val="1038"/>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号参数指标（如有）为主要技术参数要求，提供的招标文件技术参数中所要求（如有）的技术支持资料（技术支持资料种类以文件第四章要求为准，如无特殊要求则为明确说明该技术内容的公开发行的手册、彩页、官网截图、功能页面截图、检测报告、白皮书等），否则将视为未响应▲号参数，作负偏离处理。</w:t>
      </w:r>
      <w:r>
        <w:rPr>
          <w:rFonts w:hint="eastAsia" w:ascii="宋体" w:hAnsi="宋体" w:eastAsia="宋体" w:cs="宋体"/>
          <w:color w:val="000000"/>
          <w:sz w:val="24"/>
          <w:szCs w:val="24"/>
          <w:highlight w:val="none"/>
        </w:rPr>
      </w:r>
      <w:r/>
    </w:p>
    <w:p>
      <w:pPr>
        <w:pStyle w:val="1038"/>
        <w:ind w:firstLine="480"/>
        <w:spacing w:before="0" w:after="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带星号（“★”）的技术条款，要求投标供应商必须在投标文件中提供技术支持资料（技术支持资料种类以文件第四章要求为准，如无特殊要求则为明确说明该技术内容的公开发行的手册、彩页、官网截图、功能页面截图、检测报告、白皮书等），未提供技术支持资料的，或未对招标文件做出实质性响应，将导致投标文件被视为无效。</w:t>
      </w:r>
      <w:r>
        <w:rPr>
          <w:rFonts w:hint="eastAsia" w:ascii="宋体" w:hAnsi="宋体" w:eastAsia="宋体" w:cs="宋体"/>
          <w:color w:val="000000"/>
          <w:sz w:val="24"/>
          <w:szCs w:val="24"/>
          <w:highlight w:val="none"/>
        </w:rPr>
      </w:r>
      <w:r/>
    </w:p>
    <w:p>
      <w:pPr>
        <w:pStyle w:val="1038"/>
        <w:ind w:firstLine="480"/>
        <w:spacing w:before="0" w:after="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pStyle w:val="1137"/>
        <w:ind w:firstLine="241"/>
        <w:rPr>
          <w:rFonts w:hint="eastAsia" w:ascii="宋体" w:hAnsi="宋体" w:eastAsia="宋体" w:cs="宋体"/>
          <w:b/>
          <w:bCs/>
          <w:color w:val="000000"/>
          <w:szCs w:val="24"/>
          <w:highlight w:val="none"/>
          <w:lang w:val="en-US" w:eastAsia="zh-CN"/>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bCs/>
          <w:color w:val="000000"/>
          <w:szCs w:val="24"/>
          <w:highlight w:val="none"/>
          <w:lang w:val="en-US" w:eastAsia="zh-CN"/>
        </w:rPr>
      </w:r>
      <w:r/>
    </w:p>
    <w:p>
      <w:pPr>
        <w:pStyle w:val="1137"/>
        <w:ind w:firstLine="241"/>
        <w:rPr>
          <w:rFonts w:hint="eastAsia" w:ascii="宋体" w:hAnsi="宋体" w:eastAsia="宋体" w:cs="宋体"/>
          <w:b/>
          <w:bCs/>
          <w:color w:val="000000"/>
          <w:szCs w:val="24"/>
          <w:highlight w:val="none"/>
          <w:lang w:val="en-US" w:eastAsia="zh-CN"/>
        </w:rPr>
      </w:pPr>
      <w:r>
        <w:rPr>
          <w:rFonts w:hint="eastAsia" w:ascii="宋体" w:hAnsi="宋体" w:eastAsia="宋体" w:cs="宋体"/>
          <w:b/>
          <w:bCs/>
          <w:color w:val="000000"/>
          <w:szCs w:val="24"/>
          <w:highlight w:val="none"/>
          <w:lang w:val="en-US" w:eastAsia="zh-CN"/>
        </w:rPr>
        <w:t xml:space="preserve">附件：实验室家具分布明细详情表</w:t>
      </w:r>
      <w:r>
        <w:rPr>
          <w:rFonts w:hint="eastAsia" w:ascii="宋体" w:hAnsi="宋体" w:eastAsia="宋体" w:cs="宋体"/>
          <w:b/>
          <w:bCs/>
          <w:color w:val="000000"/>
          <w:szCs w:val="24"/>
          <w:highlight w:val="none"/>
          <w:lang w:val="en-US" w:eastAsia="zh-CN"/>
        </w:rPr>
      </w:r>
      <w:r/>
    </w:p>
    <w:p>
      <w:pPr>
        <w:pStyle w:val="1137"/>
        <w:ind w:firstLine="241"/>
        <w:rPr>
          <w:rFonts w:hint="eastAsia" w:ascii="宋体" w:hAnsi="宋体" w:eastAsia="宋体" w:cs="宋体"/>
          <w:b/>
          <w:bCs/>
          <w:color w:val="000000"/>
          <w:szCs w:val="24"/>
          <w:highlight w:val="none"/>
          <w:lang w:val="en-US" w:eastAsia="zh-CN"/>
        </w:rPr>
      </w:pPr>
      <w:r>
        <w:rPr>
          <w:rFonts w:hint="eastAsia" w:ascii="宋体" w:hAnsi="宋体" w:eastAsia="宋体" w:cs="宋体"/>
          <w:b/>
          <w:bCs/>
          <w:color w:val="000000"/>
          <w:szCs w:val="24"/>
          <w:highlight w:val="none"/>
          <w:lang w:val="en-US" w:eastAsia="zh-CN"/>
        </w:rPr>
        <w:t xml:space="preserve">分包1：普通实验边台及货架</w:t>
      </w:r>
      <w:r>
        <w:rPr>
          <w:rFonts w:hint="eastAsia" w:ascii="宋体" w:hAnsi="宋体" w:eastAsia="宋体" w:cs="宋体"/>
          <w:b/>
          <w:bCs/>
          <w:color w:val="000000"/>
          <w:szCs w:val="24"/>
          <w:highlight w:val="none"/>
          <w:lang w:val="en-US" w:eastAsia="zh-CN"/>
        </w:rPr>
      </w:r>
      <w:r/>
    </w:p>
    <w:tbl>
      <w:tblPr>
        <w:tblW w:w="10245"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70"/>
        <w:gridCol w:w="1869"/>
        <w:gridCol w:w="2239"/>
        <w:gridCol w:w="775"/>
        <w:gridCol w:w="724"/>
        <w:gridCol w:w="4068"/>
      </w:tblGrid>
      <w:tr>
        <w:trPr/>
        <w:tc>
          <w:tcPr>
            <w:gridSpan w:val="6"/>
            <w:tcW w:w="1024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普通实验边台及货架（分包1）</w:t>
            </w:r>
            <w:r>
              <w:rPr>
                <w:rFonts w:hint="eastAsia" w:ascii="宋体" w:hAnsi="宋体" w:eastAsia="宋体" w:cs="宋体"/>
                <w:b/>
                <w:bCs/>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rPr>
                <w:rFonts w:hint="eastAsia" w:ascii="宋体" w:hAnsi="宋体" w:eastAsia="宋体" w:cs="宋体"/>
                <w:b/>
                <w:bCs/>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项目名称</w:t>
            </w:r>
            <w:r>
              <w:rPr>
                <w:rFonts w:hint="eastAsia" w:ascii="宋体" w:hAnsi="宋体" w:eastAsia="宋体" w:cs="宋体"/>
                <w:b/>
                <w:bCs/>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规格</w:t>
            </w:r>
            <w:r>
              <w:rPr>
                <w:rFonts w:hint="eastAsia" w:ascii="宋体" w:hAnsi="宋体" w:eastAsia="宋体" w:cs="宋体"/>
                <w:b/>
                <w:bCs/>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单位</w:t>
            </w:r>
            <w:r>
              <w:rPr>
                <w:rFonts w:hint="eastAsia" w:ascii="宋体" w:hAnsi="宋体" w:eastAsia="宋体" w:cs="宋体"/>
                <w:b/>
                <w:bCs/>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数量</w:t>
            </w:r>
            <w:r>
              <w:rPr>
                <w:rFonts w:hint="eastAsia" w:ascii="宋体" w:hAnsi="宋体" w:eastAsia="宋体" w:cs="宋体"/>
                <w:b/>
                <w:bCs/>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备注</w:t>
            </w:r>
            <w:r>
              <w:rPr>
                <w:rFonts w:hint="eastAsia" w:ascii="宋体" w:hAnsi="宋体" w:eastAsia="宋体" w:cs="宋体"/>
                <w:b/>
                <w:bCs/>
                <w:i w:val="0"/>
                <w:iCs w:val="0"/>
                <w:color w:val="000000"/>
                <w:sz w:val="22"/>
                <w:szCs w:val="22"/>
                <w:highlight w:val="none"/>
                <w:u w:val="none"/>
              </w:rPr>
            </w:r>
            <w:r/>
          </w:p>
        </w:tc>
      </w:tr>
      <w:tr>
        <w:trPr/>
        <w:tc>
          <w:tcPr>
            <w:gridSpan w:val="6"/>
            <w:tcW w:w="10245"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11101 先进称重技术实验室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11102 充电桩检测实验室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11103 国家流量计型式评价实验室（江苏）音速喷嘴法气体流量标准装置实验室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11104 控制室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b/>
                <w:bCs/>
                <w:i w:val="0"/>
                <w:iCs w:val="0"/>
                <w:color w:val="000000"/>
                <w:sz w:val="22"/>
                <w:szCs w:val="22"/>
                <w:highlight w:val="none"/>
                <w:u w:val="none"/>
                <w:lang w:val="en-US" w:eastAsia="zh-CN" w:bidi="ar"/>
              </w:rPr>
            </w:pPr>
            <w:r>
              <w:rPr>
                <w:rFonts w:hint="eastAsia" w:ascii="宋体" w:hAnsi="宋体" w:eastAsia="宋体" w:cs="宋体"/>
                <w:b/>
                <w:bCs/>
                <w:i w:val="0"/>
                <w:iCs w:val="0"/>
                <w:color w:val="000000"/>
                <w:sz w:val="22"/>
                <w:szCs w:val="22"/>
                <w:highlight w:val="none"/>
                <w:u w:val="none"/>
                <w:lang w:val="en-US" w:eastAsia="zh-CN" w:bidi="ar"/>
              </w:rPr>
              <w:t xml:space="preserve">11105 电磁兼容实验室</w:t>
            </w:r>
            <w:r>
              <w:rPr>
                <w:rFonts w:hint="eastAsia" w:ascii="宋体" w:hAnsi="宋体" w:eastAsia="宋体" w:cs="宋体"/>
                <w:b/>
                <w:bCs/>
                <w:i w:val="0"/>
                <w:iCs w:val="0"/>
                <w:color w:val="000000"/>
                <w:sz w:val="22"/>
                <w:szCs w:val="22"/>
                <w:highlight w:val="none"/>
                <w:u w:val="none"/>
                <w:lang w:val="en-US" w:eastAsia="zh-CN" w:bidi="ar"/>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11201 国家流量计型式评价实验室（江苏）微小气体流量实验室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11203 水表检测实验室省市场监管流量计量技术创新中心</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11204 在线负荷传感器实验室省市场监管负荷传感器计量重点实验室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11205 质量溯源技术实验室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11206 热量表检测实验室省市场监管流量计量技术创新中心</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11209 电磁兼容可靠性实验室国家健康与智能设备质量检验检测中心</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11210 放射性标准平面源制备间</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11211 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11212 αβ平面源标准装置实验室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11215 αβ平面源标准装置实验室流转间</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11216 光释光剂量计标准装置实验室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11217 热释光剂量计标准装置实验室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11218 氡测量仪标准装置实验室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11219  活度计标准装置实验室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11220 γ谱仪标准装置实验室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11221 αβ低本底标准装置实验室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11222 气溶胶实验室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11301   雷达测速仪实验室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11302   区间测速系统实验室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11303机动车综检设备检测实验室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11304机动车环保设备检测实验室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11305新能源汽车检测专用设备检测实验室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11306-2实验室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11310车载毫米波雷达射频实验室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11313</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11314省绿色低碳产业计量中心化石燃料碳计量检测实验室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33</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11316省气体分析仪型式评价实验室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11318环流所空气流速标准实验室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11320  标准物质制备核查实验室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11321  标准物质制备核查实验室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11323  光学实验室（暗室）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11324  标准物质制备核查实验室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11325  国家流量计型式评价实验室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11327  光学实验室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11334  视觉电生理实验室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11335  溯源实验室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11336  溯源实验室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11337   民生计量实验室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11338 型式评价实验室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11344 角膜接触镜检测实验室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11345 麻醉机量传实验室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11401 省市场监管负荷传感器计量重点实验室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11402 省市场监管负荷传感器计量重点实验室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11403  粉尘大气烟尘型式评价实验室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11404  粉尘大气烟尘检测实验室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ind w:firstLine="660"/>
              <w:jc w:val="both"/>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11405  呼出气体酒精探测仪实验室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11406-1  氧气/溶解氧实验室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11406-2可燃气体报警器实验室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11407有毒有害气体实验室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11409省市场监管负荷传感器计量重点实验室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11410省市场监管负荷传感器计量重点实验室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11411流转间</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11412前处理实验室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11414标准物质储存实验室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11415  流转间</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11416  电化学实验室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11417  臭氧分析仪实验室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11418 动态压实验室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11419-1 动态压实验室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11419-2 动态压实验室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11420   风洞实验室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11421国家流量计型式评价实验室（江苏）标准表法气体实验室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11422压力传感器实验室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11423粉尘油烟微粒浓度检测实验室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11424  压力传感器实验室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11432  流转间</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11433消费服务机器人实验室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11434呼吸麻醉实验室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11435微生物采样器校准实验室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11436 国家质检中心实验室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11437    智能可穿戴实验室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11506   省电磁环境计量重点实验室电磁辐射场强/天线/电磁兼容计量实验室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全钢结构，12.7mm防静电物理板台面，详见技术要求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11507  远程时间校准及卫星导航检测实验室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全钢结构，12.7mm防静电物理板台面，详见技术要求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11509  液位计实验室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11512  医疗机器人实验室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11521   医用超声设备实验室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11522   医用光学设备实验室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11523  国家质检中心实验室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bl>
    <w:p>
      <w:pPr>
        <w:pStyle w:val="1038"/>
        <w:rPr>
          <w:color w:val="000000"/>
          <w:highlight w:val="none"/>
          <w:lang w:val="en-US" w:eastAsia="zh-CN"/>
        </w:rPr>
      </w:pPr>
      <w:r>
        <w:rPr>
          <w:color w:val="000000"/>
          <w:highlight w:val="none"/>
          <w:lang w:val="en-US" w:eastAsia="zh-CN"/>
        </w:rPr>
      </w:r>
      <w:r/>
    </w:p>
    <w:p>
      <w:pPr>
        <w:pStyle w:val="1038"/>
        <w:spacing w:before="0" w:after="0"/>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分包</w:t>
      </w:r>
      <w:r>
        <w:rPr>
          <w:rFonts w:hint="eastAsia" w:ascii="宋体" w:hAnsi="宋体" w:eastAsia="宋体" w:cs="宋体"/>
          <w:b/>
          <w:bCs w:val="0"/>
          <w:color w:val="000000"/>
          <w:sz w:val="28"/>
          <w:szCs w:val="28"/>
          <w:highlight w:val="none"/>
          <w:lang w:val="en-US" w:eastAsia="zh-CN"/>
        </w:rPr>
        <w:t xml:space="preserve">2</w:t>
      </w:r>
      <w:r>
        <w:rPr>
          <w:rFonts w:hint="eastAsia" w:ascii="宋体" w:hAnsi="宋体" w:eastAsia="宋体" w:cs="宋体"/>
          <w:b/>
          <w:bCs w:val="0"/>
          <w:color w:val="000000"/>
          <w:sz w:val="28"/>
          <w:szCs w:val="28"/>
          <w:highlight w:val="none"/>
          <w:lang w:eastAsia="zh-CN"/>
        </w:rPr>
        <w:t xml:space="preserve">：</w:t>
      </w:r>
      <w:r>
        <w:rPr>
          <w:rFonts w:hint="eastAsia" w:ascii="宋体" w:hAnsi="宋体" w:eastAsia="宋体" w:cs="宋体"/>
          <w:b/>
          <w:bCs w:val="0"/>
          <w:color w:val="000000"/>
          <w:sz w:val="28"/>
          <w:szCs w:val="28"/>
          <w:highlight w:val="none"/>
        </w:rPr>
        <w:t xml:space="preserve">专用实验台、通风柜及配套设施</w:t>
      </w:r>
      <w:r>
        <w:rPr>
          <w:rFonts w:hint="eastAsia" w:ascii="宋体" w:hAnsi="宋体" w:eastAsia="宋体" w:cs="宋体"/>
          <w:b/>
          <w:bCs w:val="0"/>
          <w:color w:val="000000"/>
          <w:sz w:val="28"/>
          <w:szCs w:val="28"/>
          <w:highlight w:val="none"/>
        </w:rPr>
      </w:r>
      <w:r/>
    </w:p>
    <w:tbl>
      <w:tblPr>
        <w:tblW w:w="0" w:type="auto"/>
        <w:tblInd w:w="-317"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95"/>
        <w:gridCol w:w="1947"/>
        <w:gridCol w:w="2174"/>
        <w:gridCol w:w="761"/>
        <w:gridCol w:w="732"/>
        <w:gridCol w:w="3962"/>
      </w:tblGrid>
      <w:tr>
        <w:trPr>
          <w:trHeight w:val="490"/>
        </w:trPr>
        <w:tc>
          <w:tcPr>
            <w:gridSpan w:val="6"/>
            <w:tcW w:w="10171"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专用实验台、通风柜、控制系统及配套设施（分包2）</w:t>
            </w:r>
            <w:r>
              <w:rPr>
                <w:rFonts w:hint="eastAsia" w:ascii="宋体" w:hAnsi="宋体" w:eastAsia="宋体" w:cs="宋体"/>
                <w:b/>
                <w:bCs/>
                <w:i w:val="0"/>
                <w:iCs w:val="0"/>
                <w:color w:val="000000"/>
                <w:sz w:val="22"/>
                <w:szCs w:val="22"/>
                <w:highlight w:val="none"/>
                <w:u w:val="none"/>
              </w:rPr>
            </w:r>
            <w:r/>
          </w:p>
        </w:tc>
      </w:tr>
      <w:tr>
        <w:trPr/>
        <w:tc>
          <w:tcPr>
            <w:tcW w:w="59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rPr>
                <w:rFonts w:hint="eastAsia" w:ascii="宋体" w:hAnsi="宋体" w:eastAsia="宋体" w:cs="宋体"/>
                <w:b/>
                <w:bCs/>
                <w:i w:val="0"/>
                <w:iCs w:val="0"/>
                <w:color w:val="000000"/>
                <w:sz w:val="22"/>
                <w:szCs w:val="22"/>
                <w:highlight w:val="none"/>
                <w:u w:val="none"/>
              </w:rPr>
            </w:r>
            <w:r/>
          </w:p>
        </w:tc>
        <w:tc>
          <w:tcPr>
            <w:tcW w:w="1947"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项目名称</w:t>
            </w:r>
            <w:r>
              <w:rPr>
                <w:rFonts w:hint="eastAsia" w:ascii="宋体" w:hAnsi="宋体" w:eastAsia="宋体" w:cs="宋体"/>
                <w:b/>
                <w:bCs/>
                <w:i w:val="0"/>
                <w:iCs w:val="0"/>
                <w:color w:val="000000"/>
                <w:sz w:val="22"/>
                <w:szCs w:val="22"/>
                <w:highlight w:val="none"/>
                <w:u w:val="none"/>
              </w:rPr>
            </w:r>
            <w:r/>
          </w:p>
        </w:tc>
        <w:tc>
          <w:tcPr>
            <w:tcW w:w="217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规格</w:t>
            </w:r>
            <w:r>
              <w:rPr>
                <w:rFonts w:hint="eastAsia" w:ascii="宋体" w:hAnsi="宋体" w:eastAsia="宋体" w:cs="宋体"/>
                <w:b/>
                <w:bCs/>
                <w:i w:val="0"/>
                <w:iCs w:val="0"/>
                <w:color w:val="000000"/>
                <w:sz w:val="22"/>
                <w:szCs w:val="22"/>
                <w:highlight w:val="none"/>
                <w:u w:val="none"/>
              </w:rPr>
            </w:r>
            <w:r/>
          </w:p>
        </w:tc>
        <w:tc>
          <w:tcPr>
            <w:tcW w:w="761"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单位</w:t>
            </w:r>
            <w:r>
              <w:rPr>
                <w:rFonts w:hint="eastAsia" w:ascii="宋体" w:hAnsi="宋体" w:eastAsia="宋体" w:cs="宋体"/>
                <w:b/>
                <w:bCs/>
                <w:i w:val="0"/>
                <w:iCs w:val="0"/>
                <w:color w:val="000000"/>
                <w:sz w:val="22"/>
                <w:szCs w:val="22"/>
                <w:highlight w:val="none"/>
                <w:u w:val="none"/>
              </w:rPr>
            </w:r>
            <w:r/>
          </w:p>
        </w:tc>
        <w:tc>
          <w:tcPr>
            <w:tcW w:w="73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数量</w:t>
            </w:r>
            <w:r>
              <w:rPr>
                <w:rFonts w:hint="eastAsia" w:ascii="宋体" w:hAnsi="宋体" w:eastAsia="宋体" w:cs="宋体"/>
                <w:b/>
                <w:bCs/>
                <w:i w:val="0"/>
                <w:iCs w:val="0"/>
                <w:color w:val="000000"/>
                <w:sz w:val="22"/>
                <w:szCs w:val="22"/>
                <w:highlight w:val="none"/>
                <w:u w:val="none"/>
              </w:rPr>
            </w:r>
            <w:r/>
          </w:p>
        </w:tc>
        <w:tc>
          <w:tcPr>
            <w:tcW w:w="396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备注</w:t>
            </w:r>
            <w:r>
              <w:rPr>
                <w:rFonts w:hint="eastAsia" w:ascii="宋体" w:hAnsi="宋体" w:eastAsia="宋体" w:cs="宋体"/>
                <w:b/>
                <w:bCs/>
                <w:i w:val="0"/>
                <w:iCs w:val="0"/>
                <w:color w:val="000000"/>
                <w:sz w:val="22"/>
                <w:szCs w:val="22"/>
                <w:highlight w:val="none"/>
                <w:u w:val="none"/>
              </w:rPr>
            </w:r>
            <w:r/>
          </w:p>
        </w:tc>
      </w:tr>
      <w:tr>
        <w:trPr/>
        <w:tc>
          <w:tcPr>
            <w:gridSpan w:val="6"/>
            <w:tcW w:w="10171"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11210 放射性标准平面源制备间</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（含全钢边台、1套中号水槽+水龙头、1套洗眼器、1套滴水架）全钢结构，12.7mm理化板台面，详见技术要求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11211 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（含全钢边台、1套中号水槽+水龙头、1套洗眼器、1套滴水架）全钢结构，12.7mm理化板台面，详见技术要求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11218 氡测量仪标准装置实验室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5250*1500*850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11219  活度计标准装置实验室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4500*1500*850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11222 气溶胶实验室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（含中央台、2套中号水槽+水龙头、1套洗眼器、2套滴水架）全钢结构，12.7mm理化板台面，详见技术要求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11301   雷达测速仪实验室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4500*1500*850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11302   区间测速系统实验室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4500*1500*850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11303机动车综检设备检测实验室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3750*1500*850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11304机动车环保设备检测实验室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高性能全钢通风柜</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2000*850*2350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全钢结构，12.7mm理化板台面，5mm厚抗倍特板，详见技术要求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1038"/>
              <w:jc w:val="center"/>
              <w:keepLines w:val="0"/>
              <w:keepNext w:val="0"/>
              <w:pageBreakBefore w:val="0"/>
              <w:spacing w:before="0" w:after="0" w:line="288" w:lineRule="auto"/>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ascii="宋体" w:hAnsi="宋体" w:eastAsia="宋体" w:cs="宋体"/>
                <w:i w:val="0"/>
                <w:iCs w:val="0"/>
                <w:color w:val="000000"/>
                <w:sz w:val="22"/>
                <w:szCs w:val="22"/>
                <w:highlight w:val="none"/>
                <w:u w:val="none"/>
                <w:lang w:val="en-US" w:eastAsia="zh-CN" w:bidi="ar"/>
              </w:rPr>
            </w:r>
            <w:r/>
          </w:p>
        </w:tc>
        <w:tc>
          <w:tcPr>
            <w:tcW w:w="1947" w:type="dxa"/>
            <w:vAlign w:val="center"/>
            <w:textDirection w:val="lrTb"/>
            <w:noWrap w:val="false"/>
          </w:tcPr>
          <w:p>
            <w:pPr>
              <w:pStyle w:val="1038"/>
              <w:jc w:val="center"/>
              <w:keepLines w:val="0"/>
              <w:keepNext w:val="0"/>
              <w:pageBreakBefore w:val="0"/>
              <w:spacing w:before="0" w:after="0" w:line="288" w:lineRule="auto"/>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通风柜控制系统</w:t>
            </w:r>
            <w:r>
              <w:rPr>
                <w:rFonts w:ascii="宋体" w:hAnsi="宋体" w:eastAsia="宋体" w:cs="宋体"/>
                <w:i w:val="0"/>
                <w:iCs w:val="0"/>
                <w:color w:val="000000"/>
                <w:sz w:val="22"/>
                <w:szCs w:val="22"/>
                <w:highlight w:val="none"/>
                <w:u w:val="none"/>
                <w:lang w:val="en-US" w:eastAsia="zh-CN" w:bidi="ar"/>
              </w:rPr>
            </w:r>
            <w:r/>
          </w:p>
        </w:tc>
        <w:tc>
          <w:tcPr>
            <w:tcW w:w="217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通风柜控制系统</w:t>
            </w:r>
            <w:r>
              <w:rPr>
                <w:rFonts w:hint="eastAsia" w:ascii="宋体" w:hAnsi="宋体" w:eastAsia="宋体" w:cs="宋体"/>
                <w:i w:val="0"/>
                <w:iCs w:val="0"/>
                <w:color w:val="000000"/>
                <w:sz w:val="22"/>
                <w:szCs w:val="22"/>
                <w:highlight w:val="none"/>
                <w:u w:val="none"/>
                <w:lang w:val="en-US" w:eastAsia="zh-CN" w:bidi="ar"/>
              </w:rPr>
            </w:r>
            <w:r/>
          </w:p>
        </w:tc>
        <w:tc>
          <w:tcPr>
            <w:tcW w:w="761" w:type="dxa"/>
            <w:vAlign w:val="center"/>
            <w:textDirection w:val="lrTb"/>
            <w:noWrap w:val="false"/>
          </w:tcPr>
          <w:p>
            <w:pPr>
              <w:pStyle w:val="1038"/>
              <w:jc w:val="center"/>
              <w:keepLines w:val="0"/>
              <w:keepNext w:val="0"/>
              <w:pageBreakBefore w:val="0"/>
              <w:spacing w:before="0" w:after="0" w:line="288" w:lineRule="auto"/>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ascii="宋体" w:hAnsi="宋体" w:eastAsia="宋体" w:cs="宋体"/>
                <w:i w:val="0"/>
                <w:iCs w:val="0"/>
                <w:color w:val="000000"/>
                <w:sz w:val="22"/>
                <w:szCs w:val="22"/>
                <w:highlight w:val="none"/>
                <w:u w:val="none"/>
                <w:lang w:val="en-US" w:eastAsia="zh-CN" w:bidi="ar"/>
              </w:rPr>
            </w:r>
            <w:r/>
          </w:p>
        </w:tc>
        <w:tc>
          <w:tcPr>
            <w:tcW w:w="732" w:type="dxa"/>
            <w:vAlign w:val="center"/>
            <w:textDirection w:val="lrTb"/>
            <w:noWrap w:val="false"/>
          </w:tcPr>
          <w:p>
            <w:pPr>
              <w:pStyle w:val="1038"/>
              <w:jc w:val="center"/>
              <w:keepLines w:val="0"/>
              <w:keepNext w:val="0"/>
              <w:pageBreakBefore w:val="0"/>
              <w:spacing w:before="0" w:after="0" w:line="288" w:lineRule="auto"/>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ascii="宋体" w:hAnsi="宋体" w:eastAsia="宋体" w:cs="宋体"/>
                <w:i w:val="0"/>
                <w:iCs w:val="0"/>
                <w:color w:val="000000"/>
                <w:sz w:val="22"/>
                <w:szCs w:val="22"/>
                <w:highlight w:val="none"/>
                <w:u w:val="none"/>
                <w:lang w:val="en-US" w:eastAsia="zh-CN" w:bidi="ar"/>
              </w:rPr>
            </w:r>
            <w:r/>
          </w:p>
        </w:tc>
        <w:tc>
          <w:tcPr>
            <w:tcW w:w="396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变风量控制，详见技术要求，详见技术要求</w:t>
            </w:r>
            <w:r>
              <w:rPr>
                <w:rFonts w:hint="eastAsia" w:ascii="宋体" w:hAnsi="宋体" w:eastAsia="宋体" w:cs="宋体"/>
                <w:i w:val="0"/>
                <w:iCs w:val="0"/>
                <w:color w:val="000000"/>
                <w:sz w:val="22"/>
                <w:szCs w:val="22"/>
                <w:highlight w:val="none"/>
                <w:u w:val="none"/>
                <w:lang w:val="en-US" w:eastAsia="zh-CN" w:bidi="ar"/>
              </w:rPr>
            </w:r>
            <w:r/>
          </w:p>
        </w:tc>
      </w:tr>
      <w:tr>
        <w:trPr/>
        <w:tc>
          <w:tcPr>
            <w:tcW w:w="59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4500*1500*850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11305新能源汽车检测专用设备检测实验室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4500*1500*850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11310车载毫米波雷达射频实验室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11316省气体分析仪型式评价实验室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5250*1500*850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（含中央台、1套中号水槽+水龙头、1套洗眼器、1套滴水架、1套功能柱、4.45m中央试剂架）全钢结构，12.7mm理化板台面，详见技术要求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高性能全钢通风柜</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1500*850*2350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全钢结构，12.7mm理化板台面，5mm厚抗倍特板，详见技术要求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lang w:val="en-US" w:eastAsia="zh-CN" w:bidi="ar"/>
              </w:rPr>
            </w:r>
            <w:r/>
          </w:p>
        </w:tc>
        <w:tc>
          <w:tcPr>
            <w:tcW w:w="1947"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通风柜控制系统</w:t>
            </w:r>
            <w:r>
              <w:rPr>
                <w:rFonts w:hint="eastAsia" w:ascii="宋体" w:hAnsi="宋体" w:eastAsia="宋体" w:cs="宋体"/>
                <w:i w:val="0"/>
                <w:iCs w:val="0"/>
                <w:color w:val="000000"/>
                <w:sz w:val="22"/>
                <w:szCs w:val="22"/>
                <w:highlight w:val="none"/>
                <w:u w:val="none"/>
                <w:lang w:val="en-US" w:eastAsia="zh-CN" w:bidi="ar"/>
              </w:rPr>
            </w:r>
            <w:r/>
          </w:p>
        </w:tc>
        <w:tc>
          <w:tcPr>
            <w:tcW w:w="217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通风柜控制系统</w:t>
            </w:r>
            <w:r>
              <w:rPr>
                <w:rFonts w:hint="eastAsia" w:ascii="宋体" w:hAnsi="宋体" w:eastAsia="宋体" w:cs="宋体"/>
                <w:i w:val="0"/>
                <w:iCs w:val="0"/>
                <w:color w:val="000000"/>
                <w:sz w:val="22"/>
                <w:szCs w:val="22"/>
                <w:highlight w:val="none"/>
                <w:u w:val="none"/>
                <w:lang w:val="en-US" w:eastAsia="zh-CN" w:bidi="ar"/>
              </w:rPr>
            </w:r>
            <w:r/>
          </w:p>
        </w:tc>
        <w:tc>
          <w:tcPr>
            <w:tcW w:w="761"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lang w:val="en-US" w:eastAsia="zh-CN" w:bidi="ar"/>
              </w:rPr>
            </w:r>
            <w:r/>
          </w:p>
        </w:tc>
        <w:tc>
          <w:tcPr>
            <w:tcW w:w="73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lang w:val="en-US" w:eastAsia="zh-CN" w:bidi="ar"/>
              </w:rPr>
            </w:r>
            <w:r/>
          </w:p>
        </w:tc>
        <w:tc>
          <w:tcPr>
            <w:tcW w:w="396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变风量控制，详见技术要求</w:t>
            </w:r>
            <w:r>
              <w:rPr>
                <w:rFonts w:hint="eastAsia" w:ascii="宋体" w:hAnsi="宋体" w:eastAsia="宋体" w:cs="宋体"/>
                <w:i w:val="0"/>
                <w:iCs w:val="0"/>
                <w:color w:val="000000"/>
                <w:sz w:val="22"/>
                <w:szCs w:val="22"/>
                <w:highlight w:val="none"/>
                <w:u w:val="none"/>
                <w:lang w:val="en-US" w:eastAsia="zh-CN" w:bidi="ar"/>
              </w:rPr>
            </w:r>
            <w:r/>
          </w:p>
        </w:tc>
      </w:tr>
      <w:tr>
        <w:trPr/>
        <w:tc>
          <w:tcPr>
            <w:tcW w:w="59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万向抽气罩</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主体：总长度（四段式）1650mm±5% 以固定架为中心最大活动半径可达1600mm;导管、旋转关节、松紧按钮材质：聚丙烯（PP），详见技术要求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40L钢瓶架</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钢制</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钢制钢瓶架40L</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11320  标准物质制备核查实验室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万向抽气罩</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主体：总长度（四段式）1650mm±5% 以固定架为中心最大活动半径可达1600mm;导管、旋转关节、松紧按钮材质：聚丙烯（PP），详见技术要求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1000*750*850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（含全钢边台、1套中号水槽+水龙头、1套洗眼器、1套滴水架）全钢结构，12.7mm理化板台面，详见技术要求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高性能全钢通风柜</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1500*850*2350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全钢结构，12.7mm理化板台面，5mm厚抗倍特板，详见技术要求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r>
            <w:r/>
          </w:p>
        </w:tc>
        <w:tc>
          <w:tcPr>
            <w:tcW w:w="1947"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通风柜控制系统</w:t>
            </w:r>
            <w:r>
              <w:rPr>
                <w:rFonts w:hint="eastAsia" w:ascii="宋体" w:hAnsi="宋体" w:eastAsia="宋体" w:cs="宋体"/>
                <w:i w:val="0"/>
                <w:iCs w:val="0"/>
                <w:color w:val="000000"/>
                <w:sz w:val="22"/>
                <w:szCs w:val="22"/>
                <w:highlight w:val="none"/>
                <w:u w:val="none"/>
                <w:lang w:val="en-US" w:eastAsia="zh-CN" w:bidi="ar"/>
              </w:rPr>
            </w:r>
            <w:r/>
          </w:p>
        </w:tc>
        <w:tc>
          <w:tcPr>
            <w:tcW w:w="217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通风柜控制系统</w:t>
            </w:r>
            <w:r>
              <w:rPr>
                <w:rFonts w:hint="eastAsia" w:ascii="宋体" w:hAnsi="宋体" w:eastAsia="宋体" w:cs="宋体"/>
                <w:i w:val="0"/>
                <w:iCs w:val="0"/>
                <w:color w:val="000000"/>
                <w:sz w:val="22"/>
                <w:szCs w:val="22"/>
                <w:highlight w:val="none"/>
                <w:u w:val="none"/>
                <w:lang w:val="en-US" w:eastAsia="zh-CN" w:bidi="ar"/>
              </w:rPr>
            </w:r>
            <w:r/>
          </w:p>
        </w:tc>
        <w:tc>
          <w:tcPr>
            <w:tcW w:w="761"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lang w:val="en-US" w:eastAsia="zh-CN" w:bidi="ar"/>
              </w:rPr>
            </w:r>
            <w:r/>
          </w:p>
        </w:tc>
        <w:tc>
          <w:tcPr>
            <w:tcW w:w="73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r>
            <w:r/>
          </w:p>
        </w:tc>
        <w:tc>
          <w:tcPr>
            <w:tcW w:w="396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变风量控制，详见技术要求</w:t>
            </w:r>
            <w:r>
              <w:rPr>
                <w:rFonts w:hint="eastAsia" w:ascii="宋体" w:hAnsi="宋体" w:eastAsia="宋体" w:cs="宋体"/>
                <w:i w:val="0"/>
                <w:iCs w:val="0"/>
                <w:color w:val="000000"/>
                <w:sz w:val="22"/>
                <w:szCs w:val="22"/>
                <w:highlight w:val="none"/>
                <w:u w:val="none"/>
                <w:lang w:val="en-US" w:eastAsia="zh-CN" w:bidi="ar"/>
              </w:rPr>
            </w:r>
            <w:r/>
          </w:p>
        </w:tc>
      </w:tr>
      <w:tr>
        <w:trPr/>
        <w:tc>
          <w:tcPr>
            <w:tcW w:w="59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仪器台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9000*900*850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11321  标准物质制备核查实验室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万向抽气罩</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主体：总长度（四段式）1650mm±5% 以固定架为中心最大活动半径可达1600mm;导管、旋转关节、松紧按钮材质：聚丙烯（PP），详见技术要求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1000*750*850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（含全钢边台、1套中号水槽+水龙头、1套洗眼器、1套滴水架）全钢结构，12.7mm理化板台面，详见技术要求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高性能全钢通风柜</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1500*850*2350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全钢结构，12.7mm理化板台面，5mm厚抗倍特板，详见技术要求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r>
            <w:r/>
          </w:p>
        </w:tc>
        <w:tc>
          <w:tcPr>
            <w:tcW w:w="1947"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通风柜控制系统</w:t>
            </w:r>
            <w:r>
              <w:rPr>
                <w:rFonts w:hint="eastAsia" w:ascii="宋体" w:hAnsi="宋体" w:eastAsia="宋体" w:cs="宋体"/>
                <w:i w:val="0"/>
                <w:iCs w:val="0"/>
                <w:color w:val="000000"/>
                <w:sz w:val="22"/>
                <w:szCs w:val="22"/>
                <w:highlight w:val="none"/>
                <w:u w:val="none"/>
                <w:lang w:val="en-US" w:eastAsia="zh-CN" w:bidi="ar"/>
              </w:rPr>
            </w:r>
            <w:r/>
          </w:p>
        </w:tc>
        <w:tc>
          <w:tcPr>
            <w:tcW w:w="217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通风柜控制系统</w:t>
            </w:r>
            <w:r>
              <w:rPr>
                <w:rFonts w:hint="eastAsia" w:ascii="宋体" w:hAnsi="宋体" w:eastAsia="宋体" w:cs="宋体"/>
                <w:i w:val="0"/>
                <w:iCs w:val="0"/>
                <w:color w:val="000000"/>
                <w:sz w:val="22"/>
                <w:szCs w:val="22"/>
                <w:highlight w:val="none"/>
                <w:u w:val="none"/>
                <w:lang w:val="en-US" w:eastAsia="zh-CN" w:bidi="ar"/>
              </w:rPr>
            </w:r>
            <w:r/>
          </w:p>
        </w:tc>
        <w:tc>
          <w:tcPr>
            <w:tcW w:w="761"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lang w:val="en-US" w:eastAsia="zh-CN" w:bidi="ar"/>
              </w:rPr>
            </w:r>
            <w:r/>
          </w:p>
        </w:tc>
        <w:tc>
          <w:tcPr>
            <w:tcW w:w="73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r>
            <w:r/>
          </w:p>
        </w:tc>
        <w:tc>
          <w:tcPr>
            <w:tcW w:w="396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变风量控制，详见技术要求</w:t>
            </w:r>
            <w:r>
              <w:rPr>
                <w:rFonts w:hint="eastAsia" w:ascii="宋体" w:hAnsi="宋体" w:eastAsia="宋体" w:cs="宋体"/>
                <w:i w:val="0"/>
                <w:iCs w:val="0"/>
                <w:color w:val="000000"/>
                <w:sz w:val="22"/>
                <w:szCs w:val="22"/>
                <w:highlight w:val="none"/>
                <w:u w:val="none"/>
                <w:lang w:val="en-US" w:eastAsia="zh-CN" w:bidi="ar"/>
              </w:rPr>
            </w:r>
            <w:r/>
          </w:p>
        </w:tc>
      </w:tr>
      <w:tr>
        <w:trPr/>
        <w:tc>
          <w:tcPr>
            <w:tcW w:w="59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仪器台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9000*900*850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11324  标准物质制备核查实验室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1000*750*850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（含全钢边台、1套中号水槽+水龙头、1套洗眼器、1套滴水架）全钢结构，12.7mm理化板台面，详见技术要求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11326  光学实验室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置物架</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2000*800*2000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11335  溯源实验室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（含中央台、2套中号水槽+水龙头、1套洗眼器、2套滴水架）全钢结构，12.7mm理化板台面，详见技术要求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11336  溯源实验室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（含中央台、2套中号水槽+水龙头、1套洗眼器、2套滴水架）全钢结构，12.7mm理化板台面，详见技术要求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11337   民生计量实验室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5250*1500*850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11338 型式评价实验室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5250*1500*850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11344 角膜接触镜检测实验室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1000*750*850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（含全钢边台、1套中号水槽+水龙头、1套洗眼器、1套滴水架）全钢结构，12.7mm理化板台面，详见技术要求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11345 麻醉机量传实验室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1000*750*850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（含全钢边台、1套中号水槽+水龙头、1套洗眼器、1套滴水架）全钢结构，12.7mm理化板台面，详见技术要求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11403  粉尘大气烟尘型式评价实验室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万向抽气罩</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主体：总长度（四段式）1650mm±5% 以固定架为中心最大活动半径可达1600mm;导管、旋转关节、松紧按钮材质：聚丙烯（PP），详见技术要求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（含中央台、1套功能柱、3m中央试剂架）全钢结构，12.7mm理化板台面，详见技术要求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11404  粉尘大气烟尘检测实验室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万向抽气罩</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1038"/>
              <w:jc w:val="center"/>
              <w:keepLines w:val="0"/>
              <w:keepNext w:val="0"/>
              <w:pageBreakBefore w:val="0"/>
              <w:spacing w:before="0" w:after="0" w:line="288" w:lineRule="auto"/>
              <w:rPr>
                <w:rFonts w:ascii="宋体" w:hAnsi="宋体" w:eastAsia="宋体" w:cs="宋体"/>
                <w:i w:val="0"/>
                <w:iCs w:val="0"/>
                <w:color w:val="000000"/>
                <w:sz w:val="22"/>
                <w:szCs w:val="22"/>
                <w:highlight w:val="none"/>
                <w:u w:val="none"/>
                <w:lang w:val="en-US" w:eastAsia="zh-CN"/>
              </w:rPr>
            </w:pPr>
            <w:r>
              <w:rPr>
                <w:rFonts w:hint="eastAsia" w:ascii="宋体" w:hAnsi="宋体" w:eastAsia="宋体" w:cs="宋体"/>
                <w:i w:val="0"/>
                <w:iCs w:val="0"/>
                <w:color w:val="000000"/>
                <w:sz w:val="22"/>
                <w:szCs w:val="22"/>
                <w:highlight w:val="none"/>
                <w:u w:val="none"/>
                <w:lang w:val="en-US" w:eastAsia="zh-CN" w:bidi="ar"/>
              </w:rPr>
              <w:t xml:space="preserve">GB</w:t>
            </w:r>
            <w:r>
              <w:rPr>
                <w:rFonts w:ascii="宋体" w:hAnsi="宋体" w:eastAsia="宋体" w:cs="宋体"/>
                <w:i w:val="0"/>
                <w:iCs w:val="0"/>
                <w:color w:val="000000"/>
                <w:sz w:val="22"/>
                <w:szCs w:val="22"/>
                <w:highlight w:val="none"/>
                <w:u w:val="none"/>
                <w:lang w:val="en-US" w:eastAsia="zh-CN"/>
              </w:rPr>
            </w:r>
            <w:r/>
          </w:p>
        </w:tc>
        <w:tc>
          <w:tcPr>
            <w:tcW w:w="761"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主体：总长度（四段式）1650mm±5% 以固定架为中心最大活动半径可达1600mm;导管、旋转关节、松紧按钮材质：聚丙烯（PP），详见技术要求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11405  呼出气体酒精探测仪实验室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（含中央台、1套中号水槽+水龙头、1套洗眼器、1套滴水架、1套功能柱、4.5m中央试剂架）全钢结构，12.7mm理化板台面，详见技术要求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高性能全钢通风柜</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1500*850*2350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全钢结构，12.7mm理化板台面，5mm厚抗倍特板，详见技术要求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lang w:val="en-US" w:eastAsia="zh-CN" w:bidi="ar"/>
              </w:rPr>
            </w:r>
            <w:r/>
          </w:p>
        </w:tc>
        <w:tc>
          <w:tcPr>
            <w:tcW w:w="1947"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通风柜控制系统</w:t>
            </w:r>
            <w:r>
              <w:rPr>
                <w:rFonts w:hint="eastAsia" w:ascii="宋体" w:hAnsi="宋体" w:eastAsia="宋体" w:cs="宋体"/>
                <w:i w:val="0"/>
                <w:iCs w:val="0"/>
                <w:color w:val="000000"/>
                <w:sz w:val="22"/>
                <w:szCs w:val="22"/>
                <w:highlight w:val="none"/>
                <w:u w:val="none"/>
                <w:lang w:val="en-US" w:eastAsia="zh-CN" w:bidi="ar"/>
              </w:rPr>
            </w:r>
            <w:r/>
          </w:p>
        </w:tc>
        <w:tc>
          <w:tcPr>
            <w:tcW w:w="217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通风柜控制系统</w:t>
            </w:r>
            <w:r>
              <w:rPr>
                <w:rFonts w:hint="eastAsia" w:ascii="宋体" w:hAnsi="宋体" w:eastAsia="宋体" w:cs="宋体"/>
                <w:i w:val="0"/>
                <w:iCs w:val="0"/>
                <w:color w:val="000000"/>
                <w:sz w:val="22"/>
                <w:szCs w:val="22"/>
                <w:highlight w:val="none"/>
                <w:u w:val="none"/>
                <w:lang w:val="en-US" w:eastAsia="zh-CN" w:bidi="ar"/>
              </w:rPr>
            </w:r>
            <w:r/>
          </w:p>
        </w:tc>
        <w:tc>
          <w:tcPr>
            <w:tcW w:w="761"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lang w:val="en-US" w:eastAsia="zh-CN" w:bidi="ar"/>
              </w:rPr>
            </w:r>
            <w:r/>
          </w:p>
        </w:tc>
        <w:tc>
          <w:tcPr>
            <w:tcW w:w="73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r>
            <w:r/>
          </w:p>
        </w:tc>
        <w:tc>
          <w:tcPr>
            <w:tcW w:w="396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变风量控制，详见技术要求</w:t>
            </w:r>
            <w:r>
              <w:rPr>
                <w:rFonts w:hint="eastAsia" w:ascii="宋体" w:hAnsi="宋体" w:eastAsia="宋体" w:cs="宋体"/>
                <w:i w:val="0"/>
                <w:iCs w:val="0"/>
                <w:color w:val="000000"/>
                <w:sz w:val="22"/>
                <w:szCs w:val="22"/>
                <w:highlight w:val="none"/>
                <w:u w:val="none"/>
                <w:lang w:val="en-US" w:eastAsia="zh-CN" w:bidi="ar"/>
              </w:rPr>
            </w:r>
            <w:r/>
          </w:p>
        </w:tc>
      </w:tr>
      <w:tr>
        <w:trPr/>
        <w:tc>
          <w:tcPr>
            <w:tcW w:w="59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万向抽气罩</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主体：总长度（四段式）1650mm±5% 以固定架为中心最大活动半径可达1600mm;导管、旋转关节、松紧按钮材质：聚丙烯（PP），详见技术要求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40L钢瓶架</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钢制</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钢制钢瓶架40L</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此实验室有吊顶,涉及到后期吊顶拆除及修复工程量</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铝扣板</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m2</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80</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lang w:val="en-US" w:eastAsia="zh-CN"/>
              </w:rPr>
            </w:pPr>
            <w:r>
              <w:rPr>
                <w:rFonts w:hint="eastAsia" w:ascii="宋体" w:hAnsi="宋体" w:eastAsia="宋体" w:cs="宋体"/>
                <w:i w:val="0"/>
                <w:iCs w:val="0"/>
                <w:color w:val="000000"/>
                <w:sz w:val="22"/>
                <w:szCs w:val="22"/>
                <w:highlight w:val="none"/>
                <w:u w:val="none"/>
                <w:lang w:val="en-US" w:eastAsia="zh-CN"/>
              </w:rPr>
              <w:t xml:space="preserve">/</w:t>
            </w:r>
            <w:r>
              <w:rPr>
                <w:rFonts w:hint="eastAsia" w:ascii="宋体" w:hAnsi="宋体" w:eastAsia="宋体" w:cs="宋体"/>
                <w:i w:val="0"/>
                <w:iCs w:val="0"/>
                <w:color w:val="000000"/>
                <w:sz w:val="22"/>
                <w:szCs w:val="22"/>
                <w:highlight w:val="none"/>
                <w:u w:val="none"/>
                <w:lang w:val="en-US" w:eastAsia="zh-CN"/>
              </w:rPr>
            </w:r>
            <w:r/>
          </w:p>
        </w:tc>
      </w:tr>
      <w:tr>
        <w:trPr/>
        <w:tc>
          <w:tcPr>
            <w:gridSpan w:val="6"/>
            <w:tcW w:w="10171"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11406-1  氧气/溶解氧实验室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3800*1500*850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（含中央台、1套中号水槽+水龙头、1套洗眼器、1套滴水架、1套功能柱、2.9m中央试剂架）全钢结构，12.7mm理化板台面，详见技术要求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万向抽气罩</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主体：总长度（四段式）1650mm±5% 以固定架为中心最大活动半径可达1600mm;导管、旋转关节、松紧按钮材质：聚丙烯（PP），详见技术要求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高性能全钢通风柜</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1500*850*2350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全钢结构，12.7mm理化板台面，5mm厚抗倍特板，详见技术要求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r>
            <w:r/>
          </w:p>
        </w:tc>
        <w:tc>
          <w:tcPr>
            <w:tcW w:w="1947"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通风柜控制系统</w:t>
            </w:r>
            <w:r>
              <w:rPr>
                <w:rFonts w:hint="eastAsia" w:ascii="宋体" w:hAnsi="宋体" w:eastAsia="宋体" w:cs="宋体"/>
                <w:i w:val="0"/>
                <w:iCs w:val="0"/>
                <w:color w:val="000000"/>
                <w:sz w:val="22"/>
                <w:szCs w:val="22"/>
                <w:highlight w:val="none"/>
                <w:u w:val="none"/>
                <w:lang w:val="en-US" w:eastAsia="zh-CN" w:bidi="ar"/>
              </w:rPr>
            </w:r>
            <w:r/>
          </w:p>
        </w:tc>
        <w:tc>
          <w:tcPr>
            <w:tcW w:w="217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通风柜控制系统</w:t>
            </w:r>
            <w:r>
              <w:rPr>
                <w:rFonts w:hint="eastAsia" w:ascii="宋体" w:hAnsi="宋体" w:eastAsia="宋体" w:cs="宋体"/>
                <w:i w:val="0"/>
                <w:iCs w:val="0"/>
                <w:color w:val="000000"/>
                <w:sz w:val="22"/>
                <w:szCs w:val="22"/>
                <w:highlight w:val="none"/>
                <w:u w:val="none"/>
                <w:lang w:val="en-US" w:eastAsia="zh-CN" w:bidi="ar"/>
              </w:rPr>
            </w:r>
            <w:r/>
          </w:p>
        </w:tc>
        <w:tc>
          <w:tcPr>
            <w:tcW w:w="761"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lang w:val="en-US" w:eastAsia="zh-CN" w:bidi="ar"/>
              </w:rPr>
            </w:r>
            <w:r/>
          </w:p>
        </w:tc>
        <w:tc>
          <w:tcPr>
            <w:tcW w:w="73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r>
            <w:r/>
          </w:p>
        </w:tc>
        <w:tc>
          <w:tcPr>
            <w:tcW w:w="396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变风量控制，详见技术要求</w:t>
            </w:r>
            <w:r>
              <w:rPr>
                <w:rFonts w:hint="eastAsia" w:ascii="宋体" w:hAnsi="宋体" w:eastAsia="宋体" w:cs="宋体"/>
                <w:i w:val="0"/>
                <w:iCs w:val="0"/>
                <w:color w:val="000000"/>
                <w:sz w:val="22"/>
                <w:szCs w:val="22"/>
                <w:highlight w:val="none"/>
                <w:u w:val="none"/>
                <w:lang w:val="en-US" w:eastAsia="zh-CN" w:bidi="ar"/>
              </w:rPr>
            </w:r>
            <w:r/>
          </w:p>
        </w:tc>
      </w:tr>
      <w:tr>
        <w:trPr/>
        <w:tc>
          <w:tcPr>
            <w:tcW w:w="59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40L钢瓶架</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钢制</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钢制钢瓶架40L</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此实验室有吊顶,涉及到后期吊顶拆除及修复工程量</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铝扣板</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m2</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47</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lang w:val="en-US" w:eastAsia="zh-CN"/>
              </w:rPr>
            </w:pPr>
            <w:r>
              <w:rPr>
                <w:rFonts w:hint="eastAsia" w:ascii="宋体" w:hAnsi="宋体" w:eastAsia="宋体" w:cs="宋体"/>
                <w:i w:val="0"/>
                <w:iCs w:val="0"/>
                <w:color w:val="000000"/>
                <w:sz w:val="22"/>
                <w:szCs w:val="22"/>
                <w:highlight w:val="none"/>
                <w:u w:val="none"/>
                <w:lang w:val="en-US" w:eastAsia="zh-CN"/>
              </w:rPr>
              <w:t xml:space="preserve">/</w:t>
            </w:r>
            <w:r>
              <w:rPr>
                <w:rFonts w:hint="eastAsia" w:ascii="宋体" w:hAnsi="宋体" w:eastAsia="宋体" w:cs="宋体"/>
                <w:i w:val="0"/>
                <w:iCs w:val="0"/>
                <w:color w:val="000000"/>
                <w:sz w:val="22"/>
                <w:szCs w:val="22"/>
                <w:highlight w:val="none"/>
                <w:u w:val="none"/>
                <w:lang w:val="en-US" w:eastAsia="zh-CN"/>
              </w:rPr>
            </w:r>
            <w:r/>
          </w:p>
        </w:tc>
      </w:tr>
      <w:tr>
        <w:trPr/>
        <w:tc>
          <w:tcPr>
            <w:gridSpan w:val="6"/>
            <w:tcW w:w="10171"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11406-2可燃气体报警器实验室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3800*1500*850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（含中央台、1套中号水槽+水龙头、1套洗眼器、1套滴水架、1套功能柱、2.9m中央试剂架）全钢结构，12.7mm理化板台面，详见技术要求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万向抽气罩</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主体：总长度（四段式）1650mm±5% 以固定架为中心最大活动半径可达1600mm;导管、旋转关节、松紧按钮材质：聚丙烯（PP），详见技术要求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高性能全钢通风柜</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1500*850*2350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全钢结构，12.7mm理化板台面，5mm厚抗倍特板，详见技术要求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r>
            <w:r/>
          </w:p>
        </w:tc>
        <w:tc>
          <w:tcPr>
            <w:tcW w:w="1947"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通风柜控制系统</w:t>
            </w:r>
            <w:r>
              <w:rPr>
                <w:rFonts w:hint="eastAsia" w:ascii="宋体" w:hAnsi="宋体" w:eastAsia="宋体" w:cs="宋体"/>
                <w:i w:val="0"/>
                <w:iCs w:val="0"/>
                <w:color w:val="000000"/>
                <w:sz w:val="22"/>
                <w:szCs w:val="22"/>
                <w:highlight w:val="none"/>
                <w:u w:val="none"/>
                <w:lang w:val="en-US" w:eastAsia="zh-CN" w:bidi="ar"/>
              </w:rPr>
            </w:r>
            <w:r/>
          </w:p>
        </w:tc>
        <w:tc>
          <w:tcPr>
            <w:tcW w:w="217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通风柜控制系统</w:t>
            </w:r>
            <w:r>
              <w:rPr>
                <w:rFonts w:hint="eastAsia" w:ascii="宋体" w:hAnsi="宋体" w:eastAsia="宋体" w:cs="宋体"/>
                <w:i w:val="0"/>
                <w:iCs w:val="0"/>
                <w:color w:val="000000"/>
                <w:sz w:val="22"/>
                <w:szCs w:val="22"/>
                <w:highlight w:val="none"/>
                <w:u w:val="none"/>
                <w:lang w:val="en-US" w:eastAsia="zh-CN" w:bidi="ar"/>
              </w:rPr>
            </w:r>
            <w:r/>
          </w:p>
        </w:tc>
        <w:tc>
          <w:tcPr>
            <w:tcW w:w="761"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lang w:val="en-US" w:eastAsia="zh-CN" w:bidi="ar"/>
              </w:rPr>
            </w:r>
            <w:r/>
          </w:p>
        </w:tc>
        <w:tc>
          <w:tcPr>
            <w:tcW w:w="73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r>
            <w:r/>
          </w:p>
        </w:tc>
        <w:tc>
          <w:tcPr>
            <w:tcW w:w="396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变风量控制，详见技术要求</w:t>
            </w:r>
            <w:r>
              <w:rPr>
                <w:rFonts w:hint="eastAsia" w:ascii="宋体" w:hAnsi="宋体" w:eastAsia="宋体" w:cs="宋体"/>
                <w:i w:val="0"/>
                <w:iCs w:val="0"/>
                <w:color w:val="000000"/>
                <w:sz w:val="22"/>
                <w:szCs w:val="22"/>
                <w:highlight w:val="none"/>
                <w:u w:val="none"/>
                <w:lang w:val="en-US" w:eastAsia="zh-CN" w:bidi="ar"/>
              </w:rPr>
            </w:r>
            <w:r/>
          </w:p>
        </w:tc>
      </w:tr>
      <w:tr>
        <w:trPr/>
        <w:tc>
          <w:tcPr>
            <w:tcW w:w="59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40L钢瓶架</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钢制</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钢制钢瓶架40L</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此实验室有吊顶,涉及到后期吊顶拆除及修复工程量</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铝扣板</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m2</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47</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lang w:val="en-US" w:eastAsia="zh-CN"/>
              </w:rPr>
            </w:pPr>
            <w:r>
              <w:rPr>
                <w:rFonts w:hint="eastAsia" w:ascii="宋体" w:hAnsi="宋体" w:eastAsia="宋体" w:cs="宋体"/>
                <w:i w:val="0"/>
                <w:iCs w:val="0"/>
                <w:color w:val="000000"/>
                <w:sz w:val="22"/>
                <w:szCs w:val="22"/>
                <w:highlight w:val="none"/>
                <w:u w:val="none"/>
                <w:lang w:val="en-US" w:eastAsia="zh-CN"/>
              </w:rPr>
              <w:t xml:space="preserve">/</w:t>
            </w:r>
            <w:r>
              <w:rPr>
                <w:rFonts w:hint="eastAsia" w:ascii="宋体" w:hAnsi="宋体" w:eastAsia="宋体" w:cs="宋体"/>
                <w:i w:val="0"/>
                <w:iCs w:val="0"/>
                <w:color w:val="000000"/>
                <w:sz w:val="22"/>
                <w:szCs w:val="22"/>
                <w:highlight w:val="none"/>
                <w:u w:val="none"/>
                <w:lang w:val="en-US" w:eastAsia="zh-CN"/>
              </w:rPr>
            </w:r>
            <w:r/>
          </w:p>
        </w:tc>
      </w:tr>
      <w:tr>
        <w:trPr/>
        <w:tc>
          <w:tcPr>
            <w:gridSpan w:val="6"/>
            <w:tcW w:w="10171"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11407有毒有害气体实验室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高性能全钢通风柜</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1500*850*2350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全钢结构，12.7mm理化板台面，5mm厚抗倍特板，详见技术要求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r>
            <w:r/>
          </w:p>
        </w:tc>
        <w:tc>
          <w:tcPr>
            <w:tcW w:w="1947"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通风柜控制系统</w:t>
            </w:r>
            <w:r>
              <w:rPr>
                <w:rFonts w:hint="eastAsia" w:ascii="宋体" w:hAnsi="宋体" w:eastAsia="宋体" w:cs="宋体"/>
                <w:i w:val="0"/>
                <w:iCs w:val="0"/>
                <w:color w:val="000000"/>
                <w:sz w:val="22"/>
                <w:szCs w:val="22"/>
                <w:highlight w:val="none"/>
                <w:u w:val="none"/>
                <w:lang w:val="en-US" w:eastAsia="zh-CN" w:bidi="ar"/>
              </w:rPr>
            </w:r>
            <w:r/>
          </w:p>
        </w:tc>
        <w:tc>
          <w:tcPr>
            <w:tcW w:w="217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通风柜控制系统</w:t>
            </w:r>
            <w:r>
              <w:rPr>
                <w:rFonts w:hint="eastAsia" w:ascii="宋体" w:hAnsi="宋体" w:eastAsia="宋体" w:cs="宋体"/>
                <w:i w:val="0"/>
                <w:iCs w:val="0"/>
                <w:color w:val="000000"/>
                <w:sz w:val="22"/>
                <w:szCs w:val="22"/>
                <w:highlight w:val="none"/>
                <w:u w:val="none"/>
                <w:lang w:val="en-US" w:eastAsia="zh-CN" w:bidi="ar"/>
              </w:rPr>
            </w:r>
            <w:r/>
          </w:p>
        </w:tc>
        <w:tc>
          <w:tcPr>
            <w:tcW w:w="761"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lang w:val="en-US" w:eastAsia="zh-CN" w:bidi="ar"/>
              </w:rPr>
            </w:r>
            <w:r/>
          </w:p>
        </w:tc>
        <w:tc>
          <w:tcPr>
            <w:tcW w:w="73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r>
            <w:r/>
          </w:p>
        </w:tc>
        <w:tc>
          <w:tcPr>
            <w:tcW w:w="396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变风量控制，详见技术要求</w:t>
            </w:r>
            <w:r>
              <w:rPr>
                <w:rFonts w:hint="eastAsia" w:ascii="宋体" w:hAnsi="宋体" w:eastAsia="宋体" w:cs="宋体"/>
                <w:i w:val="0"/>
                <w:iCs w:val="0"/>
                <w:color w:val="000000"/>
                <w:sz w:val="22"/>
                <w:szCs w:val="22"/>
                <w:highlight w:val="none"/>
                <w:u w:val="none"/>
                <w:lang w:val="en-US" w:eastAsia="zh-CN" w:bidi="ar"/>
              </w:rPr>
            </w:r>
            <w:r/>
          </w:p>
        </w:tc>
      </w:tr>
      <w:tr>
        <w:trPr/>
        <w:tc>
          <w:tcPr>
            <w:tcW w:w="59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万向抽气罩</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主体：总长度（四段式）1650mm±5% 以固定架为中心最大活动半径可达1600mm;导管、旋转关节、松紧按钮材质：聚丙烯（PP），详见技术要求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40L钢瓶架</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钢制</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钢制钢瓶架40L</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此实验室有吊顶,涉及到后期吊顶拆除及修复工程量</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铝扣板</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m2</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49</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lang w:val="en-US" w:eastAsia="zh-CN"/>
              </w:rPr>
            </w:pPr>
            <w:r>
              <w:rPr>
                <w:rFonts w:hint="eastAsia" w:ascii="宋体" w:hAnsi="宋体" w:eastAsia="宋体" w:cs="宋体"/>
                <w:i w:val="0"/>
                <w:iCs w:val="0"/>
                <w:color w:val="000000"/>
                <w:sz w:val="22"/>
                <w:szCs w:val="22"/>
                <w:highlight w:val="none"/>
                <w:u w:val="none"/>
                <w:lang w:val="en-US" w:eastAsia="zh-CN"/>
              </w:rPr>
              <w:t xml:space="preserve">/</w:t>
            </w:r>
            <w:r>
              <w:rPr>
                <w:rFonts w:hint="eastAsia" w:ascii="宋体" w:hAnsi="宋体" w:eastAsia="宋体" w:cs="宋体"/>
                <w:i w:val="0"/>
                <w:iCs w:val="0"/>
                <w:color w:val="000000"/>
                <w:sz w:val="22"/>
                <w:szCs w:val="22"/>
                <w:highlight w:val="none"/>
                <w:u w:val="none"/>
                <w:lang w:val="en-US" w:eastAsia="zh-CN"/>
              </w:rPr>
            </w:r>
            <w:r/>
          </w:p>
        </w:tc>
      </w:tr>
      <w:tr>
        <w:trPr/>
        <w:tc>
          <w:tcPr>
            <w:gridSpan w:val="6"/>
            <w:tcW w:w="10171"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11412前处理实验室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5250*1500*850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（含中央台、3套中号水槽+水龙头、1套洗眼器、1套滴水架、1套功能柱、4.45m中央试剂架）全钢结构，12.7mm理化板台面，详见技术要求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万向抽气罩</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主体：总长度（四段式）1650mm±5% 以固定架为中心最大活动半径可达1600mm;导管、旋转关节、松紧按钮材质：聚丙烯（PP），详见技术要求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高性能全钢通风柜</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1500*850*2350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全钢结构，12.7mm理化板台面，5mm厚抗倍特板，详见技术要求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r>
            <w:r/>
          </w:p>
        </w:tc>
        <w:tc>
          <w:tcPr>
            <w:tcW w:w="1947"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通风柜控制系统</w:t>
            </w:r>
            <w:r>
              <w:rPr>
                <w:rFonts w:hint="eastAsia" w:ascii="宋体" w:hAnsi="宋体" w:eastAsia="宋体" w:cs="宋体"/>
                <w:i w:val="0"/>
                <w:iCs w:val="0"/>
                <w:color w:val="000000"/>
                <w:sz w:val="22"/>
                <w:szCs w:val="22"/>
                <w:highlight w:val="none"/>
                <w:u w:val="none"/>
                <w:lang w:val="en-US" w:eastAsia="zh-CN" w:bidi="ar"/>
              </w:rPr>
            </w:r>
            <w:r/>
          </w:p>
        </w:tc>
        <w:tc>
          <w:tcPr>
            <w:tcW w:w="217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通风柜控制系统</w:t>
            </w:r>
            <w:r>
              <w:rPr>
                <w:rFonts w:hint="eastAsia" w:ascii="宋体" w:hAnsi="宋体" w:eastAsia="宋体" w:cs="宋体"/>
                <w:i w:val="0"/>
                <w:iCs w:val="0"/>
                <w:color w:val="000000"/>
                <w:sz w:val="22"/>
                <w:szCs w:val="22"/>
                <w:highlight w:val="none"/>
                <w:u w:val="none"/>
                <w:lang w:val="en-US" w:eastAsia="zh-CN" w:bidi="ar"/>
              </w:rPr>
            </w:r>
            <w:r/>
          </w:p>
        </w:tc>
        <w:tc>
          <w:tcPr>
            <w:tcW w:w="761"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lang w:val="en-US" w:eastAsia="zh-CN" w:bidi="ar"/>
              </w:rPr>
            </w:r>
            <w:r/>
          </w:p>
        </w:tc>
        <w:tc>
          <w:tcPr>
            <w:tcW w:w="73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r>
            <w:r/>
          </w:p>
        </w:tc>
        <w:tc>
          <w:tcPr>
            <w:tcW w:w="396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变风量控制，详见技术要求</w:t>
            </w:r>
            <w:r>
              <w:rPr>
                <w:rFonts w:hint="eastAsia" w:ascii="宋体" w:hAnsi="宋体" w:eastAsia="宋体" w:cs="宋体"/>
                <w:i w:val="0"/>
                <w:iCs w:val="0"/>
                <w:color w:val="000000"/>
                <w:sz w:val="22"/>
                <w:szCs w:val="22"/>
                <w:highlight w:val="none"/>
                <w:u w:val="none"/>
                <w:lang w:val="en-US" w:eastAsia="zh-CN" w:bidi="ar"/>
              </w:rPr>
            </w:r>
            <w:r/>
          </w:p>
        </w:tc>
      </w:tr>
      <w:tr>
        <w:trPr/>
        <w:tc>
          <w:tcPr>
            <w:gridSpan w:val="6"/>
            <w:tcW w:w="10171"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11414标准物质储存实验室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（含中央台、1套中号水槽+水龙头、1套洗眼器、1套滴水架、1套功能柱）全钢结构，12.7mm理化板台面，详见技术要求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11416  电化学实验室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（含全钢边台、1套中号水槽+水龙头、1套洗眼器、1套滴水架）全钢结构，12.7mm理化板台面，详见技术要求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6750*1500*850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（含中央台、1套中号水槽+水龙头、1套洗眼器、1套滴水架、1套功能柱、5.85m中央试剂架）全钢结构，12.7mm理化板台面，详见技术要求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万向抽气罩</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主体：总长度（四段式）1650mm±5% 以固定架为中心最大活动半径可达1600mm;导管、旋转关节、松紧按钮材质：聚丙烯（PP），详见技术要求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高性能全钢通风柜</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1500*850*2350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全钢结构，12.7mm理化板台面，5mm厚抗倍特板，详见技术要求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lang w:val="en-US" w:eastAsia="zh-CN" w:bidi="ar"/>
              </w:rPr>
            </w:r>
            <w:r/>
          </w:p>
        </w:tc>
        <w:tc>
          <w:tcPr>
            <w:tcW w:w="1947"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通风柜控制系统</w:t>
            </w:r>
            <w:r>
              <w:rPr>
                <w:rFonts w:hint="eastAsia" w:ascii="宋体" w:hAnsi="宋体" w:eastAsia="宋体" w:cs="宋体"/>
                <w:i w:val="0"/>
                <w:iCs w:val="0"/>
                <w:color w:val="000000"/>
                <w:sz w:val="22"/>
                <w:szCs w:val="22"/>
                <w:highlight w:val="none"/>
                <w:u w:val="none"/>
                <w:lang w:val="en-US" w:eastAsia="zh-CN" w:bidi="ar"/>
              </w:rPr>
            </w:r>
            <w:r/>
          </w:p>
        </w:tc>
        <w:tc>
          <w:tcPr>
            <w:tcW w:w="217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通风柜控制系统</w:t>
            </w:r>
            <w:r>
              <w:rPr>
                <w:rFonts w:hint="eastAsia" w:ascii="宋体" w:hAnsi="宋体" w:eastAsia="宋体" w:cs="宋体"/>
                <w:i w:val="0"/>
                <w:iCs w:val="0"/>
                <w:color w:val="000000"/>
                <w:sz w:val="22"/>
                <w:szCs w:val="22"/>
                <w:highlight w:val="none"/>
                <w:u w:val="none"/>
                <w:lang w:val="en-US" w:eastAsia="zh-CN" w:bidi="ar"/>
              </w:rPr>
            </w:r>
            <w:r/>
          </w:p>
        </w:tc>
        <w:tc>
          <w:tcPr>
            <w:tcW w:w="761"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lang w:val="en-US" w:eastAsia="zh-CN" w:bidi="ar"/>
              </w:rPr>
            </w:r>
            <w:r/>
          </w:p>
        </w:tc>
        <w:tc>
          <w:tcPr>
            <w:tcW w:w="73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c>
          <w:tcPr>
            <w:tcW w:w="396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变风量控制，详见技术要求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此实验室有吊顶,涉及到后期吊顶拆除及修复工程量</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铝扣板</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m2</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34</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lang w:val="en-US" w:eastAsia="zh-CN"/>
              </w:rPr>
            </w:pPr>
            <w:r>
              <w:rPr>
                <w:rFonts w:hint="eastAsia" w:ascii="宋体" w:hAnsi="宋体" w:eastAsia="宋体" w:cs="宋体"/>
                <w:i w:val="0"/>
                <w:iCs w:val="0"/>
                <w:color w:val="000000"/>
                <w:sz w:val="22"/>
                <w:szCs w:val="22"/>
                <w:highlight w:val="none"/>
                <w:u w:val="none"/>
                <w:lang w:val="en-US" w:eastAsia="zh-CN"/>
              </w:rPr>
              <w:t xml:space="preserve">/</w:t>
            </w:r>
            <w:r>
              <w:rPr>
                <w:rFonts w:hint="eastAsia" w:ascii="宋体" w:hAnsi="宋体" w:eastAsia="宋体" w:cs="宋体"/>
                <w:i w:val="0"/>
                <w:iCs w:val="0"/>
                <w:color w:val="000000"/>
                <w:sz w:val="22"/>
                <w:szCs w:val="22"/>
                <w:highlight w:val="none"/>
                <w:u w:val="none"/>
                <w:lang w:val="en-US" w:eastAsia="zh-CN"/>
              </w:rPr>
            </w:r>
            <w:r/>
          </w:p>
        </w:tc>
      </w:tr>
      <w:tr>
        <w:trPr/>
        <w:tc>
          <w:tcPr>
            <w:gridSpan w:val="6"/>
            <w:tcW w:w="10171"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11417  臭氧分析仪实验室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高性能全钢通风柜</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2000*850*2350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全钢结构，12.7mm理化板台面，5mm厚抗倍特板，详见技术要求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r>
            <w:r/>
          </w:p>
        </w:tc>
        <w:tc>
          <w:tcPr>
            <w:tcW w:w="1947"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通风柜控制系统</w:t>
            </w:r>
            <w:r>
              <w:rPr>
                <w:rFonts w:hint="eastAsia" w:ascii="宋体" w:hAnsi="宋体" w:eastAsia="宋体" w:cs="宋体"/>
                <w:i w:val="0"/>
                <w:iCs w:val="0"/>
                <w:color w:val="000000"/>
                <w:sz w:val="22"/>
                <w:szCs w:val="22"/>
                <w:highlight w:val="none"/>
                <w:u w:val="none"/>
                <w:lang w:val="en-US" w:eastAsia="zh-CN" w:bidi="ar"/>
              </w:rPr>
            </w:r>
            <w:r/>
          </w:p>
        </w:tc>
        <w:tc>
          <w:tcPr>
            <w:tcW w:w="217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通风柜控制系统</w:t>
            </w:r>
            <w:r>
              <w:rPr>
                <w:rFonts w:hint="eastAsia" w:ascii="宋体" w:hAnsi="宋体" w:eastAsia="宋体" w:cs="宋体"/>
                <w:i w:val="0"/>
                <w:iCs w:val="0"/>
                <w:color w:val="000000"/>
                <w:sz w:val="22"/>
                <w:szCs w:val="22"/>
                <w:highlight w:val="none"/>
                <w:u w:val="none"/>
                <w:lang w:val="en-US" w:eastAsia="zh-CN" w:bidi="ar"/>
              </w:rPr>
            </w:r>
            <w:r/>
          </w:p>
        </w:tc>
        <w:tc>
          <w:tcPr>
            <w:tcW w:w="761"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lang w:val="en-US" w:eastAsia="zh-CN" w:bidi="ar"/>
              </w:rPr>
            </w:r>
            <w:r/>
          </w:p>
        </w:tc>
        <w:tc>
          <w:tcPr>
            <w:tcW w:w="73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r>
            <w:r/>
          </w:p>
        </w:tc>
        <w:tc>
          <w:tcPr>
            <w:tcW w:w="396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变风量控制，详见技术要求</w:t>
            </w:r>
            <w:r>
              <w:rPr>
                <w:rFonts w:hint="eastAsia" w:ascii="宋体" w:hAnsi="宋体" w:eastAsia="宋体" w:cs="宋体"/>
                <w:i w:val="0"/>
                <w:iCs w:val="0"/>
                <w:color w:val="000000"/>
                <w:sz w:val="22"/>
                <w:szCs w:val="22"/>
                <w:highlight w:val="none"/>
                <w:u w:val="none"/>
                <w:lang w:val="en-US" w:eastAsia="zh-CN" w:bidi="ar"/>
              </w:rPr>
            </w:r>
            <w:r/>
          </w:p>
        </w:tc>
      </w:tr>
      <w:tr>
        <w:trPr/>
        <w:tc>
          <w:tcPr>
            <w:tcW w:w="59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（含中央台、1套中号水槽+水龙头、1套洗眼器、1套滴水架、1套功能柱、4.5m中央试剂架）全钢结构，12.7mm理化板台面，详见技术要求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万向抽气罩</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主体：总长度（四段式）1650mm±5% 以固定架为中心最大活动半径可达1600mm;导管、旋转关节、松紧按钮材质：聚丙烯（PP），详见技术要求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11423粉尘油烟微粒浓度检测实验室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（含全钢边台、1套中号水槽+水龙头、1套洗眼器、1套滴水架）全钢结构，12.7mm理化板台面，详见技术要求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11434呼吸麻醉实验室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5500*1500*850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（含中央台、1套中号水槽+水龙头、1套洗眼器、1套滴水架）全钢结构，12.7mm理化板台面，详见技术要求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11435微生物采样器校准实验室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（含中央台、2套中号水槽+水龙头、1套洗眼器、2套滴水架）全钢结构，12.7mm理化板台面，详见技术要求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11436 国家质检中心实验室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（含中央台、2套中号水槽+水龙头、1套洗眼器、2套滴水架）全钢结构，12.7mm理化板台面，详见技术要求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11437    智能可穿戴实验室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（含中央台、2套中号水槽+水龙头、1套洗眼器、2套滴水架）全钢结构，12.7mm理化板台面，详见技术要求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11506   省电磁环境计量重点实验室电磁辐射场强/天线/电磁兼容计量实验室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全钢结构，12.7mm防静电物理板台面</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3910*1500*850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全钢结构，12.7mm防静电物理板台面</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11512  医疗机器人实验室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4500*1500*850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11521   医用超声设备实验室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1038"/>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11523  国家质检中心实验室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4500*1500*850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1038"/>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i w:val="0"/>
                <w:iCs w:val="0"/>
                <w:color w:val="000000"/>
                <w:sz w:val="22"/>
                <w:szCs w:val="22"/>
                <w:highlight w:val="none"/>
                <w:u w:val="none"/>
              </w:rPr>
            </w:r>
            <w:r/>
          </w:p>
        </w:tc>
      </w:tr>
    </w:tbl>
    <w:p>
      <w:pPr>
        <w:pStyle w:val="1039"/>
        <w:ind w:firstLine="0"/>
        <w:tabs>
          <w:tab w:val="left" w:pos="1440" w:leader="none"/>
          <w:tab w:val="left" w:pos="5670" w:leader="none"/>
        </w:tabs>
        <w:rPr>
          <w:rFonts w:hint="eastAsia" w:ascii="宋体" w:hAnsi="宋体" w:eastAsia="宋体" w:cs="宋体"/>
          <w:b w:val="0"/>
          <w:color w:val="000000"/>
          <w:sz w:val="28"/>
          <w:highlight w:val="none"/>
        </w:rPr>
      </w:pPr>
      <w:r>
        <w:rPr>
          <w:rFonts w:hint="eastAsia" w:ascii="宋体" w:hAnsi="宋体" w:eastAsia="宋体" w:cs="宋体"/>
          <w:b/>
          <w:bCs/>
          <w:color w:val="000000"/>
          <w:szCs w:val="24"/>
          <w:highlight w:val="none"/>
          <w:lang w:val="en-US" w:eastAsia="zh-CN"/>
        </w:rPr>
        <w:br w:type="page" w:clear="all"/>
      </w:r>
      <w:r>
        <w:rPr>
          <w:rFonts w:hint="eastAsia" w:ascii="宋体" w:hAnsi="宋体" w:eastAsia="宋体" w:cs="宋体"/>
          <w:b/>
          <w:bCs/>
          <w:color w:val="000000"/>
          <w:szCs w:val="24"/>
          <w:highlight w:val="none"/>
          <w:lang w:val="en-US" w:eastAsia="zh-CN"/>
        </w:rPr>
        <w:br w:type="textWrapping" w:clear="all"/>
      </w:r>
      <w:bookmarkStart w:id="118" w:name="_Toc18787"/>
      <w:r>
        <w:rPr>
          <w:rFonts w:hint="eastAsia" w:ascii="宋体" w:hAnsi="宋体" w:eastAsia="宋体" w:cs="宋体"/>
          <w:color w:val="000000"/>
          <w:highlight w:val="none"/>
        </w:rPr>
        <w:t xml:space="preserve">第五章 </w:t>
      </w:r>
      <w:bookmarkEnd w:id="105"/>
      <w:r>
        <w:rPr>
          <w:rFonts w:hint="eastAsia" w:ascii="宋体" w:hAnsi="宋体" w:eastAsia="宋体" w:cs="宋体"/>
          <w:color w:val="000000"/>
          <w:highlight w:val="none"/>
        </w:rPr>
        <w:t xml:space="preserve">拟签订的合同文本</w:t>
      </w:r>
      <w:bookmarkEnd w:id="106"/>
      <w:r/>
      <w:bookmarkEnd w:id="118"/>
      <w:r>
        <w:rPr>
          <w:rFonts w:hint="eastAsia" w:ascii="宋体" w:hAnsi="宋体" w:eastAsia="宋体" w:cs="宋体"/>
          <w:b w:val="0"/>
          <w:color w:val="000000"/>
          <w:sz w:val="28"/>
          <w:highlight w:val="none"/>
        </w:rPr>
      </w:r>
      <w:r/>
    </w:p>
    <w:p>
      <w:pPr>
        <w:pStyle w:val="1038"/>
        <w:ind w:left="108" w:firstLine="482"/>
        <w:jc w:val="left"/>
        <w:spacing w:line="480" w:lineRule="exact"/>
        <w:tabs>
          <w:tab w:val="left" w:pos="4785" w:leader="none"/>
        </w:tabs>
        <w:rPr>
          <w:rFonts w:ascii="宋体" w:hAnsi="宋体" w:eastAsia="宋体" w:cs="宋体"/>
          <w:b/>
          <w:bCs/>
          <w:i/>
          <w:iCs/>
          <w:color w:val="000000"/>
          <w:sz w:val="24"/>
          <w:szCs w:val="24"/>
          <w:highlight w:val="none"/>
        </w:rPr>
      </w:pPr>
      <w:r>
        <w:rPr>
          <w:rFonts w:hint="eastAsia" w:ascii="宋体" w:hAnsi="宋体" w:eastAsia="宋体" w:cs="宋体"/>
          <w:b/>
          <w:bCs/>
          <w:i/>
          <w:iCs/>
          <w:color w:val="000000"/>
          <w:sz w:val="24"/>
          <w:szCs w:val="24"/>
          <w:highlight w:val="none"/>
        </w:rPr>
        <w:t xml:space="preserve">（货物类采购合同参考格式，本合同内容条款在正式签署前可具体补充细化，仅作参考，最终合同以采购人法务审查通过的版本为准）</w:t>
      </w:r>
      <w:bookmarkStart w:id="119" w:name="_Toc4445"/>
      <w:r>
        <w:rPr>
          <w:rFonts w:ascii="宋体" w:hAnsi="宋体" w:eastAsia="宋体" w:cs="宋体"/>
          <w:b/>
          <w:bCs/>
          <w:i/>
          <w:iCs/>
          <w:color w:val="000000"/>
          <w:sz w:val="24"/>
          <w:szCs w:val="24"/>
          <w:highlight w:val="none"/>
        </w:rPr>
      </w:r>
      <w:r/>
    </w:p>
    <w:p>
      <w:pPr>
        <w:pStyle w:val="1038"/>
        <w:ind w:left="108" w:firstLine="480"/>
        <w:jc w:val="left"/>
        <w:spacing w:line="480" w:lineRule="exact"/>
        <w:tabs>
          <w:tab w:val="left" w:pos="4785"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038"/>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买方（甲方）：江苏省计量科学研究院（江苏省能源计量数据中心）</w:t>
      </w:r>
      <w:r>
        <w:rPr>
          <w:rFonts w:hint="eastAsia" w:ascii="宋体" w:hAnsi="宋体" w:eastAsia="宋体" w:cs="宋体"/>
          <w:color w:val="000000"/>
          <w:sz w:val="24"/>
          <w:szCs w:val="24"/>
          <w:highlight w:val="none"/>
        </w:rPr>
      </w:r>
      <w:r/>
    </w:p>
    <w:p>
      <w:pPr>
        <w:pStyle w:val="1038"/>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卖方（乙方）： </w:t>
      </w:r>
      <w:r>
        <w:rPr>
          <w:rFonts w:hint="eastAsia" w:ascii="宋体" w:hAnsi="宋体" w:eastAsia="宋体" w:cs="宋体"/>
          <w:color w:val="000000"/>
          <w:sz w:val="24"/>
          <w:szCs w:val="24"/>
          <w:highlight w:val="none"/>
        </w:rPr>
      </w:r>
      <w:r/>
    </w:p>
    <w:p>
      <w:pPr>
        <w:pStyle w:val="1038"/>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采购代理机构： 江苏海外集团国际工程咨询有限公司</w:t>
      </w:r>
      <w:r>
        <w:rPr>
          <w:rFonts w:hint="eastAsia" w:ascii="宋体" w:hAnsi="宋体" w:eastAsia="宋体" w:cs="宋体"/>
          <w:color w:val="000000"/>
          <w:sz w:val="24"/>
          <w:szCs w:val="24"/>
          <w:highlight w:val="none"/>
        </w:rPr>
      </w:r>
      <w:r/>
    </w:p>
    <w:p>
      <w:pPr>
        <w:pStyle w:val="1038"/>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一、说明：</w:t>
      </w:r>
      <w:r>
        <w:rPr>
          <w:rFonts w:hint="eastAsia" w:ascii="宋体" w:hAnsi="宋体" w:eastAsia="宋体" w:cs="宋体"/>
          <w:color w:val="000000"/>
          <w:sz w:val="24"/>
          <w:szCs w:val="24"/>
          <w:highlight w:val="none"/>
        </w:rPr>
      </w:r>
      <w:r/>
    </w:p>
    <w:p>
      <w:pPr>
        <w:pStyle w:val="1038"/>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受买方委托，采购代理机构于2026年 月 日组织了江苏省计量科学研究院（江苏省能源计量数据中心）所需</w:t>
      </w:r>
      <w:r>
        <w:rPr>
          <w:rFonts w:hint="eastAsia" w:ascii="宋体" w:hAnsi="宋体" w:eastAsia="宋体" w:cs="宋体"/>
          <w:color w:val="000000"/>
          <w:sz w:val="24"/>
          <w:szCs w:val="24"/>
          <w:highlight w:val="none"/>
        </w:rPr>
        <w:t xml:space="preserve">检测设备</w:t>
      </w:r>
      <w:r>
        <w:rPr>
          <w:rFonts w:hint="eastAsia" w:ascii="宋体" w:hAnsi="宋体" w:eastAsia="宋体" w:cs="宋体"/>
          <w:color w:val="000000"/>
          <w:sz w:val="24"/>
          <w:szCs w:val="24"/>
          <w:highlight w:val="none"/>
        </w:rPr>
        <w:t xml:space="preserve">采购项目（项目编号：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）的评审活动，经评委认真严格地评审，确定由卖方成交。</w:t>
      </w:r>
      <w:r>
        <w:rPr>
          <w:rFonts w:hint="eastAsia" w:ascii="宋体" w:hAnsi="宋体" w:eastAsia="宋体" w:cs="宋体"/>
          <w:color w:val="000000"/>
          <w:sz w:val="24"/>
          <w:szCs w:val="24"/>
          <w:highlight w:val="none"/>
        </w:rPr>
      </w:r>
      <w:r/>
    </w:p>
    <w:p>
      <w:pPr>
        <w:pStyle w:val="1038"/>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二、合同条款：</w:t>
      </w:r>
      <w:r>
        <w:rPr>
          <w:rFonts w:hint="eastAsia" w:ascii="宋体" w:hAnsi="宋体" w:eastAsia="宋体" w:cs="宋体"/>
          <w:color w:val="000000"/>
          <w:sz w:val="24"/>
          <w:szCs w:val="24"/>
          <w:highlight w:val="none"/>
        </w:rPr>
      </w:r>
      <w:r/>
    </w:p>
    <w:p>
      <w:pPr>
        <w:pStyle w:val="1038"/>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合同由买卖双方签订，并依据本项目采购文件规定，按下列合同条款买方同意购入，卖方同意卖出下列设备及服务。</w:t>
      </w:r>
      <w:r>
        <w:rPr>
          <w:rFonts w:hint="eastAsia" w:ascii="宋体" w:hAnsi="宋体" w:eastAsia="宋体" w:cs="宋体"/>
          <w:color w:val="000000"/>
          <w:sz w:val="24"/>
          <w:szCs w:val="24"/>
          <w:highlight w:val="none"/>
        </w:rPr>
      </w:r>
      <w:r/>
    </w:p>
    <w:p>
      <w:pPr>
        <w:pStyle w:val="1038"/>
        <w:contextualSpacing/>
        <w:ind w:left="720" w:hanging="80"/>
        <w:jc w:val="left"/>
        <w:spacing w:before="100" w:after="100" w:line="480" w:lineRule="exact"/>
        <w:widowControl/>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1.设备名称、型号规格、数量及服务内容。</w:t>
      </w:r>
      <w:r>
        <w:rPr>
          <w:rFonts w:hint="eastAsia" w:ascii="宋体" w:hAnsi="宋体" w:eastAsia="宋体" w:cs="宋体"/>
          <w:color w:val="000000"/>
          <w:sz w:val="24"/>
          <w:szCs w:val="24"/>
          <w:highlight w:val="none"/>
        </w:rPr>
      </w:r>
      <w:r/>
    </w:p>
    <w:tbl>
      <w:tblPr>
        <w:tblW w:w="474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5"/>
        <w:gridCol w:w="2513"/>
        <w:gridCol w:w="1239"/>
        <w:gridCol w:w="938"/>
        <w:gridCol w:w="953"/>
        <w:gridCol w:w="1566"/>
        <w:gridCol w:w="1390"/>
      </w:tblGrid>
      <w:tr>
        <w:trPr>
          <w:trHeight w:val="19"/>
        </w:trPr>
        <w:tc>
          <w:tcPr>
            <w:tcW w:w="452" w:type="dxa"/>
            <w:vAlign w:val="center"/>
            <w:textDirection w:val="lrTb"/>
            <w:noWrap w:val="false"/>
          </w:tcPr>
          <w:p>
            <w:pPr>
              <w:pStyle w:val="1038"/>
              <w:jc w:val="center"/>
              <w:spacing w:before="0" w:after="0"/>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329" w:type="dxa"/>
            <w:vAlign w:val="center"/>
            <w:textDirection w:val="lrTb"/>
            <w:noWrap w:val="false"/>
          </w:tcPr>
          <w:p>
            <w:pPr>
              <w:pStyle w:val="1038"/>
              <w:jc w:val="center"/>
              <w:spacing w:before="0" w:after="0"/>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产品名称</w:t>
            </w:r>
            <w:r>
              <w:rPr>
                <w:rFonts w:hint="eastAsia" w:ascii="宋体" w:hAnsi="宋体" w:eastAsia="宋体" w:cs="宋体"/>
                <w:color w:val="000000"/>
                <w:sz w:val="24"/>
                <w:szCs w:val="24"/>
                <w:highlight w:val="none"/>
              </w:rPr>
            </w:r>
            <w:r/>
          </w:p>
        </w:tc>
        <w:tc>
          <w:tcPr>
            <w:tcW w:w="655" w:type="dxa"/>
            <w:vAlign w:val="center"/>
            <w:textDirection w:val="lrTb"/>
            <w:noWrap w:val="false"/>
          </w:tcPr>
          <w:p>
            <w:pPr>
              <w:pStyle w:val="1038"/>
              <w:jc w:val="center"/>
              <w:spacing w:before="0" w:after="0"/>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型号</w:t>
            </w:r>
            <w:r>
              <w:rPr>
                <w:rFonts w:hint="eastAsia" w:ascii="宋体" w:hAnsi="宋体" w:eastAsia="宋体" w:cs="宋体"/>
                <w:color w:val="000000"/>
                <w:sz w:val="24"/>
                <w:szCs w:val="24"/>
                <w:highlight w:val="none"/>
              </w:rPr>
            </w:r>
            <w:r/>
          </w:p>
        </w:tc>
        <w:tc>
          <w:tcPr>
            <w:tcW w:w="494" w:type="dxa"/>
            <w:vAlign w:val="center"/>
            <w:textDirection w:val="lrTb"/>
            <w:noWrap w:val="false"/>
          </w:tcPr>
          <w:p>
            <w:pPr>
              <w:pStyle w:val="1038"/>
              <w:jc w:val="center"/>
              <w:spacing w:before="0" w:after="0"/>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w:t>
            </w:r>
            <w:r>
              <w:rPr>
                <w:rFonts w:hint="eastAsia" w:ascii="宋体" w:hAnsi="宋体" w:eastAsia="宋体" w:cs="宋体"/>
                <w:color w:val="000000"/>
                <w:sz w:val="24"/>
                <w:szCs w:val="24"/>
                <w:highlight w:val="none"/>
              </w:rPr>
            </w:r>
            <w:r/>
          </w:p>
        </w:tc>
        <w:tc>
          <w:tcPr>
            <w:tcW w:w="504" w:type="dxa"/>
            <w:vAlign w:val="center"/>
            <w:textDirection w:val="lrTb"/>
            <w:noWrap w:val="false"/>
          </w:tcPr>
          <w:p>
            <w:pPr>
              <w:pStyle w:val="1038"/>
              <w:jc w:val="center"/>
              <w:spacing w:before="0" w:after="0"/>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rPr>
                <w:rFonts w:hint="eastAsia" w:ascii="宋体" w:hAnsi="宋体" w:eastAsia="宋体" w:cs="宋体"/>
                <w:color w:val="000000"/>
                <w:sz w:val="24"/>
                <w:szCs w:val="24"/>
                <w:highlight w:val="none"/>
              </w:rPr>
            </w:r>
            <w:r/>
          </w:p>
        </w:tc>
        <w:tc>
          <w:tcPr>
            <w:tcW w:w="828" w:type="dxa"/>
            <w:vAlign w:val="center"/>
            <w:textDirection w:val="lrTb"/>
            <w:noWrap w:val="false"/>
          </w:tcPr>
          <w:p>
            <w:pPr>
              <w:pStyle w:val="1038"/>
              <w:jc w:val="center"/>
              <w:spacing w:before="0" w:after="0"/>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单价（元）</w:t>
            </w:r>
            <w:r>
              <w:rPr>
                <w:rFonts w:hint="eastAsia" w:ascii="宋体" w:hAnsi="宋体" w:eastAsia="宋体" w:cs="宋体"/>
                <w:color w:val="000000"/>
                <w:sz w:val="24"/>
                <w:szCs w:val="24"/>
                <w:highlight w:val="none"/>
              </w:rPr>
            </w:r>
            <w:r/>
          </w:p>
        </w:tc>
        <w:tc>
          <w:tcPr>
            <w:tcW w:w="735" w:type="dxa"/>
            <w:vAlign w:val="center"/>
            <w:textDirection w:val="lrTb"/>
            <w:noWrap w:val="false"/>
          </w:tcPr>
          <w:p>
            <w:pPr>
              <w:pStyle w:val="1038"/>
              <w:jc w:val="center"/>
              <w:spacing w:before="0" w:after="0"/>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总价（元）</w:t>
            </w:r>
            <w:r>
              <w:rPr>
                <w:rFonts w:hint="eastAsia" w:ascii="宋体" w:hAnsi="宋体" w:eastAsia="宋体" w:cs="宋体"/>
                <w:color w:val="000000"/>
                <w:sz w:val="24"/>
                <w:szCs w:val="24"/>
                <w:highlight w:val="none"/>
              </w:rPr>
            </w:r>
            <w:r/>
          </w:p>
        </w:tc>
      </w:tr>
      <w:tr>
        <w:trPr>
          <w:trHeight w:val="19"/>
        </w:trPr>
        <w:tc>
          <w:tcPr>
            <w:tcW w:w="452" w:type="dxa"/>
            <w:vAlign w:val="center"/>
            <w:textDirection w:val="lrTb"/>
            <w:noWrap w:val="false"/>
          </w:tcPr>
          <w:p>
            <w:pPr>
              <w:pStyle w:val="1038"/>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29" w:type="dxa"/>
            <w:vAlign w:val="center"/>
            <w:textDirection w:val="lrTb"/>
            <w:noWrap w:val="false"/>
          </w:tcPr>
          <w:p>
            <w:pPr>
              <w:pStyle w:val="1038"/>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55" w:type="dxa"/>
            <w:vAlign w:val="center"/>
            <w:textDirection w:val="lrTb"/>
            <w:noWrap w:val="false"/>
          </w:tcPr>
          <w:p>
            <w:pPr>
              <w:pStyle w:val="1038"/>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94" w:type="dxa"/>
            <w:vAlign w:val="center"/>
            <w:textDirection w:val="lrTb"/>
            <w:noWrap w:val="false"/>
          </w:tcPr>
          <w:p>
            <w:pPr>
              <w:pStyle w:val="1038"/>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04" w:type="dxa"/>
            <w:vAlign w:val="center"/>
            <w:textDirection w:val="lrTb"/>
            <w:noWrap w:val="false"/>
          </w:tcPr>
          <w:p>
            <w:pPr>
              <w:pStyle w:val="1038"/>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28" w:type="dxa"/>
            <w:vAlign w:val="center"/>
            <w:textDirection w:val="lrTb"/>
            <w:noWrap w:val="false"/>
          </w:tcPr>
          <w:p>
            <w:pPr>
              <w:pStyle w:val="1038"/>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5" w:type="dxa"/>
            <w:vAlign w:val="center"/>
            <w:textDirection w:val="lrTb"/>
            <w:noWrap w:val="false"/>
          </w:tcPr>
          <w:p>
            <w:pPr>
              <w:pStyle w:val="1038"/>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9"/>
        </w:trPr>
        <w:tc>
          <w:tcPr>
            <w:tcW w:w="452" w:type="dxa"/>
            <w:vAlign w:val="center"/>
            <w:textDirection w:val="lrTb"/>
            <w:noWrap w:val="false"/>
          </w:tcPr>
          <w:p>
            <w:pPr>
              <w:pStyle w:val="1038"/>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29" w:type="dxa"/>
            <w:vAlign w:val="center"/>
            <w:textDirection w:val="lrTb"/>
            <w:noWrap w:val="false"/>
          </w:tcPr>
          <w:p>
            <w:pPr>
              <w:pStyle w:val="1038"/>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55" w:type="dxa"/>
            <w:vAlign w:val="center"/>
            <w:textDirection w:val="lrTb"/>
            <w:noWrap w:val="false"/>
          </w:tcPr>
          <w:p>
            <w:pPr>
              <w:pStyle w:val="1038"/>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94" w:type="dxa"/>
            <w:vAlign w:val="center"/>
            <w:textDirection w:val="lrTb"/>
            <w:noWrap w:val="false"/>
          </w:tcPr>
          <w:p>
            <w:pPr>
              <w:pStyle w:val="1038"/>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04" w:type="dxa"/>
            <w:vAlign w:val="center"/>
            <w:textDirection w:val="lrTb"/>
            <w:noWrap w:val="false"/>
          </w:tcPr>
          <w:p>
            <w:pPr>
              <w:pStyle w:val="1038"/>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28" w:type="dxa"/>
            <w:vAlign w:val="center"/>
            <w:textDirection w:val="lrTb"/>
            <w:noWrap w:val="false"/>
          </w:tcPr>
          <w:p>
            <w:pPr>
              <w:pStyle w:val="1038"/>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5" w:type="dxa"/>
            <w:vAlign w:val="center"/>
            <w:textDirection w:val="lrTb"/>
            <w:noWrap w:val="false"/>
          </w:tcPr>
          <w:p>
            <w:pPr>
              <w:pStyle w:val="1038"/>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9"/>
        </w:trPr>
        <w:tc>
          <w:tcPr>
            <w:gridSpan w:val="4"/>
            <w:tcW w:w="5545" w:type="dxa"/>
            <w:vAlign w:val="center"/>
            <w:textDirection w:val="lrTb"/>
            <w:noWrap w:val="false"/>
          </w:tcPr>
          <w:p>
            <w:pPr>
              <w:pStyle w:val="1038"/>
              <w:ind w:firstLine="422"/>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合计（元）</w:t>
            </w:r>
            <w:r>
              <w:rPr>
                <w:rFonts w:hint="eastAsia" w:ascii="宋体" w:hAnsi="宋体" w:eastAsia="宋体" w:cs="宋体"/>
                <w:color w:val="000000"/>
                <w:sz w:val="24"/>
                <w:szCs w:val="24"/>
                <w:highlight w:val="none"/>
              </w:rPr>
            </w:r>
            <w:r/>
          </w:p>
        </w:tc>
        <w:tc>
          <w:tcPr>
            <w:gridSpan w:val="3"/>
            <w:tcW w:w="3909" w:type="dxa"/>
            <w:vAlign w:val="center"/>
            <w:textDirection w:val="lrTb"/>
            <w:noWrap w:val="false"/>
          </w:tcPr>
          <w:p>
            <w:pPr>
              <w:pStyle w:val="1038"/>
              <w:ind w:firstLine="422"/>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w:t>
            </w:r>
            <w:r>
              <w:rPr>
                <w:rFonts w:hint="eastAsia" w:ascii="宋体" w:hAnsi="宋体" w:eastAsia="宋体" w:cs="宋体"/>
                <w:color w:val="000000"/>
                <w:sz w:val="24"/>
                <w:szCs w:val="24"/>
                <w:highlight w:val="none"/>
              </w:rPr>
            </w:r>
            <w:r/>
          </w:p>
        </w:tc>
      </w:tr>
    </w:tbl>
    <w:p>
      <w:pPr>
        <w:pStyle w:val="1038"/>
        <w:ind w:left="108" w:firstLine="480"/>
        <w:jc w:val="left"/>
        <w:spacing w:line="480" w:lineRule="exact"/>
        <w:tabs>
          <w:tab w:val="left" w:pos="4785" w:leader="none"/>
        </w:tabs>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2.合同总价（大写）：</w:t>
      </w:r>
      <w:r>
        <w:rPr>
          <w:rFonts w:hint="eastAsia" w:ascii="宋体" w:hAnsi="宋体" w:eastAsia="宋体" w:cs="宋体"/>
          <w:b/>
          <w:bCs/>
          <w:color w:val="000000"/>
          <w:sz w:val="24"/>
          <w:szCs w:val="24"/>
          <w:highlight w:val="none"/>
          <w:u w:val="single"/>
        </w:rPr>
        <w:t xml:space="preserve">人民币           </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（含税）</w:t>
      </w:r>
      <w:r>
        <w:rPr>
          <w:rFonts w:hint="eastAsia" w:ascii="宋体" w:hAnsi="宋体" w:eastAsia="宋体" w:cs="宋体"/>
          <w:bCs/>
          <w:color w:val="000000"/>
          <w:sz w:val="24"/>
          <w:szCs w:val="24"/>
          <w:highlight w:val="none"/>
        </w:rPr>
      </w:r>
      <w:r/>
    </w:p>
    <w:p>
      <w:pPr>
        <w:pStyle w:val="1038"/>
        <w:ind w:left="108" w:firstLine="1680"/>
        <w:jc w:val="left"/>
        <w:spacing w:line="480" w:lineRule="exact"/>
        <w:tabs>
          <w:tab w:val="left" w:pos="478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（小写）：</w:t>
      </w:r>
      <w:r>
        <w:rPr>
          <w:rFonts w:hint="eastAsia" w:ascii="宋体" w:hAnsi="宋体" w:eastAsia="宋体" w:cs="宋体"/>
          <w:b/>
          <w:bCs/>
          <w:color w:val="000000"/>
          <w:sz w:val="24"/>
          <w:szCs w:val="24"/>
          <w:highlight w:val="none"/>
          <w:u w:val="single"/>
        </w:rPr>
        <w:t xml:space="preserve">￥            元。</w:t>
      </w:r>
      <w:r>
        <w:rPr>
          <w:rFonts w:hint="eastAsia" w:ascii="宋体" w:hAnsi="宋体" w:eastAsia="宋体" w:cs="宋体"/>
          <w:bCs/>
          <w:color w:val="000000"/>
          <w:sz w:val="24"/>
          <w:szCs w:val="24"/>
          <w:highlight w:val="none"/>
        </w:rPr>
      </w:r>
      <w:r/>
    </w:p>
    <w:p>
      <w:pPr>
        <w:pStyle w:val="1038"/>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w:t>
      </w:r>
      <w:r>
        <w:rPr>
          <w:rFonts w:hint="eastAsia" w:ascii="宋体" w:hAnsi="宋体" w:eastAsia="宋体" w:cs="宋体"/>
          <w:bCs/>
          <w:color w:val="000000"/>
          <w:sz w:val="24"/>
          <w:szCs w:val="24"/>
          <w:highlight w:val="none"/>
        </w:rPr>
        <w:t xml:space="preserve">投标报价，应包括本次招标范围内全部设备、材料、随设备提供的备品配件及专用工具的价格、全部税费、包装费、运杂费（运抵买方项目现场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保险费、安装费、调试费、买方操作维护人员培训费、验收检定费（取得法定计量检定机构有效溯源证书并证明合格）及投标人认为需要的其他费用等。发现漏项、缺项，供应方应无条件无偿补齐，必须保证各系统正常运行，所发生的一切费用，视为已包含在投标人投标报价中，且并不因此而影响交付使用时间</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8"/>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在安装、调试、验收过程中，如发现有漏项、缺件，卖方应无条件、无偿补齐，所发生的一切费用，视为已包含在卖方投标时的投标报价之中，且并不因此而影响交付买方使用的时间。</w:t>
      </w:r>
      <w:r>
        <w:rPr>
          <w:rFonts w:hint="eastAsia" w:ascii="宋体" w:hAnsi="宋体" w:eastAsia="宋体" w:cs="宋体"/>
          <w:color w:val="000000"/>
          <w:sz w:val="24"/>
          <w:szCs w:val="24"/>
          <w:highlight w:val="none"/>
        </w:rPr>
      </w:r>
      <w:r/>
    </w:p>
    <w:p>
      <w:pPr>
        <w:pStyle w:val="1038"/>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交付使用时间：</w:t>
      </w:r>
      <w:r>
        <w:rPr>
          <w:rFonts w:hint="eastAsia" w:ascii="宋体" w:hAnsi="宋体" w:eastAsia="宋体" w:cs="宋体"/>
          <w:color w:val="000000"/>
          <w:sz w:val="24"/>
          <w:szCs w:val="24"/>
          <w:highlight w:val="none"/>
          <w:u w:val="single"/>
        </w:rPr>
        <w:t xml:space="preserve">详见投标文件。</w:t>
      </w:r>
      <w:r>
        <w:rPr>
          <w:rFonts w:hint="eastAsia" w:ascii="宋体" w:hAnsi="宋体" w:eastAsia="宋体" w:cs="宋体"/>
          <w:color w:val="000000"/>
          <w:sz w:val="24"/>
          <w:szCs w:val="24"/>
          <w:highlight w:val="none"/>
        </w:rPr>
      </w:r>
      <w:r/>
    </w:p>
    <w:p>
      <w:pPr>
        <w:pStyle w:val="1038"/>
        <w:ind w:firstLine="60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收货人：</w:t>
      </w:r>
      <w:r>
        <w:rPr>
          <w:rFonts w:hint="eastAsia" w:ascii="宋体" w:hAnsi="宋体" w:eastAsia="宋体" w:cs="宋体"/>
          <w:b/>
          <w:color w:val="000000"/>
          <w:sz w:val="24"/>
          <w:szCs w:val="24"/>
          <w:highlight w:val="none"/>
          <w:u w:val="single"/>
        </w:rPr>
        <w:t xml:space="preserve">江苏省计量科学研究院（江苏省能源计量数据中心）</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r>
      <w:r/>
    </w:p>
    <w:p>
      <w:pPr>
        <w:pStyle w:val="1038"/>
        <w:ind w:firstLine="600"/>
        <w:spacing w:line="480" w:lineRule="exact"/>
        <w:tabs>
          <w:tab w:val="left" w:pos="-235" w:leader="none"/>
        </w:tabs>
        <w:rPr>
          <w:rFonts w:hint="eastAsia" w:ascii="宋体" w:hAnsi="宋体" w:eastAsia="宋体" w:cs="宋体"/>
          <w:b/>
          <w:color w:val="000000"/>
          <w:sz w:val="24"/>
          <w:szCs w:val="24"/>
          <w:highlight w:val="none"/>
          <w:u w:val="single"/>
        </w:rPr>
      </w:pPr>
      <w:r>
        <w:rPr>
          <w:rFonts w:hint="eastAsia" w:ascii="宋体" w:hAnsi="宋体" w:eastAsia="宋体" w:cs="宋体"/>
          <w:color w:val="000000"/>
          <w:sz w:val="24"/>
          <w:szCs w:val="24"/>
          <w:highlight w:val="none"/>
        </w:rPr>
        <w:t xml:space="preserve">5. 交货地点：</w:t>
      </w:r>
      <w:r>
        <w:rPr>
          <w:rFonts w:hint="eastAsia" w:ascii="宋体" w:hAnsi="宋体" w:eastAsia="宋体" w:cs="宋体"/>
          <w:b/>
          <w:color w:val="000000"/>
          <w:sz w:val="24"/>
          <w:szCs w:val="24"/>
          <w:highlight w:val="none"/>
          <w:u w:val="single"/>
        </w:rPr>
        <w:t xml:space="preserve">买方指定地点。</w:t>
      </w:r>
      <w:r>
        <w:rPr>
          <w:rFonts w:hint="eastAsia" w:ascii="宋体" w:hAnsi="宋体" w:eastAsia="宋体" w:cs="宋体"/>
          <w:b/>
          <w:color w:val="000000"/>
          <w:sz w:val="24"/>
          <w:szCs w:val="24"/>
          <w:highlight w:val="none"/>
          <w:u w:val="single"/>
        </w:rPr>
      </w:r>
      <w:r/>
    </w:p>
    <w:p>
      <w:pPr>
        <w:pStyle w:val="1038"/>
        <w:ind w:firstLine="600"/>
        <w:spacing w:line="480" w:lineRule="exact"/>
        <w:tabs>
          <w:tab w:val="left" w:pos="-235"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6. 设备的制造应符合下列标准或规范并据此验收：</w:t>
      </w:r>
      <w:r>
        <w:rPr>
          <w:rFonts w:hint="eastAsia" w:ascii="宋体" w:hAnsi="宋体" w:eastAsia="宋体" w:cs="宋体"/>
          <w:b/>
          <w:color w:val="000000"/>
          <w:sz w:val="24"/>
          <w:szCs w:val="24"/>
          <w:highlight w:val="none"/>
          <w:u w:val="single"/>
        </w:rPr>
        <w:t xml:space="preserve">招标文件、投标文件、双方签订的技术协议和国家的相关标准。</w:t>
      </w:r>
      <w:r>
        <w:rPr>
          <w:rFonts w:hint="eastAsia" w:ascii="宋体" w:hAnsi="宋体" w:eastAsia="宋体" w:cs="宋体"/>
          <w:color w:val="000000"/>
          <w:sz w:val="24"/>
          <w:szCs w:val="24"/>
          <w:highlight w:val="none"/>
          <w:u w:val="single"/>
        </w:rPr>
      </w:r>
      <w:r/>
    </w:p>
    <w:p>
      <w:pPr>
        <w:pStyle w:val="1038"/>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 包装要求：全部货物的外包装，必须采用防漏、防潮、防震、防锈、防盗和考虑到可能会发生的野蛮装卸等长途内陆运输及多次装卸之需要。</w:t>
      </w:r>
      <w:r>
        <w:rPr>
          <w:rFonts w:hint="eastAsia" w:ascii="宋体" w:hAnsi="宋体" w:eastAsia="宋体" w:cs="宋体"/>
          <w:color w:val="000000"/>
          <w:sz w:val="24"/>
          <w:szCs w:val="24"/>
          <w:highlight w:val="none"/>
        </w:rPr>
      </w:r>
      <w:r/>
    </w:p>
    <w:p>
      <w:pPr>
        <w:pStyle w:val="1038"/>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 买方付款方式及期限：</w:t>
      </w:r>
      <w:r>
        <w:rPr>
          <w:rFonts w:hint="eastAsia" w:ascii="宋体" w:hAnsi="宋体" w:eastAsia="宋体" w:cs="宋体"/>
          <w:color w:val="000000"/>
          <w:sz w:val="24"/>
          <w:szCs w:val="24"/>
          <w:highlight w:val="none"/>
        </w:rPr>
      </w:r>
      <w:r/>
    </w:p>
    <w:p>
      <w:pPr>
        <w:pStyle w:val="1038"/>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合同签订生效后一个月内，买方向卖方预付合同总价30%的货款；设备、材料全部运抵交货地点，并安装结束，调试完毕，验收合格后，买方向卖方支付合同总价60%的货款。设备验收合格后稳定运行</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年后，相关稳定性指标满足要求,买方向卖方支付合同总价10%的货款。</w:t>
      </w:r>
      <w:r>
        <w:rPr>
          <w:rFonts w:hint="eastAsia" w:ascii="宋体" w:hAnsi="宋体" w:eastAsia="宋体" w:cs="宋体"/>
          <w:color w:val="000000"/>
          <w:sz w:val="24"/>
          <w:szCs w:val="24"/>
          <w:highlight w:val="none"/>
        </w:rPr>
      </w:r>
      <w:r/>
    </w:p>
    <w:p>
      <w:pPr>
        <w:pStyle w:val="1038"/>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bidi="ar"/>
        </w:rPr>
        <w:t xml:space="preserve">卖方应在收到买方通知后开具合法有效发票，买方收到发票后支付相应款项。若因发票瑕疵导致付款延误，责任由卖方承担。</w:t>
      </w:r>
      <w:r>
        <w:rPr>
          <w:rFonts w:hint="eastAsia" w:ascii="宋体" w:hAnsi="宋体" w:eastAsia="宋体" w:cs="宋体"/>
          <w:color w:val="000000"/>
          <w:sz w:val="24"/>
          <w:szCs w:val="24"/>
          <w:highlight w:val="none"/>
        </w:rPr>
        <w:t xml:space="preserve">若产品存在质量问题，则不受该付款条件约束，应按照本合同条款其他要求以及</w:t>
      </w:r>
      <w:r>
        <w:rPr>
          <w:rFonts w:hint="eastAsia" w:ascii="宋体" w:hAnsi="宋体" w:eastAsia="宋体" w:cs="宋体"/>
          <w:color w:val="000000"/>
          <w:sz w:val="24"/>
          <w:szCs w:val="24"/>
          <w:highlight w:val="none"/>
        </w:rPr>
        <w:t xml:space="preserve">民法典</w:t>
      </w:r>
      <w:r>
        <w:rPr>
          <w:rFonts w:hint="eastAsia" w:ascii="宋体" w:hAnsi="宋体" w:eastAsia="宋体" w:cs="宋体"/>
          <w:color w:val="000000"/>
          <w:sz w:val="24"/>
          <w:szCs w:val="24"/>
          <w:highlight w:val="none"/>
        </w:rPr>
        <w:t xml:space="preserve">有关规定执行。</w:t>
      </w:r>
      <w:r>
        <w:rPr>
          <w:rFonts w:hint="eastAsia" w:ascii="宋体" w:hAnsi="宋体" w:eastAsia="宋体" w:cs="宋体"/>
          <w:color w:val="000000"/>
          <w:sz w:val="24"/>
          <w:szCs w:val="24"/>
          <w:highlight w:val="none"/>
        </w:rPr>
      </w:r>
      <w:r/>
    </w:p>
    <w:p>
      <w:pPr>
        <w:pStyle w:val="1038"/>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 验收</w:t>
      </w:r>
      <w:r>
        <w:rPr>
          <w:rFonts w:hint="eastAsia" w:ascii="宋体" w:hAnsi="宋体" w:eastAsia="宋体" w:cs="宋体"/>
          <w:color w:val="000000"/>
          <w:sz w:val="24"/>
          <w:szCs w:val="24"/>
          <w:highlight w:val="none"/>
        </w:rPr>
      </w:r>
      <w:r/>
    </w:p>
    <w:p>
      <w:pPr>
        <w:pStyle w:val="1038"/>
        <w:ind w:left="8" w:firstLine="650"/>
        <w:jc w:val="left"/>
        <w:spacing w:line="480" w:lineRule="exact"/>
        <w:tabs>
          <w:tab w:val="left" w:pos="4785" w:leader="none"/>
        </w:tabs>
        <w:rPr>
          <w:rFonts w:hint="eastAsia" w:ascii="宋体" w:hAnsi="宋体" w:eastAsia="宋体" w:cs="宋体"/>
          <w:b/>
          <w:color w:val="000000"/>
          <w:sz w:val="24"/>
          <w:szCs w:val="24"/>
          <w:highlight w:val="none"/>
          <w:u w:val="single"/>
        </w:rPr>
      </w:pPr>
      <w:r>
        <w:rPr>
          <w:rFonts w:hint="eastAsia" w:ascii="宋体" w:hAnsi="宋体" w:eastAsia="宋体" w:cs="宋体"/>
          <w:color w:val="000000"/>
          <w:sz w:val="24"/>
          <w:szCs w:val="24"/>
          <w:highlight w:val="none"/>
        </w:rPr>
        <w:t xml:space="preserve">验收标准及方式：符合招标文件、投标文件、双方签订的技术协议、国家的相关标准和规范；经采购人项目负责人确认是否达到验收标准，若符合验收标准则验收合格。</w:t>
      </w:r>
      <w:r>
        <w:rPr>
          <w:rFonts w:hint="eastAsia" w:ascii="宋体" w:hAnsi="宋体" w:eastAsia="宋体" w:cs="宋体"/>
          <w:b/>
          <w:color w:val="000000"/>
          <w:sz w:val="24"/>
          <w:szCs w:val="24"/>
          <w:highlight w:val="none"/>
          <w:u w:val="single"/>
        </w:rPr>
      </w:r>
      <w:r/>
    </w:p>
    <w:p>
      <w:pPr>
        <w:pStyle w:val="1038"/>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 质保期及售后服务</w:t>
      </w:r>
      <w:r>
        <w:rPr>
          <w:rFonts w:hint="eastAsia" w:ascii="宋体" w:hAnsi="宋体" w:eastAsia="宋体" w:cs="宋体"/>
          <w:color w:val="000000"/>
          <w:sz w:val="24"/>
          <w:szCs w:val="24"/>
          <w:highlight w:val="none"/>
        </w:rPr>
      </w:r>
      <w:r/>
    </w:p>
    <w:p>
      <w:pPr>
        <w:pStyle w:val="1038"/>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 卖方所供设备、材料及安装的质量保证期：</w:t>
      </w:r>
      <w:r>
        <w:rPr>
          <w:rFonts w:hint="eastAsia" w:ascii="宋体" w:hAnsi="宋体" w:eastAsia="宋体" w:cs="宋体"/>
          <w:color w:val="000000"/>
          <w:sz w:val="24"/>
          <w:szCs w:val="24"/>
          <w:highlight w:val="none"/>
          <w:u w:val="single"/>
        </w:rPr>
        <w:t xml:space="preserve">详见投标文件要求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8"/>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 在质保期内，因卖方所供设备、材料制造质量或安装问题出现设备故障时，卖方在接买方通知后，24小时内响应，并设备厂家工程师三个工作日内赶到买方现场，免费予以排除故障、修复，无法修复应更换所供设备。卖方还应支付因更换所发生的运输、保险、安装、检测等有关的全部费用。</w:t>
      </w:r>
      <w:r>
        <w:rPr>
          <w:rFonts w:hint="eastAsia" w:ascii="宋体" w:hAnsi="宋体" w:eastAsia="宋体" w:cs="宋体"/>
          <w:color w:val="000000"/>
          <w:sz w:val="24"/>
          <w:szCs w:val="24"/>
          <w:highlight w:val="none"/>
        </w:rPr>
      </w:r>
      <w:r/>
    </w:p>
    <w:p>
      <w:pPr>
        <w:pStyle w:val="1038"/>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10.3 在质保期内，因买方使用不当原因出现设备故障时，卖方在接买方通知后，设备厂家工程师应在10.2条款中所述的时限内赶到买方现场，帮助排除故障、修复或更换零部件，需购买零部件时，仅收取成本费。</w:t>
      </w:r>
      <w:r>
        <w:rPr>
          <w:rFonts w:hint="eastAsia" w:ascii="宋体" w:hAnsi="宋体" w:eastAsia="宋体" w:cs="宋体"/>
          <w:color w:val="000000"/>
          <w:sz w:val="24"/>
          <w:szCs w:val="24"/>
          <w:highlight w:val="none"/>
        </w:rPr>
      </w:r>
      <w:r/>
    </w:p>
    <w:p>
      <w:pPr>
        <w:pStyle w:val="1038"/>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10.4 质保期满后，如设备出现故障，设备厂家在接买方通知后，设备厂家工程师仍应在上述时间内响应、派人赶到买方现场，帮助排除故障、修复或更换零部件，需购买零部件时，酌情收取成本费。</w:t>
      </w:r>
      <w:r>
        <w:rPr>
          <w:rFonts w:hint="eastAsia" w:ascii="宋体" w:hAnsi="宋体" w:eastAsia="宋体" w:cs="宋体"/>
          <w:color w:val="000000"/>
          <w:sz w:val="24"/>
          <w:szCs w:val="24"/>
          <w:highlight w:val="none"/>
        </w:rPr>
      </w:r>
      <w:r/>
    </w:p>
    <w:p>
      <w:pPr>
        <w:pStyle w:val="1038"/>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技术资料</w:t>
      </w:r>
      <w:r>
        <w:rPr>
          <w:rFonts w:hint="eastAsia" w:ascii="宋体" w:hAnsi="宋体" w:eastAsia="宋体" w:cs="宋体"/>
          <w:color w:val="000000"/>
          <w:sz w:val="24"/>
          <w:szCs w:val="24"/>
          <w:highlight w:val="none"/>
        </w:rPr>
      </w:r>
      <w:r/>
    </w:p>
    <w:p>
      <w:pPr>
        <w:pStyle w:val="1038"/>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按投标文件技术规格、参数及其他要求中的要求提供相关资料（见附件）。</w:t>
      </w:r>
      <w:r>
        <w:rPr>
          <w:rFonts w:hint="eastAsia" w:ascii="宋体" w:hAnsi="宋体" w:eastAsia="宋体" w:cs="宋体"/>
          <w:color w:val="000000"/>
          <w:sz w:val="24"/>
          <w:szCs w:val="24"/>
          <w:highlight w:val="none"/>
        </w:rPr>
      </w:r>
      <w:r/>
    </w:p>
    <w:p>
      <w:pPr>
        <w:pStyle w:val="1038"/>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12.货物风险承担</w:t>
      </w:r>
      <w:r>
        <w:rPr>
          <w:rFonts w:hint="eastAsia" w:ascii="宋体" w:hAnsi="宋体" w:eastAsia="宋体" w:cs="宋体"/>
          <w:color w:val="000000"/>
          <w:sz w:val="24"/>
          <w:szCs w:val="24"/>
          <w:highlight w:val="none"/>
        </w:rPr>
      </w:r>
      <w:r/>
    </w:p>
    <w:p>
      <w:pPr>
        <w:pStyle w:val="1038"/>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12.1卖方应当按照买方指定的地点交货，需要运输的货物，卖方应当妥善保障货物在运输过程中的安全。</w:t>
      </w:r>
      <w:r>
        <w:rPr>
          <w:rFonts w:hint="eastAsia" w:ascii="宋体" w:hAnsi="宋体" w:eastAsia="宋体" w:cs="宋体"/>
          <w:color w:val="000000"/>
          <w:sz w:val="24"/>
          <w:szCs w:val="24"/>
          <w:highlight w:val="none"/>
        </w:rPr>
      </w:r>
      <w:r/>
    </w:p>
    <w:p>
      <w:pPr>
        <w:pStyle w:val="1038"/>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12.2卖方将货物运输至买方指定的地点后，应当及时通知买方进行接收，由买方进行检验。</w:t>
      </w:r>
      <w:r>
        <w:rPr>
          <w:rFonts w:hint="eastAsia" w:ascii="宋体" w:hAnsi="宋体" w:eastAsia="宋体" w:cs="宋体"/>
          <w:color w:val="000000"/>
          <w:sz w:val="24"/>
          <w:szCs w:val="24"/>
          <w:highlight w:val="none"/>
        </w:rPr>
      </w:r>
      <w:r/>
    </w:p>
    <w:p>
      <w:pPr>
        <w:pStyle w:val="1038"/>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12.3在货物验收合格之前毁损、灭失的风险由卖方承担，因买方原因造成货物毁损、灭失的除外。</w:t>
      </w:r>
      <w:r>
        <w:rPr>
          <w:rFonts w:hint="eastAsia" w:ascii="宋体" w:hAnsi="宋体" w:eastAsia="宋体" w:cs="宋体"/>
          <w:color w:val="000000"/>
          <w:sz w:val="24"/>
          <w:szCs w:val="24"/>
          <w:highlight w:val="none"/>
        </w:rPr>
      </w:r>
      <w:r/>
    </w:p>
    <w:p>
      <w:pPr>
        <w:pStyle w:val="1038"/>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 卖方的违约责任</w:t>
      </w:r>
      <w:r>
        <w:rPr>
          <w:rFonts w:hint="eastAsia" w:ascii="宋体" w:hAnsi="宋体" w:eastAsia="宋体" w:cs="宋体"/>
          <w:color w:val="000000"/>
          <w:sz w:val="24"/>
          <w:szCs w:val="24"/>
          <w:highlight w:val="none"/>
        </w:rPr>
      </w:r>
      <w:r/>
    </w:p>
    <w:p>
      <w:pPr>
        <w:pStyle w:val="1038"/>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13.1卖方未按合同规定的质量要求交货，买方有权拒收，由此造成的直接损失和间接损失由卖方赔偿。</w:t>
      </w:r>
      <w:r>
        <w:rPr>
          <w:rFonts w:hint="eastAsia" w:ascii="宋体" w:hAnsi="宋体" w:eastAsia="宋体" w:cs="宋体"/>
          <w:color w:val="000000"/>
          <w:sz w:val="24"/>
          <w:szCs w:val="24"/>
          <w:highlight w:val="none"/>
        </w:rPr>
      </w:r>
      <w:r/>
    </w:p>
    <w:p>
      <w:pPr>
        <w:pStyle w:val="1038"/>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13.2卖方逾期交付（包括整修、返工、补交或由买方提出更改、卖方承诺，但未在承诺的工期内完成等）应向买方偿付违约金，每逾期1天，按合同总价的万分之五支付违约金。</w:t>
      </w:r>
      <w:r>
        <w:rPr>
          <w:rFonts w:hint="eastAsia" w:ascii="宋体" w:hAnsi="宋体" w:eastAsia="宋体" w:cs="宋体"/>
          <w:color w:val="000000"/>
          <w:sz w:val="24"/>
          <w:szCs w:val="24"/>
          <w:highlight w:val="none"/>
        </w:rPr>
      </w:r>
      <w:r/>
    </w:p>
    <w:p>
      <w:pPr>
        <w:pStyle w:val="1038"/>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13.3货物有合格证及说明书等资料的，在交付货物时，卖方应当一并交付合格证及说明书等资料，未交付的买方有权拒绝接收。因此造成的损失由卖方承担。</w:t>
      </w:r>
      <w:r>
        <w:rPr>
          <w:rFonts w:hint="eastAsia" w:ascii="宋体" w:hAnsi="宋体" w:eastAsia="宋体" w:cs="宋体"/>
          <w:color w:val="000000"/>
          <w:sz w:val="24"/>
          <w:szCs w:val="24"/>
          <w:highlight w:val="none"/>
        </w:rPr>
      </w:r>
      <w:r/>
    </w:p>
    <w:p>
      <w:pPr>
        <w:pStyle w:val="1038"/>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13.4卖方不能交付或不能完成合同，买方有权解除本合同并要求卖方双倍返还买方已支付的货款。</w:t>
      </w:r>
      <w:r>
        <w:rPr>
          <w:rFonts w:hint="eastAsia" w:ascii="宋体" w:hAnsi="宋体" w:eastAsia="宋体" w:cs="宋体"/>
          <w:color w:val="000000"/>
          <w:sz w:val="24"/>
          <w:szCs w:val="24"/>
          <w:highlight w:val="none"/>
        </w:rPr>
      </w:r>
      <w:r/>
    </w:p>
    <w:p>
      <w:pPr>
        <w:pStyle w:val="1038"/>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13.5本合同所有货物的制造及安装，都必须由卖方自己或响应文件中明确的单位承担，不得分包给其他单位。否则，买方有权按卖方不能交付或不能完成合同处理。</w:t>
      </w:r>
      <w:r>
        <w:rPr>
          <w:rFonts w:hint="eastAsia" w:ascii="宋体" w:hAnsi="宋体" w:eastAsia="宋体" w:cs="宋体"/>
          <w:color w:val="000000"/>
          <w:sz w:val="24"/>
          <w:szCs w:val="24"/>
          <w:highlight w:val="none"/>
        </w:rPr>
      </w:r>
      <w:r/>
    </w:p>
    <w:p>
      <w:pPr>
        <w:pStyle w:val="1038"/>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13.6 货物经买方验收不符合要求的，卖方应当在买方指定的时间内调换，调换后仍不符合要求的，买方有权解除合同并要求卖方赔偿因此造成的损失。</w:t>
      </w:r>
      <w:r>
        <w:rPr>
          <w:rFonts w:hint="eastAsia" w:ascii="宋体" w:hAnsi="宋体" w:eastAsia="宋体" w:cs="宋体"/>
          <w:color w:val="000000"/>
          <w:sz w:val="24"/>
          <w:szCs w:val="24"/>
          <w:highlight w:val="none"/>
        </w:rPr>
      </w:r>
      <w:r/>
    </w:p>
    <w:p>
      <w:pPr>
        <w:pStyle w:val="1038"/>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13.7卖方履行义务不符合合同约定时，买方将扣减10%合同款。</w:t>
      </w:r>
      <w:r>
        <w:rPr>
          <w:rFonts w:hint="eastAsia" w:ascii="宋体" w:hAnsi="宋体" w:eastAsia="宋体" w:cs="宋体"/>
          <w:color w:val="000000"/>
          <w:sz w:val="24"/>
          <w:szCs w:val="24"/>
          <w:highlight w:val="none"/>
        </w:rPr>
      </w:r>
      <w:r/>
    </w:p>
    <w:p>
      <w:pPr>
        <w:pStyle w:val="1038"/>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13.8在合同约定的质保期内，卖方未能履行合同约定的义务，卖方应按合同总价的10%支付违约金，导致买方遭受损失的，卖方应承担因此造成的全部损失。</w:t>
      </w:r>
      <w:r>
        <w:rPr>
          <w:rFonts w:hint="eastAsia" w:ascii="宋体" w:hAnsi="宋体" w:eastAsia="宋体" w:cs="宋体"/>
          <w:color w:val="000000"/>
          <w:sz w:val="24"/>
          <w:szCs w:val="24"/>
          <w:highlight w:val="none"/>
        </w:rPr>
      </w:r>
      <w:r/>
    </w:p>
    <w:p>
      <w:pPr>
        <w:pStyle w:val="1038"/>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 买方的违约责任：</w:t>
      </w:r>
      <w:r>
        <w:rPr>
          <w:rFonts w:hint="eastAsia" w:ascii="宋体" w:hAnsi="宋体" w:eastAsia="宋体" w:cs="宋体"/>
          <w:color w:val="000000"/>
          <w:sz w:val="24"/>
          <w:szCs w:val="24"/>
          <w:highlight w:val="none"/>
        </w:rPr>
      </w:r>
      <w:r/>
    </w:p>
    <w:p>
      <w:pPr>
        <w:pStyle w:val="1038"/>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14.1买方未按合同规定的时间和要求向卖方提供技术资料等，卖方交付时间顺延。</w:t>
      </w:r>
      <w:r>
        <w:rPr>
          <w:rFonts w:hint="eastAsia" w:ascii="宋体" w:hAnsi="宋体" w:eastAsia="宋体" w:cs="宋体"/>
          <w:color w:val="000000"/>
          <w:sz w:val="24"/>
          <w:szCs w:val="24"/>
          <w:highlight w:val="none"/>
        </w:rPr>
      </w:r>
      <w:r/>
    </w:p>
    <w:p>
      <w:pPr>
        <w:pStyle w:val="1038"/>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 卖方供给买方的设备、材料及卖方自己的施工用具，进入买方工地现场后的保管，由卖方负责；卖方在买方工地现场安装、调试、验收人员的安全、保险、食宿、交通由卖方负责。</w:t>
      </w:r>
      <w:r>
        <w:rPr>
          <w:rFonts w:hint="eastAsia" w:ascii="宋体" w:hAnsi="宋体" w:eastAsia="宋体" w:cs="宋体"/>
          <w:color w:val="000000"/>
          <w:sz w:val="24"/>
          <w:szCs w:val="24"/>
          <w:highlight w:val="none"/>
        </w:rPr>
      </w:r>
      <w:r/>
    </w:p>
    <w:p>
      <w:pPr>
        <w:pStyle w:val="1038"/>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 卖方在设备安装、调试、验收过程中，买方提供下列条件和配合，超出下列范围的由卖方自理：无</w:t>
      </w:r>
      <w:r>
        <w:rPr>
          <w:rFonts w:hint="eastAsia" w:ascii="宋体" w:hAnsi="宋体" w:eastAsia="宋体" w:cs="宋体"/>
          <w:color w:val="000000"/>
          <w:sz w:val="24"/>
          <w:szCs w:val="24"/>
          <w:highlight w:val="none"/>
        </w:rPr>
      </w:r>
      <w:r/>
    </w:p>
    <w:p>
      <w:pPr>
        <w:pStyle w:val="1038"/>
        <w:ind w:firstLine="480"/>
        <w:jc w:val="left"/>
        <w:spacing w:line="440" w:lineRule="exact"/>
        <w:tabs>
          <w:tab w:val="left" w:pos="4785"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 卖方应保证提供的货物、设备不存在所有权、抵押权、使用权、知识产权等权利瑕疵。买方使用卖方提供的设备，当受到第三方提出的侵犯其专利权、商标权或工业设计权等知识产权的起诉时，一切后果由卖方负责。</w:t>
      </w:r>
      <w:r>
        <w:rPr>
          <w:rFonts w:ascii="宋体" w:hAnsi="宋体" w:eastAsia="宋体" w:cs="宋体"/>
          <w:color w:val="000000"/>
          <w:sz w:val="24"/>
          <w:szCs w:val="24"/>
          <w:highlight w:val="none"/>
        </w:rPr>
      </w:r>
      <w:r/>
    </w:p>
    <w:p>
      <w:pPr>
        <w:pStyle w:val="1038"/>
        <w:ind w:firstLine="480"/>
        <w:jc w:val="left"/>
        <w:spacing w:line="440" w:lineRule="exact"/>
        <w:tabs>
          <w:tab w:val="left" w:pos="4785"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 合同的生效：本合同一式陆份，各份具有同等法律效力，自买卖双方签字、盖章并加盖骑缝章之日起生效。</w:t>
      </w:r>
      <w:r>
        <w:rPr>
          <w:rFonts w:ascii="宋体" w:hAnsi="宋体" w:eastAsia="宋体" w:cs="宋体"/>
          <w:color w:val="000000"/>
          <w:sz w:val="24"/>
          <w:szCs w:val="24"/>
          <w:highlight w:val="none"/>
        </w:rPr>
      </w:r>
      <w:r/>
    </w:p>
    <w:p>
      <w:pPr>
        <w:pStyle w:val="1038"/>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t xml:space="preserve"> 合同的变更和终止：除《政府采购法》第50条第二款规定的情形外，本合同一经签订，买卖双方不得擅自变更、中止或终止合同。除发生法律规定的不能预见、不能避免并不能克服的客观情况外，买卖双方不得放弃或拒绝履行合同。</w:t>
      </w:r>
      <w:r>
        <w:rPr>
          <w:rFonts w:hint="eastAsia" w:ascii="宋体" w:hAnsi="宋体" w:eastAsia="宋体" w:cs="宋体"/>
          <w:color w:val="000000"/>
          <w:sz w:val="24"/>
          <w:szCs w:val="24"/>
          <w:highlight w:val="none"/>
        </w:rPr>
      </w:r>
      <w:r/>
    </w:p>
    <w:p>
      <w:pPr>
        <w:pStyle w:val="1038"/>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rPr>
        <w:t xml:space="preserve"> 合同权利义务的转让：合同履行过程中，卖方未经买方书面同意，不得将合同权利义务转让给第三方，否则买方有权解除合同，同时卖方应当向买方支付合同总价款10%的违约金，造成买方损失的还应当进行赔偿。</w:t>
      </w:r>
      <w:r>
        <w:rPr>
          <w:rFonts w:hint="eastAsia" w:ascii="宋体" w:hAnsi="宋体" w:eastAsia="宋体" w:cs="宋体"/>
          <w:color w:val="000000"/>
          <w:sz w:val="24"/>
          <w:szCs w:val="24"/>
          <w:highlight w:val="none"/>
        </w:rPr>
      </w:r>
      <w:r/>
    </w:p>
    <w:p>
      <w:pPr>
        <w:pStyle w:val="1038"/>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21</w:t>
      </w:r>
      <w:r>
        <w:rPr>
          <w:rFonts w:hint="eastAsia" w:ascii="宋体" w:hAnsi="宋体" w:eastAsia="宋体" w:cs="宋体"/>
          <w:color w:val="000000"/>
          <w:sz w:val="24"/>
          <w:szCs w:val="24"/>
          <w:highlight w:val="none"/>
        </w:rPr>
        <w:t xml:space="preserve">. 未尽事宜、双方协商解决，并按《中华人民共和国民法典》的规定调整。约定履行本合同发生争议，协商不成的，交由南京仲裁委员会仲裁裁决。仲裁产生的仲裁费、鉴定费、保全费、担保费、律师费等合理支出由违约方承担。</w:t>
      </w:r>
      <w:r>
        <w:rPr>
          <w:rFonts w:hint="eastAsia" w:ascii="宋体" w:hAnsi="宋体" w:eastAsia="宋体" w:cs="宋体"/>
          <w:color w:val="000000"/>
          <w:sz w:val="24"/>
          <w:szCs w:val="24"/>
          <w:highlight w:val="none"/>
        </w:rPr>
      </w:r>
      <w:r/>
    </w:p>
    <w:p>
      <w:pPr>
        <w:pStyle w:val="1038"/>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t xml:space="preserve">.招标文件、中标通知书、卖方的投标文件及投标承诺书是签订本合同的依据，本合同未尽事项首先依据招标文件、中标（成交）通知书、卖方的投标文件及投标承诺书进行履行，双方也可以在不违背本合同实质性内容的基础上达成补充协议，补充协议与本合同具有相同的法律效力。</w:t>
      </w:r>
      <w:r>
        <w:rPr>
          <w:rFonts w:hint="eastAsia" w:ascii="宋体" w:hAnsi="宋体" w:eastAsia="宋体" w:cs="宋体"/>
          <w:color w:val="000000"/>
          <w:sz w:val="24"/>
          <w:szCs w:val="24"/>
          <w:highlight w:val="none"/>
        </w:rPr>
      </w:r>
      <w:r/>
    </w:p>
    <w:p>
      <w:pPr>
        <w:pStyle w:val="1038"/>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三、廉洁条款</w:t>
      </w:r>
      <w:r>
        <w:rPr>
          <w:rFonts w:hint="eastAsia" w:ascii="宋体" w:hAnsi="宋体" w:eastAsia="宋体" w:cs="宋体"/>
          <w:color w:val="000000"/>
          <w:sz w:val="24"/>
          <w:szCs w:val="24"/>
          <w:highlight w:val="none"/>
        </w:rPr>
      </w:r>
      <w:r/>
    </w:p>
    <w:p>
      <w:pPr>
        <w:pStyle w:val="1038"/>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签订前、履行期间及履行完毕后，卖方应当遵守廉洁原则，不得向买方工作人员行贿、变相行贿，不得以任何理由向买方工作人员及第三方赠送礼品、礼金、各种有价证券及其他支付凭证，不以任何理由为买方工作人员报销应由个人支付的费用。一旦发生上述事由，买方有权无条件解除本合同。</w:t>
      </w:r>
      <w:r>
        <w:rPr>
          <w:rFonts w:hint="eastAsia" w:ascii="宋体" w:hAnsi="宋体" w:eastAsia="宋体" w:cs="宋体"/>
          <w:color w:val="000000"/>
          <w:sz w:val="24"/>
          <w:szCs w:val="24"/>
          <w:highlight w:val="none"/>
        </w:rPr>
      </w:r>
      <w:r/>
    </w:p>
    <w:p>
      <w:pPr>
        <w:pStyle w:val="1038"/>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四、保密条款</w:t>
      </w:r>
      <w:r>
        <w:rPr>
          <w:rFonts w:hint="eastAsia" w:ascii="宋体" w:hAnsi="宋体" w:eastAsia="宋体" w:cs="宋体"/>
          <w:color w:val="000000"/>
          <w:sz w:val="24"/>
          <w:szCs w:val="24"/>
          <w:highlight w:val="none"/>
        </w:rPr>
      </w:r>
      <w:r/>
    </w:p>
    <w:p>
      <w:pPr>
        <w:pStyle w:val="1038"/>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双方应当对合同的内容、因履行合同期间获得的或收到的对方的商务、财务、技术、产品的信息、用户资料或其他标明保密的文件或信息的内容保守秘密，未经信息披露方书面事先同意，不得向合同以外的任何第三方披露。双方均不得将合同中的内容及在合同执行过程中获得的对方的商业信息向任何第三方泄露。本保密义务应在本合同期满、解除或终止后仍然有效。</w:t>
      </w:r>
      <w:r>
        <w:rPr>
          <w:rFonts w:hint="eastAsia" w:ascii="宋体" w:hAnsi="宋体" w:eastAsia="宋体" w:cs="宋体"/>
          <w:color w:val="000000"/>
          <w:sz w:val="24"/>
          <w:szCs w:val="24"/>
          <w:highlight w:val="none"/>
        </w:rPr>
      </w:r>
      <w:r/>
    </w:p>
    <w:p>
      <w:pPr>
        <w:pStyle w:val="1038"/>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五、送达条款</w:t>
      </w:r>
      <w:r>
        <w:rPr>
          <w:rFonts w:hint="eastAsia" w:ascii="宋体" w:hAnsi="宋体" w:eastAsia="宋体" w:cs="宋体"/>
          <w:color w:val="000000"/>
          <w:sz w:val="24"/>
          <w:szCs w:val="24"/>
          <w:highlight w:val="none"/>
        </w:rPr>
      </w:r>
      <w:r/>
    </w:p>
    <w:p>
      <w:pPr>
        <w:pStyle w:val="1038"/>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尾部联系方式和联系信息适用于双方往来联系、书面文件送达及争议解决时法律文书送达，送达文书的效力及于本合同纠纷所引发的仲裁、诉讼程序和执行程序。卖方确认的最后送达地址如发生变更等情形，应在三日内重新确认填写最后送达地址并以书面方式予以通知买方，否则原确认的最后送达地址继续有效，卖方自行承担由此可能产生的法律后果。</w:t>
      </w:r>
      <w:r>
        <w:rPr>
          <w:rFonts w:hint="eastAsia" w:ascii="宋体" w:hAnsi="宋体" w:eastAsia="宋体" w:cs="宋体"/>
          <w:color w:val="000000"/>
          <w:sz w:val="24"/>
          <w:szCs w:val="24"/>
          <w:highlight w:val="none"/>
        </w:rPr>
      </w:r>
      <w:r/>
    </w:p>
    <w:p>
      <w:pPr>
        <w:pStyle w:val="1038"/>
        <w:ind w:firstLine="480"/>
        <w:jc w:val="left"/>
        <w:spacing w:line="440" w:lineRule="exact"/>
        <w:widowControl/>
        <w:rPr>
          <w:rFonts w:hint="eastAsia" w:ascii="宋体" w:hAnsi="宋体" w:eastAsia="宋体" w:cs="宋体"/>
          <w:color w:val="000000"/>
          <w:sz w:val="24"/>
          <w:szCs w:val="24"/>
          <w:highlight w:val="none"/>
        </w:rPr>
      </w:pPr>
      <w:r/>
      <w:bookmarkEnd w:id="119"/>
      <w:r>
        <w:rPr>
          <w:rFonts w:hint="eastAsia" w:ascii="宋体" w:hAnsi="宋体" w:eastAsia="宋体" w:cs="宋体"/>
          <w:color w:val="000000"/>
          <w:sz w:val="24"/>
          <w:szCs w:val="24"/>
          <w:highlight w:val="none"/>
        </w:rPr>
      </w:r>
      <w:r/>
    </w:p>
    <w:tbl>
      <w:tblPr>
        <w:tblW w:w="963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46"/>
        <w:gridCol w:w="4684"/>
      </w:tblGrid>
      <w:tr>
        <w:trPr>
          <w:trHeight w:val="4651"/>
        </w:trPr>
        <w:tc>
          <w:tcPr>
            <w:tcW w:w="4946" w:type="dxa"/>
            <w:vAlign w:val="top"/>
            <w:textDirection w:val="lrTb"/>
            <w:noWrap w:val="false"/>
          </w:tcPr>
          <w:p>
            <w:pPr>
              <w:pStyle w:val="1038"/>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买方（盖章）：</w:t>
            </w:r>
            <w:r>
              <w:rPr>
                <w:rFonts w:hint="eastAsia" w:ascii="宋体" w:hAnsi="宋体" w:eastAsia="宋体" w:cs="宋体"/>
                <w:color w:val="000000"/>
                <w:szCs w:val="21"/>
                <w:highlight w:val="none"/>
              </w:rPr>
            </w:r>
            <w:r/>
          </w:p>
          <w:p>
            <w:pPr>
              <w:pStyle w:val="1038"/>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单位名称：江苏省计量科学研究院（江苏省能源计量数据中心）</w:t>
            </w:r>
            <w:r>
              <w:rPr>
                <w:rFonts w:hint="eastAsia" w:ascii="宋体" w:hAnsi="宋体" w:eastAsia="宋体" w:cs="宋体"/>
                <w:color w:val="000000"/>
                <w:szCs w:val="21"/>
                <w:highlight w:val="none"/>
              </w:rPr>
            </w:r>
            <w:r/>
          </w:p>
          <w:p>
            <w:pPr>
              <w:pStyle w:val="1038"/>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单位地址：</w:t>
            </w:r>
            <w:r>
              <w:rPr>
                <w:rFonts w:hint="eastAsia" w:ascii="宋体" w:hAnsi="宋体" w:eastAsia="宋体" w:cs="宋体"/>
                <w:color w:val="000000"/>
                <w:szCs w:val="21"/>
                <w:highlight w:val="none"/>
              </w:rPr>
            </w:r>
            <w:r/>
          </w:p>
          <w:p>
            <w:pPr>
              <w:pStyle w:val="1038"/>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w:t>
            </w:r>
            <w:r>
              <w:rPr>
                <w:rFonts w:hint="eastAsia" w:ascii="宋体" w:hAnsi="宋体" w:eastAsia="宋体" w:cs="宋体"/>
                <w:color w:val="000000"/>
                <w:szCs w:val="21"/>
                <w:highlight w:val="none"/>
              </w:rPr>
            </w:r>
            <w:r/>
          </w:p>
          <w:p>
            <w:pPr>
              <w:pStyle w:val="1038"/>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委托代理人（签字）：</w:t>
            </w:r>
            <w:r>
              <w:rPr>
                <w:rFonts w:hint="eastAsia" w:ascii="宋体" w:hAnsi="宋体" w:eastAsia="宋体" w:cs="宋体"/>
                <w:color w:val="000000"/>
                <w:szCs w:val="21"/>
                <w:highlight w:val="none"/>
              </w:rPr>
            </w:r>
            <w:r/>
          </w:p>
          <w:p>
            <w:pPr>
              <w:pStyle w:val="1038"/>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联系方式：</w:t>
            </w:r>
            <w:r>
              <w:rPr>
                <w:rFonts w:hint="eastAsia" w:ascii="宋体" w:hAnsi="宋体" w:eastAsia="宋体" w:cs="宋体"/>
                <w:color w:val="000000"/>
                <w:szCs w:val="21"/>
                <w:highlight w:val="none"/>
              </w:rPr>
            </w:r>
            <w:r/>
          </w:p>
          <w:p>
            <w:pPr>
              <w:pStyle w:val="1038"/>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38"/>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38"/>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38"/>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签订日期：  年  月  日</w:t>
            </w:r>
            <w:r>
              <w:rPr>
                <w:rFonts w:hint="eastAsia" w:ascii="宋体" w:hAnsi="宋体" w:eastAsia="宋体" w:cs="宋体"/>
                <w:color w:val="000000"/>
                <w:szCs w:val="21"/>
                <w:highlight w:val="none"/>
              </w:rPr>
            </w:r>
            <w:r/>
          </w:p>
        </w:tc>
        <w:tc>
          <w:tcPr>
            <w:tcW w:w="4684" w:type="dxa"/>
            <w:vAlign w:val="top"/>
            <w:textDirection w:val="lrTb"/>
            <w:noWrap w:val="false"/>
          </w:tcPr>
          <w:p>
            <w:pPr>
              <w:pStyle w:val="1038"/>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卖方（盖章）：</w:t>
            </w:r>
            <w:r>
              <w:rPr>
                <w:rFonts w:hint="eastAsia" w:ascii="宋体" w:hAnsi="宋体" w:eastAsia="宋体" w:cs="宋体"/>
                <w:color w:val="000000"/>
                <w:szCs w:val="21"/>
                <w:highlight w:val="none"/>
              </w:rPr>
            </w:r>
            <w:r/>
          </w:p>
          <w:p>
            <w:pPr>
              <w:pStyle w:val="1038"/>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单位名称：</w:t>
            </w:r>
            <w:r>
              <w:rPr>
                <w:rFonts w:hint="eastAsia" w:ascii="宋体" w:hAnsi="宋体" w:eastAsia="宋体" w:cs="宋体"/>
                <w:color w:val="000000"/>
                <w:szCs w:val="21"/>
                <w:highlight w:val="none"/>
              </w:rPr>
            </w:r>
            <w:r/>
          </w:p>
          <w:p>
            <w:pPr>
              <w:pStyle w:val="1038"/>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单位地址：</w:t>
            </w:r>
            <w:r>
              <w:rPr>
                <w:rFonts w:hint="eastAsia" w:ascii="宋体" w:hAnsi="宋体" w:eastAsia="宋体" w:cs="宋体"/>
                <w:color w:val="000000"/>
                <w:szCs w:val="21"/>
                <w:highlight w:val="none"/>
              </w:rPr>
            </w:r>
            <w:r/>
          </w:p>
          <w:p>
            <w:pPr>
              <w:pStyle w:val="1038"/>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w:t>
            </w:r>
            <w:r>
              <w:rPr>
                <w:rFonts w:hint="eastAsia" w:ascii="宋体" w:hAnsi="宋体" w:eastAsia="宋体" w:cs="宋体"/>
                <w:color w:val="000000"/>
                <w:szCs w:val="21"/>
                <w:highlight w:val="none"/>
              </w:rPr>
            </w:r>
            <w:r/>
          </w:p>
          <w:p>
            <w:pPr>
              <w:pStyle w:val="1038"/>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委托代理人（签字）：</w:t>
            </w:r>
            <w:r>
              <w:rPr>
                <w:rFonts w:hint="eastAsia" w:ascii="宋体" w:hAnsi="宋体" w:eastAsia="宋体" w:cs="宋体"/>
                <w:color w:val="000000"/>
                <w:szCs w:val="21"/>
                <w:highlight w:val="none"/>
              </w:rPr>
            </w:r>
            <w:r/>
          </w:p>
          <w:p>
            <w:pPr>
              <w:pStyle w:val="1038"/>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电话：</w:t>
            </w:r>
            <w:r>
              <w:rPr>
                <w:rFonts w:hint="eastAsia" w:ascii="宋体" w:hAnsi="宋体" w:eastAsia="宋体" w:cs="宋体"/>
                <w:color w:val="000000"/>
                <w:szCs w:val="21"/>
                <w:highlight w:val="none"/>
              </w:rPr>
            </w:r>
            <w:r/>
          </w:p>
          <w:p>
            <w:pPr>
              <w:pStyle w:val="1038"/>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传真：</w:t>
            </w:r>
            <w:r>
              <w:rPr>
                <w:rFonts w:hint="eastAsia" w:ascii="宋体" w:hAnsi="宋体" w:eastAsia="宋体" w:cs="宋体"/>
                <w:color w:val="000000"/>
                <w:szCs w:val="21"/>
                <w:highlight w:val="none"/>
              </w:rPr>
            </w:r>
            <w:r/>
          </w:p>
          <w:p>
            <w:pPr>
              <w:pStyle w:val="1038"/>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开户银行：</w:t>
            </w:r>
            <w:r>
              <w:rPr>
                <w:rFonts w:hint="eastAsia" w:ascii="宋体" w:hAnsi="宋体" w:eastAsia="宋体" w:cs="宋体"/>
                <w:color w:val="000000"/>
                <w:szCs w:val="21"/>
                <w:highlight w:val="none"/>
              </w:rPr>
            </w:r>
            <w:r/>
          </w:p>
          <w:p>
            <w:pPr>
              <w:pStyle w:val="1038"/>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帐号：</w:t>
            </w:r>
            <w:r>
              <w:rPr>
                <w:rFonts w:hint="eastAsia" w:ascii="宋体" w:hAnsi="宋体" w:eastAsia="宋体" w:cs="宋体"/>
                <w:color w:val="000000"/>
                <w:szCs w:val="21"/>
                <w:highlight w:val="none"/>
              </w:rPr>
            </w:r>
            <w:r/>
          </w:p>
          <w:p>
            <w:pPr>
              <w:pStyle w:val="1038"/>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税号：</w:t>
            </w:r>
            <w:r>
              <w:rPr>
                <w:rFonts w:hint="eastAsia" w:ascii="宋体" w:hAnsi="宋体" w:eastAsia="宋体" w:cs="宋体"/>
                <w:color w:val="000000"/>
                <w:szCs w:val="21"/>
                <w:highlight w:val="none"/>
              </w:rPr>
            </w:r>
            <w:r/>
          </w:p>
          <w:p>
            <w:pPr>
              <w:pStyle w:val="1038"/>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签订日期：  年  月  日</w:t>
            </w:r>
            <w:r>
              <w:rPr>
                <w:rFonts w:hint="eastAsia" w:ascii="宋体" w:hAnsi="宋体" w:eastAsia="宋体" w:cs="宋体"/>
                <w:color w:val="000000"/>
                <w:szCs w:val="21"/>
                <w:highlight w:val="none"/>
              </w:rPr>
            </w:r>
            <w:r/>
          </w:p>
        </w:tc>
      </w:tr>
    </w:tbl>
    <w:p>
      <w:pPr>
        <w:pStyle w:val="1038"/>
        <w:spacing w:line="240" w:lineRule="auto"/>
        <w:rPr>
          <w:rFonts w:hint="eastAsia" w:ascii="宋体" w:hAnsi="宋体" w:eastAsia="宋体" w:cs="宋体"/>
          <w:color w:val="000000"/>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eastAsia="仿宋_GB2312" w:cs="仿宋_GB2312"/>
          <w:color w:val="000000"/>
          <w:sz w:val="24"/>
          <w:szCs w:val="24"/>
          <w:highlight w:val="none"/>
        </w:rPr>
        <w:t xml:space="preserve">     </w:t>
      </w:r>
      <w:bookmarkStart w:id="120" w:name="_Toc27786"/>
      <w:r/>
      <w:bookmarkStart w:id="121" w:name="_Toc15343"/>
      <w:r/>
      <w:bookmarkStart w:id="122" w:name="OLE_LINK6"/>
      <w:r>
        <w:rPr>
          <w:rFonts w:hint="eastAsia" w:ascii="宋体" w:hAnsi="宋体" w:eastAsia="宋体" w:cs="宋体"/>
          <w:color w:val="000000"/>
          <w:highlight w:val="none"/>
        </w:rPr>
      </w:r>
      <w:r/>
    </w:p>
    <w:p>
      <w:pPr>
        <w:pStyle w:val="1039"/>
        <w:ind w:firstLine="0"/>
        <w:tabs>
          <w:tab w:val="left" w:pos="1440" w:leader="none"/>
          <w:tab w:val="left" w:pos="5670" w:leader="none"/>
        </w:tabs>
        <w:rPr>
          <w:rFonts w:hint="eastAsia" w:ascii="宋体" w:hAnsi="宋体" w:eastAsia="宋体" w:cs="宋体"/>
          <w:color w:val="000000"/>
          <w:highlight w:val="none"/>
        </w:rPr>
      </w:pPr>
      <w:r/>
      <w:bookmarkStart w:id="123" w:name="_Toc21943"/>
      <w:r>
        <w:rPr>
          <w:rFonts w:hint="eastAsia" w:ascii="宋体" w:hAnsi="宋体" w:eastAsia="宋体" w:cs="宋体"/>
          <w:color w:val="000000"/>
          <w:highlight w:val="none"/>
        </w:rPr>
        <w:t xml:space="preserve">第六章 </w:t>
      </w:r>
      <w:bookmarkEnd w:id="120"/>
      <w:r>
        <w:rPr>
          <w:rFonts w:hint="eastAsia" w:ascii="宋体" w:hAnsi="宋体" w:eastAsia="宋体" w:cs="宋体"/>
          <w:color w:val="000000"/>
          <w:highlight w:val="none"/>
        </w:rPr>
        <w:t xml:space="preserve">投标文件格式及附件</w:t>
      </w:r>
      <w:bookmarkEnd w:id="121"/>
      <w:r/>
      <w:bookmarkEnd w:id="123"/>
      <w:r>
        <w:rPr>
          <w:rFonts w:hint="eastAsia" w:ascii="宋体" w:hAnsi="宋体" w:eastAsia="宋体" w:cs="宋体"/>
          <w:color w:val="000000"/>
          <w:highlight w:val="none"/>
        </w:rPr>
      </w:r>
      <w:r/>
    </w:p>
    <w:p>
      <w:pPr>
        <w:pStyle w:val="1038"/>
        <w:jc w:val="center"/>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1038"/>
        <w:jc w:val="center"/>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1038"/>
        <w:jc w:val="center"/>
        <w:rPr>
          <w:rFonts w:hint="eastAsia" w:ascii="宋体" w:hAnsi="宋体" w:eastAsia="宋体" w:cs="宋体"/>
          <w:bCs/>
          <w:color w:val="000000"/>
          <w:sz w:val="40"/>
          <w:szCs w:val="40"/>
          <w:highlight w:val="none"/>
          <w:lang w:eastAsia="zh-CN"/>
        </w:rPr>
      </w:pPr>
      <w:r>
        <w:rPr>
          <w:rFonts w:hint="eastAsia" w:ascii="宋体" w:hAnsi="宋体" w:eastAsia="宋体" w:cs="宋体"/>
          <w:bCs/>
          <w:color w:val="000000"/>
          <w:sz w:val="40"/>
          <w:szCs w:val="40"/>
          <w:highlight w:val="none"/>
          <w:lang w:eastAsia="zh-CN"/>
        </w:rPr>
        <w:t xml:space="preserve">江苏省计量检测基地(二期)实验室家具采购</w:t>
      </w:r>
      <w:r>
        <w:rPr>
          <w:rFonts w:hint="eastAsia" w:ascii="宋体" w:hAnsi="宋体" w:eastAsia="宋体" w:cs="宋体"/>
          <w:bCs/>
          <w:color w:val="000000"/>
          <w:sz w:val="40"/>
          <w:szCs w:val="40"/>
          <w:highlight w:val="none"/>
          <w:lang w:eastAsia="zh-CN"/>
        </w:rPr>
      </w:r>
      <w:r/>
    </w:p>
    <w:p>
      <w:pPr>
        <w:pStyle w:val="1038"/>
        <w:jc w:val="center"/>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1038"/>
        <w:jc w:val="center"/>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t xml:space="preserve">投标文件</w:t>
      </w:r>
      <w:r>
        <w:rPr>
          <w:rFonts w:hint="eastAsia" w:ascii="宋体" w:hAnsi="宋体" w:eastAsia="宋体" w:cs="宋体"/>
          <w:color w:val="000000"/>
          <w:sz w:val="44"/>
          <w:szCs w:val="44"/>
          <w:highlight w:val="none"/>
        </w:rPr>
      </w:r>
      <w:r/>
    </w:p>
    <w:p>
      <w:pPr>
        <w:pStyle w:val="1038"/>
        <w:jc w:val="center"/>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1038"/>
        <w:jc w:val="center"/>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1038"/>
        <w:ind w:firstLine="1386"/>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项目编号：</w:t>
      </w:r>
      <w:r>
        <w:rPr>
          <w:rFonts w:hint="eastAsia" w:ascii="宋体" w:hAnsi="宋体" w:eastAsia="宋体" w:cs="宋体"/>
          <w:color w:val="000000"/>
          <w:sz w:val="30"/>
          <w:szCs w:val="30"/>
          <w:highlight w:val="none"/>
        </w:rPr>
      </w:r>
      <w:r/>
    </w:p>
    <w:p>
      <w:pPr>
        <w:pStyle w:val="1038"/>
        <w:ind w:firstLine="1386"/>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分包号（标段号）：</w:t>
      </w:r>
      <w:r>
        <w:rPr>
          <w:rFonts w:hint="eastAsia" w:ascii="宋体" w:hAnsi="宋体" w:eastAsia="宋体" w:cs="宋体"/>
          <w:color w:val="000000"/>
          <w:sz w:val="30"/>
          <w:szCs w:val="30"/>
          <w:highlight w:val="none"/>
        </w:rPr>
      </w:r>
      <w:r/>
    </w:p>
    <w:p>
      <w:pPr>
        <w:pStyle w:val="1038"/>
        <w:ind w:firstLine="1386"/>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投标人名称：（加盖单位公章）</w:t>
      </w:r>
      <w:r>
        <w:rPr>
          <w:rFonts w:hint="eastAsia" w:ascii="宋体" w:hAnsi="宋体" w:eastAsia="宋体" w:cs="宋体"/>
          <w:color w:val="000000"/>
          <w:sz w:val="30"/>
          <w:szCs w:val="30"/>
          <w:highlight w:val="none"/>
        </w:rPr>
      </w:r>
      <w:r/>
    </w:p>
    <w:p>
      <w:pPr>
        <w:pStyle w:val="1038"/>
        <w:ind w:firstLine="1386"/>
        <w:rPr>
          <w:rFonts w:hint="eastAsia" w:ascii="宋体" w:hAnsi="宋体" w:eastAsia="宋体" w:cs="宋体"/>
          <w:bCs/>
          <w:color w:val="000000"/>
          <w:sz w:val="30"/>
          <w:szCs w:val="30"/>
          <w:highlight w:val="none"/>
        </w:rPr>
      </w:pPr>
      <w:r>
        <w:rPr>
          <w:rFonts w:hint="eastAsia" w:ascii="宋体" w:hAnsi="宋体" w:eastAsia="宋体" w:cs="宋体"/>
          <w:color w:val="000000"/>
          <w:sz w:val="30"/>
          <w:szCs w:val="30"/>
          <w:highlight w:val="none"/>
        </w:rPr>
        <w:t xml:space="preserve">联系人：</w:t>
      </w:r>
      <w:r>
        <w:rPr>
          <w:rFonts w:hint="eastAsia" w:ascii="宋体" w:hAnsi="宋体" w:eastAsia="宋体" w:cs="宋体"/>
          <w:bCs/>
          <w:color w:val="000000"/>
          <w:sz w:val="30"/>
          <w:szCs w:val="30"/>
          <w:highlight w:val="none"/>
        </w:rPr>
      </w:r>
      <w:r/>
    </w:p>
    <w:p>
      <w:pPr>
        <w:pStyle w:val="1038"/>
        <w:ind w:firstLine="1386"/>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联系方式：</w:t>
      </w:r>
      <w:r>
        <w:rPr>
          <w:rFonts w:hint="eastAsia" w:ascii="宋体" w:hAnsi="宋体" w:eastAsia="宋体" w:cs="宋体"/>
          <w:color w:val="000000"/>
          <w:sz w:val="30"/>
          <w:szCs w:val="30"/>
          <w:highlight w:val="none"/>
        </w:rPr>
      </w:r>
      <w:r/>
    </w:p>
    <w:p>
      <w:pPr>
        <w:pStyle w:val="1038"/>
        <w:ind w:firstLine="1386"/>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单位地址：</w:t>
      </w:r>
      <w:r>
        <w:rPr>
          <w:rFonts w:hint="eastAsia" w:ascii="宋体" w:hAnsi="宋体" w:eastAsia="宋体" w:cs="宋体"/>
          <w:color w:val="000000"/>
          <w:sz w:val="30"/>
          <w:szCs w:val="30"/>
          <w:highlight w:val="none"/>
        </w:rPr>
      </w:r>
      <w:r/>
    </w:p>
    <w:p>
      <w:pPr>
        <w:pStyle w:val="1038"/>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  年  月  日</w:t>
      </w:r>
      <w:r>
        <w:rPr>
          <w:rFonts w:hint="eastAsia" w:ascii="宋体" w:hAnsi="宋体" w:eastAsia="宋体" w:cs="宋体"/>
          <w:color w:val="000000"/>
          <w:sz w:val="30"/>
          <w:szCs w:val="30"/>
          <w:highlight w:val="none"/>
        </w:rPr>
      </w:r>
      <w:r/>
    </w:p>
    <w:p>
      <w:pPr>
        <w:pStyle w:val="1078"/>
        <w:ind w:left="0"/>
        <w:rPr>
          <w:rFonts w:hint="eastAsia" w:ascii="宋体" w:hAnsi="宋体" w:cs="宋体"/>
          <w:color w:val="000000"/>
          <w:highlight w:val="none"/>
        </w:rPr>
      </w:pPr>
      <w:r>
        <w:rPr>
          <w:rFonts w:hint="eastAsia" w:ascii="宋体" w:hAnsi="宋体" w:cs="宋体"/>
          <w:color w:val="000000"/>
          <w:highlight w:val="none"/>
        </w:rPr>
        <w:br w:type="page" w:clear="all"/>
      </w:r>
      <w:r>
        <w:rPr>
          <w:rFonts w:hint="eastAsia" w:ascii="宋体" w:hAnsi="宋体" w:cs="宋体"/>
          <w:color w:val="000000"/>
          <w:highlight w:val="none"/>
        </w:rPr>
      </w:r>
      <w:r/>
    </w:p>
    <w:p>
      <w:pPr>
        <w:pStyle w:val="1038"/>
        <w:jc w:val="center"/>
        <w:rPr>
          <w:rFonts w:hint="eastAsia" w:ascii="宋体" w:hAnsi="宋体" w:eastAsia="宋体" w:cs="宋体"/>
          <w:b/>
          <w:bCs/>
          <w:color w:val="000000"/>
          <w:sz w:val="30"/>
          <w:szCs w:val="30"/>
          <w:highlight w:val="none"/>
        </w:rPr>
      </w:pPr>
      <w:r/>
      <w:bookmarkStart w:id="124" w:name="_Toc23512"/>
      <w:r/>
      <w:bookmarkStart w:id="125" w:name="_Toc489655320"/>
      <w:r/>
      <w:bookmarkStart w:id="126" w:name="_Toc22602"/>
      <w:r>
        <w:rPr>
          <w:rFonts w:hint="eastAsia" w:ascii="宋体" w:hAnsi="宋体" w:eastAsia="宋体" w:cs="宋体"/>
          <w:b/>
          <w:bCs/>
          <w:color w:val="000000"/>
          <w:sz w:val="30"/>
          <w:szCs w:val="30"/>
          <w:highlight w:val="none"/>
        </w:rPr>
        <w:t xml:space="preserve">评分索引表</w:t>
      </w:r>
      <w:bookmarkEnd w:id="124"/>
      <w:r/>
      <w:bookmarkEnd w:id="126"/>
      <w:r>
        <w:rPr>
          <w:rFonts w:hint="eastAsia" w:ascii="宋体" w:hAnsi="宋体" w:eastAsia="宋体" w:cs="宋体"/>
          <w:b/>
          <w:bCs/>
          <w:color w:val="000000"/>
          <w:sz w:val="30"/>
          <w:szCs w:val="30"/>
          <w:highlight w:val="none"/>
        </w:rPr>
      </w:r>
      <w:r/>
    </w:p>
    <w:tbl>
      <w:tblPr>
        <w:tblW w:w="471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8"/>
        <w:gridCol w:w="5391"/>
        <w:gridCol w:w="1769"/>
        <w:gridCol w:w="1472"/>
      </w:tblGrid>
      <w:tr>
        <w:trPr>
          <w:trHeight w:val="803"/>
        </w:trPr>
        <w:tc>
          <w:tcPr>
            <w:tcW w:w="759" w:type="dxa"/>
            <w:vAlign w:val="center"/>
            <w:textDirection w:val="lrTb"/>
            <w:noWrap w:val="false"/>
          </w:tcPr>
          <w:p>
            <w:pPr>
              <w:pStyle w:val="103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103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评审标准</w:t>
            </w:r>
            <w:r>
              <w:rPr>
                <w:rFonts w:hint="eastAsia" w:ascii="宋体" w:hAnsi="宋体" w:eastAsia="宋体" w:cs="宋体"/>
                <w:color w:val="000000"/>
                <w:sz w:val="24"/>
                <w:szCs w:val="24"/>
                <w:highlight w:val="none"/>
              </w:rPr>
            </w:r>
            <w:r/>
          </w:p>
        </w:tc>
        <w:tc>
          <w:tcPr>
            <w:tcW w:w="1769"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是否响应（填写“是”或“否”）</w:t>
            </w:r>
            <w:r>
              <w:rPr>
                <w:rFonts w:hint="eastAsia" w:ascii="宋体" w:hAnsi="宋体" w:eastAsia="宋体" w:cs="宋体"/>
                <w:color w:val="000000"/>
                <w:sz w:val="24"/>
                <w:szCs w:val="24"/>
                <w:highlight w:val="none"/>
              </w:rPr>
            </w:r>
            <w:r/>
          </w:p>
        </w:tc>
        <w:tc>
          <w:tcPr>
            <w:tcW w:w="1472"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在投标文件中的页码位置</w:t>
            </w: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1038"/>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1038"/>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1038"/>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1038"/>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1038"/>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1038"/>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1038"/>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1038"/>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1038"/>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1038"/>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1038"/>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1038"/>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1038"/>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1038"/>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1038"/>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1038"/>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1038"/>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1038"/>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038"/>
        <w:spacing w:line="460" w:lineRule="exact"/>
        <w:rPr>
          <w:rFonts w:hint="eastAsia" w:ascii="宋体" w:hAnsi="宋体" w:eastAsia="宋体" w:cs="宋体"/>
          <w:b/>
          <w:color w:val="000000"/>
          <w:sz w:val="30"/>
          <w:szCs w:val="30"/>
          <w:highlight w:val="none"/>
        </w:rPr>
      </w:pPr>
      <w:r>
        <w:rPr>
          <w:rFonts w:hint="eastAsia" w:ascii="宋体" w:hAnsi="宋体" w:eastAsia="宋体" w:cs="宋体"/>
          <w:color w:val="000000"/>
          <w:szCs w:val="21"/>
          <w:highlight w:val="none"/>
        </w:rPr>
        <w:t xml:space="preserve">注：此表为表样，供应商需根据第三章“评分表”自行调整，行数可自行添加，但表式不变。</w:t>
      </w:r>
      <w:r>
        <w:rPr>
          <w:rFonts w:hint="eastAsia" w:ascii="宋体" w:hAnsi="宋体" w:eastAsia="宋体" w:cs="宋体"/>
          <w:b/>
          <w:color w:val="000000"/>
          <w:sz w:val="30"/>
          <w:szCs w:val="30"/>
          <w:highlight w:val="none"/>
        </w:rPr>
      </w:r>
      <w:r/>
    </w:p>
    <w:p>
      <w:pPr>
        <w:pStyle w:val="1038"/>
        <w:jc w:val="center"/>
        <w:rPr>
          <w:rFonts w:hint="eastAsia" w:ascii="宋体" w:hAnsi="宋体" w:eastAsia="宋体" w:cs="宋体"/>
          <w:color w:val="000000"/>
          <w:sz w:val="30"/>
          <w:szCs w:val="30"/>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30"/>
          <w:szCs w:val="30"/>
          <w:highlight w:val="none"/>
        </w:rPr>
      </w:r>
      <w:r/>
    </w:p>
    <w:p>
      <w:pPr>
        <w:pStyle w:val="1038"/>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资格审查索引表</w:t>
      </w:r>
      <w:r>
        <w:rPr>
          <w:rFonts w:hint="eastAsia" w:ascii="宋体" w:hAnsi="宋体" w:eastAsia="宋体" w:cs="宋体"/>
          <w:color w:val="000000"/>
          <w:sz w:val="30"/>
          <w:szCs w:val="30"/>
          <w:highlight w:val="none"/>
        </w:rPr>
      </w:r>
      <w:r/>
    </w:p>
    <w:tbl>
      <w:tblPr>
        <w:tblW w:w="470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8"/>
        <w:gridCol w:w="6112"/>
        <w:gridCol w:w="1236"/>
        <w:gridCol w:w="1144"/>
      </w:tblGrid>
      <w:tr>
        <w:trPr>
          <w:trHeight w:val="803"/>
        </w:trPr>
        <w:tc>
          <w:tcPr>
            <w:tcW w:w="878" w:type="dxa"/>
            <w:vAlign w:val="center"/>
            <w:textDirection w:val="lrTb"/>
            <w:noWrap w:val="false"/>
          </w:tcPr>
          <w:p>
            <w:pPr>
              <w:pStyle w:val="103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103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评审标准</w:t>
            </w:r>
            <w:r>
              <w:rPr>
                <w:rFonts w:hint="eastAsia" w:ascii="宋体" w:hAnsi="宋体" w:eastAsia="宋体" w:cs="宋体"/>
                <w:color w:val="000000"/>
                <w:sz w:val="24"/>
                <w:szCs w:val="24"/>
                <w:highlight w:val="none"/>
              </w:rPr>
            </w:r>
            <w:r/>
          </w:p>
        </w:tc>
        <w:tc>
          <w:tcPr>
            <w:tcW w:w="1236"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是否响应（填写“是”或“否”）</w:t>
            </w:r>
            <w:r>
              <w:rPr>
                <w:rFonts w:hint="eastAsia" w:ascii="宋体" w:hAnsi="宋体" w:eastAsia="宋体" w:cs="宋体"/>
                <w:color w:val="000000"/>
                <w:sz w:val="24"/>
                <w:szCs w:val="24"/>
                <w:highlight w:val="none"/>
              </w:rPr>
            </w:r>
            <w:r/>
          </w:p>
        </w:tc>
        <w:tc>
          <w:tcPr>
            <w:tcW w:w="1144"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在投标文件中的页码位置</w:t>
            </w: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1038"/>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1038"/>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1038"/>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1038"/>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1038"/>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1038"/>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1038"/>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1038"/>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1038"/>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1038"/>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1038"/>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1038"/>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1038"/>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1038"/>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1038"/>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1038"/>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1038"/>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1038"/>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1038"/>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1038"/>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1038"/>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1038"/>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038"/>
        <w:jc w:val="left"/>
        <w:rPr>
          <w:rFonts w:hint="eastAsia" w:ascii="宋体" w:hAnsi="宋体" w:eastAsia="宋体" w:cs="宋体"/>
          <w:color w:val="000000"/>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bookmarkEnd w:id="125"/>
      <w:r/>
      <w:bookmarkStart w:id="127" w:name="_Toc19767"/>
      <w:r/>
      <w:bookmarkStart w:id="128" w:name="_Toc25564"/>
      <w:r>
        <w:rPr>
          <w:rFonts w:hint="eastAsia" w:ascii="宋体" w:hAnsi="宋体" w:eastAsia="宋体" w:cs="宋体"/>
          <w:color w:val="000000"/>
          <w:szCs w:val="21"/>
          <w:highlight w:val="none"/>
        </w:rPr>
        <w:t xml:space="preserve">注：此表为表样，供应商需根据第一章“招标公告”中“投标人资质要求”自行调整，行数可自行添加，但表式不变。</w:t>
      </w:r>
      <w:r>
        <w:rPr>
          <w:rFonts w:hint="eastAsia" w:ascii="宋体" w:hAnsi="宋体" w:eastAsia="宋体" w:cs="宋体"/>
          <w:color w:val="000000"/>
          <w:sz w:val="32"/>
          <w:szCs w:val="32"/>
          <w:highlight w:val="none"/>
        </w:rPr>
      </w:r>
      <w:r/>
    </w:p>
    <w:p>
      <w:pPr>
        <w:pStyle w:val="1038"/>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1.投标申请及声明</w:t>
      </w:r>
      <w:bookmarkEnd w:id="127"/>
      <w:r/>
      <w:bookmarkEnd w:id="128"/>
      <w:r>
        <w:rPr>
          <w:rFonts w:hint="eastAsia" w:ascii="宋体" w:hAnsi="宋体" w:eastAsia="宋体" w:cs="宋体"/>
          <w:color w:val="000000"/>
          <w:sz w:val="32"/>
          <w:szCs w:val="32"/>
          <w:highlight w:val="none"/>
        </w:rPr>
      </w:r>
      <w:r/>
    </w:p>
    <w:p>
      <w:pPr>
        <w:pStyle w:val="1038"/>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致：江苏省计量科学研究院（江苏省能源计量数据中心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江苏海外集团国际工程咨询有限公司</w:t>
      </w:r>
      <w:r>
        <w:rPr>
          <w:rFonts w:hint="eastAsia" w:ascii="宋体" w:hAnsi="宋体" w:eastAsia="宋体" w:cs="宋体"/>
          <w:color w:val="000000"/>
          <w:sz w:val="24"/>
          <w:szCs w:val="24"/>
          <w:highlight w:val="none"/>
        </w:rPr>
      </w:r>
      <w:r/>
    </w:p>
    <w:p>
      <w:pPr>
        <w:pStyle w:val="1038"/>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根据贵方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（项目编号）招标邀请，正式授权下述签字人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（姓名和职务）代表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（投标人名称），提交投标文件并参加投标。</w:t>
      </w:r>
      <w:r>
        <w:rPr>
          <w:rFonts w:hint="eastAsia" w:ascii="宋体" w:hAnsi="宋体" w:eastAsia="宋体" w:cs="宋体"/>
          <w:color w:val="000000"/>
          <w:sz w:val="24"/>
          <w:szCs w:val="24"/>
          <w:highlight w:val="none"/>
        </w:rPr>
      </w:r>
      <w:r/>
    </w:p>
    <w:p>
      <w:pPr>
        <w:pStyle w:val="1038"/>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据此函，签字人兹宣布同意如下：</w:t>
      </w:r>
      <w:r>
        <w:rPr>
          <w:rFonts w:hint="eastAsia" w:ascii="宋体" w:hAnsi="宋体" w:eastAsia="宋体" w:cs="宋体"/>
          <w:color w:val="000000"/>
          <w:sz w:val="24"/>
          <w:szCs w:val="24"/>
          <w:highlight w:val="none"/>
        </w:rPr>
      </w:r>
      <w:r/>
    </w:p>
    <w:p>
      <w:pPr>
        <w:pStyle w:val="1038"/>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1.我们的资格条件完全符合本次采购要求，我们同意并向贵方提供了与本次采购活动有关的所有证据和资料。</w:t>
      </w:r>
      <w:r>
        <w:rPr>
          <w:rFonts w:hint="eastAsia" w:ascii="宋体" w:hAnsi="宋体" w:eastAsia="宋体" w:cs="宋体"/>
          <w:color w:val="000000"/>
          <w:sz w:val="24"/>
          <w:szCs w:val="24"/>
          <w:highlight w:val="none"/>
        </w:rPr>
      </w:r>
      <w:r/>
    </w:p>
    <w:p>
      <w:pPr>
        <w:pStyle w:val="1038"/>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2.项目名称：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，我们的报价：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8"/>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3.我们已详细审核全部招标文件及其有效补充文件，我们放弃对招标文件任何误解的权利，在提交投标文件后，不对招标文件本身提出质疑。否则，属于不诚信和故意扰乱采购活动行为，我们将无条件接受处罚。</w:t>
      </w:r>
      <w:r>
        <w:rPr>
          <w:rFonts w:hint="eastAsia" w:ascii="宋体" w:hAnsi="宋体" w:eastAsia="宋体" w:cs="宋体"/>
          <w:color w:val="000000"/>
          <w:sz w:val="24"/>
          <w:szCs w:val="24"/>
          <w:highlight w:val="none"/>
        </w:rPr>
      </w:r>
      <w:r/>
    </w:p>
    <w:p>
      <w:pPr>
        <w:pStyle w:val="1038"/>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4.一旦我方中标，我方将根据招标文件的规定，严格履行合同，保证在规定的时间内完成本项目规定的服务内容。</w:t>
      </w:r>
      <w:r>
        <w:rPr>
          <w:rFonts w:hint="eastAsia" w:ascii="宋体" w:hAnsi="宋体" w:eastAsia="宋体" w:cs="宋体"/>
          <w:color w:val="000000"/>
          <w:sz w:val="24"/>
          <w:szCs w:val="24"/>
          <w:highlight w:val="none"/>
        </w:rPr>
      </w:r>
      <w:r/>
    </w:p>
    <w:p>
      <w:pPr>
        <w:pStyle w:val="1038"/>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我方决不提供虚假材料谋取中标、决不采取不正当手段诋毁、排挤其他供应商、决不与采购人、其他供应商或者采购代理机构恶意串通、决不向采购人、采购代理机构工作人员和评审小组进行商业贿赂、决不拒绝有关部门监督检查或提供虚假情况，如有违反，无条件接受贵方及相关管理部门的处罚。</w:t>
      </w:r>
      <w:r>
        <w:rPr>
          <w:rFonts w:hint="eastAsia" w:ascii="宋体" w:hAnsi="宋体" w:eastAsia="宋体" w:cs="宋体"/>
          <w:color w:val="000000"/>
          <w:sz w:val="24"/>
          <w:szCs w:val="24"/>
          <w:highlight w:val="none"/>
        </w:rPr>
      </w:r>
      <w:r/>
    </w:p>
    <w:p>
      <w:pPr>
        <w:pStyle w:val="1038"/>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6.我方正式通讯方式为：</w:t>
      </w:r>
      <w:r>
        <w:rPr>
          <w:rFonts w:hint="eastAsia" w:ascii="宋体" w:hAnsi="宋体" w:eastAsia="宋体" w:cs="宋体"/>
          <w:color w:val="000000"/>
          <w:sz w:val="24"/>
          <w:szCs w:val="24"/>
          <w:highlight w:val="none"/>
        </w:rPr>
      </w:r>
      <w:r/>
    </w:p>
    <w:p>
      <w:pPr>
        <w:pStyle w:val="1038"/>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rPr>
      </w:r>
      <w:r/>
    </w:p>
    <w:p>
      <w:pPr>
        <w:pStyle w:val="1038"/>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rPr>
      </w:r>
      <w:r/>
    </w:p>
    <w:p>
      <w:pPr>
        <w:pStyle w:val="1038"/>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传真：</w:t>
      </w:r>
      <w:r>
        <w:rPr>
          <w:rFonts w:hint="eastAsia" w:ascii="宋体" w:hAnsi="宋体" w:eastAsia="宋体" w:cs="宋体"/>
          <w:color w:val="000000"/>
          <w:sz w:val="24"/>
          <w:szCs w:val="24"/>
          <w:highlight w:val="none"/>
        </w:rPr>
      </w:r>
      <w:r/>
    </w:p>
    <w:p>
      <w:pPr>
        <w:pStyle w:val="1038"/>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7.我方正式开户银行和账号为：</w:t>
      </w:r>
      <w:r>
        <w:rPr>
          <w:rFonts w:hint="eastAsia" w:ascii="宋体" w:hAnsi="宋体" w:eastAsia="宋体" w:cs="宋体"/>
          <w:color w:val="000000"/>
          <w:sz w:val="24"/>
          <w:szCs w:val="24"/>
          <w:highlight w:val="none"/>
        </w:rPr>
      </w:r>
      <w:r/>
    </w:p>
    <w:p>
      <w:pPr>
        <w:pStyle w:val="1038"/>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rPr>
      </w:r>
      <w:r/>
    </w:p>
    <w:p>
      <w:pPr>
        <w:pStyle w:val="1038"/>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账号：</w:t>
      </w:r>
      <w:r>
        <w:rPr>
          <w:rFonts w:hint="eastAsia" w:ascii="宋体" w:hAnsi="宋体" w:eastAsia="宋体" w:cs="宋体"/>
          <w:color w:val="000000"/>
          <w:sz w:val="24"/>
          <w:szCs w:val="24"/>
          <w:highlight w:val="none"/>
        </w:rPr>
      </w:r>
      <w:r/>
    </w:p>
    <w:p>
      <w:pPr>
        <w:pStyle w:val="1038"/>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1038"/>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授权代表（签字）：</w:t>
      </w:r>
      <w:r>
        <w:rPr>
          <w:rFonts w:hint="eastAsia" w:ascii="宋体" w:hAnsi="宋体" w:eastAsia="宋体" w:cs="宋体"/>
          <w:color w:val="000000"/>
          <w:sz w:val="24"/>
          <w:szCs w:val="24"/>
          <w:highlight w:val="none"/>
        </w:rPr>
      </w:r>
      <w:r/>
    </w:p>
    <w:p>
      <w:pPr>
        <w:pStyle w:val="1038"/>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038"/>
        <w:numPr>
          <w:ilvl w:val="0"/>
          <w:numId w:val="43"/>
        </w:numPr>
        <w:jc w:val="center"/>
        <w:tabs>
          <w:tab w:val="left" w:pos="312" w:leader="none"/>
        </w:tabs>
        <w:rPr>
          <w:rFonts w:hint="eastAsia" w:ascii="宋体" w:hAnsi="宋体" w:eastAsia="宋体" w:cs="宋体"/>
          <w:color w:val="000000"/>
          <w:sz w:val="32"/>
          <w:szCs w:val="32"/>
          <w:highlight w:val="none"/>
        </w:rPr>
      </w:pPr>
      <w:r>
        <w:rPr>
          <w:rFonts w:hint="eastAsia" w:ascii="宋体" w:hAnsi="宋体" w:eastAsia="宋体" w:cs="宋体"/>
          <w:color w:val="000000"/>
          <w:highlight w:val="none"/>
        </w:rPr>
        <w:br w:type="page" w:clear="all"/>
      </w:r>
      <w:bookmarkStart w:id="129" w:name="_Toc3313"/>
      <w:r/>
      <w:bookmarkStart w:id="130" w:name="_Toc7351"/>
      <w:r>
        <w:rPr>
          <w:rFonts w:hint="eastAsia" w:ascii="宋体" w:hAnsi="宋体" w:eastAsia="宋体" w:cs="宋体"/>
          <w:color w:val="000000"/>
          <w:sz w:val="32"/>
          <w:szCs w:val="32"/>
          <w:highlight w:val="none"/>
        </w:rPr>
        <w:t xml:space="preserve">授权委托书</w:t>
      </w:r>
      <w:bookmarkEnd w:id="129"/>
      <w:r/>
      <w:bookmarkEnd w:id="130"/>
      <w:r>
        <w:rPr>
          <w:rFonts w:hint="eastAsia" w:ascii="宋体" w:hAnsi="宋体" w:eastAsia="宋体" w:cs="宋体"/>
          <w:color w:val="000000"/>
          <w:sz w:val="32"/>
          <w:szCs w:val="32"/>
          <w:highlight w:val="none"/>
        </w:rPr>
      </w:r>
      <w:r/>
    </w:p>
    <w:p>
      <w:pPr>
        <w:pStyle w:val="1038"/>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法人授权委托书</w:t>
      </w:r>
      <w:r>
        <w:rPr>
          <w:rFonts w:hint="eastAsia" w:ascii="宋体" w:hAnsi="宋体" w:eastAsia="宋体" w:cs="宋体"/>
          <w:color w:val="000000"/>
          <w:sz w:val="28"/>
          <w:szCs w:val="28"/>
          <w:highlight w:val="none"/>
        </w:rPr>
      </w:r>
      <w:r/>
    </w:p>
    <w:p>
      <w:pPr>
        <w:pStyle w:val="1038"/>
        <w:spacing w:before="0" w:after="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致：江苏省计量科学研究院（江苏省能源计量数据中心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8"/>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江苏海外集团国际工程咨询有限公司</w:t>
      </w:r>
      <w:r>
        <w:rPr>
          <w:rFonts w:hint="eastAsia" w:ascii="宋体" w:hAnsi="宋体" w:eastAsia="宋体" w:cs="宋体"/>
          <w:color w:val="000000"/>
          <w:sz w:val="24"/>
          <w:szCs w:val="24"/>
          <w:highlight w:val="none"/>
        </w:rPr>
      </w:r>
      <w:r/>
    </w:p>
    <w:p>
      <w:pPr>
        <w:pStyle w:val="1038"/>
        <w:ind w:firstLine="480"/>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8"/>
        <w:ind w:firstLine="480"/>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本授权书声明：注册于</w:t>
      </w:r>
      <w:r>
        <w:rPr>
          <w:rFonts w:hint="eastAsia" w:ascii="宋体" w:hAnsi="宋体" w:eastAsia="宋体" w:cs="宋体"/>
          <w:color w:val="000000"/>
          <w:sz w:val="24"/>
          <w:szCs w:val="24"/>
          <w:highlight w:val="none"/>
          <w:u w:val="single"/>
        </w:rPr>
        <w:t xml:space="preserve">       （供应商住址）</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      （投标人名称）</w:t>
      </w:r>
      <w:r>
        <w:rPr>
          <w:rFonts w:hint="eastAsia" w:ascii="宋体" w:hAnsi="宋体" w:eastAsia="宋体" w:cs="宋体"/>
          <w:color w:val="000000"/>
          <w:sz w:val="24"/>
          <w:szCs w:val="24"/>
          <w:highlight w:val="none"/>
        </w:rPr>
        <w:t xml:space="preserve">法定代表人</w:t>
      </w:r>
      <w:r>
        <w:rPr>
          <w:rFonts w:hint="eastAsia" w:ascii="宋体" w:hAnsi="宋体" w:eastAsia="宋体" w:cs="宋体"/>
          <w:color w:val="000000"/>
          <w:sz w:val="24"/>
          <w:szCs w:val="24"/>
          <w:highlight w:val="none"/>
          <w:u w:val="single"/>
        </w:rPr>
        <w:t xml:space="preserve">    （法定代表人姓名、职务）</w:t>
      </w:r>
      <w:r>
        <w:rPr>
          <w:rFonts w:hint="eastAsia" w:ascii="宋体" w:hAnsi="宋体" w:eastAsia="宋体" w:cs="宋体"/>
          <w:color w:val="000000"/>
          <w:sz w:val="24"/>
          <w:szCs w:val="24"/>
          <w:highlight w:val="none"/>
        </w:rPr>
        <w:t xml:space="preserve">代表本公司授权在下面签字的</w:t>
      </w:r>
      <w:r>
        <w:rPr>
          <w:rFonts w:hint="eastAsia" w:ascii="宋体" w:hAnsi="宋体" w:eastAsia="宋体" w:cs="宋体"/>
          <w:color w:val="000000"/>
          <w:sz w:val="24"/>
          <w:szCs w:val="24"/>
          <w:highlight w:val="none"/>
          <w:u w:val="single"/>
        </w:rPr>
        <w:t xml:space="preserve">          （供应商代表姓名、职务）</w:t>
      </w:r>
      <w:r>
        <w:rPr>
          <w:rFonts w:hint="eastAsia" w:ascii="宋体" w:hAnsi="宋体" w:eastAsia="宋体" w:cs="宋体"/>
          <w:color w:val="000000"/>
          <w:sz w:val="24"/>
          <w:szCs w:val="24"/>
          <w:highlight w:val="none"/>
        </w:rPr>
        <w:t xml:space="preserve">为本公司的合法代理人，就贵方组织的</w:t>
      </w:r>
      <w:r>
        <w:rPr>
          <w:rFonts w:hint="eastAsia" w:ascii="宋体" w:hAnsi="宋体" w:eastAsia="宋体" w:cs="宋体"/>
          <w:color w:val="000000"/>
          <w:sz w:val="24"/>
          <w:szCs w:val="24"/>
          <w:highlight w:val="none"/>
          <w:u w:val="single"/>
        </w:rPr>
        <w:t xml:space="preserve">      （项目名称）（项目编号）</w:t>
      </w:r>
      <w:r>
        <w:rPr>
          <w:rFonts w:hint="eastAsia" w:ascii="宋体" w:hAnsi="宋体" w:eastAsia="宋体" w:cs="宋体"/>
          <w:color w:val="000000"/>
          <w:sz w:val="24"/>
          <w:szCs w:val="24"/>
          <w:highlight w:val="none"/>
        </w:rPr>
        <w:t xml:space="preserve">公开招标活动，以本公司名义处理一切与之有关的事务。</w:t>
      </w:r>
      <w:r>
        <w:rPr>
          <w:rFonts w:hint="eastAsia" w:ascii="宋体" w:hAnsi="宋体" w:eastAsia="宋体" w:cs="宋体"/>
          <w:color w:val="000000"/>
          <w:sz w:val="24"/>
          <w:szCs w:val="24"/>
          <w:highlight w:val="none"/>
        </w:rPr>
      </w:r>
      <w:r/>
    </w:p>
    <w:p>
      <w:pPr>
        <w:pStyle w:val="1038"/>
        <w:ind w:firstLine="480"/>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本授权书于    年  月  日签字生效，特此声明。</w:t>
      </w:r>
      <w:r>
        <w:rPr>
          <w:rFonts w:hint="eastAsia" w:ascii="宋体" w:hAnsi="宋体" w:eastAsia="宋体" w:cs="宋体"/>
          <w:color w:val="000000"/>
          <w:sz w:val="24"/>
          <w:szCs w:val="24"/>
          <w:highlight w:val="none"/>
        </w:rPr>
      </w:r>
      <w:r/>
    </w:p>
    <w:p>
      <w:pPr>
        <w:pStyle w:val="1038"/>
        <w:ind w:firstLine="48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附：法定代表人身份证复印件：</w:t>
      </w:r>
      <w:r>
        <w:rPr>
          <w:rFonts w:hint="eastAsia" w:ascii="宋体" w:hAnsi="宋体" w:eastAsia="宋体" w:cs="宋体"/>
          <w:color w:val="000000"/>
          <w:sz w:val="24"/>
          <w:szCs w:val="24"/>
          <w:highlight w:val="none"/>
        </w:rPr>
      </w:r>
      <w:r/>
    </w:p>
    <w:tbl>
      <w:tblPr>
        <w:tblW w:w="0" w:type="auto"/>
        <w:tblInd w:w="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20"/>
        <w:gridCol w:w="4705"/>
      </w:tblGrid>
      <w:tr>
        <w:trPr>
          <w:trHeight w:val="2366"/>
        </w:trPr>
        <w:tc>
          <w:tcPr>
            <w:tcW w:w="4920" w:type="dxa"/>
            <w:vAlign w:val="top"/>
            <w:textDirection w:val="lrTb"/>
            <w:noWrap w:val="false"/>
          </w:tcPr>
          <w:p>
            <w:pPr>
              <w:pStyle w:val="103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4705" w:type="dxa"/>
            <w:vAlign w:val="top"/>
            <w:textDirection w:val="lrTb"/>
            <w:noWrap w:val="false"/>
          </w:tcPr>
          <w:p>
            <w:pPr>
              <w:pStyle w:val="1038"/>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pStyle w:val="1038"/>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授权代表身份证复印件：</w:t>
      </w:r>
      <w:r>
        <w:rPr>
          <w:rFonts w:hint="eastAsia" w:ascii="宋体" w:hAnsi="宋体" w:eastAsia="宋体" w:cs="宋体"/>
          <w:color w:val="000000"/>
          <w:sz w:val="24"/>
          <w:szCs w:val="24"/>
          <w:highlight w:val="none"/>
        </w:rPr>
      </w:r>
      <w:r/>
    </w:p>
    <w:tbl>
      <w:tblPr>
        <w:tblW w:w="0" w:type="auto"/>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32"/>
        <w:gridCol w:w="4718"/>
      </w:tblGrid>
      <w:tr>
        <w:trPr>
          <w:trHeight w:val="2222"/>
        </w:trPr>
        <w:tc>
          <w:tcPr>
            <w:tcW w:w="4932" w:type="dxa"/>
            <w:vAlign w:val="top"/>
            <w:textDirection w:val="lrTb"/>
            <w:noWrap w:val="false"/>
          </w:tcPr>
          <w:p>
            <w:pPr>
              <w:pStyle w:val="103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4718" w:type="dxa"/>
            <w:vAlign w:val="top"/>
            <w:textDirection w:val="lrTb"/>
            <w:noWrap w:val="false"/>
          </w:tcPr>
          <w:p>
            <w:pPr>
              <w:pStyle w:val="1038"/>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法定代表人签章：</w:t>
      </w:r>
      <w:r>
        <w:rPr>
          <w:rFonts w:hint="eastAsia" w:ascii="宋体" w:hAnsi="宋体" w:eastAsia="宋体" w:cs="宋体"/>
          <w:color w:val="000000"/>
          <w:sz w:val="24"/>
          <w:szCs w:val="24"/>
          <w:highlight w:val="none"/>
        </w:rPr>
      </w:r>
      <w:r/>
    </w:p>
    <w:p>
      <w:pPr>
        <w:pStyle w:val="1038"/>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授权代表（签字）：</w:t>
      </w:r>
      <w:r>
        <w:rPr>
          <w:rFonts w:hint="eastAsia" w:ascii="宋体" w:hAnsi="宋体" w:eastAsia="宋体" w:cs="宋体"/>
          <w:color w:val="000000"/>
          <w:sz w:val="24"/>
          <w:szCs w:val="24"/>
          <w:highlight w:val="none"/>
        </w:rPr>
      </w:r>
      <w:r/>
    </w:p>
    <w:p>
      <w:pPr>
        <w:pStyle w:val="1038"/>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038"/>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8"/>
        <w:spacing w:before="0" w:after="0"/>
        <w:rPr>
          <w:rFonts w:hint="eastAsia" w:ascii="宋体" w:hAnsi="宋体" w:eastAsia="宋体" w:cs="宋体"/>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24"/>
          <w:szCs w:val="24"/>
          <w:highlight w:val="none"/>
        </w:rPr>
      </w:r>
      <w:r/>
    </w:p>
    <w:p>
      <w:pPr>
        <w:pStyle w:val="1038"/>
        <w:spacing w:before="0" w:after="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授权委托书附件：</w:t>
      </w:r>
      <w:r>
        <w:rPr>
          <w:rFonts w:hint="eastAsia" w:ascii="宋体" w:hAnsi="宋体" w:eastAsia="宋体" w:cs="宋体"/>
          <w:b/>
          <w:bCs/>
          <w:color w:val="000000"/>
          <w:sz w:val="24"/>
          <w:szCs w:val="24"/>
          <w:highlight w:val="none"/>
        </w:rPr>
      </w:r>
      <w:r/>
    </w:p>
    <w:p>
      <w:pPr>
        <w:pStyle w:val="1038"/>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授权代表社保证明：</w:t>
      </w:r>
      <w:r>
        <w:rPr>
          <w:rFonts w:hint="eastAsia" w:ascii="宋体" w:hAnsi="宋体" w:eastAsia="宋体" w:cs="宋体"/>
          <w:color w:val="000000"/>
          <w:sz w:val="24"/>
          <w:szCs w:val="24"/>
          <w:highlight w:val="none"/>
        </w:rPr>
      </w:r>
      <w:r/>
    </w:p>
    <w:tbl>
      <w:tblPr>
        <w:tblW w:w="0" w:type="auto"/>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50"/>
      </w:tblGrid>
      <w:tr>
        <w:trPr>
          <w:trHeight w:val="5747"/>
        </w:trPr>
        <w:tc>
          <w:tcPr>
            <w:tcW w:w="9650" w:type="dxa"/>
            <w:vAlign w:val="top"/>
            <w:textDirection w:val="lrTb"/>
            <w:noWrap w:val="false"/>
          </w:tcPr>
          <w:p>
            <w:pPr>
              <w:pStyle w:val="1038"/>
              <w:rPr>
                <w:color w:val="000000"/>
                <w:highlight w:val="none"/>
              </w:rPr>
            </w:pPr>
            <w:r>
              <w:rPr>
                <w:color w:val="000000"/>
                <w:highlight w:val="none"/>
              </w:rPr>
            </w:r>
            <w:r/>
          </w:p>
        </w:tc>
      </w:tr>
    </w:tbl>
    <w:p>
      <w:pPr>
        <w:pStyle w:val="1038"/>
        <w:spacing w:before="0" w:after="0"/>
        <w:rPr>
          <w:rFonts w:hint="eastAsia" w:ascii="宋体" w:hAnsi="宋体" w:eastAsia="宋体" w:cs="宋体"/>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24"/>
          <w:szCs w:val="24"/>
          <w:highlight w:val="none"/>
        </w:rPr>
        <w:t xml:space="preserve">注：提供投标截止时间前近六个月内任一个月社保证明（加盖社保中心章或社保中心参保缴费证明电子专用章），若授权代表属企业退休人员、现役军人等客观原因无法提供养老保险金缴费证明，需在投标文件内提供具体情况说明及证明。</w:t>
      </w:r>
      <w:r>
        <w:rPr>
          <w:rFonts w:hint="eastAsia" w:ascii="宋体" w:hAnsi="宋体" w:eastAsia="宋体" w:cs="宋体"/>
          <w:color w:val="000000"/>
          <w:sz w:val="24"/>
          <w:szCs w:val="24"/>
          <w:highlight w:val="none"/>
        </w:rPr>
      </w:r>
      <w:r/>
    </w:p>
    <w:p>
      <w:pPr>
        <w:pStyle w:val="1038"/>
        <w:jc w:val="center"/>
        <w:rPr>
          <w:rFonts w:hint="eastAsia" w:ascii="宋体" w:hAnsi="宋体" w:eastAsia="宋体" w:cs="宋体"/>
          <w:color w:val="000000"/>
          <w:sz w:val="32"/>
          <w:szCs w:val="32"/>
          <w:highlight w:val="none"/>
        </w:rPr>
      </w:pPr>
      <w:r/>
      <w:bookmarkStart w:id="131" w:name="_Toc19427"/>
      <w:r/>
      <w:bookmarkStart w:id="132" w:name="_Toc23857"/>
      <w:r>
        <w:rPr>
          <w:rFonts w:hint="eastAsia" w:ascii="宋体" w:hAnsi="宋体" w:eastAsia="宋体" w:cs="宋体"/>
          <w:color w:val="000000"/>
          <w:sz w:val="32"/>
          <w:szCs w:val="32"/>
          <w:highlight w:val="none"/>
        </w:rPr>
        <w:t xml:space="preserve">3.报价表格格式</w:t>
      </w:r>
      <w:r>
        <w:rPr>
          <w:rFonts w:hint="eastAsia" w:ascii="宋体" w:hAnsi="宋体" w:eastAsia="宋体" w:cs="宋体"/>
          <w:color w:val="000000"/>
          <w:sz w:val="32"/>
          <w:szCs w:val="32"/>
          <w:highlight w:val="none"/>
        </w:rPr>
      </w:r>
      <w:r/>
    </w:p>
    <w:p>
      <w:pPr>
        <w:pStyle w:val="1038"/>
        <w:jc w:val="center"/>
        <w:widowControl/>
        <w:rPr>
          <w:rFonts w:hint="eastAsia" w:ascii="宋体" w:hAnsi="宋体" w:eastAsia="宋体" w:cs="宋体"/>
          <w:bCs/>
          <w:color w:val="000000"/>
          <w:szCs w:val="21"/>
          <w:highlight w:val="none"/>
        </w:rPr>
      </w:pPr>
      <w:r>
        <w:rPr>
          <w:rFonts w:hint="eastAsia" w:ascii="宋体" w:hAnsi="宋体" w:eastAsia="宋体" w:cs="宋体"/>
          <w:b/>
          <w:color w:val="000000"/>
          <w:sz w:val="24"/>
          <w:szCs w:val="24"/>
          <w:highlight w:val="none"/>
        </w:rPr>
        <w:t xml:space="preserve">（1）报价一览表</w:t>
      </w:r>
      <w:bookmarkEnd w:id="131"/>
      <w:r/>
      <w:bookmarkEnd w:id="132"/>
      <w:r>
        <w:rPr>
          <w:rFonts w:hint="eastAsia" w:ascii="宋体" w:hAnsi="宋体" w:eastAsia="宋体" w:cs="宋体"/>
          <w:b/>
          <w:color w:val="000000"/>
          <w:sz w:val="24"/>
          <w:szCs w:val="24"/>
          <w:highlight w:val="none"/>
        </w:rPr>
        <w:t xml:space="preserve">（格式）</w:t>
      </w:r>
      <w:r>
        <w:rPr>
          <w:rFonts w:hint="eastAsia" w:ascii="宋体" w:hAnsi="宋体" w:eastAsia="宋体" w:cs="宋体"/>
          <w:bCs/>
          <w:color w:val="000000"/>
          <w:szCs w:val="21"/>
          <w:highlight w:val="none"/>
        </w:rPr>
      </w:r>
      <w:r/>
    </w:p>
    <w:tbl>
      <w:tblPr>
        <w:tblW w:w="0" w:type="auto"/>
        <w:tblInd w:w="-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988"/>
        <w:gridCol w:w="3345"/>
        <w:gridCol w:w="9"/>
        <w:gridCol w:w="4241"/>
      </w:tblGrid>
      <w:tr>
        <w:trPr>
          <w:cantSplit/>
          <w:trHeight w:val="555"/>
        </w:trPr>
        <w:tc>
          <w:tcPr>
            <w:tcW w:w="1988" w:type="dxa"/>
            <w:vAlign w:val="center"/>
            <w:textDirection w:val="lrTb"/>
            <w:noWrap w:val="false"/>
          </w:tcPr>
          <w:p>
            <w:pPr>
              <w:pStyle w:val="1038"/>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项目名称</w:t>
            </w:r>
            <w:r>
              <w:rPr>
                <w:rFonts w:hint="eastAsia" w:ascii="宋体" w:hAnsi="宋体" w:eastAsia="宋体" w:cs="宋体"/>
                <w:b/>
                <w:bCs/>
                <w:color w:val="000000"/>
                <w:highlight w:val="none"/>
              </w:rPr>
            </w:r>
            <w:r/>
          </w:p>
        </w:tc>
        <w:tc>
          <w:tcPr>
            <w:gridSpan w:val="3"/>
            <w:tcW w:w="7595" w:type="dxa"/>
            <w:vAlign w:val="center"/>
            <w:textDirection w:val="lrTb"/>
            <w:noWrap w:val="false"/>
          </w:tcPr>
          <w:p>
            <w:pPr>
              <w:pStyle w:val="1038"/>
              <w:spacing w:before="0" w:after="0" w:line="44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cantSplit/>
          <w:trHeight w:val="515"/>
        </w:trPr>
        <w:tc>
          <w:tcPr>
            <w:tcW w:w="1988" w:type="dxa"/>
            <w:vAlign w:val="center"/>
            <w:textDirection w:val="lrTb"/>
            <w:noWrap w:val="false"/>
          </w:tcPr>
          <w:p>
            <w:pPr>
              <w:pStyle w:val="1038"/>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项目编号</w:t>
            </w:r>
            <w:r>
              <w:rPr>
                <w:rFonts w:hint="eastAsia" w:ascii="宋体" w:hAnsi="宋体" w:eastAsia="宋体" w:cs="宋体"/>
                <w:b/>
                <w:bCs/>
                <w:color w:val="000000"/>
                <w:highlight w:val="none"/>
              </w:rPr>
            </w:r>
            <w:r/>
          </w:p>
        </w:tc>
        <w:tc>
          <w:tcPr>
            <w:gridSpan w:val="3"/>
            <w:tcW w:w="7595" w:type="dxa"/>
            <w:vAlign w:val="center"/>
            <w:textDirection w:val="lrTb"/>
            <w:noWrap w:val="false"/>
          </w:tcPr>
          <w:p>
            <w:pPr>
              <w:pStyle w:val="1038"/>
              <w:spacing w:before="0" w:after="0" w:line="44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cantSplit/>
          <w:trHeight w:val="485"/>
        </w:trPr>
        <w:tc>
          <w:tcPr>
            <w:tcW w:w="1988" w:type="dxa"/>
            <w:vAlign w:val="center"/>
            <w:textDirection w:val="lrTb"/>
            <w:noWrap w:val="false"/>
          </w:tcPr>
          <w:p>
            <w:pPr>
              <w:pStyle w:val="1038"/>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分包号（标段号）</w:t>
            </w:r>
            <w:r>
              <w:rPr>
                <w:rFonts w:hint="eastAsia" w:ascii="宋体" w:hAnsi="宋体" w:eastAsia="宋体" w:cs="宋体"/>
                <w:b/>
                <w:bCs/>
                <w:color w:val="000000"/>
                <w:highlight w:val="none"/>
              </w:rPr>
            </w:r>
            <w:r/>
          </w:p>
        </w:tc>
        <w:tc>
          <w:tcPr>
            <w:gridSpan w:val="3"/>
            <w:tcW w:w="7595" w:type="dxa"/>
            <w:vAlign w:val="center"/>
            <w:textDirection w:val="lrTb"/>
            <w:noWrap w:val="false"/>
          </w:tcPr>
          <w:p>
            <w:pPr>
              <w:pStyle w:val="1038"/>
              <w:spacing w:before="0" w:after="0" w:line="44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cantSplit/>
          <w:trHeight w:val="505"/>
        </w:trPr>
        <w:tc>
          <w:tcPr>
            <w:tcW w:w="1988" w:type="dxa"/>
            <w:vAlign w:val="center"/>
            <w:textDirection w:val="lrTb"/>
            <w:noWrap w:val="false"/>
          </w:tcPr>
          <w:p>
            <w:pPr>
              <w:pStyle w:val="1038"/>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投标报价（含税）</w:t>
            </w:r>
            <w:r>
              <w:rPr>
                <w:rFonts w:hint="eastAsia" w:ascii="宋体" w:hAnsi="宋体" w:eastAsia="宋体" w:cs="宋体"/>
                <w:b/>
                <w:bCs/>
                <w:color w:val="000000"/>
                <w:highlight w:val="none"/>
              </w:rPr>
            </w:r>
            <w:r/>
          </w:p>
        </w:tc>
        <w:tc>
          <w:tcPr>
            <w:gridSpan w:val="2"/>
            <w:tcW w:w="3354" w:type="dxa"/>
            <w:vAlign w:val="center"/>
            <w:textDirection w:val="lrTb"/>
            <w:noWrap w:val="false"/>
          </w:tcPr>
          <w:p>
            <w:pPr>
              <w:pStyle w:val="1038"/>
              <w:jc w:val="center"/>
              <w:spacing w:before="0" w:after="0" w:line="240" w:lineRule="auto"/>
              <w:rPr>
                <w:rFonts w:hint="eastAsia" w:ascii="宋体" w:hAnsi="宋体" w:eastAsia="宋体" w:cs="宋体"/>
                <w:color w:val="000000"/>
                <w:highlight w:val="none"/>
                <w:lang w:val="zh-CN"/>
              </w:rPr>
            </w:pP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元</w:t>
            </w:r>
            <w:r>
              <w:rPr>
                <w:rFonts w:hint="eastAsia" w:ascii="宋体" w:hAnsi="宋体" w:eastAsia="宋体" w:cs="宋体"/>
                <w:color w:val="000000"/>
                <w:highlight w:val="none"/>
                <w:lang w:val="zh-CN"/>
              </w:rPr>
            </w:r>
            <w:r/>
          </w:p>
        </w:tc>
        <w:tc>
          <w:tcPr>
            <w:tcW w:w="4241" w:type="dxa"/>
            <w:vAlign w:val="center"/>
            <w:textDirection w:val="lrTb"/>
            <w:noWrap w:val="false"/>
          </w:tcPr>
          <w:p>
            <w:pPr>
              <w:pStyle w:val="1038"/>
              <w:jc w:val="center"/>
              <w:spacing w:before="0" w:after="0" w:line="240" w:lineRule="auto"/>
              <w:rPr>
                <w:rFonts w:hint="eastAsia" w:ascii="宋体" w:hAnsi="宋体" w:eastAsia="宋体" w:cs="宋体"/>
                <w:color w:val="000000"/>
                <w:highlight w:val="none"/>
                <w:u w:val="single"/>
              </w:rPr>
            </w:pP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元</w:t>
            </w:r>
            <w:r>
              <w:rPr>
                <w:rFonts w:hint="eastAsia" w:ascii="宋体" w:hAnsi="宋体" w:eastAsia="宋体" w:cs="宋体"/>
                <w:color w:val="000000"/>
                <w:highlight w:val="none"/>
                <w:u w:val="single"/>
              </w:rPr>
            </w:r>
            <w:r/>
          </w:p>
        </w:tc>
      </w:tr>
      <w:tr>
        <w:trPr>
          <w:cantSplit/>
          <w:trHeight w:val="505"/>
        </w:trPr>
        <w:tc>
          <w:tcPr>
            <w:tcW w:w="1988" w:type="dxa"/>
            <w:vAlign w:val="center"/>
            <w:textDirection w:val="lrTb"/>
            <w:noWrap w:val="false"/>
          </w:tcPr>
          <w:p>
            <w:pPr>
              <w:pStyle w:val="1038"/>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税率</w:t>
            </w:r>
            <w:r>
              <w:rPr>
                <w:rFonts w:hint="eastAsia" w:ascii="宋体" w:hAnsi="宋体" w:eastAsia="宋体" w:cs="宋体"/>
                <w:b/>
                <w:bCs/>
                <w:color w:val="000000"/>
                <w:highlight w:val="none"/>
              </w:rPr>
            </w:r>
            <w:r/>
          </w:p>
        </w:tc>
        <w:tc>
          <w:tcPr>
            <w:gridSpan w:val="3"/>
            <w:tcW w:w="7595" w:type="dxa"/>
            <w:vAlign w:val="center"/>
            <w:textDirection w:val="lrTb"/>
            <w:noWrap w:val="false"/>
          </w:tcPr>
          <w:p>
            <w:pPr>
              <w:pStyle w:val="1038"/>
              <w:jc w:val="center"/>
              <w:spacing w:before="0" w:after="0" w:line="240" w:lineRule="auto"/>
              <w:rPr>
                <w:rFonts w:hint="eastAsia" w:ascii="宋体" w:hAnsi="宋体" w:eastAsia="宋体" w:cs="宋体"/>
                <w:color w:val="000000"/>
                <w:highlight w:val="none"/>
                <w:lang w:val="zh-CN"/>
              </w:rPr>
            </w:pP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zh-CN"/>
              </w:rPr>
            </w:r>
            <w:r/>
          </w:p>
        </w:tc>
      </w:tr>
      <w:tr>
        <w:trPr>
          <w:cantSplit/>
          <w:trHeight w:val="495"/>
        </w:trPr>
        <w:tc>
          <w:tcPr>
            <w:tcW w:w="1988" w:type="dxa"/>
            <w:vAlign w:val="center"/>
            <w:textDirection w:val="lrTb"/>
            <w:noWrap w:val="false"/>
          </w:tcPr>
          <w:p>
            <w:pPr>
              <w:pStyle w:val="1038"/>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交货期</w:t>
            </w:r>
            <w:r>
              <w:rPr>
                <w:rFonts w:hint="eastAsia" w:ascii="宋体" w:hAnsi="宋体" w:eastAsia="宋体" w:cs="宋体"/>
                <w:b/>
                <w:bCs/>
                <w:color w:val="000000"/>
                <w:highlight w:val="none"/>
              </w:rPr>
            </w:r>
            <w:r/>
          </w:p>
        </w:tc>
        <w:tc>
          <w:tcPr>
            <w:gridSpan w:val="3"/>
            <w:tcW w:w="7595" w:type="dxa"/>
            <w:vAlign w:val="center"/>
            <w:textDirection w:val="lrTb"/>
            <w:noWrap w:val="false"/>
          </w:tcPr>
          <w:p>
            <w:pPr>
              <w:pStyle w:val="1038"/>
              <w:jc w:val="center"/>
              <w:spacing w:before="0" w:after="0" w:line="240" w:lineRule="auto"/>
              <w:rPr>
                <w:rFonts w:hint="eastAsia" w:ascii="宋体" w:hAnsi="宋体" w:eastAsia="宋体" w:cs="宋体"/>
                <w:color w:val="000000"/>
                <w:highlight w:val="none"/>
                <w:lang w:val="zh-CN"/>
              </w:rPr>
            </w:pP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lang w:val="zh-CN"/>
              </w:rPr>
            </w:r>
            <w:r/>
          </w:p>
        </w:tc>
      </w:tr>
      <w:tr>
        <w:trPr>
          <w:cantSplit/>
          <w:trHeight w:val="648"/>
        </w:trPr>
        <w:tc>
          <w:tcPr>
            <w:tcW w:w="1988" w:type="dxa"/>
            <w:vAlign w:val="center"/>
            <w:vMerge w:val="restart"/>
            <w:textDirection w:val="lrTb"/>
            <w:noWrap w:val="false"/>
          </w:tcPr>
          <w:p>
            <w:pPr>
              <w:pStyle w:val="1038"/>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企业类型</w:t>
            </w:r>
            <w:r>
              <w:rPr>
                <w:rFonts w:hint="eastAsia" w:ascii="宋体" w:hAnsi="宋体" w:eastAsia="宋体" w:cs="宋体"/>
                <w:b/>
                <w:bCs/>
                <w:color w:val="000000"/>
                <w:highlight w:val="none"/>
              </w:rPr>
            </w:r>
            <w:r/>
          </w:p>
        </w:tc>
        <w:tc>
          <w:tcPr>
            <w:tcW w:w="3345" w:type="dxa"/>
            <w:vAlign w:val="center"/>
            <w:textDirection w:val="lrTb"/>
            <w:noWrap w:val="false"/>
          </w:tcPr>
          <w:p>
            <w:pPr>
              <w:pStyle w:val="1038"/>
              <w:jc w:val="center"/>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lang w:val="zh-CN"/>
              </w:rPr>
              <w:t xml:space="preserve">是否属于小微型企业</w:t>
            </w:r>
            <w:r>
              <w:rPr>
                <w:rFonts w:hint="eastAsia" w:ascii="宋体" w:hAnsi="宋体" w:eastAsia="宋体" w:cs="宋体"/>
                <w:color w:val="000000"/>
                <w:highlight w:val="none"/>
              </w:rPr>
            </w:r>
            <w:r/>
          </w:p>
        </w:tc>
        <w:tc>
          <w:tcPr>
            <w:gridSpan w:val="2"/>
            <w:tcW w:w="4250" w:type="dxa"/>
            <w:vAlign w:val="center"/>
            <w:textDirection w:val="lrTb"/>
            <w:noWrap w:val="false"/>
          </w:tcPr>
          <w:p>
            <w:pPr>
              <w:pStyle w:val="1038"/>
              <w:jc w:val="center"/>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是</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否</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cantSplit/>
          <w:trHeight w:val="627"/>
        </w:trPr>
        <w:tc>
          <w:tcPr>
            <w:tcW w:w="1988" w:type="dxa"/>
            <w:vAlign w:val="center"/>
            <w:vMerge w:val="continue"/>
            <w:textDirection w:val="lrTb"/>
            <w:noWrap w:val="false"/>
          </w:tcPr>
          <w:p>
            <w:pPr>
              <w:pStyle w:val="1038"/>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tc>
        <w:tc>
          <w:tcPr>
            <w:tcW w:w="3345" w:type="dxa"/>
            <w:vAlign w:val="center"/>
            <w:textDirection w:val="lrTb"/>
            <w:noWrap w:val="false"/>
          </w:tcPr>
          <w:p>
            <w:pPr>
              <w:pStyle w:val="1038"/>
              <w:jc w:val="center"/>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lang w:val="zh-CN"/>
              </w:rPr>
              <w:t xml:space="preserve">是否属于残疾人福利性单位</w:t>
            </w:r>
            <w:r>
              <w:rPr>
                <w:rFonts w:hint="eastAsia" w:ascii="宋体" w:hAnsi="宋体" w:eastAsia="宋体" w:cs="宋体"/>
                <w:color w:val="000000"/>
                <w:highlight w:val="none"/>
              </w:rPr>
            </w:r>
            <w:r/>
          </w:p>
        </w:tc>
        <w:tc>
          <w:tcPr>
            <w:gridSpan w:val="2"/>
            <w:tcW w:w="4250" w:type="dxa"/>
            <w:vAlign w:val="center"/>
            <w:textDirection w:val="lrTb"/>
            <w:noWrap w:val="false"/>
          </w:tcPr>
          <w:p>
            <w:pPr>
              <w:pStyle w:val="1038"/>
              <w:jc w:val="center"/>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是</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否</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cantSplit/>
          <w:trHeight w:val="612"/>
        </w:trPr>
        <w:tc>
          <w:tcPr>
            <w:tcW w:w="1988" w:type="dxa"/>
            <w:vAlign w:val="center"/>
            <w:vMerge w:val="continue"/>
            <w:textDirection w:val="lrTb"/>
            <w:noWrap w:val="false"/>
          </w:tcPr>
          <w:p>
            <w:pPr>
              <w:pStyle w:val="1038"/>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tc>
        <w:tc>
          <w:tcPr>
            <w:tcW w:w="3345" w:type="dxa"/>
            <w:vAlign w:val="center"/>
            <w:textDirection w:val="lrTb"/>
            <w:noWrap w:val="false"/>
          </w:tcPr>
          <w:p>
            <w:pPr>
              <w:pStyle w:val="1038"/>
              <w:jc w:val="center"/>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lang w:val="zh-CN"/>
              </w:rPr>
              <w:t xml:space="preserve">是否属于监狱企业</w:t>
            </w:r>
            <w:r>
              <w:rPr>
                <w:rFonts w:hint="eastAsia" w:ascii="宋体" w:hAnsi="宋体" w:eastAsia="宋体" w:cs="宋体"/>
                <w:color w:val="000000"/>
                <w:highlight w:val="none"/>
              </w:rPr>
            </w:r>
            <w:r/>
          </w:p>
        </w:tc>
        <w:tc>
          <w:tcPr>
            <w:gridSpan w:val="2"/>
            <w:tcW w:w="4250" w:type="dxa"/>
            <w:vAlign w:val="center"/>
            <w:textDirection w:val="lrTb"/>
            <w:noWrap w:val="false"/>
          </w:tcPr>
          <w:p>
            <w:pPr>
              <w:pStyle w:val="1038"/>
              <w:jc w:val="center"/>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是</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否</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cantSplit/>
          <w:trHeight w:val="680"/>
        </w:trPr>
        <w:tc>
          <w:tcPr>
            <w:tcW w:w="1988" w:type="dxa"/>
            <w:vAlign w:val="center"/>
            <w:textDirection w:val="lrTb"/>
            <w:noWrap w:val="false"/>
          </w:tcPr>
          <w:p>
            <w:pPr>
              <w:pStyle w:val="1038"/>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售后服务承诺</w:t>
            </w:r>
            <w:r>
              <w:rPr>
                <w:rFonts w:hint="eastAsia" w:ascii="宋体" w:hAnsi="宋体" w:eastAsia="宋体" w:cs="宋体"/>
                <w:b/>
                <w:bCs/>
                <w:color w:val="000000"/>
                <w:highlight w:val="none"/>
              </w:rPr>
            </w:r>
            <w:r/>
          </w:p>
        </w:tc>
        <w:tc>
          <w:tcPr>
            <w:gridSpan w:val="3"/>
            <w:tcW w:w="7595" w:type="dxa"/>
            <w:vAlign w:val="center"/>
            <w:textDirection w:val="lrTb"/>
            <w:noWrap w:val="false"/>
          </w:tcPr>
          <w:p>
            <w:pPr>
              <w:pStyle w:val="1038"/>
              <w:jc w:val="left"/>
              <w:spacing w:before="0" w:after="0" w:line="24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r>
      <w:tr>
        <w:trPr>
          <w:cantSplit/>
          <w:trHeight w:val="680"/>
        </w:trPr>
        <w:tc>
          <w:tcPr>
            <w:tcW w:w="1988" w:type="dxa"/>
            <w:vAlign w:val="center"/>
            <w:textDirection w:val="lrTb"/>
            <w:noWrap w:val="false"/>
          </w:tcPr>
          <w:p>
            <w:pPr>
              <w:pStyle w:val="1038"/>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优惠条件承诺</w:t>
            </w:r>
            <w:r>
              <w:rPr>
                <w:rFonts w:hint="eastAsia" w:ascii="宋体" w:hAnsi="宋体" w:eastAsia="宋体" w:cs="宋体"/>
                <w:b/>
                <w:bCs/>
                <w:color w:val="000000"/>
                <w:highlight w:val="none"/>
              </w:rPr>
            </w:r>
            <w:r/>
          </w:p>
        </w:tc>
        <w:tc>
          <w:tcPr>
            <w:gridSpan w:val="3"/>
            <w:tcW w:w="7595" w:type="dxa"/>
            <w:vAlign w:val="center"/>
            <w:textDirection w:val="lrTb"/>
            <w:noWrap w:val="false"/>
          </w:tcPr>
          <w:p>
            <w:pPr>
              <w:pStyle w:val="1038"/>
              <w:jc w:val="left"/>
              <w:spacing w:before="0" w:after="0" w:line="24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r>
      <w:tr>
        <w:trPr>
          <w:cantSplit/>
          <w:trHeight w:val="698"/>
        </w:trPr>
        <w:tc>
          <w:tcPr>
            <w:tcW w:w="1988" w:type="dxa"/>
            <w:vAlign w:val="center"/>
            <w:textDirection w:val="lrTb"/>
            <w:noWrap w:val="false"/>
          </w:tcPr>
          <w:p>
            <w:pPr>
              <w:pStyle w:val="1038"/>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备注</w:t>
            </w:r>
            <w:r>
              <w:rPr>
                <w:rFonts w:hint="eastAsia" w:ascii="宋体" w:hAnsi="宋体" w:eastAsia="宋体" w:cs="宋体"/>
                <w:b/>
                <w:bCs/>
                <w:color w:val="000000"/>
                <w:highlight w:val="none"/>
              </w:rPr>
            </w:r>
            <w:r/>
          </w:p>
        </w:tc>
        <w:tc>
          <w:tcPr>
            <w:gridSpan w:val="3"/>
            <w:tcW w:w="7595" w:type="dxa"/>
            <w:vAlign w:val="top"/>
            <w:textDirection w:val="lrTb"/>
            <w:noWrap w:val="false"/>
          </w:tcPr>
          <w:p>
            <w:pPr>
              <w:pStyle w:val="1038"/>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1038"/>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说明：</w:t>
      </w:r>
      <w:r>
        <w:rPr>
          <w:rFonts w:hint="eastAsia" w:ascii="宋体" w:hAnsi="宋体" w:eastAsia="宋体" w:cs="宋体"/>
          <w:bCs/>
          <w:color w:val="000000"/>
          <w:szCs w:val="21"/>
          <w:highlight w:val="none"/>
        </w:rPr>
      </w:r>
      <w:r/>
    </w:p>
    <w:p>
      <w:pPr>
        <w:pStyle w:val="1038"/>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1.报价币种：人民币。</w:t>
      </w:r>
      <w:r>
        <w:rPr>
          <w:rFonts w:hint="eastAsia" w:ascii="宋体" w:hAnsi="宋体" w:eastAsia="宋体" w:cs="宋体"/>
          <w:bCs/>
          <w:color w:val="000000"/>
          <w:szCs w:val="21"/>
          <w:highlight w:val="none"/>
        </w:rPr>
      </w:r>
      <w:r/>
    </w:p>
    <w:p>
      <w:pPr>
        <w:pStyle w:val="1038"/>
        <w:spacing w:line="240" w:lineRule="auto"/>
        <w:rPr>
          <w:rFonts w:hint="eastAsia" w:ascii="宋体" w:hAnsi="宋体" w:eastAsia="宋体" w:cs="宋体"/>
          <w:b/>
          <w:color w:val="000000"/>
          <w:szCs w:val="21"/>
          <w:highlight w:val="none"/>
        </w:rPr>
      </w:pPr>
      <w:r>
        <w:rPr>
          <w:rFonts w:hint="eastAsia" w:ascii="宋体" w:hAnsi="宋体" w:eastAsia="宋体" w:cs="宋体"/>
          <w:bCs/>
          <w:color w:val="000000"/>
          <w:szCs w:val="21"/>
          <w:highlight w:val="none"/>
        </w:rPr>
        <w:t xml:space="preserve">2.</w:t>
      </w:r>
      <w:r>
        <w:rPr>
          <w:rFonts w:hint="eastAsia" w:ascii="宋体" w:hAnsi="宋体" w:eastAsia="宋体" w:cs="宋体"/>
          <w:b/>
          <w:color w:val="000000"/>
          <w:szCs w:val="21"/>
          <w:highlight w:val="none"/>
        </w:rPr>
        <w:t xml:space="preserve">在供应商“是否属于小和微型企业”、“</w:t>
      </w:r>
      <w:r>
        <w:rPr>
          <w:rFonts w:hint="eastAsia" w:ascii="宋体" w:hAnsi="宋体" w:eastAsia="宋体" w:cs="宋体"/>
          <w:b/>
          <w:color w:val="000000"/>
          <w:szCs w:val="21"/>
          <w:highlight w:val="none"/>
          <w:lang w:val="zh-CN"/>
        </w:rPr>
        <w:t xml:space="preserve">是否属于残疾人福利性单位</w:t>
      </w:r>
      <w:r>
        <w:rPr>
          <w:rFonts w:hint="eastAsia" w:ascii="宋体" w:hAnsi="宋体" w:eastAsia="宋体" w:cs="宋体"/>
          <w:b/>
          <w:color w:val="000000"/>
          <w:szCs w:val="21"/>
          <w:highlight w:val="none"/>
        </w:rPr>
        <w:t xml:space="preserve">”、“</w:t>
      </w:r>
      <w:r>
        <w:rPr>
          <w:rFonts w:hint="eastAsia" w:ascii="宋体" w:hAnsi="宋体" w:eastAsia="宋体" w:cs="宋体"/>
          <w:b/>
          <w:color w:val="000000"/>
          <w:szCs w:val="21"/>
          <w:highlight w:val="none"/>
          <w:lang w:val="zh-CN"/>
        </w:rPr>
        <w:t xml:space="preserve">是否属于监狱企业</w:t>
      </w:r>
      <w:r>
        <w:rPr>
          <w:rFonts w:hint="eastAsia" w:ascii="宋体" w:hAnsi="宋体" w:eastAsia="宋体" w:cs="宋体"/>
          <w:b/>
          <w:color w:val="000000"/>
          <w:szCs w:val="21"/>
          <w:highlight w:val="none"/>
        </w:rPr>
        <w:t xml:space="preserve">”栏后“是”或“否”上打“√”,并按要求提供分项报价表及中小企业声明函。评审过程中，如果小、微型企业报价无法划分计算的，将不予认可。</w:t>
      </w:r>
      <w:r>
        <w:rPr>
          <w:rFonts w:hint="eastAsia" w:ascii="宋体" w:hAnsi="宋体" w:eastAsia="宋体" w:cs="宋体"/>
          <w:b/>
          <w:color w:val="000000"/>
          <w:szCs w:val="21"/>
          <w:highlight w:val="none"/>
        </w:rPr>
      </w:r>
      <w:r/>
    </w:p>
    <w:p>
      <w:pPr>
        <w:pStyle w:val="1038"/>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3.本项目仅接受一个价格，不得填报有选择性报价方案。如有优惠条款须注明，但不得影响报价，影响项目履约交付。</w:t>
      </w:r>
      <w:r>
        <w:rPr>
          <w:rFonts w:hint="eastAsia" w:ascii="宋体" w:hAnsi="宋体" w:eastAsia="宋体" w:cs="宋体"/>
          <w:bCs/>
          <w:color w:val="000000"/>
          <w:szCs w:val="21"/>
          <w:highlight w:val="none"/>
        </w:rPr>
      </w:r>
      <w:r/>
    </w:p>
    <w:p>
      <w:pPr>
        <w:pStyle w:val="1038"/>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4.供应商应报出最具有竞争力的价格，项目总报价中包含的所有要求提供货物和服务本身已支付或将支付的各种税费及其他相关费用。</w:t>
      </w:r>
      <w:r>
        <w:rPr>
          <w:rFonts w:hint="eastAsia" w:ascii="宋体" w:hAnsi="宋体" w:eastAsia="宋体" w:cs="宋体"/>
          <w:bCs/>
          <w:color w:val="000000"/>
          <w:szCs w:val="21"/>
          <w:highlight w:val="none"/>
        </w:rPr>
      </w:r>
      <w:r/>
    </w:p>
    <w:p>
      <w:pPr>
        <w:pStyle w:val="1038"/>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投标人名称（公章）：</w:t>
      </w:r>
      <w:r>
        <w:rPr>
          <w:rFonts w:hint="eastAsia" w:ascii="宋体" w:hAnsi="宋体" w:eastAsia="宋体" w:cs="宋体"/>
          <w:color w:val="000000"/>
          <w:sz w:val="24"/>
          <w:szCs w:val="24"/>
          <w:highlight w:val="none"/>
        </w:rPr>
      </w:r>
      <w:r/>
    </w:p>
    <w:p>
      <w:pPr>
        <w:pStyle w:val="1038"/>
        <w:jc w:val="left"/>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法定代表人或授权代表（签字或盖章）：</w:t>
      </w:r>
      <w:r>
        <w:rPr>
          <w:rFonts w:hint="eastAsia" w:ascii="宋体" w:hAnsi="宋体" w:eastAsia="宋体" w:cs="宋体"/>
          <w:color w:val="000000"/>
          <w:sz w:val="24"/>
          <w:szCs w:val="24"/>
          <w:highlight w:val="none"/>
        </w:rPr>
      </w:r>
      <w:r/>
    </w:p>
    <w:p>
      <w:pPr>
        <w:pStyle w:val="1038"/>
        <w:jc w:val="left"/>
        <w:spacing w:before="0" w:after="0"/>
        <w:rPr>
          <w:rFonts w:hint="eastAsia" w:ascii="宋体" w:hAnsi="宋体" w:eastAsia="宋体" w:cs="宋体"/>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bookmarkStart w:id="133" w:name="_Toc467065082"/>
      <w:r/>
      <w:bookmarkStart w:id="134" w:name="_Toc403725575"/>
      <w:r/>
      <w:bookmarkStart w:id="135" w:name="_Toc25567"/>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038"/>
        <w:jc w:val="center"/>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（2）分项价格表（格式）</w:t>
      </w:r>
      <w:r>
        <w:rPr>
          <w:rFonts w:hint="eastAsia" w:ascii="宋体" w:hAnsi="宋体" w:eastAsia="宋体" w:cs="宋体"/>
          <w:b/>
          <w:color w:val="000000"/>
          <w:sz w:val="24"/>
          <w:highlight w:val="none"/>
        </w:rPr>
      </w:r>
      <w:r/>
    </w:p>
    <w:p>
      <w:pPr>
        <w:pStyle w:val="1038"/>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u w:val="single"/>
        </w:rPr>
        <w:t xml:space="preserve">   （项目编号）</w:t>
      </w:r>
      <w:r>
        <w:rPr>
          <w:rFonts w:hint="eastAsia" w:ascii="宋体" w:hAnsi="宋体" w:eastAsia="宋体" w:cs="宋体"/>
          <w:color w:val="000000"/>
          <w:sz w:val="24"/>
          <w:highlight w:val="none"/>
        </w:rPr>
        <w:t xml:space="preserve">                         货币单位：人民币（元）</w:t>
      </w:r>
      <w:r>
        <w:rPr>
          <w:rFonts w:hint="eastAsia" w:ascii="宋体" w:hAnsi="宋体" w:eastAsia="宋体" w:cs="宋体"/>
          <w:color w:val="000000"/>
          <w:sz w:val="24"/>
          <w:highlight w:val="none"/>
        </w:rPr>
      </w:r>
      <w:r/>
    </w:p>
    <w:p>
      <w:pPr>
        <w:pStyle w:val="1038"/>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分包号（标段号）：</w:t>
      </w:r>
      <w:r>
        <w:rPr>
          <w:rFonts w:hint="eastAsia" w:ascii="宋体" w:hAnsi="宋体" w:eastAsia="宋体" w:cs="宋体"/>
          <w:color w:val="000000"/>
          <w:sz w:val="24"/>
          <w:highlight w:val="none"/>
          <w:u w:val="single"/>
        </w:rPr>
        <w:t xml:space="preserve">   （标段号）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1038"/>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u w:val="single"/>
        </w:rPr>
        <w:t xml:space="preserve">   （项目名称）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1038"/>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分项报价清单：</w:t>
      </w:r>
      <w:r>
        <w:rPr>
          <w:rFonts w:hint="eastAsia" w:ascii="宋体" w:hAnsi="宋体" w:eastAsia="宋体" w:cs="宋体"/>
          <w:b/>
          <w:bCs/>
          <w:color w:val="000000"/>
          <w:sz w:val="24"/>
          <w:highlight w:val="none"/>
        </w:rPr>
      </w:r>
      <w:r/>
    </w:p>
    <w:tbl>
      <w:tblPr>
        <w:tblW w:w="10530" w:type="dxa"/>
        <w:jc w:val="center"/>
        <w:tblInd w:w="-15"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31"/>
        <w:gridCol w:w="1248"/>
        <w:gridCol w:w="1387"/>
        <w:gridCol w:w="1194"/>
        <w:gridCol w:w="1659"/>
        <w:gridCol w:w="691"/>
        <w:gridCol w:w="742"/>
        <w:gridCol w:w="756"/>
        <w:gridCol w:w="664"/>
        <w:gridCol w:w="918"/>
        <w:gridCol w:w="740"/>
      </w:tblGrid>
      <w:tr>
        <w:trPr>
          <w:trHeight w:val="2317"/>
        </w:trPr>
        <w:tc>
          <w:tcPr>
            <w:tcMar>
              <w:left w:w="15" w:type="dxa"/>
              <w:top w:w="15" w:type="dxa"/>
              <w:right w:w="15" w:type="dxa"/>
              <w:bottom w:w="0" w:type="dxa"/>
            </w:tcMar>
            <w:tcW w:w="531" w:type="dxa"/>
            <w:vAlign w:val="center"/>
            <w:textDirection w:val="lrTb"/>
            <w:noWrap w:val="false"/>
          </w:tcPr>
          <w:p>
            <w:pPr>
              <w:pStyle w:val="103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Mar>
              <w:left w:w="15" w:type="dxa"/>
              <w:top w:w="15" w:type="dxa"/>
              <w:right w:w="15" w:type="dxa"/>
              <w:bottom w:w="0" w:type="dxa"/>
            </w:tcMar>
            <w:tcW w:w="1248" w:type="dxa"/>
            <w:vAlign w:val="center"/>
            <w:textDirection w:val="lrTb"/>
            <w:noWrap w:val="false"/>
          </w:tcPr>
          <w:p>
            <w:pPr>
              <w:pStyle w:val="103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名称（标的名称）</w:t>
            </w:r>
            <w:r>
              <w:rPr>
                <w:rFonts w:hint="eastAsia" w:ascii="宋体" w:hAnsi="宋体" w:eastAsia="宋体" w:cs="宋体"/>
                <w:color w:val="000000"/>
                <w:sz w:val="24"/>
                <w:highlight w:val="none"/>
              </w:rPr>
            </w:r>
            <w:r/>
          </w:p>
        </w:tc>
        <w:tc>
          <w:tcPr>
            <w:tcMar>
              <w:left w:w="15" w:type="dxa"/>
              <w:top w:w="15" w:type="dxa"/>
              <w:right w:w="15" w:type="dxa"/>
              <w:bottom w:w="0" w:type="dxa"/>
            </w:tcMar>
            <w:tcW w:w="1387" w:type="dxa"/>
            <w:vAlign w:val="center"/>
            <w:textDirection w:val="lrTb"/>
            <w:noWrap w:val="false"/>
          </w:tcPr>
          <w:p>
            <w:pPr>
              <w:pStyle w:val="103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品牌、规格、型号</w:t>
            </w:r>
            <w:r>
              <w:rPr>
                <w:rFonts w:hint="eastAsia" w:ascii="宋体" w:hAnsi="宋体" w:eastAsia="宋体" w:cs="宋体"/>
                <w:color w:val="000000"/>
                <w:sz w:val="24"/>
                <w:highlight w:val="none"/>
              </w:rPr>
            </w:r>
            <w:r/>
          </w:p>
        </w:tc>
        <w:tc>
          <w:tcPr>
            <w:tcMar>
              <w:left w:w="15" w:type="dxa"/>
              <w:top w:w="15" w:type="dxa"/>
              <w:right w:w="15" w:type="dxa"/>
              <w:bottom w:w="0" w:type="dxa"/>
            </w:tcMar>
            <w:tcW w:w="1194" w:type="dxa"/>
            <w:vAlign w:val="center"/>
            <w:textDirection w:val="lrTb"/>
            <w:noWrap w:val="false"/>
          </w:tcPr>
          <w:p>
            <w:pPr>
              <w:pStyle w:val="103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产品制造企业名称（全称）</w:t>
            </w:r>
            <w:r>
              <w:rPr>
                <w:rFonts w:hint="eastAsia" w:ascii="宋体" w:hAnsi="宋体" w:eastAsia="宋体" w:cs="宋体"/>
                <w:color w:val="000000"/>
                <w:sz w:val="24"/>
                <w:highlight w:val="none"/>
              </w:rPr>
            </w:r>
            <w:r/>
          </w:p>
        </w:tc>
        <w:tc>
          <w:tcPr>
            <w:tcMar>
              <w:left w:w="15" w:type="dxa"/>
              <w:top w:w="15" w:type="dxa"/>
              <w:right w:w="15" w:type="dxa"/>
              <w:bottom w:w="0" w:type="dxa"/>
            </w:tcMar>
            <w:tcW w:w="1659" w:type="dxa"/>
            <w:vAlign w:val="top"/>
            <w:textDirection w:val="lrTb"/>
            <w:noWrap w:val="false"/>
          </w:tcPr>
          <w:p>
            <w:pPr>
              <w:pStyle w:val="1038"/>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产品制造企业的划分（注明：大型、中型、小型、微型、监狱企业、残疾人福利性单位）</w:t>
            </w:r>
            <w:r>
              <w:rPr>
                <w:rFonts w:hint="eastAsia" w:ascii="宋体" w:hAnsi="宋体" w:eastAsia="宋体" w:cs="宋体"/>
                <w:color w:val="000000"/>
                <w:sz w:val="24"/>
                <w:highlight w:val="none"/>
              </w:rPr>
            </w:r>
            <w:r/>
          </w:p>
        </w:tc>
        <w:tc>
          <w:tcPr>
            <w:tcMar>
              <w:left w:w="15" w:type="dxa"/>
              <w:top w:w="15" w:type="dxa"/>
              <w:right w:w="15" w:type="dxa"/>
              <w:bottom w:w="0" w:type="dxa"/>
            </w:tcMar>
            <w:tcW w:w="691" w:type="dxa"/>
            <w:vAlign w:val="center"/>
            <w:textDirection w:val="lrTb"/>
            <w:noWrap w:val="false"/>
          </w:tcPr>
          <w:p>
            <w:pPr>
              <w:pStyle w:val="103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单位</w:t>
            </w:r>
            <w:r>
              <w:rPr>
                <w:rFonts w:hint="eastAsia" w:ascii="宋体" w:hAnsi="宋体" w:eastAsia="宋体" w:cs="宋体"/>
                <w:color w:val="000000"/>
                <w:sz w:val="24"/>
                <w:highlight w:val="none"/>
              </w:rPr>
            </w:r>
            <w:r/>
          </w:p>
        </w:tc>
        <w:tc>
          <w:tcPr>
            <w:tcMar>
              <w:left w:w="15" w:type="dxa"/>
              <w:top w:w="15" w:type="dxa"/>
              <w:right w:w="15" w:type="dxa"/>
              <w:bottom w:w="0" w:type="dxa"/>
            </w:tcMar>
            <w:tcW w:w="742" w:type="dxa"/>
            <w:vAlign w:val="center"/>
            <w:textDirection w:val="lrTb"/>
            <w:noWrap w:val="false"/>
          </w:tcPr>
          <w:p>
            <w:pPr>
              <w:pStyle w:val="103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数量</w:t>
            </w:r>
            <w:r>
              <w:rPr>
                <w:rFonts w:hint="eastAsia" w:ascii="宋体" w:hAnsi="宋体" w:eastAsia="宋体" w:cs="宋体"/>
                <w:color w:val="000000"/>
                <w:sz w:val="24"/>
                <w:highlight w:val="none"/>
              </w:rPr>
            </w:r>
            <w:r/>
          </w:p>
        </w:tc>
        <w:tc>
          <w:tcPr>
            <w:tcMar>
              <w:left w:w="15" w:type="dxa"/>
              <w:top w:w="15" w:type="dxa"/>
              <w:right w:w="15" w:type="dxa"/>
              <w:bottom w:w="0" w:type="dxa"/>
            </w:tcMar>
            <w:tcW w:w="756" w:type="dxa"/>
            <w:vAlign w:val="center"/>
            <w:textDirection w:val="lrTb"/>
            <w:noWrap w:val="false"/>
          </w:tcPr>
          <w:p>
            <w:pPr>
              <w:pStyle w:val="103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含税单价（元）</w:t>
            </w:r>
            <w:r>
              <w:rPr>
                <w:rFonts w:hint="eastAsia" w:ascii="宋体" w:hAnsi="宋体" w:eastAsia="宋体" w:cs="宋体"/>
                <w:color w:val="000000"/>
                <w:sz w:val="24"/>
                <w:highlight w:val="none"/>
              </w:rPr>
            </w:r>
            <w:r/>
          </w:p>
        </w:tc>
        <w:tc>
          <w:tcPr>
            <w:tcMar>
              <w:left w:w="15" w:type="dxa"/>
              <w:top w:w="15" w:type="dxa"/>
              <w:right w:w="15" w:type="dxa"/>
              <w:bottom w:w="0" w:type="dxa"/>
            </w:tcMar>
            <w:tcW w:w="664" w:type="dxa"/>
            <w:vAlign w:val="center"/>
            <w:textDirection w:val="lrTb"/>
            <w:noWrap w:val="false"/>
          </w:tcPr>
          <w:p>
            <w:pPr>
              <w:pStyle w:val="103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小计（元）</w:t>
            </w:r>
            <w:r>
              <w:rPr>
                <w:rFonts w:hint="eastAsia" w:ascii="宋体" w:hAnsi="宋体" w:eastAsia="宋体" w:cs="宋体"/>
                <w:color w:val="000000"/>
                <w:sz w:val="24"/>
                <w:highlight w:val="none"/>
              </w:rPr>
            </w:r>
            <w:r/>
          </w:p>
        </w:tc>
        <w:tc>
          <w:tcPr>
            <w:tcMar>
              <w:left w:w="15" w:type="dxa"/>
              <w:top w:w="15" w:type="dxa"/>
              <w:right w:w="15" w:type="dxa"/>
              <w:bottom w:w="0" w:type="dxa"/>
            </w:tcMar>
            <w:tcW w:w="918" w:type="dxa"/>
            <w:vAlign w:val="center"/>
            <w:textDirection w:val="lrTb"/>
            <w:noWrap w:val="false"/>
          </w:tcPr>
          <w:p>
            <w:pPr>
              <w:pStyle w:val="1038"/>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符合本国产品标准的产品成本（元）</w:t>
            </w:r>
            <w:r>
              <w:rPr>
                <w:rFonts w:hint="eastAsia" w:ascii="宋体" w:hAnsi="宋体" w:eastAsia="宋体" w:cs="宋体"/>
                <w:color w:val="000000"/>
                <w:sz w:val="24"/>
                <w:highlight w:val="none"/>
              </w:rPr>
            </w:r>
            <w:r/>
          </w:p>
        </w:tc>
        <w:tc>
          <w:tcPr>
            <w:tcMar>
              <w:left w:w="15" w:type="dxa"/>
              <w:top w:w="15" w:type="dxa"/>
              <w:right w:w="15" w:type="dxa"/>
              <w:bottom w:w="0" w:type="dxa"/>
            </w:tcMar>
            <w:tcW w:w="740" w:type="dxa"/>
            <w:vAlign w:val="center"/>
            <w:textDirection w:val="lrTb"/>
            <w:noWrap w:val="false"/>
          </w:tcPr>
          <w:p>
            <w:pPr>
              <w:pStyle w:val="103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备注</w:t>
            </w:r>
            <w:r>
              <w:rPr>
                <w:rFonts w:hint="eastAsia" w:ascii="宋体" w:hAnsi="宋体" w:eastAsia="宋体" w:cs="宋体"/>
                <w:color w:val="000000"/>
                <w:sz w:val="24"/>
                <w:highlight w:val="none"/>
              </w:rPr>
            </w:r>
            <w:r/>
          </w:p>
        </w:tc>
      </w:tr>
      <w:tr>
        <w:trPr>
          <w:trHeight w:val="630"/>
        </w:trPr>
        <w:tc>
          <w:tcPr>
            <w:tcMar>
              <w:left w:w="15" w:type="dxa"/>
              <w:top w:w="15" w:type="dxa"/>
              <w:right w:w="15" w:type="dxa"/>
              <w:bottom w:w="0" w:type="dxa"/>
            </w:tcMar>
            <w:tcW w:w="531" w:type="dxa"/>
            <w:vAlign w:val="center"/>
            <w:textDirection w:val="lrTb"/>
            <w:noWrap w:val="false"/>
          </w:tcPr>
          <w:p>
            <w:pPr>
              <w:pStyle w:val="1038"/>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tcMar>
              <w:left w:w="15" w:type="dxa"/>
              <w:top w:w="15" w:type="dxa"/>
              <w:right w:w="15" w:type="dxa"/>
              <w:bottom w:w="0" w:type="dxa"/>
            </w:tcMar>
            <w:tcW w:w="1248" w:type="dxa"/>
            <w:vAlign w:val="center"/>
            <w:textDirection w:val="lrTb"/>
            <w:noWrap w:val="false"/>
          </w:tcPr>
          <w:p>
            <w:pPr>
              <w:pStyle w:val="1038"/>
              <w:jc w:val="center"/>
              <w:spacing w:before="0"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ffffff"/>
            <w:tcMar>
              <w:left w:w="15" w:type="dxa"/>
              <w:top w:w="15" w:type="dxa"/>
              <w:right w:w="15" w:type="dxa"/>
              <w:bottom w:w="0" w:type="dxa"/>
            </w:tcMar>
            <w:tcW w:w="1387" w:type="dxa"/>
            <w:vAlign w:val="center"/>
            <w:textDirection w:val="lrTb"/>
            <w:noWrap w:val="false"/>
          </w:tcPr>
          <w:p>
            <w:pPr>
              <w:pStyle w:val="1038"/>
              <w:jc w:val="center"/>
              <w:spacing w:before="0"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ffffff"/>
            <w:tcMar>
              <w:left w:w="15" w:type="dxa"/>
              <w:top w:w="15" w:type="dxa"/>
              <w:right w:w="15" w:type="dxa"/>
              <w:bottom w:w="0" w:type="dxa"/>
            </w:tcMar>
            <w:tcW w:w="1194" w:type="dxa"/>
            <w:vAlign w:val="center"/>
            <w:textDirection w:val="lrTb"/>
            <w:noWrap w:val="false"/>
          </w:tcPr>
          <w:p>
            <w:pPr>
              <w:pStyle w:val="1038"/>
              <w:jc w:val="center"/>
              <w:spacing w:before="0"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bottom w:w="0" w:type="dxa"/>
            </w:tcMar>
            <w:tcW w:w="1659" w:type="dxa"/>
            <w:vAlign w:val="center"/>
            <w:textDirection w:val="lrTb"/>
            <w:noWrap w:val="false"/>
          </w:tcPr>
          <w:p>
            <w:pPr>
              <w:pStyle w:val="1038"/>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shd w:val="clear" w:color="auto" w:fill="ffffff"/>
            <w:tcMar>
              <w:left w:w="15" w:type="dxa"/>
              <w:top w:w="15" w:type="dxa"/>
              <w:right w:w="15" w:type="dxa"/>
              <w:bottom w:w="0" w:type="dxa"/>
            </w:tcMar>
            <w:tcW w:w="691" w:type="dxa"/>
            <w:vAlign w:val="center"/>
            <w:textDirection w:val="lrTb"/>
            <w:noWrap w:val="false"/>
          </w:tcPr>
          <w:p>
            <w:pPr>
              <w:pStyle w:val="1038"/>
              <w:jc w:val="cente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shd w:val="clear" w:color="auto" w:fill="ffffff"/>
            <w:tcMar>
              <w:left w:w="15" w:type="dxa"/>
              <w:top w:w="15" w:type="dxa"/>
              <w:right w:w="15" w:type="dxa"/>
              <w:bottom w:w="0" w:type="dxa"/>
            </w:tcMar>
            <w:tcW w:w="742" w:type="dxa"/>
            <w:vAlign w:val="center"/>
            <w:textDirection w:val="lrTb"/>
            <w:noWrap w:val="false"/>
          </w:tcPr>
          <w:p>
            <w:pPr>
              <w:pStyle w:val="1038"/>
              <w:jc w:val="cente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shd w:val="clear" w:color="auto" w:fill="ffffff"/>
            <w:tcMar>
              <w:left w:w="15" w:type="dxa"/>
              <w:top w:w="15" w:type="dxa"/>
              <w:right w:w="15" w:type="dxa"/>
              <w:bottom w:w="0" w:type="dxa"/>
            </w:tcMar>
            <w:tcW w:w="756" w:type="dxa"/>
            <w:vAlign w:val="center"/>
            <w:textDirection w:val="lrTb"/>
            <w:noWrap w:val="false"/>
          </w:tcPr>
          <w:p>
            <w:pPr>
              <w:pStyle w:val="1038"/>
              <w:jc w:val="cente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664" w:type="dxa"/>
            <w:vAlign w:val="center"/>
            <w:textDirection w:val="lrTb"/>
            <w:noWrap w:val="false"/>
          </w:tcPr>
          <w:p>
            <w:pPr>
              <w:pStyle w:val="1038"/>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918" w:type="dxa"/>
            <w:vAlign w:val="center"/>
            <w:textDirection w:val="lrTb"/>
            <w:noWrap w:val="false"/>
          </w:tcPr>
          <w:p>
            <w:pPr>
              <w:pStyle w:val="1038"/>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740" w:type="dxa"/>
            <w:vAlign w:val="center"/>
            <w:textDirection w:val="lrTb"/>
            <w:noWrap w:val="false"/>
          </w:tcPr>
          <w:p>
            <w:pPr>
              <w:pStyle w:val="1038"/>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630"/>
        </w:trPr>
        <w:tc>
          <w:tcPr>
            <w:tcMar>
              <w:left w:w="15" w:type="dxa"/>
              <w:top w:w="15" w:type="dxa"/>
              <w:right w:w="15" w:type="dxa"/>
              <w:bottom w:w="0" w:type="dxa"/>
            </w:tcMar>
            <w:tcW w:w="531" w:type="dxa"/>
            <w:vAlign w:val="center"/>
            <w:textDirection w:val="lrTb"/>
            <w:noWrap w:val="false"/>
          </w:tcPr>
          <w:p>
            <w:pPr>
              <w:pStyle w:val="1038"/>
              <w:jc w:val="center"/>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val="en-US" w:eastAsia="zh-CN"/>
              </w:rPr>
            </w:r>
            <w:r/>
          </w:p>
        </w:tc>
        <w:tc>
          <w:tcPr>
            <w:tcMar>
              <w:left w:w="15" w:type="dxa"/>
              <w:top w:w="15" w:type="dxa"/>
              <w:right w:w="15" w:type="dxa"/>
              <w:bottom w:w="0" w:type="dxa"/>
            </w:tcMar>
            <w:tcW w:w="1248" w:type="dxa"/>
            <w:vAlign w:val="center"/>
            <w:textDirection w:val="lrTb"/>
            <w:noWrap w:val="false"/>
          </w:tcPr>
          <w:p>
            <w:pPr>
              <w:pStyle w:val="1038"/>
              <w:jc w:val="center"/>
              <w:spacing w:before="0" w:after="0" w:line="24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shd w:val="clear" w:color="auto" w:fill="ffffff"/>
            <w:tcMar>
              <w:left w:w="15" w:type="dxa"/>
              <w:top w:w="15" w:type="dxa"/>
              <w:right w:w="15" w:type="dxa"/>
              <w:bottom w:w="0" w:type="dxa"/>
            </w:tcMar>
            <w:tcW w:w="1387" w:type="dxa"/>
            <w:vAlign w:val="center"/>
            <w:textDirection w:val="lrTb"/>
            <w:noWrap w:val="false"/>
          </w:tcPr>
          <w:p>
            <w:pPr>
              <w:pStyle w:val="1038"/>
              <w:jc w:val="center"/>
              <w:spacing w:before="0"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ffffff"/>
            <w:tcMar>
              <w:left w:w="15" w:type="dxa"/>
              <w:top w:w="15" w:type="dxa"/>
              <w:right w:w="15" w:type="dxa"/>
              <w:bottom w:w="0" w:type="dxa"/>
            </w:tcMar>
            <w:tcW w:w="1194" w:type="dxa"/>
            <w:vAlign w:val="center"/>
            <w:textDirection w:val="lrTb"/>
            <w:noWrap w:val="false"/>
          </w:tcPr>
          <w:p>
            <w:pPr>
              <w:pStyle w:val="1038"/>
              <w:jc w:val="center"/>
              <w:spacing w:before="0"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bottom w:w="0" w:type="dxa"/>
            </w:tcMar>
            <w:tcW w:w="1659" w:type="dxa"/>
            <w:vAlign w:val="center"/>
            <w:textDirection w:val="lrTb"/>
            <w:noWrap w:val="false"/>
          </w:tcPr>
          <w:p>
            <w:pPr>
              <w:pStyle w:val="1038"/>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shd w:val="clear" w:color="auto" w:fill="ffffff"/>
            <w:tcMar>
              <w:left w:w="15" w:type="dxa"/>
              <w:top w:w="15" w:type="dxa"/>
              <w:right w:w="15" w:type="dxa"/>
              <w:bottom w:w="0" w:type="dxa"/>
            </w:tcMar>
            <w:tcW w:w="691" w:type="dxa"/>
            <w:vAlign w:val="center"/>
            <w:textDirection w:val="lrTb"/>
            <w:noWrap w:val="false"/>
          </w:tcPr>
          <w:p>
            <w:pPr>
              <w:pStyle w:val="1038"/>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ffffff"/>
            <w:tcMar>
              <w:left w:w="15" w:type="dxa"/>
              <w:top w:w="15" w:type="dxa"/>
              <w:right w:w="15" w:type="dxa"/>
              <w:bottom w:w="0" w:type="dxa"/>
            </w:tcMar>
            <w:tcW w:w="742" w:type="dxa"/>
            <w:vAlign w:val="center"/>
            <w:textDirection w:val="lrTb"/>
            <w:noWrap w:val="false"/>
          </w:tcPr>
          <w:p>
            <w:pPr>
              <w:pStyle w:val="1038"/>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ffffff"/>
            <w:tcMar>
              <w:left w:w="15" w:type="dxa"/>
              <w:top w:w="15" w:type="dxa"/>
              <w:right w:w="15" w:type="dxa"/>
              <w:bottom w:w="0" w:type="dxa"/>
            </w:tcMar>
            <w:tcW w:w="756" w:type="dxa"/>
            <w:vAlign w:val="center"/>
            <w:textDirection w:val="lrTb"/>
            <w:noWrap w:val="false"/>
          </w:tcPr>
          <w:p>
            <w:pPr>
              <w:pStyle w:val="1038"/>
              <w:jc w:val="cente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664" w:type="dxa"/>
            <w:vAlign w:val="center"/>
            <w:textDirection w:val="lrTb"/>
            <w:noWrap w:val="false"/>
          </w:tcPr>
          <w:p>
            <w:pPr>
              <w:pStyle w:val="1038"/>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918" w:type="dxa"/>
            <w:vAlign w:val="center"/>
            <w:textDirection w:val="lrTb"/>
            <w:noWrap w:val="false"/>
          </w:tcPr>
          <w:p>
            <w:pPr>
              <w:pStyle w:val="1038"/>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740" w:type="dxa"/>
            <w:vAlign w:val="center"/>
            <w:textDirection w:val="lrTb"/>
            <w:noWrap w:val="false"/>
          </w:tcPr>
          <w:p>
            <w:pPr>
              <w:pStyle w:val="1038"/>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630"/>
        </w:trPr>
        <w:tc>
          <w:tcPr>
            <w:tcMar>
              <w:left w:w="15" w:type="dxa"/>
              <w:top w:w="15" w:type="dxa"/>
              <w:right w:w="15" w:type="dxa"/>
              <w:bottom w:w="0" w:type="dxa"/>
            </w:tcMar>
            <w:tcW w:w="531" w:type="dxa"/>
            <w:vAlign w:val="center"/>
            <w:textDirection w:val="lrTb"/>
            <w:noWrap w:val="false"/>
          </w:tcPr>
          <w:p>
            <w:pPr>
              <w:pStyle w:val="1038"/>
              <w:jc w:val="center"/>
              <w:spacing w:line="24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w:t>
            </w:r>
            <w:r>
              <w:rPr>
                <w:rFonts w:ascii="宋体" w:hAnsi="宋体" w:eastAsia="宋体" w:cs="宋体"/>
                <w:color w:val="000000"/>
                <w:sz w:val="24"/>
                <w:highlight w:val="none"/>
                <w:lang w:val="en-US" w:eastAsia="zh-CN"/>
              </w:rPr>
            </w:r>
            <w:r/>
          </w:p>
        </w:tc>
        <w:tc>
          <w:tcPr>
            <w:tcMar>
              <w:left w:w="15" w:type="dxa"/>
              <w:top w:w="15" w:type="dxa"/>
              <w:right w:w="15" w:type="dxa"/>
              <w:bottom w:w="0" w:type="dxa"/>
            </w:tcMar>
            <w:tcW w:w="1248" w:type="dxa"/>
            <w:vAlign w:val="center"/>
            <w:textDirection w:val="lrTb"/>
            <w:noWrap w:val="false"/>
          </w:tcPr>
          <w:p>
            <w:pPr>
              <w:pStyle w:val="1038"/>
              <w:jc w:val="center"/>
              <w:spacing w:before="0" w:after="0" w:line="24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shd w:val="clear" w:color="auto" w:fill="ffffff"/>
            <w:tcMar>
              <w:left w:w="15" w:type="dxa"/>
              <w:top w:w="15" w:type="dxa"/>
              <w:right w:w="15" w:type="dxa"/>
              <w:bottom w:w="0" w:type="dxa"/>
            </w:tcMar>
            <w:tcW w:w="1387" w:type="dxa"/>
            <w:vAlign w:val="center"/>
            <w:textDirection w:val="lrTb"/>
            <w:noWrap w:val="false"/>
          </w:tcPr>
          <w:p>
            <w:pPr>
              <w:pStyle w:val="1038"/>
              <w:jc w:val="center"/>
              <w:spacing w:before="0"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ffffff"/>
            <w:tcMar>
              <w:left w:w="15" w:type="dxa"/>
              <w:top w:w="15" w:type="dxa"/>
              <w:right w:w="15" w:type="dxa"/>
              <w:bottom w:w="0" w:type="dxa"/>
            </w:tcMar>
            <w:tcW w:w="1194" w:type="dxa"/>
            <w:vAlign w:val="center"/>
            <w:textDirection w:val="lrTb"/>
            <w:noWrap w:val="false"/>
          </w:tcPr>
          <w:p>
            <w:pPr>
              <w:pStyle w:val="1038"/>
              <w:jc w:val="center"/>
              <w:spacing w:before="0"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bottom w:w="0" w:type="dxa"/>
            </w:tcMar>
            <w:tcW w:w="1659" w:type="dxa"/>
            <w:vAlign w:val="center"/>
            <w:textDirection w:val="lrTb"/>
            <w:noWrap w:val="false"/>
          </w:tcPr>
          <w:p>
            <w:pPr>
              <w:pStyle w:val="1038"/>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shd w:val="clear" w:color="auto" w:fill="ffffff"/>
            <w:tcMar>
              <w:left w:w="15" w:type="dxa"/>
              <w:top w:w="15" w:type="dxa"/>
              <w:right w:w="15" w:type="dxa"/>
              <w:bottom w:w="0" w:type="dxa"/>
            </w:tcMar>
            <w:tcW w:w="691" w:type="dxa"/>
            <w:vAlign w:val="center"/>
            <w:textDirection w:val="lrTb"/>
            <w:noWrap w:val="false"/>
          </w:tcPr>
          <w:p>
            <w:pPr>
              <w:pStyle w:val="1038"/>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ffffff"/>
            <w:tcMar>
              <w:left w:w="15" w:type="dxa"/>
              <w:top w:w="15" w:type="dxa"/>
              <w:right w:w="15" w:type="dxa"/>
              <w:bottom w:w="0" w:type="dxa"/>
            </w:tcMar>
            <w:tcW w:w="742" w:type="dxa"/>
            <w:vAlign w:val="center"/>
            <w:textDirection w:val="lrTb"/>
            <w:noWrap w:val="false"/>
          </w:tcPr>
          <w:p>
            <w:pPr>
              <w:pStyle w:val="1038"/>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ffffff"/>
            <w:tcMar>
              <w:left w:w="15" w:type="dxa"/>
              <w:top w:w="15" w:type="dxa"/>
              <w:right w:w="15" w:type="dxa"/>
              <w:bottom w:w="0" w:type="dxa"/>
            </w:tcMar>
            <w:tcW w:w="756" w:type="dxa"/>
            <w:vAlign w:val="center"/>
            <w:textDirection w:val="lrTb"/>
            <w:noWrap w:val="false"/>
          </w:tcPr>
          <w:p>
            <w:pPr>
              <w:pStyle w:val="1038"/>
              <w:jc w:val="cente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664" w:type="dxa"/>
            <w:vAlign w:val="center"/>
            <w:textDirection w:val="lrTb"/>
            <w:noWrap w:val="false"/>
          </w:tcPr>
          <w:p>
            <w:pPr>
              <w:pStyle w:val="1038"/>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918" w:type="dxa"/>
            <w:vAlign w:val="center"/>
            <w:textDirection w:val="lrTb"/>
            <w:noWrap w:val="false"/>
          </w:tcPr>
          <w:p>
            <w:pPr>
              <w:pStyle w:val="1038"/>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740" w:type="dxa"/>
            <w:vAlign w:val="center"/>
            <w:textDirection w:val="lrTb"/>
            <w:noWrap w:val="false"/>
          </w:tcPr>
          <w:p>
            <w:pPr>
              <w:pStyle w:val="1038"/>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613"/>
        </w:trPr>
        <w:tc>
          <w:tcPr>
            <w:gridSpan w:val="4"/>
            <w:tcMar>
              <w:left w:w="15" w:type="dxa"/>
              <w:top w:w="15" w:type="dxa"/>
              <w:right w:w="15" w:type="dxa"/>
              <w:bottom w:w="0" w:type="dxa"/>
            </w:tcMar>
            <w:tcW w:w="4360" w:type="dxa"/>
            <w:vAlign w:val="center"/>
            <w:textDirection w:val="lrTb"/>
            <w:noWrap w:val="false"/>
          </w:tcPr>
          <w:p>
            <w:pPr>
              <w:pStyle w:val="1038"/>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总价合计（含税）</w:t>
            </w:r>
            <w:r>
              <w:rPr>
                <w:rFonts w:hint="eastAsia" w:ascii="宋体" w:hAnsi="宋体" w:eastAsia="宋体" w:cs="宋体"/>
                <w:color w:val="000000"/>
                <w:sz w:val="24"/>
                <w:highlight w:val="none"/>
              </w:rPr>
            </w:r>
            <w:r/>
          </w:p>
        </w:tc>
        <w:tc>
          <w:tcPr>
            <w:gridSpan w:val="6"/>
            <w:tcMar>
              <w:left w:w="15" w:type="dxa"/>
              <w:top w:w="15" w:type="dxa"/>
              <w:right w:w="15" w:type="dxa"/>
              <w:bottom w:w="0" w:type="dxa"/>
            </w:tcMar>
            <w:tcW w:w="5430" w:type="dxa"/>
            <w:vAlign w:val="center"/>
            <w:textDirection w:val="lrTb"/>
            <w:noWrap w:val="false"/>
          </w:tcPr>
          <w:p>
            <w:pPr>
              <w:pStyle w:val="1038"/>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元</w:t>
            </w:r>
            <w:r>
              <w:rPr>
                <w:rFonts w:hint="eastAsia" w:ascii="宋体" w:hAnsi="宋体" w:eastAsia="宋体" w:cs="宋体"/>
                <w:color w:val="000000"/>
                <w:sz w:val="24"/>
                <w:highlight w:val="none"/>
              </w:rPr>
            </w:r>
            <w:r/>
          </w:p>
        </w:tc>
        <w:tc>
          <w:tcPr>
            <w:tcMar>
              <w:left w:w="15" w:type="dxa"/>
              <w:top w:w="15" w:type="dxa"/>
              <w:right w:w="15" w:type="dxa"/>
              <w:bottom w:w="0" w:type="dxa"/>
            </w:tcMar>
            <w:tcW w:w="740" w:type="dxa"/>
            <w:vAlign w:val="center"/>
            <w:textDirection w:val="lrTb"/>
            <w:noWrap w:val="false"/>
          </w:tcPr>
          <w:p>
            <w:pPr>
              <w:pStyle w:val="1038"/>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802"/>
        </w:trPr>
        <w:tc>
          <w:tcPr>
            <w:gridSpan w:val="4"/>
            <w:tcMar>
              <w:left w:w="15" w:type="dxa"/>
              <w:top w:w="15" w:type="dxa"/>
              <w:right w:w="15" w:type="dxa"/>
              <w:bottom w:w="0" w:type="dxa"/>
            </w:tcMar>
            <w:tcW w:w="4360" w:type="dxa"/>
            <w:vAlign w:val="center"/>
            <w:textDirection w:val="lrTb"/>
            <w:noWrap w:val="false"/>
          </w:tcPr>
          <w:p>
            <w:pPr>
              <w:pStyle w:val="1038"/>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符合</w:t>
            </w:r>
            <w:r>
              <w:rPr>
                <w:rFonts w:hint="eastAsia" w:ascii="宋体" w:hAnsi="宋体" w:eastAsia="宋体" w:cs="宋体"/>
                <w:color w:val="000000"/>
                <w:sz w:val="24"/>
                <w:highlight w:val="none"/>
              </w:rPr>
              <w:t xml:space="preserve">“小型和微型和监狱企业和残疾人福利性单位”总价合计（含税）</w:t>
            </w:r>
            <w:r>
              <w:rPr>
                <w:rFonts w:hint="eastAsia" w:ascii="宋体" w:hAnsi="宋体" w:eastAsia="宋体" w:cs="宋体"/>
                <w:color w:val="000000"/>
                <w:sz w:val="24"/>
                <w:highlight w:val="none"/>
              </w:rPr>
            </w:r>
            <w:r/>
          </w:p>
        </w:tc>
        <w:tc>
          <w:tcPr>
            <w:gridSpan w:val="6"/>
            <w:tcMar>
              <w:left w:w="15" w:type="dxa"/>
              <w:top w:w="15" w:type="dxa"/>
              <w:right w:w="15" w:type="dxa"/>
              <w:bottom w:w="0" w:type="dxa"/>
            </w:tcMar>
            <w:tcW w:w="5430" w:type="dxa"/>
            <w:vAlign w:val="center"/>
            <w:textDirection w:val="lrTb"/>
            <w:noWrap w:val="false"/>
          </w:tcPr>
          <w:p>
            <w:pPr>
              <w:pStyle w:val="1038"/>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元</w:t>
            </w:r>
            <w:r>
              <w:rPr>
                <w:rFonts w:hint="eastAsia" w:ascii="宋体" w:hAnsi="宋体" w:eastAsia="宋体" w:cs="宋体"/>
                <w:color w:val="000000"/>
                <w:sz w:val="24"/>
                <w:highlight w:val="none"/>
              </w:rPr>
            </w:r>
            <w:r/>
          </w:p>
        </w:tc>
        <w:tc>
          <w:tcPr>
            <w:tcMar>
              <w:left w:w="15" w:type="dxa"/>
              <w:top w:w="15" w:type="dxa"/>
              <w:right w:w="15" w:type="dxa"/>
              <w:bottom w:w="0" w:type="dxa"/>
            </w:tcMar>
            <w:tcW w:w="740" w:type="dxa"/>
            <w:vAlign w:val="center"/>
            <w:textDirection w:val="lrTb"/>
            <w:noWrap w:val="false"/>
          </w:tcPr>
          <w:p>
            <w:pPr>
              <w:pStyle w:val="1038"/>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802"/>
        </w:trPr>
        <w:tc>
          <w:tcPr>
            <w:gridSpan w:val="4"/>
            <w:tcMar>
              <w:left w:w="15" w:type="dxa"/>
              <w:top w:w="15" w:type="dxa"/>
              <w:right w:w="15" w:type="dxa"/>
              <w:bottom w:w="0" w:type="dxa"/>
            </w:tcMar>
            <w:tcW w:w="4360" w:type="dxa"/>
            <w:vAlign w:val="center"/>
            <w:textDirection w:val="lrTb"/>
            <w:noWrap w:val="false"/>
          </w:tcPr>
          <w:p>
            <w:pPr>
              <w:pStyle w:val="1038"/>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该采购包提供的全部产品</w:t>
            </w:r>
            <w:r>
              <w:rPr>
                <w:rFonts w:hint="eastAsia" w:ascii="宋体" w:hAnsi="宋体" w:eastAsia="宋体" w:cs="宋体"/>
                <w:b/>
                <w:bCs/>
                <w:color w:val="000000"/>
                <w:sz w:val="24"/>
                <w:highlight w:val="none"/>
              </w:rPr>
              <w:t xml:space="preserve">成本之和</w:t>
            </w:r>
            <w:r>
              <w:rPr>
                <w:rFonts w:hint="eastAsia" w:ascii="宋体" w:hAnsi="宋体" w:eastAsia="宋体" w:cs="宋体"/>
                <w:color w:val="000000"/>
                <w:sz w:val="24"/>
                <w:highlight w:val="none"/>
              </w:rPr>
            </w:r>
            <w:r/>
          </w:p>
        </w:tc>
        <w:tc>
          <w:tcPr>
            <w:gridSpan w:val="6"/>
            <w:tcMar>
              <w:left w:w="15" w:type="dxa"/>
              <w:top w:w="15" w:type="dxa"/>
              <w:right w:w="15" w:type="dxa"/>
              <w:bottom w:w="0" w:type="dxa"/>
            </w:tcMar>
            <w:tcW w:w="5430" w:type="dxa"/>
            <w:vAlign w:val="center"/>
            <w:textDirection w:val="lrTb"/>
            <w:noWrap w:val="false"/>
          </w:tcPr>
          <w:p>
            <w:pPr>
              <w:pStyle w:val="1038"/>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元</w:t>
            </w:r>
            <w:r>
              <w:rPr>
                <w:rFonts w:hint="eastAsia" w:ascii="宋体" w:hAnsi="宋体" w:eastAsia="宋体" w:cs="宋体"/>
                <w:color w:val="000000"/>
                <w:sz w:val="24"/>
                <w:highlight w:val="none"/>
              </w:rPr>
            </w:r>
            <w:r/>
          </w:p>
        </w:tc>
        <w:tc>
          <w:tcPr>
            <w:tcMar>
              <w:left w:w="15" w:type="dxa"/>
              <w:top w:w="15" w:type="dxa"/>
              <w:right w:w="15" w:type="dxa"/>
              <w:bottom w:w="0" w:type="dxa"/>
            </w:tcMar>
            <w:tcW w:w="740" w:type="dxa"/>
            <w:vAlign w:val="center"/>
            <w:textDirection w:val="lrTb"/>
            <w:noWrap w:val="false"/>
          </w:tcPr>
          <w:p>
            <w:pPr>
              <w:pStyle w:val="1038"/>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802"/>
        </w:trPr>
        <w:tc>
          <w:tcPr>
            <w:gridSpan w:val="4"/>
            <w:tcMar>
              <w:left w:w="15" w:type="dxa"/>
              <w:top w:w="15" w:type="dxa"/>
              <w:right w:w="15" w:type="dxa"/>
              <w:bottom w:w="0" w:type="dxa"/>
            </w:tcMar>
            <w:tcW w:w="4360" w:type="dxa"/>
            <w:vAlign w:val="center"/>
            <w:textDirection w:val="lrTb"/>
            <w:noWrap w:val="false"/>
          </w:tcPr>
          <w:p>
            <w:pPr>
              <w:pStyle w:val="1038"/>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其中“符合本国产品标准的产品”</w:t>
            </w:r>
            <w:r>
              <w:rPr>
                <w:rFonts w:hint="eastAsia" w:ascii="宋体" w:hAnsi="宋体" w:eastAsia="宋体" w:cs="宋体"/>
                <w:b/>
                <w:bCs/>
                <w:color w:val="000000"/>
                <w:sz w:val="24"/>
                <w:highlight w:val="none"/>
              </w:rPr>
              <w:t xml:space="preserve">成本之和</w:t>
            </w:r>
            <w:r>
              <w:rPr>
                <w:rFonts w:hint="eastAsia" w:ascii="宋体" w:hAnsi="宋体" w:eastAsia="宋体" w:cs="宋体"/>
                <w:color w:val="000000"/>
                <w:sz w:val="24"/>
                <w:highlight w:val="none"/>
              </w:rPr>
            </w:r>
            <w:r/>
          </w:p>
        </w:tc>
        <w:tc>
          <w:tcPr>
            <w:gridSpan w:val="6"/>
            <w:tcMar>
              <w:left w:w="15" w:type="dxa"/>
              <w:top w:w="15" w:type="dxa"/>
              <w:right w:w="15" w:type="dxa"/>
              <w:bottom w:w="0" w:type="dxa"/>
            </w:tcMar>
            <w:tcW w:w="5430" w:type="dxa"/>
            <w:vAlign w:val="center"/>
            <w:textDirection w:val="lrTb"/>
            <w:noWrap w:val="false"/>
          </w:tcPr>
          <w:p>
            <w:pPr>
              <w:pStyle w:val="1038"/>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元</w:t>
            </w:r>
            <w:r>
              <w:rPr>
                <w:rFonts w:hint="eastAsia" w:ascii="宋体" w:hAnsi="宋体" w:eastAsia="宋体" w:cs="宋体"/>
                <w:color w:val="000000"/>
                <w:sz w:val="24"/>
                <w:highlight w:val="none"/>
              </w:rPr>
            </w:r>
            <w:r/>
          </w:p>
        </w:tc>
        <w:tc>
          <w:tcPr>
            <w:tcMar>
              <w:left w:w="15" w:type="dxa"/>
              <w:top w:w="15" w:type="dxa"/>
              <w:right w:w="15" w:type="dxa"/>
              <w:bottom w:w="0" w:type="dxa"/>
            </w:tcMar>
            <w:tcW w:w="740" w:type="dxa"/>
            <w:vAlign w:val="center"/>
            <w:textDirection w:val="lrTb"/>
            <w:noWrap w:val="false"/>
          </w:tcPr>
          <w:p>
            <w:pPr>
              <w:pStyle w:val="1038"/>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802"/>
        </w:trPr>
        <w:tc>
          <w:tcPr>
            <w:gridSpan w:val="10"/>
            <w:tcMar>
              <w:left w:w="15" w:type="dxa"/>
              <w:top w:w="15" w:type="dxa"/>
              <w:right w:w="15" w:type="dxa"/>
              <w:bottom w:w="0" w:type="dxa"/>
            </w:tcMar>
            <w:tcW w:w="9790" w:type="dxa"/>
            <w:vAlign w:val="center"/>
            <w:textDirection w:val="lrTb"/>
            <w:noWrap w:val="false"/>
          </w:tcPr>
          <w:p>
            <w:pPr>
              <w:pStyle w:val="1038"/>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本采购包中提供的</w:t>
            </w:r>
            <w:r>
              <w:rPr>
                <w:rFonts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符合本国产品标准的产品成本之和</w:t>
            </w:r>
            <w:r>
              <w:rPr>
                <w:rFonts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占</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该采购包提供的全部产品成本之和</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的比例为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c>
          <w:tcPr>
            <w:tcMar>
              <w:left w:w="15" w:type="dxa"/>
              <w:top w:w="15" w:type="dxa"/>
              <w:right w:w="15" w:type="dxa"/>
              <w:bottom w:w="0" w:type="dxa"/>
            </w:tcMar>
            <w:tcW w:w="740" w:type="dxa"/>
            <w:vAlign w:val="center"/>
            <w:textDirection w:val="lrTb"/>
            <w:noWrap w:val="false"/>
          </w:tcPr>
          <w:p>
            <w:pPr>
              <w:pStyle w:val="1038"/>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743"/>
        </w:trPr>
        <w:tc>
          <w:tcPr>
            <w:gridSpan w:val="4"/>
            <w:tcMar>
              <w:left w:w="15" w:type="dxa"/>
              <w:top w:w="15" w:type="dxa"/>
              <w:right w:w="15" w:type="dxa"/>
              <w:bottom w:w="0" w:type="dxa"/>
            </w:tcMar>
            <w:tcW w:w="4360" w:type="dxa"/>
            <w:vAlign w:val="center"/>
            <w:textDirection w:val="lrTb"/>
            <w:noWrap w:val="false"/>
          </w:tcPr>
          <w:p>
            <w:pPr>
              <w:pStyle w:val="1038"/>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color w:val="000000"/>
                <w:sz w:val="24"/>
                <w:highlight w:val="none"/>
              </w:rPr>
              <w:t xml:space="preserve">备注：货物中有无进口产品</w:t>
            </w:r>
            <w:r>
              <w:rPr>
                <w:rFonts w:hint="eastAsia" w:ascii="宋体" w:hAnsi="宋体" w:eastAsia="宋体" w:cs="宋体"/>
                <w:b/>
                <w:bCs/>
                <w:color w:val="000000"/>
                <w:highlight w:val="none"/>
              </w:rPr>
            </w:r>
            <w:r/>
          </w:p>
        </w:tc>
        <w:tc>
          <w:tcPr>
            <w:gridSpan w:val="6"/>
            <w:tcMar>
              <w:left w:w="15" w:type="dxa"/>
              <w:top w:w="15" w:type="dxa"/>
              <w:right w:w="15" w:type="dxa"/>
              <w:bottom w:w="0" w:type="dxa"/>
            </w:tcMar>
            <w:tcW w:w="5430" w:type="dxa"/>
            <w:vAlign w:val="center"/>
            <w:textDirection w:val="lrTb"/>
            <w:noWrap w:val="false"/>
          </w:tcPr>
          <w:p>
            <w:pPr>
              <w:pStyle w:val="1038"/>
              <w:jc w:val="center"/>
              <w:spacing w:before="0" w:after="0" w:line="240" w:lineRule="auto"/>
              <w:rPr>
                <w:rFonts w:hint="eastAsia" w:ascii="宋体" w:hAnsi="宋体" w:eastAsia="宋体" w:cs="宋体"/>
                <w:color w:val="000000"/>
                <w:highlight w:val="none"/>
                <w:u w:val="single"/>
              </w:rPr>
            </w:pPr>
            <w:r>
              <w:rPr>
                <w:rFonts w:hint="eastAsia" w:ascii="宋体" w:hAnsi="宋体" w:eastAsia="宋体" w:cs="宋体"/>
                <w:color w:val="000000"/>
                <w:sz w:val="24"/>
                <w:highlight w:val="none"/>
                <w:lang w:val="zh-CN"/>
              </w:rPr>
              <w:t xml:space="preserve">有</w:t>
            </w:r>
            <w:r>
              <w:rPr>
                <w:rFonts w:hint="eastAsia" w:ascii="宋体" w:hAnsi="宋体" w:eastAsia="宋体" w:cs="宋体"/>
                <w:color w:val="000000"/>
                <w:sz w:val="24"/>
                <w:highlight w:val="none"/>
              </w:rPr>
              <w:t xml:space="preserve">（  ）（填写货物名称：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zh-CN"/>
              </w:rPr>
              <w:t xml:space="preserve">无</w:t>
            </w:r>
            <w:r>
              <w:rPr>
                <w:rFonts w:hint="eastAsia" w:ascii="宋体" w:hAnsi="宋体" w:eastAsia="宋体" w:cs="宋体"/>
                <w:color w:val="000000"/>
                <w:sz w:val="24"/>
                <w:highlight w:val="none"/>
              </w:rPr>
              <w:t xml:space="preserve">（  ）</w:t>
            </w:r>
            <w:r>
              <w:rPr>
                <w:rFonts w:hint="eastAsia" w:ascii="宋体" w:hAnsi="宋体" w:eastAsia="宋体" w:cs="宋体"/>
                <w:color w:val="000000"/>
                <w:highlight w:val="none"/>
                <w:u w:val="single"/>
              </w:rPr>
            </w:r>
            <w:r/>
          </w:p>
        </w:tc>
        <w:tc>
          <w:tcPr>
            <w:tcMar>
              <w:left w:w="15" w:type="dxa"/>
              <w:top w:w="15" w:type="dxa"/>
              <w:right w:w="15" w:type="dxa"/>
              <w:bottom w:w="0" w:type="dxa"/>
            </w:tcMar>
            <w:tcW w:w="740" w:type="dxa"/>
            <w:vAlign w:val="center"/>
            <w:textDirection w:val="lrTb"/>
            <w:noWrap w:val="false"/>
          </w:tcPr>
          <w:p>
            <w:pPr>
              <w:pStyle w:val="1038"/>
              <w:jc w:val="center"/>
              <w:spacing w:before="0" w:after="0" w:line="24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r>
            <w:r/>
          </w:p>
        </w:tc>
      </w:tr>
    </w:tbl>
    <w:p>
      <w:pPr>
        <w:pStyle w:val="1038"/>
        <w:spacing w:line="3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投标人名称：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（公章）</w:t>
      </w:r>
      <w:r>
        <w:rPr>
          <w:rFonts w:hint="eastAsia" w:ascii="宋体" w:hAnsi="宋体" w:eastAsia="宋体" w:cs="宋体"/>
          <w:color w:val="000000"/>
          <w:sz w:val="24"/>
          <w:highlight w:val="none"/>
        </w:rPr>
      </w:r>
      <w:r/>
    </w:p>
    <w:p>
      <w:pPr>
        <w:pStyle w:val="1038"/>
        <w:spacing w:line="3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授权代表：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（签字或盖章）</w:t>
      </w:r>
      <w:r>
        <w:rPr>
          <w:rFonts w:hint="eastAsia" w:ascii="宋体" w:hAnsi="宋体" w:eastAsia="宋体" w:cs="宋体"/>
          <w:color w:val="000000"/>
          <w:sz w:val="24"/>
          <w:highlight w:val="none"/>
        </w:rPr>
      </w:r>
      <w:r/>
    </w:p>
    <w:p>
      <w:pPr>
        <w:pStyle w:val="1038"/>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rPr>
          <w:rFonts w:hint="eastAsia" w:ascii="宋体" w:hAnsi="宋体" w:eastAsia="宋体" w:cs="宋体"/>
          <w:color w:val="000000"/>
          <w:sz w:val="24"/>
          <w:highlight w:val="none"/>
        </w:rPr>
      </w:r>
      <w:r/>
    </w:p>
    <w:p>
      <w:pPr>
        <w:pStyle w:val="1038"/>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说明：</w:t>
      </w:r>
      <w:r>
        <w:rPr>
          <w:rFonts w:hint="eastAsia" w:ascii="宋体" w:hAnsi="宋体" w:eastAsia="宋体" w:cs="宋体"/>
          <w:color w:val="000000"/>
          <w:sz w:val="24"/>
          <w:highlight w:val="none"/>
        </w:rPr>
      </w:r>
      <w:r/>
    </w:p>
    <w:p>
      <w:pPr>
        <w:pStyle w:val="1038"/>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1.本表格中需列明所投分包“第四章 采购需求”技术要求中全部设备。</w:t>
      </w:r>
      <w:r>
        <w:rPr>
          <w:rFonts w:hint="eastAsia" w:ascii="宋体" w:hAnsi="宋体" w:eastAsia="宋体" w:cs="宋体"/>
          <w:color w:val="000000"/>
          <w:sz w:val="24"/>
          <w:highlight w:val="none"/>
        </w:rPr>
      </w:r>
      <w:r/>
    </w:p>
    <w:p>
      <w:pPr>
        <w:pStyle w:val="1038"/>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中小微企业的划分具体以《政府采购促进中小企业发展暂行办法》（财库〔2020〕46号）和《工业和信息化部、国家统计局、国家发展和改革委员会、财政部关于印发中小企业划型标准规定的通知》（工信部联企业〔2011〕300号）的规定为准。</w:t>
      </w:r>
      <w:r>
        <w:rPr>
          <w:rFonts w:hint="eastAsia" w:ascii="宋体" w:hAnsi="宋体" w:eastAsia="宋体" w:cs="宋体"/>
          <w:color w:val="000000"/>
          <w:sz w:val="24"/>
          <w:highlight w:val="none"/>
        </w:rPr>
      </w:r>
      <w:r/>
    </w:p>
    <w:p>
      <w:pPr>
        <w:pStyle w:val="1038"/>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3.享受政府采购支持政策的残疾人福利性单位应满足的条件以《关于促进残疾人就业政府采购政策的通知》（财库〔2017〕141号）的规定为准。</w:t>
      </w:r>
      <w:r>
        <w:rPr>
          <w:rFonts w:hint="eastAsia" w:ascii="宋体" w:hAnsi="宋体" w:eastAsia="宋体" w:cs="宋体"/>
          <w:color w:val="000000"/>
          <w:sz w:val="24"/>
          <w:highlight w:val="none"/>
        </w:rPr>
      </w:r>
      <w:r/>
    </w:p>
    <w:p>
      <w:pPr>
        <w:pStyle w:val="1038"/>
        <w:ind w:firstLine="482"/>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4．供应商为“小型”或“微型”或“监狱企业”、“残疾人福利性单位”的，须算出“小型和微型和监狱企业和残疾人福利性单位”总价合计”。供应商未按上述要求提供的，价格将不做相应扣除。</w:t>
      </w:r>
      <w:r>
        <w:rPr>
          <w:rFonts w:hint="eastAsia" w:ascii="宋体" w:hAnsi="宋体" w:eastAsia="宋体" w:cs="宋体"/>
          <w:b/>
          <w:bCs/>
          <w:color w:val="000000"/>
          <w:sz w:val="24"/>
          <w:highlight w:val="none"/>
        </w:rPr>
      </w:r>
      <w:r/>
    </w:p>
    <w:p>
      <w:pPr>
        <w:pStyle w:val="1038"/>
        <w:ind w:firstLine="482"/>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5．供应商“符合本国产品标准的产品”的，须算出“符合本国产品标准的产品成本之和”以及“本采购包中提供的符合本国产品标准的产品成本之和占该采购包提供的全部产品成本之和的比例”。供应商未按上述要求提供的，价格将不做相应扣除。</w:t>
      </w:r>
      <w:r>
        <w:rPr>
          <w:rFonts w:hint="eastAsia" w:ascii="宋体" w:hAnsi="宋体" w:eastAsia="宋体" w:cs="宋体"/>
          <w:b/>
          <w:bCs/>
          <w:color w:val="000000"/>
          <w:sz w:val="24"/>
          <w:highlight w:val="none"/>
        </w:rPr>
      </w:r>
      <w:r/>
    </w:p>
    <w:p>
      <w:pPr>
        <w:pStyle w:val="1038"/>
        <w:ind w:firstLine="482"/>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6.在“货物中有无进口产品”栏后的“有”或“无”上打“√”，如果有进口设备，须填写货物名称。</w:t>
      </w:r>
      <w:r>
        <w:rPr>
          <w:rFonts w:hint="eastAsia" w:ascii="宋体" w:hAnsi="宋体" w:eastAsia="宋体" w:cs="宋体"/>
          <w:color w:val="000000"/>
          <w:sz w:val="24"/>
          <w:highlight w:val="none"/>
        </w:rPr>
      </w:r>
      <w:r/>
    </w:p>
    <w:p>
      <w:pPr>
        <w:pStyle w:val="1038"/>
        <w:ind w:firstLine="482"/>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7．如果不提供详细分项报价将视为没有实质性响应招标文件。</w:t>
      </w:r>
      <w:r>
        <w:rPr>
          <w:rFonts w:hint="eastAsia" w:ascii="宋体" w:hAnsi="宋体" w:eastAsia="宋体" w:cs="宋体"/>
          <w:b/>
          <w:bCs/>
          <w:color w:val="000000"/>
          <w:sz w:val="24"/>
          <w:highlight w:val="none"/>
        </w:rPr>
      </w:r>
      <w:r/>
    </w:p>
    <w:p>
      <w:pPr>
        <w:pStyle w:val="1038"/>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8.供应商对以上数据的真实性负责。</w:t>
      </w:r>
      <w:r>
        <w:rPr>
          <w:rFonts w:hint="eastAsia" w:ascii="宋体" w:hAnsi="宋体" w:eastAsia="宋体" w:cs="宋体"/>
          <w:color w:val="000000"/>
          <w:sz w:val="24"/>
          <w:highlight w:val="none"/>
        </w:rPr>
      </w:r>
      <w:r/>
    </w:p>
    <w:p>
      <w:pPr>
        <w:pStyle w:val="1038"/>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9.采购人或采购代理机构有权将以上内容进行公示。</w:t>
      </w:r>
      <w:r>
        <w:rPr>
          <w:rFonts w:hint="eastAsia" w:ascii="宋体" w:hAnsi="宋体" w:eastAsia="宋体" w:cs="宋体"/>
          <w:color w:val="000000"/>
          <w:sz w:val="24"/>
          <w:highlight w:val="none"/>
        </w:rPr>
      </w:r>
      <w:r/>
    </w:p>
    <w:p>
      <w:pPr>
        <w:pStyle w:val="103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8"/>
        <w:jc w:val="center"/>
        <w:widowControl/>
        <w:rPr>
          <w:rFonts w:hint="eastAsia" w:ascii="宋体" w:hAnsi="宋体" w:eastAsia="宋体" w:cs="宋体"/>
          <w:b/>
          <w:color w:val="000000"/>
          <w:sz w:val="2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b/>
          <w:color w:val="000000"/>
          <w:sz w:val="24"/>
          <w:highlight w:val="none"/>
        </w:rPr>
      </w:r>
      <w:r/>
    </w:p>
    <w:p>
      <w:pPr>
        <w:pStyle w:val="1038"/>
        <w:jc w:val="center"/>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（3）产品（含备品备件）配置清单（格式）</w:t>
      </w:r>
      <w:r>
        <w:rPr>
          <w:rFonts w:hint="eastAsia" w:ascii="宋体" w:hAnsi="宋体" w:eastAsia="宋体" w:cs="宋体"/>
          <w:b/>
          <w:color w:val="000000"/>
          <w:sz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74"/>
        <w:gridCol w:w="2005"/>
        <w:gridCol w:w="1032"/>
        <w:gridCol w:w="841"/>
        <w:gridCol w:w="841"/>
        <w:gridCol w:w="841"/>
        <w:gridCol w:w="951"/>
        <w:gridCol w:w="2769"/>
      </w:tblGrid>
      <w:tr>
        <w:trPr>
          <w:trHeight w:val="604"/>
        </w:trPr>
        <w:tc>
          <w:tcPr>
            <w:tcW w:w="574" w:type="dxa"/>
            <w:vAlign w:val="center"/>
            <w:textDirection w:val="lrTb"/>
            <w:noWrap w:val="false"/>
          </w:tcPr>
          <w:p>
            <w:pPr>
              <w:pStyle w:val="1038"/>
              <w:ind w:right="-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rPr>
            </w:r>
            <w:r/>
          </w:p>
        </w:tc>
        <w:tc>
          <w:tcPr>
            <w:tcW w:w="2005" w:type="dxa"/>
            <w:vAlign w:val="center"/>
            <w:textDirection w:val="lrTb"/>
            <w:noWrap w:val="false"/>
          </w:tcPr>
          <w:p>
            <w:pPr>
              <w:pStyle w:val="1038"/>
              <w:ind w:right="-5"/>
              <w:jc w:val="center"/>
              <w:spacing w:line="240" w:lineRule="auto"/>
              <w:tabs>
                <w:tab w:val="left" w:pos="972"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产品（含备品备件）名称</w:t>
            </w:r>
            <w:r>
              <w:rPr>
                <w:rFonts w:hint="eastAsia" w:ascii="宋体" w:hAnsi="宋体" w:eastAsia="宋体" w:cs="宋体"/>
                <w:color w:val="000000"/>
                <w:szCs w:val="21"/>
                <w:highlight w:val="none"/>
              </w:rPr>
            </w:r>
            <w:r/>
          </w:p>
        </w:tc>
        <w:tc>
          <w:tcPr>
            <w:tcW w:w="1032" w:type="dxa"/>
            <w:vAlign w:val="center"/>
            <w:textDirection w:val="lrTb"/>
            <w:noWrap w:val="false"/>
          </w:tcPr>
          <w:p>
            <w:pPr>
              <w:pStyle w:val="1038"/>
              <w:ind w:right="-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型号及规格</w:t>
            </w:r>
            <w:r>
              <w:rPr>
                <w:rFonts w:hint="eastAsia" w:ascii="宋体" w:hAnsi="宋体" w:eastAsia="宋体" w:cs="宋体"/>
                <w:color w:val="000000"/>
                <w:szCs w:val="21"/>
                <w:highlight w:val="none"/>
              </w:rPr>
            </w:r>
            <w:r/>
          </w:p>
        </w:tc>
        <w:tc>
          <w:tcPr>
            <w:tcW w:w="841" w:type="dxa"/>
            <w:vAlign w:val="center"/>
            <w:textDirection w:val="lrTb"/>
            <w:noWrap w:val="false"/>
          </w:tcPr>
          <w:p>
            <w:pPr>
              <w:pStyle w:val="1038"/>
              <w:ind w:right="-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数量</w:t>
            </w:r>
            <w:r>
              <w:rPr>
                <w:rFonts w:hint="eastAsia" w:ascii="宋体" w:hAnsi="宋体" w:eastAsia="宋体" w:cs="宋体"/>
                <w:color w:val="000000"/>
                <w:szCs w:val="21"/>
                <w:highlight w:val="none"/>
              </w:rPr>
            </w:r>
            <w:r/>
          </w:p>
          <w:p>
            <w:pPr>
              <w:pStyle w:val="1038"/>
              <w:ind w:right="-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（台）</w:t>
            </w:r>
            <w:r>
              <w:rPr>
                <w:rFonts w:hint="eastAsia" w:ascii="宋体" w:hAnsi="宋体" w:eastAsia="宋体" w:cs="宋体"/>
                <w:color w:val="000000"/>
                <w:szCs w:val="21"/>
                <w:highlight w:val="none"/>
              </w:rPr>
            </w:r>
            <w:r/>
          </w:p>
        </w:tc>
        <w:tc>
          <w:tcPr>
            <w:tcW w:w="841" w:type="dxa"/>
            <w:vAlign w:val="center"/>
            <w:textDirection w:val="lrTb"/>
            <w:noWrap w:val="false"/>
          </w:tcPr>
          <w:p>
            <w:pPr>
              <w:pStyle w:val="1038"/>
              <w:ind w:right="-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单价</w:t>
            </w:r>
            <w:r>
              <w:rPr>
                <w:rFonts w:hint="eastAsia" w:ascii="宋体" w:hAnsi="宋体" w:eastAsia="宋体" w:cs="宋体"/>
                <w:color w:val="000000"/>
                <w:szCs w:val="21"/>
                <w:highlight w:val="none"/>
              </w:rPr>
            </w:r>
            <w:r/>
          </w:p>
          <w:p>
            <w:pPr>
              <w:pStyle w:val="1038"/>
              <w:ind w:right="-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（元）</w:t>
            </w:r>
            <w:r>
              <w:rPr>
                <w:rFonts w:hint="eastAsia" w:ascii="宋体" w:hAnsi="宋体" w:eastAsia="宋体" w:cs="宋体"/>
                <w:color w:val="000000"/>
                <w:szCs w:val="21"/>
                <w:highlight w:val="none"/>
              </w:rPr>
            </w:r>
            <w:r/>
          </w:p>
        </w:tc>
        <w:tc>
          <w:tcPr>
            <w:tcW w:w="841" w:type="dxa"/>
            <w:vAlign w:val="center"/>
            <w:textDirection w:val="lrTb"/>
            <w:noWrap w:val="false"/>
          </w:tcPr>
          <w:p>
            <w:pPr>
              <w:pStyle w:val="1038"/>
              <w:ind w:right="-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小计</w:t>
            </w:r>
            <w:r>
              <w:rPr>
                <w:rFonts w:hint="eastAsia" w:ascii="宋体" w:hAnsi="宋体" w:eastAsia="宋体" w:cs="宋体"/>
                <w:color w:val="000000"/>
                <w:szCs w:val="21"/>
                <w:highlight w:val="none"/>
              </w:rPr>
              <w:t xml:space="preserve">（元）</w:t>
            </w:r>
            <w:r>
              <w:rPr>
                <w:rFonts w:hint="eastAsia" w:ascii="宋体" w:hAnsi="宋体" w:eastAsia="宋体" w:cs="宋体"/>
                <w:color w:val="000000"/>
                <w:szCs w:val="21"/>
                <w:highlight w:val="none"/>
              </w:rPr>
            </w:r>
            <w:r/>
          </w:p>
        </w:tc>
        <w:tc>
          <w:tcPr>
            <w:tcW w:w="952" w:type="dxa"/>
            <w:vAlign w:val="center"/>
            <w:textDirection w:val="lrTb"/>
            <w:noWrap w:val="false"/>
          </w:tcPr>
          <w:p>
            <w:pPr>
              <w:pStyle w:val="1038"/>
              <w:ind w:right="-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符合本国产品标准的产品成本（元）</w:t>
            </w:r>
            <w:r>
              <w:rPr>
                <w:rFonts w:hint="eastAsia" w:ascii="宋体" w:hAnsi="宋体" w:eastAsia="宋体" w:cs="宋体"/>
                <w:color w:val="000000"/>
                <w:szCs w:val="21"/>
                <w:highlight w:val="none"/>
              </w:rPr>
            </w:r>
            <w:r/>
          </w:p>
        </w:tc>
        <w:tc>
          <w:tcPr>
            <w:tcW w:w="2769" w:type="dxa"/>
            <w:vAlign w:val="center"/>
            <w:textDirection w:val="lrTb"/>
            <w:noWrap w:val="false"/>
          </w:tcPr>
          <w:p>
            <w:pPr>
              <w:pStyle w:val="1038"/>
              <w:ind w:right="-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备注（如外购请注明产地、制造商）</w:t>
            </w:r>
            <w:r>
              <w:rPr>
                <w:rFonts w:hint="eastAsia" w:ascii="宋体" w:hAnsi="宋体" w:eastAsia="宋体" w:cs="宋体"/>
                <w:color w:val="000000"/>
                <w:szCs w:val="21"/>
                <w:highlight w:val="none"/>
              </w:rPr>
            </w:r>
            <w:r/>
          </w:p>
        </w:tc>
      </w:tr>
      <w:tr>
        <w:trPr>
          <w:trHeight w:val="628"/>
        </w:trPr>
        <w:tc>
          <w:tcPr>
            <w:tcW w:w="574" w:type="dxa"/>
            <w:vAlign w:val="center"/>
            <w:textDirection w:val="lrTb"/>
            <w:noWrap w:val="false"/>
          </w:tcPr>
          <w:p>
            <w:pPr>
              <w:pStyle w:val="1038"/>
              <w:jc w:val="center"/>
              <w:spacing w:line="24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bidi="ar-SA"/>
              </w:rPr>
            </w:r>
            <w:r/>
          </w:p>
        </w:tc>
        <w:tc>
          <w:tcPr>
            <w:tcW w:w="2005" w:type="dxa"/>
            <w:vAlign w:val="center"/>
            <w:textDirection w:val="lrTb"/>
            <w:noWrap w:val="false"/>
          </w:tcPr>
          <w:p>
            <w:pPr>
              <w:pStyle w:val="1038"/>
              <w:jc w:val="center"/>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32"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952"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2769" w:type="dxa"/>
            <w:vAlign w:val="top"/>
            <w:textDirection w:val="lrTb"/>
            <w:noWrap w:val="false"/>
          </w:tcPr>
          <w:p>
            <w:pPr>
              <w:pStyle w:val="1038"/>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574" w:type="dxa"/>
            <w:vAlign w:val="center"/>
            <w:textDirection w:val="lrTb"/>
            <w:noWrap w:val="false"/>
          </w:tcPr>
          <w:p>
            <w:pPr>
              <w:pStyle w:val="1038"/>
              <w:jc w:val="center"/>
              <w:spacing w:line="24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bidi="ar-SA"/>
              </w:rPr>
            </w:r>
            <w:r/>
          </w:p>
        </w:tc>
        <w:tc>
          <w:tcPr>
            <w:tcW w:w="2005" w:type="dxa"/>
            <w:vAlign w:val="center"/>
            <w:textDirection w:val="lrTb"/>
            <w:noWrap w:val="false"/>
          </w:tcPr>
          <w:p>
            <w:pPr>
              <w:pStyle w:val="1038"/>
              <w:jc w:val="center"/>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32"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952"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2769" w:type="dxa"/>
            <w:vAlign w:val="top"/>
            <w:textDirection w:val="lrTb"/>
            <w:noWrap w:val="false"/>
          </w:tcPr>
          <w:p>
            <w:pPr>
              <w:pStyle w:val="1038"/>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574" w:type="dxa"/>
            <w:vAlign w:val="center"/>
            <w:textDirection w:val="lrTb"/>
            <w:noWrap w:val="false"/>
          </w:tcPr>
          <w:p>
            <w:pPr>
              <w:pStyle w:val="1038"/>
              <w:jc w:val="center"/>
              <w:spacing w:line="24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en-US" w:eastAsia="zh-CN" w:bidi="ar-SA"/>
              </w:rPr>
            </w:r>
            <w:r/>
          </w:p>
        </w:tc>
        <w:tc>
          <w:tcPr>
            <w:tcW w:w="2005" w:type="dxa"/>
            <w:vAlign w:val="center"/>
            <w:textDirection w:val="lrTb"/>
            <w:noWrap w:val="false"/>
          </w:tcPr>
          <w:p>
            <w:pPr>
              <w:pStyle w:val="1038"/>
              <w:jc w:val="center"/>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32"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952"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2769" w:type="dxa"/>
            <w:vAlign w:val="top"/>
            <w:textDirection w:val="lrTb"/>
            <w:noWrap w:val="false"/>
          </w:tcPr>
          <w:p>
            <w:pPr>
              <w:pStyle w:val="1038"/>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574" w:type="dxa"/>
            <w:vAlign w:val="center"/>
            <w:textDirection w:val="lrTb"/>
            <w:noWrap w:val="false"/>
          </w:tcPr>
          <w:p>
            <w:pPr>
              <w:pStyle w:val="1038"/>
              <w:jc w:val="center"/>
              <w:spacing w:line="24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lang w:val="en-US" w:eastAsia="zh-CN" w:bidi="ar-SA"/>
              </w:rPr>
            </w:r>
            <w:r/>
          </w:p>
        </w:tc>
        <w:tc>
          <w:tcPr>
            <w:tcW w:w="2005" w:type="dxa"/>
            <w:vAlign w:val="center"/>
            <w:textDirection w:val="lrTb"/>
            <w:noWrap w:val="false"/>
          </w:tcPr>
          <w:p>
            <w:pPr>
              <w:pStyle w:val="1038"/>
              <w:jc w:val="center"/>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32"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952"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2769" w:type="dxa"/>
            <w:vAlign w:val="top"/>
            <w:textDirection w:val="lrTb"/>
            <w:noWrap w:val="false"/>
          </w:tcPr>
          <w:p>
            <w:pPr>
              <w:pStyle w:val="1038"/>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gridSpan w:val="4"/>
            <w:tcW w:w="4452" w:type="dxa"/>
            <w:vAlign w:val="center"/>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color w:val="000000"/>
                <w:sz w:val="24"/>
                <w:highlight w:val="none"/>
              </w:rPr>
              <w:t xml:space="preserve">其中“符合本国产品标准的产品”成本之和</w:t>
            </w:r>
            <w:r>
              <w:rPr>
                <w:rFonts w:hint="eastAsia" w:ascii="宋体" w:hAnsi="宋体" w:eastAsia="宋体" w:cs="宋体"/>
                <w:b/>
                <w:color w:val="000000"/>
                <w:szCs w:val="21"/>
                <w:highlight w:val="none"/>
              </w:rPr>
            </w:r>
            <w:r/>
          </w:p>
        </w:tc>
        <w:tc>
          <w:tcPr>
            <w:gridSpan w:val="4"/>
            <w:tcW w:w="5402" w:type="dxa"/>
            <w:vAlign w:val="top"/>
            <w:textDirection w:val="lrTb"/>
            <w:noWrap w:val="false"/>
          </w:tcPr>
          <w:p>
            <w:pPr>
              <w:pStyle w:val="1038"/>
              <w:ind w:right="-5"/>
              <w:jc w:val="righ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val="en-US" w:eastAsia="zh-CN"/>
              </w:rPr>
              <w:t xml:space="preserve">元</w:t>
            </w:r>
            <w:r>
              <w:rPr>
                <w:rFonts w:hint="eastAsia" w:ascii="宋体" w:hAnsi="宋体" w:eastAsia="宋体" w:cs="宋体"/>
                <w:b/>
                <w:color w:val="000000"/>
                <w:szCs w:val="21"/>
                <w:highlight w:val="none"/>
              </w:rPr>
            </w:r>
            <w:r/>
          </w:p>
        </w:tc>
      </w:tr>
      <w:tr>
        <w:trPr>
          <w:trHeight w:val="604"/>
        </w:trPr>
        <w:tc>
          <w:tcPr>
            <w:gridSpan w:val="4"/>
            <w:tcW w:w="4452" w:type="dxa"/>
            <w:vAlign w:val="center"/>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color w:val="000000"/>
                <w:sz w:val="24"/>
                <w:highlight w:val="none"/>
              </w:rPr>
              <w:t xml:space="preserve">供应商提供的全部产品成本之和</w:t>
            </w:r>
            <w:r>
              <w:rPr>
                <w:rFonts w:hint="eastAsia" w:ascii="宋体" w:hAnsi="宋体" w:eastAsia="宋体" w:cs="宋体"/>
                <w:b/>
                <w:color w:val="000000"/>
                <w:szCs w:val="21"/>
                <w:highlight w:val="none"/>
              </w:rPr>
            </w:r>
            <w:r/>
          </w:p>
        </w:tc>
        <w:tc>
          <w:tcPr>
            <w:gridSpan w:val="4"/>
            <w:tcW w:w="5402" w:type="dxa"/>
            <w:vAlign w:val="top"/>
            <w:textDirection w:val="lrTb"/>
            <w:noWrap w:val="false"/>
          </w:tcPr>
          <w:p>
            <w:pPr>
              <w:pStyle w:val="1038"/>
              <w:ind w:right="-5"/>
              <w:jc w:val="righ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val="en-US" w:eastAsia="zh-CN"/>
              </w:rPr>
              <w:t xml:space="preserve">元</w:t>
            </w:r>
            <w:r>
              <w:rPr>
                <w:rFonts w:hint="eastAsia" w:ascii="宋体" w:hAnsi="宋体" w:eastAsia="宋体" w:cs="宋体"/>
                <w:b/>
                <w:color w:val="000000"/>
                <w:szCs w:val="21"/>
                <w:highlight w:val="none"/>
              </w:rPr>
            </w:r>
            <w:r/>
          </w:p>
        </w:tc>
      </w:tr>
      <w:tr>
        <w:trPr>
          <w:trHeight w:val="604"/>
        </w:trPr>
        <w:tc>
          <w:tcPr>
            <w:gridSpan w:val="8"/>
            <w:tcW w:w="9854" w:type="dxa"/>
            <w:vAlign w:val="center"/>
            <w:textDirection w:val="lrTb"/>
            <w:noWrap w:val="false"/>
          </w:tcPr>
          <w:p>
            <w:pPr>
              <w:pStyle w:val="1038"/>
              <w:ind w:right="-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本采购包中提供的符合本国产品标准的产品成本之和占该采购包提供的全部产品成本之和的比例为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r>
    </w:tbl>
    <w:p>
      <w:pPr>
        <w:pStyle w:val="1038"/>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38"/>
        <w:jc w:val="center"/>
        <w:widowControl/>
        <w:rPr>
          <w:rFonts w:hint="eastAsia" w:ascii="宋体" w:hAnsi="宋体" w:eastAsia="宋体" w:cs="宋体"/>
          <w:b/>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color w:val="000000"/>
          <w:sz w:val="24"/>
          <w:szCs w:val="24"/>
          <w:highlight w:val="none"/>
        </w:rPr>
      </w:r>
      <w:r/>
    </w:p>
    <w:p>
      <w:pPr>
        <w:pStyle w:val="1038"/>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（4）中小企业声明函（货物类）</w:t>
      </w:r>
      <w:r>
        <w:rPr>
          <w:rFonts w:hint="eastAsia" w:ascii="宋体" w:hAnsi="宋体" w:eastAsia="宋体" w:cs="宋体"/>
          <w:b/>
          <w:color w:val="000000"/>
          <w:sz w:val="24"/>
          <w:szCs w:val="24"/>
          <w:highlight w:val="none"/>
        </w:rPr>
      </w:r>
      <w:r/>
    </w:p>
    <w:p>
      <w:pPr>
        <w:pStyle w:val="1038"/>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本公司郑重声明，根据《政府采购促进中小企业发展管理办法》（财库﹝2020﹞46 号）的规定，本公司参加</w:t>
      </w:r>
      <w:r>
        <w:rPr>
          <w:rFonts w:hint="eastAsia" w:ascii="宋体" w:hAnsi="宋体" w:eastAsia="宋体" w:cs="宋体"/>
          <w:color w:val="000000"/>
          <w:sz w:val="24"/>
          <w:highlight w:val="none"/>
          <w:u w:val="single"/>
        </w:rPr>
        <w:t xml:space="preserve">（单位名称）</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u w:val="single"/>
        </w:rPr>
        <w:t xml:space="preserve">（项目名称）</w:t>
      </w:r>
      <w:r>
        <w:rPr>
          <w:rFonts w:hint="eastAsia" w:ascii="宋体" w:hAnsi="宋体" w:eastAsia="宋体" w:cs="宋体"/>
          <w:color w:val="000000"/>
          <w:sz w:val="24"/>
          <w:highlight w:val="none"/>
        </w:rPr>
        <w:t xml:space="preserve">采购活动，</w:t>
      </w:r>
      <w:r>
        <w:rPr>
          <w:rFonts w:hint="eastAsia" w:ascii="宋体" w:hAnsi="宋体" w:eastAsia="宋体" w:cs="宋体"/>
          <w:b/>
          <w:bCs/>
          <w:color w:val="000000"/>
          <w:sz w:val="24"/>
          <w:highlight w:val="none"/>
        </w:rPr>
        <w:t xml:space="preserve">提供的货物全部由符合政策要求的中小企业制造</w:t>
      </w:r>
      <w:r>
        <w:rPr>
          <w:rFonts w:hint="eastAsia" w:ascii="宋体" w:hAnsi="宋体" w:eastAsia="宋体" w:cs="宋体"/>
          <w:color w:val="000000"/>
          <w:sz w:val="24"/>
          <w:highlight w:val="none"/>
        </w:rPr>
        <w:t xml:space="preserve">。相关企业（含联合体中的中小企业、签订分包意向协议的中小企业）的具体情况如下： </w:t>
      </w:r>
      <w:r>
        <w:rPr>
          <w:rFonts w:hint="eastAsia" w:ascii="宋体" w:hAnsi="宋体" w:eastAsia="宋体" w:cs="宋体"/>
          <w:color w:val="000000"/>
          <w:sz w:val="24"/>
          <w:highlight w:val="none"/>
        </w:rPr>
      </w:r>
      <w:r/>
    </w:p>
    <w:p>
      <w:pPr>
        <w:pStyle w:val="1038"/>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u w:val="single"/>
        </w:rPr>
        <w:t xml:space="preserve">（标的名称）</w:t>
      </w:r>
      <w:r>
        <w:rPr>
          <w:rFonts w:hint="eastAsia" w:ascii="宋体" w:hAnsi="宋体" w:eastAsia="宋体" w:cs="宋体"/>
          <w:color w:val="000000"/>
          <w:sz w:val="24"/>
          <w:highlight w:val="none"/>
        </w:rPr>
        <w:t xml:space="preserve">，属于</w:t>
      </w:r>
      <w:r>
        <w:rPr>
          <w:rFonts w:hint="eastAsia" w:ascii="宋体" w:hAnsi="宋体" w:eastAsia="宋体" w:cs="宋体"/>
          <w:color w:val="000000"/>
          <w:sz w:val="24"/>
          <w:highlight w:val="none"/>
          <w:u w:val="single"/>
        </w:rPr>
        <w:t xml:space="preserve">（招标文件中明确的所属行业） </w:t>
      </w:r>
      <w:r>
        <w:rPr>
          <w:rFonts w:hint="eastAsia" w:ascii="宋体" w:hAnsi="宋体" w:eastAsia="宋体" w:cs="宋体"/>
          <w:color w:val="000000"/>
          <w:sz w:val="24"/>
          <w:highlight w:val="none"/>
        </w:rPr>
        <w:t xml:space="preserve">行业；制造商为（企业名称），从业人</w:t>
      </w:r>
      <w:r>
        <w:rPr>
          <w:rFonts w:hint="eastAsia" w:ascii="宋体" w:hAnsi="宋体" w:eastAsia="宋体" w:cs="宋体"/>
          <w:color w:val="000000"/>
          <w:sz w:val="24"/>
          <w:highlight w:val="none"/>
          <w:u w:val="single"/>
        </w:rPr>
        <w:t xml:space="preserve">员     </w:t>
      </w:r>
      <w:r>
        <w:rPr>
          <w:rFonts w:hint="eastAsia" w:ascii="宋体" w:hAnsi="宋体" w:eastAsia="宋体" w:cs="宋体"/>
          <w:color w:val="000000"/>
          <w:sz w:val="24"/>
          <w:highlight w:val="none"/>
        </w:rPr>
        <w:t xml:space="preserve">人，营业收入为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万元，资产总额为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万元，属于</w:t>
      </w:r>
      <w:r>
        <w:rPr>
          <w:rFonts w:hint="eastAsia" w:ascii="宋体" w:hAnsi="宋体" w:eastAsia="宋体" w:cs="宋体"/>
          <w:color w:val="000000"/>
          <w:sz w:val="24"/>
          <w:highlight w:val="none"/>
          <w:u w:val="single"/>
        </w:rPr>
        <w:t xml:space="preserve">（中型企业、小型企业、微型企业）</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38"/>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u w:val="single"/>
        </w:rPr>
        <w:t xml:space="preserve">（标的名称）</w:t>
      </w:r>
      <w:r>
        <w:rPr>
          <w:rFonts w:hint="eastAsia" w:ascii="宋体" w:hAnsi="宋体" w:eastAsia="宋体" w:cs="宋体"/>
          <w:color w:val="000000"/>
          <w:sz w:val="24"/>
          <w:highlight w:val="none"/>
        </w:rPr>
        <w:t xml:space="preserve">，属于（招标文件中明确的所属行业） 行业；制造商为（企业名称），从业人</w:t>
      </w:r>
      <w:r>
        <w:rPr>
          <w:rFonts w:hint="eastAsia" w:ascii="宋体" w:hAnsi="宋体" w:eastAsia="宋体" w:cs="宋体"/>
          <w:color w:val="000000"/>
          <w:sz w:val="24"/>
          <w:highlight w:val="none"/>
          <w:u w:val="single"/>
        </w:rPr>
        <w:t xml:space="preserve">员     </w:t>
      </w:r>
      <w:r>
        <w:rPr>
          <w:rFonts w:hint="eastAsia" w:ascii="宋体" w:hAnsi="宋体" w:eastAsia="宋体" w:cs="宋体"/>
          <w:color w:val="000000"/>
          <w:sz w:val="24"/>
          <w:highlight w:val="none"/>
        </w:rPr>
        <w:t xml:space="preserve">人，营业收入为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万元，资产总额为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万元，属于</w:t>
      </w:r>
      <w:r>
        <w:rPr>
          <w:rFonts w:hint="eastAsia" w:ascii="宋体" w:hAnsi="宋体" w:eastAsia="宋体" w:cs="宋体"/>
          <w:color w:val="000000"/>
          <w:sz w:val="24"/>
          <w:highlight w:val="none"/>
          <w:u w:val="single"/>
        </w:rPr>
        <w:t xml:space="preserve">（中型企业、小型企业、微型企业）</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38"/>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38"/>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以上企业，不属于大企业的分支机构，不存在控股股东为大企业的情形，也不存在与大企业的负责人为同一人的情形。 </w:t>
      </w:r>
      <w:r>
        <w:rPr>
          <w:rFonts w:hint="eastAsia" w:ascii="宋体" w:hAnsi="宋体" w:eastAsia="宋体" w:cs="宋体"/>
          <w:color w:val="000000"/>
          <w:sz w:val="24"/>
          <w:highlight w:val="none"/>
        </w:rPr>
      </w:r>
      <w:r/>
    </w:p>
    <w:p>
      <w:pPr>
        <w:pStyle w:val="1038"/>
        <w:ind w:firstLine="482"/>
        <w:spacing w:line="44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本企业对上述声明内容的真实性负责。如有虚假，将依法承担相应责任。 </w:t>
      </w:r>
      <w:r>
        <w:rPr>
          <w:rFonts w:hint="eastAsia" w:ascii="宋体" w:hAnsi="宋体" w:eastAsia="宋体" w:cs="宋体"/>
          <w:b/>
          <w:bCs/>
          <w:color w:val="000000"/>
          <w:sz w:val="24"/>
          <w:highlight w:val="none"/>
        </w:rPr>
      </w:r>
      <w:r/>
    </w:p>
    <w:p>
      <w:pPr>
        <w:pStyle w:val="1038"/>
        <w:ind w:firstLine="42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38"/>
        <w:ind w:firstLine="42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投标人名称（公章）：</w:t>
      </w:r>
      <w:r>
        <w:rPr>
          <w:rFonts w:hint="eastAsia" w:ascii="宋体" w:hAnsi="宋体" w:eastAsia="宋体" w:cs="宋体"/>
          <w:color w:val="000000"/>
          <w:sz w:val="24"/>
          <w:highlight w:val="none"/>
        </w:rPr>
      </w:r>
      <w:r/>
    </w:p>
    <w:p>
      <w:pPr>
        <w:pStyle w:val="1038"/>
        <w:ind w:firstLine="420"/>
        <w:spacing w:line="440" w:lineRule="exact"/>
        <w:rPr>
          <w:rFonts w:hint="eastAsia" w:ascii="宋体" w:hAnsi="宋体" w:eastAsia="宋体" w:cs="宋体"/>
          <w:color w:val="000000"/>
          <w:sz w:val="32"/>
          <w:szCs w:val="32"/>
          <w:highlight w:val="none"/>
        </w:rPr>
      </w:pPr>
      <w:r>
        <w:rPr>
          <w:rFonts w:hint="eastAsia" w:ascii="宋体" w:hAnsi="宋体" w:eastAsia="宋体" w:cs="宋体"/>
          <w:color w:val="000000"/>
          <w:sz w:val="24"/>
          <w:highlight w:val="none"/>
        </w:rPr>
        <w:t xml:space="preserve">日期：  年  月  日</w:t>
      </w:r>
      <w:r>
        <w:rPr>
          <w:rFonts w:hint="eastAsia" w:ascii="宋体" w:hAnsi="宋体" w:eastAsia="宋体" w:cs="宋体"/>
          <w:color w:val="000000"/>
          <w:sz w:val="32"/>
          <w:szCs w:val="32"/>
          <w:highlight w:val="none"/>
        </w:rPr>
      </w:r>
      <w:r/>
    </w:p>
    <w:p>
      <w:pPr>
        <w:pStyle w:val="1038"/>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Style w:val="1038"/>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注：1、从业人员、营业收入、资产总额填报上一年度数据，无上一年度数据的新成立企业可不填报。</w:t>
      </w:r>
      <w:r>
        <w:rPr>
          <w:rFonts w:hint="eastAsia" w:ascii="宋体" w:hAnsi="宋体" w:eastAsia="宋体" w:cs="宋体"/>
          <w:b/>
          <w:color w:val="000000"/>
          <w:sz w:val="22"/>
          <w:szCs w:val="22"/>
          <w:highlight w:val="none"/>
        </w:rPr>
      </w:r>
      <w:r/>
    </w:p>
    <w:p>
      <w:pPr>
        <w:pStyle w:val="1038"/>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2、上述“相关企业”含联合体中的中小企业、签订分包意向协议的中小企业；</w:t>
      </w:r>
      <w:r>
        <w:rPr>
          <w:rFonts w:hint="eastAsia" w:ascii="宋体" w:hAnsi="宋体" w:eastAsia="宋体" w:cs="宋体"/>
          <w:b/>
          <w:color w:val="000000"/>
          <w:sz w:val="22"/>
          <w:szCs w:val="22"/>
          <w:highlight w:val="none"/>
        </w:rPr>
      </w:r>
      <w:r/>
    </w:p>
    <w:p>
      <w:pPr>
        <w:pStyle w:val="1038"/>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3、供应商不得修改中小企业声明函格式，须列明全部货物制造商信息，未按上述要求提供声明函的，价格将不做相应扣除。</w:t>
      </w:r>
      <w:r>
        <w:rPr>
          <w:rFonts w:hint="eastAsia" w:ascii="宋体" w:hAnsi="宋体" w:eastAsia="宋体" w:cs="宋体"/>
          <w:b/>
          <w:color w:val="000000"/>
          <w:sz w:val="22"/>
          <w:szCs w:val="22"/>
          <w:highlight w:val="none"/>
        </w:rPr>
      </w:r>
      <w:r/>
    </w:p>
    <w:p>
      <w:pPr>
        <w:pStyle w:val="1038"/>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4、供应商对以上数据的真实性负责，中标供应商如享受本项目小微企业扶持政策的，其《中小企业声明函》将随本项目的中标结果同时公告，接受社会监督。</w:t>
      </w:r>
      <w:r>
        <w:rPr>
          <w:rFonts w:hint="eastAsia" w:ascii="宋体" w:hAnsi="宋体" w:eastAsia="宋体" w:cs="宋体"/>
          <w:b/>
          <w:color w:val="000000"/>
          <w:sz w:val="22"/>
          <w:szCs w:val="22"/>
          <w:highlight w:val="none"/>
        </w:rPr>
      </w:r>
      <w:r/>
    </w:p>
    <w:p>
      <w:pPr>
        <w:pStyle w:val="1038"/>
        <w:jc w:val="center"/>
        <w:widowControl/>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r>
      <w:r/>
    </w:p>
    <w:p>
      <w:pPr>
        <w:pStyle w:val="1038"/>
        <w:jc w:val="center"/>
        <w:widowControl/>
        <w:rPr>
          <w:rFonts w:hint="eastAsia" w:ascii="宋体" w:hAnsi="宋体" w:eastAsia="宋体" w:cs="宋体"/>
          <w:b/>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color w:val="000000"/>
          <w:sz w:val="24"/>
          <w:szCs w:val="24"/>
          <w:highlight w:val="none"/>
        </w:rPr>
      </w:r>
      <w:r/>
    </w:p>
    <w:p>
      <w:pPr>
        <w:pStyle w:val="1038"/>
        <w:ind w:firstLine="482"/>
        <w:jc w:val="center"/>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b/>
          <w:bCs/>
          <w:color w:val="000000"/>
          <w:sz w:val="24"/>
          <w:szCs w:val="28"/>
          <w:highlight w:val="none"/>
        </w:rPr>
        <w:t xml:space="preserve">附：</w:t>
      </w:r>
      <w:r>
        <w:rPr>
          <w:rFonts w:hint="eastAsia" w:ascii="仿宋" w:hAnsi="仿宋" w:eastAsia="仿宋" w:cs="仿宋"/>
          <w:color w:val="000000"/>
          <w:sz w:val="24"/>
          <w:szCs w:val="28"/>
          <w:highlight w:val="none"/>
        </w:rPr>
        <w:t xml:space="preserve">中小企业划型标准规定</w:t>
      </w:r>
      <w:r>
        <w:rPr>
          <w:rFonts w:hint="eastAsia" w:ascii="仿宋" w:hAnsi="仿宋" w:eastAsia="仿宋" w:cs="仿宋"/>
          <w:color w:val="000000"/>
          <w:highlight w:val="none"/>
        </w:rPr>
      </w:r>
      <w:r/>
    </w:p>
    <w:p>
      <w:pPr>
        <w:pStyle w:val="1038"/>
        <w:ind w:firstLine="420"/>
        <w:jc w:val="center"/>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工信部联企业〔2011〕300号</w:t>
      </w:r>
      <w:r>
        <w:rPr>
          <w:rFonts w:hint="eastAsia" w:ascii="仿宋" w:hAnsi="仿宋" w:eastAsia="仿宋" w:cs="仿宋"/>
          <w:color w:val="000000"/>
          <w:highlight w:val="none"/>
        </w:rPr>
      </w:r>
      <w:r/>
    </w:p>
    <w:p>
      <w:pPr>
        <w:pStyle w:val="1038"/>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一、根据《中华人民共和国中小企业促进法》和《国务院关于进一步促进中小企业发展的若干意见》（国发〔2009〕36号)，制定本规定。</w:t>
      </w:r>
      <w:r>
        <w:rPr>
          <w:rFonts w:hint="eastAsia" w:ascii="仿宋" w:hAnsi="仿宋" w:eastAsia="仿宋" w:cs="仿宋"/>
          <w:color w:val="000000"/>
          <w:highlight w:val="none"/>
        </w:rPr>
      </w:r>
      <w:r/>
    </w:p>
    <w:p>
      <w:pPr>
        <w:pStyle w:val="1038"/>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二、中小企业划分为中型、小型、微型三种类型，具体标准根据企业从业人员、营业收入、资产总额等指标，结合行业特点制定。</w:t>
      </w:r>
      <w:r>
        <w:rPr>
          <w:rFonts w:hint="eastAsia" w:ascii="仿宋" w:hAnsi="仿宋" w:eastAsia="仿宋" w:cs="仿宋"/>
          <w:color w:val="000000"/>
          <w:highlight w:val="none"/>
        </w:rPr>
      </w:r>
      <w:r/>
    </w:p>
    <w:p>
      <w:pPr>
        <w:pStyle w:val="1038"/>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仿宋" w:hAnsi="仿宋" w:eastAsia="仿宋" w:cs="仿宋"/>
          <w:color w:val="000000"/>
          <w:highlight w:val="none"/>
        </w:rPr>
      </w:r>
      <w:r/>
    </w:p>
    <w:p>
      <w:pPr>
        <w:pStyle w:val="1038"/>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四、各行业划型标准为：</w:t>
      </w:r>
      <w:r>
        <w:rPr>
          <w:rFonts w:hint="eastAsia" w:ascii="仿宋" w:hAnsi="仿宋" w:eastAsia="仿宋" w:cs="仿宋"/>
          <w:color w:val="000000"/>
          <w:highlight w:val="none"/>
        </w:rPr>
      </w:r>
      <w:r/>
    </w:p>
    <w:p>
      <w:pPr>
        <w:pStyle w:val="1038"/>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仿宋" w:hAnsi="仿宋" w:eastAsia="仿宋" w:cs="仿宋"/>
          <w:color w:val="000000"/>
          <w:highlight w:val="none"/>
        </w:rPr>
      </w:r>
      <w:r/>
    </w:p>
    <w:p>
      <w:pPr>
        <w:pStyle w:val="1038"/>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仿宋" w:hAnsi="仿宋" w:eastAsia="仿宋" w:cs="仿宋"/>
          <w:color w:val="000000"/>
          <w:highlight w:val="none"/>
        </w:rPr>
      </w:r>
      <w:r/>
    </w:p>
    <w:p>
      <w:pPr>
        <w:pStyle w:val="1038"/>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仿宋" w:hAnsi="仿宋" w:eastAsia="仿宋" w:cs="仿宋"/>
          <w:color w:val="000000"/>
          <w:highlight w:val="none"/>
        </w:rPr>
      </w:r>
      <w:r/>
    </w:p>
    <w:p>
      <w:pPr>
        <w:pStyle w:val="1038"/>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仿宋" w:hAnsi="仿宋" w:eastAsia="仿宋" w:cs="仿宋"/>
          <w:color w:val="000000"/>
          <w:highlight w:val="none"/>
        </w:rPr>
      </w:r>
      <w:r/>
    </w:p>
    <w:p>
      <w:pPr>
        <w:pStyle w:val="1038"/>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000000"/>
          <w:highlight w:val="none"/>
        </w:rPr>
      </w:r>
      <w:r/>
    </w:p>
    <w:p>
      <w:pPr>
        <w:pStyle w:val="1038"/>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仿宋" w:hAnsi="仿宋" w:eastAsia="仿宋" w:cs="仿宋"/>
          <w:color w:val="000000"/>
          <w:highlight w:val="none"/>
        </w:rPr>
      </w:r>
      <w:r/>
    </w:p>
    <w:p>
      <w:pPr>
        <w:pStyle w:val="1038"/>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仿宋" w:hAnsi="仿宋" w:eastAsia="仿宋" w:cs="仿宋"/>
          <w:color w:val="000000"/>
          <w:highlight w:val="none"/>
        </w:rPr>
      </w:r>
      <w:r/>
    </w:p>
    <w:p>
      <w:pPr>
        <w:pStyle w:val="1038"/>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仿宋" w:hAnsi="仿宋" w:eastAsia="仿宋" w:cs="仿宋"/>
          <w:color w:val="000000"/>
          <w:highlight w:val="none"/>
        </w:rPr>
      </w:r>
      <w:r/>
    </w:p>
    <w:p>
      <w:pPr>
        <w:pStyle w:val="1038"/>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000000"/>
          <w:highlight w:val="none"/>
        </w:rPr>
      </w:r>
      <w:r/>
    </w:p>
    <w:p>
      <w:pPr>
        <w:pStyle w:val="1038"/>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000000"/>
          <w:highlight w:val="none"/>
        </w:rPr>
      </w:r>
      <w:r/>
    </w:p>
    <w:p>
      <w:pPr>
        <w:pStyle w:val="1038"/>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000000"/>
          <w:highlight w:val="none"/>
        </w:rPr>
      </w:r>
      <w:r/>
    </w:p>
    <w:p>
      <w:pPr>
        <w:pStyle w:val="1038"/>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仿宋" w:hAnsi="仿宋" w:eastAsia="仿宋" w:cs="仿宋"/>
          <w:color w:val="000000"/>
          <w:highlight w:val="none"/>
        </w:rPr>
      </w:r>
      <w:r/>
    </w:p>
    <w:p>
      <w:pPr>
        <w:pStyle w:val="1038"/>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仿宋" w:hAnsi="仿宋" w:eastAsia="仿宋" w:cs="仿宋"/>
          <w:color w:val="000000"/>
          <w:highlight w:val="none"/>
        </w:rPr>
      </w:r>
      <w:r/>
    </w:p>
    <w:p>
      <w:pPr>
        <w:pStyle w:val="1038"/>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仿宋" w:hAnsi="仿宋" w:eastAsia="仿宋" w:cs="仿宋"/>
          <w:color w:val="000000"/>
          <w:highlight w:val="none"/>
        </w:rPr>
      </w:r>
      <w:r/>
    </w:p>
    <w:p>
      <w:pPr>
        <w:pStyle w:val="1038"/>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仿宋" w:hAnsi="仿宋" w:eastAsia="仿宋" w:cs="仿宋"/>
          <w:color w:val="000000"/>
          <w:highlight w:val="none"/>
        </w:rPr>
      </w:r>
      <w:r/>
    </w:p>
    <w:p>
      <w:pPr>
        <w:pStyle w:val="1038"/>
        <w:ind w:firstLine="422"/>
        <w:spacing w:before="0" w:after="0" w:line="336" w:lineRule="auto"/>
        <w:shd w:val="clear" w:color="auto" w:fill="ffffff"/>
        <w:widowControl/>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（十六）其他未列明行业。从业人员300人以下的为中小微型企业。其中，从业人员100人及以上的为中型企业；从业人员10人及以上的为小型企业；从业人员10人以下的为微型企业。</w:t>
      </w:r>
      <w:r>
        <w:rPr>
          <w:rFonts w:hint="eastAsia" w:ascii="仿宋" w:hAnsi="仿宋" w:eastAsia="仿宋" w:cs="仿宋"/>
          <w:b/>
          <w:bCs/>
          <w:color w:val="000000"/>
          <w:highlight w:val="none"/>
        </w:rPr>
      </w:r>
      <w:r/>
    </w:p>
    <w:p>
      <w:pPr>
        <w:pStyle w:val="1038"/>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五、企业类型的划分以统计部门的统计数据为依据。</w:t>
      </w:r>
      <w:r>
        <w:rPr>
          <w:rFonts w:hint="eastAsia" w:ascii="仿宋" w:hAnsi="仿宋" w:eastAsia="仿宋" w:cs="仿宋"/>
          <w:color w:val="000000"/>
          <w:highlight w:val="none"/>
        </w:rPr>
      </w:r>
      <w:r/>
    </w:p>
    <w:p>
      <w:pPr>
        <w:pStyle w:val="1038"/>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六、本规定适用于在中华人民共和国境内依法设立的各类所有制和各种组织形式的企业。个体工商户和本规定以外的行业，参照本规定进行划型。</w:t>
      </w:r>
      <w:r>
        <w:rPr>
          <w:rFonts w:hint="eastAsia" w:ascii="仿宋" w:hAnsi="仿宋" w:eastAsia="仿宋" w:cs="仿宋"/>
          <w:color w:val="000000"/>
          <w:highlight w:val="none"/>
        </w:rPr>
      </w:r>
      <w:r/>
    </w:p>
    <w:p>
      <w:pPr>
        <w:pStyle w:val="1038"/>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仿宋" w:hAnsi="仿宋" w:eastAsia="仿宋" w:cs="仿宋"/>
          <w:color w:val="000000"/>
          <w:highlight w:val="none"/>
        </w:rPr>
      </w:r>
      <w:r/>
    </w:p>
    <w:p>
      <w:pPr>
        <w:pStyle w:val="1038"/>
        <w:ind w:firstLine="420"/>
        <w:spacing w:before="0" w:after="0" w:line="336" w:lineRule="auto"/>
        <w:shd w:val="clear" w:color="auto" w:fill="ffffff"/>
        <w:widowControl/>
        <w:rPr>
          <w:rFonts w:hint="eastAsia" w:ascii="仿宋" w:hAnsi="仿宋" w:eastAsia="仿宋" w:cs="仿宋"/>
          <w:color w:val="000000"/>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仿宋" w:hAnsi="仿宋" w:eastAsia="仿宋" w:cs="仿宋"/>
          <w:color w:val="000000"/>
          <w:highlight w:val="none"/>
        </w:rPr>
        <w:t xml:space="preserve">八、本规定由工业和信息化部、国家统计局会同有关部门根据《国民经济行业分类》修订情况和企业发展变化情况适时修订。</w:t>
      </w:r>
      <w:r>
        <w:rPr>
          <w:rFonts w:hint="eastAsia" w:ascii="仿宋" w:hAnsi="仿宋" w:eastAsia="仿宋" w:cs="仿宋"/>
          <w:color w:val="000000"/>
          <w:highlight w:val="none"/>
        </w:rPr>
      </w:r>
      <w:r/>
    </w:p>
    <w:p>
      <w:pPr>
        <w:pStyle w:val="1038"/>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（5）残疾人福利性单位声明函（如需）</w:t>
      </w:r>
      <w:r>
        <w:rPr>
          <w:rFonts w:hint="eastAsia" w:ascii="宋体" w:hAnsi="宋体" w:eastAsia="宋体" w:cs="宋体"/>
          <w:b/>
          <w:color w:val="000000"/>
          <w:sz w:val="24"/>
          <w:szCs w:val="24"/>
          <w:highlight w:val="none"/>
        </w:rPr>
      </w:r>
      <w:r/>
    </w:p>
    <w:p>
      <w:pPr>
        <w:pStyle w:val="1038"/>
        <w:ind w:firstLine="420"/>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highlight w:val="none"/>
        </w:rPr>
        <w:t xml:space="preserve">本</w:t>
      </w:r>
      <w:r>
        <w:rPr>
          <w:rFonts w:hint="eastAsia" w:ascii="宋体" w:hAnsi="宋体" w:eastAsia="宋体" w:cs="宋体"/>
          <w:color w:val="000000"/>
          <w:sz w:val="24"/>
          <w:szCs w:val="24"/>
          <w:highlight w:val="none"/>
        </w:rPr>
        <w:t xml:space="preserve">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或由本单位承担工程/提供服务），或者提供其他残疾人福利性单位制造的货物（不包括使用非残疾人福利性单位注册商标的货物）。</w:t>
      </w:r>
      <w:r>
        <w:rPr>
          <w:rFonts w:hint="eastAsia" w:ascii="宋体" w:hAnsi="宋体" w:eastAsia="宋体" w:cs="宋体"/>
          <w:color w:val="000000"/>
          <w:sz w:val="24"/>
          <w:szCs w:val="24"/>
          <w:highlight w:val="none"/>
        </w:rPr>
      </w:r>
      <w:r/>
    </w:p>
    <w:p>
      <w:pPr>
        <w:pStyle w:val="1038"/>
        <w:ind w:firstLine="482"/>
        <w:spacing w:before="0" w:after="0"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本单位对上述声明的真实性负责。如有虚假，将依法承担相应责任。</w:t>
      </w:r>
      <w:r>
        <w:rPr>
          <w:rFonts w:hint="eastAsia" w:ascii="宋体" w:hAnsi="宋体" w:eastAsia="宋体" w:cs="宋体"/>
          <w:b/>
          <w:bCs/>
          <w:color w:val="000000"/>
          <w:sz w:val="24"/>
          <w:szCs w:val="24"/>
          <w:highlight w:val="none"/>
        </w:rPr>
      </w:r>
      <w:r/>
    </w:p>
    <w:p>
      <w:pPr>
        <w:pStyle w:val="1038"/>
        <w:ind w:firstLine="480"/>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8"/>
        <w:ind w:firstLine="480"/>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投标人名称（公章）：</w:t>
      </w:r>
      <w:r>
        <w:rPr>
          <w:rFonts w:hint="eastAsia" w:ascii="宋体" w:hAnsi="宋体" w:eastAsia="宋体" w:cs="宋体"/>
          <w:color w:val="000000"/>
          <w:sz w:val="24"/>
          <w:szCs w:val="24"/>
          <w:highlight w:val="none"/>
        </w:rPr>
      </w:r>
      <w:r/>
    </w:p>
    <w:p>
      <w:pPr>
        <w:pStyle w:val="1038"/>
        <w:ind w:firstLine="480"/>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08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8"/>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（6）属于监狱企业的证明文件（如需）</w:t>
      </w:r>
      <w:r>
        <w:rPr>
          <w:rFonts w:hint="eastAsia" w:ascii="宋体" w:hAnsi="宋体" w:eastAsia="宋体" w:cs="宋体"/>
          <w:b/>
          <w:color w:val="000000"/>
          <w:sz w:val="24"/>
          <w:szCs w:val="24"/>
          <w:highlight w:val="none"/>
        </w:rPr>
      </w:r>
      <w:r/>
    </w:p>
    <w:p>
      <w:pPr>
        <w:pStyle w:val="1038"/>
        <w:ind w:firstLine="480"/>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（提供由省级以上监狱管理局、戒毒管理局（含新疆生产建设兵团）出具的属于监狱企业的证明文件）</w:t>
      </w:r>
      <w:r>
        <w:rPr>
          <w:rFonts w:hint="eastAsia" w:ascii="宋体" w:hAnsi="宋体" w:eastAsia="宋体" w:cs="宋体"/>
          <w:color w:val="000000"/>
          <w:sz w:val="24"/>
          <w:szCs w:val="24"/>
          <w:highlight w:val="none"/>
        </w:rPr>
      </w:r>
      <w:r/>
    </w:p>
    <w:p>
      <w:pPr>
        <w:pStyle w:val="1038"/>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78"/>
        <w:ind w:left="0"/>
        <w:rPr>
          <w:rFonts w:hint="eastAsia" w:ascii="宋体" w:hAnsi="宋体" w:cs="宋体"/>
          <w:color w:val="000000"/>
          <w:highlight w:val="none"/>
        </w:rPr>
      </w:pPr>
      <w:r>
        <w:rPr>
          <w:rFonts w:hint="eastAsia" w:ascii="宋体" w:hAnsi="宋体" w:cs="宋体"/>
          <w:color w:val="000000"/>
          <w:highlight w:val="none"/>
        </w:rPr>
      </w:r>
      <w:r/>
    </w:p>
    <w:p>
      <w:pPr>
        <w:pStyle w:val="1038"/>
        <w:jc w:val="center"/>
        <w:rPr>
          <w:rFonts w:hint="eastAsia" w:ascii="宋体" w:hAnsi="宋体" w:eastAsia="宋体" w:cs="宋体"/>
          <w:color w:val="000000"/>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bookmarkEnd w:id="133"/>
      <w:r/>
      <w:bookmarkEnd w:id="134"/>
      <w:r/>
      <w:bookmarkEnd w:id="135"/>
      <w:r/>
      <w:bookmarkStart w:id="136" w:name="_Toc27811"/>
      <w:r/>
      <w:bookmarkStart w:id="137" w:name="_Toc788"/>
      <w:r/>
      <w:bookmarkStart w:id="138" w:name="_Toc5019"/>
      <w:r>
        <w:rPr>
          <w:rFonts w:hint="eastAsia" w:ascii="宋体" w:hAnsi="宋体" w:eastAsia="宋体" w:cs="宋体"/>
          <w:color w:val="000000"/>
          <w:sz w:val="32"/>
          <w:szCs w:val="32"/>
          <w:highlight w:val="none"/>
        </w:rPr>
      </w:r>
      <w:r/>
    </w:p>
    <w:p>
      <w:pPr>
        <w:pStyle w:val="1038"/>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（7）关于符合本国产品标准的声明函</w:t>
      </w:r>
      <w:r>
        <w:rPr>
          <w:rFonts w:hint="eastAsia" w:ascii="宋体" w:hAnsi="宋体" w:eastAsia="宋体" w:cs="宋体"/>
          <w:b/>
          <w:color w:val="000000"/>
          <w:sz w:val="24"/>
          <w:szCs w:val="24"/>
          <w:highlight w:val="none"/>
        </w:rPr>
      </w:r>
      <w:r/>
    </w:p>
    <w:p>
      <w:pPr>
        <w:pStyle w:val="103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4"/>
          <w:szCs w:val="24"/>
          <w:highlight w:val="none"/>
        </w:rPr>
      </w:r>
      <w:r/>
    </w:p>
    <w:p>
      <w:pPr>
        <w:pStyle w:val="103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产品名称1</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，生产厂为</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厂名</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，厂址为</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生产厂址</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产品名称1</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的中国境内生产的组件成本占比≥</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rPr>
        <w:t xml:space="preserve">规定比例</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产品名称1</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关键组件</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在中国境内生产。</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产品名称1</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关键工序</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在中国境内完成。</w:t>
      </w:r>
      <w:r>
        <w:rPr>
          <w:rFonts w:hint="eastAsia" w:ascii="宋体" w:hAnsi="宋体" w:eastAsia="宋体" w:cs="宋体"/>
          <w:color w:val="000000"/>
          <w:sz w:val="24"/>
          <w:szCs w:val="24"/>
          <w:highlight w:val="none"/>
        </w:rPr>
      </w:r>
      <w:r/>
    </w:p>
    <w:p>
      <w:pPr>
        <w:pStyle w:val="103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产品名称</w:t>
      </w: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，生产厂为</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厂名</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，厂址为</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生产厂址</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产品名称</w:t>
      </w: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的中国境内生产的组件成本占比≥</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rPr>
        <w:t xml:space="preserve">规定比例</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产品名称</w:t>
      </w: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关键组件</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在中国境内生产。</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产品名称1</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关键工序</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在中国境内完成。</w:t>
      </w:r>
      <w:r>
        <w:rPr>
          <w:rFonts w:hint="eastAsia" w:ascii="宋体" w:hAnsi="宋体" w:eastAsia="宋体" w:cs="宋体"/>
          <w:color w:val="000000"/>
          <w:sz w:val="24"/>
          <w:szCs w:val="24"/>
          <w:highlight w:val="none"/>
        </w:rPr>
      </w:r>
      <w:r/>
    </w:p>
    <w:p>
      <w:pPr>
        <w:pStyle w:val="1038"/>
        <w:ind w:firstLine="480"/>
        <w:jc w:val="lef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lang w:val="en-US" w:eastAsia="zh-CN"/>
        </w:rPr>
      </w:r>
      <w:r/>
    </w:p>
    <w:p>
      <w:pPr>
        <w:pStyle w:val="103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本公司（单位）对上述声明内容的真实性负责。如有虚假，愿承担相应法律责任。</w:t>
      </w:r>
      <w:r>
        <w:rPr>
          <w:rFonts w:hint="eastAsia" w:ascii="宋体" w:hAnsi="宋体" w:eastAsia="宋体" w:cs="宋体"/>
          <w:color w:val="000000"/>
          <w:sz w:val="24"/>
          <w:szCs w:val="24"/>
          <w:highlight w:val="none"/>
        </w:rPr>
      </w:r>
      <w:r/>
    </w:p>
    <w:p>
      <w:pPr>
        <w:pStyle w:val="1038"/>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公司（单位）名称（盖章</w:t>
      </w:r>
      <w:r>
        <w:rPr>
          <w:rFonts w:hint="eastAsia" w:ascii="宋体" w:hAnsi="宋体" w:eastAsia="宋体" w:cs="宋体"/>
          <w:color w:val="000000"/>
          <w:sz w:val="24"/>
          <w:szCs w:val="24"/>
          <w:highlight w:val="none"/>
          <w:lang w:val="en-US" w:eastAsia="zh-CN"/>
        </w:rPr>
        <w:t xml:space="preserve">/加盖CA电子公章</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3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038"/>
        <w:jc w:val="left"/>
        <w:spacing w:before="0" w:after="0" w:line="24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w:t>
      </w:r>
      <w:r>
        <w:rPr>
          <w:rFonts w:ascii="宋体" w:hAnsi="宋体" w:eastAsia="宋体" w:cs="宋体"/>
          <w:color w:val="000000"/>
          <w:sz w:val="24"/>
          <w:szCs w:val="24"/>
          <w:highlight w:val="none"/>
        </w:rPr>
      </w:r>
      <w:r/>
    </w:p>
    <w:p>
      <w:pPr>
        <w:pStyle w:val="1038"/>
        <w:ind w:firstLine="482"/>
        <w:spacing w:before="0" w:after="0" w:line="240" w:lineRule="auto"/>
        <w:rPr>
          <w:rFonts w:hint="eastAsia" w:ascii="宋体" w:hAnsi="宋体" w:eastAsia="仿宋" w:cs="宋体"/>
          <w:color w:val="000000"/>
          <w:sz w:val="24"/>
          <w:szCs w:val="24"/>
          <w:highlight w:val="none"/>
        </w:rPr>
      </w:pPr>
      <w:r>
        <w:rPr>
          <w:rStyle w:val="1125"/>
          <w:rFonts w:hint="eastAsia" w:ascii="仿宋" w:hAnsi="仿宋" w:eastAsia="仿宋" w:cs="仿宋"/>
          <w:i w:val="0"/>
          <w:iCs w:val="0"/>
          <w:color w:val="000000"/>
          <w:spacing w:val="0"/>
          <w:sz w:val="24"/>
          <w:szCs w:val="24"/>
          <w:highlight w:val="none"/>
          <w:shd w:val="clear" w:color="auto" w:fill="ffffff"/>
        </w:rPr>
        <w:t xml:space="preserve">“（产品名称）</w:t>
      </w:r>
      <w:r>
        <w:rPr>
          <w:rStyle w:val="1125"/>
          <w:rFonts w:hint="eastAsia" w:ascii="仿宋" w:hAnsi="仿宋" w:eastAsia="仿宋" w:cs="仿宋"/>
          <w:i w:val="0"/>
          <w:iCs w:val="0"/>
          <w:color w:val="000000"/>
          <w:spacing w:val="0"/>
          <w:sz w:val="24"/>
          <w:szCs w:val="24"/>
          <w:highlight w:val="none"/>
          <w:shd w:val="clear" w:color="auto" w:fill="ffffff"/>
          <w:vertAlign w:val="superscript"/>
        </w:rPr>
        <w:t xml:space="preserve">1</w:t>
      </w:r>
      <w:r>
        <w:rPr>
          <w:rFonts w:hint="eastAsia" w:ascii="仿宋" w:hAnsi="仿宋" w:eastAsia="仿宋" w:cs="仿宋"/>
          <w:color w:val="000000"/>
          <w:sz w:val="24"/>
          <w:szCs w:val="24"/>
          <w:highlight w:val="none"/>
          <w:shd w:val="clear" w:color="auto" w:fill="ffffff"/>
        </w:rPr>
        <w:t xml:space="preserve">，生产厂为</w:t>
      </w:r>
      <w:r>
        <w:rPr>
          <w:rStyle w:val="1125"/>
          <w:rFonts w:hint="eastAsia" w:ascii="仿宋" w:hAnsi="仿宋" w:eastAsia="仿宋" w:cs="仿宋"/>
          <w:i w:val="0"/>
          <w:iCs w:val="0"/>
          <w:color w:val="000000"/>
          <w:spacing w:val="0"/>
          <w:sz w:val="24"/>
          <w:szCs w:val="24"/>
          <w:highlight w:val="none"/>
          <w:shd w:val="clear" w:color="auto" w:fill="ffffff"/>
        </w:rPr>
        <w:t xml:space="preserve">（厂名）</w:t>
      </w:r>
      <w:r>
        <w:rPr>
          <w:rStyle w:val="1125"/>
          <w:rFonts w:hint="eastAsia" w:ascii="仿宋" w:hAnsi="仿宋" w:eastAsia="仿宋" w:cs="仿宋"/>
          <w:i w:val="0"/>
          <w:iCs w:val="0"/>
          <w:color w:val="000000"/>
          <w:spacing w:val="0"/>
          <w:sz w:val="24"/>
          <w:szCs w:val="24"/>
          <w:highlight w:val="none"/>
          <w:shd w:val="clear" w:color="auto" w:fill="ffffff"/>
          <w:vertAlign w:val="superscript"/>
        </w:rPr>
        <w:t xml:space="preserve">2</w:t>
      </w:r>
      <w:r>
        <w:rPr>
          <w:rFonts w:hint="eastAsia" w:ascii="仿宋" w:hAnsi="仿宋" w:eastAsia="仿宋" w:cs="仿宋"/>
          <w:color w:val="000000"/>
          <w:sz w:val="24"/>
          <w:szCs w:val="24"/>
          <w:highlight w:val="none"/>
          <w:shd w:val="clear" w:color="auto" w:fill="ffffff"/>
        </w:rPr>
        <w:t xml:space="preserve">，厂址为</w:t>
      </w:r>
      <w:r>
        <w:rPr>
          <w:rStyle w:val="1125"/>
          <w:rFonts w:hint="eastAsia" w:ascii="仿宋" w:hAnsi="仿宋" w:eastAsia="仿宋" w:cs="仿宋"/>
          <w:i w:val="0"/>
          <w:iCs w:val="0"/>
          <w:color w:val="000000"/>
          <w:spacing w:val="0"/>
          <w:sz w:val="24"/>
          <w:szCs w:val="24"/>
          <w:highlight w:val="none"/>
          <w:shd w:val="clear" w:color="auto" w:fill="ffffff"/>
        </w:rPr>
        <w:t xml:space="preserve">（生产厂址）</w:t>
      </w:r>
      <w:r>
        <w:rPr>
          <w:rFonts w:hint="eastAsia" w:ascii="仿宋" w:hAnsi="仿宋" w:eastAsia="仿宋" w:cs="仿宋"/>
          <w:color w:val="000000"/>
          <w:sz w:val="24"/>
          <w:szCs w:val="24"/>
          <w:highlight w:val="none"/>
          <w:shd w:val="clear" w:color="auto" w:fill="ffffff"/>
        </w:rPr>
        <w:t xml:space="preserve">。</w:t>
      </w:r>
      <w:r>
        <w:rPr>
          <w:rStyle w:val="1125"/>
          <w:rFonts w:hint="eastAsia" w:ascii="仿宋" w:hAnsi="仿宋" w:eastAsia="仿宋" w:cs="仿宋"/>
          <w:i w:val="0"/>
          <w:iCs w:val="0"/>
          <w:color w:val="000000"/>
          <w:spacing w:val="0"/>
          <w:sz w:val="24"/>
          <w:szCs w:val="24"/>
          <w:highlight w:val="none"/>
          <w:shd w:val="clear" w:color="auto" w:fill="ffffff"/>
        </w:rPr>
        <w:t xml:space="preserve">（产品名称）</w:t>
      </w:r>
      <w:r>
        <w:rPr>
          <w:rFonts w:hint="eastAsia" w:ascii="仿宋" w:hAnsi="仿宋" w:eastAsia="仿宋" w:cs="仿宋"/>
          <w:color w:val="000000"/>
          <w:sz w:val="24"/>
          <w:szCs w:val="24"/>
          <w:highlight w:val="none"/>
          <w:shd w:val="clear" w:color="auto" w:fill="ffffff"/>
        </w:rPr>
        <w:t xml:space="preserve">的中国境内生产的组件成本占比≥</w:t>
      </w:r>
      <w:r>
        <w:rPr>
          <w:rStyle w:val="1125"/>
          <w:rFonts w:hint="eastAsia" w:ascii="仿宋" w:hAnsi="仿宋" w:eastAsia="仿宋" w:cs="仿宋"/>
          <w:i w:val="0"/>
          <w:iCs w:val="0"/>
          <w:color w:val="000000"/>
          <w:spacing w:val="0"/>
          <w:sz w:val="24"/>
          <w:szCs w:val="24"/>
          <w:highlight w:val="none"/>
          <w:shd w:val="clear" w:color="auto" w:fill="ffffff"/>
        </w:rPr>
        <w:t xml:space="preserve">（规定比例）</w:t>
      </w:r>
      <w:r>
        <w:rPr>
          <w:rStyle w:val="1125"/>
          <w:rFonts w:hint="eastAsia" w:ascii="仿宋" w:hAnsi="仿宋" w:eastAsia="仿宋" w:cs="仿宋"/>
          <w:i w:val="0"/>
          <w:iCs w:val="0"/>
          <w:color w:val="000000"/>
          <w:spacing w:val="0"/>
          <w:sz w:val="24"/>
          <w:szCs w:val="24"/>
          <w:highlight w:val="none"/>
          <w:shd w:val="clear" w:color="auto" w:fill="ffffff"/>
          <w:vertAlign w:val="superscript"/>
        </w:rPr>
        <w:t xml:space="preserve">3</w:t>
      </w:r>
      <w:r>
        <w:rPr>
          <w:rFonts w:hint="eastAsia" w:ascii="仿宋" w:hAnsi="仿宋" w:eastAsia="仿宋" w:cs="仿宋"/>
          <w:color w:val="000000"/>
          <w:sz w:val="24"/>
          <w:szCs w:val="24"/>
          <w:highlight w:val="none"/>
          <w:shd w:val="clear" w:color="auto" w:fill="ffffff"/>
        </w:rPr>
        <w:t xml:space="preserve">。</w:t>
      </w:r>
      <w:r>
        <w:rPr>
          <w:rStyle w:val="1125"/>
          <w:rFonts w:hint="eastAsia" w:ascii="仿宋" w:hAnsi="仿宋" w:eastAsia="仿宋" w:cs="仿宋"/>
          <w:i w:val="0"/>
          <w:iCs w:val="0"/>
          <w:color w:val="000000"/>
          <w:spacing w:val="0"/>
          <w:sz w:val="24"/>
          <w:szCs w:val="24"/>
          <w:highlight w:val="none"/>
          <w:shd w:val="clear" w:color="auto" w:fill="ffffff"/>
        </w:rPr>
        <w:t xml:space="preserve">（产品名称）</w:t>
      </w:r>
      <w:r>
        <w:rPr>
          <w:rFonts w:hint="eastAsia" w:ascii="仿宋" w:hAnsi="仿宋" w:eastAsia="仿宋" w:cs="仿宋"/>
          <w:color w:val="000000"/>
          <w:sz w:val="24"/>
          <w:szCs w:val="24"/>
          <w:highlight w:val="none"/>
          <w:shd w:val="clear" w:color="auto" w:fill="ffffff"/>
        </w:rPr>
        <w:t xml:space="preserve">的</w:t>
      </w:r>
      <w:r>
        <w:rPr>
          <w:rStyle w:val="1125"/>
          <w:rFonts w:hint="eastAsia" w:ascii="仿宋" w:hAnsi="仿宋" w:eastAsia="仿宋" w:cs="仿宋"/>
          <w:i w:val="0"/>
          <w:iCs w:val="0"/>
          <w:color w:val="000000"/>
          <w:spacing w:val="0"/>
          <w:sz w:val="24"/>
          <w:szCs w:val="24"/>
          <w:highlight w:val="none"/>
          <w:shd w:val="clear" w:color="auto" w:fill="ffffff"/>
        </w:rPr>
        <w:t xml:space="preserve">（关键组件）</w:t>
      </w:r>
      <w:r>
        <w:rPr>
          <w:rStyle w:val="1125"/>
          <w:rFonts w:hint="eastAsia" w:ascii="仿宋" w:hAnsi="仿宋" w:eastAsia="仿宋" w:cs="仿宋"/>
          <w:i w:val="0"/>
          <w:iCs w:val="0"/>
          <w:color w:val="000000"/>
          <w:spacing w:val="0"/>
          <w:sz w:val="24"/>
          <w:szCs w:val="24"/>
          <w:highlight w:val="none"/>
          <w:shd w:val="clear" w:color="auto" w:fill="ffffff"/>
          <w:vertAlign w:val="superscript"/>
        </w:rPr>
        <w:t xml:space="preserve">4</w:t>
      </w:r>
      <w:r>
        <w:rPr>
          <w:rFonts w:hint="eastAsia" w:ascii="仿宋" w:hAnsi="仿宋" w:eastAsia="仿宋" w:cs="仿宋"/>
          <w:color w:val="000000"/>
          <w:sz w:val="24"/>
          <w:szCs w:val="24"/>
          <w:highlight w:val="none"/>
          <w:shd w:val="clear" w:color="auto" w:fill="ffffff"/>
        </w:rPr>
        <w:t xml:space="preserve">在中国境内生产。</w:t>
      </w:r>
      <w:r>
        <w:rPr>
          <w:rStyle w:val="1125"/>
          <w:rFonts w:hint="eastAsia" w:ascii="仿宋" w:hAnsi="仿宋" w:eastAsia="仿宋" w:cs="仿宋"/>
          <w:i w:val="0"/>
          <w:iCs w:val="0"/>
          <w:color w:val="000000"/>
          <w:spacing w:val="0"/>
          <w:sz w:val="24"/>
          <w:szCs w:val="24"/>
          <w:highlight w:val="none"/>
          <w:shd w:val="clear" w:color="auto" w:fill="ffffff"/>
        </w:rPr>
        <w:t xml:space="preserve">（产品名称）</w:t>
      </w:r>
      <w:r>
        <w:rPr>
          <w:rFonts w:hint="eastAsia" w:ascii="仿宋" w:hAnsi="仿宋" w:eastAsia="仿宋" w:cs="仿宋"/>
          <w:color w:val="000000"/>
          <w:sz w:val="24"/>
          <w:szCs w:val="24"/>
          <w:highlight w:val="none"/>
          <w:shd w:val="clear" w:color="auto" w:fill="ffffff"/>
        </w:rPr>
        <w:t xml:space="preserve">的</w:t>
      </w:r>
      <w:r>
        <w:rPr>
          <w:rStyle w:val="1125"/>
          <w:rFonts w:hint="eastAsia" w:ascii="仿宋" w:hAnsi="仿宋" w:eastAsia="仿宋" w:cs="仿宋"/>
          <w:i w:val="0"/>
          <w:iCs w:val="0"/>
          <w:color w:val="000000"/>
          <w:spacing w:val="0"/>
          <w:sz w:val="24"/>
          <w:szCs w:val="24"/>
          <w:highlight w:val="none"/>
          <w:shd w:val="clear" w:color="auto" w:fill="ffffff"/>
        </w:rPr>
        <w:t xml:space="preserve">（关键工序）</w:t>
      </w:r>
      <w:r>
        <w:rPr>
          <w:rStyle w:val="1125"/>
          <w:rFonts w:hint="eastAsia" w:ascii="仿宋" w:hAnsi="仿宋" w:eastAsia="仿宋" w:cs="仿宋"/>
          <w:i w:val="0"/>
          <w:iCs w:val="0"/>
          <w:color w:val="000000"/>
          <w:spacing w:val="0"/>
          <w:sz w:val="24"/>
          <w:szCs w:val="24"/>
          <w:highlight w:val="none"/>
          <w:shd w:val="clear" w:color="auto" w:fill="ffffff"/>
          <w:vertAlign w:val="superscript"/>
        </w:rPr>
        <w:t xml:space="preserve">5</w:t>
      </w:r>
      <w:r>
        <w:rPr>
          <w:rFonts w:hint="eastAsia" w:ascii="仿宋" w:hAnsi="仿宋" w:eastAsia="仿宋" w:cs="仿宋"/>
          <w:color w:val="000000"/>
          <w:sz w:val="24"/>
          <w:szCs w:val="24"/>
          <w:highlight w:val="none"/>
          <w:shd w:val="clear" w:color="auto" w:fill="ffffff"/>
        </w:rPr>
        <w:t xml:space="preserve">在中国境内完成。”</w:t>
      </w:r>
      <w:r>
        <w:rPr>
          <w:rFonts w:hint="eastAsia" w:ascii="宋体" w:hAnsi="宋体" w:eastAsia="仿宋" w:cs="宋体"/>
          <w:color w:val="000000"/>
          <w:sz w:val="24"/>
          <w:szCs w:val="24"/>
          <w:highlight w:val="none"/>
        </w:rPr>
      </w:r>
      <w:r/>
    </w:p>
    <w:p>
      <w:pPr>
        <w:pStyle w:val="1038"/>
        <w:ind w:firstLine="420"/>
        <w:jc w:val="left"/>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8"/>
        <w:ind w:firstLine="420"/>
        <w:jc w:val="left"/>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1.产品如有型号，请在“产品名称”栏一并填写。</w:t>
      </w:r>
      <w:r>
        <w:rPr>
          <w:rFonts w:hint="eastAsia" w:ascii="宋体" w:hAnsi="宋体" w:eastAsia="宋体" w:cs="宋体"/>
          <w:color w:val="000000"/>
          <w:sz w:val="24"/>
          <w:szCs w:val="24"/>
          <w:highlight w:val="none"/>
        </w:rPr>
      </w:r>
      <w:r/>
    </w:p>
    <w:p>
      <w:pPr>
        <w:pStyle w:val="1038"/>
        <w:ind w:firstLine="420"/>
        <w:jc w:val="left"/>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2.生产厂名与厂址应与生产厂营业执照载明的相关信息保持一致。</w:t>
      </w:r>
      <w:r>
        <w:rPr>
          <w:rFonts w:hint="eastAsia" w:ascii="宋体" w:hAnsi="宋体" w:eastAsia="宋体" w:cs="宋体"/>
          <w:color w:val="000000"/>
          <w:sz w:val="24"/>
          <w:szCs w:val="24"/>
          <w:highlight w:val="none"/>
        </w:rPr>
      </w:r>
      <w:r/>
    </w:p>
    <w:p>
      <w:pPr>
        <w:pStyle w:val="1038"/>
        <w:ind w:firstLine="420"/>
        <w:jc w:val="left"/>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3.该产品的中国境内生产的组件成本占比相关要求实施前，“规定比例”栏可不填，下同。</w:t>
      </w:r>
      <w:r>
        <w:rPr>
          <w:rFonts w:hint="eastAsia" w:ascii="宋体" w:hAnsi="宋体" w:eastAsia="宋体" w:cs="宋体"/>
          <w:color w:val="000000"/>
          <w:sz w:val="24"/>
          <w:szCs w:val="24"/>
          <w:highlight w:val="none"/>
        </w:rPr>
      </w:r>
      <w:r/>
    </w:p>
    <w:p>
      <w:pPr>
        <w:pStyle w:val="1038"/>
        <w:ind w:firstLine="420"/>
        <w:jc w:val="left"/>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4.该产品的关键组件要求实施前，“关键组件”栏可不填，下同。</w:t>
      </w:r>
      <w:r>
        <w:rPr>
          <w:rFonts w:hint="eastAsia" w:ascii="宋体" w:hAnsi="宋体" w:eastAsia="宋体" w:cs="宋体"/>
          <w:color w:val="000000"/>
          <w:sz w:val="24"/>
          <w:szCs w:val="24"/>
          <w:highlight w:val="none"/>
        </w:rPr>
      </w:r>
      <w:r/>
    </w:p>
    <w:p>
      <w:pPr>
        <w:pStyle w:val="1038"/>
        <w:ind w:firstLine="420"/>
        <w:jc w:val="left"/>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5.该产品的关键工序要求实施前，“关键工序”栏可不填，下同。</w:t>
      </w:r>
      <w:r>
        <w:rPr>
          <w:rFonts w:hint="eastAsia" w:ascii="宋体" w:hAnsi="宋体" w:eastAsia="宋体" w:cs="宋体"/>
          <w:color w:val="000000"/>
          <w:sz w:val="24"/>
          <w:szCs w:val="24"/>
          <w:highlight w:val="none"/>
        </w:rPr>
      </w:r>
      <w:r/>
    </w:p>
    <w:p>
      <w:pPr>
        <w:pStyle w:val="1038"/>
        <w:ind w:firstLine="420"/>
        <w:jc w:val="left"/>
        <w:spacing w:before="0" w:after="0" w:line="240" w:lineRule="auto"/>
        <w:rPr>
          <w:rFonts w:hint="eastAsia" w:ascii="宋体" w:hAnsi="宋体" w:eastAsia="宋体" w:cs="宋体"/>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24"/>
          <w:szCs w:val="24"/>
          <w:highlight w:val="none"/>
        </w:rPr>
        <w:t xml:space="preserve">6.采购人或采购代理机构有权将以上内容进行公示。</w:t>
      </w:r>
      <w:r>
        <w:rPr>
          <w:rFonts w:hint="eastAsia" w:ascii="宋体" w:hAnsi="宋体" w:eastAsia="宋体" w:cs="宋体"/>
          <w:color w:val="000000"/>
          <w:sz w:val="24"/>
          <w:szCs w:val="24"/>
          <w:highlight w:val="none"/>
        </w:rPr>
      </w:r>
      <w:r/>
    </w:p>
    <w:p>
      <w:pPr>
        <w:pStyle w:val="1038"/>
        <w:jc w:val="center"/>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《关于符合本国产品标准的声明函》附件</w:t>
      </w:r>
      <w:r>
        <w:rPr>
          <w:rFonts w:hint="eastAsia" w:ascii="宋体" w:hAnsi="宋体" w:eastAsia="宋体" w:cs="宋体"/>
          <w:b/>
          <w:color w:val="000000"/>
          <w:sz w:val="28"/>
          <w:szCs w:val="28"/>
          <w:highlight w:val="none"/>
        </w:rPr>
      </w:r>
      <w:r/>
    </w:p>
    <w:p>
      <w:pPr>
        <w:pStyle w:val="1038"/>
        <w:jc w:val="center"/>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成本比例声明函</w:t>
      </w:r>
      <w:r>
        <w:rPr>
          <w:rFonts w:hint="eastAsia" w:ascii="宋体" w:hAnsi="宋体" w:eastAsia="宋体" w:cs="宋体"/>
          <w:b/>
          <w:color w:val="000000"/>
          <w:sz w:val="28"/>
          <w:szCs w:val="28"/>
          <w:highlight w:val="none"/>
        </w:rPr>
      </w:r>
      <w:r/>
    </w:p>
    <w:p>
      <w:pPr>
        <w:pStyle w:val="103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(适用于采购项目或者采购包中含有多种产品时，不提供或者提供声明的比例达不到要求时，不享受价格扣除)</w:t>
      </w:r>
      <w:r>
        <w:rPr>
          <w:rFonts w:hint="eastAsia" w:ascii="宋体" w:hAnsi="宋体" w:eastAsia="宋体" w:cs="宋体"/>
          <w:color w:val="000000"/>
          <w:sz w:val="24"/>
          <w:szCs w:val="24"/>
          <w:highlight w:val="none"/>
        </w:rPr>
      </w:r>
      <w:r/>
    </w:p>
    <w:p>
      <w:pPr>
        <w:pStyle w:val="103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单位)郑重声明，根据《国务院办公厅关于在政府采购中实施本国产品标准及相关政策的通知》(国办发[2025)34号)的规定，本公司(单位)提供的全部产品中，符合本国产品标准的产品成本之和占本公司(单位)提供的全部产品成本之和的比例达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%(填写具体百分比)。</w:t>
      </w:r>
      <w:r>
        <w:rPr>
          <w:rFonts w:hint="eastAsia" w:ascii="宋体" w:hAnsi="宋体" w:eastAsia="宋体" w:cs="宋体"/>
          <w:color w:val="000000"/>
          <w:sz w:val="24"/>
          <w:szCs w:val="24"/>
          <w:highlight w:val="none"/>
        </w:rPr>
      </w:r>
      <w:r/>
    </w:p>
    <w:p>
      <w:pPr>
        <w:pStyle w:val="103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本公司(单位)对上述声明内容的真实性负责。如有虚假，愿承担相应法律责任。</w:t>
      </w:r>
      <w:r>
        <w:rPr>
          <w:rFonts w:hint="eastAsia" w:ascii="宋体" w:hAnsi="宋体" w:eastAsia="宋体" w:cs="宋体"/>
          <w:color w:val="000000"/>
          <w:sz w:val="24"/>
          <w:szCs w:val="24"/>
          <w:highlight w:val="none"/>
        </w:rPr>
      </w:r>
      <w:r/>
    </w:p>
    <w:p>
      <w:pPr>
        <w:pStyle w:val="103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公司(单位)名称(盖章</w:t>
      </w:r>
      <w:r>
        <w:rPr>
          <w:rFonts w:hint="eastAsia" w:ascii="宋体" w:hAnsi="宋体" w:eastAsia="宋体" w:cs="宋体"/>
          <w:color w:val="000000"/>
          <w:sz w:val="24"/>
          <w:szCs w:val="24"/>
          <w:highlight w:val="none"/>
          <w:lang w:val="en-US" w:eastAsia="zh-CN"/>
        </w:rPr>
        <w:t xml:space="preserve">/加盖CA电子公章</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3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03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8"/>
        <w:ind w:firstLine="480"/>
        <w:jc w:val="left"/>
        <w:rPr>
          <w:rFonts w:hint="eastAsia" w:ascii="宋体" w:hAnsi="宋体" w:eastAsia="宋体" w:cs="宋体"/>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24"/>
          <w:szCs w:val="24"/>
          <w:highlight w:val="none"/>
        </w:rPr>
        <w:t xml:space="preserve">注:根据《国务院办公厅关于在政府采购中实施本国产品标准及相关政策的通知》(国办发[2025]34号)的规定，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color w:val="000000"/>
          <w:sz w:val="24"/>
          <w:szCs w:val="24"/>
          <w:highlight w:val="none"/>
        </w:rPr>
      </w:r>
      <w:r/>
    </w:p>
    <w:p>
      <w:pPr>
        <w:pStyle w:val="1038"/>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4.资格审查</w:t>
      </w:r>
      <w:r>
        <w:rPr>
          <w:rFonts w:hint="eastAsia" w:ascii="宋体" w:hAnsi="宋体" w:eastAsia="宋体" w:cs="宋体"/>
          <w:color w:val="000000"/>
          <w:sz w:val="32"/>
          <w:szCs w:val="32"/>
          <w:highlight w:val="none"/>
        </w:rPr>
      </w:r>
      <w:r/>
    </w:p>
    <w:p>
      <w:pPr>
        <w:pStyle w:val="1038"/>
        <w:ind w:firstLine="480"/>
        <w:jc w:val="left"/>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供应商根据第一章招标公告中第二项投标人资质要求，逐一提供相应资质文件，并加盖公章；根据文件内容提供</w:t>
      </w:r>
      <w:r>
        <w:rPr>
          <w:rFonts w:hint="eastAsia" w:ascii="宋体" w:hAnsi="宋体" w:eastAsia="宋体" w:cs="宋体"/>
          <w:color w:val="000000"/>
          <w:sz w:val="24"/>
          <w:szCs w:val="24"/>
          <w:highlight w:val="none"/>
        </w:rPr>
        <w:t xml:space="preserve">相关承诺，格式自拟，并</w:t>
      </w:r>
      <w:r>
        <w:rPr>
          <w:rFonts w:hint="eastAsia" w:ascii="宋体" w:hAnsi="宋体" w:eastAsia="宋体" w:cs="宋体"/>
          <w:bCs/>
          <w:color w:val="000000"/>
          <w:sz w:val="24"/>
          <w:szCs w:val="24"/>
          <w:highlight w:val="none"/>
        </w:rPr>
        <w:t xml:space="preserve">加盖公章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8"/>
        <w:jc w:val="center"/>
        <w:spacing w:before="0" w:after="0"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（1）资格审查承诺函（格式）</w:t>
      </w:r>
      <w:r>
        <w:rPr>
          <w:rFonts w:hint="eastAsia" w:ascii="宋体" w:hAnsi="宋体" w:eastAsia="宋体" w:cs="宋体"/>
          <w:b/>
          <w:color w:val="000000"/>
          <w:sz w:val="24"/>
          <w:szCs w:val="24"/>
          <w:highlight w:val="none"/>
        </w:rPr>
      </w:r>
      <w:r/>
    </w:p>
    <w:p>
      <w:pPr>
        <w:pStyle w:val="1038"/>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致：江苏省计量科学研究院（江苏省能源计量数据中心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江苏海外集团国际工程咨询有限公司</w:t>
      </w:r>
      <w:r>
        <w:rPr>
          <w:rFonts w:hint="eastAsia" w:ascii="宋体" w:hAnsi="宋体" w:eastAsia="宋体" w:cs="宋体"/>
          <w:color w:val="000000"/>
          <w:sz w:val="24"/>
          <w:szCs w:val="24"/>
          <w:highlight w:val="none"/>
        </w:rPr>
      </w:r>
      <w:r/>
    </w:p>
    <w:p>
      <w:pPr>
        <w:pStyle w:val="1038"/>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为确保</w:t>
      </w:r>
      <w:r>
        <w:rPr>
          <w:rFonts w:hint="eastAsia" w:ascii="宋体" w:hAnsi="宋体" w:eastAsia="宋体" w:cs="宋体"/>
          <w:color w:val="000000"/>
          <w:sz w:val="24"/>
          <w:szCs w:val="24"/>
          <w:highlight w:val="none"/>
          <w:u w:val="single"/>
        </w:rPr>
        <w:t xml:space="preserve">（项目名称）（项目编号）</w:t>
      </w:r>
      <w:r>
        <w:rPr>
          <w:rFonts w:hint="eastAsia" w:ascii="宋体" w:hAnsi="宋体" w:eastAsia="宋体" w:cs="宋体"/>
          <w:color w:val="000000"/>
          <w:sz w:val="24"/>
          <w:szCs w:val="24"/>
          <w:highlight w:val="none"/>
        </w:rPr>
        <w:t xml:space="preserve">招标工作顺利进行，我公司在此承诺：</w:t>
      </w:r>
      <w:r>
        <w:rPr>
          <w:rFonts w:hint="eastAsia" w:ascii="宋体" w:hAnsi="宋体" w:eastAsia="宋体" w:cs="宋体"/>
          <w:color w:val="000000"/>
          <w:sz w:val="24"/>
          <w:szCs w:val="24"/>
          <w:highlight w:val="none"/>
        </w:rPr>
      </w:r>
      <w:r/>
    </w:p>
    <w:p>
      <w:pPr>
        <w:pStyle w:val="1038"/>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1.我公司未处于被责令停业、投标资格被取消或者财产被接管，冻结和破产状态。</w:t>
      </w:r>
      <w:r>
        <w:rPr>
          <w:rFonts w:hint="eastAsia" w:ascii="宋体" w:hAnsi="宋体" w:eastAsia="宋体" w:cs="宋体"/>
          <w:color w:val="000000"/>
          <w:sz w:val="24"/>
          <w:szCs w:val="24"/>
          <w:highlight w:val="none"/>
        </w:rPr>
      </w:r>
      <w:r/>
    </w:p>
    <w:p>
      <w:pPr>
        <w:pStyle w:val="1038"/>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2.我公司的资格审查资料中的重要内容没有失实或弄虚作假。</w:t>
      </w:r>
      <w:r>
        <w:rPr>
          <w:rFonts w:hint="eastAsia" w:ascii="宋体" w:hAnsi="宋体" w:eastAsia="宋体" w:cs="宋体"/>
          <w:color w:val="000000"/>
          <w:sz w:val="24"/>
          <w:szCs w:val="24"/>
          <w:highlight w:val="none"/>
        </w:rPr>
      </w:r>
      <w:r/>
    </w:p>
    <w:p>
      <w:pPr>
        <w:pStyle w:val="1038"/>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3.我公司符合法律、法规规定的其他条件。</w:t>
      </w:r>
      <w:r>
        <w:rPr>
          <w:rFonts w:hint="eastAsia" w:ascii="宋体" w:hAnsi="宋体" w:eastAsia="宋体" w:cs="宋体"/>
          <w:color w:val="000000"/>
          <w:sz w:val="24"/>
          <w:szCs w:val="24"/>
          <w:highlight w:val="none"/>
        </w:rPr>
      </w:r>
      <w:r/>
    </w:p>
    <w:p>
      <w:pPr>
        <w:pStyle w:val="1038"/>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4.我公司无下列行为：</w:t>
      </w:r>
      <w:r>
        <w:rPr>
          <w:rFonts w:hint="eastAsia" w:ascii="宋体" w:hAnsi="宋体" w:eastAsia="宋体" w:cs="宋体"/>
          <w:color w:val="000000"/>
          <w:sz w:val="24"/>
          <w:szCs w:val="24"/>
          <w:highlight w:val="none"/>
        </w:rPr>
      </w:r>
      <w:r/>
    </w:p>
    <w:p>
      <w:pPr>
        <w:pStyle w:val="1038"/>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（1）有违反法律、法规行为，依法被取消投标资格且期限未满的；</w:t>
      </w:r>
      <w:r>
        <w:rPr>
          <w:rFonts w:hint="eastAsia" w:ascii="宋体" w:hAnsi="宋体" w:eastAsia="宋体" w:cs="宋体"/>
          <w:color w:val="000000"/>
          <w:sz w:val="24"/>
          <w:szCs w:val="24"/>
          <w:highlight w:val="none"/>
        </w:rPr>
      </w:r>
      <w:r/>
    </w:p>
    <w:p>
      <w:pPr>
        <w:pStyle w:val="1038"/>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（2）因招标活动中有违法违规和不良行为，被有关行政监督部门公示且公示期限未满的。</w:t>
      </w:r>
      <w:r>
        <w:rPr>
          <w:rFonts w:hint="eastAsia" w:ascii="宋体" w:hAnsi="宋体" w:eastAsia="宋体" w:cs="宋体"/>
          <w:color w:val="000000"/>
          <w:sz w:val="24"/>
          <w:szCs w:val="24"/>
          <w:highlight w:val="none"/>
        </w:rPr>
      </w:r>
      <w:r/>
    </w:p>
    <w:p>
      <w:pPr>
        <w:pStyle w:val="1038"/>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5.在参加本次政府采购活动中不存在与参加本项目的其他供应商单位负责人为同一人或者存在直接控股、管理关系的情形。</w:t>
      </w:r>
      <w:r>
        <w:rPr>
          <w:rFonts w:hint="eastAsia" w:ascii="宋体" w:hAnsi="宋体" w:eastAsia="宋体" w:cs="宋体"/>
          <w:color w:val="000000"/>
          <w:sz w:val="24"/>
          <w:szCs w:val="24"/>
          <w:highlight w:val="none"/>
        </w:rPr>
      </w:r>
      <w:r/>
    </w:p>
    <w:p>
      <w:pPr>
        <w:pStyle w:val="1038"/>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6.我公司中标后，不对本项目转包、分包。</w:t>
      </w:r>
      <w:r>
        <w:rPr>
          <w:rFonts w:hint="eastAsia" w:ascii="宋体" w:hAnsi="宋体" w:eastAsia="宋体" w:cs="宋体"/>
          <w:color w:val="000000"/>
          <w:sz w:val="24"/>
          <w:szCs w:val="24"/>
          <w:highlight w:val="none"/>
        </w:rPr>
      </w:r>
      <w:r/>
    </w:p>
    <w:p>
      <w:pPr>
        <w:pStyle w:val="1038"/>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7.我公司未为采购项目提供整体设计、规范编制或者项目管理、监理、检测等服务。</w:t>
      </w:r>
      <w:r>
        <w:rPr>
          <w:rFonts w:hint="eastAsia" w:ascii="宋体" w:hAnsi="宋体" w:eastAsia="宋体" w:cs="宋体"/>
          <w:color w:val="000000"/>
          <w:sz w:val="24"/>
          <w:szCs w:val="24"/>
          <w:highlight w:val="none"/>
        </w:rPr>
      </w:r>
      <w:r/>
    </w:p>
    <w:p>
      <w:pPr>
        <w:pStyle w:val="1038"/>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8.我公司投标文件中的重要内容没有失实或弄虚作假。</w:t>
      </w:r>
      <w:r>
        <w:rPr>
          <w:rFonts w:hint="eastAsia" w:ascii="宋体" w:hAnsi="宋体" w:eastAsia="宋体" w:cs="宋体"/>
          <w:color w:val="000000"/>
          <w:sz w:val="24"/>
          <w:szCs w:val="24"/>
          <w:highlight w:val="none"/>
        </w:rPr>
      </w:r>
      <w:r/>
    </w:p>
    <w:p>
      <w:pPr>
        <w:pStyle w:val="1038"/>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本公司对上述承诺的真实性负责。如有虚假，将依法承担相应责任。</w:t>
      </w:r>
      <w:r>
        <w:rPr>
          <w:rFonts w:hint="eastAsia" w:ascii="宋体" w:hAnsi="宋体" w:eastAsia="宋体" w:cs="宋体"/>
          <w:color w:val="000000"/>
          <w:sz w:val="24"/>
          <w:szCs w:val="24"/>
          <w:highlight w:val="none"/>
        </w:rPr>
      </w:r>
      <w:r/>
    </w:p>
    <w:p>
      <w:pPr>
        <w:pStyle w:val="1038"/>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特此承诺！</w:t>
      </w:r>
      <w:r>
        <w:rPr>
          <w:rFonts w:hint="eastAsia" w:ascii="宋体" w:hAnsi="宋体" w:eastAsia="宋体" w:cs="宋体"/>
          <w:color w:val="000000"/>
          <w:sz w:val="24"/>
          <w:szCs w:val="24"/>
          <w:highlight w:val="none"/>
        </w:rPr>
      </w:r>
      <w:r/>
    </w:p>
    <w:p>
      <w:pPr>
        <w:pStyle w:val="1038"/>
        <w:ind w:firstLine="48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盖章</w:t>
      </w:r>
      <w:r>
        <w:rPr>
          <w:rFonts w:hint="eastAsia" w:ascii="宋体" w:hAnsi="宋体" w:eastAsia="宋体" w:cs="宋体"/>
          <w:color w:val="000000"/>
          <w:sz w:val="24"/>
          <w:szCs w:val="24"/>
          <w:highlight w:val="none"/>
          <w:lang w:val="en-US" w:eastAsia="zh-CN"/>
        </w:rPr>
        <w:t xml:space="preserve">/加盖CA电子公章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8"/>
        <w:ind w:firstLine="470"/>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法定代表人或授权代表（签字或签章）：</w:t>
      </w:r>
      <w:r>
        <w:rPr>
          <w:rFonts w:hint="eastAsia" w:ascii="宋体" w:hAnsi="宋体" w:eastAsia="宋体" w:cs="宋体"/>
          <w:color w:val="000000"/>
          <w:sz w:val="24"/>
          <w:szCs w:val="24"/>
          <w:highlight w:val="none"/>
        </w:rPr>
      </w:r>
      <w:r/>
    </w:p>
    <w:p>
      <w:pPr>
        <w:pStyle w:val="1038"/>
        <w:ind w:firstLine="470"/>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038"/>
        <w:jc w:val="center"/>
        <w:widowControl/>
        <w:rPr>
          <w:rFonts w:hint="eastAsia" w:ascii="宋体" w:hAnsi="宋体" w:eastAsia="宋体" w:cs="宋体"/>
          <w:b/>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color w:val="000000"/>
          <w:sz w:val="24"/>
          <w:szCs w:val="24"/>
          <w:highlight w:val="none"/>
        </w:rPr>
      </w:r>
      <w:r/>
    </w:p>
    <w:p>
      <w:pPr>
        <w:pStyle w:val="1038"/>
        <w:jc w:val="center"/>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4"/>
          <w:szCs w:val="24"/>
          <w:highlight w:val="none"/>
        </w:rPr>
        <w:t xml:space="preserve">（2）无重大违法记录声明函（格式）</w:t>
      </w:r>
      <w:r>
        <w:rPr>
          <w:rFonts w:hint="eastAsia" w:ascii="宋体" w:hAnsi="宋体" w:eastAsia="宋体" w:cs="宋体"/>
          <w:b/>
          <w:color w:val="000000"/>
          <w:sz w:val="28"/>
          <w:szCs w:val="28"/>
          <w:highlight w:val="none"/>
        </w:rPr>
      </w:r>
      <w:r/>
    </w:p>
    <w:p>
      <w:pPr>
        <w:pStyle w:val="1038"/>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致：江苏省计量科学研究院（江苏省能源计量数据中心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江苏海外集团国际工程咨询有限公司</w:t>
      </w:r>
      <w:r>
        <w:rPr>
          <w:rFonts w:hint="eastAsia" w:ascii="宋体" w:hAnsi="宋体" w:eastAsia="宋体" w:cs="宋体"/>
          <w:color w:val="000000"/>
          <w:sz w:val="24"/>
          <w:szCs w:val="24"/>
          <w:highlight w:val="none"/>
        </w:rPr>
      </w:r>
      <w:r/>
    </w:p>
    <w:p>
      <w:pPr>
        <w:pStyle w:val="1038"/>
        <w:ind w:firstLine="480"/>
        <w:spacing w:before="0" w:after="0"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我公司郑重声明：参加本次政府采购活动前 3 年内，我公司在经营活动中没有重大违法记录，没有因违法经营受到刑事处罚或者责令停产停业、吊销许可证或者执照、较大数额罚款等行政处罚。</w:t>
      </w:r>
      <w:r>
        <w:rPr>
          <w:rFonts w:hint="eastAsia" w:ascii="宋体" w:hAnsi="宋体" w:eastAsia="宋体" w:cs="宋体"/>
          <w:color w:val="000000"/>
          <w:sz w:val="24"/>
          <w:szCs w:val="24"/>
          <w:highlight w:val="none"/>
        </w:rPr>
      </w:r>
      <w:r/>
    </w:p>
    <w:p>
      <w:pPr>
        <w:pStyle w:val="1038"/>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特此声明！</w:t>
      </w:r>
      <w:r>
        <w:rPr>
          <w:rFonts w:hint="eastAsia" w:ascii="宋体" w:hAnsi="宋体" w:eastAsia="宋体" w:cs="宋体"/>
          <w:color w:val="000000"/>
          <w:sz w:val="24"/>
          <w:szCs w:val="24"/>
          <w:highlight w:val="none"/>
        </w:rPr>
      </w:r>
      <w:r/>
    </w:p>
    <w:p>
      <w:pPr>
        <w:pStyle w:val="1038"/>
        <w:ind w:left="420"/>
        <w:spacing w:before="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盖章</w:t>
      </w:r>
      <w:r>
        <w:rPr>
          <w:rFonts w:hint="eastAsia" w:ascii="宋体" w:hAnsi="宋体" w:eastAsia="宋体" w:cs="宋体"/>
          <w:color w:val="000000"/>
          <w:sz w:val="24"/>
          <w:szCs w:val="24"/>
          <w:highlight w:val="none"/>
          <w:lang w:val="en-US" w:eastAsia="zh-CN"/>
        </w:rPr>
        <w:t xml:space="preserve">/加盖CA电子公章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8"/>
        <w:ind w:left="420"/>
        <w:spacing w:before="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37"/>
        <w:rPr>
          <w:rFonts w:hint="eastAsia"/>
          <w:color w:val="000000"/>
          <w:highlight w:val="none"/>
        </w:rPr>
      </w:pPr>
      <w:r>
        <w:rPr>
          <w:rFonts w:hint="eastAsia"/>
          <w:color w:val="000000"/>
          <w:highlight w:val="none"/>
        </w:rPr>
      </w:r>
      <w:r/>
    </w:p>
    <w:p>
      <w:pPr>
        <w:pStyle w:val="1038"/>
        <w:jc w:val="center"/>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4"/>
          <w:szCs w:val="24"/>
          <w:highlight w:val="none"/>
        </w:rPr>
        <w:t xml:space="preserve">（3）具备履行合同所必需的设备和专业技术能力的书面声明（格式）</w:t>
      </w:r>
      <w:r>
        <w:rPr>
          <w:rFonts w:hint="eastAsia" w:ascii="宋体" w:hAnsi="宋体" w:eastAsia="宋体" w:cs="宋体"/>
          <w:b/>
          <w:color w:val="000000"/>
          <w:sz w:val="28"/>
          <w:szCs w:val="28"/>
          <w:highlight w:val="none"/>
        </w:rPr>
      </w:r>
      <w:r/>
    </w:p>
    <w:p>
      <w:pPr>
        <w:pStyle w:val="1038"/>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致：江苏省计量科学研究院（江苏省能源计量数据中心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江苏海外集团国际工程咨询有限公司</w:t>
      </w:r>
      <w:r>
        <w:rPr>
          <w:rFonts w:hint="eastAsia" w:ascii="宋体" w:hAnsi="宋体" w:eastAsia="宋体" w:cs="宋体"/>
          <w:color w:val="000000"/>
          <w:sz w:val="24"/>
          <w:szCs w:val="24"/>
          <w:highlight w:val="none"/>
        </w:rPr>
      </w:r>
      <w:r/>
    </w:p>
    <w:p>
      <w:pPr>
        <w:pStyle w:val="1038"/>
        <w:ind w:firstLine="480"/>
        <w:spacing w:before="0" w:after="0"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我公司郑重声明：我公司具备履行本项采购合同所必需的设备和专业技术能力，为履行本项采购合同我公司具备如下主要设备和主要专业技术能力：</w:t>
      </w:r>
      <w:r>
        <w:rPr>
          <w:rFonts w:hint="eastAsia" w:ascii="宋体" w:hAnsi="宋体" w:eastAsia="宋体" w:cs="宋体"/>
          <w:color w:val="000000"/>
          <w:sz w:val="24"/>
          <w:szCs w:val="24"/>
          <w:highlight w:val="none"/>
        </w:rPr>
      </w:r>
      <w:r/>
    </w:p>
    <w:p>
      <w:pPr>
        <w:pStyle w:val="1038"/>
        <w:ind w:firstLine="480"/>
        <w:spacing w:before="0" w:after="0"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主要设备有：</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8"/>
        <w:ind w:firstLine="480"/>
        <w:spacing w:before="0" w:after="0"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主要专业技术能力有：</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8"/>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特此声明！</w:t>
      </w:r>
      <w:r>
        <w:rPr>
          <w:rFonts w:hint="eastAsia" w:ascii="宋体" w:hAnsi="宋体" w:eastAsia="宋体" w:cs="宋体"/>
          <w:color w:val="000000"/>
          <w:sz w:val="24"/>
          <w:szCs w:val="24"/>
          <w:highlight w:val="none"/>
        </w:rPr>
      </w:r>
      <w:r/>
    </w:p>
    <w:p>
      <w:pPr>
        <w:pStyle w:val="1038"/>
        <w:ind w:left="420"/>
        <w:spacing w:before="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盖章</w:t>
      </w:r>
      <w:r>
        <w:rPr>
          <w:rFonts w:hint="eastAsia" w:ascii="宋体" w:hAnsi="宋体" w:eastAsia="宋体" w:cs="宋体"/>
          <w:color w:val="000000"/>
          <w:sz w:val="24"/>
          <w:szCs w:val="24"/>
          <w:highlight w:val="none"/>
          <w:lang w:val="en-US" w:eastAsia="zh-CN"/>
        </w:rPr>
        <w:t xml:space="preserve">/加盖CA电子公章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8"/>
        <w:ind w:left="420"/>
        <w:spacing w:before="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038"/>
        <w:jc w:val="center"/>
        <w:widowControl/>
        <w:rPr>
          <w:rFonts w:hint="eastAsia" w:ascii="宋体" w:hAnsi="宋体" w:eastAsia="宋体" w:cs="宋体"/>
          <w:b/>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color w:val="000000"/>
          <w:sz w:val="24"/>
          <w:szCs w:val="24"/>
          <w:highlight w:val="none"/>
        </w:rPr>
      </w:r>
      <w:r/>
    </w:p>
    <w:p>
      <w:pPr>
        <w:pStyle w:val="1038"/>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（4）声明函（格式）</w:t>
      </w:r>
      <w:r>
        <w:rPr>
          <w:rFonts w:hint="eastAsia" w:ascii="宋体" w:hAnsi="宋体" w:eastAsia="宋体" w:cs="宋体"/>
          <w:b/>
          <w:color w:val="000000"/>
          <w:sz w:val="24"/>
          <w:szCs w:val="24"/>
          <w:highlight w:val="none"/>
        </w:rPr>
      </w:r>
      <w:r/>
    </w:p>
    <w:p>
      <w:pPr>
        <w:pStyle w:val="1038"/>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致：江苏省计量科学研究院（江苏省能源计量数据中心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江苏海外集团国际工程咨询有限公司</w:t>
      </w:r>
      <w:r>
        <w:rPr>
          <w:rFonts w:hint="eastAsia" w:ascii="宋体" w:hAnsi="宋体" w:eastAsia="宋体" w:cs="宋体"/>
          <w:color w:val="000000"/>
          <w:sz w:val="24"/>
          <w:szCs w:val="24"/>
          <w:highlight w:val="none"/>
        </w:rPr>
      </w:r>
      <w:r/>
    </w:p>
    <w:p>
      <w:pPr>
        <w:pStyle w:val="1038"/>
        <w:ind w:firstLine="480"/>
        <w:spacing w:before="0" w:after="0"/>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我公司郑重声明：在提交投标文件时，未被国家财政部指定的信用记录查询渠道（中国政府采购网www.ccgp.gov.cn、信用中国网站</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"http://www.creditchina.gov.cn"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www.creditchina.gov.cn</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）列入失信被执行主体、重大税收违法案件当事主体、政府采购严重违法失信行为当事主体等严重失信记录名单。</w:t>
      </w:r>
      <w:r>
        <w:rPr>
          <w:rFonts w:hint="eastAsia" w:ascii="宋体" w:hAnsi="宋体" w:eastAsia="宋体" w:cs="宋体"/>
          <w:color w:val="000000"/>
          <w:highlight w:val="none"/>
        </w:rPr>
      </w:r>
      <w:r/>
    </w:p>
    <w:p>
      <w:pPr>
        <w:pStyle w:val="1038"/>
        <w:spacing w:before="0" w:after="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特此声明！</w:t>
      </w:r>
      <w:r>
        <w:rPr>
          <w:rFonts w:hint="eastAsia" w:ascii="宋体" w:hAnsi="宋体" w:eastAsia="宋体" w:cs="宋体"/>
          <w:color w:val="000000"/>
          <w:sz w:val="24"/>
          <w:szCs w:val="24"/>
          <w:highlight w:val="none"/>
        </w:rPr>
      </w:r>
      <w:r/>
    </w:p>
    <w:p>
      <w:pPr>
        <w:pStyle w:val="1038"/>
        <w:ind w:left="420"/>
        <w:spacing w:before="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盖章</w:t>
      </w:r>
      <w:r>
        <w:rPr>
          <w:rFonts w:hint="eastAsia" w:ascii="宋体" w:hAnsi="宋体" w:eastAsia="宋体" w:cs="宋体"/>
          <w:color w:val="000000"/>
          <w:sz w:val="24"/>
          <w:szCs w:val="24"/>
          <w:highlight w:val="none"/>
          <w:lang w:val="en-US" w:eastAsia="zh-CN"/>
        </w:rPr>
        <w:t xml:space="preserve">/加盖CA电子公章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8"/>
        <w:ind w:left="420"/>
        <w:spacing w:before="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137"/>
        <w:rPr>
          <w:rFonts w:hint="eastAsia"/>
          <w:color w:val="000000"/>
          <w:highlight w:val="none"/>
        </w:rPr>
      </w:pPr>
      <w:r>
        <w:rPr>
          <w:rFonts w:hint="eastAsia"/>
          <w:color w:val="000000"/>
          <w:highlight w:val="none"/>
        </w:rPr>
      </w:r>
      <w:r/>
    </w:p>
    <w:p>
      <w:pPr>
        <w:pStyle w:val="1038"/>
        <w:ind w:firstLine="219"/>
        <w:spacing w:before="0" w:after="0" w:line="48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中国政府采购网自查截图：</w:t>
      </w:r>
      <w:r>
        <w:rPr>
          <w:rFonts w:hint="eastAsia" w:ascii="宋体" w:hAnsi="宋体" w:eastAsia="宋体" w:cs="宋体"/>
          <w:b/>
          <w:bCs/>
          <w:color w:val="000000"/>
          <w:sz w:val="24"/>
          <w:szCs w:val="24"/>
          <w:highlight w:val="none"/>
        </w:rPr>
      </w:r>
      <w:r/>
    </w:p>
    <w:p>
      <w:pPr>
        <w:pStyle w:val="1038"/>
        <w:ind w:firstLine="219"/>
        <w:spacing w:before="0" w:after="0" w:line="48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信用中国网站自查截图：</w:t>
      </w:r>
      <w:r>
        <w:rPr>
          <w:rFonts w:hint="eastAsia" w:ascii="宋体" w:hAnsi="宋体" w:eastAsia="宋体" w:cs="宋体"/>
          <w:b/>
          <w:bCs/>
          <w:color w:val="000000"/>
          <w:sz w:val="24"/>
          <w:szCs w:val="24"/>
          <w:highlight w:val="none"/>
        </w:rPr>
      </w:r>
      <w:r/>
    </w:p>
    <w:p>
      <w:pPr>
        <w:pStyle w:val="1038"/>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（5）“不存在与参加本项目的其他供应商单位负责人为同一人或者存在直接控股、管理关系”的承诺函（格式）</w:t>
      </w:r>
      <w:r>
        <w:rPr>
          <w:rFonts w:hint="eastAsia" w:ascii="宋体" w:hAnsi="宋体" w:eastAsia="宋体" w:cs="宋体"/>
          <w:b/>
          <w:color w:val="000000"/>
          <w:sz w:val="24"/>
          <w:szCs w:val="24"/>
          <w:highlight w:val="none"/>
        </w:rPr>
      </w:r>
      <w:r/>
    </w:p>
    <w:p>
      <w:pPr>
        <w:pStyle w:val="1038"/>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致：江苏省计量科学研究院（江苏省能源计量数据中心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江苏海外集团国际工程咨询有限公司</w:t>
      </w:r>
      <w:r>
        <w:rPr>
          <w:rFonts w:hint="eastAsia" w:ascii="宋体" w:hAnsi="宋体" w:eastAsia="宋体" w:cs="宋体"/>
          <w:color w:val="000000"/>
          <w:sz w:val="24"/>
          <w:szCs w:val="24"/>
          <w:highlight w:val="none"/>
        </w:rPr>
      </w:r>
      <w:r/>
    </w:p>
    <w:p>
      <w:pPr>
        <w:pStyle w:val="1038"/>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根据贵方</w:t>
      </w:r>
      <w:r>
        <w:rPr>
          <w:rFonts w:hint="eastAsia" w:ascii="宋体" w:hAnsi="宋体" w:eastAsia="宋体" w:cs="宋体"/>
          <w:color w:val="000000"/>
          <w:sz w:val="24"/>
          <w:szCs w:val="24"/>
          <w:highlight w:val="none"/>
          <w:u w:val="single"/>
        </w:rPr>
        <w:t xml:space="preserve">（项目名称）（项目编号）</w:t>
      </w:r>
      <w:r>
        <w:rPr>
          <w:rFonts w:hint="eastAsia" w:ascii="宋体" w:hAnsi="宋体" w:eastAsia="宋体" w:cs="宋体"/>
          <w:color w:val="000000"/>
          <w:sz w:val="24"/>
          <w:szCs w:val="24"/>
          <w:highlight w:val="none"/>
        </w:rPr>
        <w:t xml:space="preserve">采购公告，我公司郑重承诺：在参加本次政府采购活动中不存在与参加本项目的其他供应商单位负责人为同一人或者存在直接控股、管理关系的情形。本公司对上述承诺的真实性负责。如有虚假，将依法承担相应责任。</w:t>
      </w:r>
      <w:r>
        <w:rPr>
          <w:rFonts w:hint="eastAsia" w:ascii="宋体" w:hAnsi="宋体" w:eastAsia="宋体" w:cs="宋体"/>
          <w:color w:val="000000"/>
          <w:sz w:val="24"/>
          <w:szCs w:val="24"/>
          <w:highlight w:val="none"/>
        </w:rPr>
      </w:r>
      <w:r/>
    </w:p>
    <w:p>
      <w:pPr>
        <w:pStyle w:val="1038"/>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特此承诺！</w:t>
      </w:r>
      <w:r>
        <w:rPr>
          <w:rFonts w:hint="eastAsia" w:ascii="宋体" w:hAnsi="宋体" w:eastAsia="宋体" w:cs="宋体"/>
          <w:color w:val="000000"/>
          <w:sz w:val="24"/>
          <w:szCs w:val="24"/>
          <w:highlight w:val="none"/>
        </w:rPr>
      </w:r>
      <w:r/>
    </w:p>
    <w:p>
      <w:pPr>
        <w:pStyle w:val="1038"/>
        <w:ind w:left="420"/>
        <w:spacing w:before="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（盖章/加盖CA电子公章）</w:t>
      </w:r>
      <w:r>
        <w:rPr>
          <w:rFonts w:hint="eastAsia" w:ascii="宋体" w:hAnsi="宋体" w:eastAsia="宋体" w:cs="宋体"/>
          <w:color w:val="000000"/>
          <w:sz w:val="24"/>
          <w:szCs w:val="24"/>
          <w:highlight w:val="none"/>
        </w:rPr>
      </w:r>
      <w:r/>
    </w:p>
    <w:p>
      <w:pPr>
        <w:pStyle w:val="1038"/>
        <w:ind w:left="420"/>
        <w:spacing w:before="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038"/>
        <w:jc w:val="left"/>
        <w:widowControl/>
        <w:rPr>
          <w:rFonts w:hint="eastAsia" w:ascii="宋体" w:hAnsi="宋体" w:eastAsia="宋体" w:cs="宋体"/>
          <w:b/>
          <w:bCs/>
          <w:color w:val="000000"/>
          <w:sz w:val="28"/>
          <w:szCs w:val="28"/>
          <w:highlight w:val="none"/>
          <w:lang w:bidi="ar"/>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bCs/>
          <w:color w:val="000000"/>
          <w:sz w:val="28"/>
          <w:szCs w:val="28"/>
          <w:highlight w:val="none"/>
          <w:lang w:bidi="ar"/>
        </w:rPr>
      </w:r>
      <w:r/>
    </w:p>
    <w:p>
      <w:pPr>
        <w:pStyle w:val="1038"/>
        <w:jc w:val="left"/>
        <w:widowControl/>
        <w:rPr>
          <w:rFonts w:hint="eastAsia" w:ascii="宋体" w:hAnsi="宋体" w:eastAsia="宋体" w:cs="宋体"/>
          <w:color w:val="000000"/>
          <w:sz w:val="20"/>
          <w:szCs w:val="18"/>
          <w:highlight w:val="none"/>
        </w:rPr>
      </w:pPr>
      <w:r>
        <w:rPr>
          <w:rFonts w:hint="eastAsia" w:ascii="宋体" w:hAnsi="宋体" w:eastAsia="宋体" w:cs="宋体"/>
          <w:b/>
          <w:bCs/>
          <w:color w:val="000000"/>
          <w:sz w:val="24"/>
          <w:szCs w:val="24"/>
          <w:highlight w:val="none"/>
          <w:lang w:bidi="ar"/>
        </w:rPr>
        <w:t xml:space="preserve">单位负责人、公司控股关系及公司管理关系释义：</w:t>
      </w:r>
      <w:r>
        <w:rPr>
          <w:rFonts w:hint="eastAsia" w:ascii="宋体" w:hAnsi="宋体" w:eastAsia="宋体" w:cs="宋体"/>
          <w:color w:val="000000"/>
          <w:sz w:val="20"/>
          <w:szCs w:val="18"/>
          <w:highlight w:val="none"/>
        </w:rPr>
      </w:r>
      <w:r/>
    </w:p>
    <w:p>
      <w:pPr>
        <w:pStyle w:val="1038"/>
        <w:jc w:val="left"/>
        <w:widowControl/>
        <w:rPr>
          <w:rFonts w:hint="eastAsia" w:ascii="宋体" w:hAnsi="宋体" w:eastAsia="宋体" w:cs="宋体"/>
          <w:color w:val="000000"/>
          <w:highlight w:val="none"/>
        </w:rPr>
      </w:pPr>
      <w:r>
        <w:rPr>
          <w:rFonts w:hint="eastAsia" w:ascii="宋体" w:hAnsi="宋体" w:eastAsia="宋体" w:cs="宋体"/>
          <w:b/>
          <w:bCs/>
          <w:color w:val="000000"/>
          <w:sz w:val="24"/>
          <w:szCs w:val="24"/>
          <w:highlight w:val="none"/>
          <w:lang w:bidi="ar"/>
        </w:rPr>
        <w:t xml:space="preserve">①单位负责人：</w:t>
      </w:r>
      <w:r>
        <w:rPr>
          <w:rFonts w:hint="eastAsia" w:ascii="宋体" w:hAnsi="宋体" w:eastAsia="宋体" w:cs="宋体"/>
          <w:color w:val="000000"/>
          <w:sz w:val="24"/>
          <w:szCs w:val="24"/>
          <w:highlight w:val="none"/>
          <w:lang w:bidi="ar"/>
        </w:rPr>
        <w:t xml:space="preserve">是指 </w:t>
      </w:r>
      <w:r>
        <w:rPr>
          <w:rFonts w:hint="eastAsia" w:ascii="宋体" w:hAnsi="宋体" w:eastAsia="宋体" w:cs="宋体"/>
          <w:b/>
          <w:bCs/>
          <w:color w:val="000000"/>
          <w:sz w:val="12"/>
          <w:szCs w:val="12"/>
          <w:highlight w:val="none"/>
          <w:lang w:bidi="ar"/>
        </w:rPr>
        <w:t xml:space="preserve">A</w:t>
      </w:r>
      <w:r>
        <w:rPr>
          <w:rFonts w:hint="eastAsia" w:ascii="宋体" w:hAnsi="宋体" w:eastAsia="宋体" w:cs="宋体"/>
          <w:b/>
          <w:bCs/>
          <w:color w:val="000000"/>
          <w:sz w:val="24"/>
          <w:szCs w:val="24"/>
          <w:highlight w:val="none"/>
          <w:lang w:bidi="ar"/>
        </w:rPr>
        <w:t xml:space="preserve">单位法定代表人</w:t>
      </w:r>
      <w:r>
        <w:rPr>
          <w:rFonts w:hint="eastAsia" w:ascii="宋体" w:hAnsi="宋体" w:eastAsia="宋体" w:cs="宋体"/>
          <w:color w:val="000000"/>
          <w:sz w:val="24"/>
          <w:szCs w:val="24"/>
          <w:highlight w:val="none"/>
          <w:lang w:bidi="ar"/>
        </w:rPr>
        <w:t xml:space="preserve">或者 </w:t>
      </w:r>
      <w:r>
        <w:rPr>
          <w:rFonts w:hint="eastAsia" w:ascii="宋体" w:hAnsi="宋体" w:eastAsia="宋体" w:cs="宋体"/>
          <w:b/>
          <w:bCs/>
          <w:color w:val="000000"/>
          <w:sz w:val="12"/>
          <w:szCs w:val="12"/>
          <w:highlight w:val="none"/>
          <w:lang w:bidi="ar"/>
        </w:rPr>
        <w:t xml:space="preserve">B</w:t>
      </w:r>
      <w:r>
        <w:rPr>
          <w:rFonts w:hint="eastAsia" w:ascii="宋体" w:hAnsi="宋体" w:eastAsia="宋体" w:cs="宋体"/>
          <w:b/>
          <w:bCs/>
          <w:color w:val="000000"/>
          <w:sz w:val="24"/>
          <w:szCs w:val="24"/>
          <w:highlight w:val="none"/>
          <w:lang w:bidi="ar"/>
        </w:rPr>
        <w:t xml:space="preserve">法律、行政法规规定代表单位行使职权的主要负责人。 </w:t>
      </w:r>
      <w:r>
        <w:rPr>
          <w:rFonts w:hint="eastAsia" w:ascii="宋体" w:hAnsi="宋体" w:eastAsia="宋体" w:cs="宋体"/>
          <w:color w:val="000000"/>
          <w:highlight w:val="none"/>
        </w:rPr>
      </w:r>
      <w:r/>
    </w:p>
    <w:p>
      <w:pPr>
        <w:pStyle w:val="1038"/>
        <w:jc w:val="left"/>
        <w:widowControl/>
        <w:rPr>
          <w:rFonts w:hint="eastAsia" w:ascii="宋体" w:hAnsi="宋体" w:eastAsia="宋体" w:cs="宋体"/>
          <w:color w:val="000000"/>
          <w:highlight w:val="none"/>
        </w:rPr>
      </w:pPr>
      <w:r>
        <w:rPr>
          <w:rFonts w:hint="eastAsia" w:ascii="宋体" w:hAnsi="宋体" w:eastAsia="宋体" w:cs="宋体"/>
          <w:b/>
          <w:bCs/>
          <w:color w:val="000000"/>
          <w:sz w:val="24"/>
          <w:szCs w:val="24"/>
          <w:highlight w:val="none"/>
          <w:lang w:bidi="ar"/>
        </w:rPr>
        <w:t xml:space="preserve">A：所谓法定代表人：</w:t>
      </w:r>
      <w:r>
        <w:rPr>
          <w:rFonts w:hint="eastAsia" w:ascii="宋体" w:hAnsi="宋体" w:eastAsia="宋体" w:cs="宋体"/>
          <w:color w:val="000000"/>
          <w:sz w:val="24"/>
          <w:szCs w:val="24"/>
          <w:highlight w:val="none"/>
          <w:lang w:bidi="ar"/>
        </w:rPr>
        <w:t xml:space="preserve">是指由法律或者法人组织章程规定，代表法人对外行使民事权利、履行民事义务的负责人。如《中华人民共和国公司法》规定，公司法定代表人依照公司章程的规定由董事长、执行董事或者经理担任；《中华人民共和国全民所有制工业企业法》（以下简称《中华人民共和国全民所有制工业企业法》）规定，厂长是企业的法定代表人；国家机关的最高行政官员是机关法人的法定代表人等。</w:t>
      </w:r>
      <w:r>
        <w:rPr>
          <w:rFonts w:hint="eastAsia" w:ascii="宋体" w:hAnsi="宋体" w:eastAsia="宋体" w:cs="宋体"/>
          <w:color w:val="000000"/>
          <w:highlight w:val="none"/>
        </w:rPr>
      </w:r>
      <w:r/>
    </w:p>
    <w:p>
      <w:pPr>
        <w:pStyle w:val="1038"/>
        <w:jc w:val="left"/>
        <w:widowControl/>
        <w:rPr>
          <w:rFonts w:hint="eastAsia" w:ascii="宋体" w:hAnsi="宋体" w:eastAsia="宋体" w:cs="宋体"/>
          <w:color w:val="000000"/>
          <w:highlight w:val="none"/>
        </w:rPr>
      </w:pPr>
      <w:r>
        <w:rPr>
          <w:rFonts w:hint="eastAsia" w:ascii="宋体" w:hAnsi="宋体" w:eastAsia="宋体" w:cs="宋体"/>
          <w:b/>
          <w:bCs/>
          <w:color w:val="000000"/>
          <w:sz w:val="24"/>
          <w:szCs w:val="24"/>
          <w:highlight w:val="none"/>
          <w:lang w:bidi="ar"/>
        </w:rPr>
        <w:t xml:space="preserve">B：所谓法律、行政法规规定代表单位行使职权的主要负责人：</w:t>
      </w:r>
      <w:r>
        <w:rPr>
          <w:rFonts w:hint="eastAsia" w:ascii="宋体" w:hAnsi="宋体" w:eastAsia="宋体" w:cs="宋体"/>
          <w:color w:val="000000"/>
          <w:sz w:val="24"/>
          <w:szCs w:val="24"/>
          <w:highlight w:val="none"/>
          <w:lang w:bidi="ar"/>
        </w:rPr>
        <w:t xml:space="preserve">是指除法定代表人以外，法律、行政法规规定的代表单位行使职权的主要负责人。如个人独资企业的投资人，代表合伙企业执行合伙企业事务的合伙人等。</w:t>
      </w:r>
      <w:r>
        <w:rPr>
          <w:rFonts w:hint="eastAsia" w:ascii="宋体" w:hAnsi="宋体" w:eastAsia="宋体" w:cs="宋体"/>
          <w:color w:val="000000"/>
          <w:highlight w:val="none"/>
        </w:rPr>
      </w:r>
      <w:r/>
    </w:p>
    <w:p>
      <w:pPr>
        <w:pStyle w:val="1038"/>
        <w:jc w:val="left"/>
        <w:widowControl/>
        <w:rPr>
          <w:rFonts w:hint="eastAsia" w:ascii="宋体" w:hAnsi="宋体" w:eastAsia="宋体" w:cs="宋体"/>
          <w:color w:val="000000"/>
          <w:highlight w:val="none"/>
        </w:rPr>
      </w:pPr>
      <w:r>
        <w:rPr>
          <w:rFonts w:hint="eastAsia" w:ascii="宋体" w:hAnsi="宋体" w:eastAsia="宋体" w:cs="宋体"/>
          <w:b/>
          <w:bCs/>
          <w:color w:val="000000"/>
          <w:sz w:val="24"/>
          <w:szCs w:val="24"/>
          <w:highlight w:val="none"/>
          <w:lang w:bidi="ar"/>
        </w:rPr>
        <w:t xml:space="preserve">②控股关系：</w:t>
      </w:r>
      <w:r>
        <w:rPr>
          <w:rFonts w:hint="eastAsia" w:ascii="宋体" w:hAnsi="宋体" w:eastAsia="宋体" w:cs="宋体"/>
          <w:color w:val="000000"/>
          <w:sz w:val="24"/>
          <w:szCs w:val="24"/>
          <w:highlight w:val="none"/>
          <w:lang w:bidi="ar"/>
        </w:rPr>
        <w:t xml:space="preserve">政府采购法实施条例所谓控股关系是指单位或个人股东的控股关系。控股的含义：根据《中华人民共和国公司法》第二百一十六条规定：“本法相关用语的含义：</w:t>
      </w:r>
      <w:r>
        <w:rPr>
          <w:rFonts w:hint="eastAsia" w:ascii="宋体" w:hAnsi="宋体" w:eastAsia="宋体" w:cs="宋体"/>
          <w:b/>
          <w:bCs/>
          <w:color w:val="000000"/>
          <w:sz w:val="24"/>
          <w:szCs w:val="24"/>
          <w:highlight w:val="none"/>
          <w:lang w:bidi="ar"/>
        </w:rPr>
        <w:t xml:space="preserve">（二）控股股东，是指 </w:t>
      </w:r>
      <w:r>
        <w:rPr>
          <w:rFonts w:hint="eastAsia" w:ascii="宋体" w:hAnsi="宋体" w:eastAsia="宋体" w:cs="宋体"/>
          <w:b/>
          <w:bCs/>
          <w:color w:val="000000"/>
          <w:sz w:val="12"/>
          <w:szCs w:val="12"/>
          <w:highlight w:val="none"/>
          <w:lang w:bidi="ar"/>
        </w:rPr>
        <w:t xml:space="preserve">A</w:t>
      </w:r>
      <w:r>
        <w:rPr>
          <w:rFonts w:hint="eastAsia" w:ascii="宋体" w:hAnsi="宋体" w:eastAsia="宋体" w:cs="宋体"/>
          <w:b/>
          <w:bCs/>
          <w:color w:val="000000"/>
          <w:sz w:val="24"/>
          <w:szCs w:val="24"/>
          <w:highlight w:val="none"/>
          <w:lang w:bidi="ar"/>
        </w:rPr>
        <w:t xml:space="preserve">其出资额占有限责任公司资本总额百分之五十以上或者其持有的股份占股份有限公司股本总额百分之五十以上的股东；</w:t>
      </w:r>
      <w:r>
        <w:rPr>
          <w:rFonts w:hint="eastAsia" w:ascii="宋体" w:hAnsi="宋体" w:eastAsia="宋体" w:cs="宋体"/>
          <w:b/>
          <w:bCs/>
          <w:color w:val="000000"/>
          <w:sz w:val="12"/>
          <w:szCs w:val="12"/>
          <w:highlight w:val="none"/>
          <w:lang w:bidi="ar"/>
        </w:rPr>
        <w:t xml:space="preserve">B</w:t>
      </w:r>
      <w:r>
        <w:rPr>
          <w:rFonts w:hint="eastAsia" w:ascii="宋体" w:hAnsi="宋体" w:eastAsia="宋体" w:cs="宋体"/>
          <w:b/>
          <w:bCs/>
          <w:color w:val="000000"/>
          <w:sz w:val="24"/>
          <w:szCs w:val="24"/>
          <w:highlight w:val="none"/>
          <w:lang w:bidi="ar"/>
        </w:rPr>
        <w:t xml:space="preserve">出资额或者持有股份的比例虽然不足百分之五十，但依其出资额或者持有的股份所享有的表决权已足以对股东会、股东会的决议产生重大影响的股东</w:t>
      </w:r>
      <w:r>
        <w:rPr>
          <w:rFonts w:hint="eastAsia" w:ascii="宋体" w:hAnsi="宋体" w:eastAsia="宋体" w:cs="宋体"/>
          <w:color w:val="000000"/>
          <w:sz w:val="24"/>
          <w:szCs w:val="24"/>
          <w:highlight w:val="none"/>
          <w:lang w:bidi="ar"/>
        </w:rPr>
        <w:t xml:space="preserve">”。实践中，一般对A所述情形称为绝对控股，B所述情形称为相对控股，政府采购法实施条例所称“控股”包括绝对控股和相对控股。</w:t>
      </w:r>
      <w:r>
        <w:rPr>
          <w:rFonts w:hint="eastAsia" w:ascii="宋体" w:hAnsi="宋体" w:eastAsia="宋体" w:cs="宋体"/>
          <w:color w:val="000000"/>
          <w:highlight w:val="none"/>
        </w:rPr>
      </w:r>
      <w:r/>
    </w:p>
    <w:p>
      <w:pPr>
        <w:pStyle w:val="1038"/>
        <w:jc w:val="left"/>
        <w:widowControl/>
        <w:rPr>
          <w:rFonts w:hint="eastAsia" w:ascii="宋体" w:hAnsi="宋体" w:eastAsia="宋体" w:cs="宋体"/>
          <w:color w:val="000000"/>
          <w:highlight w:val="none"/>
        </w:rPr>
      </w:pPr>
      <w:r>
        <w:rPr>
          <w:rFonts w:hint="eastAsia" w:ascii="宋体" w:hAnsi="宋体" w:eastAsia="宋体" w:cs="宋体"/>
          <w:b/>
          <w:bCs/>
          <w:color w:val="000000"/>
          <w:sz w:val="24"/>
          <w:szCs w:val="24"/>
          <w:highlight w:val="none"/>
          <w:lang w:bidi="ar"/>
        </w:rPr>
        <w:t xml:space="preserve">③管理关系：</w:t>
      </w:r>
      <w:r>
        <w:rPr>
          <w:rFonts w:hint="eastAsia" w:ascii="宋体" w:hAnsi="宋体" w:eastAsia="宋体" w:cs="宋体"/>
          <w:color w:val="000000"/>
          <w:sz w:val="24"/>
          <w:szCs w:val="24"/>
          <w:highlight w:val="none"/>
          <w:lang w:bidi="ar"/>
        </w:rPr>
        <w:t xml:space="preserve">政府采购法实施条例所谓管理关系是指不具有出资持股关系的其他单位之间存在的管理与被管理关系，如一些上下级关系的事业单位和团体组织。</w:t>
      </w:r>
      <w:r>
        <w:rPr>
          <w:rFonts w:hint="eastAsia" w:ascii="宋体" w:hAnsi="宋体" w:eastAsia="宋体" w:cs="宋体"/>
          <w:color w:val="000000"/>
          <w:highlight w:val="none"/>
        </w:rPr>
      </w:r>
      <w:r/>
    </w:p>
    <w:p>
      <w:pPr>
        <w:pStyle w:val="1074"/>
        <w:jc w:val="center"/>
        <w:spacing w:before="240" w:after="240"/>
        <w:rPr>
          <w:rFonts w:hint="eastAsia" w:ascii="宋体" w:hAnsi="宋体" w:eastAsia="宋体" w:cs="宋体"/>
          <w:b/>
          <w:color w:val="000000"/>
          <w:szCs w:val="28"/>
          <w:highlight w:val="none"/>
        </w:rPr>
      </w:pPr>
      <w:r>
        <w:rPr>
          <w:rFonts w:hint="eastAsia" w:ascii="宋体" w:hAnsi="宋体" w:eastAsia="宋体" w:cs="宋体"/>
          <w:b/>
          <w:color w:val="000000"/>
          <w:szCs w:val="28"/>
          <w:highlight w:val="none"/>
        </w:rPr>
      </w:r>
      <w:r/>
    </w:p>
    <w:p>
      <w:pPr>
        <w:pStyle w:val="1074"/>
        <w:jc w:val="left"/>
        <w:spacing w:before="0" w:after="0"/>
        <w:rPr>
          <w:rFonts w:hint="eastAsia" w:ascii="宋体" w:hAnsi="宋体" w:eastAsia="宋体" w:cs="宋体"/>
          <w:b/>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color w:val="000000"/>
          <w:sz w:val="24"/>
          <w:szCs w:val="24"/>
          <w:highlight w:val="none"/>
        </w:rPr>
      </w:r>
      <w:r/>
    </w:p>
    <w:p>
      <w:pPr>
        <w:pStyle w:val="1074"/>
        <w:jc w:val="left"/>
        <w:spacing w:before="0" w:after="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（6）具有独立承担民事责任的能力（提供法人或者其他组织的营业执照；供应商为自然人的，提供其身份证）</w:t>
      </w:r>
      <w:r>
        <w:rPr>
          <w:rFonts w:hint="eastAsia" w:ascii="宋体" w:hAnsi="宋体" w:eastAsia="宋体" w:cs="宋体"/>
          <w:b/>
          <w:color w:val="000000"/>
          <w:sz w:val="24"/>
          <w:szCs w:val="24"/>
          <w:highlight w:val="none"/>
        </w:rPr>
      </w:r>
      <w:r/>
    </w:p>
    <w:p>
      <w:pPr>
        <w:pStyle w:val="1074"/>
        <w:jc w:val="left"/>
        <w:spacing w:before="0" w:after="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营业执照复印件：</w:t>
      </w:r>
      <w:r>
        <w:rPr>
          <w:rFonts w:hint="eastAsia" w:ascii="宋体" w:hAnsi="宋体" w:eastAsia="宋体" w:cs="宋体"/>
          <w:bCs/>
          <w:color w:val="000000"/>
          <w:sz w:val="24"/>
          <w:szCs w:val="24"/>
          <w:highlight w:val="none"/>
        </w:rPr>
      </w:r>
      <w:r/>
    </w:p>
    <w:p>
      <w:pPr>
        <w:pStyle w:val="1074"/>
        <w:jc w:val="left"/>
        <w:spacing w:before="240" w:after="24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74"/>
        <w:jc w:val="left"/>
        <w:spacing w:before="0" w:after="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具有良好的商业信誉和健全的财务会计制度(提供距开标时间六个月内任意一个月份的财务状况报告（至少包括资产负债表和利润表）（法人或者其他组织成立未满三个月的可以不提供），或其银行出具的资信证书复印件（开标前六个月内），或</w:t>
      </w:r>
      <w:r>
        <w:rPr>
          <w:rFonts w:hint="eastAsia" w:ascii="宋体" w:hAnsi="宋体" w:eastAsia="宋体" w:cs="宋体"/>
          <w:b/>
          <w:color w:val="000000"/>
          <w:sz w:val="24"/>
          <w:szCs w:val="24"/>
          <w:highlight w:val="none"/>
          <w:lang w:eastAsia="zh-CN"/>
        </w:rPr>
        <w:t xml:space="preserve">2025年度经审计的财务报告</w:t>
      </w:r>
      <w:r>
        <w:rPr>
          <w:rFonts w:hint="eastAsia" w:ascii="宋体" w:hAnsi="宋体" w:eastAsia="宋体" w:cs="宋体"/>
          <w:b/>
          <w:color w:val="000000"/>
          <w:sz w:val="24"/>
          <w:szCs w:val="24"/>
          <w:highlight w:val="none"/>
        </w:rPr>
        <w:t xml:space="preserve">复印件加盖公章装订在投标文件中，否则视为未提供)</w:t>
      </w:r>
      <w:r>
        <w:rPr>
          <w:rFonts w:hint="eastAsia" w:ascii="宋体" w:hAnsi="宋体" w:eastAsia="宋体" w:cs="宋体"/>
          <w:b/>
          <w:color w:val="000000"/>
          <w:sz w:val="24"/>
          <w:szCs w:val="24"/>
          <w:highlight w:val="none"/>
        </w:rPr>
      </w:r>
      <w:r/>
    </w:p>
    <w:p>
      <w:pPr>
        <w:pStyle w:val="1074"/>
        <w:jc w:val="left"/>
        <w:spacing w:before="0" w:after="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相关资料：</w:t>
      </w:r>
      <w:r>
        <w:rPr>
          <w:rFonts w:hint="eastAsia" w:ascii="宋体" w:hAnsi="宋体" w:eastAsia="宋体" w:cs="宋体"/>
          <w:bCs/>
          <w:color w:val="000000"/>
          <w:sz w:val="24"/>
          <w:szCs w:val="24"/>
          <w:highlight w:val="none"/>
        </w:rPr>
      </w:r>
      <w:r/>
    </w:p>
    <w:p>
      <w:pPr>
        <w:pStyle w:val="1074"/>
        <w:jc w:val="left"/>
        <w:spacing w:before="0" w:after="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74"/>
        <w:jc w:val="left"/>
        <w:spacing w:before="0" w:after="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（8）有依法缴纳税收的良好记录(提供距开标时间六个月内任一月份的缴纳税收凭据复印件加盖公章(依法免税的应提供相应文件说明）)</w:t>
      </w:r>
      <w:r>
        <w:rPr>
          <w:rFonts w:hint="eastAsia" w:ascii="宋体" w:hAnsi="宋体" w:eastAsia="宋体" w:cs="宋体"/>
          <w:b/>
          <w:color w:val="000000"/>
          <w:sz w:val="24"/>
          <w:szCs w:val="24"/>
          <w:highlight w:val="none"/>
        </w:rPr>
      </w:r>
      <w:r/>
    </w:p>
    <w:p>
      <w:pPr>
        <w:pStyle w:val="1074"/>
        <w:jc w:val="left"/>
        <w:spacing w:before="0" w:after="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缴纳税收的相关资料：</w:t>
      </w:r>
      <w:r>
        <w:rPr>
          <w:rFonts w:hint="eastAsia" w:ascii="宋体" w:hAnsi="宋体" w:eastAsia="宋体" w:cs="宋体"/>
          <w:bCs/>
          <w:color w:val="000000"/>
          <w:sz w:val="24"/>
          <w:szCs w:val="24"/>
          <w:highlight w:val="none"/>
        </w:rPr>
      </w:r>
      <w:r/>
    </w:p>
    <w:p>
      <w:pPr>
        <w:pStyle w:val="1074"/>
        <w:jc w:val="left"/>
        <w:spacing w:before="240" w:after="24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74"/>
        <w:jc w:val="left"/>
        <w:spacing w:before="0" w:after="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9）有依法缴纳社会保障资金的良好记录(提供距开标时间六个月内任一月份的依法缴纳社会保障资金的凭据复印件（凭据可以是缴费的银行单据、专用收据、社会保险缴纳清单或者所在社保机构开具的证明等，自行编写无效，依法不需要缴纳社会保障资金的应提供相应文件说明）)</w:t>
      </w:r>
      <w:r>
        <w:rPr>
          <w:rFonts w:hint="eastAsia" w:ascii="宋体" w:hAnsi="宋体" w:eastAsia="宋体" w:cs="宋体"/>
          <w:b/>
          <w:color w:val="000000"/>
          <w:sz w:val="24"/>
          <w:szCs w:val="24"/>
          <w:highlight w:val="none"/>
        </w:rPr>
      </w:r>
      <w:r/>
    </w:p>
    <w:p>
      <w:pPr>
        <w:pStyle w:val="1074"/>
        <w:jc w:val="left"/>
        <w:spacing w:before="0" w:after="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依法缴纳社会保障资金的相关资料：</w:t>
      </w:r>
      <w:r>
        <w:rPr>
          <w:rFonts w:hint="eastAsia" w:ascii="宋体" w:hAnsi="宋体" w:eastAsia="宋体" w:cs="宋体"/>
          <w:bCs/>
          <w:color w:val="000000"/>
          <w:sz w:val="24"/>
          <w:szCs w:val="24"/>
          <w:highlight w:val="none"/>
        </w:rPr>
      </w:r>
      <w:r/>
    </w:p>
    <w:p>
      <w:pPr>
        <w:pStyle w:val="1038"/>
        <w:spacing w:line="440" w:lineRule="exact"/>
        <w:rPr>
          <w:rFonts w:hint="eastAsia" w:ascii="宋体" w:hAnsi="宋体" w:eastAsia="宋体" w:cs="宋体"/>
          <w:b/>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color w:val="000000"/>
          <w:sz w:val="24"/>
          <w:szCs w:val="24"/>
          <w:highlight w:val="none"/>
        </w:rPr>
      </w:r>
      <w:r/>
    </w:p>
    <w:p>
      <w:pPr>
        <w:pStyle w:val="1074"/>
        <w:jc w:val="left"/>
        <w:spacing w:before="240" w:after="24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（10）招标公告中“投标人资质要求”所要求其他的证明材料</w:t>
      </w:r>
      <w:r>
        <w:rPr>
          <w:rFonts w:hint="eastAsia" w:ascii="宋体" w:hAnsi="宋体" w:eastAsia="宋体" w:cs="宋体"/>
          <w:b/>
          <w:color w:val="000000"/>
          <w:sz w:val="24"/>
          <w:szCs w:val="24"/>
          <w:highlight w:val="none"/>
        </w:rPr>
      </w:r>
      <w:r/>
    </w:p>
    <w:p>
      <w:pPr>
        <w:pStyle w:val="1074"/>
        <w:jc w:val="left"/>
        <w:spacing w:before="0" w:after="0"/>
        <w:rPr>
          <w:rFonts w:hint="eastAsia" w:ascii="宋体" w:hAnsi="宋体" w:eastAsia="宋体" w:cs="宋体"/>
          <w:color w:val="000000"/>
          <w:sz w:val="24"/>
          <w:szCs w:val="24"/>
          <w:highlight w:val="none"/>
          <w:lang w:bidi="ar"/>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Cs/>
          <w:color w:val="000000"/>
          <w:sz w:val="24"/>
          <w:szCs w:val="24"/>
          <w:highlight w:val="none"/>
        </w:rPr>
        <w:t xml:space="preserve">（投标文件按照第一章招标公告中“投标人资质要求”要求，逐条提供除以上资格审查格式以外的其他证明材料）</w:t>
      </w:r>
      <w:r>
        <w:rPr>
          <w:rFonts w:hint="eastAsia" w:ascii="宋体" w:hAnsi="宋体" w:eastAsia="宋体" w:cs="宋体"/>
          <w:color w:val="000000"/>
          <w:sz w:val="24"/>
          <w:szCs w:val="24"/>
          <w:highlight w:val="none"/>
          <w:lang w:bidi="ar"/>
        </w:rPr>
      </w:r>
      <w:r/>
    </w:p>
    <w:p>
      <w:pPr>
        <w:pStyle w:val="1038"/>
        <w:jc w:val="center"/>
        <w:rPr>
          <w:rFonts w:hint="eastAsia" w:ascii="宋体" w:hAnsi="宋体" w:eastAsia="宋体" w:cs="宋体"/>
          <w:color w:val="000000"/>
          <w:sz w:val="24"/>
          <w:szCs w:val="24"/>
          <w:highlight w:val="none"/>
        </w:rPr>
      </w:pPr>
      <w:r>
        <w:rPr>
          <w:rFonts w:hint="eastAsia" w:ascii="宋体" w:hAnsi="宋体" w:eastAsia="宋体" w:cs="宋体"/>
          <w:color w:val="000000"/>
          <w:sz w:val="32"/>
          <w:szCs w:val="32"/>
          <w:highlight w:val="none"/>
        </w:rPr>
        <w:t xml:space="preserve">5.</w:t>
      </w:r>
      <w:bookmarkEnd w:id="136"/>
      <w:r/>
      <w:bookmarkEnd w:id="137"/>
      <w:r/>
      <w:bookmarkEnd w:id="138"/>
      <w:r>
        <w:rPr>
          <w:rFonts w:hint="eastAsia" w:ascii="宋体" w:hAnsi="宋体" w:eastAsia="宋体" w:cs="宋体"/>
          <w:color w:val="000000"/>
          <w:sz w:val="32"/>
          <w:szCs w:val="32"/>
          <w:highlight w:val="none"/>
        </w:rPr>
        <w:t xml:space="preserve">技术条款偏离表（技术要求响应表）</w:t>
      </w:r>
      <w:r>
        <w:rPr>
          <w:rFonts w:hint="eastAsia" w:ascii="宋体" w:hAnsi="宋体" w:eastAsia="宋体" w:cs="宋体"/>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1454"/>
        <w:gridCol w:w="2161"/>
        <w:gridCol w:w="2202"/>
        <w:gridCol w:w="1648"/>
        <w:gridCol w:w="765"/>
        <w:gridCol w:w="735"/>
      </w:tblGrid>
      <w:tr>
        <w:trPr/>
        <w:tc>
          <w:tcPr>
            <w:tcW w:w="839" w:type="dxa"/>
            <w:vAlign w:val="center"/>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序号</w:t>
            </w:r>
            <w:r>
              <w:rPr>
                <w:rFonts w:hint="eastAsia" w:ascii="宋体" w:hAnsi="宋体" w:eastAsia="宋体" w:cs="宋体"/>
                <w:bCs/>
                <w:color w:val="000000"/>
                <w:sz w:val="24"/>
                <w:highlight w:val="none"/>
              </w:rPr>
            </w:r>
            <w:r/>
          </w:p>
        </w:tc>
        <w:tc>
          <w:tcPr>
            <w:tcW w:w="1454" w:type="dxa"/>
            <w:vAlign w:val="center"/>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招标文件条目号</w:t>
            </w:r>
            <w:r>
              <w:rPr>
                <w:rFonts w:hint="eastAsia" w:ascii="宋体" w:hAnsi="宋体" w:eastAsia="宋体" w:cs="宋体"/>
                <w:bCs/>
                <w:color w:val="000000"/>
                <w:sz w:val="24"/>
                <w:highlight w:val="none"/>
              </w:rPr>
            </w:r>
            <w:r/>
          </w:p>
        </w:tc>
        <w:tc>
          <w:tcPr>
            <w:tcW w:w="2161" w:type="dxa"/>
            <w:vAlign w:val="center"/>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招标文件要求的规格、参数</w:t>
            </w:r>
            <w:r>
              <w:rPr>
                <w:rFonts w:hint="eastAsia" w:ascii="宋体" w:hAnsi="宋体" w:eastAsia="宋体" w:cs="宋体"/>
                <w:bCs/>
                <w:color w:val="000000"/>
                <w:sz w:val="24"/>
                <w:highlight w:val="none"/>
              </w:rPr>
            </w:r>
            <w:r/>
          </w:p>
        </w:tc>
        <w:tc>
          <w:tcPr>
            <w:tcW w:w="2202" w:type="dxa"/>
            <w:vAlign w:val="center"/>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投标响应</w:t>
            </w:r>
            <w:r>
              <w:rPr>
                <w:rFonts w:hint="eastAsia" w:ascii="宋体" w:hAnsi="宋体" w:eastAsia="宋体" w:cs="宋体"/>
                <w:bCs/>
                <w:color w:val="000000"/>
                <w:sz w:val="24"/>
                <w:highlight w:val="none"/>
              </w:rPr>
            </w:r>
            <w:r/>
          </w:p>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规格、参数</w:t>
            </w:r>
            <w:r>
              <w:rPr>
                <w:rFonts w:hint="eastAsia" w:ascii="宋体" w:hAnsi="宋体" w:eastAsia="宋体" w:cs="宋体"/>
                <w:bCs/>
                <w:color w:val="000000"/>
                <w:sz w:val="24"/>
                <w:highlight w:val="none"/>
              </w:rPr>
            </w:r>
            <w:r/>
          </w:p>
        </w:tc>
        <w:tc>
          <w:tcPr>
            <w:tcW w:w="1648" w:type="dxa"/>
            <w:vAlign w:val="center"/>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color w:val="000000"/>
                <w:sz w:val="24"/>
                <w:szCs w:val="24"/>
                <w:highlight w:val="none"/>
              </w:rPr>
              <w:t xml:space="preserve">偏离情况（+/-/=）</w:t>
            </w:r>
            <w:r>
              <w:rPr>
                <w:rFonts w:hint="eastAsia" w:ascii="宋体" w:hAnsi="宋体" w:eastAsia="宋体" w:cs="宋体"/>
                <w:bCs/>
                <w:color w:val="000000"/>
                <w:sz w:val="24"/>
                <w:highlight w:val="none"/>
              </w:rPr>
            </w:r>
            <w:r/>
          </w:p>
        </w:tc>
        <w:tc>
          <w:tcPr>
            <w:tcW w:w="765" w:type="dxa"/>
            <w:vAlign w:val="center"/>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证明材料页码</w:t>
            </w:r>
            <w:r>
              <w:rPr>
                <w:rFonts w:hint="eastAsia" w:ascii="宋体" w:hAnsi="宋体" w:eastAsia="宋体" w:cs="宋体"/>
                <w:bCs/>
                <w:color w:val="000000"/>
                <w:sz w:val="24"/>
                <w:highlight w:val="none"/>
              </w:rPr>
            </w:r>
            <w:r/>
          </w:p>
        </w:tc>
        <w:tc>
          <w:tcPr>
            <w:tcW w:w="735" w:type="dxa"/>
            <w:vAlign w:val="center"/>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备注</w:t>
            </w: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rPr>
            </w:r>
            <w:r/>
          </w:p>
        </w:tc>
        <w:tc>
          <w:tcPr>
            <w:tcW w:w="1454"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rPr>
            </w:r>
            <w:r/>
          </w:p>
        </w:tc>
        <w:tc>
          <w:tcPr>
            <w:tcW w:w="1454"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w:t>
            </w:r>
            <w:r>
              <w:rPr>
                <w:rFonts w:hint="eastAsia" w:ascii="宋体" w:hAnsi="宋体" w:eastAsia="宋体" w:cs="宋体"/>
                <w:bCs/>
                <w:color w:val="000000"/>
                <w:sz w:val="24"/>
                <w:highlight w:val="none"/>
              </w:rPr>
            </w:r>
            <w:r/>
          </w:p>
        </w:tc>
        <w:tc>
          <w:tcPr>
            <w:tcW w:w="1454"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w:t>
            </w:r>
            <w:r>
              <w:rPr>
                <w:rFonts w:hint="eastAsia" w:ascii="宋体" w:hAnsi="宋体" w:eastAsia="宋体" w:cs="宋体"/>
                <w:bCs/>
                <w:color w:val="000000"/>
                <w:sz w:val="24"/>
                <w:highlight w:val="none"/>
              </w:rPr>
            </w:r>
            <w:r/>
          </w:p>
        </w:tc>
        <w:tc>
          <w:tcPr>
            <w:tcW w:w="1454"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5</w:t>
            </w:r>
            <w:r>
              <w:rPr>
                <w:rFonts w:hint="eastAsia" w:ascii="宋体" w:hAnsi="宋体" w:eastAsia="宋体" w:cs="宋体"/>
                <w:bCs/>
                <w:color w:val="000000"/>
                <w:sz w:val="24"/>
                <w:highlight w:val="none"/>
              </w:rPr>
            </w:r>
            <w:r/>
          </w:p>
        </w:tc>
        <w:tc>
          <w:tcPr>
            <w:tcW w:w="1454"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6</w:t>
            </w:r>
            <w:r>
              <w:rPr>
                <w:rFonts w:hint="eastAsia" w:ascii="宋体" w:hAnsi="宋体" w:eastAsia="宋体" w:cs="宋体"/>
                <w:bCs/>
                <w:color w:val="000000"/>
                <w:sz w:val="24"/>
                <w:highlight w:val="none"/>
              </w:rPr>
            </w:r>
            <w:r/>
          </w:p>
        </w:tc>
        <w:tc>
          <w:tcPr>
            <w:tcW w:w="1454"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7</w:t>
            </w:r>
            <w:r>
              <w:rPr>
                <w:rFonts w:hint="eastAsia" w:ascii="宋体" w:hAnsi="宋体" w:eastAsia="宋体" w:cs="宋体"/>
                <w:bCs/>
                <w:color w:val="000000"/>
                <w:sz w:val="24"/>
                <w:highlight w:val="none"/>
              </w:rPr>
            </w:r>
            <w:r/>
          </w:p>
        </w:tc>
        <w:tc>
          <w:tcPr>
            <w:tcW w:w="1454"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8</w:t>
            </w:r>
            <w:r>
              <w:rPr>
                <w:rFonts w:hint="eastAsia" w:ascii="宋体" w:hAnsi="宋体" w:eastAsia="宋体" w:cs="宋体"/>
                <w:bCs/>
                <w:color w:val="000000"/>
                <w:sz w:val="24"/>
                <w:highlight w:val="none"/>
              </w:rPr>
            </w:r>
            <w:r/>
          </w:p>
        </w:tc>
        <w:tc>
          <w:tcPr>
            <w:tcW w:w="1454"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454"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bl>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投标人名称（盖章/加盖CA电子公章）：</w:t>
      </w:r>
      <w:r>
        <w:rPr>
          <w:rFonts w:hint="eastAsia" w:ascii="宋体" w:hAnsi="宋体" w:eastAsia="宋体" w:cs="宋体"/>
          <w:color w:val="000000"/>
          <w:sz w:val="24"/>
          <w:szCs w:val="24"/>
          <w:highlight w:val="none"/>
        </w:rPr>
      </w:r>
      <w:r/>
    </w:p>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038"/>
        <w:rPr>
          <w:rFonts w:hint="eastAsia" w:ascii="宋体" w:hAnsi="宋体" w:eastAsia="宋体" w:cs="宋体"/>
          <w:color w:val="000000"/>
          <w:sz w:val="20"/>
          <w:highlight w:val="none"/>
        </w:rPr>
      </w:pPr>
      <w:r>
        <w:rPr>
          <w:rFonts w:hint="eastAsia" w:ascii="宋体" w:hAnsi="宋体" w:eastAsia="宋体" w:cs="宋体"/>
          <w:color w:val="000000"/>
          <w:sz w:val="20"/>
          <w:highlight w:val="none"/>
        </w:rPr>
      </w:r>
      <w:r/>
    </w:p>
    <w:p>
      <w:pPr>
        <w:pStyle w:val="1038"/>
        <w:rPr>
          <w:rFonts w:hint="eastAsia" w:ascii="宋体" w:hAnsi="宋体" w:eastAsia="宋体" w:cs="宋体"/>
          <w:color w:val="000000"/>
          <w:szCs w:val="21"/>
          <w:highlight w:val="none"/>
        </w:rPr>
      </w:pPr>
      <w:r/>
      <w:bookmarkStart w:id="139" w:name="_Toc5552"/>
      <w:r/>
      <w:bookmarkStart w:id="140" w:name="_Toc10292"/>
      <w:r/>
      <w:bookmarkStart w:id="141" w:name="_Toc11669"/>
      <w:r>
        <w:rPr>
          <w:rFonts w:hint="eastAsia" w:ascii="宋体" w:hAnsi="宋体" w:eastAsia="宋体" w:cs="宋体"/>
          <w:color w:val="000000"/>
          <w:szCs w:val="21"/>
          <w:highlight w:val="none"/>
        </w:rPr>
        <w:t xml:space="preserve">说明：①此表为表样，行数可自行添加，但表式不变。</w:t>
      </w:r>
      <w:r>
        <w:rPr>
          <w:rFonts w:hint="eastAsia" w:ascii="宋体" w:hAnsi="宋体" w:eastAsia="宋体" w:cs="宋体"/>
          <w:color w:val="000000"/>
          <w:szCs w:val="21"/>
          <w:highlight w:val="none"/>
        </w:rPr>
      </w:r>
      <w:r/>
    </w:p>
    <w:p>
      <w:pPr>
        <w:pStyle w:val="1038"/>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②是否偏离用符号“+、=、-”分别表示正偏离、完全响应、负偏离。</w:t>
      </w:r>
      <w:r>
        <w:rPr>
          <w:rFonts w:hint="eastAsia" w:ascii="宋体" w:hAnsi="宋体" w:eastAsia="宋体" w:cs="宋体"/>
          <w:color w:val="000000"/>
          <w:szCs w:val="21"/>
          <w:highlight w:val="none"/>
        </w:rPr>
      </w:r>
      <w:r/>
    </w:p>
    <w:p>
      <w:pPr>
        <w:pStyle w:val="1038"/>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③供应商必须仔细阅读本招标文件“第四章”中所有相关采购要求，并对所有技术要求偏离的条目列入上表。供应商必须根据所提供服务的实际情况如实填写，评审小组如发现有虚假描述的，该投标文件视为无效</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38"/>
        <w:jc w:val="center"/>
        <w:rPr>
          <w:rFonts w:hint="eastAsia" w:ascii="宋体" w:hAnsi="宋体" w:eastAsia="宋体" w:cs="宋体"/>
          <w:color w:val="000000"/>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32"/>
          <w:szCs w:val="32"/>
          <w:highlight w:val="none"/>
        </w:rPr>
      </w:r>
      <w:r/>
    </w:p>
    <w:p>
      <w:pPr>
        <w:pStyle w:val="1038"/>
        <w:spacing w:line="420" w:lineRule="exact"/>
        <w:rPr>
          <w:rFonts w:hint="eastAsia" w:ascii="宋体" w:hAnsi="宋体" w:eastAsia="宋体" w:cs="宋体"/>
          <w:b/>
          <w:color w:val="000000"/>
          <w:sz w:val="24"/>
          <w:szCs w:val="24"/>
          <w:highlight w:val="none"/>
          <w:lang w:val="zh-CN"/>
        </w:rPr>
      </w:pPr>
      <w:r/>
      <w:bookmarkStart w:id="142" w:name="_Toc22168"/>
      <w:r/>
      <w:bookmarkStart w:id="143" w:name="_Toc23012"/>
      <w:r>
        <w:rPr>
          <w:rFonts w:hint="eastAsia" w:eastAsia="宋体" w:cs="宋体"/>
          <w:b/>
          <w:color w:val="000000"/>
          <w:sz w:val="24"/>
          <w:szCs w:val="24"/>
          <w:highlight w:val="none"/>
        </w:rPr>
        <w:t xml:space="preserve">附件：</w:t>
      </w:r>
      <w:r>
        <w:rPr>
          <w:rFonts w:hint="eastAsia" w:ascii="宋体" w:hAnsi="宋体" w:eastAsia="宋体" w:cs="宋体"/>
          <w:b/>
          <w:color w:val="000000"/>
          <w:sz w:val="24"/>
          <w:szCs w:val="24"/>
          <w:highlight w:val="none"/>
          <w:lang w:val="zh-CN"/>
        </w:rPr>
        <w:t xml:space="preserve">“★”</w:t>
      </w:r>
      <w:r>
        <w:rPr>
          <w:rFonts w:hint="eastAsia" w:ascii="宋体" w:hAnsi="宋体" w:eastAsia="宋体" w:cs="宋体"/>
          <w:b/>
          <w:color w:val="000000"/>
          <w:sz w:val="24"/>
          <w:szCs w:val="24"/>
          <w:highlight w:val="none"/>
        </w:rPr>
        <w:t xml:space="preserve">及</w:t>
      </w:r>
      <w:r>
        <w:rPr>
          <w:rFonts w:hint="eastAsia" w:ascii="宋体" w:hAnsi="宋体" w:eastAsia="宋体" w:cs="宋体"/>
          <w:b/>
          <w:color w:val="000000"/>
          <w:sz w:val="24"/>
          <w:szCs w:val="24"/>
          <w:highlight w:val="none"/>
          <w:lang w:val="zh-CN"/>
        </w:rPr>
        <w:t xml:space="preserve">“▲”参数技术支持材料</w:t>
      </w:r>
      <w:bookmarkEnd w:id="142"/>
      <w:r/>
      <w:bookmarkEnd w:id="143"/>
      <w:r>
        <w:rPr>
          <w:rFonts w:hint="eastAsia" w:ascii="宋体" w:hAnsi="宋体" w:eastAsia="宋体" w:cs="宋体"/>
          <w:b/>
          <w:color w:val="000000"/>
          <w:sz w:val="24"/>
          <w:szCs w:val="24"/>
          <w:highlight w:val="none"/>
          <w:lang w:val="zh-CN"/>
        </w:rPr>
      </w:r>
      <w:r/>
    </w:p>
    <w:p>
      <w:pPr>
        <w:pStyle w:val="1078"/>
        <w:ind w:left="0"/>
        <w:rPr>
          <w:rFonts w:hint="eastAsia" w:ascii="宋体" w:hAnsi="宋体" w:cs="宋体"/>
          <w:color w:val="000000"/>
          <w:highlight w:val="none"/>
        </w:rPr>
      </w:pPr>
      <w:r>
        <w:rPr>
          <w:rFonts w:hint="eastAsia" w:ascii="宋体" w:hAnsi="宋体" w:cs="宋体"/>
          <w:color w:val="000000"/>
          <w:highlight w:val="none"/>
        </w:rPr>
      </w:r>
      <w:r/>
    </w:p>
    <w:p>
      <w:pPr>
        <w:pStyle w:val="1078"/>
        <w:ind w:left="0" w:firstLine="420"/>
        <w:rPr>
          <w:rFonts w:hint="eastAsia" w:ascii="宋体" w:hAnsi="宋体" w:cs="宋体"/>
          <w:color w:val="000000"/>
          <w:highlight w:val="none"/>
        </w:rPr>
      </w:pPr>
      <w:r>
        <w:rPr>
          <w:rFonts w:hint="eastAsia" w:ascii="宋体" w:hAnsi="宋体" w:cs="宋体"/>
          <w:color w:val="000000"/>
          <w:highlight w:val="none"/>
        </w:rPr>
        <w:t xml:space="preserve">供应商应当根据招标文件要求编制投标文件，投标文件应对招标文件提出的要求和条件作出实质性响应，对带星号（“★”）的技术条款须在投标文件中提供招标文件技术参数中所要求的技术支持资料（技术支持资料种类以文件第四章要求为准，如无特殊要求则为明确说明该技术内容的公开发行的手册、彩页、官网截图、功能页面截图、检测报告、白皮书等），未提供技术支持资料的，或未对招标文件做出实质性响应，将导致投标文件被视为无效。</w:t>
      </w:r>
      <w:r>
        <w:rPr>
          <w:rFonts w:hint="eastAsia" w:ascii="宋体" w:hAnsi="宋体" w:cs="宋体"/>
          <w:color w:val="000000"/>
          <w:highlight w:val="none"/>
        </w:rPr>
      </w:r>
      <w:r/>
    </w:p>
    <w:p>
      <w:pPr>
        <w:pStyle w:val="1078"/>
        <w:ind w:left="0" w:firstLine="420"/>
        <w:rPr>
          <w:rFonts w:hint="eastAsia" w:ascii="宋体" w:hAnsi="宋体" w:cs="宋体"/>
          <w:color w:val="000000"/>
          <w:highlight w:val="none"/>
        </w:rPr>
      </w:pPr>
      <w:r>
        <w:rPr>
          <w:rFonts w:hint="eastAsia" w:ascii="宋体" w:hAnsi="宋体" w:cs="宋体"/>
          <w:color w:val="000000"/>
          <w:highlight w:val="none"/>
        </w:rPr>
        <w:t xml:space="preserve">对带▲号参数指标（如有）为主要技术参数要求，投标文件中须提供技术支持资料（技术支持资料种类以文件第四章要求为准，如无特殊要求则为明确说明该技术内容的公开发行的手册、彩页、官网截图、功能页面截图、检测报告、白皮书等），否则将视为未响应▲号参数，作负偏离处理。</w:t>
      </w:r>
      <w:r>
        <w:rPr>
          <w:rFonts w:hint="eastAsia" w:ascii="宋体" w:hAnsi="宋体" w:cs="宋体"/>
          <w:color w:val="000000"/>
          <w:highlight w:val="none"/>
        </w:rPr>
      </w:r>
      <w:r/>
    </w:p>
    <w:p>
      <w:pPr>
        <w:pStyle w:val="103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8"/>
        <w:rPr>
          <w:rFonts w:hint="eastAsia" w:ascii="宋体" w:hAnsi="宋体" w:eastAsia="宋体" w:cs="宋体"/>
          <w:color w:val="000000"/>
          <w:highlight w:val="none"/>
        </w:rPr>
      </w:pPr>
      <w:r>
        <w:rPr>
          <w:rFonts w:hint="eastAsia" w:ascii="宋体" w:hAnsi="宋体" w:eastAsia="宋体" w:cs="宋体"/>
          <w:color w:val="000000"/>
          <w:highlight w:val="none"/>
        </w:rPr>
        <w:t xml:space="preserve">★项参数要求及证明材料：</w:t>
      </w:r>
      <w:r>
        <w:rPr>
          <w:rFonts w:hint="eastAsia" w:ascii="宋体" w:hAnsi="宋体" w:eastAsia="宋体" w:cs="宋体"/>
          <w:color w:val="000000"/>
          <w:highlight w:val="none"/>
        </w:rPr>
      </w:r>
      <w:r/>
    </w:p>
    <w:p>
      <w:pPr>
        <w:pStyle w:val="1038"/>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p>
      <w:pPr>
        <w:pStyle w:val="1038"/>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rPr>
      </w:r>
      <w:r/>
    </w:p>
    <w:p>
      <w:pPr>
        <w:pStyle w:val="1038"/>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rPr>
      </w:r>
      <w:r/>
    </w:p>
    <w:p>
      <w:pPr>
        <w:pStyle w:val="1038"/>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3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8"/>
        <w:rPr>
          <w:rFonts w:hint="eastAsia" w:ascii="宋体" w:hAnsi="宋体" w:eastAsia="宋体" w:cs="宋体"/>
          <w:color w:val="000000"/>
          <w:highlight w:val="none"/>
        </w:rPr>
      </w:pPr>
      <w:r>
        <w:rPr>
          <w:rFonts w:hint="eastAsia" w:ascii="宋体" w:hAnsi="宋体" w:eastAsia="宋体" w:cs="宋体"/>
          <w:color w:val="000000"/>
          <w:highlight w:val="none"/>
        </w:rPr>
        <w:t xml:space="preserve">▲项参数要求及证明材料：</w:t>
      </w:r>
      <w:r>
        <w:rPr>
          <w:rFonts w:hint="eastAsia" w:ascii="宋体" w:hAnsi="宋体" w:eastAsia="宋体" w:cs="宋体"/>
          <w:color w:val="000000"/>
          <w:highlight w:val="none"/>
        </w:rPr>
      </w:r>
      <w:r/>
    </w:p>
    <w:p>
      <w:pPr>
        <w:pStyle w:val="1038"/>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p>
      <w:pPr>
        <w:pStyle w:val="1038"/>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rPr>
      </w:r>
      <w:r/>
    </w:p>
    <w:p>
      <w:pPr>
        <w:pStyle w:val="1038"/>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rPr>
      </w:r>
      <w:r/>
    </w:p>
    <w:p>
      <w:pPr>
        <w:pStyle w:val="1038"/>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38"/>
        <w:jc w:val="center"/>
        <w:rPr>
          <w:rFonts w:hint="eastAsia" w:ascii="宋体" w:hAnsi="宋体" w:eastAsia="宋体" w:cs="宋体"/>
          <w:color w:val="000000"/>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32"/>
          <w:szCs w:val="32"/>
          <w:highlight w:val="none"/>
        </w:rPr>
      </w:r>
      <w:r/>
    </w:p>
    <w:p>
      <w:pPr>
        <w:pStyle w:val="1038"/>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6.</w:t>
      </w:r>
      <w:bookmarkEnd w:id="139"/>
      <w:r/>
      <w:bookmarkEnd w:id="140"/>
      <w:r/>
      <w:bookmarkEnd w:id="141"/>
      <w:r>
        <w:rPr>
          <w:rFonts w:hint="eastAsia" w:ascii="宋体" w:hAnsi="宋体" w:eastAsia="宋体" w:cs="宋体"/>
          <w:color w:val="000000"/>
          <w:sz w:val="32"/>
          <w:szCs w:val="32"/>
          <w:highlight w:val="none"/>
        </w:rPr>
        <w:t xml:space="preserve">商务条款偏离表（商务要求响应表）</w:t>
      </w:r>
      <w:r>
        <w:rPr>
          <w:rFonts w:hint="eastAsia" w:ascii="宋体" w:hAnsi="宋体" w:eastAsia="宋体" w:cs="宋体"/>
          <w:color w:val="000000"/>
          <w:sz w:val="32"/>
          <w:szCs w:val="3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11"/>
        <w:gridCol w:w="3112"/>
        <w:gridCol w:w="2685"/>
        <w:gridCol w:w="1527"/>
        <w:gridCol w:w="1052"/>
      </w:tblGrid>
      <w:tr>
        <w:trPr>
          <w:trHeight w:val="643"/>
        </w:trPr>
        <w:tc>
          <w:tcPr>
            <w:tcW w:w="1011" w:type="dxa"/>
            <w:vAlign w:val="center"/>
            <w:textDirection w:val="lrTb"/>
            <w:noWrap w:val="false"/>
          </w:tcPr>
          <w:p>
            <w:pPr>
              <w:pStyle w:val="1038"/>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3112" w:type="dxa"/>
            <w:vAlign w:val="center"/>
            <w:textDirection w:val="lrTb"/>
            <w:noWrap w:val="false"/>
          </w:tcPr>
          <w:p>
            <w:pPr>
              <w:pStyle w:val="1038"/>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招标文件商务部分要求</w:t>
            </w: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1038"/>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供应商的响应及承诺</w:t>
            </w:r>
            <w:r>
              <w:rPr>
                <w:rFonts w:hint="eastAsia" w:ascii="宋体" w:hAnsi="宋体" w:eastAsia="宋体" w:cs="宋体"/>
                <w:color w:val="000000"/>
                <w:sz w:val="24"/>
                <w:szCs w:val="24"/>
                <w:highlight w:val="none"/>
              </w:rPr>
            </w:r>
            <w:r/>
          </w:p>
        </w:tc>
        <w:tc>
          <w:tcPr>
            <w:tcW w:w="1527" w:type="dxa"/>
            <w:vAlign w:val="center"/>
            <w:textDirection w:val="lrTb"/>
            <w:noWrap w:val="false"/>
          </w:tcPr>
          <w:p>
            <w:pPr>
              <w:pStyle w:val="1038"/>
              <w:jc w:val="center"/>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偏离情况（+/-/=）</w:t>
            </w: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1038"/>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rHeight w:val="447"/>
        </w:trPr>
        <w:tc>
          <w:tcPr>
            <w:tcW w:w="1011" w:type="dxa"/>
            <w:vAlign w:val="center"/>
            <w:textDirection w:val="lrTb"/>
            <w:noWrap w:val="false"/>
          </w:tcPr>
          <w:p>
            <w:pPr>
              <w:pStyle w:val="1038"/>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3112" w:type="dxa"/>
            <w:vAlign w:val="center"/>
            <w:textDirection w:val="lrTb"/>
            <w:noWrap w:val="false"/>
          </w:tcPr>
          <w:p>
            <w:pPr>
              <w:pStyle w:val="1038"/>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1038"/>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7" w:type="dxa"/>
            <w:vAlign w:val="center"/>
            <w:textDirection w:val="lrTb"/>
            <w:noWrap w:val="false"/>
          </w:tcPr>
          <w:p>
            <w:pPr>
              <w:pStyle w:val="1038"/>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1038"/>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47"/>
        </w:trPr>
        <w:tc>
          <w:tcPr>
            <w:tcW w:w="1011" w:type="dxa"/>
            <w:vAlign w:val="center"/>
            <w:textDirection w:val="lrTb"/>
            <w:noWrap w:val="false"/>
          </w:tcPr>
          <w:p>
            <w:pPr>
              <w:pStyle w:val="1038"/>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3112" w:type="dxa"/>
            <w:vAlign w:val="center"/>
            <w:textDirection w:val="lrTb"/>
            <w:noWrap w:val="false"/>
          </w:tcPr>
          <w:p>
            <w:pPr>
              <w:pStyle w:val="1038"/>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1038"/>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7" w:type="dxa"/>
            <w:vAlign w:val="center"/>
            <w:textDirection w:val="lrTb"/>
            <w:noWrap w:val="false"/>
          </w:tcPr>
          <w:p>
            <w:pPr>
              <w:pStyle w:val="1038"/>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1038"/>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2"/>
        </w:trPr>
        <w:tc>
          <w:tcPr>
            <w:tcW w:w="1011" w:type="dxa"/>
            <w:vAlign w:val="center"/>
            <w:textDirection w:val="lrTb"/>
            <w:noWrap w:val="false"/>
          </w:tcPr>
          <w:p>
            <w:pPr>
              <w:pStyle w:val="1038"/>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3112" w:type="dxa"/>
            <w:vAlign w:val="center"/>
            <w:textDirection w:val="lrTb"/>
            <w:noWrap w:val="false"/>
          </w:tcPr>
          <w:p>
            <w:pPr>
              <w:pStyle w:val="1038"/>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1038"/>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7" w:type="dxa"/>
            <w:vAlign w:val="center"/>
            <w:textDirection w:val="lrTb"/>
            <w:noWrap w:val="false"/>
          </w:tcPr>
          <w:p>
            <w:pPr>
              <w:pStyle w:val="1038"/>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1038"/>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41"/>
        </w:trPr>
        <w:tc>
          <w:tcPr>
            <w:tcW w:w="1011" w:type="dxa"/>
            <w:vAlign w:val="center"/>
            <w:textDirection w:val="lrTb"/>
            <w:noWrap w:val="false"/>
          </w:tcPr>
          <w:p>
            <w:pPr>
              <w:pStyle w:val="1038"/>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3112" w:type="dxa"/>
            <w:vAlign w:val="center"/>
            <w:textDirection w:val="lrTb"/>
            <w:noWrap w:val="false"/>
          </w:tcPr>
          <w:p>
            <w:pPr>
              <w:pStyle w:val="1038"/>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1038"/>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7" w:type="dxa"/>
            <w:vAlign w:val="center"/>
            <w:textDirection w:val="lrTb"/>
            <w:noWrap w:val="false"/>
          </w:tcPr>
          <w:p>
            <w:pPr>
              <w:pStyle w:val="1038"/>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1038"/>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41"/>
        </w:trPr>
        <w:tc>
          <w:tcPr>
            <w:tcW w:w="1011" w:type="dxa"/>
            <w:vAlign w:val="center"/>
            <w:textDirection w:val="lrTb"/>
            <w:noWrap w:val="false"/>
          </w:tcPr>
          <w:p>
            <w:pPr>
              <w:pStyle w:val="1038"/>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3112" w:type="dxa"/>
            <w:vAlign w:val="center"/>
            <w:textDirection w:val="lrTb"/>
            <w:noWrap w:val="false"/>
          </w:tcPr>
          <w:p>
            <w:pPr>
              <w:pStyle w:val="1038"/>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1038"/>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7" w:type="dxa"/>
            <w:vAlign w:val="center"/>
            <w:textDirection w:val="lrTb"/>
            <w:noWrap w:val="false"/>
          </w:tcPr>
          <w:p>
            <w:pPr>
              <w:pStyle w:val="1038"/>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1038"/>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61"/>
        </w:trPr>
        <w:tc>
          <w:tcPr>
            <w:tcW w:w="1011" w:type="dxa"/>
            <w:vAlign w:val="center"/>
            <w:textDirection w:val="lrTb"/>
            <w:noWrap w:val="false"/>
          </w:tcPr>
          <w:p>
            <w:pPr>
              <w:pStyle w:val="1038"/>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3112" w:type="dxa"/>
            <w:vAlign w:val="center"/>
            <w:textDirection w:val="lrTb"/>
            <w:noWrap w:val="false"/>
          </w:tcPr>
          <w:p>
            <w:pPr>
              <w:pStyle w:val="1038"/>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1038"/>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7" w:type="dxa"/>
            <w:vAlign w:val="center"/>
            <w:textDirection w:val="lrTb"/>
            <w:noWrap w:val="false"/>
          </w:tcPr>
          <w:p>
            <w:pPr>
              <w:pStyle w:val="1038"/>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1038"/>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76"/>
        </w:trPr>
        <w:tc>
          <w:tcPr>
            <w:tcW w:w="1011" w:type="dxa"/>
            <w:vAlign w:val="center"/>
            <w:textDirection w:val="lrTb"/>
            <w:noWrap w:val="false"/>
          </w:tcPr>
          <w:p>
            <w:pPr>
              <w:pStyle w:val="1038"/>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112" w:type="dxa"/>
            <w:vAlign w:val="center"/>
            <w:textDirection w:val="lrTb"/>
            <w:noWrap w:val="false"/>
          </w:tcPr>
          <w:p>
            <w:pPr>
              <w:pStyle w:val="1038"/>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1038"/>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7" w:type="dxa"/>
            <w:vAlign w:val="center"/>
            <w:textDirection w:val="lrTb"/>
            <w:noWrap w:val="false"/>
          </w:tcPr>
          <w:p>
            <w:pPr>
              <w:pStyle w:val="1038"/>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1038"/>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038"/>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说明：1. 供应商须根据第五章《合同条款及格式》及第四章《采购需求》的要求填写此表，作为投标文件的组成部分，如果行数不够，请自行增加。</w:t>
      </w:r>
      <w:r>
        <w:rPr>
          <w:rFonts w:hint="eastAsia" w:ascii="宋体" w:hAnsi="宋体" w:eastAsia="宋体" w:cs="宋体"/>
          <w:color w:val="000000"/>
          <w:szCs w:val="21"/>
          <w:highlight w:val="none"/>
        </w:rPr>
      </w:r>
      <w:r/>
    </w:p>
    <w:p>
      <w:pPr>
        <w:pStyle w:val="1038"/>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 所有偏离必须在本表中列出，未在本偏离表中列出偏离，将视为供应商已完全接受招标文件要求。如完全无偏离，也无其他说明，可在本表第一行填写“全部无偏离”。</w:t>
      </w:r>
      <w:r>
        <w:rPr>
          <w:rFonts w:hint="eastAsia" w:ascii="宋体" w:hAnsi="宋体" w:eastAsia="宋体" w:cs="宋体"/>
          <w:color w:val="000000"/>
          <w:szCs w:val="21"/>
          <w:highlight w:val="none"/>
        </w:rPr>
      </w:r>
      <w:r/>
    </w:p>
    <w:p>
      <w:pPr>
        <w:pStyle w:val="1038"/>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 偏离包括正、负偏离，正偏离指供应商的响应高于招标文件要求，负偏离指供应商的响应低于招标文件要求。是否偏离用符号“+、=、-”分别表示正偏离、完全响应、负偏离。</w:t>
      </w:r>
      <w:r>
        <w:rPr>
          <w:rFonts w:hint="eastAsia" w:ascii="宋体" w:hAnsi="宋体" w:eastAsia="宋体" w:cs="宋体"/>
          <w:color w:val="000000"/>
          <w:szCs w:val="21"/>
          <w:highlight w:val="none"/>
        </w:rPr>
      </w:r>
      <w:r/>
    </w:p>
    <w:p>
      <w:pPr>
        <w:pStyle w:val="1038"/>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 如供应商将此表空白，视为供应商无任何偏离。</w:t>
      </w:r>
      <w:r>
        <w:rPr>
          <w:rFonts w:hint="eastAsia" w:ascii="宋体" w:hAnsi="宋体" w:eastAsia="宋体" w:cs="宋体"/>
          <w:color w:val="000000"/>
          <w:szCs w:val="21"/>
          <w:highlight w:val="none"/>
        </w:rPr>
      </w:r>
      <w:r/>
    </w:p>
    <w:p>
      <w:pPr>
        <w:pStyle w:val="1038"/>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8"/>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投标人名称（盖章/加盖CA电子公章）：</w:t>
      </w:r>
      <w:r>
        <w:rPr>
          <w:rFonts w:hint="eastAsia" w:ascii="宋体" w:hAnsi="宋体" w:eastAsia="宋体" w:cs="宋体"/>
          <w:color w:val="000000"/>
          <w:sz w:val="24"/>
          <w:szCs w:val="24"/>
          <w:highlight w:val="none"/>
        </w:rPr>
      </w:r>
      <w:r/>
    </w:p>
    <w:p>
      <w:pPr>
        <w:pStyle w:val="1038"/>
        <w:jc w:val="left"/>
        <w:spacing w:before="0" w:after="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8"/>
        <w:numPr>
          <w:ilvl w:val="0"/>
          <w:numId w:val="44"/>
        </w:numPr>
        <w:jc w:val="center"/>
        <w:tabs>
          <w:tab w:val="left" w:pos="312" w:leader="none"/>
        </w:tabs>
        <w:rPr>
          <w:rFonts w:hint="eastAsia" w:ascii="宋体" w:hAnsi="宋体" w:eastAsia="宋体" w:cs="宋体"/>
          <w:color w:val="000000"/>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bookmarkStart w:id="144" w:name="_Toc12051"/>
      <w:r/>
      <w:bookmarkStart w:id="145" w:name="_Toc25254"/>
      <w:r/>
      <w:bookmarkStart w:id="146" w:name="_Toc12952"/>
      <w:r/>
      <w:bookmarkStart w:id="147" w:name="_Toc29152"/>
      <w:r>
        <w:rPr>
          <w:rFonts w:hint="eastAsia" w:ascii="宋体" w:hAnsi="宋体" w:eastAsia="宋体" w:cs="宋体"/>
          <w:color w:val="000000"/>
          <w:sz w:val="32"/>
          <w:szCs w:val="32"/>
          <w:highlight w:val="none"/>
        </w:rPr>
      </w:r>
      <w:r/>
    </w:p>
    <w:p>
      <w:pPr>
        <w:pStyle w:val="1038"/>
        <w:numPr>
          <w:ilvl w:val="0"/>
          <w:numId w:val="44"/>
        </w:numPr>
        <w:jc w:val="center"/>
        <w:tabs>
          <w:tab w:val="left" w:pos="312" w:leader="none"/>
        </w:tabs>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经营业绩（提供合同复印件）</w:t>
      </w:r>
      <w:bookmarkEnd w:id="144"/>
      <w:r/>
      <w:bookmarkEnd w:id="145"/>
      <w:r/>
      <w:bookmarkEnd w:id="146"/>
      <w:r/>
      <w:bookmarkEnd w:id="147"/>
      <w:r>
        <w:rPr>
          <w:rFonts w:hint="eastAsia" w:ascii="宋体" w:hAnsi="宋体" w:eastAsia="宋体" w:cs="宋体"/>
          <w:color w:val="000000"/>
          <w:sz w:val="32"/>
          <w:szCs w:val="32"/>
          <w:highlight w:val="none"/>
        </w:rPr>
      </w:r>
      <w:r/>
    </w:p>
    <w:tbl>
      <w:tblPr>
        <w:tblW w:w="9619" w:type="dxa"/>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2"/>
        <w:gridCol w:w="2028"/>
        <w:gridCol w:w="1695"/>
        <w:gridCol w:w="1275"/>
        <w:gridCol w:w="1418"/>
        <w:gridCol w:w="2551"/>
      </w:tblGrid>
      <w:tr>
        <w:trPr>
          <w:trHeight w:val="421"/>
        </w:trPr>
        <w:tc>
          <w:tcPr>
            <w:tcW w:w="652" w:type="dxa"/>
            <w:vAlign w:val="center"/>
            <w:textDirection w:val="lrTb"/>
            <w:noWrap w:val="false"/>
          </w:tcPr>
          <w:p>
            <w:pPr>
              <w:pStyle w:val="1038"/>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2028" w:type="dxa"/>
            <w:vAlign w:val="center"/>
            <w:textDirection w:val="lrTb"/>
            <w:noWrap w:val="false"/>
          </w:tcPr>
          <w:p>
            <w:pPr>
              <w:pStyle w:val="1038"/>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业绩名称</w:t>
            </w:r>
            <w:r>
              <w:rPr>
                <w:rFonts w:hint="eastAsia" w:ascii="宋体" w:hAnsi="宋体" w:eastAsia="宋体" w:cs="宋体"/>
                <w:color w:val="000000"/>
                <w:sz w:val="24"/>
                <w:szCs w:val="24"/>
                <w:highlight w:val="none"/>
              </w:rPr>
            </w:r>
            <w:r/>
          </w:p>
          <w:p>
            <w:pPr>
              <w:pStyle w:val="1038"/>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tcW w:w="1695" w:type="dxa"/>
            <w:vAlign w:val="center"/>
            <w:textDirection w:val="lrTb"/>
            <w:noWrap w:val="false"/>
          </w:tcPr>
          <w:p>
            <w:pPr>
              <w:pStyle w:val="1038"/>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采购单位及联系人、联系方式</w:t>
            </w:r>
            <w:r>
              <w:rPr>
                <w:rFonts w:hint="eastAsia" w:ascii="宋体" w:hAnsi="宋体" w:eastAsia="宋体" w:cs="宋体"/>
                <w:color w:val="000000"/>
                <w:sz w:val="24"/>
                <w:szCs w:val="24"/>
                <w:highlight w:val="none"/>
              </w:rPr>
            </w:r>
            <w:r/>
          </w:p>
        </w:tc>
        <w:tc>
          <w:tcPr>
            <w:tcW w:w="1275" w:type="dxa"/>
            <w:vAlign w:val="center"/>
            <w:textDirection w:val="lrTb"/>
            <w:noWrap w:val="false"/>
          </w:tcPr>
          <w:p>
            <w:pPr>
              <w:pStyle w:val="1038"/>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签订</w:t>
            </w:r>
            <w:r>
              <w:rPr>
                <w:rFonts w:hint="eastAsia" w:ascii="宋体" w:hAnsi="宋体" w:eastAsia="宋体" w:cs="宋体"/>
                <w:color w:val="000000"/>
                <w:sz w:val="24"/>
                <w:szCs w:val="24"/>
                <w:highlight w:val="none"/>
              </w:rPr>
            </w:r>
            <w:r/>
          </w:p>
          <w:p>
            <w:pPr>
              <w:pStyle w:val="1038"/>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时间</w:t>
            </w: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038"/>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合同金额</w:t>
            </w:r>
            <w:r>
              <w:rPr>
                <w:rFonts w:hint="eastAsia" w:ascii="宋体" w:hAnsi="宋体" w:eastAsia="宋体" w:cs="宋体"/>
                <w:color w:val="000000"/>
                <w:sz w:val="24"/>
                <w:szCs w:val="24"/>
                <w:highlight w:val="none"/>
              </w:rPr>
            </w:r>
            <w:r/>
          </w:p>
          <w:p>
            <w:pPr>
              <w:pStyle w:val="1038"/>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1038"/>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证明材料</w:t>
            </w:r>
            <w:r>
              <w:rPr>
                <w:rFonts w:hint="eastAsia" w:ascii="宋体" w:hAnsi="宋体" w:eastAsia="宋体" w:cs="宋体"/>
                <w:color w:val="000000"/>
                <w:sz w:val="24"/>
                <w:szCs w:val="24"/>
                <w:highlight w:val="none"/>
              </w:rPr>
            </w:r>
            <w:r/>
          </w:p>
          <w:p>
            <w:pPr>
              <w:pStyle w:val="1038"/>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（第几页—第几页）</w:t>
            </w:r>
            <w:r>
              <w:rPr>
                <w:rFonts w:hint="eastAsia" w:ascii="宋体" w:hAnsi="宋体" w:eastAsia="宋体" w:cs="宋体"/>
                <w:color w:val="000000"/>
                <w:sz w:val="24"/>
                <w:szCs w:val="24"/>
                <w:highlight w:val="none"/>
              </w:rPr>
            </w:r>
            <w:r/>
          </w:p>
        </w:tc>
      </w:tr>
      <w:tr>
        <w:trPr>
          <w:trHeight w:val="530"/>
        </w:trPr>
        <w:tc>
          <w:tcPr>
            <w:tcW w:w="652" w:type="dxa"/>
            <w:vAlign w:val="center"/>
            <w:textDirection w:val="lrTb"/>
            <w:noWrap w:val="false"/>
          </w:tcPr>
          <w:p>
            <w:pPr>
              <w:pStyle w:val="1038"/>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2028" w:type="dxa"/>
            <w:vAlign w:val="center"/>
            <w:textDirection w:val="lrTb"/>
            <w:noWrap w:val="false"/>
          </w:tcPr>
          <w:p>
            <w:pPr>
              <w:pStyle w:val="1038"/>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5" w:type="dxa"/>
            <w:vAlign w:val="center"/>
            <w:textDirection w:val="lrTb"/>
            <w:noWrap w:val="false"/>
          </w:tcPr>
          <w:p>
            <w:pPr>
              <w:pStyle w:val="1038"/>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top"/>
            <w:textDirection w:val="lrTb"/>
            <w:noWrap w:val="false"/>
          </w:tcPr>
          <w:p>
            <w:pPr>
              <w:pStyle w:val="1038"/>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038"/>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1038"/>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48"/>
        </w:trPr>
        <w:tc>
          <w:tcPr>
            <w:tcW w:w="652" w:type="dxa"/>
            <w:vAlign w:val="center"/>
            <w:textDirection w:val="lrTb"/>
            <w:noWrap w:val="false"/>
          </w:tcPr>
          <w:p>
            <w:pPr>
              <w:pStyle w:val="1038"/>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2028" w:type="dxa"/>
            <w:vAlign w:val="center"/>
            <w:textDirection w:val="lrTb"/>
            <w:noWrap w:val="false"/>
          </w:tcPr>
          <w:p>
            <w:pPr>
              <w:pStyle w:val="1038"/>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5" w:type="dxa"/>
            <w:vAlign w:val="center"/>
            <w:textDirection w:val="lrTb"/>
            <w:noWrap w:val="false"/>
          </w:tcPr>
          <w:p>
            <w:pPr>
              <w:pStyle w:val="1038"/>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top"/>
            <w:textDirection w:val="lrTb"/>
            <w:noWrap w:val="false"/>
          </w:tcPr>
          <w:p>
            <w:pPr>
              <w:pStyle w:val="1038"/>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038"/>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1038"/>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17"/>
        </w:trPr>
        <w:tc>
          <w:tcPr>
            <w:tcW w:w="652" w:type="dxa"/>
            <w:vAlign w:val="center"/>
            <w:textDirection w:val="lrTb"/>
            <w:noWrap w:val="false"/>
          </w:tcPr>
          <w:p>
            <w:pPr>
              <w:pStyle w:val="1038"/>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2028" w:type="dxa"/>
            <w:vAlign w:val="center"/>
            <w:textDirection w:val="lrTb"/>
            <w:noWrap w:val="false"/>
          </w:tcPr>
          <w:p>
            <w:pPr>
              <w:pStyle w:val="1038"/>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5" w:type="dxa"/>
            <w:vAlign w:val="center"/>
            <w:textDirection w:val="lrTb"/>
            <w:noWrap w:val="false"/>
          </w:tcPr>
          <w:p>
            <w:pPr>
              <w:pStyle w:val="1038"/>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top"/>
            <w:textDirection w:val="lrTb"/>
            <w:noWrap w:val="false"/>
          </w:tcPr>
          <w:p>
            <w:pPr>
              <w:pStyle w:val="1038"/>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038"/>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1038"/>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17"/>
        </w:trPr>
        <w:tc>
          <w:tcPr>
            <w:tcW w:w="652" w:type="dxa"/>
            <w:vAlign w:val="center"/>
            <w:textDirection w:val="lrTb"/>
            <w:noWrap w:val="false"/>
          </w:tcPr>
          <w:p>
            <w:pPr>
              <w:pStyle w:val="1038"/>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2028" w:type="dxa"/>
            <w:vAlign w:val="center"/>
            <w:textDirection w:val="lrTb"/>
            <w:noWrap w:val="false"/>
          </w:tcPr>
          <w:p>
            <w:pPr>
              <w:pStyle w:val="1038"/>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5" w:type="dxa"/>
            <w:vAlign w:val="center"/>
            <w:textDirection w:val="lrTb"/>
            <w:noWrap w:val="false"/>
          </w:tcPr>
          <w:p>
            <w:pPr>
              <w:pStyle w:val="1038"/>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top"/>
            <w:textDirection w:val="lrTb"/>
            <w:noWrap w:val="false"/>
          </w:tcPr>
          <w:p>
            <w:pPr>
              <w:pStyle w:val="1038"/>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038"/>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1038"/>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17"/>
        </w:trPr>
        <w:tc>
          <w:tcPr>
            <w:tcW w:w="652" w:type="dxa"/>
            <w:vAlign w:val="center"/>
            <w:textDirection w:val="lrTb"/>
            <w:noWrap w:val="false"/>
          </w:tcPr>
          <w:p>
            <w:pPr>
              <w:pStyle w:val="1038"/>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2028" w:type="dxa"/>
            <w:vAlign w:val="center"/>
            <w:textDirection w:val="lrTb"/>
            <w:noWrap w:val="false"/>
          </w:tcPr>
          <w:p>
            <w:pPr>
              <w:pStyle w:val="1038"/>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5" w:type="dxa"/>
            <w:vAlign w:val="center"/>
            <w:textDirection w:val="lrTb"/>
            <w:noWrap w:val="false"/>
          </w:tcPr>
          <w:p>
            <w:pPr>
              <w:pStyle w:val="1038"/>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top"/>
            <w:textDirection w:val="lrTb"/>
            <w:noWrap w:val="false"/>
          </w:tcPr>
          <w:p>
            <w:pPr>
              <w:pStyle w:val="1038"/>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038"/>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1038"/>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17"/>
        </w:trPr>
        <w:tc>
          <w:tcPr>
            <w:tcW w:w="652" w:type="dxa"/>
            <w:vAlign w:val="center"/>
            <w:textDirection w:val="lrTb"/>
            <w:noWrap w:val="false"/>
          </w:tcPr>
          <w:p>
            <w:pPr>
              <w:pStyle w:val="1038"/>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28" w:type="dxa"/>
            <w:vAlign w:val="center"/>
            <w:textDirection w:val="lrTb"/>
            <w:noWrap w:val="false"/>
          </w:tcPr>
          <w:p>
            <w:pPr>
              <w:pStyle w:val="1038"/>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5" w:type="dxa"/>
            <w:vAlign w:val="center"/>
            <w:textDirection w:val="lrTb"/>
            <w:noWrap w:val="false"/>
          </w:tcPr>
          <w:p>
            <w:pPr>
              <w:pStyle w:val="1038"/>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top"/>
            <w:textDirection w:val="lrTb"/>
            <w:noWrap w:val="false"/>
          </w:tcPr>
          <w:p>
            <w:pPr>
              <w:pStyle w:val="1038"/>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038"/>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1038"/>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038"/>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注：此表为表样，行数可自行添加，但表式不变。根据评分标准要求，附上业绩证明材料</w:t>
      </w:r>
      <w:r>
        <w:rPr>
          <w:rFonts w:hint="eastAsia" w:ascii="宋体" w:hAnsi="宋体" w:eastAsia="宋体" w:cs="宋体"/>
          <w:color w:val="000000"/>
          <w:szCs w:val="21"/>
          <w:highlight w:val="none"/>
        </w:rPr>
      </w:r>
      <w:r/>
    </w:p>
    <w:p>
      <w:pPr>
        <w:pStyle w:val="1038"/>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投标人名称（盖章/加盖CA电子公章）：</w:t>
      </w:r>
      <w:r>
        <w:rPr>
          <w:rFonts w:hint="eastAsia" w:ascii="宋体" w:hAnsi="宋体" w:eastAsia="宋体" w:cs="宋体"/>
          <w:color w:val="000000"/>
          <w:sz w:val="24"/>
          <w:szCs w:val="24"/>
          <w:highlight w:val="none"/>
        </w:rPr>
      </w:r>
      <w:r/>
    </w:p>
    <w:p>
      <w:pPr>
        <w:pStyle w:val="1038"/>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03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附：供应商业绩合同复印件</w:t>
      </w:r>
      <w:bookmarkStart w:id="148" w:name="_Toc30172"/>
      <w:r/>
      <w:bookmarkStart w:id="149" w:name="_Toc5435"/>
      <w:r/>
      <w:bookmarkStart w:id="150" w:name="_Toc448874878"/>
      <w:r/>
      <w:bookmarkStart w:id="151" w:name="_Toc3055"/>
      <w:r/>
      <w:bookmarkStart w:id="152" w:name="_Toc17430"/>
      <w:r/>
      <w:bookmarkStart w:id="153" w:name="_Toc478493367"/>
      <w:r>
        <w:rPr>
          <w:rFonts w:hint="eastAsia" w:ascii="宋体" w:hAnsi="宋体" w:eastAsia="宋体" w:cs="宋体"/>
          <w:color w:val="000000"/>
          <w:sz w:val="24"/>
          <w:szCs w:val="24"/>
          <w:highlight w:val="none"/>
        </w:rPr>
      </w:r>
      <w:r/>
    </w:p>
    <w:p>
      <w:pPr>
        <w:pStyle w:val="1038"/>
        <w:jc w:val="center"/>
        <w:rPr>
          <w:rFonts w:hint="eastAsia" w:ascii="宋体" w:hAnsi="宋体" w:eastAsia="宋体" w:cs="宋体"/>
          <w:color w:val="000000"/>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32"/>
          <w:szCs w:val="32"/>
          <w:highlight w:val="none"/>
        </w:rPr>
      </w:r>
      <w:r/>
    </w:p>
    <w:p>
      <w:pPr>
        <w:pStyle w:val="1038"/>
        <w:jc w:val="center"/>
        <w:rPr>
          <w:rFonts w:hint="eastAsia" w:ascii="宋体" w:hAnsi="宋体" w:eastAsia="宋体" w:cs="宋体"/>
          <w:b/>
          <w:bCs/>
          <w:color w:val="000000"/>
          <w:sz w:val="32"/>
          <w:szCs w:val="32"/>
          <w:highlight w:val="none"/>
        </w:rPr>
      </w:pPr>
      <w:r>
        <w:rPr>
          <w:rFonts w:hint="eastAsia" w:ascii="宋体" w:hAnsi="宋体" w:eastAsia="宋体" w:cs="宋体"/>
          <w:color w:val="000000"/>
          <w:sz w:val="32"/>
          <w:szCs w:val="32"/>
          <w:highlight w:val="none"/>
        </w:rPr>
        <w:t xml:space="preserve">8.项目实施方案</w:t>
      </w:r>
      <w:bookmarkEnd w:id="148"/>
      <w:r/>
      <w:bookmarkEnd w:id="149"/>
      <w:r/>
      <w:bookmarkEnd w:id="150"/>
      <w:r/>
      <w:bookmarkEnd w:id="151"/>
      <w:r/>
      <w:bookmarkEnd w:id="152"/>
      <w:r/>
      <w:bookmarkEnd w:id="153"/>
      <w:r>
        <w:rPr>
          <w:rFonts w:hint="eastAsia" w:ascii="宋体" w:hAnsi="宋体" w:eastAsia="宋体" w:cs="宋体"/>
          <w:b/>
          <w:bCs/>
          <w:color w:val="000000"/>
          <w:sz w:val="32"/>
          <w:szCs w:val="32"/>
          <w:highlight w:val="none"/>
        </w:rPr>
      </w:r>
      <w:r/>
    </w:p>
    <w:p>
      <w:pPr>
        <w:pStyle w:val="1038"/>
        <w:ind w:left="2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本项应包含且不限于下列内容：</w:t>
      </w:r>
      <w:r>
        <w:rPr>
          <w:rFonts w:hint="eastAsia" w:ascii="宋体" w:hAnsi="宋体" w:eastAsia="宋体" w:cs="宋体"/>
          <w:color w:val="000000"/>
          <w:sz w:val="24"/>
          <w:szCs w:val="24"/>
          <w:highlight w:val="none"/>
        </w:rPr>
      </w:r>
      <w:r/>
    </w:p>
    <w:p>
      <w:pPr>
        <w:pStyle w:val="1038"/>
        <w:numPr>
          <w:ilvl w:val="0"/>
          <w:numId w:val="45"/>
        </w:numPr>
        <w:ind w:left="2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人员配备方案；</w:t>
      </w:r>
      <w:r>
        <w:rPr>
          <w:rFonts w:hint="eastAsia" w:ascii="宋体" w:hAnsi="宋体" w:eastAsia="宋体" w:cs="宋体"/>
          <w:color w:val="000000"/>
          <w:sz w:val="24"/>
          <w:szCs w:val="24"/>
          <w:highlight w:val="none"/>
        </w:rPr>
      </w:r>
      <w:r/>
    </w:p>
    <w:p>
      <w:pPr>
        <w:pStyle w:val="1038"/>
        <w:numPr>
          <w:ilvl w:val="0"/>
          <w:numId w:val="45"/>
        </w:numPr>
        <w:ind w:left="2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服务方案；</w:t>
      </w:r>
      <w:r>
        <w:rPr>
          <w:rFonts w:hint="eastAsia" w:ascii="宋体" w:hAnsi="宋体" w:eastAsia="宋体" w:cs="宋体"/>
          <w:color w:val="000000"/>
          <w:sz w:val="24"/>
          <w:szCs w:val="24"/>
          <w:highlight w:val="none"/>
        </w:rPr>
      </w:r>
      <w:r/>
    </w:p>
    <w:p>
      <w:pPr>
        <w:pStyle w:val="1038"/>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8"/>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8"/>
        <w:ind w:left="21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投标人名称（盖章/加盖CA电子公章）：</w:t>
      </w:r>
      <w:r>
        <w:rPr>
          <w:rFonts w:hint="eastAsia" w:ascii="宋体" w:hAnsi="宋体" w:eastAsia="宋体" w:cs="宋体"/>
          <w:color w:val="000000"/>
          <w:sz w:val="24"/>
          <w:szCs w:val="24"/>
          <w:highlight w:val="none"/>
        </w:rPr>
      </w:r>
      <w:r/>
    </w:p>
    <w:p>
      <w:pPr>
        <w:pStyle w:val="1038"/>
        <w:ind w:left="21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03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8"/>
        <w:jc w:val="center"/>
        <w:rPr>
          <w:rFonts w:hint="eastAsia" w:ascii="宋体" w:hAnsi="宋体" w:eastAsia="宋体" w:cs="宋体"/>
          <w:color w:val="000000"/>
          <w:highlight w:val="none"/>
        </w:rPr>
      </w:pPr>
      <w:r/>
      <w:bookmarkStart w:id="154" w:name="_Toc8684"/>
      <w:r/>
      <w:bookmarkStart w:id="155" w:name="_Toc9040"/>
      <w:r>
        <w:rPr>
          <w:rFonts w:hint="eastAsia" w:ascii="宋体" w:hAnsi="宋体" w:eastAsia="宋体" w:cs="宋体"/>
          <w:color w:val="000000"/>
          <w:highlight w:val="none"/>
        </w:rPr>
        <w:br w:type="page" w:clear="all"/>
      </w:r>
      <w:bookmarkStart w:id="156" w:name="_Toc1628"/>
      <w:r>
        <w:rPr>
          <w:rFonts w:hint="eastAsia" w:ascii="宋体" w:hAnsi="宋体" w:eastAsia="宋体" w:cs="宋体"/>
          <w:color w:val="000000"/>
          <w:sz w:val="32"/>
          <w:szCs w:val="32"/>
          <w:highlight w:val="none"/>
        </w:rPr>
        <w:t xml:space="preserve">9.人员配备、资质及人员管理</w:t>
      </w:r>
      <w:bookmarkEnd w:id="154"/>
      <w:r/>
      <w:bookmarkEnd w:id="156"/>
      <w:r>
        <w:rPr>
          <w:rFonts w:hint="eastAsia" w:ascii="宋体" w:hAnsi="宋体" w:eastAsia="宋体" w:cs="宋体"/>
          <w:color w:val="000000"/>
          <w:highlight w:val="none"/>
        </w:rPr>
      </w:r>
      <w:r/>
    </w:p>
    <w:p>
      <w:pPr>
        <w:pStyle w:val="1038"/>
        <w:ind w:firstLine="465"/>
        <w:spacing w:before="4"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人员配备一览表</w:t>
      </w:r>
      <w:r>
        <w:rPr>
          <w:rFonts w:hint="eastAsia" w:ascii="宋体" w:hAnsi="宋体" w:eastAsia="宋体" w:cs="宋体"/>
          <w:color w:val="000000"/>
          <w:sz w:val="24"/>
          <w:szCs w:val="24"/>
          <w:highlight w:val="none"/>
        </w:rPr>
      </w:r>
      <w:r/>
    </w:p>
    <w:tbl>
      <w:tblPr>
        <w:tblpPr w:horzAnchor="page" w:tblpX="1241" w:vertAnchor="text" w:tblpY="375" w:leftFromText="180" w:topFromText="0" w:rightFromText="180" w:bottomFromText="0"/>
        <w:tblW w:w="93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1047"/>
        <w:gridCol w:w="2038"/>
        <w:gridCol w:w="868"/>
        <w:gridCol w:w="1010"/>
        <w:gridCol w:w="1758"/>
        <w:gridCol w:w="1904"/>
      </w:tblGrid>
      <w:tr>
        <w:trPr>
          <w:trHeight w:val="90"/>
        </w:trPr>
        <w:tc>
          <w:tcPr>
            <w:tcW w:w="715"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047"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姓名</w:t>
            </w:r>
            <w:r>
              <w:rPr>
                <w:rFonts w:hint="eastAsia" w:ascii="宋体" w:hAnsi="宋体" w:eastAsia="宋体" w:cs="宋体"/>
                <w:color w:val="000000"/>
                <w:sz w:val="24"/>
                <w:szCs w:val="24"/>
                <w:highlight w:val="none"/>
              </w:rPr>
            </w:r>
            <w:r/>
          </w:p>
        </w:tc>
        <w:tc>
          <w:tcPr>
            <w:tcW w:w="2038"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在本项目中担任的职务</w:t>
            </w:r>
            <w:r>
              <w:rPr>
                <w:rFonts w:hint="eastAsia" w:ascii="宋体" w:hAnsi="宋体" w:eastAsia="宋体" w:cs="宋体"/>
                <w:color w:val="000000"/>
                <w:sz w:val="24"/>
                <w:szCs w:val="24"/>
                <w:highlight w:val="none"/>
              </w:rPr>
            </w:r>
            <w:r/>
          </w:p>
        </w:tc>
        <w:tc>
          <w:tcPr>
            <w:tcW w:w="868"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岗位职称</w:t>
            </w:r>
            <w:r>
              <w:rPr>
                <w:rFonts w:hint="eastAsia" w:ascii="宋体" w:hAnsi="宋体" w:eastAsia="宋体" w:cs="宋体"/>
                <w:color w:val="000000"/>
                <w:sz w:val="24"/>
                <w:szCs w:val="24"/>
                <w:highlight w:val="none"/>
              </w:rPr>
            </w:r>
            <w:r/>
          </w:p>
        </w:tc>
        <w:tc>
          <w:tcPr>
            <w:tcW w:w="1010"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年龄</w:t>
            </w:r>
            <w:r>
              <w:rPr>
                <w:rFonts w:hint="eastAsia" w:ascii="宋体" w:hAnsi="宋体" w:eastAsia="宋体" w:cs="宋体"/>
                <w:color w:val="000000"/>
                <w:sz w:val="24"/>
                <w:szCs w:val="24"/>
                <w:highlight w:val="none"/>
              </w:rPr>
            </w:r>
            <w:r/>
          </w:p>
        </w:tc>
        <w:tc>
          <w:tcPr>
            <w:tcW w:w="1758"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身份证号码</w:t>
            </w:r>
            <w:r>
              <w:rPr>
                <w:rFonts w:hint="eastAsia" w:ascii="宋体" w:hAnsi="宋体" w:eastAsia="宋体" w:cs="宋体"/>
                <w:color w:val="000000"/>
                <w:sz w:val="24"/>
                <w:szCs w:val="24"/>
                <w:highlight w:val="none"/>
              </w:rPr>
            </w:r>
            <w:r/>
          </w:p>
        </w:tc>
        <w:tc>
          <w:tcPr>
            <w:tcW w:w="1904"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主要资历、经验</w:t>
            </w:r>
            <w:r>
              <w:rPr>
                <w:rFonts w:hint="eastAsia" w:ascii="宋体" w:hAnsi="宋体" w:eastAsia="宋体" w:cs="宋体"/>
                <w:color w:val="000000"/>
                <w:sz w:val="24"/>
                <w:szCs w:val="24"/>
                <w:highlight w:val="none"/>
              </w:rPr>
            </w:r>
            <w:r/>
          </w:p>
        </w:tc>
      </w:tr>
      <w:tr>
        <w:trPr>
          <w:cantSplit/>
          <w:trHeight w:val="90"/>
        </w:trPr>
        <w:tc>
          <w:tcPr>
            <w:tcW w:w="715"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047"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2038" w:type="dxa"/>
            <w:vAlign w:val="center"/>
            <w:textDirection w:val="lrTb"/>
            <w:noWrap w:val="false"/>
          </w:tcPr>
          <w:p>
            <w:pPr>
              <w:pStyle w:val="1038"/>
              <w:jc w:val="center"/>
              <w:spacing w:before="4" w:line="520" w:lineRule="exact"/>
              <w:widowControl/>
              <w:rPr>
                <w:rFonts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项目负责人（项目经理）</w:t>
            </w:r>
            <w:r>
              <w:rPr>
                <w:rFonts w:ascii="宋体" w:hAnsi="宋体" w:eastAsia="宋体" w:cs="宋体"/>
                <w:color w:val="000000"/>
                <w:sz w:val="24"/>
                <w:szCs w:val="24"/>
                <w:highlight w:val="none"/>
              </w:rPr>
            </w:r>
            <w:r/>
          </w:p>
        </w:tc>
        <w:tc>
          <w:tcPr>
            <w:tcW w:w="868"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010" w:type="dxa"/>
            <w:vAlign w:val="top"/>
            <w:textDirection w:val="lrTb"/>
            <w:noWrap w:val="false"/>
          </w:tcPr>
          <w:p>
            <w:pPr>
              <w:pStyle w:val="1038"/>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758"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904"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r>
      <w:tr>
        <w:trPr>
          <w:cantSplit/>
          <w:trHeight w:val="90"/>
        </w:trPr>
        <w:tc>
          <w:tcPr>
            <w:tcW w:w="715"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047"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2038" w:type="dxa"/>
            <w:vAlign w:val="center"/>
            <w:textDirection w:val="lrTb"/>
            <w:noWrap w:val="false"/>
          </w:tcPr>
          <w:p>
            <w:pPr>
              <w:pStyle w:val="1038"/>
              <w:jc w:val="center"/>
              <w:spacing w:before="4" w:line="520" w:lineRule="exact"/>
              <w:widowControl/>
              <w:rPr>
                <w:rFonts w:ascii="宋体" w:hAnsi="宋体" w:eastAsia="宋体" w:cs="宋体"/>
                <w:color w:val="000000"/>
                <w:sz w:val="24"/>
                <w:szCs w:val="24"/>
                <w:highlight w:val="none"/>
              </w:rPr>
              <w:framePr w:vAnchor="text" w:hAnchor="page" w:x="1241" w:y="375"/>
            </w:pPr>
            <w:r>
              <w:rPr>
                <w:rFonts w:ascii="宋体" w:hAnsi="宋体" w:eastAsia="宋体" w:cs="宋体"/>
                <w:color w:val="000000"/>
                <w:sz w:val="24"/>
                <w:szCs w:val="24"/>
                <w:highlight w:val="none"/>
              </w:rPr>
            </w:r>
            <w:r/>
          </w:p>
        </w:tc>
        <w:tc>
          <w:tcPr>
            <w:tcW w:w="868"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010" w:type="dxa"/>
            <w:vAlign w:val="top"/>
            <w:textDirection w:val="lrTb"/>
            <w:noWrap w:val="false"/>
          </w:tcPr>
          <w:p>
            <w:pPr>
              <w:pStyle w:val="1038"/>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758"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904"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r>
      <w:tr>
        <w:trPr>
          <w:cantSplit/>
          <w:trHeight w:val="90"/>
        </w:trPr>
        <w:tc>
          <w:tcPr>
            <w:tcW w:w="715"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047"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2038"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868"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010" w:type="dxa"/>
            <w:vAlign w:val="top"/>
            <w:textDirection w:val="lrTb"/>
            <w:noWrap w:val="false"/>
          </w:tcPr>
          <w:p>
            <w:pPr>
              <w:pStyle w:val="1038"/>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758"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904"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r>
      <w:tr>
        <w:trPr>
          <w:cantSplit/>
          <w:trHeight w:val="90"/>
        </w:trPr>
        <w:tc>
          <w:tcPr>
            <w:tcW w:w="715"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047"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2038"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868"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010" w:type="dxa"/>
            <w:vAlign w:val="top"/>
            <w:textDirection w:val="lrTb"/>
            <w:noWrap w:val="false"/>
          </w:tcPr>
          <w:p>
            <w:pPr>
              <w:pStyle w:val="1038"/>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758"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904"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r>
      <w:tr>
        <w:trPr>
          <w:cantSplit/>
          <w:trHeight w:val="90"/>
        </w:trPr>
        <w:tc>
          <w:tcPr>
            <w:tcW w:w="715"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047"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2038"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868"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010" w:type="dxa"/>
            <w:vAlign w:val="top"/>
            <w:textDirection w:val="lrTb"/>
            <w:noWrap w:val="false"/>
          </w:tcPr>
          <w:p>
            <w:pPr>
              <w:pStyle w:val="1038"/>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758"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904"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r>
      <w:tr>
        <w:trPr>
          <w:cantSplit/>
          <w:trHeight w:val="90"/>
        </w:trPr>
        <w:tc>
          <w:tcPr>
            <w:tcW w:w="715"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1047"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2038"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868"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010" w:type="dxa"/>
            <w:vAlign w:val="top"/>
            <w:textDirection w:val="lrTb"/>
            <w:noWrap w:val="false"/>
          </w:tcPr>
          <w:p>
            <w:pPr>
              <w:pStyle w:val="1038"/>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758"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904"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r>
    </w:tbl>
    <w:p>
      <w:pPr>
        <w:pStyle w:val="1038"/>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注：此表为表样，行数可自行添加，但表式不变。</w:t>
      </w:r>
      <w:r>
        <w:rPr>
          <w:rFonts w:hint="eastAsia" w:ascii="宋体" w:hAnsi="宋体" w:eastAsia="宋体" w:cs="宋体"/>
          <w:color w:val="000000"/>
          <w:szCs w:val="21"/>
          <w:highlight w:val="none"/>
        </w:rPr>
      </w:r>
      <w:r/>
    </w:p>
    <w:p>
      <w:pPr>
        <w:pStyle w:val="1038"/>
        <w:ind w:firstLine="7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投标人名称（盖章/加盖CA电子公章）：</w:t>
      </w:r>
      <w:r>
        <w:rPr>
          <w:rFonts w:hint="eastAsia" w:ascii="宋体" w:hAnsi="宋体" w:eastAsia="宋体" w:cs="宋体"/>
          <w:color w:val="000000"/>
          <w:sz w:val="24"/>
          <w:szCs w:val="24"/>
          <w:highlight w:val="none"/>
        </w:rPr>
      </w:r>
      <w:r/>
    </w:p>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bookmarkEnd w:id="122"/>
      <w:r/>
      <w:bookmarkEnd w:id="155"/>
      <w:r>
        <w:rPr>
          <w:rFonts w:hint="eastAsia" w:ascii="宋体" w:hAnsi="宋体" w:eastAsia="宋体" w:cs="宋体"/>
          <w:color w:val="000000"/>
          <w:sz w:val="24"/>
          <w:szCs w:val="24"/>
          <w:highlight w:val="none"/>
        </w:rPr>
      </w:r>
      <w:r/>
    </w:p>
    <w:p>
      <w:pPr>
        <w:pStyle w:val="1038"/>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038"/>
        <w:jc w:val="center"/>
        <w:rPr>
          <w:rFonts w:hint="eastAsia" w:ascii="宋体" w:hAnsi="宋体" w:eastAsia="宋体" w:cs="宋体"/>
          <w:color w:val="000000"/>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32"/>
          <w:szCs w:val="32"/>
          <w:highlight w:val="none"/>
        </w:rPr>
      </w:r>
      <w:r/>
    </w:p>
    <w:p>
      <w:pPr>
        <w:pStyle w:val="1038"/>
        <w:jc w:val="center"/>
        <w:rPr>
          <w:rFonts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10.相关承诺</w:t>
      </w:r>
      <w:r>
        <w:rPr>
          <w:rFonts w:ascii="宋体" w:hAnsi="宋体" w:eastAsia="宋体" w:cs="宋体"/>
          <w:color w:val="000000"/>
          <w:sz w:val="32"/>
          <w:szCs w:val="32"/>
          <w:highlight w:val="none"/>
        </w:rPr>
      </w:r>
      <w:r/>
    </w:p>
    <w:p>
      <w:pPr>
        <w:pStyle w:val="1038"/>
        <w:ind w:firstLine="480"/>
        <w:spacing w:before="0" w:after="0" w:line="44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（投标人认为需要提供的与本次</w:t>
      </w:r>
      <w:r>
        <w:rPr>
          <w:rFonts w:hint="eastAsia" w:ascii="宋体" w:hAnsi="宋体" w:eastAsia="宋体" w:cs="宋体"/>
          <w:color w:val="000000"/>
          <w:sz w:val="24"/>
          <w:szCs w:val="24"/>
          <w:highlight w:val="none"/>
        </w:rPr>
        <w:t xml:space="preserve">招标采购需求中</w:t>
      </w:r>
      <w:r>
        <w:rPr>
          <w:rFonts w:hint="eastAsia" w:ascii="宋体" w:hAnsi="宋体" w:eastAsia="宋体" w:cs="宋体"/>
          <w:color w:val="000000"/>
          <w:sz w:val="24"/>
          <w:szCs w:val="24"/>
          <w:highlight w:val="none"/>
          <w:lang w:val="zh-CN"/>
        </w:rPr>
        <w:t xml:space="preserve">有关的</w:t>
      </w:r>
      <w:r>
        <w:rPr>
          <w:rFonts w:hint="eastAsia" w:ascii="宋体" w:hAnsi="宋体" w:eastAsia="宋体" w:cs="宋体"/>
          <w:color w:val="000000"/>
          <w:sz w:val="24"/>
          <w:szCs w:val="24"/>
          <w:highlight w:val="none"/>
        </w:rPr>
        <w:t xml:space="preserve">承诺</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1038"/>
        <w:ind w:firstLine="480"/>
        <w:spacing w:before="0" w:after="0" w:line="44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1038"/>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038"/>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038"/>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11.其他材料</w:t>
      </w:r>
      <w:r>
        <w:rPr>
          <w:rFonts w:hint="eastAsia" w:ascii="宋体" w:hAnsi="宋体" w:eastAsia="宋体" w:cs="宋体"/>
          <w:color w:val="000000"/>
          <w:sz w:val="32"/>
          <w:szCs w:val="32"/>
          <w:highlight w:val="none"/>
        </w:rPr>
      </w:r>
      <w:r/>
    </w:p>
    <w:p>
      <w:pPr>
        <w:pStyle w:val="1038"/>
        <w:ind w:firstLine="480"/>
        <w:spacing w:before="0" w:after="0" w:line="440" w:lineRule="exact"/>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zh-CN"/>
        </w:rPr>
        <w:t xml:space="preserve">（投标人认为需要提供的与本次</w:t>
      </w:r>
      <w:r>
        <w:rPr>
          <w:rFonts w:hint="eastAsia" w:ascii="宋体" w:hAnsi="宋体" w:eastAsia="宋体" w:cs="宋体"/>
          <w:color w:val="000000"/>
          <w:sz w:val="24"/>
          <w:szCs w:val="24"/>
          <w:highlight w:val="none"/>
        </w:rPr>
        <w:t xml:space="preserve">招标</w:t>
      </w:r>
      <w:r>
        <w:rPr>
          <w:rFonts w:hint="eastAsia" w:ascii="宋体" w:hAnsi="宋体" w:eastAsia="宋体" w:cs="宋体"/>
          <w:color w:val="000000"/>
          <w:sz w:val="24"/>
          <w:szCs w:val="24"/>
          <w:highlight w:val="none"/>
          <w:lang w:val="zh-CN"/>
        </w:rPr>
        <w:t xml:space="preserve">有关的其他材料）</w:t>
      </w:r>
      <w:r>
        <w:rPr>
          <w:rFonts w:hint="eastAsia" w:ascii="宋体" w:hAnsi="宋体" w:eastAsia="宋体" w:cs="宋体"/>
          <w:bCs/>
          <w:color w:val="000000"/>
          <w:sz w:val="24"/>
          <w:szCs w:val="24"/>
          <w:highlight w:val="none"/>
        </w:rPr>
      </w:r>
      <w:r/>
    </w:p>
    <w:sectPr>
      <w:footnotePr/>
      <w:endnotePr/>
      <w:type w:val="nextPage"/>
      <w:pgSz w:w="11906" w:h="16838" w:orient="portrait"/>
      <w:pgMar w:top="1440" w:right="1080" w:bottom="1440" w:left="1080"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华文细黑">
    <w:panose1 w:val="02010600040101010101"/>
  </w:font>
  <w:font w:name="汉仪大黑简">
    <w:panose1 w:val="020B0503020202020204"/>
  </w:font>
  <w:font w:name="楷体">
    <w:panose1 w:val="02010609060101010101"/>
  </w:font>
  <w:font w:name="Wingdings">
    <w:panose1 w:val="05000000000000000000"/>
  </w:font>
  <w:font w:name="华文楷体">
    <w:panose1 w:val="02010600040101010101"/>
  </w:font>
  <w:font w:name="方正仿宋简体">
    <w:panose1 w:val="020B0503020202020204"/>
  </w:font>
  <w:font w:name="Tahoma">
    <w:panose1 w:val="020B0604030504040204"/>
  </w:font>
  <w:font w:name="Courier New">
    <w:panose1 w:val="02070309020205020404"/>
  </w:font>
  <w:font w:name="楷体_GB2312">
    <w:panose1 w:val="02010609060101010101"/>
  </w:font>
  <w:font w:name="ˎ̥">
    <w:panose1 w:val="020B0503020202020204"/>
  </w:font>
  <w:font w:name="Cambria">
    <w:panose1 w:val="02040503050406030204"/>
  </w:font>
  <w:font w:name="Verdana">
    <w:panose1 w:val="020B0604030504040204"/>
  </w:font>
  <w:font w:name="仿宋_GB2312">
    <w:panose1 w:val="02010609060101010101"/>
  </w:font>
  <w:font w:name="幼圆">
    <w:panose1 w:val="02010509060101010101"/>
  </w:font>
  <w:font w:name="黑体">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Georgia">
    <w:panose1 w:val="02040502050405020303"/>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pPr>
    <w:r/>
    <w:r/>
  </w:p>
  <w:p>
    <w:pPr>
      <w:pStyle w:val="103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pPr>
    <w:r/>
    <w:r/>
  </w:p>
  <w:p>
    <w:pPr>
      <w:pStyle w:val="103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pPr>
    <w:r/>
    <w:r/>
  </w:p>
  <w:p>
    <w:pPr>
      <w:pStyle w:val="103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330200" cy="41529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330200" cy="415290"/>
                      </a:xfrm>
                      <a:prstGeom prst="rect">
                        <a:avLst/>
                      </a:prstGeom>
                      <a:noFill/>
                      <a:ln>
                        <a:noFill/>
                      </a:ln>
                    </wps:spPr>
                    <wps:txbx>
                      <w:txbxContent>
                        <w:p>
                          <w:pPr>
                            <w:pStyle w:val="1090"/>
                            <w:tabs>
                              <w:tab w:val="clear" w:pos="4153" w:leader="none"/>
                              <w:tab w:val="clear" w:pos="8306" w:leader="none"/>
                            </w:tabs>
                            <w:rPr>
                              <w:sz w:val="24"/>
                              <w:szCs w:val="28"/>
                            </w:rPr>
                          </w:pPr>
                          <w:r>
                            <w:rPr>
                              <w:sz w:val="24"/>
                              <w:szCs w:val="28"/>
                            </w:rPr>
                            <w:fldChar w:fldCharType="begin"/>
                          </w:r>
                          <w:r>
                            <w:rPr>
                              <w:sz w:val="24"/>
                              <w:szCs w:val="28"/>
                            </w:rPr>
                            <w:instrText xml:space="preserve"> PAGE  \* MERGEFORMAT </w:instrText>
                          </w:r>
                          <w:r>
                            <w:rPr>
                              <w:sz w:val="24"/>
                              <w:szCs w:val="28"/>
                            </w:rPr>
                            <w:fldChar w:fldCharType="separate"/>
                          </w:r>
                          <w:r>
                            <w:rPr>
                              <w:sz w:val="24"/>
                              <w:szCs w:val="28"/>
                            </w:rPr>
                            <w:t xml:space="preserve">- 38 -</w:t>
                          </w:r>
                          <w:r>
                            <w:rPr>
                              <w:sz w:val="24"/>
                              <w:szCs w:val="28"/>
                            </w:rPr>
                            <w:fldChar w:fldCharType="end"/>
                          </w:r>
                          <w:r>
                            <w:rPr>
                              <w:sz w:val="24"/>
                              <w:szCs w:val="28"/>
                            </w:rPr>
                          </w:r>
                          <w:r/>
                        </w:p>
                        <w:p>
                          <w:pPr>
                            <w:pStyle w:val="1038"/>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26.0pt;height:32.7pt;mso-wrap-distance-left:9.0pt;mso-wrap-distance-top:0.0pt;mso-wrap-distance-right:9.0pt;mso-wrap-distance-bottom:0.0pt;visibility:visible;" filled="f" stroked="f">
              <v:textbox inset="0,0,0,0">
                <w:txbxContent>
                  <w:p>
                    <w:pPr>
                      <w:pStyle w:val="1090"/>
                      <w:tabs>
                        <w:tab w:val="clear" w:pos="4153" w:leader="none"/>
                        <w:tab w:val="clear" w:pos="8306" w:leader="none"/>
                      </w:tabs>
                      <w:rPr>
                        <w:sz w:val="24"/>
                        <w:szCs w:val="28"/>
                      </w:rPr>
                    </w:pPr>
                    <w:r>
                      <w:rPr>
                        <w:sz w:val="24"/>
                        <w:szCs w:val="28"/>
                      </w:rPr>
                      <w:fldChar w:fldCharType="begin"/>
                    </w:r>
                    <w:r>
                      <w:rPr>
                        <w:sz w:val="24"/>
                        <w:szCs w:val="28"/>
                      </w:rPr>
                      <w:instrText xml:space="preserve"> PAGE  \* MERGEFORMAT </w:instrText>
                    </w:r>
                    <w:r>
                      <w:rPr>
                        <w:sz w:val="24"/>
                        <w:szCs w:val="28"/>
                      </w:rPr>
                      <w:fldChar w:fldCharType="separate"/>
                    </w:r>
                    <w:r>
                      <w:rPr>
                        <w:sz w:val="24"/>
                        <w:szCs w:val="28"/>
                      </w:rPr>
                      <w:t xml:space="preserve">- 38 -</w:t>
                    </w:r>
                    <w:r>
                      <w:rPr>
                        <w:sz w:val="24"/>
                        <w:szCs w:val="28"/>
                      </w:rPr>
                      <w:fldChar w:fldCharType="end"/>
                    </w:r>
                    <w:r>
                      <w:rPr>
                        <w:sz w:val="24"/>
                        <w:szCs w:val="28"/>
                      </w:rPr>
                    </w:r>
                    <w:r/>
                  </w:p>
                  <w:p>
                    <w:pPr>
                      <w:pStyle w:val="1038"/>
                    </w:pPr>
                    <w:r/>
                    <w:r/>
                  </w:p>
                </w:txbxContent>
              </v:textbox>
            </v:shape>
          </w:pict>
        </mc:Fallback>
      </mc:AlternateContent>
    </w:r>
    <w:r/>
  </w:p>
  <w:p>
    <w:pPr>
      <w:pStyle w:val="103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jc w:val="right"/>
      <w:rPr>
        <w:b/>
        <w:bCs/>
        <w:color w:val="2f5496"/>
        <w:sz w:val="16"/>
        <w:szCs w:val="15"/>
      </w:rPr>
    </w:pPr>
    <w:r>
      <w:rPr>
        <w:rFonts w:hint="eastAsia"/>
        <w:b/>
        <w:bCs/>
        <w:color w:val="2f5496"/>
        <w:sz w:val="16"/>
        <w:szCs w:val="15"/>
      </w:rPr>
      <w:t xml:space="preserve">·</w:t>
    </w:r>
    <w:r>
      <w:rPr>
        <w:b/>
        <w:bCs/>
        <w:color w:val="2f5496"/>
        <w:sz w:val="16"/>
        <w:szCs w:val="15"/>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pPr>
    <w:r/>
    <w:r/>
  </w:p>
  <w:p>
    <w:pPr>
      <w:pStyle w:val="103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jc w:val="right"/>
      <w:rPr>
        <w:rFonts w:hint="eastAsia" w:eastAsia="宋体"/>
        <w:b/>
        <w:bCs/>
        <w:color w:val="243f61"/>
        <w:sz w:val="15"/>
        <w:szCs w:val="13"/>
        <w:lang w:eastAsia="zh-CN"/>
      </w:rPr>
    </w:pPr>
    <w:r/>
    <w:bookmarkStart w:id="157" w:name="OLE_LINK11"/>
    <w:r>
      <w:rPr>
        <w:b/>
        <w:bCs/>
        <w:color w:val="243f61"/>
        <w:sz w:val="20"/>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-48259</wp:posOffset>
              </wp:positionH>
              <wp:positionV relativeFrom="paragraph">
                <wp:posOffset>42545</wp:posOffset>
              </wp:positionV>
              <wp:extent cx="1862455" cy="24003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862455" cy="240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8241;o:allowoverlap:true;o:allowincell:true;mso-position-horizontal-relative:text;margin-left:-3.8pt;mso-position-horizontal:absolute;mso-position-vertical-relative:text;margin-top:3.3pt;mso-position-vertical:absolute;width:146.7pt;height:18.9pt;mso-wrap-distance-left:9.0pt;mso-wrap-distance-top:0.0pt;mso-wrap-distance-right:9.0pt;mso-wrap-distance-bottom:0.0pt;" stroked="f">
              <v:path textboxrect="0,0,0,0"/>
              <v:imagedata r:id="rId1" o:title=""/>
            </v:shape>
          </w:pict>
        </mc:Fallback>
      </mc:AlternateContent>
    </w:r>
    <w:r>
      <w:rPr>
        <w:rFonts w:hint="eastAsia"/>
        <w:b/>
        <w:bCs/>
        <w:color w:val="243f61"/>
        <w:sz w:val="20"/>
        <w:szCs w:val="18"/>
      </w:rPr>
      <w:t xml:space="preserve"> </w:t>
    </w:r>
    <w:r>
      <w:rPr>
        <w:rFonts w:hint="eastAsia" w:ascii="宋体" w:hAnsi="宋体" w:eastAsia="宋体" w:cs="宋体"/>
        <w:b/>
        <w:bCs/>
        <w:color w:val="243f61"/>
        <w:sz w:val="22"/>
        <w:szCs w:val="21"/>
      </w:rPr>
      <w:t xml:space="preserve">项目编号：</w:t>
    </w:r>
    <w:bookmarkEnd w:id="157"/>
    <w:r>
      <w:rPr>
        <w:rFonts w:hint="eastAsia" w:ascii="宋体" w:hAnsi="宋体" w:eastAsia="宋体" w:cs="宋体"/>
        <w:b/>
        <w:bCs/>
        <w:color w:val="243f61"/>
        <w:sz w:val="22"/>
        <w:szCs w:val="21"/>
        <w:lang w:eastAsia="zh-CN"/>
      </w:rPr>
      <w:t xml:space="preserve">0675-266JOC004415</w:t>
    </w:r>
    <w:r>
      <w:rPr>
        <w:rFonts w:hint="eastAsia" w:eastAsia="宋体"/>
        <w:b/>
        <w:bCs/>
        <w:color w:val="243f61"/>
        <w:sz w:val="15"/>
        <w:szCs w:val="13"/>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03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22.2.%1"/>
      <w:lvlJc w:val="left"/>
      <w:pPr>
        <w:pStyle w:val="1038"/>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103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7"/>
      <w:numFmt w:val="decimal"/>
      <w:isLgl w:val="false"/>
      <w:suff w:val="nothing"/>
      <w:lvlText w:val="%1、"/>
      <w:lvlJc w:val="left"/>
      <w:pPr>
        <w:pStyle w:val="1038"/>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22.2.3.%1"/>
      <w:lvlJc w:val="left"/>
      <w:pPr>
        <w:pStyle w:val="103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26.%1"/>
      <w:lvlJc w:val="left"/>
      <w:pPr>
        <w:pStyle w:val="103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pStyle w:val="1038"/>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5.%1"/>
      <w:lvlJc w:val="left"/>
      <w:pPr>
        <w:pStyle w:val="103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21.%1"/>
      <w:lvlJc w:val="left"/>
      <w:pPr>
        <w:pStyle w:val="103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8.%1"/>
      <w:lvlJc w:val="left"/>
      <w:pPr>
        <w:pStyle w:val="103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103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nothing"/>
      <w:lvlText w:val="%1、"/>
      <w:lvlJc w:val="left"/>
      <w:pPr>
        <w:pStyle w:val="103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pStyle w:val="1038"/>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1"/>
      <w:numFmt w:val="decimal"/>
      <w:isLgl w:val="false"/>
      <w:suff w:val="nothing"/>
      <w:lvlText w:val="%1、"/>
      <w:lvlJc w:val="left"/>
      <w:pPr>
        <w:pStyle w:val="1038"/>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space"/>
      <w:lvlText w:val="18.%1"/>
      <w:lvlJc w:val="left"/>
      <w:pPr>
        <w:pStyle w:val="1038"/>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2"/>
      <w:numFmt w:val="decimal"/>
      <w:isLgl w:val="false"/>
      <w:suff w:val="space"/>
      <w:lvlText w:val="4.%1"/>
      <w:lvlJc w:val="left"/>
      <w:pPr>
        <w:pStyle w:val="103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space"/>
      <w:lvlText w:val="16.%1"/>
      <w:lvlJc w:val="left"/>
      <w:pPr>
        <w:pStyle w:val="103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chineseCounting"/>
      <w:isLgl w:val="false"/>
      <w:suff w:val="nothing"/>
      <w:lvlText w:val="%1、"/>
      <w:lvlJc w:val="left"/>
      <w:pPr>
        <w:pStyle w:val="103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2"/>
      <w:numFmt w:val="decimal"/>
      <w:isLgl w:val="false"/>
      <w:suff w:val="tab"/>
      <w:lvlText w:val="%1."/>
      <w:lvlJc w:val="left"/>
      <w:pPr>
        <w:pStyle w:val="103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bullet"/>
      <w:pStyle w:val="1352"/>
      <w:isLgl w:val="false"/>
      <w:suff w:val="tab"/>
      <w:lvlText w:val=""/>
      <w:lvlJc w:val="left"/>
      <w:pPr>
        <w:pStyle w:val="1038"/>
        <w:ind w:left="420" w:hanging="420"/>
        <w:tabs>
          <w:tab w:val="num" w:pos="420" w:leader="none"/>
        </w:tabs>
      </w:pPr>
      <w:rPr>
        <w:rFonts w:ascii="Wingdings" w:hAnsi="Wingdings"/>
      </w:rPr>
    </w:lvl>
    <w:lvl w:ilvl="1">
      <w:start w:val="1"/>
      <w:numFmt w:val="decimal"/>
      <w:isLgl w:val="false"/>
      <w:suff w:val="tab"/>
      <w:lvlText w:val="（%2）"/>
      <w:lvlJc w:val="left"/>
      <w:pPr>
        <w:pStyle w:val="1038"/>
        <w:ind w:left="1500" w:hanging="1080"/>
        <w:tabs>
          <w:tab w:val="num" w:pos="1500" w:leader="none"/>
        </w:tabs>
      </w:pPr>
      <w:rPr>
        <w:rFonts w:hint="eastAsia"/>
      </w:rPr>
    </w:lvl>
    <w:lvl w:ilvl="2">
      <w:start w:val="1"/>
      <w:numFmt w:val="decimal"/>
      <w:isLgl w:val="false"/>
      <w:suff w:val="tab"/>
      <w:lvlText w:val="（%3）"/>
      <w:lvlJc w:val="left"/>
      <w:pPr>
        <w:pStyle w:val="1038"/>
        <w:ind w:left="1560" w:hanging="720"/>
        <w:tabs>
          <w:tab w:val="num" w:pos="1560" w:leader="none"/>
        </w:tabs>
      </w:pPr>
      <w:rPr>
        <w:rFonts w:hint="eastAsia"/>
      </w:rPr>
    </w:lvl>
    <w:lvl w:ilvl="3">
      <w:start w:val="1"/>
      <w:numFmt w:val="decimal"/>
      <w:isLgl w:val="false"/>
      <w:suff w:val="tab"/>
      <w:lvlText w:val="%4."/>
      <w:lvlJc w:val="left"/>
      <w:pPr>
        <w:pStyle w:val="1038"/>
        <w:ind w:left="1680" w:hanging="420"/>
        <w:tabs>
          <w:tab w:val="num" w:pos="1680" w:leader="none"/>
        </w:tabs>
      </w:pPr>
    </w:lvl>
    <w:lvl w:ilvl="4">
      <w:start w:val="1"/>
      <w:numFmt w:val="lowerLetter"/>
      <w:isLgl w:val="false"/>
      <w:suff w:val="tab"/>
      <w:lvlText w:val="%5)"/>
      <w:lvlJc w:val="left"/>
      <w:pPr>
        <w:pStyle w:val="1038"/>
        <w:ind w:left="2100" w:hanging="420"/>
        <w:tabs>
          <w:tab w:val="num" w:pos="2100" w:leader="none"/>
        </w:tabs>
      </w:pPr>
    </w:lvl>
    <w:lvl w:ilvl="5">
      <w:start w:val="1"/>
      <w:numFmt w:val="lowerRoman"/>
      <w:isLgl w:val="false"/>
      <w:suff w:val="tab"/>
      <w:lvlText w:val="%6."/>
      <w:lvlJc w:val="right"/>
      <w:pPr>
        <w:pStyle w:val="1038"/>
        <w:ind w:left="2520" w:hanging="420"/>
        <w:tabs>
          <w:tab w:val="num" w:pos="2520" w:leader="none"/>
        </w:tabs>
      </w:pPr>
    </w:lvl>
    <w:lvl w:ilvl="6">
      <w:start w:val="1"/>
      <w:numFmt w:val="decimal"/>
      <w:isLgl w:val="false"/>
      <w:suff w:val="tab"/>
      <w:lvlText w:val="%7."/>
      <w:lvlJc w:val="left"/>
      <w:pPr>
        <w:pStyle w:val="1038"/>
        <w:ind w:left="2940" w:hanging="420"/>
        <w:tabs>
          <w:tab w:val="num" w:pos="2940" w:leader="none"/>
        </w:tabs>
      </w:pPr>
    </w:lvl>
    <w:lvl w:ilvl="7">
      <w:start w:val="1"/>
      <w:numFmt w:val="lowerLetter"/>
      <w:isLgl w:val="false"/>
      <w:suff w:val="tab"/>
      <w:lvlText w:val="%8)"/>
      <w:lvlJc w:val="left"/>
      <w:pPr>
        <w:pStyle w:val="1038"/>
        <w:ind w:left="3360" w:hanging="420"/>
        <w:tabs>
          <w:tab w:val="num" w:pos="3360" w:leader="none"/>
        </w:tabs>
      </w:pPr>
    </w:lvl>
    <w:lvl w:ilvl="8">
      <w:start w:val="1"/>
      <w:numFmt w:val="lowerRoman"/>
      <w:isLgl w:val="false"/>
      <w:suff w:val="tab"/>
      <w:lvlText w:val="%9."/>
      <w:lvlJc w:val="right"/>
      <w:pPr>
        <w:pStyle w:val="1038"/>
        <w:ind w:left="3780" w:hanging="420"/>
        <w:tabs>
          <w:tab w:val="num" w:pos="3780" w:leader="none"/>
        </w:tabs>
      </w:pPr>
    </w:lvl>
  </w:abstractNum>
  <w:abstractNum w:abstractNumId="20">
    <w:multiLevelType w:val="hybridMultilevel"/>
    <w:lvl w:ilvl="0">
      <w:start w:val="1"/>
      <w:numFmt w:val="decimal"/>
      <w:pStyle w:val="1420"/>
      <w:isLgl w:val="false"/>
      <w:suff w:val="tab"/>
      <w:lvlText w:val="(%1)"/>
      <w:lvlJc w:val="left"/>
      <w:pPr>
        <w:pStyle w:val="1038"/>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1038"/>
        <w:ind w:left="840" w:hanging="420"/>
        <w:tabs>
          <w:tab w:val="num" w:pos="840" w:leader="none"/>
        </w:tabs>
      </w:pPr>
    </w:lvl>
    <w:lvl w:ilvl="2">
      <w:start w:val="1"/>
      <w:numFmt w:val="lowerRoman"/>
      <w:isLgl w:val="false"/>
      <w:suff w:val="tab"/>
      <w:lvlText w:val="%3."/>
      <w:lvlJc w:val="right"/>
      <w:pPr>
        <w:pStyle w:val="1038"/>
        <w:ind w:left="1260" w:hanging="420"/>
        <w:tabs>
          <w:tab w:val="num" w:pos="1260" w:leader="none"/>
        </w:tabs>
      </w:pPr>
    </w:lvl>
    <w:lvl w:ilvl="3">
      <w:start w:val="1"/>
      <w:numFmt w:val="decimal"/>
      <w:isLgl w:val="false"/>
      <w:suff w:val="tab"/>
      <w:lvlText w:val="%4."/>
      <w:lvlJc w:val="left"/>
      <w:pPr>
        <w:pStyle w:val="1038"/>
        <w:ind w:left="1680" w:hanging="420"/>
        <w:tabs>
          <w:tab w:val="num" w:pos="1680" w:leader="none"/>
        </w:tabs>
      </w:pPr>
    </w:lvl>
    <w:lvl w:ilvl="4">
      <w:start w:val="1"/>
      <w:numFmt w:val="lowerLetter"/>
      <w:pStyle w:val="1404"/>
      <w:isLgl w:val="false"/>
      <w:suff w:val="tab"/>
      <w:lvlText w:val="%5)"/>
      <w:lvlJc w:val="left"/>
      <w:pPr>
        <w:pStyle w:val="1038"/>
        <w:ind w:left="2100" w:hanging="420"/>
        <w:tabs>
          <w:tab w:val="num" w:pos="2100" w:leader="none"/>
        </w:tabs>
      </w:pPr>
    </w:lvl>
    <w:lvl w:ilvl="5">
      <w:start w:val="1"/>
      <w:numFmt w:val="lowerRoman"/>
      <w:isLgl w:val="false"/>
      <w:suff w:val="tab"/>
      <w:lvlText w:val="%6."/>
      <w:lvlJc w:val="right"/>
      <w:pPr>
        <w:pStyle w:val="1038"/>
        <w:ind w:left="2520" w:hanging="420"/>
        <w:tabs>
          <w:tab w:val="num" w:pos="2520" w:leader="none"/>
        </w:tabs>
      </w:pPr>
    </w:lvl>
    <w:lvl w:ilvl="6">
      <w:start w:val="1"/>
      <w:numFmt w:val="decimal"/>
      <w:isLgl w:val="false"/>
      <w:suff w:val="tab"/>
      <w:lvlText w:val="%7."/>
      <w:lvlJc w:val="left"/>
      <w:pPr>
        <w:pStyle w:val="1038"/>
        <w:ind w:left="2940" w:hanging="420"/>
        <w:tabs>
          <w:tab w:val="num" w:pos="2940" w:leader="none"/>
        </w:tabs>
      </w:pPr>
    </w:lvl>
    <w:lvl w:ilvl="7">
      <w:start w:val="1"/>
      <w:numFmt w:val="lowerLetter"/>
      <w:isLgl w:val="false"/>
      <w:suff w:val="tab"/>
      <w:lvlText w:val="%8)"/>
      <w:lvlJc w:val="left"/>
      <w:pPr>
        <w:pStyle w:val="1038"/>
        <w:ind w:left="3360" w:hanging="420"/>
        <w:tabs>
          <w:tab w:val="num" w:pos="3360" w:leader="none"/>
        </w:tabs>
      </w:pPr>
    </w:lvl>
    <w:lvl w:ilvl="8">
      <w:start w:val="1"/>
      <w:numFmt w:val="lowerRoman"/>
      <w:isLgl w:val="false"/>
      <w:suff w:val="tab"/>
      <w:lvlText w:val="%9."/>
      <w:lvlJc w:val="right"/>
      <w:pPr>
        <w:pStyle w:val="1038"/>
        <w:ind w:left="3780" w:hanging="420"/>
        <w:tabs>
          <w:tab w:val="num" w:pos="3780" w:leader="none"/>
        </w:tabs>
      </w:pPr>
    </w:lvl>
  </w:abstractNum>
  <w:abstractNum w:abstractNumId="21">
    <w:multiLevelType w:val="hybridMultilevel"/>
    <w:lvl w:ilvl="0">
      <w:start w:val="1"/>
      <w:numFmt w:val="bullet"/>
      <w:pStyle w:val="1301"/>
      <w:isLgl w:val="false"/>
      <w:suff w:val="tab"/>
      <w:lvlText w:val=""/>
      <w:lvlJc w:val="left"/>
      <w:pPr>
        <w:pStyle w:val="1038"/>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pStyle w:val="1263"/>
      <w:isLgl w:val="false"/>
      <w:suff w:val="tab"/>
      <w:lvlText w:val="%1"/>
      <w:lvlJc w:val="left"/>
      <w:pPr>
        <w:pStyle w:val="1038"/>
        <w:ind w:left="567" w:hanging="567"/>
        <w:tabs>
          <w:tab w:val="num" w:pos="567" w:leader="none"/>
        </w:tabs>
      </w:pPr>
      <w:rPr>
        <w:rFonts w:hint="eastAsia"/>
      </w:rPr>
    </w:lvl>
    <w:lvl w:ilvl="1">
      <w:start w:val="1"/>
      <w:numFmt w:val="decimal"/>
      <w:pStyle w:val="1372"/>
      <w:isLgl w:val="false"/>
      <w:suff w:val="tab"/>
      <w:lvlText w:val="%1.%2"/>
      <w:lvlJc w:val="left"/>
      <w:pPr>
        <w:pStyle w:val="1038"/>
        <w:ind w:left="567" w:hanging="283"/>
        <w:tabs>
          <w:tab w:val="num" w:pos="1004" w:leader="none"/>
        </w:tabs>
      </w:pPr>
      <w:rPr>
        <w:rFonts w:hint="eastAsia"/>
      </w:rPr>
    </w:lvl>
    <w:lvl w:ilvl="2">
      <w:start w:val="1"/>
      <w:numFmt w:val="decimal"/>
      <w:pStyle w:val="1373"/>
      <w:isLgl w:val="false"/>
      <w:suff w:val="tab"/>
      <w:lvlText w:val="%1.%2.%3"/>
      <w:lvlJc w:val="left"/>
      <w:pPr>
        <w:pStyle w:val="1038"/>
        <w:ind w:left="1134" w:hanging="567"/>
        <w:tabs>
          <w:tab w:val="num" w:pos="1647" w:leader="none"/>
        </w:tabs>
      </w:pPr>
      <w:rPr>
        <w:rFonts w:hint="eastAsia"/>
      </w:rPr>
    </w:lvl>
    <w:lvl w:ilvl="3">
      <w:start w:val="1"/>
      <w:numFmt w:val="decimal"/>
      <w:isLgl w:val="false"/>
      <w:suff w:val="tab"/>
      <w:lvlText w:val="%1.%2.%3.%4"/>
      <w:lvlJc w:val="left"/>
      <w:pPr>
        <w:pStyle w:val="1038"/>
        <w:ind w:left="2851" w:hanging="708"/>
        <w:tabs>
          <w:tab w:val="num" w:pos="3223" w:leader="none"/>
        </w:tabs>
      </w:pPr>
      <w:rPr>
        <w:rFonts w:hint="eastAsia"/>
      </w:rPr>
    </w:lvl>
    <w:lvl w:ilvl="4">
      <w:start w:val="1"/>
      <w:numFmt w:val="decimal"/>
      <w:isLgl w:val="false"/>
      <w:suff w:val="tab"/>
      <w:lvlText w:val="%1.%2.%3.%4.%5"/>
      <w:lvlJc w:val="left"/>
      <w:pPr>
        <w:pStyle w:val="1038"/>
        <w:ind w:left="3418" w:hanging="850"/>
        <w:tabs>
          <w:tab w:val="num" w:pos="3648" w:leader="none"/>
        </w:tabs>
      </w:pPr>
      <w:rPr>
        <w:rFonts w:hint="eastAsia"/>
      </w:rPr>
    </w:lvl>
    <w:lvl w:ilvl="5">
      <w:start w:val="1"/>
      <w:numFmt w:val="decimal"/>
      <w:isLgl w:val="false"/>
      <w:suff w:val="tab"/>
      <w:lvlText w:val="%1.%2.%3.%4.%5.%6"/>
      <w:lvlJc w:val="left"/>
      <w:pPr>
        <w:pStyle w:val="1038"/>
        <w:ind w:left="4127" w:hanging="1134"/>
        <w:tabs>
          <w:tab w:val="num" w:pos="4433" w:leader="none"/>
        </w:tabs>
      </w:pPr>
      <w:rPr>
        <w:rFonts w:hint="eastAsia"/>
      </w:rPr>
    </w:lvl>
    <w:lvl w:ilvl="6">
      <w:start w:val="1"/>
      <w:numFmt w:val="decimal"/>
      <w:isLgl w:val="false"/>
      <w:suff w:val="tab"/>
      <w:lvlText w:val="%1.%2.%3.%4.%5.%6.%7"/>
      <w:lvlJc w:val="left"/>
      <w:pPr>
        <w:pStyle w:val="1038"/>
        <w:ind w:left="4694" w:hanging="1276"/>
        <w:tabs>
          <w:tab w:val="num" w:pos="4858" w:leader="none"/>
        </w:tabs>
      </w:pPr>
      <w:rPr>
        <w:rFonts w:hint="eastAsia"/>
      </w:rPr>
    </w:lvl>
    <w:lvl w:ilvl="7">
      <w:start w:val="1"/>
      <w:numFmt w:val="decimal"/>
      <w:isLgl w:val="false"/>
      <w:suff w:val="tab"/>
      <w:lvlText w:val="%1.%2.%3.%4.%5.%6.%7.%8"/>
      <w:lvlJc w:val="left"/>
      <w:pPr>
        <w:pStyle w:val="1038"/>
        <w:ind w:left="5261" w:hanging="1418"/>
        <w:tabs>
          <w:tab w:val="num" w:pos="5643" w:leader="none"/>
        </w:tabs>
      </w:pPr>
      <w:rPr>
        <w:rFonts w:hint="eastAsia"/>
      </w:rPr>
    </w:lvl>
    <w:lvl w:ilvl="8">
      <w:start w:val="1"/>
      <w:numFmt w:val="decimal"/>
      <w:isLgl w:val="false"/>
      <w:suff w:val="tab"/>
      <w:lvlText w:val="%1.%2.%3.%4.%5.%6.%7.%8.%9"/>
      <w:lvlJc w:val="left"/>
      <w:pPr>
        <w:pStyle w:val="1038"/>
        <w:ind w:left="5969" w:hanging="1700"/>
        <w:tabs>
          <w:tab w:val="num" w:pos="6429" w:leader="none"/>
        </w:tabs>
      </w:pPr>
      <w:rPr>
        <w:rFonts w:hint="eastAsia"/>
      </w:rPr>
    </w:lvl>
  </w:abstractNum>
  <w:abstractNum w:abstractNumId="23">
    <w:multiLevelType w:val="hybridMultilevel"/>
    <w:lvl w:ilvl="0">
      <w:start w:val="7"/>
      <w:numFmt w:val="decimal"/>
      <w:isLgl w:val="false"/>
      <w:suff w:val="tab"/>
      <w:lvlText w:val="%1."/>
      <w:lvlJc w:val="left"/>
      <w:pPr>
        <w:pStyle w:val="103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pStyle w:val="103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chineseCounting"/>
      <w:isLgl w:val="false"/>
      <w:suff w:val="nothing"/>
      <w:lvlText w:val="（%1）"/>
      <w:lvlJc w:val="left"/>
      <w:pPr>
        <w:pStyle w:val="1038"/>
        <w:ind w:left="0" w:firstLine="48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space"/>
      <w:lvlText w:val="24.%1"/>
      <w:lvlJc w:val="left"/>
      <w:pPr>
        <w:pStyle w:val="103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space"/>
      <w:lvlText w:val="22.%1"/>
      <w:lvlJc w:val="left"/>
      <w:pPr>
        <w:pStyle w:val="1038"/>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space"/>
      <w:lvlText w:val="23.%1"/>
      <w:lvlJc w:val="left"/>
      <w:pPr>
        <w:pStyle w:val="103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space"/>
      <w:lvlText w:val="25.%1"/>
      <w:lvlJc w:val="left"/>
      <w:pPr>
        <w:pStyle w:val="103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space"/>
      <w:lvlText w:val="22.%1"/>
      <w:lvlJc w:val="left"/>
      <w:pPr>
        <w:pStyle w:val="1038"/>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6"/>
      <w:numFmt w:val="decimal"/>
      <w:isLgl w:val="false"/>
      <w:suff w:val="nothing"/>
      <w:lvlText w:val="%1、"/>
      <w:lvlJc w:val="left"/>
      <w:pPr>
        <w:pStyle w:val="1038"/>
        <w:ind w:left="653"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nothing"/>
      <w:lvlText w:val="（%1）"/>
      <w:lvlJc w:val="left"/>
      <w:pPr>
        <w:pStyle w:val="103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nothing"/>
      <w:lvlText w:val="（%1）"/>
      <w:lvlJc w:val="left"/>
      <w:pPr>
        <w:pStyle w:val="103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space"/>
      <w:lvlText w:val="19.2.%1"/>
      <w:lvlJc w:val="left"/>
      <w:pPr>
        <w:pStyle w:val="103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space"/>
      <w:lvlText w:val="22.2.2.%1"/>
      <w:lvlJc w:val="left"/>
      <w:pPr>
        <w:pStyle w:val="1038"/>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space"/>
      <w:lvlText w:val="19.%1"/>
      <w:lvlJc w:val="left"/>
      <w:pPr>
        <w:pStyle w:val="1038"/>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space"/>
      <w:lvlText w:val="19.1.%1"/>
      <w:lvlJc w:val="left"/>
      <w:pPr>
        <w:pStyle w:val="103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space"/>
      <w:lvlText w:val="6.%1"/>
      <w:lvlJc w:val="left"/>
      <w:pPr>
        <w:pStyle w:val="103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space"/>
      <w:lvlText w:val="11.%1"/>
      <w:lvlJc w:val="left"/>
      <w:pPr>
        <w:pStyle w:val="103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space"/>
      <w:lvlText w:val="20.%1"/>
      <w:lvlJc w:val="left"/>
      <w:pPr>
        <w:pStyle w:val="103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space"/>
      <w:lvlText w:val="2.%1"/>
      <w:lvlJc w:val="left"/>
      <w:pPr>
        <w:pStyle w:val="103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space"/>
      <w:lvlText w:val="3.%1"/>
      <w:lvlJc w:val="left"/>
      <w:pPr>
        <w:pStyle w:val="103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nothing"/>
      <w:lvlText w:val="（%1）"/>
      <w:lvlJc w:val="left"/>
      <w:pPr>
        <w:pStyle w:val="1038"/>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space"/>
      <w:lvlText w:val="14.%1"/>
      <w:lvlJc w:val="left"/>
      <w:pPr>
        <w:pStyle w:val="103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2"/>
  </w:num>
  <w:num w:numId="2">
    <w:abstractNumId w:val="21"/>
  </w:num>
  <w:num w:numId="3">
    <w:abstractNumId w:val="19"/>
  </w:num>
  <w:num w:numId="4">
    <w:abstractNumId w:val="20"/>
  </w:num>
  <w:num w:numId="5">
    <w:abstractNumId w:val="6"/>
  </w:num>
  <w:num w:numId="6">
    <w:abstractNumId w:val="12"/>
  </w:num>
  <w:num w:numId="7">
    <w:abstractNumId w:val="41"/>
  </w:num>
  <w:num w:numId="8">
    <w:abstractNumId w:val="42"/>
  </w:num>
  <w:num w:numId="9">
    <w:abstractNumId w:val="0"/>
  </w:num>
  <w:num w:numId="10">
    <w:abstractNumId w:val="2"/>
  </w:num>
  <w:num w:numId="11">
    <w:abstractNumId w:val="15"/>
  </w:num>
  <w:num w:numId="12">
    <w:abstractNumId w:val="7"/>
  </w:num>
  <w:num w:numId="13">
    <w:abstractNumId w:val="31"/>
  </w:num>
  <w:num w:numId="14">
    <w:abstractNumId w:val="38"/>
  </w:num>
  <w:num w:numId="15">
    <w:abstractNumId w:val="9"/>
  </w:num>
  <w:num w:numId="16">
    <w:abstractNumId w:val="32"/>
  </w:num>
  <w:num w:numId="17">
    <w:abstractNumId w:val="39"/>
  </w:num>
  <w:num w:numId="18">
    <w:abstractNumId w:val="44"/>
  </w:num>
  <w:num w:numId="19">
    <w:abstractNumId w:val="16"/>
  </w:num>
  <w:num w:numId="20">
    <w:abstractNumId w:val="3"/>
  </w:num>
  <w:num w:numId="21">
    <w:abstractNumId w:val="14"/>
  </w:num>
  <w:num w:numId="22">
    <w:abstractNumId w:val="36"/>
  </w:num>
  <w:num w:numId="23">
    <w:abstractNumId w:val="37"/>
  </w:num>
  <w:num w:numId="24">
    <w:abstractNumId w:val="34"/>
  </w:num>
  <w:num w:numId="25">
    <w:abstractNumId w:val="40"/>
  </w:num>
  <w:num w:numId="26">
    <w:abstractNumId w:val="13"/>
  </w:num>
  <w:num w:numId="27">
    <w:abstractNumId w:val="8"/>
  </w:num>
  <w:num w:numId="28">
    <w:abstractNumId w:val="30"/>
  </w:num>
  <w:num w:numId="29">
    <w:abstractNumId w:val="27"/>
  </w:num>
  <w:num w:numId="30">
    <w:abstractNumId w:val="25"/>
  </w:num>
  <w:num w:numId="31">
    <w:abstractNumId w:val="1"/>
  </w:num>
  <w:num w:numId="32">
    <w:abstractNumId w:val="43"/>
  </w:num>
  <w:num w:numId="33">
    <w:abstractNumId w:val="35"/>
  </w:num>
  <w:num w:numId="34">
    <w:abstractNumId w:val="33"/>
  </w:num>
  <w:num w:numId="35">
    <w:abstractNumId w:val="4"/>
  </w:num>
  <w:num w:numId="36">
    <w:abstractNumId w:val="28"/>
  </w:num>
  <w:num w:numId="37">
    <w:abstractNumId w:val="10"/>
  </w:num>
  <w:num w:numId="38">
    <w:abstractNumId w:val="26"/>
  </w:num>
  <w:num w:numId="39">
    <w:abstractNumId w:val="29"/>
  </w:num>
  <w:num w:numId="40">
    <w:abstractNumId w:val="5"/>
  </w:num>
  <w:num w:numId="41">
    <w:abstractNumId w:val="17"/>
  </w:num>
  <w:num w:numId="42">
    <w:abstractNumId w:val="11"/>
  </w:num>
  <w:num w:numId="43">
    <w:abstractNumId w:val="18"/>
  </w:num>
  <w:num w:numId="44">
    <w:abstractNumId w:val="23"/>
  </w:num>
  <w:num w:numId="4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2">
    <w:name w:val="Heading 1"/>
    <w:basedOn w:val="1038"/>
    <w:next w:val="1038"/>
    <w:link w:val="863"/>
    <w:uiPriority w:val="9"/>
    <w:qFormat/>
    <w:pPr>
      <w:keepLines/>
      <w:keepNext/>
      <w:spacing w:before="480" w:after="200"/>
      <w:outlineLvl w:val="0"/>
    </w:pPr>
    <w:rPr>
      <w:rFonts w:ascii="Arial" w:hAnsi="Arial" w:eastAsia="Arial" w:cs="Arial"/>
      <w:sz w:val="40"/>
      <w:szCs w:val="40"/>
    </w:rPr>
  </w:style>
  <w:style w:type="character" w:styleId="863">
    <w:name w:val="Heading 1 Char"/>
    <w:link w:val="862"/>
    <w:uiPriority w:val="9"/>
    <w:rPr>
      <w:rFonts w:ascii="Arial" w:hAnsi="Arial" w:eastAsia="Arial" w:cs="Arial"/>
      <w:sz w:val="40"/>
      <w:szCs w:val="40"/>
    </w:rPr>
  </w:style>
  <w:style w:type="paragraph" w:styleId="864">
    <w:name w:val="Heading 2"/>
    <w:basedOn w:val="1038"/>
    <w:next w:val="1038"/>
    <w:link w:val="865"/>
    <w:uiPriority w:val="9"/>
    <w:unhideWhenUsed/>
    <w:qFormat/>
    <w:pPr>
      <w:keepLines/>
      <w:keepNext/>
      <w:spacing w:before="360" w:after="200"/>
      <w:outlineLvl w:val="1"/>
    </w:pPr>
    <w:rPr>
      <w:rFonts w:ascii="Arial" w:hAnsi="Arial" w:eastAsia="Arial" w:cs="Arial"/>
      <w:sz w:val="34"/>
    </w:rPr>
  </w:style>
  <w:style w:type="character" w:styleId="865">
    <w:name w:val="Heading 2 Char"/>
    <w:link w:val="864"/>
    <w:uiPriority w:val="9"/>
    <w:rPr>
      <w:rFonts w:ascii="Arial" w:hAnsi="Arial" w:eastAsia="Arial" w:cs="Arial"/>
      <w:sz w:val="34"/>
    </w:rPr>
  </w:style>
  <w:style w:type="paragraph" w:styleId="866">
    <w:name w:val="Heading 3"/>
    <w:basedOn w:val="1038"/>
    <w:next w:val="1038"/>
    <w:link w:val="867"/>
    <w:uiPriority w:val="9"/>
    <w:unhideWhenUsed/>
    <w:qFormat/>
    <w:pPr>
      <w:keepLines/>
      <w:keepNext/>
      <w:spacing w:before="320" w:after="200"/>
      <w:outlineLvl w:val="2"/>
    </w:pPr>
    <w:rPr>
      <w:rFonts w:ascii="Arial" w:hAnsi="Arial" w:eastAsia="Arial" w:cs="Arial"/>
      <w:sz w:val="30"/>
      <w:szCs w:val="30"/>
    </w:rPr>
  </w:style>
  <w:style w:type="character" w:styleId="867">
    <w:name w:val="Heading 3 Char"/>
    <w:link w:val="866"/>
    <w:uiPriority w:val="9"/>
    <w:rPr>
      <w:rFonts w:ascii="Arial" w:hAnsi="Arial" w:eastAsia="Arial" w:cs="Arial"/>
      <w:sz w:val="30"/>
      <w:szCs w:val="30"/>
    </w:rPr>
  </w:style>
  <w:style w:type="paragraph" w:styleId="868">
    <w:name w:val="Heading 4"/>
    <w:basedOn w:val="1038"/>
    <w:next w:val="1038"/>
    <w:link w:val="869"/>
    <w:uiPriority w:val="9"/>
    <w:unhideWhenUsed/>
    <w:qFormat/>
    <w:pPr>
      <w:keepLines/>
      <w:keepNext/>
      <w:spacing w:before="320" w:after="200"/>
      <w:outlineLvl w:val="3"/>
    </w:pPr>
    <w:rPr>
      <w:rFonts w:ascii="Arial" w:hAnsi="Arial" w:eastAsia="Arial" w:cs="Arial"/>
      <w:b/>
      <w:bCs/>
      <w:sz w:val="26"/>
      <w:szCs w:val="26"/>
    </w:rPr>
  </w:style>
  <w:style w:type="character" w:styleId="869">
    <w:name w:val="Heading 4 Char"/>
    <w:link w:val="868"/>
    <w:uiPriority w:val="9"/>
    <w:rPr>
      <w:rFonts w:ascii="Arial" w:hAnsi="Arial" w:eastAsia="Arial" w:cs="Arial"/>
      <w:b/>
      <w:bCs/>
      <w:sz w:val="26"/>
      <w:szCs w:val="26"/>
    </w:rPr>
  </w:style>
  <w:style w:type="paragraph" w:styleId="870">
    <w:name w:val="Heading 5"/>
    <w:basedOn w:val="1038"/>
    <w:next w:val="1038"/>
    <w:link w:val="871"/>
    <w:uiPriority w:val="9"/>
    <w:unhideWhenUsed/>
    <w:qFormat/>
    <w:pPr>
      <w:keepLines/>
      <w:keepNext/>
      <w:spacing w:before="320" w:after="200"/>
      <w:outlineLvl w:val="4"/>
    </w:pPr>
    <w:rPr>
      <w:rFonts w:ascii="Arial" w:hAnsi="Arial" w:eastAsia="Arial" w:cs="Arial"/>
      <w:b/>
      <w:bCs/>
      <w:sz w:val="24"/>
      <w:szCs w:val="24"/>
    </w:rPr>
  </w:style>
  <w:style w:type="character" w:styleId="871">
    <w:name w:val="Heading 5 Char"/>
    <w:link w:val="870"/>
    <w:uiPriority w:val="9"/>
    <w:rPr>
      <w:rFonts w:ascii="Arial" w:hAnsi="Arial" w:eastAsia="Arial" w:cs="Arial"/>
      <w:b/>
      <w:bCs/>
      <w:sz w:val="24"/>
      <w:szCs w:val="24"/>
    </w:rPr>
  </w:style>
  <w:style w:type="paragraph" w:styleId="872">
    <w:name w:val="Heading 6"/>
    <w:basedOn w:val="1038"/>
    <w:next w:val="1038"/>
    <w:link w:val="873"/>
    <w:uiPriority w:val="9"/>
    <w:unhideWhenUsed/>
    <w:qFormat/>
    <w:pPr>
      <w:keepLines/>
      <w:keepNext/>
      <w:spacing w:before="320" w:after="200"/>
      <w:outlineLvl w:val="5"/>
    </w:pPr>
    <w:rPr>
      <w:rFonts w:ascii="Arial" w:hAnsi="Arial" w:eastAsia="Arial" w:cs="Arial"/>
      <w:b/>
      <w:bCs/>
      <w:sz w:val="22"/>
      <w:szCs w:val="22"/>
    </w:rPr>
  </w:style>
  <w:style w:type="character" w:styleId="873">
    <w:name w:val="Heading 6 Char"/>
    <w:link w:val="872"/>
    <w:uiPriority w:val="9"/>
    <w:rPr>
      <w:rFonts w:ascii="Arial" w:hAnsi="Arial" w:eastAsia="Arial" w:cs="Arial"/>
      <w:b/>
      <w:bCs/>
      <w:sz w:val="22"/>
      <w:szCs w:val="22"/>
    </w:rPr>
  </w:style>
  <w:style w:type="paragraph" w:styleId="874">
    <w:name w:val="Heading 7"/>
    <w:basedOn w:val="1038"/>
    <w:next w:val="1038"/>
    <w:link w:val="875"/>
    <w:uiPriority w:val="9"/>
    <w:unhideWhenUsed/>
    <w:qFormat/>
    <w:pPr>
      <w:keepLines/>
      <w:keepNext/>
      <w:spacing w:before="320" w:after="200"/>
      <w:outlineLvl w:val="6"/>
    </w:pPr>
    <w:rPr>
      <w:rFonts w:ascii="Arial" w:hAnsi="Arial" w:eastAsia="Arial" w:cs="Arial"/>
      <w:b/>
      <w:bCs/>
      <w:i/>
      <w:iCs/>
      <w:sz w:val="22"/>
      <w:szCs w:val="22"/>
    </w:rPr>
  </w:style>
  <w:style w:type="character" w:styleId="875">
    <w:name w:val="Heading 7 Char"/>
    <w:link w:val="874"/>
    <w:uiPriority w:val="9"/>
    <w:rPr>
      <w:rFonts w:ascii="Arial" w:hAnsi="Arial" w:eastAsia="Arial" w:cs="Arial"/>
      <w:b/>
      <w:bCs/>
      <w:i/>
      <w:iCs/>
      <w:sz w:val="22"/>
      <w:szCs w:val="22"/>
    </w:rPr>
  </w:style>
  <w:style w:type="paragraph" w:styleId="876">
    <w:name w:val="Heading 8"/>
    <w:basedOn w:val="1038"/>
    <w:next w:val="1038"/>
    <w:link w:val="877"/>
    <w:uiPriority w:val="9"/>
    <w:unhideWhenUsed/>
    <w:qFormat/>
    <w:pPr>
      <w:keepLines/>
      <w:keepNext/>
      <w:spacing w:before="320" w:after="200"/>
      <w:outlineLvl w:val="7"/>
    </w:pPr>
    <w:rPr>
      <w:rFonts w:ascii="Arial" w:hAnsi="Arial" w:eastAsia="Arial" w:cs="Arial"/>
      <w:i/>
      <w:iCs/>
      <w:sz w:val="22"/>
      <w:szCs w:val="22"/>
    </w:rPr>
  </w:style>
  <w:style w:type="character" w:styleId="877">
    <w:name w:val="Heading 8 Char"/>
    <w:link w:val="876"/>
    <w:uiPriority w:val="9"/>
    <w:rPr>
      <w:rFonts w:ascii="Arial" w:hAnsi="Arial" w:eastAsia="Arial" w:cs="Arial"/>
      <w:i/>
      <w:iCs/>
      <w:sz w:val="22"/>
      <w:szCs w:val="22"/>
    </w:rPr>
  </w:style>
  <w:style w:type="paragraph" w:styleId="878">
    <w:name w:val="Heading 9"/>
    <w:basedOn w:val="1038"/>
    <w:next w:val="1038"/>
    <w:link w:val="879"/>
    <w:uiPriority w:val="9"/>
    <w:unhideWhenUsed/>
    <w:qFormat/>
    <w:pPr>
      <w:keepLines/>
      <w:keepNext/>
      <w:spacing w:before="320" w:after="200"/>
      <w:outlineLvl w:val="8"/>
    </w:pPr>
    <w:rPr>
      <w:rFonts w:ascii="Arial" w:hAnsi="Arial" w:eastAsia="Arial" w:cs="Arial"/>
      <w:i/>
      <w:iCs/>
      <w:sz w:val="21"/>
      <w:szCs w:val="21"/>
    </w:rPr>
  </w:style>
  <w:style w:type="character" w:styleId="879">
    <w:name w:val="Heading 9 Char"/>
    <w:link w:val="878"/>
    <w:uiPriority w:val="9"/>
    <w:rPr>
      <w:rFonts w:ascii="Arial" w:hAnsi="Arial" w:eastAsia="Arial" w:cs="Arial"/>
      <w:i/>
      <w:iCs/>
      <w:sz w:val="21"/>
      <w:szCs w:val="21"/>
    </w:rPr>
  </w:style>
  <w:style w:type="paragraph" w:styleId="880">
    <w:name w:val="Title"/>
    <w:basedOn w:val="1038"/>
    <w:next w:val="1038"/>
    <w:link w:val="881"/>
    <w:uiPriority w:val="10"/>
    <w:qFormat/>
    <w:pPr>
      <w:contextualSpacing/>
      <w:spacing w:before="300" w:after="200"/>
    </w:pPr>
    <w:rPr>
      <w:sz w:val="48"/>
      <w:szCs w:val="48"/>
    </w:rPr>
  </w:style>
  <w:style w:type="character" w:styleId="881">
    <w:name w:val="Title Char"/>
    <w:link w:val="880"/>
    <w:uiPriority w:val="10"/>
    <w:rPr>
      <w:sz w:val="48"/>
      <w:szCs w:val="48"/>
    </w:rPr>
  </w:style>
  <w:style w:type="paragraph" w:styleId="882">
    <w:name w:val="Subtitle"/>
    <w:basedOn w:val="1038"/>
    <w:next w:val="1038"/>
    <w:link w:val="883"/>
    <w:uiPriority w:val="11"/>
    <w:qFormat/>
    <w:pPr>
      <w:spacing w:before="200" w:after="200"/>
    </w:pPr>
    <w:rPr>
      <w:sz w:val="24"/>
      <w:szCs w:val="24"/>
    </w:rPr>
  </w:style>
  <w:style w:type="character" w:styleId="883">
    <w:name w:val="Subtitle Char"/>
    <w:link w:val="882"/>
    <w:uiPriority w:val="11"/>
    <w:rPr>
      <w:sz w:val="24"/>
      <w:szCs w:val="24"/>
    </w:rPr>
  </w:style>
  <w:style w:type="paragraph" w:styleId="884">
    <w:name w:val="Quote"/>
    <w:basedOn w:val="1038"/>
    <w:next w:val="1038"/>
    <w:link w:val="885"/>
    <w:uiPriority w:val="29"/>
    <w:qFormat/>
    <w:pPr>
      <w:ind w:left="720" w:right="720"/>
    </w:pPr>
    <w:rPr>
      <w:i/>
    </w:rPr>
  </w:style>
  <w:style w:type="character" w:styleId="885">
    <w:name w:val="Quote Char"/>
    <w:link w:val="884"/>
    <w:uiPriority w:val="29"/>
    <w:rPr>
      <w:i/>
    </w:rPr>
  </w:style>
  <w:style w:type="paragraph" w:styleId="886">
    <w:name w:val="Intense Quote"/>
    <w:basedOn w:val="1038"/>
    <w:next w:val="1038"/>
    <w:link w:val="88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7">
    <w:name w:val="Intense Quote Char"/>
    <w:link w:val="886"/>
    <w:uiPriority w:val="30"/>
    <w:rPr>
      <w:i/>
    </w:rPr>
  </w:style>
  <w:style w:type="paragraph" w:styleId="888">
    <w:name w:val="Header"/>
    <w:basedOn w:val="1038"/>
    <w:link w:val="889"/>
    <w:uiPriority w:val="99"/>
    <w:unhideWhenUsed/>
    <w:pPr>
      <w:spacing w:after="0" w:line="240" w:lineRule="auto"/>
      <w:tabs>
        <w:tab w:val="center" w:pos="7143" w:leader="none"/>
        <w:tab w:val="right" w:pos="14287" w:leader="none"/>
      </w:tabs>
    </w:pPr>
  </w:style>
  <w:style w:type="character" w:styleId="889">
    <w:name w:val="Header Char"/>
    <w:link w:val="888"/>
    <w:uiPriority w:val="99"/>
  </w:style>
  <w:style w:type="paragraph" w:styleId="890">
    <w:name w:val="Footer"/>
    <w:basedOn w:val="1038"/>
    <w:link w:val="893"/>
    <w:uiPriority w:val="99"/>
    <w:unhideWhenUsed/>
    <w:pPr>
      <w:spacing w:after="0" w:line="240" w:lineRule="auto"/>
      <w:tabs>
        <w:tab w:val="center" w:pos="7143" w:leader="none"/>
        <w:tab w:val="right" w:pos="14287" w:leader="none"/>
      </w:tabs>
    </w:pPr>
  </w:style>
  <w:style w:type="character" w:styleId="891">
    <w:name w:val="Footer Char"/>
    <w:link w:val="890"/>
    <w:uiPriority w:val="99"/>
  </w:style>
  <w:style w:type="paragraph" w:styleId="892">
    <w:name w:val="Caption"/>
    <w:basedOn w:val="1038"/>
    <w:next w:val="1038"/>
    <w:uiPriority w:val="35"/>
    <w:semiHidden/>
    <w:unhideWhenUsed/>
    <w:qFormat/>
    <w:pPr>
      <w:spacing w:line="276" w:lineRule="auto"/>
    </w:pPr>
    <w:rPr>
      <w:b/>
      <w:bCs/>
      <w:color w:val="4f81bd" w:themeColor="accent1"/>
      <w:sz w:val="18"/>
      <w:szCs w:val="18"/>
    </w:rPr>
  </w:style>
  <w:style w:type="character" w:styleId="893">
    <w:name w:val="Caption Char"/>
    <w:basedOn w:val="892"/>
    <w:link w:val="890"/>
    <w:uiPriority w:val="99"/>
  </w:style>
  <w:style w:type="table" w:styleId="89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0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0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1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1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1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1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1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2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3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3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3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3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3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3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3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5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5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5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5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6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6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6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6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6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6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6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6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7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7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7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7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7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7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7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8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8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8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9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9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9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9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9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9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9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9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9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9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1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20">
    <w:name w:val="Hyperlink"/>
    <w:uiPriority w:val="99"/>
    <w:unhideWhenUsed/>
    <w:rPr>
      <w:color w:val="0000ff" w:themeColor="hyperlink"/>
      <w:u w:val="single"/>
    </w:rPr>
  </w:style>
  <w:style w:type="paragraph" w:styleId="1021">
    <w:name w:val="footnote text"/>
    <w:basedOn w:val="1038"/>
    <w:link w:val="1022"/>
    <w:uiPriority w:val="99"/>
    <w:semiHidden/>
    <w:unhideWhenUsed/>
    <w:pPr>
      <w:spacing w:after="40" w:line="240" w:lineRule="auto"/>
    </w:pPr>
    <w:rPr>
      <w:sz w:val="18"/>
    </w:rPr>
  </w:style>
  <w:style w:type="character" w:styleId="1022">
    <w:name w:val="Footnote Text Char"/>
    <w:link w:val="1021"/>
    <w:uiPriority w:val="99"/>
    <w:rPr>
      <w:sz w:val="18"/>
    </w:rPr>
  </w:style>
  <w:style w:type="character" w:styleId="1023">
    <w:name w:val="footnote reference"/>
    <w:uiPriority w:val="99"/>
    <w:unhideWhenUsed/>
    <w:rPr>
      <w:vertAlign w:val="superscript"/>
    </w:rPr>
  </w:style>
  <w:style w:type="paragraph" w:styleId="1024">
    <w:name w:val="endnote text"/>
    <w:basedOn w:val="1038"/>
    <w:link w:val="1025"/>
    <w:uiPriority w:val="99"/>
    <w:semiHidden/>
    <w:unhideWhenUsed/>
    <w:pPr>
      <w:spacing w:after="0" w:line="240" w:lineRule="auto"/>
    </w:pPr>
    <w:rPr>
      <w:sz w:val="20"/>
    </w:rPr>
  </w:style>
  <w:style w:type="character" w:styleId="1025">
    <w:name w:val="Endnote Text Char"/>
    <w:link w:val="1024"/>
    <w:uiPriority w:val="99"/>
    <w:rPr>
      <w:sz w:val="20"/>
    </w:rPr>
  </w:style>
  <w:style w:type="character" w:styleId="1026">
    <w:name w:val="endnote reference"/>
    <w:uiPriority w:val="99"/>
    <w:semiHidden/>
    <w:unhideWhenUsed/>
    <w:rPr>
      <w:vertAlign w:val="superscript"/>
    </w:rPr>
  </w:style>
  <w:style w:type="paragraph" w:styleId="1027">
    <w:name w:val="toc 1"/>
    <w:basedOn w:val="1038"/>
    <w:next w:val="1038"/>
    <w:uiPriority w:val="39"/>
    <w:unhideWhenUsed/>
    <w:pPr>
      <w:ind w:left="0" w:right="0" w:firstLine="0"/>
      <w:spacing w:after="57"/>
    </w:pPr>
  </w:style>
  <w:style w:type="paragraph" w:styleId="1028">
    <w:name w:val="toc 2"/>
    <w:basedOn w:val="1038"/>
    <w:next w:val="1038"/>
    <w:uiPriority w:val="39"/>
    <w:unhideWhenUsed/>
    <w:pPr>
      <w:ind w:left="283" w:right="0" w:firstLine="0"/>
      <w:spacing w:after="57"/>
    </w:pPr>
  </w:style>
  <w:style w:type="paragraph" w:styleId="1029">
    <w:name w:val="toc 3"/>
    <w:basedOn w:val="1038"/>
    <w:next w:val="1038"/>
    <w:uiPriority w:val="39"/>
    <w:unhideWhenUsed/>
    <w:pPr>
      <w:ind w:left="567" w:right="0" w:firstLine="0"/>
      <w:spacing w:after="57"/>
    </w:pPr>
  </w:style>
  <w:style w:type="paragraph" w:styleId="1030">
    <w:name w:val="toc 4"/>
    <w:basedOn w:val="1038"/>
    <w:next w:val="1038"/>
    <w:uiPriority w:val="39"/>
    <w:unhideWhenUsed/>
    <w:pPr>
      <w:ind w:left="850" w:right="0" w:firstLine="0"/>
      <w:spacing w:after="57"/>
    </w:pPr>
  </w:style>
  <w:style w:type="paragraph" w:styleId="1031">
    <w:name w:val="toc 5"/>
    <w:basedOn w:val="1038"/>
    <w:next w:val="1038"/>
    <w:uiPriority w:val="39"/>
    <w:unhideWhenUsed/>
    <w:pPr>
      <w:ind w:left="1134" w:right="0" w:firstLine="0"/>
      <w:spacing w:after="57"/>
    </w:pPr>
  </w:style>
  <w:style w:type="paragraph" w:styleId="1032">
    <w:name w:val="toc 6"/>
    <w:basedOn w:val="1038"/>
    <w:next w:val="1038"/>
    <w:uiPriority w:val="39"/>
    <w:unhideWhenUsed/>
    <w:pPr>
      <w:ind w:left="1417" w:right="0" w:firstLine="0"/>
      <w:spacing w:after="57"/>
    </w:pPr>
  </w:style>
  <w:style w:type="paragraph" w:styleId="1033">
    <w:name w:val="toc 7"/>
    <w:basedOn w:val="1038"/>
    <w:next w:val="1038"/>
    <w:uiPriority w:val="39"/>
    <w:unhideWhenUsed/>
    <w:pPr>
      <w:ind w:left="1701" w:right="0" w:firstLine="0"/>
      <w:spacing w:after="57"/>
    </w:pPr>
  </w:style>
  <w:style w:type="paragraph" w:styleId="1034">
    <w:name w:val="toc 8"/>
    <w:basedOn w:val="1038"/>
    <w:next w:val="1038"/>
    <w:uiPriority w:val="39"/>
    <w:unhideWhenUsed/>
    <w:pPr>
      <w:ind w:left="1984" w:right="0" w:firstLine="0"/>
      <w:spacing w:after="57"/>
    </w:pPr>
  </w:style>
  <w:style w:type="paragraph" w:styleId="1035">
    <w:name w:val="toc 9"/>
    <w:basedOn w:val="1038"/>
    <w:next w:val="1038"/>
    <w:uiPriority w:val="39"/>
    <w:unhideWhenUsed/>
    <w:pPr>
      <w:ind w:left="2268" w:right="0" w:firstLine="0"/>
      <w:spacing w:after="57"/>
    </w:pPr>
  </w:style>
  <w:style w:type="paragraph" w:styleId="1036">
    <w:name w:val="TOC Heading"/>
    <w:uiPriority w:val="39"/>
    <w:unhideWhenUsed/>
  </w:style>
  <w:style w:type="paragraph" w:styleId="1037">
    <w:name w:val="table of figures"/>
    <w:basedOn w:val="1038"/>
    <w:next w:val="1038"/>
    <w:uiPriority w:val="99"/>
    <w:unhideWhenUsed/>
    <w:pPr>
      <w:spacing w:after="0" w:afterAutospacing="0"/>
    </w:pPr>
  </w:style>
  <w:style w:type="paragraph" w:styleId="1038" w:default="1">
    <w:name w:val="Normal"/>
    <w:next w:val="1038"/>
    <w:link w:val="1038"/>
    <w:qFormat/>
    <w:pPr>
      <w:jc w:val="both"/>
      <w:spacing w:before="120" w:after="120" w:line="360" w:lineRule="auto"/>
      <w:widowControl w:val="off"/>
    </w:pPr>
    <w:rPr>
      <w:rFonts w:eastAsia="微软雅黑"/>
      <w:sz w:val="21"/>
      <w:lang w:val="en-US" w:eastAsia="zh-CN" w:bidi="ar-SA"/>
    </w:rPr>
  </w:style>
  <w:style w:type="paragraph" w:styleId="1039">
    <w:name w:val="标题 1"/>
    <w:basedOn w:val="1038"/>
    <w:next w:val="1038"/>
    <w:link w:val="1050"/>
    <w:qFormat/>
    <w:pPr>
      <w:ind w:firstLine="1440"/>
      <w:jc w:val="center"/>
      <w:keepNext/>
      <w:spacing w:before="240" w:after="240"/>
      <w:tabs>
        <w:tab w:val="left" w:pos="1440" w:leader="none"/>
        <w:tab w:val="left" w:pos="5670" w:leader="none"/>
      </w:tabs>
      <w:outlineLvl w:val="0"/>
    </w:pPr>
    <w:rPr>
      <w:rFonts w:ascii="黑体"/>
      <w:b/>
      <w:sz w:val="32"/>
      <w:szCs w:val="28"/>
    </w:rPr>
  </w:style>
  <w:style w:type="paragraph" w:styleId="1040">
    <w:name w:val="标题 2"/>
    <w:basedOn w:val="1038"/>
    <w:next w:val="1038"/>
    <w:link w:val="1051"/>
    <w:qFormat/>
    <w:pPr>
      <w:jc w:val="left"/>
      <w:keepLines/>
      <w:keepNext/>
      <w:outlineLvl w:val="1"/>
    </w:pPr>
    <w:rPr>
      <w:rFonts w:ascii="宋体" w:hAnsi="宋体"/>
      <w:b/>
      <w:sz w:val="28"/>
      <w:szCs w:val="24"/>
    </w:rPr>
  </w:style>
  <w:style w:type="paragraph" w:styleId="1041">
    <w:name w:val="标题 3"/>
    <w:basedOn w:val="1038"/>
    <w:next w:val="1038"/>
    <w:link w:val="1052"/>
    <w:qFormat/>
    <w:pPr>
      <w:keepLines/>
      <w:keepNext/>
      <w:spacing w:line="390" w:lineRule="atLeast"/>
      <w:shd w:val="clear" w:color="auto" w:fill="ffffff"/>
      <w:outlineLvl w:val="2"/>
    </w:pPr>
    <w:rPr>
      <w:rFonts w:ascii="宋体" w:hAnsi="宋体"/>
      <w:b/>
      <w:sz w:val="24"/>
      <w:szCs w:val="21"/>
    </w:rPr>
  </w:style>
  <w:style w:type="paragraph" w:styleId="1042">
    <w:name w:val="标题 4"/>
    <w:basedOn w:val="1038"/>
    <w:next w:val="1038"/>
    <w:link w:val="1053"/>
    <w:qFormat/>
    <w:pPr>
      <w:keepLines/>
      <w:keepNext/>
      <w:spacing w:before="120" w:after="120"/>
      <w:outlineLvl w:val="3"/>
    </w:pPr>
    <w:rPr>
      <w:rFonts w:ascii="Arial" w:hAnsi="Arial" w:eastAsia="黑体"/>
      <w:b/>
      <w:sz w:val="28"/>
    </w:rPr>
  </w:style>
  <w:style w:type="paragraph" w:styleId="1043">
    <w:name w:val="标题 5"/>
    <w:basedOn w:val="1038"/>
    <w:next w:val="1055"/>
    <w:link w:val="1054"/>
    <w:qFormat/>
    <w:pPr>
      <w:keepNext/>
      <w:spacing w:before="145" w:after="145"/>
      <w:outlineLvl w:val="4"/>
    </w:pPr>
    <w:rPr>
      <w:rFonts w:ascii="黑体" w:eastAsia="黑体"/>
      <w:b/>
      <w:color w:val="000000"/>
      <w:sz w:val="28"/>
    </w:rPr>
  </w:style>
  <w:style w:type="paragraph" w:styleId="1044">
    <w:name w:val="标题 6"/>
    <w:basedOn w:val="1038"/>
    <w:next w:val="1038"/>
    <w:link w:val="1056"/>
    <w:qFormat/>
    <w:pPr>
      <w:keepLines/>
      <w:keepNext/>
      <w:spacing w:before="240" w:after="64" w:line="320" w:lineRule="auto"/>
      <w:outlineLvl w:val="5"/>
    </w:pPr>
    <w:rPr>
      <w:rFonts w:ascii="Arial" w:hAnsi="Arial" w:eastAsia="黑体"/>
      <w:b/>
      <w:bCs/>
      <w:sz w:val="24"/>
      <w:szCs w:val="24"/>
    </w:rPr>
  </w:style>
  <w:style w:type="paragraph" w:styleId="1045">
    <w:name w:val="标题 7"/>
    <w:basedOn w:val="1038"/>
    <w:next w:val="1038"/>
    <w:link w:val="1057"/>
    <w:qFormat/>
    <w:pPr>
      <w:keepLines/>
      <w:keepNext/>
      <w:spacing w:before="240" w:after="64" w:line="320" w:lineRule="auto"/>
      <w:outlineLvl w:val="6"/>
    </w:pPr>
    <w:rPr>
      <w:rFonts w:eastAsia="宋体"/>
      <w:b/>
      <w:bCs/>
      <w:sz w:val="24"/>
      <w:szCs w:val="24"/>
    </w:rPr>
  </w:style>
  <w:style w:type="paragraph" w:styleId="1046">
    <w:name w:val="标题 8"/>
    <w:basedOn w:val="1038"/>
    <w:next w:val="1038"/>
    <w:link w:val="1058"/>
    <w:qFormat/>
    <w:pPr>
      <w:keepLines/>
      <w:keepNext/>
      <w:spacing w:before="240" w:after="64" w:line="320" w:lineRule="auto"/>
      <w:outlineLvl w:val="7"/>
    </w:pPr>
    <w:rPr>
      <w:rFonts w:ascii="Arial" w:hAnsi="Arial" w:eastAsia="黑体"/>
      <w:sz w:val="24"/>
      <w:szCs w:val="24"/>
    </w:rPr>
  </w:style>
  <w:style w:type="paragraph" w:styleId="1047">
    <w:name w:val="标题 9"/>
    <w:basedOn w:val="1038"/>
    <w:next w:val="1038"/>
    <w:link w:val="1059"/>
    <w:qFormat/>
    <w:pPr>
      <w:keepLines/>
      <w:keepNext/>
      <w:spacing w:before="240" w:after="64" w:line="320" w:lineRule="auto"/>
      <w:outlineLvl w:val="8"/>
    </w:pPr>
    <w:rPr>
      <w:rFonts w:ascii="Arial" w:hAnsi="Arial" w:eastAsia="黑体"/>
      <w:szCs w:val="21"/>
    </w:rPr>
  </w:style>
  <w:style w:type="character" w:styleId="1048">
    <w:name w:val="默认段落字体"/>
    <w:next w:val="1048"/>
    <w:link w:val="1038"/>
    <w:rPr>
      <w:rFonts w:ascii="Times New Roman" w:hAnsi="Times New Roman" w:eastAsia="宋体" w:cs="Times New Roman"/>
    </w:rPr>
  </w:style>
  <w:style w:type="table" w:styleId="1049">
    <w:name w:val="普通表格"/>
    <w:next w:val="1049"/>
    <w:link w:val="1038"/>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character" w:styleId="1050">
    <w:name w:val="标题 1 字符"/>
    <w:next w:val="1050"/>
    <w:link w:val="1039"/>
    <w:rPr>
      <w:rFonts w:ascii="黑体" w:hAnsi="Times New Roman" w:eastAsia="微软雅黑" w:cs="Times New Roman"/>
      <w:b/>
      <w:sz w:val="32"/>
      <w:szCs w:val="28"/>
    </w:rPr>
  </w:style>
  <w:style w:type="character" w:styleId="1051">
    <w:name w:val="标题 2 字符"/>
    <w:next w:val="1051"/>
    <w:link w:val="1040"/>
    <w:rPr>
      <w:rFonts w:ascii="宋体" w:hAnsi="宋体" w:eastAsia="微软雅黑" w:cs="Times New Roman"/>
      <w:b/>
      <w:sz w:val="28"/>
      <w:szCs w:val="24"/>
    </w:rPr>
  </w:style>
  <w:style w:type="character" w:styleId="1052">
    <w:name w:val="标题 3 字符"/>
    <w:next w:val="1052"/>
    <w:link w:val="1041"/>
    <w:rPr>
      <w:rFonts w:ascii="宋体" w:hAnsi="宋体" w:eastAsia="微软雅黑" w:cs="Times New Roman"/>
      <w:b/>
      <w:sz w:val="24"/>
      <w:szCs w:val="21"/>
      <w:shd w:val="clear" w:color="auto" w:fill="ffffff"/>
    </w:rPr>
  </w:style>
  <w:style w:type="character" w:styleId="1053">
    <w:name w:val="标题 4 字符"/>
    <w:next w:val="1053"/>
    <w:link w:val="1042"/>
    <w:rPr>
      <w:rFonts w:ascii="Arial" w:hAnsi="Arial" w:eastAsia="黑体" w:cs="Times New Roman"/>
      <w:b/>
      <w:sz w:val="28"/>
      <w:lang w:val="en-US" w:eastAsia="zh-CN" w:bidi="ar-SA"/>
    </w:rPr>
  </w:style>
  <w:style w:type="character" w:styleId="1054">
    <w:name w:val="标题 5 字符"/>
    <w:next w:val="1054"/>
    <w:link w:val="1043"/>
    <w:rPr>
      <w:rFonts w:ascii="黑体" w:hAnsi="Times New Roman" w:eastAsia="黑体" w:cs="Times New Roman"/>
      <w:b/>
      <w:color w:val="000000"/>
      <w:sz w:val="28"/>
      <w:lang w:val="en-US" w:eastAsia="zh-CN" w:bidi="ar-SA"/>
    </w:rPr>
  </w:style>
  <w:style w:type="paragraph" w:styleId="1055">
    <w:name w:val="正文缩进"/>
    <w:basedOn w:val="1038"/>
    <w:next w:val="1055"/>
    <w:link w:val="1038"/>
    <w:pPr>
      <w:ind w:firstLine="420"/>
    </w:pPr>
    <w:rPr>
      <w:rFonts w:ascii="Times New Roman" w:hAnsi="Times New Roman" w:eastAsia="宋体" w:cs="Times New Roman"/>
    </w:rPr>
  </w:style>
  <w:style w:type="character" w:styleId="1056">
    <w:name w:val="标题 6 字符"/>
    <w:next w:val="1056"/>
    <w:link w:val="1044"/>
    <w:rPr>
      <w:rFonts w:ascii="Arial" w:hAnsi="Arial" w:eastAsia="黑体" w:cs="Times New Roman"/>
      <w:b/>
      <w:bCs/>
      <w:sz w:val="24"/>
      <w:szCs w:val="24"/>
      <w:lang w:val="en-US" w:eastAsia="zh-CN" w:bidi="ar-SA"/>
    </w:rPr>
  </w:style>
  <w:style w:type="character" w:styleId="1057">
    <w:name w:val="标题 7 字符"/>
    <w:next w:val="1057"/>
    <w:link w:val="1045"/>
    <w:rPr>
      <w:rFonts w:ascii="Times New Roman" w:hAnsi="Times New Roman" w:eastAsia="宋体" w:cs="Times New Roman"/>
      <w:b/>
      <w:bCs/>
      <w:sz w:val="24"/>
      <w:szCs w:val="24"/>
      <w:lang w:val="en-US" w:eastAsia="zh-CN" w:bidi="ar-SA"/>
    </w:rPr>
  </w:style>
  <w:style w:type="character" w:styleId="1058">
    <w:name w:val="标题 8 字符"/>
    <w:next w:val="1058"/>
    <w:link w:val="1046"/>
    <w:rPr>
      <w:rFonts w:ascii="Arial" w:hAnsi="Arial" w:eastAsia="黑体" w:cs="Times New Roman"/>
      <w:sz w:val="24"/>
      <w:szCs w:val="24"/>
      <w:lang w:val="en-US" w:eastAsia="zh-CN" w:bidi="ar-SA"/>
    </w:rPr>
  </w:style>
  <w:style w:type="character" w:styleId="1059">
    <w:name w:val="标题 9 字符"/>
    <w:next w:val="1059"/>
    <w:link w:val="1047"/>
    <w:rPr>
      <w:rFonts w:ascii="Arial" w:hAnsi="Arial" w:eastAsia="黑体" w:cs="Times New Roman"/>
      <w:sz w:val="21"/>
      <w:szCs w:val="21"/>
      <w:lang w:val="en-US" w:eastAsia="zh-CN" w:bidi="ar-SA"/>
    </w:rPr>
  </w:style>
  <w:style w:type="paragraph" w:styleId="1060">
    <w:name w:val="列表 3"/>
    <w:basedOn w:val="1038"/>
    <w:next w:val="1060"/>
    <w:link w:val="1038"/>
    <w:pPr>
      <w:ind w:left="1260" w:hanging="420"/>
    </w:pPr>
    <w:rPr>
      <w:rFonts w:ascii="Times New Roman" w:hAnsi="Times New Roman" w:eastAsia="宋体" w:cs="Times New Roman"/>
    </w:rPr>
  </w:style>
  <w:style w:type="paragraph" w:styleId="1061">
    <w:name w:val="目录 7"/>
    <w:basedOn w:val="1038"/>
    <w:next w:val="1038"/>
    <w:link w:val="1038"/>
    <w:pPr>
      <w:ind w:left="1680"/>
      <w:jc w:val="left"/>
      <w:spacing w:before="0" w:after="0"/>
    </w:pPr>
    <w:rPr>
      <w:rFonts w:ascii="Calibri" w:hAnsi="Calibri" w:eastAsia="宋体" w:cs="Times New Roman"/>
      <w:sz w:val="18"/>
      <w:szCs w:val="18"/>
    </w:rPr>
  </w:style>
  <w:style w:type="paragraph" w:styleId="1062">
    <w:name w:val="列表编号 2"/>
    <w:basedOn w:val="1038"/>
    <w:next w:val="1062"/>
    <w:link w:val="1038"/>
    <w:pPr>
      <w:ind w:left="1440" w:hanging="1440"/>
      <w:spacing w:line="360" w:lineRule="auto"/>
      <w:tabs>
        <w:tab w:val="left" w:pos="1440" w:leader="none"/>
      </w:tabs>
    </w:pPr>
    <w:rPr>
      <w:rFonts w:ascii="Times New Roman" w:hAnsi="Times New Roman" w:eastAsia="宋体" w:cs="Times New Roman"/>
      <w:sz w:val="24"/>
      <w:szCs w:val="24"/>
    </w:rPr>
  </w:style>
  <w:style w:type="paragraph" w:styleId="1063">
    <w:name w:val="索引 8"/>
    <w:basedOn w:val="1038"/>
    <w:next w:val="1038"/>
    <w:link w:val="1038"/>
    <w:pPr>
      <w:ind w:left="2940"/>
    </w:pPr>
    <w:rPr>
      <w:rFonts w:ascii="Times New Roman" w:hAnsi="Times New Roman" w:eastAsia="宋体" w:cs="Times New Roman"/>
    </w:rPr>
  </w:style>
  <w:style w:type="paragraph" w:styleId="1064">
    <w:name w:val="列表编号"/>
    <w:basedOn w:val="1038"/>
    <w:next w:val="1064"/>
    <w:link w:val="1038"/>
    <w:pPr>
      <w:ind w:left="2952" w:hanging="432"/>
      <w:tabs>
        <w:tab w:val="left" w:pos="2952" w:leader="none"/>
      </w:tabs>
    </w:pPr>
    <w:rPr>
      <w:rFonts w:ascii="Times New Roman" w:hAnsi="Times New Roman" w:eastAsia="宋体" w:cs="Times New Roman"/>
      <w:szCs w:val="24"/>
    </w:rPr>
  </w:style>
  <w:style w:type="paragraph" w:styleId="1065">
    <w:name w:val="索引 5"/>
    <w:basedOn w:val="1038"/>
    <w:next w:val="1038"/>
    <w:link w:val="1038"/>
    <w:pPr>
      <w:ind w:left="1680"/>
    </w:pPr>
    <w:rPr>
      <w:rFonts w:ascii="Times New Roman" w:hAnsi="Times New Roman" w:eastAsia="宋体" w:cs="Times New Roman"/>
    </w:rPr>
  </w:style>
  <w:style w:type="paragraph" w:styleId="1066">
    <w:name w:val="文档结构图"/>
    <w:basedOn w:val="1038"/>
    <w:next w:val="1066"/>
    <w:link w:val="1067"/>
    <w:pPr>
      <w:shd w:val="clear" w:color="auto" w:fill="000080"/>
    </w:pPr>
    <w:rPr>
      <w:rFonts w:eastAsia="宋体"/>
    </w:rPr>
  </w:style>
  <w:style w:type="character" w:styleId="1067">
    <w:name w:val="文档结构图 字符"/>
    <w:next w:val="1067"/>
    <w:link w:val="1066"/>
    <w:rPr>
      <w:rFonts w:ascii="Times New Roman" w:hAnsi="Times New Roman" w:eastAsia="宋体" w:cs="Times New Roman"/>
      <w:sz w:val="21"/>
      <w:lang w:val="en-US" w:eastAsia="zh-CN" w:bidi="ar-SA"/>
    </w:rPr>
  </w:style>
  <w:style w:type="paragraph" w:styleId="1068">
    <w:name w:val="引文目录标题"/>
    <w:basedOn w:val="1038"/>
    <w:next w:val="1038"/>
    <w:link w:val="1038"/>
    <w:uiPriority w:val="99"/>
    <w:qFormat/>
    <w:pPr>
      <w:spacing w:before="120"/>
    </w:pPr>
    <w:rPr>
      <w:rFonts w:ascii="Cambria" w:hAnsi="Cambria"/>
      <w:sz w:val="24"/>
    </w:rPr>
  </w:style>
  <w:style w:type="paragraph" w:styleId="1069">
    <w:name w:val="批注文字"/>
    <w:basedOn w:val="1038"/>
    <w:next w:val="1069"/>
    <w:link w:val="1070"/>
    <w:pPr>
      <w:jc w:val="left"/>
    </w:pPr>
    <w:rPr>
      <w:rFonts w:hint="eastAsia" w:ascii="微软雅黑" w:hAnsi="微软雅黑"/>
    </w:rPr>
  </w:style>
  <w:style w:type="character" w:styleId="1070">
    <w:name w:val="批注文字 字符"/>
    <w:next w:val="1070"/>
    <w:link w:val="1069"/>
    <w:rPr>
      <w:rFonts w:hint="eastAsia" w:ascii="微软雅黑" w:hAnsi="微软雅黑" w:eastAsia="微软雅黑" w:cs="微软雅黑"/>
      <w:sz w:val="21"/>
    </w:rPr>
  </w:style>
  <w:style w:type="paragraph" w:styleId="1071">
    <w:name w:val="索引 6"/>
    <w:basedOn w:val="1038"/>
    <w:next w:val="1038"/>
    <w:link w:val="1038"/>
    <w:pPr>
      <w:ind w:left="2100"/>
    </w:pPr>
    <w:rPr>
      <w:rFonts w:ascii="Times New Roman" w:hAnsi="Times New Roman" w:eastAsia="宋体" w:cs="Times New Roman"/>
    </w:rPr>
  </w:style>
  <w:style w:type="paragraph" w:styleId="1072">
    <w:name w:val="称呼"/>
    <w:basedOn w:val="1038"/>
    <w:next w:val="1038"/>
    <w:link w:val="1038"/>
    <w:rPr>
      <w:rFonts w:ascii="仿宋_GB2312" w:hAnsi="Times New Roman" w:eastAsia="仿宋_GB2312" w:cs="Times New Roman"/>
      <w:sz w:val="28"/>
    </w:rPr>
  </w:style>
  <w:style w:type="paragraph" w:styleId="1073">
    <w:name w:val="正文文本 3"/>
    <w:basedOn w:val="1038"/>
    <w:next w:val="1073"/>
    <w:link w:val="1038"/>
    <w:rPr>
      <w:rFonts w:ascii="仿宋_GB2312" w:hAnsi="Arial" w:eastAsia="仿宋_GB2312" w:cs="Times New Roman"/>
      <w:sz w:val="32"/>
    </w:rPr>
  </w:style>
  <w:style w:type="paragraph" w:styleId="1074">
    <w:name w:val="正文文本"/>
    <w:basedOn w:val="1038"/>
    <w:next w:val="1038"/>
    <w:link w:val="1038"/>
    <w:rPr>
      <w:rFonts w:ascii="楷体_GB2312" w:hAnsi="Arial" w:eastAsia="楷体_GB2312" w:cs="Times New Roman"/>
      <w:sz w:val="28"/>
    </w:rPr>
  </w:style>
  <w:style w:type="paragraph" w:styleId="1075">
    <w:name w:val="正文文本缩进"/>
    <w:basedOn w:val="1038"/>
    <w:next w:val="1075"/>
    <w:link w:val="1076"/>
    <w:pPr>
      <w:ind w:firstLine="645"/>
    </w:pPr>
    <w:rPr>
      <w:rFonts w:ascii="楷体_GB2312" w:eastAsia="楷体_GB2312"/>
      <w:sz w:val="32"/>
    </w:rPr>
  </w:style>
  <w:style w:type="character" w:styleId="1076">
    <w:name w:val="正文文本缩进 字符"/>
    <w:next w:val="1076"/>
    <w:link w:val="1075"/>
    <w:rPr>
      <w:rFonts w:ascii="楷体_GB2312" w:hAnsi="Times New Roman" w:eastAsia="楷体_GB2312" w:cs="Times New Roman"/>
      <w:sz w:val="32"/>
      <w:lang w:val="en-US" w:eastAsia="zh-CN" w:bidi="ar-SA"/>
    </w:rPr>
  </w:style>
  <w:style w:type="paragraph" w:styleId="1077">
    <w:name w:val="文本块"/>
    <w:basedOn w:val="1038"/>
    <w:next w:val="1077"/>
    <w:link w:val="1038"/>
    <w:pPr>
      <w:ind w:left="1440" w:right="1440"/>
      <w:spacing w:after="120"/>
    </w:pPr>
    <w:rPr>
      <w:rFonts w:ascii="Times New Roman" w:hAnsi="Times New Roman" w:eastAsia="宋体" w:cs="Times New Roman"/>
    </w:rPr>
  </w:style>
  <w:style w:type="paragraph" w:styleId="1078">
    <w:name w:val="索引 4"/>
    <w:basedOn w:val="1038"/>
    <w:next w:val="1038"/>
    <w:link w:val="1038"/>
    <w:pPr>
      <w:ind w:left="1260"/>
    </w:pPr>
    <w:rPr>
      <w:rFonts w:ascii="Times New Roman" w:hAnsi="Times New Roman" w:eastAsia="宋体" w:cs="Times New Roman"/>
    </w:rPr>
  </w:style>
  <w:style w:type="paragraph" w:styleId="1079">
    <w:name w:val="目录 5"/>
    <w:basedOn w:val="1038"/>
    <w:next w:val="1038"/>
    <w:link w:val="1038"/>
    <w:pPr>
      <w:ind w:left="1120"/>
      <w:jc w:val="left"/>
      <w:spacing w:before="0" w:after="0"/>
    </w:pPr>
    <w:rPr>
      <w:rFonts w:ascii="Calibri" w:hAnsi="Calibri" w:eastAsia="宋体" w:cs="Times New Roman"/>
      <w:sz w:val="18"/>
      <w:szCs w:val="18"/>
    </w:rPr>
  </w:style>
  <w:style w:type="paragraph" w:styleId="1080">
    <w:name w:val="目录 3"/>
    <w:basedOn w:val="1038"/>
    <w:next w:val="1038"/>
    <w:link w:val="1038"/>
    <w:pPr>
      <w:ind w:left="560"/>
      <w:jc w:val="left"/>
      <w:spacing w:before="0" w:after="0"/>
    </w:pPr>
    <w:rPr>
      <w:rFonts w:ascii="Calibri" w:hAnsi="Calibri" w:eastAsia="宋体" w:cs="Times New Roman"/>
      <w:i/>
      <w:iCs/>
      <w:sz w:val="20"/>
    </w:rPr>
  </w:style>
  <w:style w:type="paragraph" w:styleId="1081">
    <w:name w:val="纯文本"/>
    <w:basedOn w:val="1038"/>
    <w:next w:val="1081"/>
    <w:link w:val="1082"/>
    <w:rPr>
      <w:rFonts w:ascii="宋体" w:hAnsi="Courier New" w:eastAsia="宋体"/>
    </w:rPr>
  </w:style>
  <w:style w:type="character" w:styleId="1082">
    <w:name w:val="纯文本 字符"/>
    <w:next w:val="1082"/>
    <w:link w:val="1081"/>
    <w:rPr>
      <w:rFonts w:ascii="宋体" w:hAnsi="Courier New" w:eastAsia="宋体" w:cs="Times New Roman"/>
      <w:sz w:val="21"/>
      <w:lang w:val="en-US" w:eastAsia="zh-CN" w:bidi="ar-SA"/>
    </w:rPr>
  </w:style>
  <w:style w:type="paragraph" w:styleId="1083">
    <w:name w:val="目录 8"/>
    <w:basedOn w:val="1038"/>
    <w:next w:val="1038"/>
    <w:link w:val="1038"/>
    <w:pPr>
      <w:ind w:left="1960"/>
      <w:jc w:val="left"/>
      <w:spacing w:before="0" w:after="0"/>
    </w:pPr>
    <w:rPr>
      <w:rFonts w:ascii="Calibri" w:hAnsi="Calibri" w:eastAsia="宋体" w:cs="Times New Roman"/>
      <w:sz w:val="18"/>
      <w:szCs w:val="18"/>
    </w:rPr>
  </w:style>
  <w:style w:type="paragraph" w:styleId="1084">
    <w:name w:val="索引 3"/>
    <w:basedOn w:val="1038"/>
    <w:next w:val="1038"/>
    <w:link w:val="1038"/>
    <w:pPr>
      <w:ind w:left="840"/>
    </w:pPr>
    <w:rPr>
      <w:rFonts w:ascii="Times New Roman" w:hAnsi="Times New Roman" w:eastAsia="宋体" w:cs="Times New Roman"/>
    </w:rPr>
  </w:style>
  <w:style w:type="paragraph" w:styleId="1085">
    <w:name w:val="日期"/>
    <w:basedOn w:val="1038"/>
    <w:next w:val="1038"/>
    <w:link w:val="1038"/>
    <w:pPr>
      <w:ind w:left="100"/>
    </w:pPr>
    <w:rPr>
      <w:rFonts w:ascii="Times New Roman" w:hAnsi="Times New Roman" w:eastAsia="宋体" w:cs="Times New Roman"/>
      <w:sz w:val="28"/>
    </w:rPr>
  </w:style>
  <w:style w:type="paragraph" w:styleId="1086">
    <w:name w:val="正文文本缩进 2"/>
    <w:basedOn w:val="1038"/>
    <w:next w:val="1086"/>
    <w:link w:val="1087"/>
    <w:pPr>
      <w:ind w:left="630" w:firstLine="645"/>
    </w:pPr>
    <w:rPr>
      <w:rFonts w:ascii="Arial" w:hAnsi="Arial" w:eastAsia="仿宋_GB2312"/>
      <w:sz w:val="32"/>
    </w:rPr>
  </w:style>
  <w:style w:type="character" w:styleId="1087">
    <w:name w:val="正文文本缩进 2 字符"/>
    <w:next w:val="1087"/>
    <w:link w:val="1086"/>
    <w:rPr>
      <w:rFonts w:ascii="Arial" w:hAnsi="Arial" w:eastAsia="仿宋_GB2312" w:cs="Times New Roman"/>
      <w:sz w:val="32"/>
      <w:lang w:val="en-US" w:eastAsia="zh-CN" w:bidi="ar-SA"/>
    </w:rPr>
  </w:style>
  <w:style w:type="paragraph" w:styleId="1088">
    <w:name w:val="尾注文本"/>
    <w:basedOn w:val="1038"/>
    <w:next w:val="1088"/>
    <w:link w:val="1038"/>
    <w:pPr>
      <w:jc w:val="left"/>
    </w:pPr>
    <w:rPr>
      <w:rFonts w:ascii="Times New Roman" w:hAnsi="Times New Roman" w:eastAsia="宋体" w:cs="Times New Roman"/>
      <w:sz w:val="20"/>
      <w:szCs w:val="24"/>
    </w:rPr>
  </w:style>
  <w:style w:type="paragraph" w:styleId="1089">
    <w:name w:val="批注框文本"/>
    <w:basedOn w:val="1038"/>
    <w:next w:val="1089"/>
    <w:link w:val="1038"/>
    <w:rPr>
      <w:rFonts w:ascii="Times New Roman" w:hAnsi="Times New Roman" w:eastAsia="宋体" w:cs="Times New Roman"/>
      <w:sz w:val="18"/>
      <w:szCs w:val="18"/>
    </w:rPr>
  </w:style>
  <w:style w:type="paragraph" w:styleId="1090">
    <w:name w:val="页脚"/>
    <w:basedOn w:val="1038"/>
    <w:next w:val="1090"/>
    <w:link w:val="1091"/>
    <w:pPr>
      <w:jc w:val="left"/>
      <w:tabs>
        <w:tab w:val="center" w:pos="4153" w:leader="none"/>
        <w:tab w:val="right" w:pos="8306" w:leader="none"/>
      </w:tabs>
    </w:pPr>
    <w:rPr>
      <w:rFonts w:eastAsia="宋体"/>
      <w:sz w:val="18"/>
    </w:rPr>
  </w:style>
  <w:style w:type="character" w:styleId="1091">
    <w:name w:val="页脚 字符"/>
    <w:next w:val="1091"/>
    <w:link w:val="1090"/>
    <w:rPr>
      <w:rFonts w:ascii="Times New Roman" w:hAnsi="Times New Roman" w:eastAsia="宋体" w:cs="Times New Roman"/>
      <w:sz w:val="18"/>
    </w:rPr>
  </w:style>
  <w:style w:type="paragraph" w:styleId="1092">
    <w:name w:val="寄信人地址"/>
    <w:basedOn w:val="1038"/>
    <w:next w:val="1092"/>
    <w:link w:val="1038"/>
    <w:rPr>
      <w:rFonts w:ascii="Arial" w:hAnsi="Arial" w:eastAsia="宋体" w:cs="Times New Roman"/>
    </w:rPr>
  </w:style>
  <w:style w:type="paragraph" w:styleId="1093">
    <w:name w:val="页眉"/>
    <w:basedOn w:val="1038"/>
    <w:next w:val="1093"/>
    <w:link w:val="1038"/>
    <w:pPr>
      <w:jc w:val="center"/>
      <w:tabs>
        <w:tab w:val="center" w:pos="4153" w:leader="none"/>
        <w:tab w:val="right" w:pos="8306" w:leader="none"/>
      </w:tabs>
      <w:pBdr>
        <w:bottom w:val="single" w:color="000000" w:sz="6" w:space="1"/>
      </w:pBdr>
    </w:pPr>
    <w:rPr>
      <w:rFonts w:ascii="Times New Roman" w:hAnsi="Times New Roman" w:eastAsia="宋体" w:cs="Times New Roman"/>
      <w:sz w:val="18"/>
    </w:rPr>
  </w:style>
  <w:style w:type="paragraph" w:styleId="1094">
    <w:name w:val="签名"/>
    <w:basedOn w:val="1038"/>
    <w:next w:val="1094"/>
    <w:link w:val="1038"/>
    <w:pPr>
      <w:jc w:val="center"/>
      <w:spacing w:after="600" w:line="312" w:lineRule="atLeast"/>
    </w:pPr>
    <w:rPr>
      <w:rFonts w:ascii="Times New Roman" w:hAnsi="Times New Roman" w:eastAsia="仿宋_GB2312" w:cs="Times New Roman"/>
      <w:sz w:val="24"/>
    </w:rPr>
  </w:style>
  <w:style w:type="paragraph" w:styleId="1095">
    <w:name w:val="目录 1"/>
    <w:basedOn w:val="1038"/>
    <w:next w:val="1038"/>
    <w:link w:val="1038"/>
    <w:pPr>
      <w:jc w:val="left"/>
    </w:pPr>
    <w:rPr>
      <w:rFonts w:ascii="Calibri" w:hAnsi="Calibri" w:eastAsia="宋体" w:cs="Times New Roman"/>
      <w:b/>
      <w:bCs/>
      <w:caps/>
      <w:sz w:val="20"/>
    </w:rPr>
  </w:style>
  <w:style w:type="paragraph" w:styleId="1096">
    <w:name w:val="目录 4"/>
    <w:basedOn w:val="1038"/>
    <w:next w:val="1038"/>
    <w:link w:val="1038"/>
    <w:pPr>
      <w:ind w:left="840"/>
      <w:jc w:val="left"/>
      <w:spacing w:before="0" w:after="0"/>
    </w:pPr>
    <w:rPr>
      <w:rFonts w:ascii="Calibri" w:hAnsi="Calibri" w:eastAsia="宋体" w:cs="Times New Roman"/>
      <w:sz w:val="18"/>
      <w:szCs w:val="18"/>
    </w:rPr>
  </w:style>
  <w:style w:type="paragraph" w:styleId="1097">
    <w:name w:val="索引标题"/>
    <w:basedOn w:val="1038"/>
    <w:next w:val="1098"/>
    <w:link w:val="1038"/>
    <w:rPr>
      <w:rFonts w:ascii="Times New Roman" w:hAnsi="Times New Roman" w:eastAsia="宋体" w:cs="Times New Roman"/>
    </w:rPr>
  </w:style>
  <w:style w:type="paragraph" w:styleId="1098">
    <w:name w:val="索引 1"/>
    <w:basedOn w:val="1038"/>
    <w:next w:val="1038"/>
    <w:link w:val="1038"/>
    <w:rPr>
      <w:rFonts w:ascii="仿宋_GB2312" w:hAnsi="宋体" w:eastAsia="仿宋_GB2312" w:cs="Times New Roman"/>
      <w:sz w:val="30"/>
      <w:szCs w:val="24"/>
    </w:rPr>
  </w:style>
  <w:style w:type="paragraph" w:styleId="1099">
    <w:name w:val="副标题"/>
    <w:basedOn w:val="1038"/>
    <w:next w:val="1038"/>
    <w:link w:val="1038"/>
    <w:qFormat/>
    <w:pPr>
      <w:jc w:val="left"/>
      <w:spacing w:after="600" w:line="276" w:lineRule="auto"/>
      <w:widowControl/>
    </w:pPr>
    <w:rPr>
      <w:rFonts w:ascii="Cambria" w:hAnsi="Cambria" w:eastAsia="宋体" w:cs="Times New Roman"/>
      <w:i/>
      <w:iCs/>
      <w:spacing w:val="13"/>
      <w:sz w:val="24"/>
      <w:szCs w:val="24"/>
      <w:lang w:eastAsia="en-US" w:bidi="en-US"/>
    </w:rPr>
  </w:style>
  <w:style w:type="paragraph" w:styleId="1100">
    <w:name w:val="脚注文本"/>
    <w:basedOn w:val="1038"/>
    <w:next w:val="1100"/>
    <w:link w:val="1038"/>
    <w:pPr>
      <w:jc w:val="left"/>
    </w:pPr>
    <w:rPr>
      <w:rFonts w:ascii="Times New Roman" w:hAnsi="Times New Roman" w:eastAsia="宋体" w:cs="Times New Roman"/>
      <w:sz w:val="18"/>
      <w:szCs w:val="18"/>
    </w:rPr>
  </w:style>
  <w:style w:type="paragraph" w:styleId="1101">
    <w:name w:val="目录 6"/>
    <w:basedOn w:val="1038"/>
    <w:next w:val="1038"/>
    <w:link w:val="1038"/>
    <w:pPr>
      <w:ind w:left="1400"/>
      <w:jc w:val="left"/>
      <w:spacing w:before="0" w:after="0"/>
    </w:pPr>
    <w:rPr>
      <w:rFonts w:ascii="Calibri" w:hAnsi="Calibri" w:eastAsia="宋体" w:cs="Times New Roman"/>
      <w:sz w:val="18"/>
      <w:szCs w:val="18"/>
    </w:rPr>
  </w:style>
  <w:style w:type="paragraph" w:styleId="1102">
    <w:name w:val="正文文本缩进 3"/>
    <w:basedOn w:val="1038"/>
    <w:next w:val="1102"/>
    <w:link w:val="1103"/>
    <w:pPr>
      <w:ind w:left="645" w:firstLine="645"/>
    </w:pPr>
    <w:rPr>
      <w:rFonts w:ascii="Arial" w:hAnsi="Arial" w:eastAsia="仿宋_GB2312"/>
      <w:color w:val="ffff00"/>
      <w:sz w:val="32"/>
    </w:rPr>
  </w:style>
  <w:style w:type="character" w:styleId="1103">
    <w:name w:val="正文文本缩进 3 字符"/>
    <w:next w:val="1103"/>
    <w:link w:val="1102"/>
    <w:rPr>
      <w:rFonts w:ascii="Arial" w:hAnsi="Arial" w:eastAsia="仿宋_GB2312" w:cs="Times New Roman"/>
      <w:color w:val="ffff00"/>
      <w:sz w:val="32"/>
      <w:lang w:val="en-US" w:eastAsia="zh-CN" w:bidi="ar-SA"/>
    </w:rPr>
  </w:style>
  <w:style w:type="paragraph" w:styleId="1104">
    <w:name w:val="索引 7"/>
    <w:basedOn w:val="1038"/>
    <w:next w:val="1038"/>
    <w:link w:val="1038"/>
    <w:pPr>
      <w:ind w:left="2520"/>
    </w:pPr>
    <w:rPr>
      <w:rFonts w:ascii="Times New Roman" w:hAnsi="Times New Roman" w:eastAsia="宋体" w:cs="Times New Roman"/>
    </w:rPr>
  </w:style>
  <w:style w:type="paragraph" w:styleId="1105">
    <w:name w:val="索引 9"/>
    <w:basedOn w:val="1038"/>
    <w:next w:val="1038"/>
    <w:link w:val="1038"/>
    <w:pPr>
      <w:ind w:left="3360"/>
    </w:pPr>
    <w:rPr>
      <w:rFonts w:ascii="Times New Roman" w:hAnsi="Times New Roman" w:eastAsia="宋体" w:cs="Times New Roman"/>
    </w:rPr>
  </w:style>
  <w:style w:type="paragraph" w:styleId="1106">
    <w:name w:val="图表目录"/>
    <w:basedOn w:val="1038"/>
    <w:next w:val="1038"/>
    <w:link w:val="1038"/>
    <w:pPr>
      <w:ind w:left="840" w:hanging="420"/>
    </w:pPr>
    <w:rPr>
      <w:rFonts w:ascii="Times New Roman" w:hAnsi="Times New Roman" w:eastAsia="宋体" w:cs="Times New Roman"/>
    </w:rPr>
  </w:style>
  <w:style w:type="paragraph" w:styleId="1107">
    <w:name w:val="目录 2"/>
    <w:basedOn w:val="1038"/>
    <w:next w:val="1038"/>
    <w:link w:val="1038"/>
    <w:pPr>
      <w:ind w:left="280"/>
      <w:jc w:val="left"/>
      <w:spacing w:before="0" w:after="0"/>
    </w:pPr>
    <w:rPr>
      <w:rFonts w:ascii="Calibri" w:hAnsi="Calibri" w:eastAsia="宋体" w:cs="Times New Roman"/>
      <w:smallCaps/>
      <w:sz w:val="20"/>
    </w:rPr>
  </w:style>
  <w:style w:type="paragraph" w:styleId="1108">
    <w:name w:val="目录 9"/>
    <w:basedOn w:val="1038"/>
    <w:next w:val="1038"/>
    <w:link w:val="1038"/>
    <w:pPr>
      <w:ind w:left="2240"/>
      <w:jc w:val="left"/>
      <w:spacing w:before="0" w:after="0"/>
    </w:pPr>
    <w:rPr>
      <w:rFonts w:ascii="Calibri" w:hAnsi="Calibri" w:eastAsia="宋体" w:cs="Times New Roman"/>
      <w:sz w:val="18"/>
      <w:szCs w:val="18"/>
    </w:rPr>
  </w:style>
  <w:style w:type="paragraph" w:styleId="1109">
    <w:name w:val="正文文本 2"/>
    <w:basedOn w:val="1038"/>
    <w:next w:val="1109"/>
    <w:link w:val="1038"/>
    <w:pPr>
      <w:jc w:val="center"/>
      <w:widowControl/>
    </w:pPr>
    <w:rPr>
      <w:rFonts w:ascii="楷体_GB2312" w:hAnsi="Times New Roman" w:eastAsia="楷体_GB2312" w:cs="Times New Roman"/>
      <w:sz w:val="28"/>
    </w:rPr>
  </w:style>
  <w:style w:type="paragraph" w:styleId="1110">
    <w:name w:val="HTML 预设格式"/>
    <w:basedOn w:val="1038"/>
    <w:next w:val="1110"/>
    <w:link w:val="1111"/>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1111">
    <w:name w:val="HTML 预设格式 字符"/>
    <w:next w:val="1111"/>
    <w:link w:val="1110"/>
    <w:rPr>
      <w:rFonts w:ascii="黑体" w:hAnsi="Courier New" w:eastAsia="黑体" w:cs="Courier New"/>
      <w:lang w:val="en-US" w:eastAsia="zh-CN" w:bidi="ar-SA"/>
    </w:rPr>
  </w:style>
  <w:style w:type="paragraph" w:styleId="1112">
    <w:name w:val="普通(网站)"/>
    <w:basedOn w:val="1038"/>
    <w:next w:val="1112"/>
    <w:link w:val="1038"/>
    <w:pPr>
      <w:jc w:val="left"/>
      <w:spacing w:before="100" w:beforeAutospacing="1" w:after="100" w:afterAutospacing="1"/>
      <w:widowControl/>
    </w:pPr>
    <w:rPr>
      <w:rFonts w:ascii="Arial" w:hAnsi="Arial" w:eastAsia="Arial Unicode MS" w:cs="Arial"/>
      <w:sz w:val="24"/>
      <w:szCs w:val="24"/>
    </w:rPr>
  </w:style>
  <w:style w:type="paragraph" w:styleId="1113">
    <w:name w:val="索引 2"/>
    <w:basedOn w:val="1038"/>
    <w:next w:val="1038"/>
    <w:link w:val="1038"/>
    <w:pPr>
      <w:ind w:left="420"/>
    </w:pPr>
    <w:rPr>
      <w:rFonts w:ascii="Times New Roman" w:hAnsi="Times New Roman" w:eastAsia="宋体" w:cs="Times New Roman"/>
    </w:rPr>
  </w:style>
  <w:style w:type="paragraph" w:styleId="1114">
    <w:name w:val="标题"/>
    <w:basedOn w:val="1038"/>
    <w:next w:val="1114"/>
    <w:link w:val="1115"/>
    <w:qFormat/>
    <w:pPr>
      <w:jc w:val="center"/>
      <w:spacing w:line="480" w:lineRule="auto"/>
      <w:widowControl/>
    </w:pPr>
    <w:rPr>
      <w:rFonts w:ascii="微软雅黑" w:hAnsi="微软雅黑"/>
      <w:sz w:val="36"/>
      <w:szCs w:val="24"/>
      <w:lang w:val="zh-CN"/>
    </w:rPr>
  </w:style>
  <w:style w:type="character" w:styleId="1115">
    <w:name w:val="标题 字符"/>
    <w:next w:val="1115"/>
    <w:link w:val="1114"/>
    <w:rPr>
      <w:rFonts w:ascii="微软雅黑" w:hAnsi="微软雅黑" w:eastAsia="微软雅黑" w:cs="Times New Roman"/>
      <w:sz w:val="36"/>
      <w:szCs w:val="24"/>
      <w:lang w:val="zh-CN"/>
    </w:rPr>
  </w:style>
  <w:style w:type="paragraph" w:styleId="1116">
    <w:name w:val="批注主题"/>
    <w:basedOn w:val="1069"/>
    <w:next w:val="1069"/>
    <w:link w:val="1117"/>
    <w:rPr>
      <w:rFonts w:ascii="Times New Roman" w:hAnsi="Times New Roman" w:eastAsia="宋体"/>
      <w:b/>
      <w:bCs/>
    </w:rPr>
  </w:style>
  <w:style w:type="character" w:styleId="1117">
    <w:name w:val="批注主题 字符"/>
    <w:next w:val="1117"/>
    <w:link w:val="1116"/>
    <w:rPr>
      <w:rFonts w:ascii="Times New Roman" w:hAnsi="Times New Roman" w:eastAsia="宋体" w:cs="Times New Roman"/>
      <w:b/>
      <w:bCs/>
      <w:sz w:val="21"/>
      <w:lang w:val="en-US" w:eastAsia="zh-CN" w:bidi="ar-SA"/>
    </w:rPr>
  </w:style>
  <w:style w:type="paragraph" w:styleId="1118">
    <w:name w:val="正文首行缩进"/>
    <w:basedOn w:val="1074"/>
    <w:next w:val="1119"/>
    <w:link w:val="1038"/>
    <w:pPr>
      <w:ind w:firstLine="420"/>
      <w:spacing w:after="120"/>
    </w:pPr>
    <w:rPr>
      <w:rFonts w:ascii="Times New Roman" w:hAnsi="Times New Roman" w:eastAsia="宋体" w:cs="Times New Roman"/>
      <w:sz w:val="21"/>
      <w:szCs w:val="24"/>
    </w:rPr>
  </w:style>
  <w:style w:type="paragraph" w:styleId="1119">
    <w:name w:val="正文首行缩进 2"/>
    <w:basedOn w:val="1075"/>
    <w:next w:val="1119"/>
    <w:link w:val="1038"/>
    <w:pPr>
      <w:ind w:left="420" w:firstLine="420"/>
      <w:spacing w:after="120" w:line="240" w:lineRule="auto"/>
    </w:pPr>
    <w:rPr>
      <w:rFonts w:ascii="Times New Roman" w:hAnsi="Times New Roman" w:eastAsia="宋体" w:cs="Times New Roman"/>
      <w:sz w:val="21"/>
    </w:rPr>
  </w:style>
  <w:style w:type="table" w:styleId="1120">
    <w:name w:val="网格型"/>
    <w:basedOn w:val="1049"/>
    <w:next w:val="1120"/>
    <w:link w:val="1038"/>
    <w:pPr>
      <w:jc w:val="both"/>
      <w:widowControl w:val="off"/>
    </w:pPr>
    <w:rPr>
      <w:rFonts w:ascii="Times New Roman" w:hAnsi="Times New Roman" w:eastAsia="宋体" w:cs="Times New Roman"/>
    </w:rPr>
    <w:tblPr/>
  </w:style>
  <w:style w:type="character" w:styleId="1121">
    <w:name w:val="要点"/>
    <w:next w:val="1121"/>
    <w:link w:val="1038"/>
    <w:qFormat/>
    <w:rPr>
      <w:rFonts w:ascii="Times New Roman" w:hAnsi="Times New Roman" w:eastAsia="宋体" w:cs="Times New Roman"/>
      <w:b/>
      <w:bCs/>
    </w:rPr>
  </w:style>
  <w:style w:type="character" w:styleId="1122">
    <w:name w:val="尾注引用"/>
    <w:next w:val="1122"/>
    <w:link w:val="1038"/>
    <w:rPr>
      <w:rFonts w:ascii="Times New Roman" w:hAnsi="Times New Roman" w:eastAsia="宋体" w:cs="Times New Roman"/>
      <w:b w:val="0"/>
      <w:bCs w:val="0"/>
      <w:i w:val="0"/>
      <w:iCs w:val="0"/>
      <w:vertAlign w:val="superscript"/>
    </w:rPr>
  </w:style>
  <w:style w:type="character" w:styleId="1123">
    <w:name w:val="页码"/>
    <w:next w:val="1123"/>
    <w:link w:val="1038"/>
    <w:rPr>
      <w:rFonts w:ascii="Times New Roman" w:hAnsi="Times New Roman" w:eastAsia="宋体" w:cs="Times New Roman"/>
    </w:rPr>
  </w:style>
  <w:style w:type="character" w:styleId="1124">
    <w:name w:val="已访问的超链接"/>
    <w:next w:val="1124"/>
    <w:link w:val="1038"/>
    <w:rPr>
      <w:rFonts w:ascii="Times New Roman" w:hAnsi="Times New Roman" w:eastAsia="宋体" w:cs="Times New Roman"/>
      <w:color w:val="0076be"/>
      <w:u w:val="none"/>
    </w:rPr>
  </w:style>
  <w:style w:type="character" w:styleId="1125">
    <w:name w:val="强调"/>
    <w:next w:val="1125"/>
    <w:link w:val="1038"/>
    <w:qFormat/>
    <w:rPr>
      <w:rFonts w:ascii="Times New Roman" w:hAnsi="Times New Roman" w:eastAsia="宋体" w:cs="Times New Roman"/>
      <w:b/>
      <w:bCs/>
      <w:i/>
      <w:iCs/>
      <w:spacing w:val="10"/>
      <w:shd w:val="clear" w:color="auto" w:fill="auto"/>
    </w:rPr>
  </w:style>
  <w:style w:type="character" w:styleId="1126">
    <w:name w:val="行号"/>
    <w:next w:val="1126"/>
    <w:link w:val="1038"/>
    <w:rPr>
      <w:rFonts w:ascii="Times New Roman" w:hAnsi="Times New Roman" w:eastAsia="宋体" w:cs="Times New Roman"/>
    </w:rPr>
  </w:style>
  <w:style w:type="character" w:styleId="1127">
    <w:name w:val="HTML 定义"/>
    <w:next w:val="1127"/>
    <w:link w:val="1038"/>
    <w:rPr>
      <w:rFonts w:ascii="Times New Roman" w:hAnsi="Times New Roman" w:eastAsia="宋体" w:cs="Times New Roman"/>
      <w:b w:val="0"/>
      <w:i w:val="0"/>
    </w:rPr>
  </w:style>
  <w:style w:type="character" w:styleId="1128">
    <w:name w:val="HTML 打字机"/>
    <w:next w:val="1128"/>
    <w:link w:val="1038"/>
    <w:rPr>
      <w:rFonts w:ascii="宋体" w:hAnsi="宋体" w:eastAsia="宋体" w:cs="宋体"/>
      <w:b w:val="0"/>
      <w:bCs w:val="0"/>
      <w:i w:val="0"/>
      <w:iCs w:val="0"/>
      <w:sz w:val="24"/>
      <w:szCs w:val="24"/>
    </w:rPr>
  </w:style>
  <w:style w:type="character" w:styleId="1129">
    <w:name w:val="HTML 缩写"/>
    <w:next w:val="1129"/>
    <w:link w:val="1038"/>
    <w:rPr>
      <w:rFonts w:ascii="Times New Roman" w:hAnsi="Times New Roman" w:eastAsia="宋体" w:cs="Times New Roman"/>
    </w:rPr>
  </w:style>
  <w:style w:type="character" w:styleId="1130">
    <w:name w:val="HTML 变量"/>
    <w:next w:val="1130"/>
    <w:link w:val="1038"/>
    <w:rPr>
      <w:rFonts w:ascii="Times New Roman" w:hAnsi="Times New Roman" w:eastAsia="宋体" w:cs="Times New Roman"/>
      <w:b w:val="0"/>
      <w:i w:val="0"/>
    </w:rPr>
  </w:style>
  <w:style w:type="character" w:styleId="1131">
    <w:name w:val="超链接"/>
    <w:next w:val="1131"/>
    <w:link w:val="1038"/>
    <w:rPr>
      <w:rFonts w:ascii="Times New Roman" w:hAnsi="Times New Roman" w:eastAsia="宋体" w:cs="Times New Roman"/>
      <w:color w:val="0076be"/>
      <w:u w:val="none"/>
    </w:rPr>
  </w:style>
  <w:style w:type="character" w:styleId="1132">
    <w:name w:val="HTML 代码"/>
    <w:next w:val="1132"/>
    <w:link w:val="1038"/>
    <w:rPr>
      <w:rFonts w:ascii="Courier New" w:hAnsi="Courier New" w:eastAsia="宋体" w:cs="Times New Roman"/>
      <w:b w:val="0"/>
      <w:i w:val="0"/>
      <w:sz w:val="20"/>
    </w:rPr>
  </w:style>
  <w:style w:type="character" w:styleId="1133">
    <w:name w:val="批注引用"/>
    <w:next w:val="1133"/>
    <w:link w:val="1038"/>
    <w:rPr>
      <w:rFonts w:ascii="Times New Roman" w:hAnsi="Times New Roman" w:eastAsia="宋体" w:cs="Times New Roman"/>
      <w:sz w:val="21"/>
    </w:rPr>
  </w:style>
  <w:style w:type="character" w:styleId="1134">
    <w:name w:val="HTML 引文"/>
    <w:next w:val="1134"/>
    <w:link w:val="1038"/>
    <w:rPr>
      <w:rFonts w:ascii="Times New Roman" w:hAnsi="Times New Roman" w:eastAsia="宋体" w:cs="Times New Roman"/>
      <w:b w:val="0"/>
      <w:i w:val="0"/>
    </w:rPr>
  </w:style>
  <w:style w:type="character" w:styleId="1135">
    <w:name w:val="脚注引用"/>
    <w:next w:val="1135"/>
    <w:link w:val="1038"/>
    <w:rPr>
      <w:rFonts w:ascii="Times New Roman" w:hAnsi="Times New Roman" w:eastAsia="宋体" w:cs="Times New Roman"/>
      <w:vertAlign w:val="superscript"/>
    </w:rPr>
  </w:style>
  <w:style w:type="character" w:styleId="1136">
    <w:name w:val="HTML 样本"/>
    <w:next w:val="1136"/>
    <w:link w:val="1038"/>
    <w:rPr>
      <w:rFonts w:ascii="Courier New" w:hAnsi="宋体" w:eastAsia="宋体" w:cs="Courier New"/>
      <w:b w:val="0"/>
      <w:bCs w:val="0"/>
      <w:i w:val="0"/>
      <w:iCs w:val="0"/>
    </w:rPr>
  </w:style>
  <w:style w:type="paragraph" w:styleId="1137">
    <w:name w:val="BodyText1I1"/>
    <w:basedOn w:val="1138"/>
    <w:next w:val="1038"/>
    <w:link w:val="1038"/>
    <w:qFormat/>
    <w:pPr>
      <w:ind w:firstLine="420"/>
      <w:spacing w:after="120"/>
    </w:pPr>
    <w:rPr>
      <w:sz w:val="24"/>
    </w:rPr>
  </w:style>
  <w:style w:type="paragraph" w:styleId="1138">
    <w:name w:val="BodyText1"/>
    <w:basedOn w:val="1038"/>
    <w:next w:val="1138"/>
    <w:link w:val="1038"/>
    <w:qFormat/>
    <w:rPr>
      <w:sz w:val="32"/>
    </w:rPr>
  </w:style>
  <w:style w:type="paragraph" w:styleId="1139">
    <w:name w:val="Default"/>
    <w:next w:val="1139"/>
    <w:link w:val="1038"/>
    <w:pPr>
      <w:widowControl w:val="off"/>
    </w:pPr>
    <w:rPr>
      <w:rFonts w:ascii="宋体" w:cs="宋体"/>
      <w:color w:val="000000"/>
      <w:sz w:val="24"/>
      <w:szCs w:val="24"/>
      <w:lang w:val="en-US" w:eastAsia="zh-CN" w:bidi="ar-SA"/>
    </w:rPr>
  </w:style>
  <w:style w:type="paragraph" w:styleId="1140">
    <w:name w:val="一级条标题"/>
    <w:basedOn w:val="1141"/>
    <w:next w:val="1142"/>
    <w:link w:val="1038"/>
    <w:qFormat/>
    <w:pPr>
      <w:outlineLvl w:val="2"/>
    </w:pPr>
    <w:rPr>
      <w:rFonts w:ascii="Calibri" w:hAnsi="Calibri" w:eastAsia="黑体" w:cs="Times New Roman"/>
      <w:sz w:val="21"/>
      <w:szCs w:val="21"/>
      <w:lang w:val="en-US" w:eastAsia="zh-CN" w:bidi="ar-SA"/>
    </w:rPr>
  </w:style>
  <w:style w:type="paragraph" w:styleId="1141">
    <w:name w:val="章标题"/>
    <w:next w:val="1142"/>
    <w:link w:val="1038"/>
    <w:pPr>
      <w:jc w:val="both"/>
      <w:spacing w:before="156" w:after="156"/>
      <w:outlineLvl w:val="1"/>
    </w:pPr>
    <w:rPr>
      <w:rFonts w:eastAsia="黑体"/>
      <w:sz w:val="21"/>
      <w:lang w:val="en-US" w:eastAsia="zh-CN" w:bidi="ar-SA"/>
    </w:rPr>
  </w:style>
  <w:style w:type="paragraph" w:styleId="1142">
    <w:name w:val="段"/>
    <w:next w:val="1038"/>
    <w:link w:val="1038"/>
    <w:pPr>
      <w:ind w:firstLine="200"/>
      <w:jc w:val="both"/>
    </w:pPr>
    <w:rPr>
      <w:rFonts w:ascii="宋体"/>
      <w:sz w:val="21"/>
      <w:lang w:val="en-US" w:eastAsia="zh-CN" w:bidi="ar-SA"/>
    </w:rPr>
  </w:style>
  <w:style w:type="paragraph" w:styleId="1143">
    <w:name w:val="[Normal]"/>
    <w:next w:val="1143"/>
    <w:link w:val="1038"/>
    <w:rPr>
      <w:rFonts w:ascii="方正仿宋简体" w:hAnsi="方正仿宋简体" w:eastAsia="方正仿宋简体" w:cs="Courier New"/>
      <w:sz w:val="24"/>
      <w:szCs w:val="22"/>
      <w:lang w:val="zh-CN" w:eastAsia="zh-CN" w:bidi="ar-SA"/>
    </w:rPr>
  </w:style>
  <w:style w:type="character" w:styleId="1144">
    <w:name w:val="font01"/>
    <w:next w:val="1144"/>
    <w:link w:val="1038"/>
    <w:rPr>
      <w:rFonts w:hint="eastAsia" w:ascii="宋体" w:hAnsi="宋体" w:eastAsia="宋体" w:cs="宋体"/>
      <w:color w:val="000000"/>
      <w:sz w:val="22"/>
      <w:szCs w:val="22"/>
      <w:u w:val="none"/>
    </w:rPr>
  </w:style>
  <w:style w:type="character" w:styleId="1145">
    <w:name w:val="书籍标题"/>
    <w:next w:val="1145"/>
    <w:link w:val="1038"/>
    <w:qFormat/>
    <w:rPr>
      <w:rFonts w:ascii="Times New Roman" w:hAnsi="Times New Roman" w:eastAsia="宋体" w:cs="Times New Roman"/>
      <w:i/>
      <w:iCs/>
      <w:smallCaps/>
      <w:spacing w:val="5"/>
    </w:rPr>
  </w:style>
  <w:style w:type="character" w:styleId="1146">
    <w:name w:val="纯文本 Char Char Char1"/>
    <w:next w:val="1146"/>
    <w:link w:val="1038"/>
    <w:rPr>
      <w:rFonts w:ascii="宋体" w:hAnsi="Courier New" w:eastAsia="宋体" w:cs="Times New Roman"/>
      <w:sz w:val="21"/>
      <w:szCs w:val="21"/>
      <w:lang w:val="en-US" w:eastAsia="zh-CN" w:bidi="ar-SA"/>
    </w:rPr>
  </w:style>
  <w:style w:type="character" w:styleId="1147">
    <w:name w:val="纯文本 Char1"/>
    <w:next w:val="1147"/>
    <w:link w:val="1038"/>
    <w:rPr>
      <w:rFonts w:ascii="宋体" w:hAnsi="Courier New" w:eastAsia="宋体" w:cs="Courier New"/>
      <w:sz w:val="21"/>
      <w:szCs w:val="21"/>
    </w:rPr>
  </w:style>
  <w:style w:type="character" w:styleId="1148">
    <w:name w:val="不明显参考"/>
    <w:next w:val="1148"/>
    <w:link w:val="1038"/>
    <w:qFormat/>
    <w:rPr>
      <w:rFonts w:ascii="Times New Roman" w:hAnsi="Times New Roman" w:eastAsia="宋体" w:cs="Times New Roman"/>
      <w:smallCaps/>
    </w:rPr>
  </w:style>
  <w:style w:type="character" w:styleId="1149">
    <w:name w:val="标准小四 Char Char"/>
    <w:next w:val="1149"/>
    <w:link w:val="1038"/>
    <w:rPr>
      <w:rFonts w:ascii="Arial" w:hAnsi="Arial" w:eastAsia="宋体" w:cs="Times New Roman"/>
      <w:sz w:val="24"/>
      <w:szCs w:val="21"/>
      <w:lang w:val="en-US" w:eastAsia="zh-CN" w:bidi="ar-SA"/>
    </w:rPr>
  </w:style>
  <w:style w:type="character" w:styleId="1150">
    <w:name w:val="style131"/>
    <w:next w:val="1150"/>
    <w:link w:val="1038"/>
    <w:rPr>
      <w:rFonts w:ascii="Times New Roman" w:hAnsi="Times New Roman" w:eastAsia="宋体" w:cs="Times New Roman"/>
      <w:sz w:val="18"/>
      <w:szCs w:val="18"/>
    </w:rPr>
  </w:style>
  <w:style w:type="character" w:styleId="1151">
    <w:name w:val=" Char Char24"/>
    <w:next w:val="1151"/>
    <w:link w:val="1038"/>
    <w:rPr>
      <w:rFonts w:ascii="Times New Roman" w:hAnsi="Times New Roman" w:eastAsia="宋体" w:cs="Times New Roman"/>
      <w:b/>
      <w:bCs/>
      <w:sz w:val="28"/>
      <w:szCs w:val="28"/>
    </w:rPr>
  </w:style>
  <w:style w:type="character" w:styleId="1152">
    <w:name w:val=" Char Char23"/>
    <w:next w:val="1152"/>
    <w:link w:val="1038"/>
    <w:rPr>
      <w:rFonts w:ascii="Arial" w:hAnsi="Arial" w:eastAsia="黑体" w:cs="Times New Roman"/>
      <w:b/>
      <w:bCs/>
      <w:sz w:val="24"/>
      <w:szCs w:val="24"/>
    </w:rPr>
  </w:style>
  <w:style w:type="character" w:styleId="1153">
    <w:name w:val="t1"/>
    <w:next w:val="1153"/>
    <w:link w:val="1038"/>
    <w:rPr>
      <w:rFonts w:ascii="Times New Roman" w:hAnsi="Times New Roman" w:eastAsia="宋体" w:cs="Times New Roman"/>
      <w:vanish w:val="0"/>
    </w:rPr>
  </w:style>
  <w:style w:type="character" w:styleId="1154">
    <w:name w:val="concon"/>
    <w:next w:val="1154"/>
    <w:link w:val="1038"/>
    <w:rPr>
      <w:rFonts w:ascii="Times New Roman" w:hAnsi="Times New Roman" w:eastAsia="宋体" w:cs="Times New Roman"/>
      <w:b w:val="0"/>
      <w:bCs w:val="0"/>
      <w:i w:val="0"/>
      <w:iCs w:val="0"/>
    </w:rPr>
  </w:style>
  <w:style w:type="character" w:styleId="1155">
    <w:name w:val="Title1 Char,H1 Char,Normal + Font: Helvetica Char,Bold Char,Space Before 12 pt Char,Not Bold Char,h1 Char,H11 Char,H12 Char,H111 Char,H13 Char,H112 Char,1 Char,h:1 Char,h:1app Char,level 1 Char,Level 1 Head Char,heading 1 Char,Huvudrubrik Char,章 Char"/>
    <w:next w:val="1155"/>
    <w:link w:val="1038"/>
    <w:rPr>
      <w:rFonts w:ascii="Times New Roman" w:hAnsi="Times New Roman" w:eastAsia="宋体" w:cs="Times New Roman"/>
      <w:b/>
      <w:bCs/>
      <w:sz w:val="44"/>
      <w:szCs w:val="44"/>
      <w:lang w:val="en-US" w:eastAsia="zh-CN" w:bidi="ar-SA"/>
    </w:rPr>
  </w:style>
  <w:style w:type="character" w:styleId="1156">
    <w:name w:val=" Char Char25"/>
    <w:next w:val="1156"/>
    <w:link w:val="1038"/>
    <w:rPr>
      <w:rFonts w:ascii="Arial" w:hAnsi="Arial" w:eastAsia="黑体" w:cs="Times New Roman"/>
      <w:b/>
      <w:sz w:val="28"/>
    </w:rPr>
  </w:style>
  <w:style w:type="character" w:styleId="1157">
    <w:name w:val=" Char Char20"/>
    <w:next w:val="1157"/>
    <w:link w:val="1038"/>
    <w:rPr>
      <w:rFonts w:ascii="Arial" w:hAnsi="Arial" w:eastAsia="黑体" w:cs="Times New Roman"/>
      <w:sz w:val="21"/>
      <w:szCs w:val="21"/>
    </w:rPr>
  </w:style>
  <w:style w:type="character" w:styleId="1158">
    <w:name w:val="小四 段落 宋体 Char Char Char Char Char"/>
    <w:next w:val="1158"/>
    <w:link w:val="1038"/>
    <w:rPr>
      <w:rFonts w:ascii="Times New Roman" w:hAnsi="Times New Roman" w:eastAsia="宋体" w:cs="Times New Roman"/>
      <w:sz w:val="24"/>
      <w:szCs w:val="24"/>
      <w:lang w:val="en-US" w:eastAsia="zh-CN" w:bidi="ar-SA"/>
    </w:rPr>
  </w:style>
  <w:style w:type="character" w:styleId="1159">
    <w:name w:val="style13"/>
    <w:next w:val="1159"/>
    <w:link w:val="1038"/>
    <w:rPr>
      <w:rFonts w:ascii="Times New Roman" w:hAnsi="Times New Roman" w:eastAsia="宋体" w:cs="Times New Roman"/>
      <w:sz w:val="18"/>
      <w:szCs w:val="18"/>
    </w:rPr>
  </w:style>
  <w:style w:type="character" w:styleId="1160">
    <w:name w:val="2nd level Char,h2 Char,2 Char,Header 2 Char,l2 Char,Titre2 Char,Head 2 Char,H2 Char,Heading 2 Hidden Char,Heading 2 CCBS Char,heading 2 Char,第一章 标题 2 Char,ISO1 Char,UNDERRUBRIK 1-2 Char,Underrubrik1 Char,prop2 Char,Level 2 Topic Heading Char,H21 Char"/>
    <w:next w:val="1160"/>
    <w:link w:val="1038"/>
    <w:rPr>
      <w:rFonts w:ascii="Arial" w:hAnsi="Arial" w:eastAsia="黑体" w:cs="Times New Roman"/>
      <w:b/>
      <w:bCs/>
      <w:sz w:val="32"/>
      <w:szCs w:val="32"/>
      <w:lang w:val="en-US" w:eastAsia="zh-CN" w:bidi="ar-SA"/>
    </w:rPr>
  </w:style>
  <w:style w:type="character" w:styleId="1161">
    <w:name w:val="l-selected"/>
    <w:next w:val="1161"/>
    <w:link w:val="1038"/>
    <w:rPr>
      <w:rFonts w:ascii="Times New Roman" w:hAnsi="Times New Roman" w:eastAsia="宋体" w:cs="Times New Roman"/>
      <w:color w:val="355686"/>
      <w:shd w:val="clear" w:color="auto" w:fill="ffffff"/>
    </w:rPr>
  </w:style>
  <w:style w:type="character" w:styleId="1162">
    <w:name w:val=" Char Char21"/>
    <w:next w:val="1162"/>
    <w:link w:val="1038"/>
    <w:rPr>
      <w:rFonts w:ascii="Arial" w:hAnsi="Arial" w:eastAsia="黑体" w:cs="Times New Roman"/>
      <w:sz w:val="24"/>
      <w:szCs w:val="24"/>
    </w:rPr>
  </w:style>
  <w:style w:type="character" w:styleId="1163">
    <w:name w:val="content"/>
    <w:next w:val="1163"/>
    <w:link w:val="1038"/>
    <w:rPr>
      <w:rFonts w:ascii="Times New Roman" w:hAnsi="Times New Roman" w:eastAsia="宋体" w:cs="Times New Roman"/>
    </w:rPr>
  </w:style>
  <w:style w:type="character" w:styleId="1164">
    <w:name w:val="l-open"/>
    <w:next w:val="1164"/>
    <w:link w:val="1038"/>
    <w:rPr>
      <w:rFonts w:ascii="Times New Roman" w:hAnsi="Times New Roman" w:eastAsia="宋体" w:cs="Times New Roman"/>
    </w:rPr>
  </w:style>
  <w:style w:type="character" w:styleId="1165">
    <w:name w:val="title_emph1"/>
    <w:next w:val="1165"/>
    <w:link w:val="1038"/>
    <w:rPr>
      <w:rFonts w:ascii="Arial" w:hAnsi="Times New Roman" w:eastAsia="宋体" w:cs="Arial"/>
      <w:b/>
      <w:bCs/>
      <w:i w:val="0"/>
      <w:iCs w:val="0"/>
      <w:sz w:val="18"/>
      <w:szCs w:val="18"/>
    </w:rPr>
  </w:style>
  <w:style w:type="character" w:styleId="1166">
    <w:name w:val="textcontents"/>
    <w:next w:val="1166"/>
    <w:link w:val="1038"/>
    <w:rPr>
      <w:rFonts w:ascii="Times New Roman" w:hAnsi="Times New Roman" w:eastAsia="宋体" w:cs="Times New Roman"/>
    </w:rPr>
  </w:style>
  <w:style w:type="character" w:styleId="1167">
    <w:name w:val="正文 + 宋体 Char,小四 Char,黑色 Char,行距: 1.5 倍行距 Char"/>
    <w:next w:val="1167"/>
    <w:link w:val="1038"/>
    <w:rPr>
      <w:rFonts w:ascii="Times New Roman" w:hAnsi="Times New Roman" w:eastAsia="宋体" w:cs="Times New Roman"/>
      <w:sz w:val="21"/>
      <w:szCs w:val="24"/>
      <w:lang w:val="en-US" w:eastAsia="zh-CN" w:bidi="ar-SA"/>
    </w:rPr>
  </w:style>
  <w:style w:type="character" w:styleId="1168">
    <w:name w:val="param-value"/>
    <w:next w:val="1168"/>
    <w:link w:val="1038"/>
    <w:rPr>
      <w:rFonts w:ascii="Times New Roman" w:hAnsi="Times New Roman" w:eastAsia="宋体" w:cs="Times New Roman"/>
    </w:rPr>
  </w:style>
  <w:style w:type="character" w:styleId="1169">
    <w:name w:val=" Char Char2"/>
    <w:next w:val="1169"/>
    <w:link w:val="1038"/>
    <w:rPr>
      <w:rFonts w:ascii="宋体" w:hAnsi="Courier New" w:eastAsia="宋体" w:cs="Times New Roman"/>
      <w:sz w:val="21"/>
      <w:szCs w:val="21"/>
      <w:lang w:val="en-US" w:eastAsia="zh-CN" w:bidi="ar-SA"/>
    </w:rPr>
  </w:style>
  <w:style w:type="character" w:styleId="1170">
    <w:name w:val="小四 段落 宋体 Char Char Char Char1"/>
    <w:next w:val="1170"/>
    <w:link w:val="1038"/>
    <w:rPr>
      <w:rFonts w:ascii="Times New Roman" w:hAnsi="Times New Roman" w:eastAsia="宋体" w:cs="Times New Roman"/>
      <w:sz w:val="24"/>
      <w:szCs w:val="24"/>
      <w:lang w:val="en-US" w:eastAsia="zh-CN" w:bidi="ar-SA"/>
    </w:rPr>
  </w:style>
  <w:style w:type="character" w:styleId="1171">
    <w:name w:val=" Char Char28"/>
    <w:next w:val="1171"/>
    <w:link w:val="1038"/>
    <w:rPr>
      <w:rFonts w:ascii="Arial" w:hAnsi="Arial" w:eastAsia="黑体" w:cs="Arial"/>
      <w:b/>
      <w:bCs/>
      <w:sz w:val="32"/>
      <w:szCs w:val="32"/>
    </w:rPr>
  </w:style>
  <w:style w:type="character" w:styleId="1172">
    <w:name w:val="普通文字1 Char,普通文字2 Char,普通文字3 Char,普通文字4 Char,普通文字5 Char,普通文字6 Char,普通文字11 Char,普通文字21 Char,普通文字31 Char,普通文字41 Char,普通文字7 Char Char,普通文字 Char1,普通文字 Char Char"/>
    <w:next w:val="1172"/>
    <w:link w:val="1038"/>
    <w:rPr>
      <w:rFonts w:ascii="宋体" w:hAnsi="Times New Roman" w:eastAsia="宋体" w:cs="Times New Roman"/>
      <w:b w:val="0"/>
      <w:bCs w:val="0"/>
      <w:i w:val="0"/>
      <w:iCs w:val="0"/>
      <w:sz w:val="21"/>
      <w:szCs w:val="21"/>
      <w:lang w:val="en-US" w:eastAsia="zh-CN" w:bidi="ar-SA"/>
    </w:rPr>
  </w:style>
  <w:style w:type="character" w:styleId="1173">
    <w:name w:val="font31"/>
    <w:next w:val="1173"/>
    <w:link w:val="1038"/>
    <w:rPr>
      <w:rFonts w:hint="eastAsia" w:ascii="宋体" w:hAnsi="宋体" w:eastAsia="宋体" w:cs="宋体"/>
      <w:i w:val="0"/>
      <w:iCs w:val="0"/>
      <w:color w:val="000000"/>
      <w:sz w:val="18"/>
      <w:szCs w:val="18"/>
      <w:u w:val="none"/>
    </w:rPr>
  </w:style>
  <w:style w:type="character" w:styleId="1174">
    <w:name w:val="￥正文 Char"/>
    <w:next w:val="1174"/>
    <w:link w:val="1175"/>
    <w:rPr>
      <w:rFonts w:ascii="Times New Roman" w:hAnsi="Times New Roman" w:eastAsia="宋体" w:cs="Times New Roman"/>
      <w:sz w:val="24"/>
    </w:rPr>
  </w:style>
  <w:style w:type="paragraph" w:styleId="1175">
    <w:name w:val="￥正文"/>
    <w:basedOn w:val="1038"/>
    <w:next w:val="1175"/>
    <w:link w:val="1174"/>
    <w:pPr>
      <w:ind w:firstLine="200"/>
      <w:spacing w:before="0" w:after="0"/>
    </w:pPr>
    <w:rPr>
      <w:rFonts w:eastAsia="宋体"/>
      <w:sz w:val="24"/>
    </w:rPr>
  </w:style>
  <w:style w:type="character" w:styleId="1176">
    <w:name w:val="已访问的超链接1"/>
    <w:next w:val="1176"/>
    <w:link w:val="1038"/>
    <w:rPr>
      <w:rFonts w:ascii="Times New Roman" w:hAnsi="Times New Roman" w:eastAsia="宋体" w:cs="Times New Roman"/>
      <w:b w:val="0"/>
      <w:bCs w:val="0"/>
      <w:i w:val="0"/>
      <w:iCs w:val="0"/>
      <w:color w:val="000000"/>
      <w:u w:val="none"/>
    </w:rPr>
  </w:style>
  <w:style w:type="character" w:styleId="1177">
    <w:name w:val="小四 段落 宋体 Char Char Char1"/>
    <w:next w:val="1177"/>
    <w:link w:val="1038"/>
    <w:rPr>
      <w:rFonts w:ascii="宋体" w:hAnsi="宋体" w:eastAsia="宋体" w:cs="Times New Roman"/>
      <w:sz w:val="24"/>
      <w:szCs w:val="24"/>
      <w:lang w:val="en-US" w:eastAsia="zh-CN" w:bidi="ar-SA"/>
    </w:rPr>
  </w:style>
  <w:style w:type="character" w:styleId="1178">
    <w:name w:val="批注文字 Char"/>
    <w:next w:val="1178"/>
    <w:link w:val="1038"/>
    <w:rPr>
      <w:rFonts w:ascii="Times New Roman" w:hAnsi="Times New Roman" w:eastAsia="宋体" w:cs="Times New Roman"/>
      <w:sz w:val="21"/>
      <w:lang w:val="en-US" w:eastAsia="zh-CN" w:bidi="ar-SA"/>
    </w:rPr>
  </w:style>
  <w:style w:type="character" w:styleId="1179">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179"/>
    <w:link w:val="1038"/>
    <w:rPr>
      <w:rFonts w:ascii="Times New Roman" w:hAnsi="Times New Roman" w:eastAsia="宋体" w:cs="Times New Roman"/>
      <w:b/>
      <w:bCs/>
      <w:sz w:val="32"/>
      <w:szCs w:val="32"/>
      <w:lang w:val="en-US" w:eastAsia="zh-CN" w:bidi="ar-SA"/>
    </w:rPr>
  </w:style>
  <w:style w:type="character" w:styleId="1180">
    <w:name w:val="标准文本 Char"/>
    <w:next w:val="1180"/>
    <w:link w:val="1038"/>
    <w:rPr>
      <w:rFonts w:ascii="Times New Roman" w:hAnsi="Times New Roman" w:eastAsia="宋体" w:cs="宋体"/>
      <w:sz w:val="24"/>
      <w:szCs w:val="24"/>
      <w:lang w:val="en-US" w:eastAsia="zh-CN" w:bidi="ar-SA"/>
    </w:rPr>
  </w:style>
  <w:style w:type="character" w:styleId="1181">
    <w:name w:val="point_normal1"/>
    <w:next w:val="1181"/>
    <w:link w:val="1038"/>
    <w:rPr>
      <w:rFonts w:ascii="Arial" w:hAnsi="Arial" w:eastAsia="宋体" w:cs="Arial"/>
      <w:sz w:val="18"/>
      <w:szCs w:val="18"/>
    </w:rPr>
  </w:style>
  <w:style w:type="character" w:styleId="1182">
    <w:name w:val="font101"/>
    <w:next w:val="1182"/>
    <w:link w:val="1038"/>
    <w:rPr>
      <w:rFonts w:hint="eastAsia" w:ascii="宋体" w:hAnsi="宋体" w:eastAsia="宋体" w:cs="宋体"/>
      <w:i w:val="0"/>
      <w:iCs w:val="0"/>
      <w:color w:val="000000"/>
      <w:sz w:val="16"/>
      <w:szCs w:val="16"/>
      <w:u w:val="none"/>
    </w:rPr>
  </w:style>
  <w:style w:type="character" w:styleId="1183">
    <w:name w:val="subtitle1"/>
    <w:next w:val="1183"/>
    <w:link w:val="1038"/>
    <w:rPr>
      <w:rFonts w:ascii="Georgia" w:hAnsi="Georgia" w:eastAsia="宋体" w:cs="Times New Roman"/>
      <w:b/>
      <w:bCs/>
      <w:i w:val="0"/>
      <w:iCs w:val="0"/>
      <w:color w:val="666666"/>
      <w:sz w:val="18"/>
      <w:szCs w:val="18"/>
    </w:rPr>
  </w:style>
  <w:style w:type="character" w:styleId="1184">
    <w:name w:val="l-selected2"/>
    <w:next w:val="1184"/>
    <w:link w:val="1038"/>
    <w:rPr>
      <w:rFonts w:ascii="Times New Roman" w:hAnsi="Times New Roman" w:eastAsia="宋体" w:cs="Times New Roman"/>
      <w:color w:val="355686"/>
      <w:shd w:val="clear" w:color="auto" w:fill="ffffff"/>
    </w:rPr>
  </w:style>
  <w:style w:type="character" w:styleId="1185">
    <w:name w:val="标题 Char1"/>
    <w:next w:val="1185"/>
    <w:link w:val="1038"/>
    <w:rPr>
      <w:rFonts w:ascii="Cambria" w:hAnsi="Times New Roman" w:eastAsia="宋体" w:cs="Times New Roman"/>
      <w:b/>
      <w:bCs/>
      <w:i w:val="0"/>
      <w:iCs w:val="0"/>
      <w:sz w:val="32"/>
      <w:szCs w:val="32"/>
    </w:rPr>
  </w:style>
  <w:style w:type="character" w:styleId="1186">
    <w:name w:val="小四 段落 宋体 Char1"/>
    <w:next w:val="1186"/>
    <w:link w:val="1038"/>
    <w:rPr>
      <w:rFonts w:ascii="Times New Roman" w:hAnsi="Times New Roman" w:eastAsia="宋体" w:cs="Times New Roman"/>
      <w:sz w:val="24"/>
      <w:szCs w:val="24"/>
      <w:lang w:val="en-US" w:eastAsia="zh-CN" w:bidi="ar-SA"/>
    </w:rPr>
  </w:style>
  <w:style w:type="character" w:styleId="1187">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行缩进两字） Char,正文双线 Char,正文文字 Char Char,表正文 Char,正文非缩进 Char"/>
    <w:next w:val="1187"/>
    <w:link w:val="1038"/>
    <w:rPr>
      <w:rFonts w:ascii="Times New Roman" w:hAnsi="Times New Roman" w:eastAsia="宋体" w:cs="Times New Roman"/>
      <w:sz w:val="21"/>
      <w:lang w:val="en-US" w:eastAsia="zh-CN" w:bidi="ar-SA"/>
    </w:rPr>
  </w:style>
  <w:style w:type="character" w:styleId="1188">
    <w:name w:val="标题 3 Char Char"/>
    <w:next w:val="1188"/>
    <w:link w:val="1038"/>
    <w:rPr>
      <w:rFonts w:ascii="Times New Roman" w:hAnsi="Times New Roman" w:eastAsia="仿宋_GB2312" w:cs="Times New Roman"/>
      <w:b/>
      <w:bCs/>
      <w:sz w:val="28"/>
      <w:szCs w:val="32"/>
      <w:lang w:val="en-US" w:eastAsia="zh-CN" w:bidi="ar-SA"/>
    </w:rPr>
  </w:style>
  <w:style w:type="character" w:styleId="1189">
    <w:name w:val="不明显强调"/>
    <w:next w:val="1189"/>
    <w:link w:val="1038"/>
    <w:qFormat/>
    <w:rPr>
      <w:rFonts w:ascii="Times New Roman" w:hAnsi="Times New Roman" w:eastAsia="宋体" w:cs="Times New Roman"/>
      <w:i/>
      <w:iCs/>
    </w:rPr>
  </w:style>
  <w:style w:type="character" w:styleId="1190">
    <w:name w:val=" Char Char26"/>
    <w:next w:val="1190"/>
    <w:link w:val="1038"/>
    <w:rPr>
      <w:rFonts w:ascii="Times New Roman" w:hAnsi="Times New Roman" w:eastAsia="宋体" w:cs="Times New Roman"/>
      <w:b/>
      <w:bCs/>
      <w:sz w:val="32"/>
      <w:szCs w:val="32"/>
    </w:rPr>
  </w:style>
  <w:style w:type="character" w:styleId="1191">
    <w:name w:val="l-over"/>
    <w:next w:val="1191"/>
    <w:link w:val="1038"/>
    <w:rPr>
      <w:rFonts w:ascii="Times New Roman" w:hAnsi="Times New Roman" w:eastAsia="宋体" w:cs="Times New Roman"/>
    </w:rPr>
  </w:style>
  <w:style w:type="character" w:styleId="1192">
    <w:name w:val="样式 首行缩进:  2 字符 Char"/>
    <w:next w:val="1192"/>
    <w:link w:val="1038"/>
    <w:rPr>
      <w:rFonts w:ascii="Times New Roman" w:hAnsi="Times New Roman" w:eastAsia="宋体" w:cs="宋体"/>
      <w:sz w:val="24"/>
      <w:lang w:val="en-US" w:eastAsia="zh-CN" w:bidi="ar-SA"/>
    </w:rPr>
  </w:style>
  <w:style w:type="character" w:styleId="1193">
    <w:name w:val="新图表正文 Char Char"/>
    <w:next w:val="1193"/>
    <w:link w:val="1194"/>
    <w:rPr>
      <w:rFonts w:ascii="宋体" w:hAnsi="宋体"/>
      <w:sz w:val="18"/>
      <w:szCs w:val="21"/>
      <w:lang w:val="en-US" w:eastAsia="zh-CN" w:bidi="ar-SA"/>
    </w:rPr>
  </w:style>
  <w:style w:type="paragraph" w:styleId="1194">
    <w:name w:val="新图表正文"/>
    <w:next w:val="1194"/>
    <w:link w:val="1193"/>
    <w:pPr>
      <w:jc w:val="both"/>
    </w:pPr>
    <w:rPr>
      <w:rFonts w:ascii="宋体" w:hAnsi="宋体"/>
      <w:sz w:val="18"/>
      <w:szCs w:val="21"/>
      <w:lang w:val="en-US" w:eastAsia="zh-CN" w:bidi="ar-SA"/>
    </w:rPr>
  </w:style>
  <w:style w:type="character" w:styleId="1195">
    <w:name w:val="listbenefit"/>
    <w:next w:val="1195"/>
    <w:link w:val="1038"/>
    <w:rPr>
      <w:rFonts w:ascii="Times New Roman" w:hAnsi="Times New Roman" w:eastAsia="宋体" w:cs="Times New Roman"/>
      <w:b w:val="0"/>
      <w:bCs w:val="0"/>
      <w:i w:val="0"/>
      <w:iCs w:val="0"/>
    </w:rPr>
  </w:style>
  <w:style w:type="character" w:styleId="1196">
    <w:name w:val="列出段落 Char,Bullet List Char,numbered Char,FooterText Char,List Paragraph1 Char,Paragraphe de liste1 Char"/>
    <w:next w:val="1196"/>
    <w:link w:val="1197"/>
    <w:rPr>
      <w:rFonts w:ascii="Arial" w:hAnsi="Arial" w:eastAsia="黑体" w:cs="Times New Roman"/>
      <w:sz w:val="24"/>
      <w:szCs w:val="24"/>
      <w:lang w:eastAsia="en-US"/>
    </w:rPr>
  </w:style>
  <w:style w:type="paragraph" w:styleId="1197">
    <w:name w:val="列出段落1"/>
    <w:basedOn w:val="1038"/>
    <w:next w:val="1197"/>
    <w:link w:val="1196"/>
    <w:pPr>
      <w:contextualSpacing/>
      <w:ind w:left="720"/>
      <w:jc w:val="left"/>
      <w:widowControl/>
    </w:pPr>
    <w:rPr>
      <w:rFonts w:ascii="Arial" w:hAnsi="Arial" w:eastAsia="黑体"/>
      <w:sz w:val="24"/>
      <w:szCs w:val="24"/>
      <w:lang w:eastAsia="en-US"/>
    </w:rPr>
  </w:style>
  <w:style w:type="character" w:styleId="1198">
    <w:name w:val="正文缩进 Char1"/>
    <w:next w:val="1198"/>
    <w:link w:val="1199"/>
    <w:rPr>
      <w:rFonts w:ascii="Times New Roman" w:hAnsi="Times New Roman" w:eastAsia="宋体" w:cs="Times New Roman"/>
      <w:lang w:bidi="ar-SA"/>
    </w:rPr>
  </w:style>
  <w:style w:type="paragraph" w:styleId="1199">
    <w:name w:val="Normal Indent1"/>
    <w:basedOn w:val="1038"/>
    <w:next w:val="1199"/>
    <w:link w:val="1198"/>
    <w:pPr>
      <w:ind w:firstLine="420"/>
    </w:pPr>
    <w:rPr>
      <w:rFonts w:eastAsia="宋体"/>
      <w:sz w:val="20"/>
    </w:rPr>
  </w:style>
  <w:style w:type="character" w:styleId="1200">
    <w:name w:val="font81"/>
    <w:next w:val="1200"/>
    <w:link w:val="1038"/>
    <w:rPr>
      <w:rFonts w:hint="eastAsia" w:ascii="宋体" w:hAnsi="宋体" w:eastAsia="宋体" w:cs="宋体"/>
      <w:i w:val="0"/>
      <w:iCs w:val="0"/>
      <w:color w:val="000000"/>
      <w:sz w:val="16"/>
      <w:szCs w:val="16"/>
      <w:u w:val="none"/>
    </w:rPr>
  </w:style>
  <w:style w:type="character" w:styleId="1201">
    <w:name w:val="ih151"/>
    <w:next w:val="1201"/>
    <w:link w:val="1038"/>
    <w:rPr>
      <w:rFonts w:ascii="Times New Roman" w:hAnsi="Times New Roman" w:eastAsia="宋体" w:cs="Times New Roman"/>
      <w:b w:val="0"/>
      <w:bCs w:val="0"/>
      <w:i w:val="0"/>
      <w:iCs w:val="0"/>
      <w:caps w:val="0"/>
      <w:smallCaps w:val="0"/>
      <w:color w:val="666666"/>
      <w:sz w:val="18"/>
      <w:szCs w:val="18"/>
      <w:u w:val="none"/>
    </w:rPr>
  </w:style>
  <w:style w:type="character" w:styleId="1202">
    <w:name w:val="纯文本 Char Char Char"/>
    <w:next w:val="1202"/>
    <w:link w:val="1038"/>
    <w:rPr>
      <w:rFonts w:ascii="宋体" w:hAnsi="Courier New" w:eastAsia="宋体" w:cs="Times New Roman"/>
      <w:sz w:val="21"/>
      <w:szCs w:val="21"/>
      <w:lang w:val="en-US" w:eastAsia="zh-CN" w:bidi="ar-SA"/>
    </w:rPr>
  </w:style>
  <w:style w:type="character" w:styleId="1203">
    <w:name w:val="引用 字符"/>
    <w:next w:val="1203"/>
    <w:link w:val="1204"/>
    <w:rPr>
      <w:rFonts w:ascii="Calibri" w:hAnsi="Calibri" w:eastAsia="宋体" w:cs="Times New Roman"/>
      <w:i/>
      <w:iCs/>
      <w:sz w:val="22"/>
      <w:szCs w:val="22"/>
      <w:lang w:val="en-US" w:eastAsia="en-US" w:bidi="en-US"/>
    </w:rPr>
  </w:style>
  <w:style w:type="paragraph" w:styleId="1204">
    <w:name w:val="引用"/>
    <w:basedOn w:val="1038"/>
    <w:next w:val="1038"/>
    <w:link w:val="1203"/>
    <w:qFormat/>
    <w:pPr>
      <w:ind w:left="360" w:right="360"/>
      <w:jc w:val="left"/>
      <w:spacing w:before="200" w:line="276" w:lineRule="auto"/>
      <w:widowControl/>
    </w:pPr>
    <w:rPr>
      <w:rFonts w:ascii="Calibri" w:hAnsi="Calibri" w:eastAsia="宋体"/>
      <w:i/>
      <w:iCs/>
      <w:sz w:val="22"/>
      <w:szCs w:val="22"/>
      <w:lang w:eastAsia="en-US" w:bidi="en-US"/>
    </w:rPr>
  </w:style>
  <w:style w:type="character" w:styleId="1205">
    <w:name w:val="font91"/>
    <w:next w:val="1205"/>
    <w:link w:val="1038"/>
    <w:rPr>
      <w:rFonts w:ascii="Arial" w:hAnsi="Arial" w:eastAsia="宋体" w:cs="Arial"/>
      <w:i w:val="0"/>
      <w:iCs w:val="0"/>
      <w:color w:val="000000"/>
      <w:sz w:val="16"/>
      <w:szCs w:val="16"/>
      <w:u w:val="none"/>
    </w:rPr>
  </w:style>
  <w:style w:type="character" w:styleId="1206">
    <w:name w:val="3zw"/>
    <w:next w:val="1206"/>
    <w:link w:val="1038"/>
    <w:rPr>
      <w:rFonts w:ascii="Times New Roman" w:hAnsi="Times New Roman" w:eastAsia="宋体" w:cs="Times New Roman"/>
    </w:rPr>
  </w:style>
  <w:style w:type="character" w:styleId="1207">
    <w:name w:val="样式 首行缩进:  2 字符 Char Char"/>
    <w:next w:val="1207"/>
    <w:link w:val="1208"/>
    <w:rPr>
      <w:rFonts w:ascii="Times New Roman" w:hAnsi="Times New Roman" w:eastAsia="宋体" w:cs="宋体"/>
      <w:sz w:val="24"/>
      <w:lang w:val="en-US" w:eastAsia="zh-CN" w:bidi="ar-SA"/>
    </w:rPr>
  </w:style>
  <w:style w:type="paragraph" w:styleId="1208">
    <w:name w:val="样式 首行缩进:  2 字符"/>
    <w:basedOn w:val="1038"/>
    <w:next w:val="1208"/>
    <w:link w:val="1207"/>
    <w:pPr>
      <w:ind w:firstLine="480"/>
      <w:spacing w:line="360" w:lineRule="auto"/>
    </w:pPr>
    <w:rPr>
      <w:rFonts w:eastAsia="宋体" w:cs="宋体"/>
      <w:sz w:val="24"/>
    </w:rPr>
  </w:style>
  <w:style w:type="character" w:styleId="1209">
    <w:name w:val="A2"/>
    <w:next w:val="1209"/>
    <w:link w:val="1038"/>
    <w:rPr>
      <w:rFonts w:ascii="Times New Roman" w:hAnsi="Times New Roman" w:eastAsia="宋体" w:cs="Helvetica"/>
      <w:color w:val="000000"/>
      <w:sz w:val="18"/>
      <w:szCs w:val="18"/>
    </w:rPr>
  </w:style>
  <w:style w:type="character" w:styleId="1210">
    <w:name w:val=" Char Char27"/>
    <w:next w:val="1210"/>
    <w:link w:val="1038"/>
    <w:rPr>
      <w:rFonts w:ascii="Times New Roman" w:hAnsi="Times New Roman" w:eastAsia="宋体" w:cs="Times New Roman"/>
      <w:b/>
      <w:bCs/>
      <w:sz w:val="44"/>
      <w:szCs w:val="44"/>
    </w:rPr>
  </w:style>
  <w:style w:type="character" w:styleId="1211">
    <w:name w:val="无间隔 字符"/>
    <w:next w:val="1211"/>
    <w:link w:val="1212"/>
    <w:rPr>
      <w:rFonts w:eastAsia="微软雅黑"/>
      <w:sz w:val="24"/>
      <w:szCs w:val="22"/>
      <w:lang w:val="en-US" w:eastAsia="zh-CN" w:bidi="ar-SA"/>
    </w:rPr>
  </w:style>
  <w:style w:type="paragraph" w:styleId="1212">
    <w:name w:val="无间隔"/>
    <w:next w:val="1212"/>
    <w:link w:val="1211"/>
    <w:qFormat/>
    <w:pPr>
      <w:jc w:val="both"/>
      <w:widowControl w:val="off"/>
    </w:pPr>
    <w:rPr>
      <w:rFonts w:eastAsia="微软雅黑"/>
      <w:sz w:val="24"/>
      <w:szCs w:val="22"/>
      <w:lang w:val="en-US" w:eastAsia="zh-CN" w:bidi="ar-SA"/>
    </w:rPr>
  </w:style>
  <w:style w:type="character" w:styleId="1213">
    <w:name w:val="标准文本 Char Char"/>
    <w:next w:val="1213"/>
    <w:link w:val="1038"/>
    <w:rPr>
      <w:rFonts w:ascii="Times New Roman" w:hAnsi="Times New Roman" w:eastAsia="宋体" w:cs="宋体"/>
      <w:sz w:val="24"/>
      <w:szCs w:val="24"/>
      <w:lang w:val="en-US" w:eastAsia="zh-CN" w:bidi="ar-SA"/>
    </w:rPr>
  </w:style>
  <w:style w:type="character" w:styleId="1214">
    <w:name w:val=" Char Char29"/>
    <w:next w:val="1214"/>
    <w:link w:val="1038"/>
    <w:rPr>
      <w:rFonts w:ascii="Times New Roman" w:hAnsi="Times New Roman" w:eastAsia="宋体" w:cs="Times New Roman"/>
      <w:b/>
      <w:bCs/>
      <w:sz w:val="44"/>
      <w:szCs w:val="44"/>
    </w:rPr>
  </w:style>
  <w:style w:type="character" w:styleId="1215">
    <w:name w:val="标准小四 Char"/>
    <w:next w:val="1215"/>
    <w:link w:val="1038"/>
    <w:rPr>
      <w:rFonts w:ascii="Arial" w:hAnsi="Arial" w:eastAsia="宋体" w:cs="Times New Roman"/>
      <w:sz w:val="24"/>
      <w:szCs w:val="21"/>
      <w:lang w:val="en-US" w:eastAsia="zh-CN" w:bidi="ar-SA"/>
    </w:rPr>
  </w:style>
  <w:style w:type="character" w:styleId="1216">
    <w:name w:val="华宇段落1 Char Char Char"/>
    <w:next w:val="1216"/>
    <w:link w:val="1038"/>
    <w:rPr>
      <w:rFonts w:ascii="Times New Roman" w:hAnsi="Times New Roman" w:eastAsia="宋体" w:cs="Times New Roman"/>
      <w:bCs/>
      <w:sz w:val="24"/>
      <w:szCs w:val="24"/>
      <w:lang w:val="en-US" w:eastAsia="zh-CN" w:bidi="ar-SA"/>
    </w:rPr>
  </w:style>
  <w:style w:type="character" w:styleId="1217">
    <w:name w:val="样式 非加粗"/>
    <w:next w:val="1217"/>
    <w:link w:val="1038"/>
    <w:rPr>
      <w:rFonts w:ascii="Times New Roman" w:hAnsi="Times New Roman" w:eastAsia="宋体" w:cs="Times New Roman"/>
      <w:sz w:val="28"/>
    </w:rPr>
  </w:style>
  <w:style w:type="character" w:styleId="1218">
    <w:name w:val="小四 段落 宋体 Char Char Char Char Char Char Char Char"/>
    <w:next w:val="1218"/>
    <w:link w:val="1038"/>
    <w:rPr>
      <w:rFonts w:ascii="Times New Roman" w:hAnsi="Times New Roman" w:eastAsia="宋体" w:cs="Times New Roman"/>
      <w:sz w:val="24"/>
      <w:szCs w:val="24"/>
      <w:lang w:val="en-US" w:eastAsia="zh-CN" w:bidi="ar-SA"/>
    </w:rPr>
  </w:style>
  <w:style w:type="character" w:styleId="1219">
    <w:name w:val="华宇段落1 Char Char"/>
    <w:next w:val="1219"/>
    <w:link w:val="1038"/>
    <w:rPr>
      <w:rFonts w:ascii="Times New Roman" w:hAnsi="Times New Roman" w:eastAsia="宋体" w:cs="Times New Roman"/>
      <w:bCs/>
      <w:sz w:val="24"/>
      <w:szCs w:val="24"/>
      <w:lang w:val="en-US" w:eastAsia="zh-CN" w:bidi="ar-SA"/>
    </w:rPr>
  </w:style>
  <w:style w:type="character" w:styleId="1220">
    <w:name w:val="小四 段落 宋体 Char Char Char Char Char Char"/>
    <w:next w:val="1220"/>
    <w:link w:val="1038"/>
    <w:rPr>
      <w:rFonts w:ascii="Times New Roman" w:hAnsi="Times New Roman" w:eastAsia="宋体" w:cs="Times New Roman"/>
      <w:sz w:val="24"/>
      <w:szCs w:val="24"/>
      <w:lang w:val="en-US" w:eastAsia="zh-CN" w:bidi="ar-SA"/>
    </w:rPr>
  </w:style>
  <w:style w:type="character" w:styleId="1221">
    <w:name w:val="表格抬头 Char"/>
    <w:next w:val="1221"/>
    <w:link w:val="1222"/>
    <w:rPr>
      <w:rFonts w:ascii="黑体" w:hAnsi="Times New Roman" w:eastAsia="黑体" w:cs="Times New Roman"/>
      <w:b/>
      <w:sz w:val="21"/>
      <w:lang w:bidi="ar-SA"/>
    </w:rPr>
  </w:style>
  <w:style w:type="paragraph" w:styleId="1222">
    <w:name w:val="表格抬头"/>
    <w:basedOn w:val="1038"/>
    <w:next w:val="1222"/>
    <w:link w:val="1221"/>
    <w:pPr>
      <w:jc w:val="center"/>
    </w:pPr>
    <w:rPr>
      <w:rFonts w:ascii="黑体" w:eastAsia="黑体"/>
      <w:b/>
    </w:rPr>
  </w:style>
  <w:style w:type="character" w:styleId="1223">
    <w:name w:val=" Char Char22"/>
    <w:next w:val="1223"/>
    <w:link w:val="1038"/>
    <w:rPr>
      <w:rFonts w:ascii="Times New Roman" w:hAnsi="Times New Roman" w:eastAsia="宋体" w:cs="Times New Roman"/>
      <w:b/>
      <w:bCs/>
      <w:sz w:val="24"/>
      <w:szCs w:val="24"/>
    </w:rPr>
  </w:style>
  <w:style w:type="character" w:styleId="1224">
    <w:name w:val="样式 宋体 小四"/>
    <w:next w:val="1224"/>
    <w:link w:val="1038"/>
    <w:rPr>
      <w:rFonts w:ascii="宋体" w:hAnsi="宋体" w:eastAsia="宋体" w:cs="Times New Roman"/>
      <w:sz w:val="24"/>
    </w:rPr>
  </w:style>
  <w:style w:type="character" w:styleId="1225">
    <w:name w:val="明显引用 字符"/>
    <w:next w:val="1225"/>
    <w:link w:val="1226"/>
    <w:rPr>
      <w:rFonts w:ascii="Calibri" w:hAnsi="Calibri" w:eastAsia="宋体" w:cs="Times New Roman"/>
      <w:b/>
      <w:bCs/>
      <w:i/>
      <w:iCs/>
      <w:sz w:val="22"/>
      <w:szCs w:val="22"/>
      <w:lang w:val="en-US" w:eastAsia="en-US" w:bidi="en-US"/>
    </w:rPr>
  </w:style>
  <w:style w:type="paragraph" w:styleId="1226">
    <w:name w:val="明显引用"/>
    <w:basedOn w:val="1038"/>
    <w:next w:val="1038"/>
    <w:link w:val="1225"/>
    <w:qFormat/>
    <w:pPr>
      <w:ind w:left="1008" w:right="1152"/>
      <w:spacing w:before="200" w:after="280" w:line="276" w:lineRule="auto"/>
      <w:widowControl/>
      <w:pBdr>
        <w:bottom w:val="single" w:color="000000" w:sz="4" w:space="1"/>
      </w:pBdr>
    </w:pPr>
    <w:rPr>
      <w:rFonts w:ascii="Calibri" w:hAnsi="Calibri" w:eastAsia="宋体"/>
      <w:b/>
      <w:bCs/>
      <w:i/>
      <w:iCs/>
      <w:sz w:val="22"/>
      <w:szCs w:val="22"/>
      <w:lang w:eastAsia="en-US" w:bidi="en-US"/>
    </w:rPr>
  </w:style>
  <w:style w:type="character" w:styleId="1227">
    <w:name w:val="明显强调"/>
    <w:next w:val="1227"/>
    <w:link w:val="1038"/>
    <w:qFormat/>
    <w:rPr>
      <w:rFonts w:ascii="Times New Roman" w:hAnsi="Times New Roman" w:eastAsia="宋体" w:cs="Times New Roman"/>
      <w:b/>
      <w:bCs/>
    </w:rPr>
  </w:style>
  <w:style w:type="character" w:styleId="1228">
    <w:name w:val="标题 3 Char,h3 Char,3rd level Char,3 Char,标题4 Char,Heading 3 - old Char,标题 3 Char1,正文 + 小三 Char,H3 Char,sect1.2.3 Char,BOD 0 Char,l3 Char,CT Char,Level 3 Head Char,3rd lev...] Char Char,heading 3 Char,123456 Char,F Char Char,Map Char,H31 Char,level_3 Char"/>
    <w:next w:val="1228"/>
    <w:link w:val="1038"/>
    <w:rPr>
      <w:rFonts w:ascii="宋体" w:hAnsi="宋体" w:eastAsia="宋体" w:cs="Times New Roman"/>
      <w:b/>
      <w:bCs/>
      <w:sz w:val="24"/>
      <w:szCs w:val="32"/>
      <w:lang w:val="en-US" w:eastAsia="zh-CN" w:bidi="ar-SA"/>
    </w:rPr>
  </w:style>
  <w:style w:type="character" w:styleId="1229">
    <w:name w:val="normalfont1"/>
    <w:next w:val="1229"/>
    <w:link w:val="1038"/>
    <w:rPr>
      <w:rFonts w:ascii="ˎ̥" w:hAnsi="ˎ̥" w:eastAsia="宋体" w:cs="Times New Roman"/>
      <w:sz w:val="18"/>
      <w:szCs w:val="18"/>
      <w:u w:val="none"/>
    </w:rPr>
  </w:style>
  <w:style w:type="character" w:styleId="1230">
    <w:name w:val="111111 Char"/>
    <w:next w:val="1230"/>
    <w:link w:val="1231"/>
    <w:rPr>
      <w:rFonts w:ascii="宋体" w:hAnsi="宋体" w:eastAsia="黑体" w:cs="宋体"/>
      <w:b/>
      <w:bCs/>
      <w:sz w:val="21"/>
      <w:szCs w:val="21"/>
      <w:lang w:val="en-US" w:eastAsia="zh-CN" w:bidi="ar-SA"/>
    </w:rPr>
  </w:style>
  <w:style w:type="paragraph" w:styleId="1231">
    <w:name w:val="111111"/>
    <w:basedOn w:val="1038"/>
    <w:next w:val="1231"/>
    <w:link w:val="1230"/>
    <w:pPr>
      <w:jc w:val="center"/>
      <w:spacing w:before="120" w:after="120"/>
    </w:pPr>
    <w:rPr>
      <w:rFonts w:ascii="宋体" w:hAnsi="宋体" w:eastAsia="黑体" w:cs="宋体"/>
      <w:b/>
      <w:bCs/>
      <w:szCs w:val="21"/>
    </w:rPr>
  </w:style>
  <w:style w:type="character" w:styleId="1232">
    <w:name w:val="apple-converted-space"/>
    <w:next w:val="1232"/>
    <w:link w:val="1038"/>
    <w:rPr>
      <w:rFonts w:ascii="Times New Roman" w:hAnsi="Times New Roman" w:eastAsia="宋体" w:cs="Times New Roman"/>
    </w:rPr>
  </w:style>
  <w:style w:type="character" w:styleId="1233">
    <w:name w:val="纯文本 Char Char"/>
    <w:next w:val="1233"/>
    <w:link w:val="1038"/>
    <w:rPr>
      <w:rFonts w:ascii="宋体" w:hAnsi="Courier New" w:eastAsia="宋体" w:cs="Times New Roman"/>
      <w:sz w:val="21"/>
      <w:szCs w:val="21"/>
      <w:lang w:val="en-US" w:eastAsia="zh-CN" w:bidi="ar-SA"/>
    </w:rPr>
  </w:style>
  <w:style w:type="character" w:styleId="1234">
    <w:name w:val="NormalCharacter1"/>
    <w:next w:val="1234"/>
    <w:link w:val="1038"/>
    <w:rPr>
      <w:rFonts w:ascii="Times New Roman" w:hAnsi="Times New Roman" w:eastAsia="宋体" w:cs="Times New Roman"/>
      <w:sz w:val="21"/>
      <w:szCs w:val="22"/>
      <w:lang w:val="en-US" w:eastAsia="zh-CN" w:bidi="ar-SA"/>
    </w:rPr>
  </w:style>
  <w:style w:type="character" w:styleId="1235">
    <w:name w:val=" Char Char17"/>
    <w:next w:val="1235"/>
    <w:link w:val="1038"/>
    <w:rPr>
      <w:rFonts w:ascii="宋体" w:hAnsi="Courier New" w:eastAsia="宋体" w:cs="Times New Roman"/>
      <w:sz w:val="21"/>
      <w:szCs w:val="21"/>
    </w:rPr>
  </w:style>
  <w:style w:type="character" w:styleId="1236">
    <w:name w:val="明显参考"/>
    <w:next w:val="1236"/>
    <w:link w:val="1038"/>
    <w:qFormat/>
    <w:rPr>
      <w:rFonts w:ascii="Times New Roman" w:hAnsi="Times New Roman" w:eastAsia="宋体" w:cs="Times New Roman"/>
      <w:smallCaps/>
      <w:spacing w:val="5"/>
      <w:u w:val="single"/>
    </w:rPr>
  </w:style>
  <w:style w:type="character" w:styleId="1237">
    <w:name w:val="h Char Char"/>
    <w:next w:val="1237"/>
    <w:link w:val="1038"/>
    <w:rPr>
      <w:rFonts w:ascii="Times New Roman" w:hAnsi="Times New Roman" w:eastAsia="宋体" w:cs="Times New Roman"/>
      <w:b w:val="0"/>
      <w:bCs w:val="0"/>
      <w:i w:val="0"/>
      <w:iCs w:val="0"/>
      <w:sz w:val="18"/>
      <w:szCs w:val="18"/>
      <w:lang w:val="en-US" w:eastAsia="zh-CN" w:bidi="ar-SA"/>
    </w:rPr>
  </w:style>
  <w:style w:type="character" w:styleId="1238">
    <w:name w:val="case31"/>
    <w:next w:val="1238"/>
    <w:link w:val="1038"/>
    <w:rPr>
      <w:rFonts w:ascii="Times New Roman" w:hAnsi="Times New Roman" w:eastAsia="宋体" w:cs="Times New Roman"/>
      <w:b w:val="0"/>
      <w:bCs w:val="0"/>
      <w:i w:val="0"/>
      <w:iCs w:val="0"/>
      <w:sz w:val="21"/>
      <w:szCs w:val="21"/>
    </w:rPr>
  </w:style>
  <w:style w:type="character" w:styleId="1239">
    <w:name w:val="para_small"/>
    <w:next w:val="1239"/>
    <w:link w:val="1038"/>
    <w:rPr>
      <w:rFonts w:ascii="Times New Roman" w:hAnsi="Times New Roman" w:eastAsia="宋体" w:cs="Times New Roman"/>
    </w:rPr>
  </w:style>
  <w:style w:type="character" w:styleId="1240">
    <w:name w:val="content_lineheight1"/>
    <w:next w:val="1240"/>
    <w:link w:val="1038"/>
    <w:rPr>
      <w:rFonts w:ascii="Times New Roman" w:hAnsi="Times New Roman" w:eastAsia="宋体" w:cs="Times New Roman"/>
    </w:rPr>
  </w:style>
  <w:style w:type="paragraph" w:styleId="1241">
    <w:name w:val=" Char Char Char Char Char Char Char Char Char Char Char Char Char Char"/>
    <w:basedOn w:val="1038"/>
    <w:next w:val="1241"/>
    <w:link w:val="1038"/>
    <w:rPr>
      <w:rFonts w:ascii="Tahoma" w:hAnsi="Tahoma" w:eastAsia="宋体" w:cs="Times New Roman"/>
      <w:sz w:val="24"/>
    </w:rPr>
  </w:style>
  <w:style w:type="paragraph" w:styleId="1242">
    <w:name w:val="xl58"/>
    <w:basedOn w:val="1038"/>
    <w:next w:val="1242"/>
    <w:link w:val="1038"/>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b/>
      <w:bCs/>
      <w:i/>
      <w:iCs/>
      <w:sz w:val="20"/>
    </w:rPr>
  </w:style>
  <w:style w:type="paragraph" w:styleId="1243">
    <w:name w:val="正文缩进2字符"/>
    <w:basedOn w:val="1038"/>
    <w:next w:val="1243"/>
    <w:link w:val="1038"/>
    <w:pPr>
      <w:ind w:firstLine="200"/>
      <w:spacing w:line="300" w:lineRule="auto"/>
    </w:pPr>
    <w:rPr>
      <w:rFonts w:ascii="仿宋_GB2312" w:hAnsi="Times New Roman" w:eastAsia="仿宋_GB2312" w:cs="Times New Roman"/>
      <w:sz w:val="32"/>
      <w:szCs w:val="32"/>
    </w:rPr>
  </w:style>
  <w:style w:type="paragraph" w:styleId="1244">
    <w:name w:val="正文表标题"/>
    <w:next w:val="1142"/>
    <w:link w:val="1038"/>
    <w:pPr>
      <w:ind w:left="900" w:hanging="420"/>
      <w:jc w:val="center"/>
      <w:tabs>
        <w:tab w:val="left" w:pos="900" w:leader="none"/>
      </w:tabs>
    </w:pPr>
    <w:rPr>
      <w:rFonts w:ascii="黑体" w:eastAsia="黑体"/>
      <w:sz w:val="21"/>
      <w:lang w:val="en-US" w:eastAsia="zh-CN" w:bidi="ar-SA"/>
    </w:rPr>
  </w:style>
  <w:style w:type="paragraph" w:styleId="1245">
    <w:name w:val=" Char Char1 Char Char Char Char1 Char Char Char Char Char Char"/>
    <w:basedOn w:val="1038"/>
    <w:next w:val="1245"/>
    <w:link w:val="1038"/>
    <w:rPr>
      <w:rFonts w:ascii="Tahoma" w:hAnsi="Tahoma" w:eastAsia="宋体" w:cs="Times New Roman"/>
      <w:sz w:val="24"/>
    </w:rPr>
  </w:style>
  <w:style w:type="paragraph" w:styleId="1246">
    <w:name w:val="段落"/>
    <w:basedOn w:val="1038"/>
    <w:next w:val="1246"/>
    <w:link w:val="1038"/>
    <w:pPr>
      <w:ind w:firstLine="480"/>
      <w:spacing w:line="460" w:lineRule="exact"/>
    </w:pPr>
    <w:rPr>
      <w:rFonts w:ascii="Times New Roman" w:hAnsi="Times New Roman" w:eastAsia="宋体" w:cs="Times New Roman"/>
      <w:sz w:val="24"/>
    </w:rPr>
  </w:style>
  <w:style w:type="paragraph" w:styleId="1247">
    <w:name w:val=" Char Char"/>
    <w:basedOn w:val="1038"/>
    <w:next w:val="1247"/>
    <w:link w:val="1038"/>
    <w:rPr>
      <w:rFonts w:ascii="Tahoma" w:hAnsi="Tahoma" w:eastAsia="宋体" w:cs="Times New Roman"/>
      <w:sz w:val="24"/>
    </w:rPr>
  </w:style>
  <w:style w:type="paragraph" w:styleId="1248">
    <w:name w:val="xl44"/>
    <w:basedOn w:val="1038"/>
    <w:next w:val="1248"/>
    <w:link w:val="1038"/>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rPr>
  </w:style>
  <w:style w:type="paragraph" w:styleId="1249">
    <w:name w:val="flNote"/>
    <w:basedOn w:val="1038"/>
    <w:next w:val="1249"/>
    <w:link w:val="1038"/>
    <w:pPr>
      <w:jc w:val="center"/>
      <w:spacing w:before="567" w:line="360" w:lineRule="atLeast"/>
    </w:pPr>
    <w:rPr>
      <w:rFonts w:ascii="Times New Roman" w:hAnsi="Times New Roman" w:eastAsia="黑体" w:cs="Times New Roman"/>
      <w:b/>
      <w:sz w:val="24"/>
    </w:rPr>
  </w:style>
  <w:style w:type="paragraph" w:styleId="1250">
    <w:name w:val="正文文本 New New"/>
    <w:basedOn w:val="1038"/>
    <w:next w:val="1250"/>
    <w:link w:val="1038"/>
    <w:pPr>
      <w:ind w:firstLine="200"/>
      <w:spacing w:before="60" w:after="60" w:line="360" w:lineRule="auto"/>
      <w:widowControl/>
    </w:pPr>
    <w:rPr>
      <w:rFonts w:ascii="Times New Roman" w:hAnsi="Times New Roman" w:eastAsia="华文楷体" w:cs="Times New Roman"/>
      <w:sz w:val="24"/>
      <w:szCs w:val="24"/>
    </w:rPr>
  </w:style>
  <w:style w:type="paragraph" w:styleId="1251">
    <w:name w:val=" Char1"/>
    <w:basedOn w:val="1038"/>
    <w:next w:val="1251"/>
    <w:link w:val="1038"/>
    <w:pPr>
      <w:jc w:val="left"/>
      <w:spacing w:after="160" w:line="240" w:lineRule="exact"/>
      <w:widowControl/>
    </w:pPr>
    <w:rPr>
      <w:rFonts w:ascii="Verdana" w:hAnsi="Verdana" w:eastAsia="仿宋_GB2312" w:cs="Times New Roman"/>
      <w:sz w:val="24"/>
      <w:lang w:eastAsia="en-US"/>
    </w:rPr>
  </w:style>
  <w:style w:type="paragraph" w:styleId="1252">
    <w:name w:val="xl30"/>
    <w:basedOn w:val="1038"/>
    <w:next w:val="1252"/>
    <w:link w:val="103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253">
    <w:name w:val="列表内容"/>
    <w:basedOn w:val="1038"/>
    <w:next w:val="1038"/>
    <w:link w:val="1038"/>
    <w:pPr>
      <w:ind w:left="840" w:hanging="420"/>
      <w:jc w:val="left"/>
      <w:widowControl/>
      <w:tabs>
        <w:tab w:val="left" w:pos="840" w:leader="none"/>
      </w:tabs>
    </w:pPr>
    <w:rPr>
      <w:rFonts w:ascii="Times New Roman" w:hAnsi="Times New Roman" w:eastAsia="宋体" w:cs="Times New Roman"/>
      <w:sz w:val="18"/>
      <w:szCs w:val="24"/>
    </w:rPr>
  </w:style>
  <w:style w:type="paragraph" w:styleId="1254">
    <w:name w:val="样式 样式 首行缩进:  0.74 厘米 行距: 1.5 倍行距 + 段后: 0.5 行"/>
    <w:basedOn w:val="1038"/>
    <w:next w:val="1254"/>
    <w:link w:val="1038"/>
    <w:pPr>
      <w:ind w:firstLine="420"/>
      <w:spacing w:line="360" w:lineRule="auto"/>
    </w:pPr>
    <w:rPr>
      <w:rFonts w:ascii="楷体_GB2312" w:hAnsi="Times New Roman" w:eastAsia="楷体_GB2312" w:cs="Times New Roman"/>
      <w:bCs/>
      <w:sz w:val="24"/>
    </w:rPr>
  </w:style>
  <w:style w:type="paragraph" w:styleId="1255">
    <w:name w:val="文档正文"/>
    <w:basedOn w:val="1038"/>
    <w:next w:val="1255"/>
    <w:link w:val="1038"/>
    <w:pPr>
      <w:spacing w:line="360" w:lineRule="auto"/>
    </w:pPr>
    <w:rPr>
      <w:rFonts w:ascii="宋体" w:hAnsi="宋体" w:eastAsia="宋体" w:cs="Times New Roman"/>
      <w:b/>
      <w:bCs/>
      <w:szCs w:val="24"/>
    </w:rPr>
  </w:style>
  <w:style w:type="paragraph" w:styleId="1256">
    <w:name w:val="_Style 1"/>
    <w:basedOn w:val="1038"/>
    <w:next w:val="1256"/>
    <w:link w:val="1038"/>
    <w:pPr>
      <w:ind w:firstLine="420"/>
    </w:pPr>
    <w:rPr>
      <w:rFonts w:ascii="Calibri" w:hAnsi="Calibri" w:eastAsia="宋体" w:cs="Times New Roman"/>
      <w:szCs w:val="22"/>
    </w:rPr>
  </w:style>
  <w:style w:type="paragraph" w:styleId="1257">
    <w:name w:val="马刚标题3"/>
    <w:basedOn w:val="1038"/>
    <w:next w:val="1038"/>
    <w:link w:val="1038"/>
    <w:pPr>
      <w:ind w:left="567" w:hanging="567"/>
      <w:jc w:val="left"/>
      <w:keepLines/>
      <w:keepNext/>
      <w:spacing w:before="120" w:after="60" w:line="413" w:lineRule="auto"/>
      <w:tabs>
        <w:tab w:val="left" w:pos="567" w:leader="none"/>
        <w:tab w:val="left" w:pos="735" w:leader="none"/>
      </w:tabs>
      <w:outlineLvl w:val="2"/>
    </w:pPr>
    <w:rPr>
      <w:rFonts w:ascii="黑体" w:hAnsi="Arial" w:eastAsia="黑体" w:cs="Times New Roman"/>
      <w:b/>
      <w:bCs/>
      <w:sz w:val="24"/>
    </w:rPr>
  </w:style>
  <w:style w:type="paragraph" w:styleId="1258">
    <w:name w:val="马刚标题4"/>
    <w:basedOn w:val="1257"/>
    <w:next w:val="1038"/>
    <w:link w:val="1038"/>
    <w:pPr>
      <w:spacing w:before="100" w:after="40"/>
      <w:tabs>
        <w:tab w:val="left" w:pos="1050" w:leader="none"/>
      </w:tabs>
      <w:outlineLvl w:val="3"/>
    </w:pPr>
    <w:rPr>
      <w:rFonts w:ascii="Times New Roman" w:hAnsi="Times New Roman" w:eastAsia="宋体" w:cs="Times New Roman"/>
      <w:b w:val="0"/>
    </w:rPr>
  </w:style>
  <w:style w:type="paragraph" w:styleId="1259">
    <w:name w:val="四号正文"/>
    <w:basedOn w:val="1038"/>
    <w:next w:val="1259"/>
    <w:link w:val="1038"/>
    <w:pPr>
      <w:ind w:firstLine="560"/>
      <w:spacing w:before="0" w:after="0"/>
    </w:pPr>
    <w:rPr>
      <w:rFonts w:ascii="Times New Roman" w:hAnsi="Times New Roman" w:eastAsia="宋体" w:cs="Times New Roman"/>
      <w:sz w:val="28"/>
      <w:szCs w:val="28"/>
    </w:rPr>
  </w:style>
  <w:style w:type="paragraph" w:styleId="1260">
    <w:name w:val="flName"/>
    <w:basedOn w:val="1249"/>
    <w:next w:val="1260"/>
    <w:link w:val="1038"/>
    <w:pPr>
      <w:spacing w:before="0" w:line="113" w:lineRule="atLeast"/>
    </w:pPr>
    <w:rPr>
      <w:rFonts w:ascii="Times New Roman" w:hAnsi="Times New Roman" w:eastAsia="宋体" w:cs="Times New Roman"/>
    </w:rPr>
  </w:style>
  <w:style w:type="paragraph" w:styleId="1261">
    <w:name w:val="表格内容"/>
    <w:basedOn w:val="1038"/>
    <w:next w:val="1261"/>
    <w:link w:val="1038"/>
    <w:pPr>
      <w:jc w:val="center"/>
      <w:spacing w:before="60" w:line="300" w:lineRule="auto"/>
      <w:widowControl/>
    </w:pPr>
    <w:rPr>
      <w:rFonts w:ascii="Times New Roman" w:hAnsi="Times New Roman" w:eastAsia="宋体" w:cs="Times New Roman"/>
    </w:rPr>
  </w:style>
  <w:style w:type="paragraph" w:styleId="1262">
    <w:name w:val="丁华正文"/>
    <w:basedOn w:val="1102"/>
    <w:next w:val="1262"/>
    <w:link w:val="1038"/>
    <w:pPr>
      <w:ind w:left="0" w:firstLine="510"/>
      <w:spacing w:line="360" w:lineRule="auto"/>
    </w:pPr>
    <w:rPr>
      <w:rFonts w:ascii="Times New Roman" w:hAnsi="Times New Roman" w:eastAsia="宋体" w:cs="Times New Roman"/>
      <w:color w:val="000000"/>
      <w:sz w:val="24"/>
      <w:szCs w:val="16"/>
    </w:rPr>
  </w:style>
  <w:style w:type="paragraph" w:styleId="1263">
    <w:name w:val="丁华标题1"/>
    <w:basedOn w:val="1039"/>
    <w:next w:val="1262"/>
    <w:link w:val="1038"/>
    <w:pPr>
      <w:numPr>
        <w:ilvl w:val="0"/>
        <w:numId w:val="1"/>
      </w:numPr>
      <w:jc w:val="left"/>
      <w:keepLines/>
      <w:spacing w:before="600" w:after="120" w:line="578" w:lineRule="auto"/>
      <w:tabs>
        <w:tab w:val="left" w:pos="567" w:leader="none"/>
        <w:tab w:val="left" w:pos="1440" w:leader="none"/>
      </w:tabs>
    </w:pPr>
    <w:rPr>
      <w:rFonts w:ascii="Times New Roman" w:hAnsi="Times New Roman" w:eastAsia="宋体" w:cs="Times New Roman"/>
      <w:b w:val="0"/>
      <w:sz w:val="32"/>
      <w:szCs w:val="20"/>
    </w:rPr>
  </w:style>
  <w:style w:type="paragraph" w:styleId="1264">
    <w:name w:val=" Char1 Char Char Char"/>
    <w:basedOn w:val="1038"/>
    <w:next w:val="1264"/>
    <w:link w:val="1038"/>
    <w:rPr>
      <w:rFonts w:ascii="Tahoma" w:hAnsi="Tahoma" w:eastAsia="宋体" w:cs="Times New Roman"/>
      <w:sz w:val="24"/>
    </w:rPr>
  </w:style>
  <w:style w:type="paragraph" w:styleId="1265">
    <w:name w:val="正文 + 宋体"/>
    <w:basedOn w:val="1038"/>
    <w:next w:val="1265"/>
    <w:link w:val="1038"/>
    <w:pPr>
      <w:ind w:firstLine="420"/>
      <w:spacing w:line="360" w:lineRule="auto"/>
    </w:pPr>
    <w:rPr>
      <w:rFonts w:ascii="Times New Roman" w:hAnsi="Times New Roman" w:eastAsia="宋体" w:cs="Times New Roman"/>
      <w:szCs w:val="24"/>
    </w:rPr>
  </w:style>
  <w:style w:type="paragraph" w:styleId="1266">
    <w:name w:val="二级标题"/>
    <w:basedOn w:val="1038"/>
    <w:next w:val="1266"/>
    <w:link w:val="1038"/>
    <w:pPr>
      <w:ind w:firstLine="482"/>
      <w:jc w:val="left"/>
      <w:spacing w:before="0" w:after="0" w:line="300" w:lineRule="auto"/>
      <w:widowControl/>
      <w:outlineLvl w:val="1"/>
    </w:pPr>
    <w:rPr>
      <w:rFonts w:ascii="宋体" w:hAnsi="宋体" w:eastAsia="宋体" w:cs="Times New Roman"/>
      <w:b/>
      <w:color w:val="000000"/>
      <w:sz w:val="24"/>
      <w:szCs w:val="24"/>
    </w:rPr>
  </w:style>
  <w:style w:type="paragraph" w:styleId="1267">
    <w:name w:val="Char Char Char Char Char Char Char Char Char Char Char"/>
    <w:basedOn w:val="1038"/>
    <w:next w:val="1267"/>
    <w:link w:val="1038"/>
    <w:rPr>
      <w:rFonts w:ascii="Tahoma" w:hAnsi="Tahoma" w:eastAsia="宋体" w:cs="Tahoma"/>
      <w:sz w:val="24"/>
    </w:rPr>
  </w:style>
  <w:style w:type="paragraph" w:styleId="1268">
    <w:name w:val="xl49"/>
    <w:basedOn w:val="1038"/>
    <w:next w:val="1268"/>
    <w:link w:val="1038"/>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b/>
      <w:bCs/>
      <w:sz w:val="20"/>
    </w:rPr>
  </w:style>
  <w:style w:type="paragraph" w:styleId="1269">
    <w:name w:val="Char Char1"/>
    <w:basedOn w:val="1038"/>
    <w:next w:val="1269"/>
    <w:link w:val="1038"/>
    <w:rPr>
      <w:rFonts w:ascii="Tahoma" w:hAnsi="Tahoma" w:eastAsia="宋体" w:cs="Tahoma"/>
      <w:sz w:val="24"/>
    </w:rPr>
  </w:style>
  <w:style w:type="paragraph" w:styleId="1270">
    <w:name w:val="List Paragraph"/>
    <w:basedOn w:val="1038"/>
    <w:next w:val="1270"/>
    <w:link w:val="1038"/>
    <w:pPr>
      <w:contextualSpacing/>
      <w:ind w:left="720"/>
      <w:jc w:val="left"/>
      <w:widowControl/>
    </w:pPr>
    <w:rPr>
      <w:rFonts w:ascii="Arial" w:hAnsi="Arial" w:eastAsia="黑体" w:cs="Times New Roman"/>
      <w:sz w:val="24"/>
      <w:szCs w:val="24"/>
      <w:lang w:eastAsia="en-US"/>
    </w:rPr>
  </w:style>
  <w:style w:type="paragraph" w:styleId="1271">
    <w:name w:val="样式"/>
    <w:basedOn w:val="1038"/>
    <w:next w:val="1271"/>
    <w:link w:val="1038"/>
    <w:pPr>
      <w:spacing w:before="120" w:after="120" w:line="360" w:lineRule="auto"/>
    </w:pPr>
    <w:rPr>
      <w:rFonts w:ascii="宋体" w:hAnsi="Times New Roman" w:eastAsia="宋体" w:cs="Times New Roman"/>
      <w:sz w:val="24"/>
    </w:rPr>
  </w:style>
  <w:style w:type="paragraph" w:styleId="1272">
    <w:name w:val="font14"/>
    <w:basedOn w:val="1038"/>
    <w:next w:val="1272"/>
    <w:link w:val="1038"/>
    <w:pPr>
      <w:jc w:val="left"/>
      <w:spacing w:before="100" w:beforeAutospacing="1" w:after="100" w:afterAutospacing="1"/>
      <w:widowControl/>
    </w:pPr>
    <w:rPr>
      <w:rFonts w:ascii="Times New Roman" w:hAnsi="Times New Roman" w:eastAsia="宋体" w:cs="Times New Roman"/>
      <w:sz w:val="36"/>
      <w:szCs w:val="36"/>
    </w:rPr>
  </w:style>
  <w:style w:type="paragraph" w:styleId="1273">
    <w:name w:val="正文 首行缩进:  2 字符 Char Char"/>
    <w:basedOn w:val="1038"/>
    <w:next w:val="1273"/>
    <w:link w:val="1038"/>
    <w:pPr>
      <w:ind w:firstLine="480"/>
      <w:spacing w:line="360" w:lineRule="auto"/>
    </w:pPr>
    <w:rPr>
      <w:rFonts w:ascii="楷体_GB2312" w:hAnsi="Times New Roman" w:eastAsia="楷体_GB2312" w:cs="Times New Roman"/>
      <w:bCs/>
      <w:sz w:val="24"/>
      <w:szCs w:val="24"/>
    </w:rPr>
  </w:style>
  <w:style w:type="paragraph" w:styleId="1274">
    <w:name w:val="样式1"/>
    <w:basedOn w:val="1038"/>
    <w:next w:val="1274"/>
    <w:link w:val="1038"/>
    <w:pPr>
      <w:ind w:firstLine="480"/>
      <w:spacing w:line="300" w:lineRule="auto"/>
    </w:pPr>
    <w:rPr>
      <w:rFonts w:ascii="Times New Roman" w:hAnsi="Times New Roman" w:eastAsia="宋体" w:cs="Times New Roman"/>
      <w:sz w:val="24"/>
      <w:szCs w:val="24"/>
    </w:rPr>
  </w:style>
  <w:style w:type="paragraph" w:styleId="1275">
    <w:name w:val="Char Char Char Char Char"/>
    <w:basedOn w:val="1038"/>
    <w:next w:val="1275"/>
    <w:link w:val="1038"/>
    <w:rPr>
      <w:rFonts w:ascii="Tahoma" w:hAnsi="Tahoma" w:eastAsia="宋体" w:cs="Tahoma"/>
      <w:sz w:val="24"/>
    </w:rPr>
  </w:style>
  <w:style w:type="paragraph" w:styleId="1276">
    <w:name w:val="xl31"/>
    <w:basedOn w:val="1038"/>
    <w:next w:val="1276"/>
    <w:link w:val="103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277">
    <w:name w:val="正文 首行缩进:  2 字符 Char"/>
    <w:basedOn w:val="1038"/>
    <w:next w:val="1277"/>
    <w:link w:val="1038"/>
    <w:pPr>
      <w:ind w:firstLine="480"/>
      <w:spacing w:line="360" w:lineRule="auto"/>
    </w:pPr>
    <w:rPr>
      <w:rFonts w:ascii="Times New Roman" w:hAnsi="Times New Roman" w:eastAsia="宋体" w:cs="宋体"/>
      <w:sz w:val="24"/>
    </w:rPr>
  </w:style>
  <w:style w:type="paragraph" w:styleId="1278">
    <w:name w:val=" Char Char Char Char Char Char Char Char Char Char Char"/>
    <w:basedOn w:val="1038"/>
    <w:next w:val="1278"/>
    <w:link w:val="1038"/>
    <w:rPr>
      <w:rFonts w:ascii="Tahoma" w:hAnsi="Tahoma" w:eastAsia="宋体" w:cs="Times New Roman"/>
      <w:sz w:val="24"/>
    </w:rPr>
  </w:style>
  <w:style w:type="paragraph" w:styleId="1279">
    <w:name w:val="列出段落"/>
    <w:basedOn w:val="1038"/>
    <w:next w:val="1279"/>
    <w:link w:val="1038"/>
    <w:qFormat/>
    <w:pPr>
      <w:ind w:firstLine="420"/>
    </w:pPr>
    <w:rPr>
      <w:rFonts w:ascii="Times New Roman" w:hAnsi="Times New Roman" w:eastAsia="宋体" w:cs="Times New Roman"/>
      <w:szCs w:val="24"/>
    </w:rPr>
  </w:style>
  <w:style w:type="paragraph" w:styleId="1280">
    <w:name w:val="No Spacing"/>
    <w:next w:val="1280"/>
    <w:link w:val="1038"/>
    <w:pPr>
      <w:jc w:val="both"/>
      <w:widowControl w:val="off"/>
    </w:pPr>
    <w:rPr>
      <w:rFonts w:eastAsia="微软雅黑"/>
      <w:sz w:val="24"/>
      <w:szCs w:val="22"/>
      <w:lang w:val="en-US" w:eastAsia="zh-CN" w:bidi="ar-SA"/>
    </w:rPr>
  </w:style>
  <w:style w:type="paragraph" w:styleId="1281">
    <w:name w:val="retrait3"/>
    <w:basedOn w:val="1038"/>
    <w:next w:val="1281"/>
    <w:link w:val="1038"/>
    <w:pPr>
      <w:ind w:left="851"/>
      <w:jc w:val="left"/>
      <w:spacing w:before="20" w:after="20"/>
      <w:widowControl/>
    </w:pPr>
    <w:rPr>
      <w:rFonts w:ascii="Arial" w:hAnsi="Arial" w:eastAsia="宋体" w:cs="Times New Roman"/>
      <w:sz w:val="24"/>
      <w:lang w:val="en-GB"/>
    </w:rPr>
  </w:style>
  <w:style w:type="paragraph" w:styleId="1282">
    <w:name w:val="tableau"/>
    <w:basedOn w:val="1038"/>
    <w:next w:val="1282"/>
    <w:link w:val="1038"/>
    <w:pPr>
      <w:jc w:val="center"/>
      <w:spacing w:before="20" w:after="20"/>
      <w:widowControl/>
    </w:pPr>
    <w:rPr>
      <w:rFonts w:ascii="Arial" w:hAnsi="Arial" w:eastAsia="宋体" w:cs="Times New Roman"/>
      <w:sz w:val="16"/>
      <w:lang w:val="en-GB" w:eastAsia="en-US"/>
    </w:rPr>
  </w:style>
  <w:style w:type="paragraph" w:styleId="1283">
    <w:name w:val="xl36"/>
    <w:basedOn w:val="1038"/>
    <w:next w:val="1283"/>
    <w:link w:val="103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284">
    <w:name w:val="Char Char1 Char Char Char Char"/>
    <w:basedOn w:val="1066"/>
    <w:next w:val="1284"/>
    <w:link w:val="1038"/>
    <w:pPr>
      <w:ind w:left="357"/>
      <w:jc w:val="left"/>
      <w:spacing w:line="436" w:lineRule="exact"/>
      <w:outlineLvl w:val="3"/>
    </w:pPr>
    <w:rPr>
      <w:rFonts w:ascii="Tahoma" w:hAnsi="Tahoma" w:eastAsia="宋体" w:cs="Tahoma"/>
      <w:b/>
      <w:sz w:val="24"/>
      <w:szCs w:val="24"/>
    </w:rPr>
  </w:style>
  <w:style w:type="paragraph" w:styleId="1285">
    <w:name w:val="_Style 42"/>
    <w:basedOn w:val="1038"/>
    <w:next w:val="1074"/>
    <w:link w:val="1038"/>
    <w:rPr>
      <w:rFonts w:ascii="楷体_GB2312" w:hAnsi="Arial" w:eastAsia="楷体_GB2312" w:cs="Times New Roman"/>
      <w:sz w:val="28"/>
    </w:rPr>
  </w:style>
  <w:style w:type="paragraph" w:styleId="1286">
    <w:name w:val="xl28"/>
    <w:basedOn w:val="1038"/>
    <w:next w:val="1286"/>
    <w:link w:val="103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287">
    <w:name w:val="正文格式"/>
    <w:basedOn w:val="1038"/>
    <w:next w:val="1287"/>
    <w:link w:val="1038"/>
    <w:pPr>
      <w:ind w:left="178" w:right="44" w:hanging="178"/>
      <w:jc w:val="left"/>
      <w:spacing w:before="78" w:line="360" w:lineRule="auto"/>
      <w:widowControl/>
    </w:pPr>
    <w:rPr>
      <w:rFonts w:ascii="宋体" w:hAnsi="宋体" w:eastAsia="宋体" w:cs="Times New Roman"/>
      <w:bCs/>
      <w:szCs w:val="21"/>
    </w:rPr>
  </w:style>
  <w:style w:type="paragraph" w:styleId="1288">
    <w:name w:val="项目符号，一级"/>
    <w:basedOn w:val="1287"/>
    <w:next w:val="1287"/>
    <w:link w:val="1038"/>
    <w:pPr>
      <w:ind w:left="376" w:firstLine="0"/>
      <w:spacing w:line="240" w:lineRule="atLeast"/>
      <w:tabs>
        <w:tab w:val="left" w:pos="1320" w:leader="none"/>
      </w:tabs>
    </w:pPr>
    <w:rPr>
      <w:rFonts w:ascii="Times New Roman" w:hAnsi="Times New Roman" w:eastAsia="宋体" w:cs="Times New Roman"/>
      <w:bCs w:val="0"/>
      <w:color w:val="000000"/>
      <w:szCs w:val="24"/>
    </w:rPr>
  </w:style>
  <w:style w:type="paragraph" w:styleId="1289">
    <w:name w:val="xl37"/>
    <w:basedOn w:val="1038"/>
    <w:next w:val="1289"/>
    <w:link w:val="103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i/>
      <w:iCs/>
      <w:sz w:val="20"/>
    </w:rPr>
  </w:style>
  <w:style w:type="paragraph" w:styleId="1290">
    <w:name w:val="项目符号，二级"/>
    <w:basedOn w:val="1287"/>
    <w:next w:val="1287"/>
    <w:link w:val="1038"/>
    <w:pPr>
      <w:ind w:left="1337" w:right="-27" w:firstLine="480"/>
      <w:tabs>
        <w:tab w:val="left" w:pos="567" w:leader="none"/>
        <w:tab w:val="left" w:pos="1211" w:leader="none"/>
        <w:tab w:val="left" w:pos="1337" w:leader="none"/>
      </w:tabs>
    </w:pPr>
    <w:rPr>
      <w:rFonts w:ascii="Times New Roman" w:hAnsi="Times New Roman" w:eastAsia="宋体" w:cs="Times New Roman"/>
      <w:bCs w:val="0"/>
      <w:color w:val="000000"/>
      <w:sz w:val="24"/>
      <w:szCs w:val="24"/>
    </w:rPr>
  </w:style>
  <w:style w:type="paragraph" w:styleId="1291">
    <w:name w:val="xl59"/>
    <w:basedOn w:val="1038"/>
    <w:next w:val="1291"/>
    <w:link w:val="1038"/>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292">
    <w:name w:val="小四 段落 宋体 Char"/>
    <w:basedOn w:val="1064"/>
    <w:next w:val="1292"/>
    <w:link w:val="1038"/>
    <w:pPr>
      <w:ind w:left="0" w:right="-33" w:firstLine="600"/>
      <w:jc w:val="left"/>
      <w:tabs>
        <w:tab w:val="clear" w:pos="2952" w:leader="none"/>
      </w:tabs>
    </w:pPr>
    <w:rPr>
      <w:rFonts w:ascii="仿宋_GB2312" w:hAnsi="Times New Roman" w:eastAsia="仿宋_GB2312" w:cs="Times New Roman"/>
      <w:sz w:val="30"/>
      <w:szCs w:val="30"/>
    </w:rPr>
  </w:style>
  <w:style w:type="paragraph" w:styleId="1293">
    <w:name w:val="xl60"/>
    <w:basedOn w:val="1038"/>
    <w:next w:val="1293"/>
    <w:link w:val="1038"/>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cs="Times New Roman"/>
      <w:b/>
      <w:bCs/>
      <w:i/>
      <w:iCs/>
      <w:sz w:val="20"/>
    </w:rPr>
  </w:style>
  <w:style w:type="paragraph" w:styleId="1294">
    <w:name w:val="Char Char Char Char Char Char Char Char Char Char Char Char Char"/>
    <w:basedOn w:val="1038"/>
    <w:next w:val="1294"/>
    <w:link w:val="1038"/>
    <w:pPr>
      <w:jc w:val="left"/>
      <w:spacing w:after="160" w:line="240" w:lineRule="exact"/>
      <w:widowControl/>
    </w:pPr>
    <w:rPr>
      <w:rFonts w:ascii="Times New Roman" w:hAnsi="Times New Roman" w:eastAsia="宋体" w:cs="Times New Roman"/>
      <w:szCs w:val="24"/>
    </w:rPr>
  </w:style>
  <w:style w:type="paragraph" w:styleId="1295">
    <w:name w:val="表头_5"/>
    <w:basedOn w:val="1038"/>
    <w:next w:val="1295"/>
    <w:link w:val="1038"/>
    <w:pPr>
      <w:spacing w:line="360" w:lineRule="auto"/>
    </w:pPr>
    <w:rPr>
      <w:rFonts w:ascii="Times New Roman" w:hAnsi="Times New Roman" w:eastAsia="宋体" w:cs="Times New Roman"/>
      <w:b/>
      <w:bCs/>
      <w:sz w:val="28"/>
      <w:szCs w:val="21"/>
    </w:rPr>
  </w:style>
  <w:style w:type="paragraph" w:styleId="1296">
    <w:name w:val="样式 标题 3H3sect1.2.3BOD 0Heading 3 - oldh3l3CTLevel 3 Head..."/>
    <w:basedOn w:val="1041"/>
    <w:next w:val="1296"/>
    <w:link w:val="1038"/>
    <w:pPr>
      <w:jc w:val="left"/>
      <w:spacing w:before="156" w:after="156"/>
    </w:pPr>
    <w:rPr>
      <w:rFonts w:ascii="Times New Roman" w:hAnsi="Times New Roman" w:eastAsia="宋体" w:cs="宋体"/>
      <w:bCs/>
      <w:sz w:val="30"/>
    </w:rPr>
  </w:style>
  <w:style w:type="paragraph" w:styleId="1297">
    <w:name w:val="样式2"/>
    <w:basedOn w:val="1038"/>
    <w:next w:val="1297"/>
    <w:link w:val="1038"/>
    <w:pPr>
      <w:ind w:left="200"/>
      <w:spacing w:line="360" w:lineRule="auto"/>
    </w:pPr>
    <w:rPr>
      <w:rFonts w:ascii="宋体" w:hAnsi="宋体" w:eastAsia="宋体" w:cs="Times New Roman"/>
      <w:b/>
      <w:sz w:val="24"/>
      <w:szCs w:val="24"/>
    </w:rPr>
  </w:style>
  <w:style w:type="paragraph" w:styleId="1298">
    <w:name w:val=" Char Char Char Char Char Char Char"/>
    <w:basedOn w:val="1038"/>
    <w:next w:val="1298"/>
    <w:link w:val="1038"/>
    <w:rPr>
      <w:rFonts w:ascii="Tahoma" w:hAnsi="Tahoma" w:eastAsia="宋体" w:cs="Times New Roman"/>
      <w:sz w:val="24"/>
    </w:rPr>
  </w:style>
  <w:style w:type="paragraph" w:styleId="1299">
    <w:name w:val="Default Text"/>
    <w:basedOn w:val="1038"/>
    <w:next w:val="1299"/>
    <w:link w:val="1038"/>
    <w:pPr>
      <w:jc w:val="left"/>
      <w:widowControl/>
    </w:pPr>
    <w:rPr>
      <w:rFonts w:ascii="Times New Roman" w:hAnsi="Times New Roman" w:eastAsia="宋体" w:cs="Times New Roman"/>
      <w:sz w:val="24"/>
      <w:lang w:eastAsia="en-US"/>
    </w:rPr>
  </w:style>
  <w:style w:type="paragraph" w:styleId="1300">
    <w:name w:val="Char Char Char Char Char Char Char Char Char Char Char Char Char Char Char Char Char Char Char Char Char Char Char"/>
    <w:basedOn w:val="1038"/>
    <w:next w:val="1300"/>
    <w:link w:val="1038"/>
    <w:rPr>
      <w:rFonts w:ascii="Tahoma" w:hAnsi="Tahoma" w:eastAsia="宋体" w:cs="Tahoma"/>
      <w:sz w:val="24"/>
    </w:rPr>
  </w:style>
  <w:style w:type="paragraph" w:styleId="1301">
    <w:name w:val="Bullets L1"/>
    <w:basedOn w:val="1038"/>
    <w:next w:val="1301"/>
    <w:link w:val="1038"/>
    <w:pPr>
      <w:numPr>
        <w:ilvl w:val="0"/>
        <w:numId w:val="2"/>
      </w:numPr>
      <w:jc w:val="left"/>
      <w:spacing w:before="60" w:after="60"/>
      <w:widowControl/>
      <w:tabs>
        <w:tab w:val="left" w:pos="360" w:leader="none"/>
      </w:tabs>
    </w:pPr>
    <w:rPr>
      <w:rFonts w:ascii="Arial" w:hAnsi="Arial" w:eastAsia="宋体" w:cs="Times New Roman"/>
      <w:sz w:val="20"/>
    </w:rPr>
  </w:style>
  <w:style w:type="paragraph" w:styleId="1302">
    <w:name w:val=" Char Char Char Char Char Char Char Char Char Char Char Char Char"/>
    <w:basedOn w:val="1066"/>
    <w:next w:val="1302"/>
    <w:link w:val="1038"/>
    <w:rPr>
      <w:rFonts w:ascii="Tahoma" w:hAnsi="Tahoma" w:eastAsia="宋体" w:cs="Times New Roman"/>
      <w:sz w:val="24"/>
      <w:szCs w:val="24"/>
    </w:rPr>
  </w:style>
  <w:style w:type="paragraph" w:styleId="1303">
    <w:name w:val="默认段落字体 Para Char"/>
    <w:basedOn w:val="1038"/>
    <w:next w:val="1303"/>
    <w:link w:val="1038"/>
    <w:rPr>
      <w:rFonts w:ascii="Times New Roman" w:hAnsi="Times New Roman" w:eastAsia="宋体" w:cs="Times New Roman"/>
      <w:sz w:val="24"/>
      <w:szCs w:val="24"/>
    </w:rPr>
  </w:style>
  <w:style w:type="paragraph" w:styleId="1304">
    <w:name w:val="标准小四"/>
    <w:basedOn w:val="1038"/>
    <w:next w:val="1304"/>
    <w:link w:val="1038"/>
    <w:pPr>
      <w:ind w:firstLine="480"/>
      <w:spacing w:line="360" w:lineRule="auto"/>
    </w:pPr>
    <w:rPr>
      <w:rFonts w:ascii="Arial" w:hAnsi="Arial" w:eastAsia="宋体" w:cs="Times New Roman"/>
      <w:sz w:val="24"/>
      <w:szCs w:val="21"/>
    </w:rPr>
  </w:style>
  <w:style w:type="paragraph" w:styleId="1305">
    <w:name w:val="马刚标题1"/>
    <w:basedOn w:val="1039"/>
    <w:next w:val="1038"/>
    <w:link w:val="1038"/>
    <w:pPr>
      <w:ind w:left="567" w:hanging="567"/>
      <w:jc w:val="left"/>
      <w:keepLines/>
      <w:spacing w:before="400" w:after="120" w:line="576" w:lineRule="auto"/>
      <w:tabs>
        <w:tab w:val="left" w:pos="315" w:leader="none"/>
        <w:tab w:val="left" w:pos="567" w:leader="none"/>
      </w:tabs>
    </w:pPr>
    <w:rPr>
      <w:rFonts w:ascii="Times New Roman" w:hAnsi="Times New Roman" w:eastAsia="宋体" w:cs="Times New Roman"/>
      <w:b w:val="0"/>
      <w:sz w:val="32"/>
      <w:szCs w:val="20"/>
    </w:rPr>
  </w:style>
  <w:style w:type="paragraph" w:styleId="1306">
    <w:name w:val="font13"/>
    <w:basedOn w:val="1038"/>
    <w:next w:val="1306"/>
    <w:link w:val="1038"/>
    <w:pPr>
      <w:jc w:val="left"/>
      <w:spacing w:before="100" w:beforeAutospacing="1" w:after="100" w:afterAutospacing="1"/>
      <w:widowControl/>
    </w:pPr>
    <w:rPr>
      <w:rFonts w:ascii="Times New Roman" w:hAnsi="Times New Roman" w:eastAsia="宋体" w:cs="Times New Roman"/>
      <w:i/>
      <w:iCs/>
      <w:sz w:val="36"/>
      <w:szCs w:val="36"/>
    </w:rPr>
  </w:style>
  <w:style w:type="paragraph" w:styleId="1307">
    <w:name w:val="font11"/>
    <w:basedOn w:val="1038"/>
    <w:next w:val="1307"/>
    <w:link w:val="1038"/>
    <w:pPr>
      <w:jc w:val="left"/>
      <w:spacing w:before="100" w:beforeAutospacing="1" w:after="100" w:afterAutospacing="1"/>
      <w:widowControl/>
    </w:pPr>
    <w:rPr>
      <w:rFonts w:ascii="Times New Roman" w:hAnsi="Times New Roman" w:eastAsia="宋体" w:cs="Times New Roman"/>
      <w:b/>
      <w:bCs/>
      <w:sz w:val="18"/>
      <w:szCs w:val="18"/>
    </w:rPr>
  </w:style>
  <w:style w:type="paragraph" w:styleId="1308">
    <w:name w:val="00-表格的正文"/>
    <w:basedOn w:val="1038"/>
    <w:next w:val="1308"/>
    <w:link w:val="1038"/>
    <w:pPr>
      <w:jc w:val="left"/>
      <w:spacing w:line="440" w:lineRule="exact"/>
    </w:pPr>
    <w:rPr>
      <w:rFonts w:ascii="楷体" w:hAnsi="楷体" w:eastAsia="宋体" w:cs="Times New Roman"/>
      <w:color w:val="000000"/>
      <w:sz w:val="20"/>
      <w:szCs w:val="24"/>
    </w:rPr>
  </w:style>
  <w:style w:type="paragraph" w:styleId="1309">
    <w:name w:val="a0"/>
    <w:basedOn w:val="1038"/>
    <w:next w:val="1309"/>
    <w:link w:val="1038"/>
    <w:pPr>
      <w:spacing w:before="100" w:beforeAutospacing="1" w:after="100" w:afterAutospacing="1"/>
      <w:widowControl/>
    </w:pPr>
    <w:rPr>
      <w:rFonts w:ascii="宋体" w:hAnsi="宋体" w:eastAsia="宋体" w:cs="宋体"/>
      <w:sz w:val="24"/>
      <w:szCs w:val="24"/>
    </w:rPr>
  </w:style>
  <w:style w:type="paragraph" w:styleId="1310">
    <w:name w:val="xl32"/>
    <w:basedOn w:val="1038"/>
    <w:next w:val="1310"/>
    <w:link w:val="103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311">
    <w:name w:val="Char Char Char Char Char Char Char Char"/>
    <w:basedOn w:val="1038"/>
    <w:next w:val="1311"/>
    <w:link w:val="1038"/>
    <w:rPr>
      <w:rFonts w:ascii="Tahoma" w:hAnsi="Tahoma" w:eastAsia="宋体" w:cs="Tahoma"/>
      <w:sz w:val="24"/>
    </w:rPr>
  </w:style>
  <w:style w:type="paragraph" w:styleId="1312">
    <w:name w:val="正文文本 21"/>
    <w:basedOn w:val="1038"/>
    <w:next w:val="1312"/>
    <w:link w:val="1038"/>
    <w:pPr>
      <w:ind w:left="720" w:hanging="720"/>
      <w:widowControl/>
    </w:pPr>
    <w:rPr>
      <w:rFonts w:ascii="Times New Roman" w:hAnsi="Times New Roman" w:eastAsia="宋体" w:cs="Times New Roman"/>
      <w:sz w:val="24"/>
      <w:lang w:val="en-GB"/>
    </w:rPr>
  </w:style>
  <w:style w:type="paragraph" w:styleId="1313">
    <w:name w:val="项目符号：一级"/>
    <w:basedOn w:val="1287"/>
    <w:next w:val="1287"/>
    <w:link w:val="1038"/>
    <w:pPr>
      <w:ind w:right="-134"/>
    </w:pPr>
    <w:rPr>
      <w:rFonts w:ascii="Times New Roman" w:hAnsi="Times New Roman" w:eastAsia="宋体" w:cs="Times New Roman"/>
      <w:bCs w:val="0"/>
    </w:rPr>
  </w:style>
  <w:style w:type="paragraph" w:styleId="1314">
    <w:name w:val="符号与编号 Char"/>
    <w:basedOn w:val="1038"/>
    <w:next w:val="1314"/>
    <w:link w:val="1038"/>
    <w:pPr>
      <w:ind w:left="720"/>
      <w:spacing w:after="156" w:line="400" w:lineRule="atLeast"/>
      <w:tabs>
        <w:tab w:val="left" w:pos="720" w:leader="none"/>
      </w:tabs>
    </w:pPr>
    <w:rPr>
      <w:rFonts w:ascii="Times New Roman" w:hAnsi="Times New Roman" w:eastAsia="宋体" w:cs="Times New Roman"/>
      <w:sz w:val="24"/>
      <w:szCs w:val="24"/>
    </w:rPr>
  </w:style>
  <w:style w:type="paragraph" w:styleId="1315">
    <w:name w:val="a"/>
    <w:basedOn w:val="1038"/>
    <w:next w:val="1315"/>
    <w:link w:val="1038"/>
    <w:pPr>
      <w:spacing w:before="100" w:beforeAutospacing="1" w:after="100" w:afterAutospacing="1"/>
      <w:widowControl/>
    </w:pPr>
    <w:rPr>
      <w:rFonts w:ascii="宋体" w:hAnsi="宋体" w:eastAsia="宋体" w:cs="宋体"/>
      <w:sz w:val="24"/>
      <w:szCs w:val="24"/>
    </w:rPr>
  </w:style>
  <w:style w:type="paragraph" w:styleId="1316">
    <w:name w:val="xl57"/>
    <w:basedOn w:val="1038"/>
    <w:next w:val="1316"/>
    <w:link w:val="1038"/>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b/>
      <w:bCs/>
      <w:i/>
      <w:iCs/>
      <w:sz w:val="20"/>
    </w:rPr>
  </w:style>
  <w:style w:type="paragraph" w:styleId="1317">
    <w:name w:val="正文1"/>
    <w:basedOn w:val="1038"/>
    <w:next w:val="1038"/>
    <w:link w:val="1038"/>
    <w:pPr>
      <w:ind w:firstLine="510"/>
      <w:spacing w:before="156" w:line="360" w:lineRule="auto"/>
    </w:pPr>
    <w:rPr>
      <w:rFonts w:ascii="Times New Roman" w:hAnsi="Times New Roman" w:eastAsia="宋体" w:cs="Times New Roman"/>
      <w:sz w:val="24"/>
    </w:rPr>
  </w:style>
  <w:style w:type="paragraph" w:styleId="1318">
    <w:name w:val="Char Char Char"/>
    <w:basedOn w:val="1038"/>
    <w:next w:val="1318"/>
    <w:link w:val="1038"/>
    <w:rPr>
      <w:rFonts w:ascii="Tahoma" w:hAnsi="Tahoma" w:eastAsia="宋体" w:cs="Times New Roman"/>
      <w:sz w:val="24"/>
    </w:rPr>
  </w:style>
  <w:style w:type="paragraph" w:styleId="1319">
    <w:name w:val="行文"/>
    <w:basedOn w:val="1038"/>
    <w:next w:val="1319"/>
    <w:link w:val="1038"/>
    <w:pPr>
      <w:ind w:firstLine="624"/>
      <w:spacing w:before="0" w:after="0" w:line="480" w:lineRule="exact"/>
    </w:pPr>
    <w:rPr>
      <w:rFonts w:ascii="Times New Roman" w:hAnsi="Times New Roman" w:eastAsia="仿宋_GB2312" w:cs="Times New Roman"/>
      <w:spacing w:val="8"/>
      <w:sz w:val="30"/>
    </w:rPr>
  </w:style>
  <w:style w:type="paragraph" w:styleId="1320">
    <w:name w:val="font7"/>
    <w:basedOn w:val="1038"/>
    <w:next w:val="1320"/>
    <w:link w:val="1038"/>
    <w:pPr>
      <w:jc w:val="left"/>
      <w:spacing w:before="100" w:beforeAutospacing="1" w:after="100" w:afterAutospacing="1"/>
      <w:widowControl/>
    </w:pPr>
    <w:rPr>
      <w:rFonts w:hint="eastAsia" w:ascii="宋体" w:hAnsi="宋体" w:eastAsia="宋体" w:cs="Times New Roman"/>
      <w:b/>
      <w:bCs/>
      <w:sz w:val="24"/>
      <w:szCs w:val="24"/>
    </w:rPr>
  </w:style>
  <w:style w:type="paragraph" w:styleId="1321">
    <w:name w:val=" Char Char Char Char Char Char Char Char"/>
    <w:basedOn w:val="1038"/>
    <w:next w:val="1321"/>
    <w:link w:val="1038"/>
    <w:rPr>
      <w:rFonts w:ascii="Tahoma" w:hAnsi="Tahoma" w:eastAsia="宋体" w:cs="Times New Roman"/>
      <w:sz w:val="24"/>
    </w:rPr>
  </w:style>
  <w:style w:type="paragraph" w:styleId="1322">
    <w:name w:val="样式 正文缩进2字符 + 左侧:  2 字符 首行缩进:  2 字符"/>
    <w:basedOn w:val="1038"/>
    <w:next w:val="1322"/>
    <w:link w:val="1038"/>
    <w:pPr>
      <w:ind w:firstLine="480"/>
      <w:spacing w:line="360" w:lineRule="auto"/>
    </w:pPr>
    <w:rPr>
      <w:rFonts w:ascii="Times New Roman" w:hAnsi="Times New Roman" w:eastAsia="宋体" w:cs="宋体"/>
      <w:bCs/>
      <w:sz w:val="24"/>
      <w:szCs w:val="20"/>
    </w:rPr>
  </w:style>
  <w:style w:type="paragraph" w:styleId="1323">
    <w:name w:val="表格内文字"/>
    <w:basedOn w:val="1038"/>
    <w:next w:val="1323"/>
    <w:link w:val="1038"/>
    <w:pPr>
      <w:spacing w:line="300" w:lineRule="atLeast"/>
    </w:pPr>
    <w:rPr>
      <w:rFonts w:ascii="Times New Roman" w:hAnsi="Times New Roman" w:eastAsia="宋体" w:cs="Times New Roman"/>
      <w:sz w:val="18"/>
      <w:szCs w:val="24"/>
    </w:rPr>
  </w:style>
  <w:style w:type="paragraph" w:styleId="1324">
    <w:name w:val="xl46"/>
    <w:basedOn w:val="1038"/>
    <w:next w:val="1324"/>
    <w:link w:val="1038"/>
    <w:pPr>
      <w:jc w:val="center"/>
      <w:spacing w:before="100" w:beforeAutospacing="1" w:after="100" w:afterAutospacing="1"/>
      <w:widowControl/>
      <w:pBdr>
        <w:left w:val="single" w:color="000000" w:sz="4" w:space="0"/>
        <w:right w:val="single" w:color="000000" w:sz="4" w:space="0"/>
      </w:pBdr>
    </w:pPr>
    <w:rPr>
      <w:rFonts w:ascii="宋体" w:hAnsi="宋体" w:eastAsia="宋体" w:cs="宋体"/>
      <w:sz w:val="24"/>
      <w:szCs w:val="24"/>
    </w:rPr>
  </w:style>
  <w:style w:type="paragraph" w:styleId="1325">
    <w:name w:val=" Char Char Char Char"/>
    <w:basedOn w:val="1038"/>
    <w:next w:val="1325"/>
    <w:link w:val="1038"/>
    <w:pPr>
      <w:jc w:val="center"/>
      <w:spacing w:after="160" w:line="240" w:lineRule="exact"/>
      <w:widowControl/>
    </w:pPr>
    <w:rPr>
      <w:rFonts w:ascii="黑体" w:hAnsi="Verdana" w:eastAsia="黑体" w:cs="Times New Roman"/>
      <w:sz w:val="32"/>
      <w:szCs w:val="32"/>
      <w:lang w:eastAsia="en-US"/>
    </w:rPr>
  </w:style>
  <w:style w:type="paragraph" w:styleId="1326">
    <w:name w:val="Normal1"/>
    <w:basedOn w:val="1038"/>
    <w:next w:val="1326"/>
    <w:link w:val="1038"/>
    <w:rPr>
      <w:rFonts w:ascii="Calibri" w:hAnsi="Calibri" w:eastAsia="Calibri" w:cs="宋体"/>
      <w:lang w:val="zh-CN"/>
    </w:rPr>
  </w:style>
  <w:style w:type="paragraph" w:styleId="1327">
    <w:name w:val="样式 小四 行距: 固定值 25 磅8"/>
    <w:basedOn w:val="1038"/>
    <w:next w:val="1038"/>
    <w:link w:val="1038"/>
    <w:pPr>
      <w:ind w:firstLine="464"/>
      <w:spacing w:line="500" w:lineRule="exact"/>
    </w:pPr>
    <w:rPr>
      <w:rFonts w:ascii="Times New Roman" w:hAnsi="Times New Roman" w:eastAsia="宋体" w:cs="宋体"/>
      <w:sz w:val="24"/>
    </w:rPr>
  </w:style>
  <w:style w:type="paragraph" w:styleId="1328">
    <w:name w:val=" Char Char1"/>
    <w:basedOn w:val="1038"/>
    <w:next w:val="1328"/>
    <w:link w:val="1038"/>
    <w:rPr>
      <w:rFonts w:ascii="Tahoma" w:hAnsi="Tahoma" w:eastAsia="宋体" w:cs="Times New Roman"/>
      <w:sz w:val="24"/>
    </w:rPr>
  </w:style>
  <w:style w:type="paragraph" w:styleId="1329">
    <w:name w:val="af17cgridlangnp1033langf"/>
    <w:next w:val="1329"/>
    <w:link w:val="1038"/>
    <w:pPr>
      <w:ind w:left="567" w:firstLine="510"/>
      <w:jc w:val="both"/>
      <w:spacing w:before="156" w:line="360" w:lineRule="atLeast"/>
      <w:widowControl w:val="off"/>
    </w:pPr>
    <w:rPr>
      <w:lang w:val="en-US" w:eastAsia="zh-CN" w:bidi="ar-SA"/>
    </w:rPr>
  </w:style>
  <w:style w:type="paragraph" w:styleId="1330">
    <w:name w:val="华宇段落1 Char"/>
    <w:basedOn w:val="1038"/>
    <w:next w:val="1330"/>
    <w:link w:val="1038"/>
    <w:pPr>
      <w:ind w:firstLine="200"/>
      <w:spacing w:line="360" w:lineRule="auto"/>
    </w:pPr>
    <w:rPr>
      <w:rFonts w:ascii="Times New Roman" w:hAnsi="Times New Roman" w:eastAsia="宋体" w:cs="Times New Roman"/>
      <w:bCs/>
      <w:sz w:val="24"/>
      <w:szCs w:val="24"/>
    </w:rPr>
  </w:style>
  <w:style w:type="paragraph" w:styleId="1331">
    <w:name w:val="正文lzq"/>
    <w:basedOn w:val="1038"/>
    <w:next w:val="1331"/>
    <w:link w:val="1038"/>
    <w:pPr>
      <w:ind w:firstLine="480"/>
      <w:spacing w:line="360" w:lineRule="auto"/>
    </w:pPr>
    <w:rPr>
      <w:rFonts w:ascii="Times New Roman" w:hAnsi="Times New Roman" w:eastAsia="宋体" w:cs="Times New Roman"/>
      <w:sz w:val="24"/>
    </w:rPr>
  </w:style>
  <w:style w:type="paragraph" w:styleId="1332">
    <w:name w:val="正文--表格内正文"/>
    <w:basedOn w:val="1038"/>
    <w:next w:val="1332"/>
    <w:link w:val="1038"/>
    <w:pPr>
      <w:jc w:val="center"/>
      <w:spacing w:before="156" w:line="0" w:lineRule="atLeast"/>
    </w:pPr>
    <w:rPr>
      <w:rFonts w:ascii="宋体" w:hAnsi="宋体" w:eastAsia="宋体" w:cs="Times New Roman"/>
      <w:color w:val="000000"/>
      <w:sz w:val="24"/>
      <w:szCs w:val="24"/>
    </w:rPr>
  </w:style>
  <w:style w:type="paragraph" w:styleId="1333">
    <w:name w:val="xl25"/>
    <w:basedOn w:val="1038"/>
    <w:next w:val="1333"/>
    <w:link w:val="1038"/>
    <w:pPr>
      <w:jc w:val="center"/>
      <w:spacing w:before="100" w:beforeAutospacing="1" w:after="100" w:afterAutospacing="1"/>
      <w:widowControl/>
      <w:pBdr>
        <w:right w:val="single" w:color="000000" w:sz="4" w:space="0"/>
      </w:pBdr>
    </w:pPr>
    <w:rPr>
      <w:rFonts w:ascii="Times New Roman" w:hAnsi="Times New Roman" w:eastAsia="宋体" w:cs="Times New Roman"/>
      <w:szCs w:val="21"/>
    </w:rPr>
  </w:style>
  <w:style w:type="paragraph" w:styleId="1334">
    <w:name w:val="xl34"/>
    <w:basedOn w:val="1038"/>
    <w:next w:val="1334"/>
    <w:link w:val="103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335">
    <w:name w:val="表格1"/>
    <w:basedOn w:val="1038"/>
    <w:next w:val="1335"/>
    <w:link w:val="1038"/>
    <w:rPr>
      <w:rFonts w:ascii="宋体" w:hAnsi="Times New Roman" w:eastAsia="宋体" w:cs="Times New Roman"/>
      <w:szCs w:val="21"/>
    </w:rPr>
  </w:style>
  <w:style w:type="paragraph" w:styleId="1336">
    <w:name w:val="xl55"/>
    <w:basedOn w:val="1038"/>
    <w:next w:val="1336"/>
    <w:link w:val="1038"/>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sz w:val="20"/>
    </w:rPr>
  </w:style>
  <w:style w:type="paragraph" w:styleId="1337">
    <w:name w:val=" Char Char Char"/>
    <w:basedOn w:val="1066"/>
    <w:next w:val="1337"/>
    <w:link w:val="1038"/>
    <w:pPr>
      <w:spacing w:line="436" w:lineRule="exact"/>
    </w:pPr>
    <w:rPr>
      <w:rFonts w:ascii="Times New Roman" w:hAnsi="Times New Roman" w:eastAsia="宋体" w:cs="Times New Roman"/>
      <w:szCs w:val="24"/>
    </w:rPr>
  </w:style>
  <w:style w:type="paragraph" w:styleId="1338">
    <w:name w:val="表蕊"/>
    <w:basedOn w:val="1038"/>
    <w:next w:val="1338"/>
    <w:link w:val="1038"/>
    <w:pPr>
      <w:jc w:val="left"/>
      <w:spacing w:line="320" w:lineRule="atLeast"/>
    </w:pPr>
    <w:rPr>
      <w:rFonts w:ascii="Times New Roman" w:hAnsi="Times New Roman" w:eastAsia="楷体_GB2312" w:cs="Times New Roman"/>
      <w:spacing w:val="-10"/>
    </w:rPr>
  </w:style>
  <w:style w:type="paragraph" w:styleId="1339">
    <w:name w:val="样式 段后: 0.25 行"/>
    <w:basedOn w:val="1038"/>
    <w:next w:val="1339"/>
    <w:link w:val="1038"/>
    <w:pPr>
      <w:ind w:firstLine="420"/>
      <w:jc w:val="left"/>
      <w:spacing w:after="78" w:line="300" w:lineRule="auto"/>
      <w:widowControl/>
    </w:pPr>
    <w:rPr>
      <w:rFonts w:ascii="Arial" w:hAnsi="Arial" w:eastAsia="宋体" w:cs="宋体"/>
      <w:sz w:val="22"/>
      <w:lang w:eastAsia="en-US" w:bidi="en-US"/>
    </w:rPr>
  </w:style>
  <w:style w:type="paragraph" w:styleId="1340">
    <w:name w:val="xl35"/>
    <w:basedOn w:val="1038"/>
    <w:next w:val="1340"/>
    <w:link w:val="103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i/>
      <w:iCs/>
      <w:sz w:val="20"/>
    </w:rPr>
  </w:style>
  <w:style w:type="paragraph" w:styleId="1341">
    <w:name w:val="Char Char1 Char Char Char Char Char Char Char"/>
    <w:basedOn w:val="1038"/>
    <w:next w:val="1341"/>
    <w:link w:val="1038"/>
    <w:rPr>
      <w:rFonts w:ascii="Tahoma" w:hAnsi="Tahoma" w:eastAsia="宋体" w:cs="Tahoma"/>
      <w:sz w:val="24"/>
    </w:rPr>
  </w:style>
  <w:style w:type="paragraph" w:styleId="1342">
    <w:name w:val="00-合正"/>
    <w:basedOn w:val="1038"/>
    <w:next w:val="1342"/>
    <w:link w:val="1038"/>
    <w:pPr>
      <w:ind w:firstLine="200"/>
      <w:jc w:val="left"/>
      <w:spacing w:line="560" w:lineRule="exact"/>
    </w:pPr>
    <w:rPr>
      <w:rFonts w:ascii="楷体" w:hAnsi="楷体" w:eastAsia="楷体" w:cs="Times New Roman"/>
      <w:color w:val="000000"/>
      <w:sz w:val="28"/>
      <w:szCs w:val="24"/>
    </w:rPr>
  </w:style>
  <w:style w:type="paragraph" w:styleId="1343">
    <w:name w:val="xl48"/>
    <w:basedOn w:val="1038"/>
    <w:next w:val="1343"/>
    <w:link w:val="1038"/>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b/>
      <w:bCs/>
      <w:sz w:val="20"/>
    </w:rPr>
  </w:style>
  <w:style w:type="paragraph" w:styleId="1344">
    <w:name w:val="xl47"/>
    <w:basedOn w:val="1038"/>
    <w:next w:val="1344"/>
    <w:link w:val="103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345">
    <w:name w:val="Char Char Char Char Char Char Char Char Char Char Char1 Char Char Char1"/>
    <w:basedOn w:val="1038"/>
    <w:next w:val="1345"/>
    <w:link w:val="1038"/>
    <w:pPr>
      <w:ind w:firstLine="200"/>
      <w:jc w:val="left"/>
    </w:pPr>
    <w:rPr>
      <w:rFonts w:ascii="Tahoma" w:hAnsi="Tahoma" w:eastAsia="宋体" w:cs="Times New Roman"/>
      <w:sz w:val="24"/>
      <w:szCs w:val="24"/>
    </w:rPr>
  </w:style>
  <w:style w:type="paragraph" w:styleId="1346">
    <w:name w:val="一级标题"/>
    <w:basedOn w:val="1038"/>
    <w:next w:val="1346"/>
    <w:link w:val="1038"/>
    <w:pPr>
      <w:ind w:left="900" w:hanging="420"/>
      <w:spacing w:line="360" w:lineRule="auto"/>
      <w:tabs>
        <w:tab w:val="left" w:pos="903" w:leader="none"/>
      </w:tabs>
    </w:pPr>
    <w:rPr>
      <w:rFonts w:ascii="Arial" w:hAnsi="Arial" w:eastAsia="宋体" w:cs="Arial"/>
      <w:sz w:val="24"/>
    </w:rPr>
  </w:style>
  <w:style w:type="paragraph" w:styleId="1347">
    <w:name w:val="Char Char Char Char Char Char Char Char Char Char Char Char Char Char Char Char Char Char Char Char Char"/>
    <w:basedOn w:val="1038"/>
    <w:next w:val="1347"/>
    <w:link w:val="1038"/>
    <w:rPr>
      <w:rFonts w:ascii="Tahoma" w:hAnsi="Tahoma" w:eastAsia="宋体" w:cs="Tahoma"/>
      <w:sz w:val="24"/>
    </w:rPr>
  </w:style>
  <w:style w:type="paragraph" w:styleId="1348">
    <w:name w:val="xl38"/>
    <w:basedOn w:val="1038"/>
    <w:next w:val="1348"/>
    <w:link w:val="103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349">
    <w:name w:val="xl40"/>
    <w:basedOn w:val="1038"/>
    <w:next w:val="1349"/>
    <w:link w:val="103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350">
    <w:name w:val="普通正文"/>
    <w:basedOn w:val="1038"/>
    <w:next w:val="1350"/>
    <w:link w:val="1038"/>
    <w:pPr>
      <w:ind w:firstLine="480"/>
      <w:jc w:val="left"/>
    </w:pPr>
    <w:rPr>
      <w:rFonts w:ascii="Arial" w:hAnsi="Arial" w:eastAsia="宋体" w:cs="Times New Roman"/>
      <w:sz w:val="24"/>
      <w:szCs w:val="24"/>
    </w:rPr>
  </w:style>
  <w:style w:type="paragraph" w:styleId="1351">
    <w:name w:val="Char Char Char Char Char Char Char Char Char Char Char Char Char Char"/>
    <w:basedOn w:val="1038"/>
    <w:next w:val="1351"/>
    <w:link w:val="1038"/>
    <w:rPr>
      <w:rFonts w:ascii="Tahoma" w:hAnsi="Tahoma" w:eastAsia="宋体" w:cs="Tahoma"/>
      <w:sz w:val="24"/>
    </w:rPr>
  </w:style>
  <w:style w:type="paragraph" w:styleId="1352">
    <w:name w:val="标题6"/>
    <w:basedOn w:val="1043"/>
    <w:next w:val="1352"/>
    <w:link w:val="1038"/>
    <w:pPr>
      <w:numPr>
        <w:ilvl w:val="0"/>
        <w:numId w:val="3"/>
      </w:numPr>
      <w:keepLines/>
      <w:tabs>
        <w:tab w:val="left" w:pos="420" w:leader="none"/>
      </w:tabs>
    </w:pPr>
    <w:rPr>
      <w:rFonts w:ascii="Times New Roman" w:hAnsi="Times New Roman" w:eastAsia="宋体" w:cs="Times New Roman"/>
      <w:b w:val="0"/>
      <w:bCs/>
      <w:color w:val="000000"/>
      <w:sz w:val="24"/>
      <w:szCs w:val="28"/>
    </w:rPr>
  </w:style>
  <w:style w:type="paragraph" w:styleId="1353">
    <w:name w:val="符号与编号 Char Char"/>
    <w:basedOn w:val="1038"/>
    <w:next w:val="1353"/>
    <w:link w:val="1038"/>
    <w:pPr>
      <w:ind w:left="839" w:hanging="419"/>
      <w:spacing w:after="156" w:line="400" w:lineRule="atLeast"/>
      <w:tabs>
        <w:tab w:val="left" w:pos="840" w:leader="none"/>
      </w:tabs>
    </w:pPr>
    <w:rPr>
      <w:rFonts w:ascii="Times New Roman" w:hAnsi="Times New Roman" w:eastAsia="宋体" w:cs="Times New Roman"/>
      <w:sz w:val="24"/>
      <w:szCs w:val="24"/>
    </w:rPr>
  </w:style>
  <w:style w:type="paragraph" w:styleId="1354">
    <w:name w:val="公文正文"/>
    <w:basedOn w:val="1075"/>
    <w:next w:val="1354"/>
    <w:link w:val="1038"/>
    <w:pPr>
      <w:ind w:firstLine="200"/>
    </w:pPr>
    <w:rPr>
      <w:rFonts w:ascii="仿宋_GB2312" w:hAnsi="宋体" w:eastAsia="仿宋_GB2312" w:cs="Times New Roman"/>
      <w:sz w:val="28"/>
      <w:szCs w:val="24"/>
    </w:rPr>
  </w:style>
  <w:style w:type="paragraph" w:styleId="1355">
    <w:name w:val="Pa6"/>
    <w:basedOn w:val="1038"/>
    <w:next w:val="1038"/>
    <w:link w:val="1038"/>
    <w:pPr>
      <w:jc w:val="left"/>
      <w:spacing w:line="241" w:lineRule="atLeast"/>
    </w:pPr>
    <w:rPr>
      <w:rFonts w:ascii="汉仪大黑简" w:hAnsi="Times New Roman" w:eastAsia="汉仪大黑简" w:cs="Times New Roman"/>
      <w:sz w:val="24"/>
      <w:szCs w:val="24"/>
    </w:rPr>
  </w:style>
  <w:style w:type="paragraph" w:styleId="1356">
    <w:name w:val="修订"/>
    <w:next w:val="1356"/>
    <w:link w:val="1038"/>
    <w:rPr>
      <w:sz w:val="21"/>
      <w:szCs w:val="24"/>
      <w:lang w:val="en-US" w:eastAsia="zh-CN" w:bidi="ar-SA"/>
    </w:rPr>
  </w:style>
  <w:style w:type="paragraph" w:styleId="1357">
    <w:name w:val="标准文本"/>
    <w:basedOn w:val="1038"/>
    <w:next w:val="1357"/>
    <w:link w:val="1038"/>
    <w:pPr>
      <w:ind w:firstLine="480"/>
      <w:spacing w:line="360" w:lineRule="auto"/>
    </w:pPr>
    <w:rPr>
      <w:rFonts w:ascii="Times New Roman" w:hAnsi="Times New Roman" w:eastAsia="宋体" w:cs="宋体"/>
      <w:sz w:val="24"/>
      <w:szCs w:val="24"/>
    </w:rPr>
  </w:style>
  <w:style w:type="paragraph" w:styleId="1358">
    <w:name w:val="公文标题 2"/>
    <w:basedOn w:val="1038"/>
    <w:next w:val="1354"/>
    <w:link w:val="1038"/>
    <w:pPr>
      <w:outlineLvl w:val="1"/>
    </w:pPr>
    <w:rPr>
      <w:rFonts w:ascii="仿宋_GB2312" w:hAnsi="宋体" w:eastAsia="仿宋_GB2312" w:cs="Times New Roman"/>
      <w:sz w:val="28"/>
      <w:szCs w:val="24"/>
    </w:rPr>
  </w:style>
  <w:style w:type="paragraph" w:styleId="1359">
    <w:name w:val="font12"/>
    <w:basedOn w:val="1038"/>
    <w:next w:val="1359"/>
    <w:link w:val="1038"/>
    <w:pPr>
      <w:jc w:val="left"/>
      <w:spacing w:before="100" w:beforeAutospacing="1" w:after="100" w:afterAutospacing="1"/>
      <w:widowControl/>
    </w:pPr>
    <w:rPr>
      <w:rFonts w:ascii="宋体" w:hAnsi="宋体" w:eastAsia="宋体" w:cs="宋体"/>
      <w:sz w:val="36"/>
      <w:szCs w:val="36"/>
    </w:rPr>
  </w:style>
  <w:style w:type="paragraph" w:styleId="1360">
    <w:name w:val="正文 + Arial Char"/>
    <w:basedOn w:val="1038"/>
    <w:next w:val="1360"/>
    <w:link w:val="1038"/>
    <w:pPr>
      <w:ind w:left="315" w:hanging="315"/>
      <w:spacing w:line="300" w:lineRule="auto"/>
      <w:widowControl/>
      <w:tabs>
        <w:tab w:val="left" w:pos="315" w:leader="none"/>
      </w:tabs>
    </w:pPr>
    <w:rPr>
      <w:rFonts w:ascii="Arial" w:hAnsi="Arial" w:eastAsia="宋体" w:cs="Arial"/>
      <w:b/>
      <w:color w:val="000000"/>
    </w:rPr>
  </w:style>
  <w:style w:type="paragraph" w:styleId="1361">
    <w:name w:val="我的正文"/>
    <w:basedOn w:val="1038"/>
    <w:next w:val="1361"/>
    <w:link w:val="1038"/>
    <w:pPr>
      <w:ind w:firstLine="420"/>
      <w:jc w:val="left"/>
      <w:spacing w:line="360" w:lineRule="auto"/>
      <w:widowControl/>
    </w:pPr>
    <w:rPr>
      <w:rFonts w:ascii="宋体" w:hAnsi="宋体" w:eastAsia="宋体" w:cs="宋体"/>
      <w:szCs w:val="21"/>
    </w:rPr>
  </w:style>
  <w:style w:type="paragraph" w:styleId="1362">
    <w:name w:val="xl24"/>
    <w:basedOn w:val="1038"/>
    <w:next w:val="1362"/>
    <w:link w:val="103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363">
    <w:name w:val="标题4，章节第四层"/>
    <w:basedOn w:val="1038"/>
    <w:next w:val="1038"/>
    <w:link w:val="1038"/>
    <w:pPr>
      <w:spacing w:line="360" w:lineRule="auto"/>
      <w:tabs>
        <w:tab w:val="left" w:pos="0" w:leader="none"/>
      </w:tabs>
      <w:outlineLvl w:val="3"/>
    </w:pPr>
    <w:rPr>
      <w:rFonts w:ascii="宋体" w:hAnsi="宋体" w:eastAsia="宋体" w:cs="Times New Roman"/>
      <w:b/>
      <w:sz w:val="24"/>
      <w:szCs w:val="24"/>
    </w:rPr>
  </w:style>
  <w:style w:type="paragraph" w:styleId="1364">
    <w:name w:val="font10"/>
    <w:basedOn w:val="1038"/>
    <w:next w:val="1364"/>
    <w:link w:val="1038"/>
    <w:pPr>
      <w:jc w:val="left"/>
      <w:spacing w:before="100" w:beforeAutospacing="1" w:after="100" w:afterAutospacing="1"/>
      <w:widowControl/>
    </w:pPr>
    <w:rPr>
      <w:rFonts w:ascii="楷体_GB2312" w:hAnsi="宋体" w:eastAsia="楷体_GB2312" w:cs="宋体"/>
      <w:b/>
      <w:bCs/>
      <w:sz w:val="18"/>
      <w:szCs w:val="18"/>
    </w:rPr>
  </w:style>
  <w:style w:type="paragraph" w:styleId="1365">
    <w:name w:val="样式 加点正文 + 段前: 0.5 行 段后: 0.5 行1"/>
    <w:basedOn w:val="1038"/>
    <w:next w:val="1365"/>
    <w:link w:val="1038"/>
    <w:pPr>
      <w:ind w:left="1268" w:hanging="420"/>
      <w:spacing w:before="156" w:after="156" w:line="300" w:lineRule="auto"/>
      <w:tabs>
        <w:tab w:val="left" w:pos="420" w:leader="none"/>
        <w:tab w:val="left" w:pos="1268" w:leader="none"/>
      </w:tabs>
    </w:pPr>
    <w:rPr>
      <w:rFonts w:ascii="Times New Roman" w:hAnsi="Times New Roman" w:eastAsia="宋体" w:cs="Times New Roman"/>
      <w:sz w:val="24"/>
    </w:rPr>
  </w:style>
  <w:style w:type="paragraph" w:styleId="1366">
    <w:name w:val="xl42"/>
    <w:basedOn w:val="1038"/>
    <w:next w:val="1366"/>
    <w:link w:val="103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367">
    <w:name w:val="font5"/>
    <w:basedOn w:val="1038"/>
    <w:next w:val="1367"/>
    <w:link w:val="1038"/>
    <w:pPr>
      <w:jc w:val="left"/>
      <w:spacing w:before="100" w:beforeAutospacing="1" w:after="100" w:afterAutospacing="1"/>
      <w:widowControl/>
    </w:pPr>
    <w:rPr>
      <w:rFonts w:ascii="宋体" w:hAnsi="宋体" w:eastAsia="宋体" w:cs="宋体"/>
      <w:sz w:val="18"/>
      <w:szCs w:val="18"/>
    </w:rPr>
  </w:style>
  <w:style w:type="paragraph" w:styleId="1368">
    <w:name w:val="xl41"/>
    <w:basedOn w:val="1038"/>
    <w:next w:val="1368"/>
    <w:link w:val="103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369">
    <w:name w:val="p0"/>
    <w:basedOn w:val="1038"/>
    <w:next w:val="1369"/>
    <w:link w:val="1038"/>
    <w:pPr>
      <w:jc w:val="left"/>
      <w:spacing w:before="100" w:beforeAutospacing="1" w:after="100" w:afterAutospacing="1"/>
      <w:widowControl/>
    </w:pPr>
    <w:rPr>
      <w:rFonts w:ascii="宋体" w:hAnsi="宋体" w:eastAsia="宋体" w:cs="宋体"/>
      <w:sz w:val="24"/>
      <w:szCs w:val="24"/>
    </w:rPr>
  </w:style>
  <w:style w:type="paragraph" w:styleId="1370">
    <w:name w:val="xl52"/>
    <w:basedOn w:val="1038"/>
    <w:next w:val="1370"/>
    <w:link w:val="1038"/>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i/>
      <w:iCs/>
      <w:sz w:val="20"/>
    </w:rPr>
  </w:style>
  <w:style w:type="paragraph" w:styleId="1371">
    <w:name w:val="小四 段落 宋体 Char Char Char"/>
    <w:basedOn w:val="1064"/>
    <w:next w:val="1371"/>
    <w:link w:val="1038"/>
    <w:pPr>
      <w:ind w:left="0" w:right="-33" w:firstLine="545"/>
      <w:jc w:val="left"/>
      <w:spacing w:line="360" w:lineRule="auto"/>
      <w:tabs>
        <w:tab w:val="clear" w:pos="2952" w:leader="none"/>
      </w:tabs>
    </w:pPr>
    <w:rPr>
      <w:rFonts w:ascii="Times New Roman" w:hAnsi="Times New Roman" w:eastAsia="宋体" w:cs="Times New Roman"/>
      <w:sz w:val="24"/>
    </w:rPr>
  </w:style>
  <w:style w:type="paragraph" w:styleId="1372">
    <w:name w:val="丁华标题2"/>
    <w:basedOn w:val="1040"/>
    <w:next w:val="1262"/>
    <w:link w:val="1038"/>
    <w:pPr>
      <w:numPr>
        <w:ilvl w:val="1"/>
        <w:numId w:val="1"/>
      </w:numPr>
      <w:spacing w:line="415" w:lineRule="auto"/>
      <w:tabs>
        <w:tab w:val="left" w:pos="1004" w:leader="none"/>
      </w:tabs>
    </w:pPr>
    <w:rPr>
      <w:rFonts w:ascii="Arial" w:hAnsi="Arial" w:eastAsia="黑体" w:cs="Times New Roman"/>
      <w:b w:val="0"/>
      <w:sz w:val="28"/>
      <w:szCs w:val="20"/>
    </w:rPr>
  </w:style>
  <w:style w:type="paragraph" w:styleId="1373">
    <w:name w:val="丁华标题3"/>
    <w:basedOn w:val="1372"/>
    <w:next w:val="1262"/>
    <w:link w:val="1038"/>
    <w:pPr>
      <w:numPr>
        <w:ilvl w:val="2"/>
        <w:numId w:val="1"/>
      </w:numPr>
      <w:ind w:left="1980" w:hanging="420"/>
      <w:spacing w:after="0"/>
      <w:tabs>
        <w:tab w:val="left" w:pos="1004" w:leader="none"/>
        <w:tab w:val="left" w:pos="1470" w:leader="none"/>
        <w:tab w:val="left" w:pos="1980" w:leader="none"/>
      </w:tabs>
      <w:outlineLvl w:val="2"/>
    </w:pPr>
    <w:rPr>
      <w:rFonts w:ascii="Times New Roman" w:hAnsi="Times New Roman" w:eastAsia="宋体" w:cs="Times New Roman"/>
      <w:sz w:val="24"/>
    </w:rPr>
  </w:style>
  <w:style w:type="paragraph" w:styleId="1374">
    <w:name w:val="Char Char"/>
    <w:basedOn w:val="1038"/>
    <w:next w:val="1374"/>
    <w:link w:val="1038"/>
    <w:rPr>
      <w:rFonts w:ascii="Tahoma" w:hAnsi="Tahoma" w:eastAsia="宋体" w:cs="Tahoma"/>
      <w:sz w:val="24"/>
    </w:rPr>
  </w:style>
  <w:style w:type="paragraph" w:styleId="1375">
    <w:name w:val="Char Char Char Char Char Char Char"/>
    <w:basedOn w:val="1038"/>
    <w:next w:val="1375"/>
    <w:link w:val="1038"/>
    <w:pPr>
      <w:jc w:val="left"/>
    </w:pPr>
    <w:rPr>
      <w:rFonts w:ascii="Tahoma" w:hAnsi="Tahoma" w:eastAsia="宋体" w:cs="Times New Roman"/>
      <w:sz w:val="24"/>
    </w:rPr>
  </w:style>
  <w:style w:type="paragraph" w:styleId="1376">
    <w:name w:val=" Char Char Char Char Char Char Char Char Char Char Char Char Char Char Char Char Char Char Char Char Char"/>
    <w:basedOn w:val="1038"/>
    <w:next w:val="1376"/>
    <w:link w:val="1038"/>
    <w:rPr>
      <w:rFonts w:ascii="Tahoma" w:hAnsi="Tahoma" w:eastAsia="宋体" w:cs="Times New Roman"/>
      <w:sz w:val="24"/>
    </w:rPr>
  </w:style>
  <w:style w:type="paragraph" w:styleId="1377">
    <w:name w:val="小四 段落 宋体"/>
    <w:basedOn w:val="1064"/>
    <w:next w:val="1377"/>
    <w:link w:val="1038"/>
    <w:pPr>
      <w:ind w:left="113" w:right="113" w:firstLine="425"/>
      <w:jc w:val="left"/>
      <w:spacing w:line="360" w:lineRule="auto"/>
      <w:tabs>
        <w:tab w:val="clear" w:pos="2952" w:leader="none"/>
      </w:tabs>
    </w:pPr>
    <w:rPr>
      <w:rFonts w:ascii="Times New Roman" w:hAnsi="Times New Roman" w:eastAsia="宋体" w:cs="Times New Roman"/>
      <w:sz w:val="24"/>
    </w:rPr>
  </w:style>
  <w:style w:type="paragraph" w:styleId="1378">
    <w:name w:val="正文2"/>
    <w:basedOn w:val="1038"/>
    <w:next w:val="1378"/>
    <w:link w:val="1038"/>
    <w:pPr>
      <w:ind w:firstLine="510"/>
      <w:spacing w:before="156" w:line="360" w:lineRule="auto"/>
    </w:pPr>
    <w:rPr>
      <w:rFonts w:ascii="Times New Roman" w:hAnsi="Times New Roman" w:eastAsia="宋体" w:cs="Times New Roman"/>
      <w:sz w:val="24"/>
    </w:rPr>
  </w:style>
  <w:style w:type="paragraph" w:styleId="1379">
    <w:name w:val="插图"/>
    <w:basedOn w:val="1038"/>
    <w:next w:val="1379"/>
    <w:link w:val="1038"/>
    <w:pPr>
      <w:jc w:val="center"/>
      <w:tabs>
        <w:tab w:val="left" w:pos="1620" w:leader="none"/>
      </w:tabs>
    </w:pPr>
    <w:rPr>
      <w:rFonts w:ascii="Times New Roman" w:hAnsi="Times New Roman" w:eastAsia="宋体" w:cs="Times New Roman"/>
      <w:bCs/>
      <w:color w:val="000000"/>
      <w:szCs w:val="22"/>
    </w:rPr>
  </w:style>
  <w:style w:type="paragraph" w:styleId="1380">
    <w:name w:val="Char1"/>
    <w:basedOn w:val="1038"/>
    <w:next w:val="1380"/>
    <w:link w:val="1038"/>
    <w:rPr>
      <w:rFonts w:ascii="仿宋_GB2312" w:hAnsi="宋体" w:eastAsia="仿宋_GB2312" w:cs="宋体"/>
      <w:b/>
      <w:sz w:val="32"/>
      <w:szCs w:val="32"/>
    </w:rPr>
  </w:style>
  <w:style w:type="paragraph" w:styleId="1381">
    <w:name w:val=" Char Char Char Char Char"/>
    <w:basedOn w:val="1038"/>
    <w:next w:val="1381"/>
    <w:link w:val="1038"/>
    <w:rPr>
      <w:rFonts w:ascii="Tahoma" w:hAnsi="Tahoma" w:eastAsia="宋体" w:cs="Times New Roman"/>
      <w:sz w:val="24"/>
    </w:rPr>
  </w:style>
  <w:style w:type="paragraph" w:styleId="1382">
    <w:name w:val="zw"/>
    <w:basedOn w:val="1038"/>
    <w:next w:val="1382"/>
    <w:link w:val="1038"/>
    <w:pPr>
      <w:ind w:firstLine="480"/>
      <w:jc w:val="left"/>
      <w:spacing w:line="360" w:lineRule="auto"/>
      <w:widowControl/>
    </w:pPr>
    <w:rPr>
      <w:rFonts w:ascii="宋体" w:hAnsi="宋体" w:eastAsia="宋体" w:cs="Times New Roman"/>
      <w:bCs/>
      <w:sz w:val="24"/>
    </w:rPr>
  </w:style>
  <w:style w:type="paragraph" w:styleId="1383">
    <w:name w:val="xl56"/>
    <w:basedOn w:val="1038"/>
    <w:next w:val="1383"/>
    <w:link w:val="1038"/>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384">
    <w:name w:val="正文 New New New New New New New New New New New New New New"/>
    <w:next w:val="1384"/>
    <w:link w:val="1038"/>
    <w:pPr>
      <w:jc w:val="both"/>
      <w:widowControl w:val="off"/>
    </w:pPr>
    <w:rPr>
      <w:rFonts w:hint="eastAsia"/>
      <w:sz w:val="21"/>
      <w:lang w:val="en-US" w:eastAsia="zh-CN" w:bidi="ar-SA"/>
    </w:rPr>
  </w:style>
  <w:style w:type="paragraph" w:styleId="1385">
    <w:name w:val="xl50"/>
    <w:basedOn w:val="1038"/>
    <w:next w:val="1385"/>
    <w:link w:val="1038"/>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386">
    <w:name w:val="Char Char Char Char"/>
    <w:basedOn w:val="1066"/>
    <w:next w:val="1386"/>
    <w:link w:val="1038"/>
    <w:pPr>
      <w:spacing w:line="360" w:lineRule="auto"/>
    </w:pPr>
    <w:rPr>
      <w:rFonts w:ascii="Tahoma" w:hAnsi="Tahoma" w:eastAsia="宋体" w:cs="Times New Roman"/>
      <w:sz w:val="24"/>
      <w:szCs w:val="24"/>
    </w:rPr>
  </w:style>
  <w:style w:type="paragraph" w:styleId="1387">
    <w:name w:val="样式 样式 首行缩进:  2 字符 + 行距: 1.5 倍行距"/>
    <w:basedOn w:val="1038"/>
    <w:next w:val="1387"/>
    <w:link w:val="1038"/>
    <w:pPr>
      <w:ind w:firstLine="470"/>
      <w:spacing w:line="360" w:lineRule="auto"/>
    </w:pPr>
    <w:rPr>
      <w:rFonts w:ascii="Times New Roman" w:hAnsi="Times New Roman" w:eastAsia="宋体" w:cs="Times New Roman"/>
      <w:sz w:val="24"/>
    </w:rPr>
  </w:style>
  <w:style w:type="paragraph" w:styleId="1388">
    <w:name w:val="标题1，章节第一层"/>
    <w:basedOn w:val="1287"/>
    <w:next w:val="1287"/>
    <w:link w:val="1038"/>
    <w:pPr>
      <w:ind w:left="482"/>
      <w:spacing w:before="0"/>
      <w:tabs>
        <w:tab w:val="left" w:pos="693" w:leader="none"/>
      </w:tabs>
      <w:outlineLvl w:val="0"/>
    </w:pPr>
    <w:rPr>
      <w:rFonts w:ascii="Times New Roman" w:hAnsi="Times New Roman" w:eastAsia="宋体" w:cs="Times New Roman"/>
      <w:color w:val="000000"/>
      <w:sz w:val="24"/>
      <w:szCs w:val="24"/>
    </w:rPr>
  </w:style>
  <w:style w:type="paragraph" w:styleId="1389">
    <w:name w:val="标题3"/>
    <w:basedOn w:val="1041"/>
    <w:next w:val="1389"/>
    <w:link w:val="1038"/>
    <w:pPr>
      <w:keepLines w:val="0"/>
      <w:keepNext w:val="0"/>
      <w:spacing w:before="0" w:after="0" w:line="360" w:lineRule="auto"/>
    </w:pPr>
    <w:rPr>
      <w:rFonts w:ascii="Times New Roman" w:hAnsi="Times New Roman" w:eastAsia="仿宋_GB2312" w:cs="Times New Roman"/>
      <w:b w:val="0"/>
      <w:bCs/>
      <w:sz w:val="30"/>
      <w:szCs w:val="32"/>
    </w:rPr>
  </w:style>
  <w:style w:type="paragraph" w:styleId="1390">
    <w:name w:val="font9"/>
    <w:basedOn w:val="1038"/>
    <w:next w:val="1390"/>
    <w:link w:val="1038"/>
    <w:pPr>
      <w:jc w:val="left"/>
      <w:spacing w:before="100" w:beforeAutospacing="1" w:after="100" w:afterAutospacing="1"/>
      <w:widowControl/>
    </w:pPr>
    <w:rPr>
      <w:rFonts w:ascii="Times New Roman" w:hAnsi="Times New Roman" w:eastAsia="宋体" w:cs="Times New Roman"/>
      <w:b/>
      <w:bCs/>
      <w:sz w:val="20"/>
    </w:rPr>
  </w:style>
  <w:style w:type="paragraph" w:styleId="1391">
    <w:name w:val=" Char Char Char Char Char Char Char Char Char"/>
    <w:basedOn w:val="1038"/>
    <w:next w:val="1391"/>
    <w:link w:val="1038"/>
    <w:pPr>
      <w:ind w:left="360" w:hanging="360"/>
      <w:tabs>
        <w:tab w:val="left" w:pos="360" w:leader="none"/>
      </w:tabs>
    </w:pPr>
    <w:rPr>
      <w:rFonts w:ascii="Times New Roman" w:hAnsi="Times New Roman" w:eastAsia="宋体" w:cs="Times New Roman"/>
      <w:sz w:val="24"/>
      <w:szCs w:val="24"/>
    </w:rPr>
  </w:style>
  <w:style w:type="paragraph" w:styleId="1392">
    <w:name w:val="样式 段后: 0.5 行 左  0.75 字符"/>
    <w:basedOn w:val="1038"/>
    <w:next w:val="1392"/>
    <w:link w:val="1038"/>
    <w:pPr>
      <w:ind w:firstLine="420"/>
      <w:spacing w:line="360" w:lineRule="auto"/>
      <w:widowControl/>
    </w:pPr>
    <w:rPr>
      <w:rFonts w:ascii="Times New Roman" w:hAnsi="Arial" w:eastAsia="宋体" w:cs="Arial"/>
      <w:szCs w:val="21"/>
    </w:rPr>
  </w:style>
  <w:style w:type="paragraph" w:styleId="1393">
    <w:name w:val="font8"/>
    <w:basedOn w:val="1038"/>
    <w:next w:val="1393"/>
    <w:link w:val="1038"/>
    <w:pPr>
      <w:jc w:val="left"/>
      <w:spacing w:before="100" w:beforeAutospacing="1" w:after="100" w:afterAutospacing="1"/>
      <w:widowControl/>
    </w:pPr>
    <w:rPr>
      <w:rFonts w:ascii="宋体" w:hAnsi="宋体" w:eastAsia="宋体" w:cs="宋体"/>
      <w:b/>
      <w:bCs/>
      <w:i/>
      <w:iCs/>
      <w:sz w:val="20"/>
    </w:rPr>
  </w:style>
  <w:style w:type="paragraph" w:styleId="1394">
    <w:name w:val="标题 4宋体"/>
    <w:basedOn w:val="1042"/>
    <w:next w:val="1394"/>
    <w:link w:val="1038"/>
    <w:pPr>
      <w:jc w:val="left"/>
      <w:keepLines w:val="0"/>
      <w:spacing w:before="0" w:after="0" w:line="360" w:lineRule="auto"/>
    </w:pPr>
    <w:rPr>
      <w:rFonts w:ascii="宋体" w:hAnsi="宋体" w:eastAsia="宋体" w:cs="Times New Roman"/>
      <w:bCs/>
      <w:color w:val="000000"/>
      <w:sz w:val="24"/>
    </w:rPr>
  </w:style>
  <w:style w:type="paragraph" w:styleId="1395">
    <w:name w:val="小四 段落 宋体 Char Char"/>
    <w:basedOn w:val="1038"/>
    <w:next w:val="1395"/>
    <w:link w:val="1038"/>
    <w:pPr>
      <w:ind w:firstLine="480"/>
      <w:spacing w:line="360" w:lineRule="auto"/>
    </w:pPr>
    <w:rPr>
      <w:rFonts w:ascii="宋体" w:hAnsi="宋体" w:eastAsia="宋体" w:cs="Times New Roman"/>
      <w:sz w:val="24"/>
      <w:szCs w:val="24"/>
    </w:rPr>
  </w:style>
  <w:style w:type="paragraph" w:styleId="1396">
    <w:name w:val="纯文本1"/>
    <w:basedOn w:val="1038"/>
    <w:next w:val="1396"/>
    <w:link w:val="1038"/>
    <w:rPr>
      <w:rFonts w:ascii="宋体" w:hAnsi="宋体" w:eastAsia="楷体_GB2312" w:cs="宋体"/>
      <w:sz w:val="28"/>
    </w:rPr>
  </w:style>
  <w:style w:type="paragraph" w:styleId="1397">
    <w:name w:val="xl27"/>
    <w:basedOn w:val="1038"/>
    <w:next w:val="1397"/>
    <w:link w:val="103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398">
    <w:name w:val="标题5，章节第五层"/>
    <w:basedOn w:val="1038"/>
    <w:next w:val="1038"/>
    <w:link w:val="1038"/>
    <w:pPr>
      <w:ind w:left="2100" w:hanging="420"/>
      <w:spacing w:before="78"/>
      <w:tabs>
        <w:tab w:val="left" w:pos="1050" w:leader="none"/>
        <w:tab w:val="left" w:pos="2100" w:leader="none"/>
      </w:tabs>
      <w:outlineLvl w:val="4"/>
    </w:pPr>
    <w:rPr>
      <w:rFonts w:ascii="Arial" w:hAnsi="Arial" w:eastAsia="华文细黑" w:cs="Times New Roman"/>
      <w:sz w:val="30"/>
      <w:szCs w:val="24"/>
    </w:rPr>
  </w:style>
  <w:style w:type="paragraph" w:styleId="1399">
    <w:name w:val="content_lineheight"/>
    <w:basedOn w:val="1038"/>
    <w:next w:val="1399"/>
    <w:link w:val="1038"/>
    <w:pPr>
      <w:jc w:val="left"/>
      <w:spacing w:before="100" w:beforeAutospacing="1" w:after="100" w:afterAutospacing="1"/>
      <w:widowControl/>
    </w:pPr>
    <w:rPr>
      <w:rFonts w:ascii="宋体" w:hAnsi="宋体" w:eastAsia="宋体" w:cs="Times New Roman"/>
      <w:sz w:val="24"/>
      <w:szCs w:val="24"/>
    </w:rPr>
  </w:style>
  <w:style w:type="paragraph" w:styleId="1400">
    <w:name w:val="Pa5"/>
    <w:basedOn w:val="1038"/>
    <w:next w:val="1038"/>
    <w:link w:val="1038"/>
    <w:pPr>
      <w:jc w:val="left"/>
      <w:spacing w:line="241" w:lineRule="atLeast"/>
    </w:pPr>
    <w:rPr>
      <w:rFonts w:ascii="汉仪大黑简" w:hAnsi="Times New Roman" w:eastAsia="汉仪大黑简" w:cs="Times New Roman"/>
      <w:sz w:val="24"/>
      <w:szCs w:val="24"/>
    </w:rPr>
  </w:style>
  <w:style w:type="paragraph" w:styleId="1401">
    <w:name w:val="xl63"/>
    <w:basedOn w:val="1038"/>
    <w:next w:val="1401"/>
    <w:link w:val="1038"/>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宋体" w:cs="Times New Roman"/>
      <w:b/>
      <w:bCs/>
      <w:sz w:val="20"/>
    </w:rPr>
  </w:style>
  <w:style w:type="paragraph" w:styleId="1402">
    <w:name w:val="小四 段落 宋体 Char Char Char Char"/>
    <w:basedOn w:val="1038"/>
    <w:next w:val="1402"/>
    <w:link w:val="1038"/>
    <w:pPr>
      <w:ind w:right="-33" w:firstLine="480"/>
      <w:jc w:val="left"/>
      <w:spacing w:line="360" w:lineRule="auto"/>
    </w:pPr>
    <w:rPr>
      <w:rFonts w:ascii="Times New Roman" w:hAnsi="Times New Roman" w:eastAsia="宋体" w:cs="Times New Roman"/>
      <w:sz w:val="24"/>
      <w:szCs w:val="24"/>
    </w:rPr>
  </w:style>
  <w:style w:type="paragraph" w:styleId="1403">
    <w:name w:val="列出段落2"/>
    <w:basedOn w:val="1038"/>
    <w:next w:val="1403"/>
    <w:link w:val="1038"/>
    <w:pPr>
      <w:ind w:left="720"/>
      <w:jc w:val="left"/>
      <w:widowControl/>
    </w:pPr>
    <w:rPr>
      <w:rFonts w:ascii="Arial" w:hAnsi="Arial" w:eastAsia="黑体" w:cs="Arial"/>
      <w:sz w:val="24"/>
      <w:szCs w:val="24"/>
      <w:lang w:eastAsia="en-US"/>
    </w:rPr>
  </w:style>
  <w:style w:type="paragraph" w:styleId="1404">
    <w:name w:val="标题2，章节第二层"/>
    <w:basedOn w:val="1038"/>
    <w:next w:val="1287"/>
    <w:link w:val="1038"/>
    <w:pPr>
      <w:numPr>
        <w:ilvl w:val="4"/>
        <w:numId w:val="4"/>
      </w:numPr>
      <w:ind w:left="992" w:hanging="567"/>
      <w:spacing w:before="312" w:after="312" w:line="300" w:lineRule="auto"/>
      <w:tabs>
        <w:tab w:val="left" w:pos="630" w:leader="none"/>
        <w:tab w:val="left" w:pos="992" w:leader="none"/>
        <w:tab w:val="left" w:pos="2100" w:leader="none"/>
      </w:tabs>
      <w:outlineLvl w:val="1"/>
    </w:pPr>
    <w:rPr>
      <w:rFonts w:ascii="Arial" w:hAnsi="Arial" w:eastAsia="黑体" w:cs="Times New Roman"/>
      <w:sz w:val="32"/>
      <w:szCs w:val="24"/>
    </w:rPr>
  </w:style>
  <w:style w:type="paragraph" w:styleId="1405">
    <w:name w:val="Test2"/>
    <w:basedOn w:val="1040"/>
    <w:next w:val="1405"/>
    <w:link w:val="1038"/>
    <w:pPr>
      <w:jc w:val="center"/>
      <w:spacing w:before="156" w:after="156" w:line="480" w:lineRule="exact"/>
      <w:widowControl/>
    </w:pPr>
    <w:rPr>
      <w:rFonts w:ascii="黑体" w:hAnsi="Arial" w:eastAsia="黑体" w:cs="Times New Roman"/>
      <w:bCs/>
      <w:sz w:val="24"/>
    </w:rPr>
  </w:style>
  <w:style w:type="paragraph" w:styleId="1406">
    <w:name w:val="样式 样式 标题 3H3sect1.2.3BOD 0Heading 3 - oldh3l3CTLevel 3 Head... +..."/>
    <w:basedOn w:val="1038"/>
    <w:next w:val="1406"/>
    <w:link w:val="1038"/>
    <w:pPr>
      <w:jc w:val="left"/>
      <w:keepLines/>
      <w:keepNext/>
      <w:spacing w:before="156" w:after="156"/>
      <w:outlineLvl w:val="2"/>
    </w:pPr>
    <w:rPr>
      <w:rFonts w:ascii="Times New Roman" w:hAnsi="Times New Roman" w:eastAsia="宋体" w:cs="宋体"/>
      <w:b/>
      <w:bCs/>
      <w:sz w:val="24"/>
    </w:rPr>
  </w:style>
  <w:style w:type="paragraph" w:styleId="1407">
    <w:name w:val="Char Char Char Char Char Char Char1 Char"/>
    <w:basedOn w:val="1038"/>
    <w:next w:val="1407"/>
    <w:link w:val="1038"/>
    <w:rPr>
      <w:rFonts w:ascii="Tahoma" w:hAnsi="Tahoma" w:eastAsia="宋体" w:cs="Tahoma"/>
      <w:sz w:val="24"/>
    </w:rPr>
  </w:style>
  <w:style w:type="paragraph" w:styleId="1408">
    <w:name w:val="xl51"/>
    <w:basedOn w:val="1038"/>
    <w:next w:val="1408"/>
    <w:link w:val="1038"/>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cs="Times New Roman"/>
      <w:b/>
      <w:bCs/>
      <w:i/>
      <w:iCs/>
      <w:sz w:val="20"/>
    </w:rPr>
  </w:style>
  <w:style w:type="paragraph" w:styleId="1409">
    <w:name w:val="qw"/>
    <w:next w:val="1409"/>
    <w:link w:val="1038"/>
    <w:pPr>
      <w:jc w:val="both"/>
      <w:spacing w:line="312" w:lineRule="atLeast"/>
      <w:widowControl w:val="off"/>
    </w:pPr>
    <w:rPr>
      <w:rFonts w:ascii="宋体"/>
      <w:sz w:val="24"/>
      <w:lang w:val="en-US" w:eastAsia="zh-CN" w:bidi="ar-SA"/>
    </w:rPr>
  </w:style>
  <w:style w:type="paragraph" w:styleId="1410">
    <w:name w:val="xl26"/>
    <w:basedOn w:val="1038"/>
    <w:next w:val="1410"/>
    <w:link w:val="103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411">
    <w:name w:val="1"/>
    <w:basedOn w:val="1038"/>
    <w:next w:val="1109"/>
    <w:link w:val="1038"/>
    <w:pPr>
      <w:spacing w:line="360" w:lineRule="auto"/>
    </w:pPr>
    <w:rPr>
      <w:rFonts w:ascii="Times New Roman" w:hAnsi="Times New Roman" w:eastAsia="仿宋_GB2312" w:cs="Times New Roman"/>
      <w:sz w:val="24"/>
      <w:szCs w:val="24"/>
    </w:rPr>
  </w:style>
  <w:style w:type="paragraph" w:styleId="1412">
    <w:name w:val=" Char"/>
    <w:basedOn w:val="1038"/>
    <w:next w:val="1412"/>
    <w:link w:val="1038"/>
    <w:pPr>
      <w:spacing w:after="156" w:line="360" w:lineRule="auto"/>
    </w:pPr>
    <w:rPr>
      <w:rFonts w:ascii="Tahoma" w:hAnsi="Tahoma" w:eastAsia="宋体" w:cs="Times New Roman"/>
      <w:sz w:val="24"/>
    </w:rPr>
  </w:style>
  <w:style w:type="paragraph" w:styleId="1413">
    <w:name w:val="Body Text 21"/>
    <w:basedOn w:val="1038"/>
    <w:next w:val="1413"/>
    <w:link w:val="1038"/>
    <w:pPr>
      <w:ind w:left="720" w:hanging="720"/>
      <w:widowControl/>
    </w:pPr>
    <w:rPr>
      <w:rFonts w:ascii="Times New Roman" w:hAnsi="Times New Roman" w:eastAsia="宋体" w:cs="Times New Roman"/>
      <w:sz w:val="24"/>
      <w:lang w:val="en-GB"/>
    </w:rPr>
  </w:style>
  <w:style w:type="paragraph" w:styleId="1414">
    <w:name w:val="大标题"/>
    <w:basedOn w:val="1038"/>
    <w:next w:val="1038"/>
    <w:link w:val="1038"/>
    <w:pPr>
      <w:ind w:hanging="420"/>
      <w:pageBreakBefore/>
      <w:spacing w:line="360" w:lineRule="auto"/>
      <w:tabs>
        <w:tab w:val="left" w:pos="420" w:leader="none"/>
      </w:tabs>
      <w:outlineLvl w:val="0"/>
    </w:pPr>
    <w:rPr>
      <w:rFonts w:ascii="Times New Roman" w:hAnsi="Times New Roman" w:eastAsia="宋体" w:cs="Times New Roman"/>
      <w:b/>
      <w:iCs/>
      <w:sz w:val="44"/>
      <w:szCs w:val="24"/>
    </w:rPr>
  </w:style>
  <w:style w:type="paragraph" w:styleId="1415">
    <w:name w:val="xl43"/>
    <w:basedOn w:val="1038"/>
    <w:next w:val="1415"/>
    <w:link w:val="103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rPr>
  </w:style>
  <w:style w:type="paragraph" w:styleId="1416">
    <w:name w:val="font6"/>
    <w:basedOn w:val="1038"/>
    <w:next w:val="1416"/>
    <w:link w:val="1038"/>
    <w:pPr>
      <w:jc w:val="left"/>
      <w:spacing w:before="100" w:beforeAutospacing="1" w:after="100" w:afterAutospacing="1"/>
      <w:widowControl/>
    </w:pPr>
    <w:rPr>
      <w:rFonts w:ascii="宋体" w:hAnsi="宋体" w:eastAsia="宋体" w:cs="宋体"/>
      <w:b/>
      <w:bCs/>
      <w:sz w:val="20"/>
    </w:rPr>
  </w:style>
  <w:style w:type="paragraph" w:styleId="1417">
    <w:name w:val="Char Char1 Char"/>
    <w:basedOn w:val="1038"/>
    <w:next w:val="1417"/>
    <w:link w:val="1038"/>
    <w:pPr>
      <w:jc w:val="left"/>
      <w:spacing w:after="160" w:line="240" w:lineRule="exact"/>
      <w:widowControl/>
    </w:pPr>
    <w:rPr>
      <w:rFonts w:ascii="Verdana" w:hAnsi="Verdana" w:eastAsia="宋体" w:cs="Times New Roman"/>
      <w:sz w:val="20"/>
      <w:lang w:eastAsia="en-US"/>
    </w:rPr>
  </w:style>
  <w:style w:type="paragraph" w:styleId="1418">
    <w:name w:val="Body Text 22"/>
    <w:basedOn w:val="1038"/>
    <w:next w:val="1418"/>
    <w:link w:val="1038"/>
    <w:pPr>
      <w:ind w:left="720" w:hanging="720"/>
      <w:widowControl/>
    </w:pPr>
    <w:rPr>
      <w:rFonts w:ascii="Times New Roman" w:hAnsi="Times New Roman" w:eastAsia="宋体" w:cs="Times New Roman"/>
      <w:sz w:val="24"/>
      <w:lang w:val="en-GB"/>
    </w:rPr>
  </w:style>
  <w:style w:type="paragraph" w:styleId="1419">
    <w:name w:val="xl54"/>
    <w:basedOn w:val="1038"/>
    <w:next w:val="1419"/>
    <w:link w:val="1038"/>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cs="宋体"/>
      <w:b/>
      <w:bCs/>
      <w:sz w:val="20"/>
    </w:rPr>
  </w:style>
  <w:style w:type="paragraph" w:styleId="1420">
    <w:name w:val="Item Step in Table"/>
    <w:next w:val="1420"/>
    <w:link w:val="1038"/>
    <w:pPr>
      <w:numPr>
        <w:ilvl w:val="0"/>
        <w:numId w:val="4"/>
      </w:numPr>
      <w:jc w:val="both"/>
      <w:spacing w:before="40" w:after="40"/>
      <w:tabs>
        <w:tab w:val="left" w:pos="397" w:leader="none"/>
      </w:tabs>
    </w:pPr>
    <w:rPr>
      <w:rFonts w:ascii="Arial" w:hAnsi="Arial" w:cs="Arial"/>
      <w:sz w:val="18"/>
      <w:szCs w:val="18"/>
      <w:lang w:val="en-US" w:eastAsia="zh-CN" w:bidi="ar-SA"/>
    </w:rPr>
  </w:style>
  <w:style w:type="paragraph" w:styleId="1421">
    <w:name w:val=" Char Char1 Char"/>
    <w:basedOn w:val="1038"/>
    <w:next w:val="1421"/>
    <w:link w:val="1038"/>
    <w:pPr>
      <w:jc w:val="left"/>
      <w:spacing w:after="160" w:line="240" w:lineRule="exact"/>
      <w:widowControl/>
    </w:pPr>
    <w:rPr>
      <w:rFonts w:ascii="Verdana" w:hAnsi="Verdana" w:eastAsia="宋体" w:cs="Times New Roman"/>
      <w:sz w:val="20"/>
      <w:lang w:eastAsia="en-US"/>
    </w:rPr>
  </w:style>
  <w:style w:type="paragraph" w:styleId="1422">
    <w:name w:val="部分1"/>
    <w:basedOn w:val="1038"/>
    <w:next w:val="1422"/>
    <w:link w:val="1038"/>
    <w:pPr>
      <w:jc w:val="center"/>
      <w:keepNext/>
      <w:pageBreakBefore/>
      <w:spacing w:line="360" w:lineRule="auto"/>
      <w:tabs>
        <w:tab w:val="left" w:pos="360" w:leader="none"/>
      </w:tabs>
      <w:outlineLvl w:val="0"/>
    </w:pPr>
    <w:rPr>
      <w:rFonts w:ascii="Times New Roman" w:hAnsi="Times New Roman" w:eastAsia="黑体" w:cs="Times New Roman"/>
      <w:b/>
      <w:sz w:val="36"/>
    </w:rPr>
  </w:style>
  <w:style w:type="paragraph" w:styleId="1423">
    <w:name w:val="Item List Char Char"/>
    <w:next w:val="1423"/>
    <w:link w:val="1038"/>
    <w:pPr>
      <w:jc w:val="both"/>
      <w:spacing w:line="288" w:lineRule="auto"/>
    </w:pPr>
    <w:rPr>
      <w:rFonts w:ascii="Arial" w:hAnsi="Arial" w:cs="Arial"/>
      <w:b/>
      <w:bCs/>
      <w:sz w:val="21"/>
      <w:szCs w:val="28"/>
      <w:lang w:val="en-US" w:eastAsia="zh-CN" w:bidi="ar-SA"/>
    </w:rPr>
  </w:style>
  <w:style w:type="paragraph" w:styleId="1424">
    <w:name w:val="中等深浅网格 1 - 强调文字颜色 21"/>
    <w:basedOn w:val="1038"/>
    <w:next w:val="1424"/>
    <w:link w:val="1038"/>
    <w:pPr>
      <w:ind w:firstLine="420"/>
    </w:pPr>
    <w:rPr>
      <w:rFonts w:ascii="Calibri" w:hAnsi="Calibri" w:eastAsia="宋体" w:cs="Times New Roman"/>
      <w:szCs w:val="22"/>
    </w:rPr>
  </w:style>
  <w:style w:type="paragraph" w:styleId="1425">
    <w:name w:val="Normal2"/>
    <w:basedOn w:val="1038"/>
    <w:next w:val="1425"/>
    <w:link w:val="1038"/>
    <w:rPr>
      <w:rFonts w:ascii="Calibri" w:hAnsi="Calibri" w:eastAsia="Calibri" w:cs="宋体"/>
      <w:lang w:val="zh-CN"/>
    </w:rPr>
  </w:style>
  <w:style w:type="paragraph" w:styleId="1426">
    <w:name w:val=" Char Char Char Char Char Char Char Char Char Char Char Char Char Char Char Char Char Char Char Char Char Char Char"/>
    <w:basedOn w:val="1038"/>
    <w:next w:val="1426"/>
    <w:link w:val="1038"/>
    <w:rPr>
      <w:rFonts w:ascii="Tahoma" w:hAnsi="Tahoma" w:eastAsia="宋体" w:cs="Times New Roman"/>
      <w:sz w:val="24"/>
    </w:rPr>
  </w:style>
  <w:style w:type="paragraph" w:styleId="1427">
    <w:name w:val="样式3"/>
    <w:basedOn w:val="1038"/>
    <w:next w:val="1038"/>
    <w:link w:val="1038"/>
    <w:pPr>
      <w:spacing w:line="360" w:lineRule="auto"/>
    </w:pPr>
    <w:rPr>
      <w:rFonts w:ascii="Times New Roman" w:hAnsi="Times New Roman" w:eastAsia="宋体" w:cs="Times New Roman"/>
    </w:rPr>
  </w:style>
  <w:style w:type="paragraph" w:styleId="1428">
    <w:name w:val="样式 标题 2第一章 标题 2Heading 2 HiddenHeading 2 CCBSheading 2H2h2..."/>
    <w:basedOn w:val="1040"/>
    <w:next w:val="1428"/>
    <w:link w:val="1038"/>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429">
    <w:name w:val="xl61"/>
    <w:basedOn w:val="1038"/>
    <w:next w:val="1429"/>
    <w:link w:val="1038"/>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i/>
      <w:iCs/>
      <w:sz w:val="20"/>
    </w:rPr>
  </w:style>
  <w:style w:type="paragraph" w:styleId="1430">
    <w:name w:val="xl53"/>
    <w:basedOn w:val="1038"/>
    <w:next w:val="1430"/>
    <w:link w:val="1038"/>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431">
    <w:name w:val="xl62"/>
    <w:basedOn w:val="1038"/>
    <w:next w:val="1431"/>
    <w:link w:val="1038"/>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432">
    <w:name w:val="条1"/>
    <w:basedOn w:val="1038"/>
    <w:next w:val="1432"/>
    <w:link w:val="1038"/>
    <w:pPr>
      <w:ind w:left="780" w:hanging="360"/>
      <w:spacing w:before="156" w:line="360" w:lineRule="auto"/>
      <w:tabs>
        <w:tab w:val="left" w:pos="780" w:leader="none"/>
      </w:tabs>
    </w:pPr>
    <w:rPr>
      <w:rFonts w:ascii="Times New Roman" w:hAnsi="Times New Roman" w:eastAsia="黑体" w:cs="Times New Roman"/>
      <w:sz w:val="24"/>
    </w:rPr>
  </w:style>
  <w:style w:type="paragraph" w:styleId="1433">
    <w:name w:val="样式4 Char"/>
    <w:basedOn w:val="1038"/>
    <w:next w:val="1433"/>
    <w:link w:val="1038"/>
    <w:pPr>
      <w:ind w:firstLine="480"/>
      <w:jc w:val="left"/>
      <w:spacing w:line="360" w:lineRule="auto"/>
      <w:widowControl/>
    </w:pPr>
    <w:rPr>
      <w:rFonts w:ascii="Times New Roman" w:hAnsi="Times New Roman" w:eastAsia="宋体" w:cs="宋体"/>
      <w:color w:val="000000"/>
      <w:sz w:val="24"/>
      <w:szCs w:val="24"/>
    </w:rPr>
  </w:style>
  <w:style w:type="paragraph" w:styleId="1434">
    <w:name w:val="Char Char Char Char Char Char"/>
    <w:basedOn w:val="1038"/>
    <w:next w:val="1434"/>
    <w:link w:val="1038"/>
    <w:rPr>
      <w:rFonts w:ascii="Tahoma" w:hAnsi="Tahoma" w:eastAsia="宋体" w:cs="Tahoma"/>
      <w:sz w:val="24"/>
    </w:rPr>
  </w:style>
  <w:style w:type="paragraph" w:styleId="1435">
    <w:name w:val="7"/>
    <w:basedOn w:val="1038"/>
    <w:next w:val="1112"/>
    <w:link w:val="1038"/>
    <w:pPr>
      <w:jc w:val="left"/>
      <w:spacing w:before="100" w:beforeAutospacing="1" w:after="100" w:afterAutospacing="1"/>
      <w:widowControl/>
    </w:pPr>
    <w:rPr>
      <w:rFonts w:ascii="宋体" w:hAnsi="宋体" w:eastAsia="宋体" w:cs="Times New Roman"/>
      <w:sz w:val="24"/>
    </w:rPr>
  </w:style>
  <w:style w:type="paragraph" w:styleId="1436">
    <w:name w:val="普通文字"/>
    <w:basedOn w:val="1038"/>
    <w:next w:val="1038"/>
    <w:link w:val="1038"/>
    <w:rPr>
      <w:rFonts w:ascii="宋体" w:hAnsi="宋体" w:eastAsia="宋体" w:cs="宋体"/>
      <w:sz w:val="24"/>
    </w:rPr>
  </w:style>
  <w:style w:type="paragraph" w:styleId="1437">
    <w:name w:val="Char1 Char Char Char"/>
    <w:basedOn w:val="1038"/>
    <w:next w:val="1437"/>
    <w:link w:val="1038"/>
    <w:rPr>
      <w:rFonts w:ascii="Tahoma" w:hAnsi="Tahoma" w:eastAsia="宋体" w:cs="Tahoma"/>
      <w:sz w:val="24"/>
    </w:rPr>
  </w:style>
  <w:style w:type="paragraph" w:styleId="1438">
    <w:name w:val="Char2 Char Char Char Char Char Char1"/>
    <w:basedOn w:val="1038"/>
    <w:next w:val="1438"/>
    <w:link w:val="1038"/>
    <w:pPr>
      <w:ind w:hanging="425"/>
      <w:keepNext/>
      <w:spacing w:before="80" w:after="80"/>
      <w:widowControl/>
      <w:tabs>
        <w:tab w:val="left" w:pos="425" w:leader="none"/>
      </w:tabs>
    </w:pPr>
    <w:rPr>
      <w:rFonts w:ascii="Arial" w:hAnsi="Arial" w:eastAsia="宋体" w:cs="Arial"/>
      <w:sz w:val="20"/>
    </w:rPr>
  </w:style>
  <w:style w:type="paragraph" w:styleId="1439">
    <w:name w:val="默认段落字体 Para Char Char Char Char Char Char Char"/>
    <w:basedOn w:val="1038"/>
    <w:next w:val="1439"/>
    <w:link w:val="1038"/>
    <w:rPr>
      <w:rFonts w:ascii="Times New Roman" w:hAnsi="Times New Roman" w:eastAsia="宋体" w:cs="Times New Roman"/>
    </w:rPr>
  </w:style>
  <w:style w:type="paragraph" w:styleId="1440">
    <w:name w:val="正文文本缩进1"/>
    <w:basedOn w:val="1038"/>
    <w:next w:val="1440"/>
    <w:link w:val="1038"/>
    <w:pPr>
      <w:ind w:left="420"/>
      <w:spacing w:after="120"/>
    </w:pPr>
    <w:rPr>
      <w:rFonts w:ascii="Times New Roman" w:hAnsi="Times New Roman" w:eastAsia="宋体" w:cs="Times New Roman"/>
      <w:szCs w:val="24"/>
    </w:rPr>
  </w:style>
  <w:style w:type="paragraph" w:styleId="1441">
    <w:name w:val="Table Text Char"/>
    <w:next w:val="1441"/>
    <w:link w:val="1038"/>
    <w:pPr>
      <w:spacing w:before="80" w:after="80"/>
    </w:pPr>
    <w:rPr>
      <w:rFonts w:ascii="Arial" w:hAnsi="Arial" w:cs="Arial"/>
      <w:sz w:val="18"/>
      <w:szCs w:val="28"/>
      <w:lang w:val="en-US" w:eastAsia="zh-CN" w:bidi="ar-SA"/>
    </w:rPr>
  </w:style>
  <w:style w:type="paragraph" w:styleId="1442">
    <w:name w:val="方案正文"/>
    <w:basedOn w:val="1038"/>
    <w:next w:val="1442"/>
    <w:link w:val="1038"/>
    <w:pPr>
      <w:ind w:firstLine="359"/>
      <w:jc w:val="left"/>
      <w:spacing w:before="156" w:line="360" w:lineRule="auto"/>
    </w:pPr>
    <w:rPr>
      <w:rFonts w:ascii="Arial" w:hAnsi="Arial" w:eastAsia="宋体" w:cs="宋体"/>
      <w:sz w:val="24"/>
      <w:szCs w:val="21"/>
    </w:rPr>
  </w:style>
  <w:style w:type="paragraph" w:styleId="1443">
    <w:name w:val="Char Char Char Char Char Char Char Char Char"/>
    <w:basedOn w:val="1038"/>
    <w:next w:val="1443"/>
    <w:link w:val="1038"/>
    <w:pPr>
      <w:ind w:left="200" w:hanging="200"/>
      <w:tabs>
        <w:tab w:val="left" w:pos="360" w:leader="none"/>
      </w:tabs>
    </w:pPr>
    <w:rPr>
      <w:rFonts w:ascii="Times New Roman" w:hAnsi="Times New Roman" w:eastAsia="宋体" w:cs="Times New Roman"/>
      <w:sz w:val="24"/>
      <w:szCs w:val="24"/>
    </w:rPr>
  </w:style>
  <w:style w:type="paragraph" w:styleId="1444">
    <w:name w:val="Char"/>
    <w:basedOn w:val="1038"/>
    <w:next w:val="1444"/>
    <w:link w:val="1038"/>
    <w:rPr>
      <w:rFonts w:ascii="Tahoma" w:hAnsi="Tahoma" w:eastAsia="宋体" w:cs="仿宋_GB2312"/>
      <w:sz w:val="24"/>
      <w:szCs w:val="28"/>
    </w:rPr>
  </w:style>
  <w:style w:type="paragraph" w:styleId="1445">
    <w:name w:val="标题3，章节第三层"/>
    <w:basedOn w:val="1038"/>
    <w:next w:val="1287"/>
    <w:link w:val="1038"/>
    <w:pPr>
      <w:spacing w:before="78" w:line="300" w:lineRule="auto"/>
      <w:outlineLvl w:val="2"/>
    </w:pPr>
    <w:rPr>
      <w:rFonts w:ascii="Arial" w:hAnsi="Arial" w:eastAsia="华文细黑" w:cs="Times New Roman"/>
      <w:sz w:val="30"/>
      <w:szCs w:val="24"/>
    </w:rPr>
  </w:style>
  <w:style w:type="paragraph" w:styleId="1446">
    <w:name w:val="表格文字"/>
    <w:basedOn w:val="1038"/>
    <w:next w:val="1446"/>
    <w:link w:val="1038"/>
    <w:pPr>
      <w:ind w:firstLine="200"/>
      <w:jc w:val="left"/>
      <w:spacing w:line="360" w:lineRule="auto"/>
    </w:pPr>
    <w:rPr>
      <w:rFonts w:ascii="Arial" w:hAnsi="Arial" w:eastAsia="宋体" w:cs="Times New Roman"/>
      <w:sz w:val="24"/>
    </w:rPr>
  </w:style>
  <w:style w:type="paragraph" w:styleId="1447">
    <w:name w:val="xl45"/>
    <w:basedOn w:val="1038"/>
    <w:next w:val="1447"/>
    <w:link w:val="1038"/>
    <w:pPr>
      <w:jc w:val="center"/>
      <w:spacing w:before="100" w:beforeAutospacing="1" w:after="100" w:afterAutospacing="1"/>
      <w:widowControl/>
      <w:pBdr>
        <w:left w:val="single" w:color="000000" w:sz="4" w:space="0"/>
        <w:right w:val="single" w:color="000000" w:sz="4" w:space="0"/>
      </w:pBdr>
    </w:pPr>
    <w:rPr>
      <w:rFonts w:ascii="宋体" w:hAnsi="宋体" w:eastAsia="宋体" w:cs="宋体"/>
      <w:b/>
      <w:bCs/>
      <w:sz w:val="20"/>
    </w:rPr>
  </w:style>
  <w:style w:type="paragraph" w:styleId="1448">
    <w:name w:val="正文 居中"/>
    <w:basedOn w:val="1038"/>
    <w:next w:val="1448"/>
    <w:link w:val="1038"/>
    <w:pPr>
      <w:jc w:val="center"/>
      <w:spacing w:line="360" w:lineRule="auto"/>
    </w:pPr>
    <w:rPr>
      <w:rFonts w:ascii="Times New Roman" w:hAnsi="Times New Roman" w:eastAsia="宋体" w:cs="Times New Roman"/>
      <w:sz w:val="24"/>
    </w:rPr>
  </w:style>
  <w:style w:type="paragraph" w:styleId="1449">
    <w:name w:val="表格"/>
    <w:basedOn w:val="1038"/>
    <w:next w:val="1449"/>
    <w:link w:val="1038"/>
    <w:pPr>
      <w:ind w:firstLine="21"/>
    </w:pPr>
    <w:rPr>
      <w:rFonts w:ascii="宋体" w:hAnsi="宋体" w:eastAsia="宋体" w:cs="宋体"/>
      <w:sz w:val="20"/>
    </w:rPr>
  </w:style>
  <w:style w:type="paragraph" w:styleId="1450">
    <w:name w:val="greytypebeni"/>
    <w:basedOn w:val="1038"/>
    <w:next w:val="1450"/>
    <w:link w:val="1038"/>
    <w:pPr>
      <w:jc w:val="left"/>
      <w:widowControl/>
    </w:pPr>
    <w:rPr>
      <w:rFonts w:ascii="宋体" w:hAnsi="宋体" w:eastAsia="宋体" w:cs="宋体"/>
      <w:sz w:val="24"/>
      <w:szCs w:val="24"/>
    </w:rPr>
  </w:style>
  <w:style w:type="paragraph" w:styleId="1451">
    <w:name w:val="flType"/>
    <w:basedOn w:val="1260"/>
    <w:next w:val="1451"/>
    <w:link w:val="1038"/>
    <w:pPr>
      <w:spacing w:after="284"/>
    </w:pPr>
    <w:rPr>
      <w:rFonts w:ascii="Times New Roman" w:hAnsi="Times New Roman" w:eastAsia="宋体" w:cs="Times New Roman"/>
      <w:b/>
    </w:rPr>
  </w:style>
  <w:style w:type="paragraph" w:styleId="1452">
    <w:name w:val="符号与编号"/>
    <w:basedOn w:val="1038"/>
    <w:next w:val="1452"/>
    <w:link w:val="1038"/>
    <w:pPr>
      <w:ind w:left="900" w:hanging="420"/>
      <w:spacing w:after="156" w:line="400" w:lineRule="atLeast"/>
      <w:tabs>
        <w:tab w:val="left" w:pos="900" w:leader="none"/>
      </w:tabs>
    </w:pPr>
    <w:rPr>
      <w:rFonts w:ascii="Times New Roman" w:hAnsi="Times New Roman" w:eastAsia="宋体" w:cs="Times New Roman"/>
      <w:sz w:val="24"/>
      <w:szCs w:val="24"/>
    </w:rPr>
  </w:style>
  <w:style w:type="paragraph" w:styleId="1453">
    <w:name w:val="xl33"/>
    <w:basedOn w:val="1038"/>
    <w:next w:val="1453"/>
    <w:link w:val="103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454">
    <w:name w:val="段 Char"/>
    <w:next w:val="1454"/>
    <w:link w:val="1038"/>
    <w:pPr>
      <w:ind w:firstLine="200"/>
      <w:jc w:val="both"/>
    </w:pPr>
    <w:rPr>
      <w:rFonts w:ascii="宋体"/>
      <w:sz w:val="21"/>
      <w:lang w:val="en-US" w:eastAsia="zh-CN" w:bidi="ar-SA"/>
    </w:rPr>
  </w:style>
  <w:style w:type="paragraph" w:styleId="1455">
    <w:name w:val="论文正文"/>
    <w:basedOn w:val="1086"/>
    <w:next w:val="1455"/>
    <w:link w:val="1038"/>
    <w:pPr>
      <w:ind w:left="0" w:firstLine="200"/>
      <w:jc w:val="left"/>
      <w:spacing w:line="360" w:lineRule="auto"/>
    </w:pPr>
    <w:rPr>
      <w:rFonts w:ascii="Times New Roman" w:hAnsi="Times New Roman" w:eastAsia="宋体" w:cs="Times New Roman"/>
      <w:sz w:val="28"/>
      <w:szCs w:val="24"/>
    </w:rPr>
  </w:style>
  <w:style w:type="paragraph" w:styleId="1456">
    <w:name w:val="默认段落字体 Para Char Char Char Char Char Char Char Char Char1 Char Char Char Char Char Char Char"/>
    <w:basedOn w:val="1066"/>
    <w:next w:val="1456"/>
    <w:link w:val="1038"/>
    <w:rPr>
      <w:rFonts w:ascii="Times New Roman" w:hAnsi="Times New Roman" w:eastAsia="宋体" w:cs="Times New Roman"/>
    </w:rPr>
  </w:style>
  <w:style w:type="paragraph" w:styleId="1457">
    <w:name w:val="二级条标题"/>
    <w:basedOn w:val="1038"/>
    <w:next w:val="1142"/>
    <w:link w:val="1038"/>
    <w:pPr>
      <w:ind w:hanging="420"/>
      <w:widowControl/>
      <w:tabs>
        <w:tab w:val="left" w:pos="2240" w:leader="none"/>
      </w:tabs>
      <w:outlineLvl w:val="3"/>
    </w:pPr>
    <w:rPr>
      <w:rFonts w:ascii="Times New Roman" w:hAnsi="Times New Roman" w:eastAsia="黑体" w:cs="Times New Roman"/>
    </w:rPr>
  </w:style>
  <w:style w:type="paragraph" w:styleId="1458">
    <w:name w:val="xl29"/>
    <w:basedOn w:val="1038"/>
    <w:next w:val="1458"/>
    <w:link w:val="103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459">
    <w:name w:val="TOC 71"/>
    <w:next w:val="1038"/>
    <w:link w:val="1038"/>
    <w:qFormat/>
    <w:pPr>
      <w:ind w:left="2550"/>
      <w:jc w:val="both"/>
    </w:pPr>
    <w:rPr>
      <w:sz w:val="21"/>
      <w:szCs w:val="22"/>
      <w:lang w:val="en-US" w:eastAsia="zh-CN" w:bidi="ar-SA"/>
    </w:rPr>
  </w:style>
  <w:style w:type="paragraph" w:styleId="1460">
    <w:name w:val="xl39"/>
    <w:basedOn w:val="1038"/>
    <w:next w:val="1460"/>
    <w:link w:val="103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61">
    <w:name w:val="A."/>
    <w:basedOn w:val="1038"/>
    <w:next w:val="1461"/>
    <w:link w:val="1038"/>
    <w:pPr>
      <w:ind w:left="5245" w:hanging="1985"/>
      <w:spacing w:before="240" w:line="240" w:lineRule="atLeast"/>
      <w:widowControl/>
      <w:tabs>
        <w:tab w:val="left" w:pos="680" w:leader="none"/>
        <w:tab w:val="left" w:pos="5245" w:leader="none"/>
      </w:tabs>
    </w:pPr>
    <w:rPr>
      <w:rFonts w:ascii="Times New Roman" w:hAnsi="Times New Roman" w:eastAsia="Times New Roman" w:cs="Times New Roman"/>
      <w:sz w:val="24"/>
    </w:rPr>
  </w:style>
  <w:style w:type="character" w:styleId="1462">
    <w:name w:val="font61"/>
    <w:next w:val="1462"/>
    <w:link w:val="1038"/>
    <w:rPr>
      <w:rFonts w:ascii="Times New Roman" w:hAnsi="Times New Roman" w:eastAsia="宋体" w:cs="Times New Roman"/>
      <w:color w:val="000000"/>
      <w:sz w:val="22"/>
      <w:szCs w:val="22"/>
      <w:u w:val="none"/>
    </w:rPr>
  </w:style>
  <w:style w:type="character" w:styleId="1463">
    <w:name w:val="font51"/>
    <w:next w:val="1463"/>
    <w:link w:val="1038"/>
    <w:rPr>
      <w:rFonts w:hint="eastAsia" w:ascii="宋体" w:hAnsi="宋体" w:eastAsia="宋体" w:cs="宋体"/>
      <w:color w:val="000000"/>
      <w:sz w:val="22"/>
      <w:szCs w:val="22"/>
      <w:u w:val="none"/>
      <w:vertAlign w:val="subscript"/>
    </w:rPr>
  </w:style>
  <w:style w:type="character" w:styleId="1464">
    <w:name w:val="font41"/>
    <w:next w:val="1464"/>
    <w:link w:val="1038"/>
    <w:rPr>
      <w:rFonts w:hint="eastAsia" w:ascii="宋体" w:hAnsi="宋体" w:eastAsia="宋体" w:cs="宋体"/>
      <w:color w:val="000000"/>
      <w:sz w:val="22"/>
      <w:szCs w:val="22"/>
      <w:u w:val="none"/>
    </w:rPr>
  </w:style>
  <w:style w:type="character" w:styleId="1465">
    <w:name w:val="font71"/>
    <w:next w:val="1465"/>
    <w:link w:val="1038"/>
    <w:rPr>
      <w:rFonts w:ascii="Times New Roman" w:hAnsi="Times New Roman" w:eastAsia="宋体" w:cs="Times New Roman"/>
      <w:color w:val="000000"/>
      <w:sz w:val="22"/>
      <w:szCs w:val="22"/>
      <w:u w:val="none"/>
    </w:rPr>
  </w:style>
  <w:style w:type="character" w:styleId="1466">
    <w:name w:val="font21"/>
    <w:next w:val="1466"/>
    <w:link w:val="1038"/>
    <w:rPr>
      <w:rFonts w:ascii="Times New Roman" w:hAnsi="Times New Roman" w:eastAsia="宋体" w:cs="Times New Roman"/>
      <w:color w:val="000000"/>
      <w:sz w:val="22"/>
      <w:szCs w:val="22"/>
      <w:u w:val="none"/>
      <w:vertAlign w:val="superscript"/>
    </w:rPr>
  </w:style>
  <w:style w:type="paragraph" w:styleId="1467">
    <w:name w:val="06列出段落"/>
    <w:basedOn w:val="1038"/>
    <w:next w:val="1279"/>
    <w:link w:val="1038"/>
    <w:pPr>
      <w:ind w:firstLine="420"/>
    </w:pPr>
    <w:rPr>
      <w:rFonts w:ascii="Calibri" w:hAnsi="Calibri" w:eastAsia="宋体" w:cs="Times New Roman"/>
    </w:rPr>
  </w:style>
  <w:style w:type="paragraph" w:styleId="1468">
    <w:name w:val="彩色列表 - 强调文字颜色 11"/>
    <w:basedOn w:val="1038"/>
    <w:next w:val="1468"/>
    <w:link w:val="1038"/>
    <w:qFormat/>
    <w:pPr>
      <w:contextualSpacing/>
      <w:ind w:left="720"/>
      <w:jc w:val="left"/>
      <w:spacing w:before="100" w:after="100" w:line="276" w:lineRule="auto"/>
      <w:widowControl/>
    </w:pPr>
    <w:rPr>
      <w:rFonts w:ascii="Arial" w:hAnsi="Arial" w:cs="Arial"/>
      <w:color w:val="0f0f0f"/>
      <w:sz w:val="20"/>
      <w:lang w:eastAsia="en-US"/>
    </w:rPr>
  </w:style>
  <w:style w:type="paragraph" w:styleId="1469">
    <w:name w:val="讲话正文"/>
    <w:basedOn w:val="1038"/>
    <w:next w:val="1469"/>
    <w:link w:val="1038"/>
    <w:qFormat/>
    <w:pPr>
      <w:ind w:firstLine="200"/>
      <w:spacing w:before="0" w:after="0"/>
    </w:pPr>
    <w:rPr>
      <w:rFonts w:ascii="仿宋" w:hAnsi="仿宋" w:eastAsia="仿宋"/>
      <w:sz w:val="32"/>
      <w:szCs w:val="32"/>
    </w:rPr>
  </w:style>
  <w:style w:type="paragraph" w:styleId="1470">
    <w:name w:val="首行缩进"/>
    <w:basedOn w:val="1038"/>
    <w:next w:val="1470"/>
    <w:link w:val="1038"/>
    <w:qFormat/>
    <w:pPr>
      <w:ind w:firstLine="480"/>
    </w:pPr>
    <w:rPr>
      <w:szCs w:val="20"/>
      <w:lang w:val="zh-CN"/>
    </w:rPr>
  </w:style>
  <w:style w:type="paragraph" w:styleId="1471">
    <w:name w:val="正文首行缩进 21"/>
    <w:basedOn w:val="1440"/>
    <w:next w:val="1471"/>
    <w:link w:val="1038"/>
    <w:qFormat/>
    <w:pPr>
      <w:ind w:firstLine="420"/>
    </w:pPr>
  </w:style>
  <w:style w:type="paragraph" w:styleId="1472">
    <w:name w:val="Table Text"/>
    <w:basedOn w:val="1038"/>
    <w:next w:val="1472"/>
    <w:link w:val="1038"/>
    <w:semiHidden/>
    <w:qFormat/>
    <w:rPr>
      <w:rFonts w:ascii="宋体" w:hAnsi="宋体" w:cs="宋体"/>
      <w:sz w:val="24"/>
    </w:rPr>
  </w:style>
  <w:style w:type="table" w:styleId="1473">
    <w:name w:val="Table Normal"/>
    <w:next w:val="1473"/>
    <w:link w:val="1038"/>
    <w:unhideWhenUsed/>
    <w:qFormat/>
    <w:rPr>
      <w:lang w:val="en-US" w:eastAsia="zh-CN" w:bidi="ar-SA"/>
    </w:rPr>
    <w:tblPr/>
  </w:style>
  <w:style w:type="paragraph" w:styleId="1474">
    <w:name w:val="一级目录"/>
    <w:next w:val="1038"/>
    <w:link w:val="1038"/>
    <w:uiPriority w:val="99"/>
    <w:qFormat/>
    <w:pPr>
      <w:jc w:val="center"/>
      <w:outlineLvl w:val="0"/>
    </w:pPr>
    <w:rPr>
      <w:rFonts w:ascii="黑体" w:eastAsia="黑体"/>
      <w:b/>
      <w:bCs/>
      <w:sz w:val="44"/>
      <w:szCs w:val="44"/>
      <w:lang w:val="en-US" w:eastAsia="zh-CN" w:bidi="ar-SA"/>
    </w:rPr>
  </w:style>
  <w:style w:type="paragraph" w:styleId="1475">
    <w:name w:val="MdHeading2"/>
    <w:next w:val="1475"/>
    <w:link w:val="1038"/>
    <w:qFormat/>
    <w:pPr>
      <w:keepNext/>
      <w:spacing w:before="400" w:after="200"/>
      <w:outlineLvl w:val="1"/>
    </w:pPr>
    <w:rPr>
      <w:rFonts w:ascii="Calibri" w:hAnsi="Calibri"/>
      <w:b/>
      <w:bCs/>
      <w:sz w:val="32"/>
      <w:szCs w:val="32"/>
      <w:lang w:val="en-US" w:eastAsia="zh-CN" w:bidi="ar-SA"/>
    </w:rPr>
  </w:style>
  <w:style w:type="paragraph" w:styleId="1476">
    <w:name w:val="MdParagraph"/>
    <w:next w:val="1476"/>
    <w:link w:val="1038"/>
    <w:qFormat/>
    <w:pPr>
      <w:spacing w:before="120" w:after="120"/>
    </w:pPr>
    <w:rPr>
      <w:rFonts w:ascii="Calibri" w:hAnsi="Calibri"/>
      <w:sz w:val="24"/>
      <w:szCs w:val="24"/>
      <w:lang w:val="en-US" w:eastAsia="zh-CN" w:bidi="ar-SA"/>
    </w:rPr>
  </w:style>
  <w:style w:type="paragraph" w:styleId="1477">
    <w:name w:val="MdSpace"/>
    <w:next w:val="1477"/>
    <w:link w:val="1038"/>
    <w:qFormat/>
    <w:rPr>
      <w:rFonts w:ascii="Calibri" w:hAnsi="Calibri"/>
      <w:sz w:val="12"/>
      <w:szCs w:val="12"/>
      <w:lang w:val="en-US" w:eastAsia="zh-CN" w:bidi="ar-SA"/>
    </w:rPr>
  </w:style>
  <w:style w:type="paragraph" w:styleId="1478">
    <w:name w:val="MdTableHeader"/>
    <w:next w:val="1478"/>
    <w:link w:val="1038"/>
    <w:qFormat/>
    <w:pPr>
      <w:spacing w:before="60" w:after="60"/>
    </w:pPr>
    <w:rPr>
      <w:rFonts w:ascii="Calibri" w:hAnsi="Calibri"/>
      <w:b/>
      <w:bCs/>
      <w:sz w:val="22"/>
      <w:szCs w:val="22"/>
      <w:lang w:val="en-US" w:eastAsia="zh-CN" w:bidi="ar-SA"/>
    </w:rPr>
  </w:style>
  <w:style w:type="paragraph" w:styleId="1479">
    <w:name w:val="MdTableCell"/>
    <w:next w:val="1479"/>
    <w:link w:val="1038"/>
    <w:qFormat/>
    <w:pPr>
      <w:spacing w:before="40" w:after="40"/>
    </w:pPr>
    <w:rPr>
      <w:rFonts w:ascii="Calibri" w:hAnsi="Calibri"/>
      <w:lang w:val="en-US" w:eastAsia="zh-CN" w:bidi="ar-SA"/>
    </w:rPr>
  </w:style>
  <w:style w:type="character" w:styleId="1480">
    <w:name w:val="MdStrong"/>
    <w:next w:val="1480"/>
    <w:link w:val="1038"/>
    <w:uiPriority w:val="99"/>
    <w:unhideWhenUsed/>
    <w:qFormat/>
    <w:rPr>
      <w:b/>
      <w:bCs/>
    </w:rPr>
  </w:style>
  <w:style w:type="paragraph" w:styleId="1481">
    <w:name w:val="标题 21"/>
    <w:basedOn w:val="1038"/>
    <w:next w:val="1038"/>
    <w:link w:val="1038"/>
    <w:qFormat/>
    <w:pPr>
      <w:jc w:val="center"/>
      <w:keepLines/>
      <w:keepNext/>
      <w:spacing w:before="260" w:after="260" w:line="416" w:lineRule="auto"/>
      <w:outlineLvl w:val="1"/>
    </w:pPr>
    <w:rPr>
      <w:rFonts w:ascii="Arial" w:hAnsi="Arial" w:eastAsia="幼圆"/>
      <w:b/>
      <w:bCs/>
      <w:sz w:val="44"/>
      <w:szCs w:val="44"/>
    </w:rPr>
  </w:style>
  <w:style w:type="paragraph" w:styleId="1482">
    <w:name w:val="纯文本3"/>
    <w:basedOn w:val="1038"/>
    <w:next w:val="1482"/>
    <w:link w:val="1038"/>
    <w:qFormat/>
    <w:rPr>
      <w:rFonts w:ascii="Times New Roman" w:hAnsi="Courier New" w:eastAsia="楷体_GB2312" w:cs="Times New Roman"/>
      <w:sz w:val="26"/>
      <w:szCs w:val="20"/>
    </w:rPr>
  </w:style>
  <w:style w:type="paragraph" w:styleId="1483">
    <w:name w:val="Body text|1"/>
    <w:basedOn w:val="1038"/>
    <w:next w:val="1483"/>
    <w:link w:val="1038"/>
    <w:pPr>
      <w:ind w:left="660" w:firstLine="480"/>
      <w:jc w:val="left"/>
      <w:spacing w:line="463" w:lineRule="exact"/>
    </w:pPr>
    <w:rPr>
      <w:rFonts w:ascii="宋体" w:hAnsi="宋体" w:cs="宋体"/>
      <w:color w:val="5d5e5f"/>
      <w:sz w:val="24"/>
      <w:lang w:val="zh-TW" w:eastAsia="zh-TW" w:bidi="zh-TW"/>
    </w:rPr>
  </w:style>
  <w:style w:type="character" w:styleId="1484" w:default="1">
    <w:name w:val="Default Paragraph Font"/>
    <w:uiPriority w:val="1"/>
    <w:semiHidden/>
    <w:unhideWhenUsed/>
  </w:style>
  <w:style w:type="numbering" w:styleId="1485" w:default="1">
    <w:name w:val="No List"/>
    <w:uiPriority w:val="99"/>
    <w:semiHidden/>
    <w:unhideWhenUsed/>
  </w:style>
  <w:style w:type="table" w:styleId="148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JS</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竞争性磋</dc:title>
  <dc:creator>江苏省华采招</dc:creator>
  <cp:lastModifiedBy>方东</cp:lastModifiedBy>
  <cp:revision>3</cp:revision>
  <dcterms:created xsi:type="dcterms:W3CDTF">2026-03-19T02:48:00Z</dcterms:created>
  <dcterms:modified xsi:type="dcterms:W3CDTF">2026-06-22T05:34:22Z</dcterms:modified>
</cp:coreProperties>
</file>