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theme/theme1.xml" ContentType="application/vnd.openxmlformats-officedocument.theme+xml"/>
  <Override PartName="/word/endnotes.xml" ContentType="application/vnd.openxmlformats-officedocument.wordprocessingml.endnotes+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bCs/>
          <w:spacing w:val="20"/>
          <w:sz w:val="44"/>
        </w:rPr>
      </w:pPr>
      <w:r>
        <w:rPr>
          <w:rFonts w:hint="eastAsia" w:ascii="宋体" w:hAnsi="宋体"/>
          <w:bCs/>
          <w:spacing w:val="20"/>
          <w:sz w:val="44"/>
        </w:rPr>
      </w:r>
      <w:r/>
    </w:p>
    <w:p>
      <w:pPr>
        <w:contextualSpacing/>
        <w:jc w:val="center"/>
        <w:spacing w:line="360" w:lineRule="auto"/>
        <w:rPr>
          <w:rFonts w:hint="eastAsia" w:ascii="宋体" w:hAnsi="宋体" w:cs="宋体"/>
          <w:b/>
          <w:bCs/>
          <w:sz w:val="48"/>
          <w:szCs w:val="48"/>
        </w:rPr>
      </w:pPr>
      <w:r>
        <w:rPr>
          <w:rFonts w:hint="eastAsia" w:ascii="宋体" w:hAnsi="宋体" w:cs="宋体"/>
          <w:b/>
          <w:bCs/>
          <w:sz w:val="48"/>
          <w:szCs w:val="48"/>
        </w:rPr>
        <w:t xml:space="preserve">通州湾示范区蓝海科学城规划提升研究</w:t>
      </w:r>
      <w:r/>
    </w:p>
    <w:p>
      <w:pPr>
        <w:jc w:val="center"/>
        <w:spacing w:line="480" w:lineRule="auto"/>
        <w:rPr>
          <w:rFonts w:hint="eastAsia" w:ascii="宋体" w:hAnsi="宋体" w:cs="宋体"/>
          <w:b/>
          <w:bCs/>
          <w:sz w:val="48"/>
          <w:szCs w:val="48"/>
        </w:rPr>
      </w:pPr>
      <w:r>
        <w:rPr>
          <w:rFonts w:hint="eastAsia" w:ascii="宋体" w:hAnsi="宋体" w:cs="宋体"/>
          <w:b/>
          <w:bCs/>
          <w:sz w:val="48"/>
          <w:szCs w:val="48"/>
        </w:rPr>
      </w:r>
      <w:r/>
    </w:p>
    <w:p>
      <w:pPr>
        <w:jc w:val="center"/>
        <w:rPr>
          <w:rFonts w:hint="eastAsia" w:ascii="宋体" w:hAnsi="宋体"/>
          <w:bCs/>
          <w:sz w:val="100"/>
          <w:szCs w:val="100"/>
        </w:rPr>
      </w:pPr>
      <w:r>
        <w:rPr>
          <w:rFonts w:hint="eastAsia" w:ascii="宋体" w:hAnsi="宋体"/>
          <w:bCs/>
          <w:sz w:val="100"/>
          <w:szCs w:val="100"/>
        </w:rPr>
      </w:r>
      <w:r/>
    </w:p>
    <w:p>
      <w:pPr>
        <w:jc w:val="center"/>
        <w:spacing w:line="300" w:lineRule="auto"/>
        <w:tabs>
          <w:tab w:val="left" w:pos="6300" w:leader="none"/>
        </w:tabs>
        <w:rPr>
          <w:rFonts w:hint="eastAsia" w:ascii="宋体" w:hAnsi="宋体" w:cs="宋体"/>
          <w:b/>
          <w:sz w:val="96"/>
          <w:szCs w:val="96"/>
        </w:rPr>
      </w:pPr>
      <w:r>
        <w:rPr>
          <w:rFonts w:hint="eastAsia" w:ascii="宋体" w:hAnsi="宋体" w:cs="宋体"/>
          <w:b/>
          <w:sz w:val="96"/>
          <w:szCs w:val="96"/>
        </w:rPr>
        <w:t xml:space="preserve">公开招标文件</w:t>
      </w:r>
      <w:r/>
    </w:p>
    <w:p>
      <w:pPr>
        <w:pStyle w:val="752"/>
        <w:spacing w:line="500" w:lineRule="exact"/>
        <w:rPr>
          <w:rFonts w:hint="eastAsia" w:ascii="宋体" w:hAnsi="宋体"/>
          <w:b w:val="0"/>
          <w:bCs/>
        </w:rPr>
      </w:pPr>
      <w:r>
        <w:rPr>
          <w:rFonts w:hint="eastAsia" w:ascii="宋体" w:hAnsi="宋体"/>
          <w:b w:val="0"/>
          <w:bCs/>
        </w:rPr>
      </w:r>
      <w:r/>
    </w:p>
    <w:p>
      <w:pPr>
        <w:jc w:val="center"/>
        <w:spacing w:line="360" w:lineRule="auto"/>
        <w:rPr>
          <w:rFonts w:hint="eastAsia" w:hAnsi="宋体" w:cs="宋体"/>
          <w:b/>
          <w:sz w:val="30"/>
          <w:szCs w:val="30"/>
        </w:rPr>
      </w:pPr>
      <w:r>
        <w:rPr>
          <w:rFonts w:hint="eastAsia" w:hAnsi="宋体" w:cs="宋体"/>
          <w:b/>
          <w:sz w:val="30"/>
          <w:szCs w:val="30"/>
        </w:rPr>
        <w:t xml:space="preserve">项目编号：</w:t>
      </w:r>
      <w:r>
        <w:rPr>
          <w:rFonts w:hAnsi="宋体" w:cs="宋体"/>
          <w:b/>
          <w:sz w:val="30"/>
          <w:szCs w:val="30"/>
        </w:rPr>
        <w:t xml:space="preserve">JSZC-320692-FSXM-G2026-0006</w:t>
      </w:r>
      <w:r/>
    </w:p>
    <w:p>
      <w:pPr>
        <w:pStyle w:val="765"/>
        <w:rPr>
          <w:rFonts w:hint="eastAsia" w:ascii="Times New Roman" w:hAnsi="宋体" w:eastAsia="宋体" w:cs="宋体"/>
          <w:b/>
          <w:sz w:val="30"/>
          <w:szCs w:val="30"/>
        </w:rPr>
      </w:pPr>
      <w:r>
        <w:rPr>
          <w:rFonts w:hint="eastAsia" w:ascii="Times New Roman" w:hAnsi="宋体" w:eastAsia="宋体" w:cs="宋体"/>
          <w:b/>
          <w:sz w:val="30"/>
          <w:szCs w:val="30"/>
        </w:rPr>
      </w:r>
      <w:r/>
    </w:p>
    <w:p>
      <w:pPr>
        <w:pStyle w:val="801"/>
        <w:rPr>
          <w:rFonts w:hint="eastAsia" w:ascii="Times New Roman" w:hAnsi="宋体" w:eastAsia="宋体" w:cs="宋体"/>
          <w:b/>
          <w:color w:val="auto"/>
          <w:sz w:val="30"/>
          <w:szCs w:val="30"/>
        </w:rPr>
      </w:pPr>
      <w:r>
        <w:rPr>
          <w:rFonts w:hint="eastAsia" w:ascii="Times New Roman" w:hAnsi="宋体" w:eastAsia="宋体" w:cs="宋体"/>
          <w:b/>
          <w:color w:val="auto"/>
          <w:sz w:val="30"/>
          <w:szCs w:val="30"/>
        </w:rPr>
      </w:r>
      <w:r/>
    </w:p>
    <w:p>
      <w:pPr>
        <w:pStyle w:val="801"/>
        <w:rPr>
          <w:rFonts w:hint="eastAsia" w:ascii="Times New Roman" w:hAnsi="宋体" w:eastAsia="宋体" w:cs="宋体"/>
          <w:b/>
          <w:color w:val="auto"/>
          <w:sz w:val="30"/>
          <w:szCs w:val="30"/>
        </w:rPr>
      </w:pPr>
      <w:r>
        <w:rPr>
          <w:rFonts w:hint="eastAsia" w:ascii="Times New Roman" w:hAnsi="宋体" w:eastAsia="宋体" w:cs="宋体"/>
          <w:b/>
          <w:color w:val="auto"/>
          <w:sz w:val="30"/>
          <w:szCs w:val="30"/>
        </w:rPr>
      </w:r>
      <w:r/>
    </w:p>
    <w:p>
      <w:pPr>
        <w:pStyle w:val="801"/>
        <w:rPr>
          <w:rFonts w:hint="eastAsia" w:ascii="Times New Roman" w:hAnsi="宋体" w:eastAsia="宋体" w:cs="宋体"/>
          <w:b/>
          <w:color w:val="auto"/>
          <w:sz w:val="30"/>
          <w:szCs w:val="30"/>
        </w:rPr>
      </w:pPr>
      <w:r>
        <w:rPr>
          <w:rFonts w:hint="eastAsia" w:ascii="Times New Roman" w:hAnsi="宋体" w:eastAsia="宋体" w:cs="宋体"/>
          <w:b/>
          <w:color w:val="auto"/>
          <w:sz w:val="30"/>
          <w:szCs w:val="30"/>
        </w:rPr>
      </w:r>
      <w:r/>
    </w:p>
    <w:p>
      <w:pPr>
        <w:pStyle w:val="801"/>
        <w:rPr>
          <w:rFonts w:hint="eastAsia" w:ascii="Times New Roman" w:hAnsi="宋体" w:eastAsia="宋体" w:cs="宋体"/>
          <w:b/>
          <w:color w:val="auto"/>
          <w:sz w:val="30"/>
          <w:szCs w:val="30"/>
        </w:rPr>
      </w:pPr>
      <w:r>
        <w:rPr>
          <w:rFonts w:hint="eastAsia" w:ascii="Times New Roman" w:hAnsi="宋体" w:eastAsia="宋体" w:cs="宋体"/>
          <w:b/>
          <w:color w:val="auto"/>
          <w:sz w:val="30"/>
          <w:szCs w:val="30"/>
        </w:rPr>
      </w:r>
      <w:r/>
    </w:p>
    <w:p>
      <w:pPr>
        <w:pStyle w:val="801"/>
        <w:rPr>
          <w:rFonts w:hint="eastAsia" w:ascii="Times New Roman" w:hAnsi="宋体" w:eastAsia="宋体" w:cs="宋体"/>
          <w:b/>
          <w:color w:val="auto"/>
          <w:sz w:val="30"/>
          <w:szCs w:val="30"/>
        </w:rPr>
      </w:pPr>
      <w:r>
        <w:rPr>
          <w:rFonts w:hint="eastAsia" w:ascii="Times New Roman" w:hAnsi="宋体" w:eastAsia="宋体" w:cs="宋体"/>
          <w:b/>
          <w:color w:val="auto"/>
          <w:sz w:val="30"/>
          <w:szCs w:val="30"/>
        </w:rPr>
      </w:r>
      <w:r/>
    </w:p>
    <w:p>
      <w:pPr>
        <w:pStyle w:val="801"/>
        <w:rPr>
          <w:rFonts w:hint="eastAsia" w:ascii="Times New Roman" w:hAnsi="宋体" w:eastAsia="宋体" w:cs="宋体"/>
          <w:b/>
          <w:color w:val="auto"/>
          <w:sz w:val="30"/>
          <w:szCs w:val="30"/>
        </w:rPr>
      </w:pPr>
      <w:r>
        <w:rPr>
          <w:rFonts w:hint="eastAsia" w:ascii="Times New Roman" w:hAnsi="宋体" w:eastAsia="宋体" w:cs="宋体"/>
          <w:b/>
          <w:color w:val="auto"/>
          <w:sz w:val="30"/>
          <w:szCs w:val="30"/>
        </w:rPr>
      </w:r>
      <w:r/>
    </w:p>
    <w:p>
      <w:pPr>
        <w:pStyle w:val="801"/>
        <w:rPr>
          <w:rFonts w:hint="eastAsia" w:ascii="Times New Roman" w:hAnsi="宋体" w:eastAsia="宋体" w:cs="宋体"/>
          <w:b/>
          <w:color w:val="auto"/>
          <w:sz w:val="30"/>
          <w:szCs w:val="30"/>
        </w:rPr>
      </w:pPr>
      <w:r>
        <w:rPr>
          <w:rFonts w:hint="eastAsia" w:ascii="Times New Roman" w:hAnsi="宋体" w:eastAsia="宋体" w:cs="宋体"/>
          <w:b/>
          <w:color w:val="auto"/>
          <w:sz w:val="30"/>
          <w:szCs w:val="30"/>
        </w:rPr>
      </w:r>
      <w:r/>
    </w:p>
    <w:p>
      <w:pPr>
        <w:pStyle w:val="801"/>
        <w:rPr>
          <w:rFonts w:hint="eastAsia" w:ascii="Times New Roman" w:hAnsi="宋体" w:eastAsia="宋体" w:cs="宋体"/>
          <w:b/>
          <w:color w:val="auto"/>
          <w:sz w:val="30"/>
          <w:szCs w:val="30"/>
        </w:rPr>
      </w:pPr>
      <w:r>
        <w:rPr>
          <w:rFonts w:hint="eastAsia" w:ascii="Times New Roman" w:hAnsi="宋体" w:eastAsia="宋体" w:cs="宋体"/>
          <w:b/>
          <w:color w:val="auto"/>
          <w:sz w:val="30"/>
          <w:szCs w:val="30"/>
        </w:rPr>
      </w:r>
      <w:r/>
    </w:p>
    <w:p>
      <w:pPr>
        <w:pStyle w:val="801"/>
        <w:rPr>
          <w:rFonts w:hint="eastAsia" w:ascii="Times New Roman" w:hAnsi="宋体" w:eastAsia="宋体" w:cs="宋体"/>
          <w:b/>
          <w:color w:val="auto"/>
          <w:sz w:val="30"/>
          <w:szCs w:val="30"/>
        </w:rPr>
      </w:pPr>
      <w:r>
        <w:rPr>
          <w:rFonts w:hint="eastAsia" w:ascii="Times New Roman" w:hAnsi="宋体" w:eastAsia="宋体" w:cs="宋体"/>
          <w:b/>
          <w:color w:val="auto"/>
          <w:sz w:val="30"/>
          <w:szCs w:val="30"/>
        </w:rPr>
      </w:r>
      <w:r/>
    </w:p>
    <w:p>
      <w:pPr>
        <w:ind w:firstLine="643"/>
        <w:jc w:val="left"/>
        <w:spacing w:line="360" w:lineRule="auto"/>
        <w:rPr>
          <w:rFonts w:hint="eastAsia" w:ascii="宋体" w:hAnsi="宋体" w:cs="宋体"/>
          <w:b/>
          <w:bCs/>
          <w:sz w:val="32"/>
          <w:szCs w:val="32"/>
        </w:rPr>
      </w:pPr>
      <w:r>
        <w:rPr>
          <w:rFonts w:hint="eastAsia" w:ascii="宋体" w:hAnsi="宋体" w:cs="宋体"/>
          <w:b/>
          <w:bCs/>
          <w:sz w:val="32"/>
          <w:szCs w:val="32"/>
        </w:rPr>
        <w:t xml:space="preserve">采   购   人：</w:t>
      </w:r>
      <w:r>
        <w:rPr>
          <w:rFonts w:hint="eastAsia" w:ascii="宋体" w:hAnsi="宋体" w:cs="宋体"/>
          <w:b/>
          <w:sz w:val="30"/>
          <w:szCs w:val="30"/>
        </w:rPr>
        <w:t xml:space="preserve">南通市自然资源和规划局通州湾示范区分局</w:t>
      </w:r>
      <w:r/>
    </w:p>
    <w:p>
      <w:pPr>
        <w:ind w:firstLine="643"/>
        <w:jc w:val="left"/>
        <w:spacing w:line="360" w:lineRule="auto"/>
        <w:rPr>
          <w:rFonts w:hint="eastAsia" w:ascii="宋体" w:hAnsi="宋体" w:cs="宋体"/>
          <w:b/>
          <w:sz w:val="30"/>
          <w:szCs w:val="30"/>
        </w:rPr>
      </w:pPr>
      <w:r>
        <w:rPr>
          <w:rFonts w:hint="eastAsia" w:ascii="宋体" w:hAnsi="宋体" w:cs="宋体"/>
          <w:b/>
          <w:bCs/>
          <w:sz w:val="32"/>
          <w:szCs w:val="30"/>
        </w:rPr>
        <w:t xml:space="preserve">采购代理机构：</w:t>
      </w:r>
      <w:r>
        <w:rPr>
          <w:rFonts w:hint="eastAsia" w:ascii="宋体" w:hAnsi="宋体" w:cs="宋体"/>
          <w:b/>
          <w:sz w:val="30"/>
          <w:szCs w:val="30"/>
        </w:rPr>
        <w:t xml:space="preserve">江苏方硕项目管理有限公司</w:t>
      </w:r>
      <w:r/>
    </w:p>
    <w:p>
      <w:pPr>
        <w:ind w:firstLine="643"/>
        <w:spacing w:line="360" w:lineRule="auto"/>
        <w:rPr>
          <w:rFonts w:hint="eastAsia" w:hAnsi="宋体" w:cs="宋体"/>
          <w:b/>
          <w:sz w:val="30"/>
          <w:szCs w:val="30"/>
        </w:rPr>
      </w:pPr>
      <w:r>
        <w:rPr>
          <w:rFonts w:hint="eastAsia" w:ascii="宋体" w:hAnsi="宋体" w:cs="宋体"/>
          <w:b/>
          <w:bCs/>
          <w:sz w:val="32"/>
          <w:szCs w:val="32"/>
        </w:rPr>
        <w:t xml:space="preserve">日        期：</w:t>
      </w:r>
      <w:r>
        <w:rPr>
          <w:rFonts w:hint="eastAsia" w:ascii="宋体" w:hAnsi="宋体" w:cs="宋体"/>
          <w:b/>
          <w:bCs/>
          <w:sz w:val="32"/>
          <w:szCs w:val="32"/>
        </w:rPr>
        <w:t xml:space="preserve">2026</w:t>
      </w:r>
      <w:r>
        <w:rPr>
          <w:rFonts w:hint="eastAsia" w:ascii="宋体" w:hAnsi="宋体" w:cs="宋体"/>
          <w:b/>
          <w:bCs/>
          <w:sz w:val="32"/>
          <w:szCs w:val="32"/>
        </w:rPr>
        <w:t xml:space="preserve">年</w:t>
      </w:r>
      <w:r>
        <w:rPr>
          <w:rFonts w:hint="eastAsia" w:ascii="宋体" w:hAnsi="宋体" w:cs="宋体"/>
          <w:b/>
          <w:bCs/>
          <w:sz w:val="32"/>
          <w:szCs w:val="32"/>
        </w:rPr>
        <w:t xml:space="preserve">4</w:t>
      </w:r>
      <w:r>
        <w:rPr>
          <w:rFonts w:hint="eastAsia" w:ascii="宋体" w:hAnsi="宋体" w:cs="宋体"/>
          <w:b/>
          <w:bCs/>
          <w:sz w:val="32"/>
          <w:szCs w:val="32"/>
        </w:rPr>
        <w:t xml:space="preserve">月</w:t>
      </w:r>
      <w:r/>
    </w:p>
    <w:p>
      <w:pPr>
        <w:rPr>
          <w:rFonts w:hint="eastAsia" w:ascii="宋体" w:hAnsi="宋体"/>
          <w:sz w:val="44"/>
          <w:szCs w:val="44"/>
        </w:rPr>
      </w:pPr>
      <w:r>
        <w:rPr>
          <w:rFonts w:hint="eastAsia" w:ascii="宋体" w:hAnsi="宋体"/>
          <w:sz w:val="44"/>
          <w:szCs w:val="44"/>
        </w:rPr>
      </w:r>
      <w:r/>
    </w:p>
    <w:p>
      <w:pPr>
        <w:rPr>
          <w:rFonts w:hint="eastAsia" w:ascii="宋体" w:hAnsi="宋体"/>
          <w:sz w:val="44"/>
          <w:szCs w:val="44"/>
        </w:rPr>
      </w:pPr>
      <w:r>
        <w:rPr>
          <w:rFonts w:hint="eastAsia" w:ascii="宋体" w:hAnsi="宋体"/>
          <w:sz w:val="44"/>
          <w:szCs w:val="44"/>
        </w:rPr>
        <w:br w:type="page" w:clear="all"/>
      </w:r>
      <w:r/>
    </w:p>
    <w:p>
      <w:pPr>
        <w:jc w:val="center"/>
        <w:spacing w:line="360" w:lineRule="auto"/>
        <w:rPr>
          <w:rFonts w:hint="eastAsia" w:ascii="宋体" w:hAnsi="宋体"/>
          <w:sz w:val="44"/>
          <w:szCs w:val="44"/>
        </w:rPr>
      </w:pPr>
      <w:r>
        <w:rPr>
          <w:rFonts w:hint="eastAsia" w:ascii="宋体" w:hAnsi="宋体"/>
          <w:sz w:val="44"/>
          <w:szCs w:val="44"/>
        </w:rPr>
        <w:t xml:space="preserve">目 录</w:t>
      </w:r>
      <w:r/>
    </w:p>
    <w:p>
      <w:pPr>
        <w:ind w:firstLine="640"/>
        <w:spacing w:line="360" w:lineRule="auto"/>
        <w:tabs>
          <w:tab w:val="left" w:pos="7740" w:leader="none"/>
        </w:tabs>
        <w:rPr>
          <w:rFonts w:hint="eastAsia" w:ascii="宋体" w:hAnsi="宋体"/>
          <w:spacing w:val="2"/>
          <w:sz w:val="32"/>
          <w:szCs w:val="32"/>
        </w:rPr>
      </w:pPr>
      <w:r>
        <w:rPr>
          <w:rFonts w:hint="eastAsia" w:ascii="宋体" w:hAnsi="宋体"/>
          <w:bCs/>
          <w:sz w:val="32"/>
          <w:szCs w:val="32"/>
        </w:rPr>
        <w:t xml:space="preserve">第一部分  投标邀请</w:t>
      </w:r>
      <w:r/>
    </w:p>
    <w:p>
      <w:pPr>
        <w:ind w:firstLine="640"/>
        <w:spacing w:line="360" w:lineRule="auto"/>
        <w:tabs>
          <w:tab w:val="left" w:pos="7740" w:leader="none"/>
        </w:tabs>
        <w:rPr>
          <w:rFonts w:hint="eastAsia" w:ascii="宋体" w:hAnsi="宋体"/>
          <w:spacing w:val="2"/>
          <w:sz w:val="32"/>
          <w:szCs w:val="32"/>
        </w:rPr>
      </w:pPr>
      <w:r>
        <w:rPr>
          <w:rFonts w:hint="eastAsia" w:ascii="宋体" w:hAnsi="宋体"/>
          <w:bCs/>
          <w:sz w:val="32"/>
          <w:szCs w:val="32"/>
        </w:rPr>
        <w:t xml:space="preserve">第二部分  投标须知</w:t>
      </w:r>
      <w:r/>
    </w:p>
    <w:p>
      <w:pPr>
        <w:ind w:firstLine="640"/>
        <w:spacing w:line="360" w:lineRule="auto"/>
        <w:tabs>
          <w:tab w:val="left" w:pos="7740" w:leader="none"/>
        </w:tabs>
        <w:rPr>
          <w:rFonts w:hint="eastAsia" w:ascii="宋体" w:hAnsi="宋体"/>
          <w:spacing w:val="2"/>
          <w:sz w:val="32"/>
          <w:szCs w:val="32"/>
        </w:rPr>
      </w:pPr>
      <w:r>
        <w:rPr>
          <w:rFonts w:hint="eastAsia" w:ascii="宋体" w:hAnsi="宋体"/>
          <w:bCs/>
          <w:sz w:val="32"/>
          <w:szCs w:val="32"/>
        </w:rPr>
        <w:t xml:space="preserve">第三部分  项目需求</w:t>
      </w:r>
      <w:r/>
    </w:p>
    <w:p>
      <w:pPr>
        <w:ind w:firstLine="640"/>
        <w:spacing w:line="360" w:lineRule="auto"/>
        <w:tabs>
          <w:tab w:val="left" w:pos="7740" w:leader="none"/>
        </w:tabs>
        <w:rPr>
          <w:rFonts w:hint="eastAsia" w:ascii="宋体" w:hAnsi="宋体"/>
          <w:bCs/>
          <w:sz w:val="32"/>
          <w:szCs w:val="32"/>
        </w:rPr>
      </w:pPr>
      <w:r>
        <w:rPr>
          <w:rFonts w:hint="eastAsia" w:ascii="宋体" w:hAnsi="宋体"/>
          <w:sz w:val="32"/>
          <w:szCs w:val="32"/>
        </w:rPr>
        <w:t xml:space="preserve">第四部分  </w:t>
      </w:r>
      <w:r>
        <w:rPr>
          <w:rFonts w:hint="eastAsia" w:ascii="宋体" w:hAnsi="宋体"/>
          <w:bCs/>
          <w:sz w:val="32"/>
          <w:szCs w:val="32"/>
        </w:rPr>
        <w:t xml:space="preserve">评标方法与评标标准</w:t>
      </w:r>
      <w:r/>
    </w:p>
    <w:p>
      <w:pPr>
        <w:ind w:firstLine="640"/>
        <w:spacing w:line="360" w:lineRule="auto"/>
        <w:tabs>
          <w:tab w:val="left" w:pos="7740" w:leader="none"/>
        </w:tabs>
        <w:rPr>
          <w:rFonts w:hint="eastAsia" w:ascii="宋体" w:hAnsi="宋体"/>
          <w:spacing w:val="2"/>
          <w:sz w:val="32"/>
          <w:szCs w:val="32"/>
        </w:rPr>
      </w:pPr>
      <w:r>
        <w:rPr>
          <w:rFonts w:hint="eastAsia" w:ascii="宋体" w:hAnsi="宋体"/>
          <w:bCs/>
          <w:sz w:val="32"/>
          <w:szCs w:val="32"/>
        </w:rPr>
        <w:t xml:space="preserve">第五部分 </w:t>
      </w:r>
      <w:r>
        <w:rPr>
          <w:rFonts w:ascii="宋体" w:hAnsi="宋体"/>
          <w:bCs/>
          <w:sz w:val="32"/>
          <w:szCs w:val="32"/>
        </w:rPr>
        <w:t xml:space="preserve"> </w:t>
      </w:r>
      <w:r>
        <w:rPr>
          <w:rFonts w:hint="eastAsia" w:ascii="宋体" w:hAnsi="宋体"/>
          <w:bCs/>
          <w:sz w:val="32"/>
          <w:szCs w:val="32"/>
        </w:rPr>
        <w:t xml:space="preserve">合同格式</w:t>
      </w:r>
      <w:r/>
    </w:p>
    <w:p>
      <w:pPr>
        <w:ind w:firstLine="640"/>
        <w:spacing w:line="360" w:lineRule="auto"/>
        <w:tabs>
          <w:tab w:val="left" w:pos="7740" w:leader="none"/>
        </w:tabs>
        <w:rPr>
          <w:rFonts w:hint="eastAsia" w:ascii="宋体" w:hAnsi="宋体"/>
          <w:spacing w:val="2"/>
          <w:sz w:val="32"/>
          <w:szCs w:val="32"/>
        </w:rPr>
      </w:pPr>
      <w:r>
        <w:rPr>
          <w:rFonts w:hint="eastAsia" w:ascii="宋体" w:hAnsi="宋体"/>
          <w:bCs/>
          <w:sz w:val="32"/>
          <w:szCs w:val="32"/>
        </w:rPr>
        <w:t xml:space="preserve">第六部分  投标文件组成</w:t>
      </w:r>
      <w:r/>
    </w:p>
    <w:p>
      <w:pPr>
        <w:jc w:val="center"/>
        <w:spacing w:line="360" w:lineRule="auto"/>
        <w:rPr>
          <w:rFonts w:hint="eastAsia" w:ascii="宋体" w:hAnsi="宋体"/>
          <w:sz w:val="28"/>
          <w:szCs w:val="28"/>
        </w:rPr>
        <w:outlineLvl w:val="0"/>
      </w:pPr>
      <w:r>
        <w:rPr>
          <w:rFonts w:ascii="宋体" w:hAnsi="宋体"/>
          <w:sz w:val="44"/>
          <w:szCs w:val="44"/>
        </w:rPr>
        <w:br w:type="page" w:clear="all"/>
      </w:r>
      <w:r>
        <w:rPr>
          <w:rFonts w:hint="eastAsia" w:ascii="宋体" w:hAnsi="宋体"/>
          <w:bCs/>
          <w:sz w:val="36"/>
          <w:szCs w:val="36"/>
        </w:rPr>
        <w:t xml:space="preserve">第一部分  </w:t>
      </w:r>
      <w:bookmarkStart w:id="0" w:name="OLE_LINK7"/>
      <w:r/>
      <w:bookmarkStart w:id="1" w:name="OLE_LINK5"/>
      <w:r>
        <w:rPr>
          <w:rFonts w:hint="eastAsia" w:ascii="宋体" w:hAnsi="宋体"/>
          <w:bCs/>
          <w:sz w:val="36"/>
          <w:szCs w:val="36"/>
        </w:rPr>
        <w:t xml:space="preserve">投标邀请</w:t>
      </w:r>
      <w:bookmarkStart w:id="2" w:name="OLE_LINK6"/>
      <w:r/>
      <w:r/>
    </w:p>
    <w:p>
      <w:pPr>
        <w:ind w:firstLine="420"/>
        <w:spacing w:line="360" w:lineRule="auto"/>
        <w:rPr>
          <w:rFonts w:hint="eastAsia" w:ascii="宋体" w:hAnsi="宋体"/>
          <w:szCs w:val="21"/>
        </w:rPr>
        <w:pBdr>
          <w:top w:val="single" w:color="000000" w:sz="4" w:space="1"/>
          <w:left w:val="single" w:color="000000" w:sz="4" w:space="4"/>
          <w:bottom w:val="single" w:color="000000" w:sz="4" w:space="1"/>
          <w:right w:val="single" w:color="000000" w:sz="4" w:space="4"/>
        </w:pBdr>
      </w:pPr>
      <w:r/>
      <w:bookmarkStart w:id="3" w:name="OLE_LINK1"/>
      <w:r>
        <w:rPr>
          <w:rFonts w:ascii="宋体" w:hAnsi="宋体"/>
          <w:szCs w:val="21"/>
        </w:rPr>
        <w:t xml:space="preserve">项目概况</w:t>
      </w:r>
      <w:r/>
    </w:p>
    <w:p>
      <w:pPr>
        <w:ind w:firstLine="420"/>
        <w:spacing w:line="360" w:lineRule="auto"/>
        <w:rPr>
          <w:rFonts w:hint="eastAsia"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rPr>
        <w:t xml:space="preserve">通州湾示范区蓝海科学城规划提升研究</w:t>
      </w:r>
      <w:r>
        <w:rPr>
          <w:rFonts w:ascii="宋体" w:hAnsi="宋体"/>
          <w:szCs w:val="21"/>
        </w:rPr>
        <w:t xml:space="preserve">的潜在</w:t>
      </w:r>
      <w:r>
        <w:rPr>
          <w:rFonts w:hint="eastAsia" w:ascii="宋体" w:hAnsi="宋体"/>
          <w:szCs w:val="21"/>
        </w:rPr>
        <w:t xml:space="preserve">投标人可在</w:t>
      </w:r>
      <w:r>
        <w:rPr>
          <w:rFonts w:hint="eastAsia" w:ascii="宋体" w:hAnsi="宋体"/>
          <w:szCs w:val="21"/>
          <w:u w:val="single"/>
        </w:rPr>
        <w:t xml:space="preserve">“江苏政府采购网”自行免费下载</w:t>
      </w:r>
      <w:r>
        <w:rPr>
          <w:rFonts w:hint="eastAsia" w:ascii="宋体" w:hAnsi="宋体"/>
          <w:szCs w:val="21"/>
        </w:rPr>
        <w:t xml:space="preserve">招标文件</w:t>
      </w:r>
      <w:r>
        <w:rPr>
          <w:rFonts w:ascii="宋体" w:hAnsi="宋体"/>
          <w:szCs w:val="21"/>
        </w:rPr>
        <w:t xml:space="preserve">，并于</w:t>
      </w:r>
      <w:r>
        <w:rPr>
          <w:rFonts w:hint="eastAsia" w:ascii="宋体" w:hAnsi="宋体"/>
          <w:szCs w:val="21"/>
        </w:rPr>
        <w:t xml:space="preserve">2026</w:t>
      </w:r>
      <w:r>
        <w:rPr>
          <w:rFonts w:ascii="宋体" w:hAnsi="宋体"/>
          <w:szCs w:val="21"/>
        </w:rPr>
        <w:t xml:space="preserve">年</w:t>
      </w:r>
      <w:r>
        <w:rPr>
          <w:rFonts w:hint="eastAsia" w:ascii="宋体" w:hAnsi="宋体"/>
          <w:szCs w:val="21"/>
        </w:rPr>
        <w:t xml:space="preserve">6</w:t>
      </w:r>
      <w:r>
        <w:rPr>
          <w:rFonts w:hint="eastAsia" w:ascii="宋体" w:hAnsi="宋体"/>
          <w:szCs w:val="21"/>
        </w:rPr>
        <w:t xml:space="preserve">月</w:t>
      </w:r>
      <w:r>
        <w:rPr>
          <w:rFonts w:hint="eastAsia" w:ascii="宋体" w:hAnsi="宋体"/>
          <w:szCs w:val="21"/>
        </w:rPr>
        <w:t xml:space="preserve">10</w:t>
      </w:r>
      <w:r>
        <w:rPr>
          <w:rFonts w:hint="eastAsia" w:ascii="宋体" w:hAnsi="宋体"/>
          <w:szCs w:val="21"/>
        </w:rPr>
        <w:t xml:space="preserve">日9</w:t>
      </w:r>
      <w:r>
        <w:rPr>
          <w:rFonts w:ascii="宋体" w:hAnsi="宋体"/>
          <w:szCs w:val="21"/>
        </w:rPr>
        <w:t xml:space="preserve">点</w:t>
      </w:r>
      <w:r>
        <w:rPr>
          <w:rFonts w:hint="eastAsia" w:ascii="宋体" w:hAnsi="宋体"/>
          <w:szCs w:val="21"/>
        </w:rPr>
        <w:t xml:space="preserve">0</w:t>
      </w:r>
      <w:r>
        <w:rPr>
          <w:rFonts w:hint="eastAsia" w:ascii="宋体" w:hAnsi="宋体"/>
          <w:szCs w:val="21"/>
        </w:rPr>
        <w:t xml:space="preserve">0</w:t>
      </w:r>
      <w:r>
        <w:rPr>
          <w:rFonts w:ascii="宋体" w:hAnsi="宋体"/>
          <w:szCs w:val="21"/>
        </w:rPr>
        <w:t xml:space="preserve">分（北京时间）前递交投标文件。</w:t>
      </w:r>
      <w:r/>
    </w:p>
    <w:p>
      <w:pPr>
        <w:ind w:firstLine="422"/>
        <w:spacing w:line="360" w:lineRule="auto"/>
        <w:rPr>
          <w:rFonts w:hint="eastAsia" w:ascii="宋体" w:hAnsi="宋体"/>
          <w:b/>
          <w:szCs w:val="21"/>
        </w:rPr>
      </w:pPr>
      <w:r>
        <w:rPr>
          <w:rFonts w:ascii="宋体" w:hAnsi="宋体"/>
          <w:b/>
          <w:szCs w:val="21"/>
        </w:rPr>
        <w:t xml:space="preserve"> 一、项目基本情况</w:t>
      </w:r>
      <w:r/>
    </w:p>
    <w:p>
      <w:pPr>
        <w:ind w:firstLine="420"/>
        <w:spacing w:line="360" w:lineRule="auto"/>
        <w:rPr>
          <w:rFonts w:hint="eastAsia" w:ascii="宋体" w:hAnsi="宋体"/>
          <w:szCs w:val="21"/>
        </w:rPr>
      </w:pPr>
      <w:r>
        <w:rPr>
          <w:rFonts w:hint="eastAsia" w:ascii="宋体" w:hAnsi="宋体"/>
          <w:szCs w:val="21"/>
        </w:rPr>
        <w:t xml:space="preserve">1.项目编号：</w:t>
      </w:r>
      <w:r>
        <w:rPr>
          <w:rFonts w:ascii="宋体" w:hAnsi="宋体"/>
          <w:szCs w:val="21"/>
        </w:rPr>
        <w:t xml:space="preserve">JSZC-320692-FSXM-G2026-0006</w:t>
      </w:r>
      <w:r/>
    </w:p>
    <w:p>
      <w:pPr>
        <w:ind w:firstLine="420"/>
        <w:spacing w:line="360" w:lineRule="auto"/>
        <w:rPr>
          <w:rFonts w:hint="eastAsia" w:ascii="宋体" w:hAnsi="宋体"/>
          <w:szCs w:val="21"/>
        </w:rPr>
      </w:pPr>
      <w:r>
        <w:rPr>
          <w:rFonts w:hint="eastAsia" w:ascii="宋体" w:hAnsi="宋体"/>
          <w:szCs w:val="21"/>
        </w:rPr>
        <w:t xml:space="preserve">2.项目名称：通州湾示范区蓝海科学城规划提升研究；</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预算金额</w:t>
      </w:r>
      <w:r>
        <w:rPr>
          <w:rFonts w:hint="eastAsia" w:ascii="宋体" w:hAnsi="宋体"/>
          <w:szCs w:val="21"/>
        </w:rPr>
        <w:t xml:space="preserve">：250万元；</w:t>
      </w:r>
      <w:r/>
    </w:p>
    <w:p>
      <w:pPr>
        <w:ind w:firstLine="420"/>
        <w:spacing w:line="360" w:lineRule="auto"/>
        <w:rPr>
          <w:rFonts w:hint="eastAsia" w:ascii="宋体" w:hAnsi="宋体"/>
          <w:szCs w:val="21"/>
        </w:rPr>
      </w:pPr>
      <w:r>
        <w:rPr>
          <w:rFonts w:hint="eastAsia" w:ascii="宋体" w:hAnsi="宋体"/>
          <w:szCs w:val="21"/>
        </w:rPr>
        <w:t xml:space="preserve">4.最高限价：人民币</w:t>
      </w:r>
      <w:r>
        <w:rPr>
          <w:rFonts w:hint="eastAsia" w:ascii="宋体" w:hAnsi="宋体"/>
          <w:szCs w:val="21"/>
        </w:rPr>
        <w:t xml:space="preserve">贰</w:t>
      </w:r>
      <w:r>
        <w:rPr>
          <w:rFonts w:hint="eastAsia" w:ascii="宋体" w:hAnsi="宋体"/>
          <w:szCs w:val="21"/>
        </w:rPr>
        <w:t xml:space="preserve">佰伍拾万元整</w:t>
      </w:r>
      <w:r>
        <w:rPr>
          <w:rFonts w:hint="eastAsia" w:ascii="宋体" w:hAnsi="宋体"/>
          <w:szCs w:val="21"/>
        </w:rPr>
        <w:t xml:space="preserve">（¥2500000元）</w:t>
      </w:r>
      <w:r>
        <w:rPr>
          <w:rFonts w:hint="eastAsia" w:ascii="宋体" w:hAnsi="宋体"/>
          <w:szCs w:val="21"/>
        </w:rPr>
        <w:t xml:space="preserve">，投标报价超过最高限价的投标将作为无效投标处理；</w:t>
      </w:r>
      <w:r/>
    </w:p>
    <w:p>
      <w:pPr>
        <w:ind w:firstLine="420"/>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采购需求：详见</w:t>
      </w:r>
      <w:r>
        <w:rPr>
          <w:rFonts w:hint="eastAsia" w:ascii="宋体" w:hAnsi="宋体"/>
          <w:szCs w:val="21"/>
        </w:rPr>
        <w:t xml:space="preserve">招标</w:t>
      </w:r>
      <w:r>
        <w:rPr>
          <w:rFonts w:ascii="宋体" w:hAnsi="宋体"/>
          <w:szCs w:val="21"/>
        </w:rPr>
        <w:t xml:space="preserve">文件</w:t>
      </w:r>
      <w:r>
        <w:rPr>
          <w:rFonts w:hint="eastAsia" w:ascii="宋体" w:hAnsi="宋体"/>
          <w:szCs w:val="21"/>
        </w:rPr>
        <w:t xml:space="preserve">第三部分</w:t>
      </w:r>
      <w:r>
        <w:rPr>
          <w:rFonts w:ascii="宋体" w:hAnsi="宋体"/>
          <w:szCs w:val="21"/>
        </w:rPr>
        <w:t xml:space="preserve">，请仔细研究</w:t>
      </w:r>
      <w:r>
        <w:rPr>
          <w:rFonts w:hint="eastAsia" w:ascii="宋体" w:hAnsi="宋体"/>
          <w:szCs w:val="21"/>
        </w:rPr>
        <w:t xml:space="preserve">；</w:t>
      </w:r>
      <w:r/>
    </w:p>
    <w:p>
      <w:pPr>
        <w:ind w:firstLine="420"/>
        <w:spacing w:line="360" w:lineRule="auto"/>
        <w:rPr>
          <w:rFonts w:hint="eastAsia" w:ascii="宋体" w:hAnsi="宋体"/>
          <w:szCs w:val="21"/>
          <w:highlight w:val="green"/>
        </w:rPr>
      </w:pPr>
      <w:r>
        <w:rPr>
          <w:rFonts w:hint="eastAsia" w:ascii="宋体" w:hAnsi="宋体"/>
          <w:szCs w:val="21"/>
        </w:rPr>
        <w:t xml:space="preserve">6.</w:t>
      </w:r>
      <w:r>
        <w:rPr>
          <w:rFonts w:ascii="宋体" w:hAnsi="宋体"/>
          <w:szCs w:val="21"/>
        </w:rPr>
        <w:t xml:space="preserve">合同履行期限：</w:t>
      </w:r>
      <w:r>
        <w:rPr>
          <w:rFonts w:hint="eastAsia" w:ascii="宋体" w:hAnsi="宋体"/>
          <w:szCs w:val="21"/>
        </w:rPr>
        <w:t xml:space="preserve">自合同签定之日起至</w:t>
      </w:r>
      <w:r>
        <w:rPr>
          <w:rFonts w:hint="eastAsia" w:ascii="宋体" w:hAnsi="宋体"/>
          <w:szCs w:val="21"/>
        </w:rPr>
        <w:t xml:space="preserve">2026年底。</w:t>
      </w:r>
      <w:r/>
    </w:p>
    <w:p>
      <w:pPr>
        <w:ind w:firstLine="422"/>
        <w:spacing w:line="360" w:lineRule="auto"/>
        <w:rPr>
          <w:rFonts w:hint="eastAsia" w:ascii="宋体" w:hAnsi="宋体"/>
          <w:b/>
          <w:szCs w:val="21"/>
        </w:rPr>
      </w:pPr>
      <w:r>
        <w:rPr>
          <w:rFonts w:ascii="宋体" w:hAnsi="宋体"/>
          <w:b/>
          <w:szCs w:val="21"/>
        </w:rPr>
        <w:t xml:space="preserve">二、申请人的资格要求：</w:t>
      </w:r>
      <w:r/>
    </w:p>
    <w:p>
      <w:pPr>
        <w:ind w:firstLine="420"/>
        <w:spacing w:line="360" w:lineRule="auto"/>
        <w:rPr>
          <w:rFonts w:hint="eastAsia" w:ascii="宋体" w:hAnsi="宋体"/>
          <w:szCs w:val="21"/>
        </w:rPr>
      </w:pPr>
      <w:r>
        <w:rPr>
          <w:rFonts w:hint="eastAsia" w:ascii="宋体" w:hAnsi="宋体"/>
          <w:szCs w:val="21"/>
        </w:rPr>
        <w:t xml:space="preserve">（一）通用资格要求</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w:t>
      </w:r>
      <w:r>
        <w:rPr>
          <w:rFonts w:ascii="宋体" w:hAnsi="宋体"/>
          <w:szCs w:val="21"/>
        </w:rPr>
        <w:t xml:space="preserve">满足《中华人民共和国政府采购法》第二十二条规定，并提供下列材料：</w:t>
      </w:r>
      <w:r/>
    </w:p>
    <w:p>
      <w:pPr>
        <w:ind w:firstLine="420"/>
        <w:spacing w:line="360" w:lineRule="auto"/>
        <w:rPr>
          <w:rFonts w:hint="eastAsia" w:ascii="宋体" w:hAnsi="宋体"/>
          <w:szCs w:val="21"/>
        </w:rPr>
      </w:pPr>
      <w:r>
        <w:rPr>
          <w:rFonts w:ascii="宋体" w:hAnsi="宋体"/>
          <w:szCs w:val="21"/>
        </w:rPr>
        <w:t xml:space="preserve">1.1具有独立承担民事责任的能力（提供法人或者其他组织的营业执照等证明文件，自然人的身份证明）；</w:t>
      </w:r>
      <w:r/>
    </w:p>
    <w:p>
      <w:pPr>
        <w:ind w:firstLine="420"/>
        <w:spacing w:line="360" w:lineRule="auto"/>
        <w:rPr>
          <w:rFonts w:hint="eastAsia" w:ascii="宋体" w:hAnsi="宋体"/>
          <w:szCs w:val="21"/>
        </w:rPr>
      </w:pPr>
      <w:r>
        <w:rPr>
          <w:rFonts w:ascii="宋体" w:hAnsi="宋体"/>
          <w:szCs w:val="21"/>
        </w:rPr>
        <w:t xml:space="preserve">1.2具有良好的商业信誉和健全的财务会计制度（提供上一年度的财务状况报告，成立不满一年不需提供）；</w:t>
      </w:r>
      <w:r/>
    </w:p>
    <w:p>
      <w:pPr>
        <w:ind w:firstLine="420"/>
        <w:spacing w:line="360" w:lineRule="auto"/>
        <w:rPr>
          <w:rFonts w:hint="eastAsia" w:ascii="宋体" w:hAnsi="宋体"/>
          <w:szCs w:val="21"/>
        </w:rPr>
      </w:pPr>
      <w:r>
        <w:rPr>
          <w:rFonts w:ascii="宋体" w:hAnsi="宋体"/>
          <w:szCs w:val="21"/>
        </w:rPr>
        <w:t xml:space="preserve">1.3有依法缴纳税收和社会保障资金的良好记录（</w:t>
      </w:r>
      <w:r>
        <w:rPr>
          <w:rFonts w:hint="eastAsia" w:ascii="宋体" w:hAnsi="宋体"/>
          <w:szCs w:val="21"/>
        </w:rPr>
        <w:t xml:space="preserve">提供提交投标文件截止时间前一年内至少一个月依法缴纳税收及缴纳社会保障资金的证明材料。投标人依法享受缓缴、免缴税收、社会保障资金的提供证明材料</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1.4具有履行合同所必需的设备和专业技术能力（提供书面声明</w:t>
      </w:r>
      <w:r>
        <w:rPr>
          <w:rFonts w:hint="eastAsia" w:ascii="宋体" w:hAnsi="宋体"/>
          <w:szCs w:val="21"/>
        </w:rPr>
        <w:t xml:space="preserve">，格式见附件</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1.5参加政府采购活动前</w:t>
      </w:r>
      <w:r>
        <w:rPr>
          <w:rFonts w:hint="eastAsia" w:ascii="宋体" w:hAnsi="宋体"/>
          <w:szCs w:val="21"/>
        </w:rPr>
        <w:t xml:space="preserve">三</w:t>
      </w:r>
      <w:r>
        <w:rPr>
          <w:rFonts w:ascii="宋体" w:hAnsi="宋体"/>
          <w:szCs w:val="21"/>
        </w:rPr>
        <w:t xml:space="preserve">年内</w:t>
      </w:r>
      <w:r>
        <w:rPr>
          <w:rFonts w:hint="eastAsia" w:ascii="宋体" w:hAnsi="宋体"/>
          <w:szCs w:val="21"/>
        </w:rPr>
        <w:t xml:space="preserve">，</w:t>
      </w:r>
      <w:r>
        <w:rPr>
          <w:rFonts w:ascii="宋体" w:hAnsi="宋体"/>
          <w:szCs w:val="21"/>
        </w:rPr>
        <w:t xml:space="preserve">在经营活动中没有重大违法记录（提供书面声明</w:t>
      </w:r>
      <w:r>
        <w:rPr>
          <w:rFonts w:hint="eastAsia" w:ascii="宋体" w:hAnsi="宋体"/>
          <w:szCs w:val="21"/>
        </w:rPr>
        <w:t xml:space="preserve">，格式见附件</w:t>
      </w:r>
      <w:r>
        <w:rPr>
          <w:rFonts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3.落实政府采购政策需满足的资格要求：</w:t>
      </w:r>
      <w:r/>
    </w:p>
    <w:p>
      <w:pPr>
        <w:ind w:firstLine="420"/>
        <w:spacing w:line="360" w:lineRule="auto"/>
        <w:rPr>
          <w:rFonts w:hint="eastAsia" w:ascii="宋体" w:hAnsi="宋体"/>
          <w:szCs w:val="21"/>
        </w:rPr>
      </w:pPr>
      <w:r>
        <w:rPr>
          <w:rFonts w:hint="eastAsia" w:ascii="宋体" w:hAnsi="宋体"/>
          <w:szCs w:val="21"/>
        </w:rPr>
        <w:t xml:space="preserve">（1）本项目对小型和微型企业提供的服务给予10%的扣除价格，用扣除后的价格参与评审。</w:t>
      </w:r>
      <w:r/>
    </w:p>
    <w:p>
      <w:pPr>
        <w:ind w:firstLine="420"/>
        <w:spacing w:line="360" w:lineRule="auto"/>
        <w:rPr>
          <w:rFonts w:hint="eastAsia" w:ascii="宋体" w:hAnsi="宋体"/>
          <w:szCs w:val="21"/>
        </w:rPr>
      </w:pPr>
      <w:r>
        <w:rPr>
          <w:rFonts w:hint="eastAsia" w:ascii="宋体" w:hAnsi="宋体"/>
          <w:szCs w:val="21"/>
        </w:rPr>
        <w:t xml:space="preserve">（2）本项目对残疾人福利性单位视同小型、微型企业，给予10%的价格扣除，用扣除后的价格参与评审。</w:t>
      </w:r>
      <w:r/>
    </w:p>
    <w:p>
      <w:pPr>
        <w:ind w:firstLine="420"/>
        <w:spacing w:line="360" w:lineRule="auto"/>
        <w:rPr>
          <w:rFonts w:ascii="宋体" w:hAnsi="宋体"/>
          <w:szCs w:val="21"/>
        </w:rPr>
      </w:pPr>
      <w:r>
        <w:rPr>
          <w:rFonts w:hint="eastAsia" w:ascii="宋体" w:hAnsi="宋体"/>
          <w:szCs w:val="21"/>
        </w:rPr>
        <w:t xml:space="preserve">（3）本项目对监狱和戒毒企业（简称监狱企业）视同小型、微型企业，给予10%的价格扣除，用扣除后的价格参与评审</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具体</w:t>
      </w:r>
      <w:r>
        <w:rPr>
          <w:rFonts w:hint="eastAsia" w:ascii="宋体" w:hAnsi="宋体"/>
          <w:szCs w:val="21"/>
        </w:rPr>
        <w:t xml:space="preserve">详见招标文件第四部分。</w:t>
      </w:r>
      <w:r/>
    </w:p>
    <w:p>
      <w:pPr>
        <w:ind w:firstLine="420"/>
        <w:spacing w:line="360" w:lineRule="auto"/>
        <w:rPr>
          <w:rFonts w:hint="eastAsia" w:ascii="宋体" w:hAnsi="宋体"/>
          <w:highlight w:val="none"/>
        </w:rPr>
      </w:pPr>
      <w:r>
        <w:rPr>
          <w:rFonts w:hint="eastAsia" w:ascii="宋体" w:hAnsi="宋体"/>
          <w:szCs w:val="21"/>
        </w:rPr>
        <w:t xml:space="preserve">4.本项目接受联合体投标</w:t>
      </w:r>
      <w:r>
        <w:rPr>
          <w:rFonts w:hint="eastAsia" w:ascii="宋体" w:hAnsi="宋体"/>
          <w:szCs w:val="21"/>
        </w:rPr>
        <w:t xml:space="preserve">,</w:t>
      </w:r>
      <w:r>
        <w:rPr>
          <w:rFonts w:ascii="宋体" w:hAnsi="宋体"/>
          <w:szCs w:val="21"/>
        </w:rPr>
        <w:t xml:space="preserve">如采用联合体投标，根据联合体所有成员签订的“政府采购联合体投标协议书”相关约定</w:t>
      </w:r>
      <w:r>
        <w:rPr>
          <w:rFonts w:hint="eastAsia" w:ascii="宋体" w:hAnsi="宋体"/>
          <w:szCs w:val="21"/>
        </w:rPr>
        <w:t xml:space="preserve">。</w:t>
      </w:r>
      <w:r/>
    </w:p>
    <w:p>
      <w:pPr>
        <w:ind w:firstLine="420"/>
        <w:spacing w:line="360" w:lineRule="auto"/>
        <w:rPr>
          <w:rFonts w:hint="eastAsia" w:ascii="宋体" w:hAnsi="宋体"/>
        </w:rPr>
      </w:pPr>
      <w:r>
        <w:rPr>
          <w:rFonts w:hint="eastAsia" w:ascii="宋体" w:hAnsi="宋体"/>
          <w:szCs w:val="21"/>
          <w:highlight w:val="none"/>
        </w:rPr>
        <w:t xml:space="preserve">5.</w:t>
      </w:r>
      <w:r>
        <w:rPr>
          <w:rFonts w:hint="eastAsia" w:ascii="宋体" w:hAnsi="宋体"/>
          <w:szCs w:val="21"/>
        </w:rPr>
        <w:t xml:space="preserve">单位负责人为同一人或者存在直接控股、管理关系的不同投标人，不得参加同一合同项下的采购活动。</w:t>
      </w:r>
      <w:r>
        <w:rPr>
          <w:rFonts w:hint="eastAsia" w:ascii="宋体" w:hAnsi="宋体"/>
          <w:szCs w:val="21"/>
          <w:highlight w:val="none"/>
        </w:rPr>
      </w:r>
      <w:r/>
    </w:p>
    <w:p>
      <w:pPr>
        <w:ind w:firstLine="420"/>
        <w:spacing w:line="360" w:lineRule="auto"/>
        <w:rPr>
          <w:rFonts w:hint="eastAsia" w:ascii="宋体" w:hAnsi="宋体"/>
          <w:szCs w:val="21"/>
        </w:rPr>
      </w:pPr>
      <w:r>
        <w:rPr>
          <w:rFonts w:hint="eastAsia" w:ascii="宋体" w:hAnsi="宋体"/>
          <w:szCs w:val="21"/>
        </w:rPr>
        <w:t xml:space="preserve">（二）本项目的特定资格要求：</w:t>
      </w:r>
      <w:r/>
    </w:p>
    <w:p>
      <w:pPr>
        <w:ind w:firstLine="420"/>
        <w:spacing w:line="360" w:lineRule="auto"/>
        <w:rPr>
          <w:rFonts w:hint="eastAsia" w:ascii="宋体" w:hAnsi="宋体"/>
          <w:szCs w:val="21"/>
        </w:rPr>
      </w:pPr>
      <w:r>
        <w:rPr>
          <w:rFonts w:hint="eastAsia" w:ascii="宋体" w:hAnsi="宋体"/>
          <w:szCs w:val="21"/>
        </w:rPr>
        <w:t xml:space="preserve">1.投标人具有城乡规划编制甲级资质。</w:t>
      </w:r>
      <w:r/>
    </w:p>
    <w:p>
      <w:pPr>
        <w:ind w:firstLine="420"/>
        <w:spacing w:line="360" w:lineRule="auto"/>
        <w:rPr>
          <w:rFonts w:hint="eastAsia" w:ascii="宋体" w:hAnsi="宋体"/>
          <w:szCs w:val="21"/>
        </w:rPr>
      </w:pPr>
      <w:r>
        <w:rPr>
          <w:rFonts w:hint="eastAsia" w:ascii="宋体" w:hAnsi="宋体"/>
          <w:szCs w:val="21"/>
        </w:rPr>
        <w:t xml:space="preserve">2.拟派项目负责人具规划类专业高级及以上职称。</w:t>
      </w:r>
      <w:r>
        <w:rPr>
          <w:rFonts w:hint="eastAsia" w:ascii="宋体" w:hAnsi="宋体"/>
          <w:szCs w:val="21"/>
        </w:rPr>
      </w:r>
      <w:r/>
    </w:p>
    <w:p>
      <w:pPr>
        <w:ind w:firstLine="422"/>
        <w:spacing w:line="360" w:lineRule="auto"/>
        <w:rPr>
          <w:rFonts w:hint="eastAsia" w:ascii="宋体" w:hAnsi="宋体"/>
          <w:b/>
          <w:szCs w:val="21"/>
        </w:rPr>
      </w:pPr>
      <w:r>
        <w:rPr>
          <w:rFonts w:ascii="宋体" w:hAnsi="宋体"/>
          <w:b/>
          <w:szCs w:val="21"/>
        </w:rPr>
        <w:t xml:space="preserve">三、获取招标文件</w:t>
      </w:r>
      <w:r/>
    </w:p>
    <w:p>
      <w:pPr>
        <w:ind w:firstLine="420"/>
        <w:spacing w:line="360" w:lineRule="auto"/>
        <w:rPr>
          <w:rFonts w:hint="eastAsia" w:ascii="宋体" w:hAnsi="宋体"/>
          <w:szCs w:val="21"/>
        </w:rPr>
      </w:pPr>
      <w:r>
        <w:rPr>
          <w:rFonts w:hint="eastAsia" w:ascii="宋体" w:hAnsi="宋体"/>
          <w:szCs w:val="21"/>
        </w:rPr>
        <w:t xml:space="preserve">1.时间：自招标文件公告发布之日起5个工作日。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2.获取方式：</w:t>
      </w:r>
      <w:r/>
    </w:p>
    <w:p>
      <w:pPr>
        <w:ind w:firstLine="420"/>
        <w:spacing w:line="360" w:lineRule="auto"/>
        <w:rPr>
          <w:rFonts w:hint="eastAsia" w:ascii="宋体" w:hAnsi="宋体"/>
          <w:szCs w:val="21"/>
        </w:rPr>
      </w:pPr>
      <w:r>
        <w:rPr>
          <w:rFonts w:hint="eastAsia" w:ascii="宋体" w:hAnsi="宋体"/>
          <w:szCs w:val="21"/>
        </w:rPr>
        <w:t xml:space="preserve">地点：江苏政府采购网</w:t>
      </w:r>
      <w:r/>
    </w:p>
    <w:p>
      <w:pPr>
        <w:ind w:firstLine="420"/>
        <w:spacing w:line="360" w:lineRule="auto"/>
        <w:rPr>
          <w:rFonts w:hint="eastAsia" w:ascii="宋体" w:hAnsi="宋体"/>
          <w:szCs w:val="21"/>
        </w:rPr>
      </w:pPr>
      <w:r>
        <w:rPr>
          <w:rFonts w:hint="eastAsia" w:ascii="宋体" w:hAnsi="宋体"/>
          <w:szCs w:val="21"/>
        </w:rPr>
        <w:t xml:space="preserve">获取方式：本项目采用网上注册登记方式。</w:t>
      </w:r>
      <w:r/>
    </w:p>
    <w:p>
      <w:pPr>
        <w:ind w:firstLine="420"/>
        <w:spacing w:line="360" w:lineRule="auto"/>
        <w:rPr>
          <w:rFonts w:hint="eastAsia" w:ascii="宋体" w:hAnsi="宋体"/>
          <w:szCs w:val="21"/>
        </w:rPr>
      </w:pPr>
      <w:r>
        <w:rPr>
          <w:rFonts w:hint="eastAsia" w:ascii="宋体" w:hAnsi="宋体"/>
          <w:szCs w:val="21"/>
        </w:rPr>
        <w:t xml:space="preserve">2.1潜在投标人访问电子招标响应交易平台的网络地址和方法：</w:t>
      </w:r>
      <w:r/>
    </w:p>
    <w:p>
      <w:pPr>
        <w:ind w:firstLine="420"/>
        <w:spacing w:line="360" w:lineRule="auto"/>
        <w:rPr>
          <w:rFonts w:hint="eastAsia" w:ascii="宋体" w:hAnsi="宋体"/>
          <w:szCs w:val="21"/>
        </w:rPr>
      </w:pPr>
      <w:r>
        <w:rPr>
          <w:rFonts w:hint="eastAsia" w:ascii="宋体" w:hAnsi="宋体"/>
          <w:szCs w:val="21"/>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苏采云）供应商操作手册》。</w:t>
      </w:r>
      <w:r/>
    </w:p>
    <w:p>
      <w:pPr>
        <w:ind w:firstLine="420"/>
        <w:spacing w:line="360" w:lineRule="auto"/>
        <w:rPr>
          <w:rFonts w:hint="eastAsia" w:ascii="宋体" w:hAnsi="宋体"/>
          <w:szCs w:val="21"/>
        </w:rPr>
      </w:pPr>
      <w:r>
        <w:rPr>
          <w:rFonts w:hint="eastAsia" w:ascii="宋体" w:hAnsi="宋体"/>
          <w:szCs w:val="21"/>
        </w:rPr>
        <w:t xml:space="preserve">2.2潜在投标人访问“苏采云”系统的网络地址和方法：“苏采云”系统的网址：http://jszfcg.jsczt.cn/。</w:t>
      </w:r>
      <w:r/>
    </w:p>
    <w:p>
      <w:pPr>
        <w:ind w:firstLine="420"/>
        <w:spacing w:line="360" w:lineRule="auto"/>
        <w:rPr>
          <w:rFonts w:hint="eastAsia" w:ascii="宋体" w:hAnsi="宋体"/>
          <w:szCs w:val="21"/>
        </w:rPr>
      </w:pPr>
      <w:r>
        <w:rPr>
          <w:rFonts w:hint="eastAsia" w:ascii="宋体" w:hAnsi="宋体"/>
          <w:szCs w:val="21"/>
        </w:rPr>
        <w:t xml:space="preserve">2.3“CA数字证书”的获取：</w:t>
      </w:r>
      <w:r/>
    </w:p>
    <w:p>
      <w:pPr>
        <w:ind w:firstLine="420"/>
        <w:spacing w:line="360" w:lineRule="auto"/>
        <w:rPr>
          <w:rFonts w:hint="eastAsia" w:ascii="宋体" w:hAnsi="宋体"/>
          <w:szCs w:val="21"/>
        </w:rPr>
      </w:pPr>
      <w:r>
        <w:rPr>
          <w:rFonts w:hint="eastAsia" w:ascii="宋体" w:hAnsi="宋体"/>
          <w:szCs w:val="21"/>
        </w:rPr>
        <w:t xml:space="preserve">投标人需办理CA锁，“苏采云”系统目前仅支持国信CA，省内各地区办理的用于“苏采云”平台的国信CA全省通用。南通地区“CA数字证书”的办理：南通市政务中心四楼，电话：18951314963。</w:t>
      </w:r>
      <w:r/>
    </w:p>
    <w:p>
      <w:pPr>
        <w:ind w:firstLine="420"/>
        <w:spacing w:line="360" w:lineRule="auto"/>
        <w:rPr>
          <w:rFonts w:hint="eastAsia" w:ascii="宋体" w:hAnsi="宋体"/>
          <w:szCs w:val="21"/>
        </w:rPr>
      </w:pPr>
      <w:r>
        <w:rPr>
          <w:rFonts w:hint="eastAsia" w:ascii="宋体" w:hAnsi="宋体"/>
          <w:szCs w:val="21"/>
        </w:rPr>
        <w:t xml:space="preserve">2.4招标文件（后缀名为“.kedt”）、供应商操作手册及政府采购客户端工具可通过“苏采云”系统--已报名项目--报名详情页面内相应链接进行下载。</w:t>
      </w:r>
      <w:r/>
    </w:p>
    <w:p>
      <w:pPr>
        <w:ind w:firstLine="420"/>
        <w:spacing w:line="360" w:lineRule="auto"/>
        <w:rPr>
          <w:rFonts w:hint="eastAsia" w:ascii="宋体" w:hAnsi="宋体"/>
          <w:szCs w:val="21"/>
        </w:rPr>
      </w:pPr>
      <w:r>
        <w:rPr>
          <w:rFonts w:hint="eastAsia" w:ascii="宋体" w:hAnsi="宋体"/>
          <w:szCs w:val="21"/>
        </w:rPr>
        <w:t xml:space="preserve">2.5采购人或采购代理机构将数据电文形式的招标文件加载至“苏采云”系统，供潜在投标人下载或者查阅。</w:t>
      </w:r>
      <w:r/>
    </w:p>
    <w:p>
      <w:pPr>
        <w:ind w:firstLine="420"/>
        <w:spacing w:line="360" w:lineRule="auto"/>
        <w:rPr>
          <w:rFonts w:hint="eastAsia" w:ascii="宋体" w:hAnsi="宋体"/>
          <w:szCs w:val="21"/>
        </w:rPr>
      </w:pPr>
      <w:r>
        <w:rPr>
          <w:rFonts w:hint="eastAsia" w:ascii="宋体" w:hAnsi="宋体"/>
          <w:szCs w:val="21"/>
        </w:rPr>
        <w:t xml:space="preserve">2.6请潜在投标人提前安装相应的控件（详见《（苏采云）供应商操作手册》）并使用谷歌浏览器登录“苏采云”系统参与不见面开评标。</w:t>
      </w:r>
      <w:r/>
    </w:p>
    <w:p>
      <w:pPr>
        <w:ind w:firstLine="422"/>
        <w:spacing w:line="360" w:lineRule="auto"/>
        <w:rPr>
          <w:rFonts w:hint="eastAsia" w:ascii="宋体" w:hAnsi="宋体"/>
          <w:b/>
          <w:szCs w:val="21"/>
        </w:rPr>
      </w:pPr>
      <w:r>
        <w:rPr>
          <w:rFonts w:ascii="宋体" w:hAnsi="宋体"/>
          <w:b/>
          <w:szCs w:val="21"/>
        </w:rPr>
        <w:t xml:space="preserve">四、提交投标文件截止时间、开标时间和地点</w:t>
      </w:r>
      <w:r/>
    </w:p>
    <w:p>
      <w:pPr>
        <w:ind w:firstLine="420"/>
        <w:spacing w:line="360" w:lineRule="auto"/>
        <w:rPr>
          <w:rFonts w:hint="eastAsia" w:ascii="宋体" w:hAnsi="宋体"/>
          <w:bCs/>
          <w:szCs w:val="21"/>
        </w:rPr>
      </w:pPr>
      <w:r>
        <w:rPr>
          <w:rFonts w:hint="eastAsia" w:ascii="宋体" w:hAnsi="宋体"/>
          <w:bCs/>
          <w:szCs w:val="21"/>
        </w:rPr>
        <w:t xml:space="preserve">1.投标文件提交截止及开标时间：</w:t>
      </w:r>
      <w:r>
        <w:rPr>
          <w:rFonts w:hint="eastAsia" w:ascii="宋体" w:hAnsi="宋体"/>
          <w:b/>
          <w:szCs w:val="21"/>
        </w:rPr>
        <w:t xml:space="preserve">2026年</w:t>
      </w:r>
      <w:r>
        <w:rPr>
          <w:rFonts w:hint="eastAsia" w:ascii="宋体" w:hAnsi="宋体"/>
          <w:b/>
          <w:szCs w:val="21"/>
        </w:rPr>
        <w:t xml:space="preserve">6</w:t>
      </w:r>
      <w:r>
        <w:rPr>
          <w:rFonts w:hint="eastAsia" w:ascii="宋体" w:hAnsi="宋体"/>
          <w:b/>
          <w:szCs w:val="21"/>
        </w:rPr>
        <w:t xml:space="preserve">月</w:t>
      </w:r>
      <w:r>
        <w:rPr>
          <w:rFonts w:hint="eastAsia" w:ascii="宋体" w:hAnsi="宋体"/>
          <w:b/>
          <w:szCs w:val="21"/>
        </w:rPr>
        <w:t xml:space="preserve">10</w:t>
      </w:r>
      <w:r>
        <w:rPr>
          <w:rFonts w:hint="eastAsia" w:ascii="宋体" w:hAnsi="宋体"/>
          <w:b/>
          <w:szCs w:val="21"/>
        </w:rPr>
        <w:t xml:space="preserve">日9时</w:t>
      </w:r>
      <w:r>
        <w:rPr>
          <w:rFonts w:hint="eastAsia" w:ascii="宋体" w:hAnsi="宋体"/>
          <w:b/>
          <w:szCs w:val="21"/>
        </w:rPr>
        <w:t xml:space="preserve">0</w:t>
      </w:r>
      <w:r>
        <w:rPr>
          <w:rFonts w:hint="eastAsia" w:ascii="宋体" w:hAnsi="宋体"/>
          <w:b/>
          <w:szCs w:val="21"/>
        </w:rPr>
        <w:t xml:space="preserve">0分</w:t>
      </w:r>
      <w:r>
        <w:rPr>
          <w:rFonts w:hint="eastAsia" w:ascii="宋体" w:hAnsi="宋体"/>
          <w:bCs/>
          <w:szCs w:val="21"/>
        </w:rPr>
        <w:t xml:space="preserve">（北京时间）。</w:t>
      </w:r>
      <w:r/>
    </w:p>
    <w:p>
      <w:pPr>
        <w:ind w:firstLine="420"/>
        <w:spacing w:line="360" w:lineRule="auto"/>
        <w:rPr>
          <w:rFonts w:hint="eastAsia" w:ascii="宋体" w:hAnsi="宋体"/>
          <w:bCs/>
          <w:szCs w:val="21"/>
        </w:rPr>
      </w:pPr>
      <w:r>
        <w:rPr>
          <w:rFonts w:hint="eastAsia" w:ascii="宋体" w:hAnsi="宋体"/>
          <w:bCs/>
          <w:szCs w:val="21"/>
        </w:rPr>
        <w:t xml:space="preserve">逾时，“苏采云”系统将拒绝接受上传投标文件电子文档。</w:t>
      </w:r>
      <w:r/>
    </w:p>
    <w:p>
      <w:pPr>
        <w:ind w:firstLine="420"/>
        <w:spacing w:line="360" w:lineRule="auto"/>
        <w:rPr>
          <w:rFonts w:hint="eastAsia" w:ascii="宋体" w:hAnsi="宋体"/>
          <w:bCs/>
          <w:szCs w:val="21"/>
        </w:rPr>
      </w:pPr>
      <w:r>
        <w:rPr>
          <w:rFonts w:hint="eastAsia" w:ascii="宋体" w:hAnsi="宋体"/>
          <w:bCs/>
          <w:szCs w:val="21"/>
        </w:rPr>
        <w:t xml:space="preserve">2.地点：“苏采云”系统（网址：http://jszfcg.jsczt.cn/）“开标大厅”。</w:t>
      </w:r>
      <w:r/>
    </w:p>
    <w:p>
      <w:pPr>
        <w:ind w:firstLine="422"/>
        <w:spacing w:line="360" w:lineRule="auto"/>
        <w:rPr>
          <w:rFonts w:hint="eastAsia" w:ascii="宋体" w:hAnsi="宋体"/>
          <w:b/>
          <w:szCs w:val="21"/>
        </w:rPr>
      </w:pPr>
      <w:r>
        <w:rPr>
          <w:rFonts w:ascii="宋体" w:hAnsi="宋体"/>
          <w:b/>
          <w:szCs w:val="21"/>
        </w:rPr>
        <w:t xml:space="preserve">五、公告期限</w:t>
      </w:r>
      <w:r/>
    </w:p>
    <w:p>
      <w:pPr>
        <w:ind w:firstLine="420"/>
        <w:spacing w:line="360" w:lineRule="auto"/>
        <w:rPr>
          <w:rFonts w:hint="eastAsia" w:ascii="宋体" w:hAnsi="宋体"/>
          <w:bCs/>
          <w:szCs w:val="21"/>
        </w:rPr>
      </w:pPr>
      <w:r>
        <w:rPr>
          <w:rFonts w:hint="eastAsia" w:ascii="宋体" w:hAnsi="宋体"/>
          <w:bCs/>
          <w:szCs w:val="21"/>
        </w:rPr>
        <w:t xml:space="preserve">招标公告及招标文件公告期限为自本公告发布之日起5个工作日。</w:t>
      </w:r>
      <w:r/>
    </w:p>
    <w:p>
      <w:pPr>
        <w:ind w:firstLine="422"/>
        <w:spacing w:line="360" w:lineRule="auto"/>
        <w:rPr>
          <w:rFonts w:hint="eastAsia" w:ascii="宋体" w:hAnsi="宋体"/>
          <w:b/>
          <w:szCs w:val="21"/>
        </w:rPr>
      </w:pPr>
      <w:r>
        <w:rPr>
          <w:rFonts w:ascii="宋体" w:hAnsi="宋体"/>
          <w:b/>
          <w:szCs w:val="21"/>
        </w:rPr>
        <w:t xml:space="preserve">六、其他补充事宜</w:t>
      </w:r>
      <w:r/>
    </w:p>
    <w:p>
      <w:pPr>
        <w:ind w:firstLine="420"/>
        <w:spacing w:line="360" w:lineRule="auto"/>
        <w:rPr>
          <w:rFonts w:hint="eastAsia" w:ascii="宋体" w:hAnsi="宋体" w:cs="宋体"/>
          <w:szCs w:val="21"/>
        </w:rPr>
      </w:pPr>
      <w:r>
        <w:rPr>
          <w:rFonts w:hint="eastAsia" w:ascii="宋体" w:hAnsi="宋体" w:cs="宋体"/>
          <w:szCs w:val="21"/>
        </w:rPr>
        <w:t xml:space="preserve">1.投标保证金：免收</w:t>
      </w:r>
      <w:r/>
    </w:p>
    <w:p>
      <w:pPr>
        <w:ind w:firstLine="420"/>
        <w:spacing w:line="360" w:lineRule="auto"/>
        <w:rPr>
          <w:rFonts w:hint="eastAsia" w:ascii="宋体" w:hAnsi="宋体" w:cs="宋体"/>
          <w:b/>
          <w:szCs w:val="21"/>
        </w:rPr>
      </w:pPr>
      <w:r>
        <w:rPr>
          <w:rFonts w:hint="eastAsia" w:ascii="宋体" w:hAnsi="宋体" w:cs="宋体"/>
          <w:szCs w:val="21"/>
        </w:rPr>
        <w:t xml:space="preserve">2.履约保证金：免收</w:t>
      </w:r>
      <w:r/>
    </w:p>
    <w:p>
      <w:pPr>
        <w:ind w:firstLine="422"/>
        <w:spacing w:line="360" w:lineRule="auto"/>
        <w:rPr>
          <w:rFonts w:hint="eastAsia" w:ascii="宋体" w:hAnsi="宋体"/>
          <w:b/>
          <w:szCs w:val="21"/>
        </w:rPr>
      </w:pPr>
      <w:r>
        <w:rPr>
          <w:rFonts w:ascii="宋体" w:hAnsi="宋体"/>
          <w:b/>
          <w:szCs w:val="21"/>
        </w:rPr>
        <w:t xml:space="preserve">七、对本次招标提出询问，请按以下方式联系。</w:t>
      </w:r>
      <w:r/>
    </w:p>
    <w:p>
      <w:pPr>
        <w:ind w:firstLine="420"/>
        <w:spacing w:line="360" w:lineRule="auto"/>
        <w:rPr>
          <w:rFonts w:hint="eastAsia" w:ascii="宋体" w:hAnsi="宋体" w:cs="宋体"/>
          <w:szCs w:val="21"/>
        </w:rPr>
      </w:pPr>
      <w:r>
        <w:rPr>
          <w:rFonts w:hint="eastAsia" w:ascii="宋体" w:hAnsi="宋体" w:cs="宋体"/>
          <w:szCs w:val="21"/>
        </w:rPr>
        <w:t xml:space="preserve">1.采购单位信息：</w:t>
      </w:r>
      <w:r/>
    </w:p>
    <w:p>
      <w:pPr>
        <w:ind w:firstLine="420"/>
        <w:spacing w:line="360" w:lineRule="auto"/>
        <w:rPr>
          <w:rFonts w:hint="eastAsia" w:ascii="宋体" w:hAnsi="宋体" w:cs="宋体"/>
          <w:szCs w:val="21"/>
        </w:rPr>
      </w:pPr>
      <w:r>
        <w:rPr>
          <w:rFonts w:hint="eastAsia" w:ascii="宋体" w:hAnsi="宋体" w:cs="宋体"/>
          <w:szCs w:val="21"/>
        </w:rPr>
        <w:t xml:space="preserve">名称：南通市自然资源和规划局通州湾示范区分局</w:t>
      </w:r>
      <w:r/>
    </w:p>
    <w:p>
      <w:pPr>
        <w:ind w:firstLine="420"/>
        <w:spacing w:line="360" w:lineRule="auto"/>
        <w:rPr>
          <w:rFonts w:hint="eastAsia" w:ascii="宋体" w:hAnsi="宋体" w:cs="宋体"/>
          <w:szCs w:val="21"/>
        </w:rPr>
      </w:pPr>
      <w:r>
        <w:rPr>
          <w:rFonts w:hint="eastAsia" w:ascii="宋体" w:hAnsi="宋体" w:cs="宋体"/>
          <w:szCs w:val="21"/>
        </w:rPr>
        <w:t xml:space="preserve">地址：通州湾示范区社会管理服务中心六楼</w:t>
      </w:r>
      <w:r/>
    </w:p>
    <w:p>
      <w:pPr>
        <w:ind w:firstLine="420"/>
        <w:spacing w:line="360" w:lineRule="auto"/>
        <w:rPr>
          <w:rFonts w:hint="eastAsia" w:ascii="宋体" w:hAnsi="宋体" w:cs="宋体"/>
          <w:szCs w:val="21"/>
        </w:rPr>
      </w:pPr>
      <w:r>
        <w:rPr>
          <w:rFonts w:hint="eastAsia" w:ascii="宋体" w:hAnsi="宋体" w:cs="宋体"/>
          <w:szCs w:val="21"/>
        </w:rPr>
        <w:t xml:space="preserve">联系人：李先生</w:t>
      </w:r>
      <w:r/>
    </w:p>
    <w:p>
      <w:pPr>
        <w:ind w:firstLine="420"/>
        <w:spacing w:line="360" w:lineRule="auto"/>
        <w:rPr>
          <w:rFonts w:hint="eastAsia" w:ascii="宋体" w:hAnsi="宋体" w:cs="宋体"/>
          <w:szCs w:val="21"/>
        </w:rPr>
      </w:pPr>
      <w:r>
        <w:rPr>
          <w:rFonts w:hint="eastAsia" w:ascii="宋体" w:hAnsi="宋体" w:cs="宋体"/>
          <w:szCs w:val="21"/>
        </w:rPr>
        <w:t xml:space="preserve">联系电话：18115813867</w:t>
      </w:r>
      <w:r/>
    </w:p>
    <w:p>
      <w:pPr>
        <w:ind w:firstLine="420"/>
        <w:spacing w:line="360" w:lineRule="auto"/>
        <w:rPr>
          <w:rFonts w:hint="eastAsia" w:ascii="宋体" w:hAnsi="宋体" w:cs="宋体"/>
          <w:szCs w:val="21"/>
        </w:rPr>
      </w:pP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2.采购代理机构信息：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名称：</w:t>
      </w:r>
      <w:r>
        <w:rPr>
          <w:rFonts w:ascii="宋体" w:hAnsi="宋体" w:cs="宋体"/>
          <w:szCs w:val="21"/>
        </w:rPr>
        <w:t xml:space="preserve">江苏方硕项目管理有限公司</w:t>
      </w:r>
      <w:r/>
    </w:p>
    <w:p>
      <w:pPr>
        <w:ind w:firstLine="420"/>
        <w:spacing w:line="360" w:lineRule="auto"/>
        <w:rPr>
          <w:rFonts w:hint="eastAsia" w:ascii="宋体" w:hAnsi="宋体" w:cs="宋体"/>
          <w:szCs w:val="21"/>
        </w:rPr>
      </w:pPr>
      <w:r>
        <w:rPr>
          <w:rFonts w:hint="eastAsia" w:ascii="宋体" w:hAnsi="宋体" w:cs="宋体"/>
          <w:szCs w:val="21"/>
        </w:rPr>
        <w:t xml:space="preserve">地址：</w:t>
      </w:r>
      <w:r>
        <w:rPr>
          <w:rFonts w:ascii="宋体" w:hAnsi="宋体" w:cs="宋体"/>
          <w:szCs w:val="21"/>
        </w:rPr>
        <w:t xml:space="preserve">南通高新技术开发区国盛义乌城22幢360室</w:t>
      </w:r>
      <w:r/>
    </w:p>
    <w:p>
      <w:pPr>
        <w:ind w:firstLine="420"/>
        <w:spacing w:line="360" w:lineRule="auto"/>
        <w:rPr>
          <w:rFonts w:hint="eastAsia" w:ascii="宋体" w:hAnsi="宋体" w:cs="宋体"/>
          <w:szCs w:val="21"/>
        </w:rPr>
      </w:pPr>
      <w:r>
        <w:rPr>
          <w:rFonts w:hint="eastAsia" w:ascii="宋体" w:hAnsi="宋体" w:cs="宋体"/>
          <w:szCs w:val="21"/>
        </w:rPr>
        <w:t xml:space="preserve">联系人：</w:t>
      </w:r>
      <w:r>
        <w:rPr>
          <w:rFonts w:ascii="宋体" w:hAnsi="宋体" w:cs="宋体"/>
          <w:szCs w:val="21"/>
        </w:rPr>
        <w:t xml:space="preserve">陆工</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rPr>
          <w:rFonts w:ascii="宋体" w:hAnsi="宋体" w:cs="宋体"/>
          <w:szCs w:val="21"/>
        </w:rPr>
        <w:t xml:space="preserve">17706294321</w:t>
      </w:r>
      <w:r/>
    </w:p>
    <w:p>
      <w:pPr>
        <w:ind w:firstLine="420"/>
        <w:spacing w:line="360" w:lineRule="auto"/>
        <w:rPr>
          <w:rFonts w:hint="eastAsia" w:ascii="宋体" w:hAnsi="宋体" w:cs="宋体"/>
          <w:szCs w:val="21"/>
        </w:rPr>
      </w:pPr>
      <w:r>
        <w:rPr>
          <w:rFonts w:hint="eastAsia" w:ascii="宋体" w:hAnsi="宋体" w:cs="宋体"/>
          <w:szCs w:val="21"/>
        </w:rPr>
        <w:t xml:space="preserve">3.软件技术支持：</w:t>
      </w:r>
      <w:r>
        <w:rPr>
          <w:rFonts w:ascii="宋体" w:hAnsi="宋体" w:cs="宋体"/>
          <w:szCs w:val="21"/>
        </w:rPr>
        <w:t xml:space="preserve">0519-86722806</w:t>
      </w:r>
      <w:r/>
    </w:p>
    <w:p>
      <w:pPr>
        <w:pStyle w:val="765"/>
      </w:pPr>
      <w:r/>
      <w:r/>
    </w:p>
    <w:p>
      <w:r/>
      <w:r/>
    </w:p>
    <w:p>
      <w:pPr>
        <w:pStyle w:val="765"/>
      </w:pPr>
      <w:r/>
      <w:r/>
    </w:p>
    <w:p>
      <w:r/>
      <w:r/>
    </w:p>
    <w:p>
      <w:pPr>
        <w:pStyle w:val="765"/>
      </w:pPr>
      <w:r/>
      <w:bookmarkEnd w:id="3"/>
      <w:r/>
      <w:r/>
    </w:p>
    <w:p>
      <w:pPr>
        <w:rPr>
          <w:rFonts w:hint="eastAsia" w:ascii="宋体" w:hAnsi="宋体"/>
          <w:bCs/>
          <w:sz w:val="36"/>
          <w:szCs w:val="36"/>
        </w:rPr>
      </w:pPr>
      <w:r>
        <w:rPr>
          <w:rFonts w:hint="eastAsia" w:ascii="宋体" w:hAnsi="宋体"/>
          <w:bCs/>
          <w:sz w:val="36"/>
          <w:szCs w:val="36"/>
        </w:rPr>
        <w:br w:type="page" w:clear="all"/>
      </w:r>
      <w:r/>
    </w:p>
    <w:p>
      <w:pPr>
        <w:jc w:val="center"/>
        <w:spacing w:line="500" w:lineRule="exact"/>
        <w:rPr>
          <w:rFonts w:hint="eastAsia" w:ascii="宋体" w:hAnsi="宋体"/>
          <w:bCs/>
          <w:sz w:val="36"/>
          <w:szCs w:val="36"/>
        </w:rPr>
        <w:outlineLvl w:val="0"/>
      </w:pPr>
      <w:r>
        <w:rPr>
          <w:rFonts w:hint="eastAsia" w:ascii="宋体" w:hAnsi="宋体"/>
          <w:bCs/>
          <w:sz w:val="36"/>
          <w:szCs w:val="36"/>
        </w:rPr>
        <w:t xml:space="preserve">第二部分  投标须知</w:t>
      </w:r>
      <w:r/>
    </w:p>
    <w:p>
      <w:pPr>
        <w:pStyle w:val="749"/>
        <w:ind w:firstLine="422"/>
        <w:spacing w:before="0" w:after="0" w:line="360" w:lineRule="auto"/>
        <w:rPr>
          <w:rFonts w:hint="eastAsia" w:asciiTheme="minorEastAsia" w:hAnsiTheme="minorEastAsia" w:eastAsiaTheme="minorEastAsia" w:cstheme="minorEastAsia"/>
          <w:sz w:val="21"/>
          <w:szCs w:val="21"/>
        </w:rPr>
      </w:pPr>
      <w:r/>
      <w:bookmarkStart w:id="4" w:name="_Toc120614214"/>
      <w:r/>
      <w:bookmarkStart w:id="5" w:name="_Toc513029203"/>
      <w:r/>
      <w:bookmarkStart w:id="6" w:name="_Toc20823275"/>
      <w:r/>
      <w:bookmarkStart w:id="7" w:name="_Toc16938519"/>
      <w:r>
        <w:rPr>
          <w:rFonts w:hint="eastAsia" w:asciiTheme="minorEastAsia" w:hAnsiTheme="minorEastAsia" w:eastAsiaTheme="minorEastAsia" w:cstheme="minorEastAsia"/>
          <w:sz w:val="21"/>
          <w:szCs w:val="21"/>
        </w:rPr>
        <w:t xml:space="preserve">（一）总则</w:t>
      </w:r>
      <w:bookmarkEnd w:id="4"/>
      <w:r/>
      <w:bookmarkEnd w:id="5"/>
      <w:r/>
      <w:bookmarkEnd w:id="6"/>
      <w:r/>
      <w:bookmarkEnd w:id="7"/>
      <w:r/>
      <w:r/>
    </w:p>
    <w:p>
      <w:pPr>
        <w:pStyle w:val="750"/>
        <w:ind w:firstLine="420"/>
        <w:jc w:val="both"/>
        <w:spacing w:line="360" w:lineRule="auto"/>
        <w:rPr>
          <w:rFonts w:hint="eastAsia" w:asciiTheme="minorEastAsia" w:hAnsiTheme="minorEastAsia" w:eastAsiaTheme="minorEastAsia" w:cstheme="minorEastAsia"/>
          <w:b/>
          <w:bCs/>
          <w:sz w:val="21"/>
        </w:rPr>
      </w:pPr>
      <w:r/>
      <w:bookmarkStart w:id="8" w:name="_Hlt16619475"/>
      <w:r/>
      <w:bookmarkStart w:id="9" w:name="_Toc458694821"/>
      <w:r/>
      <w:bookmarkStart w:id="10" w:name="_Toc513029204"/>
      <w:r/>
      <w:bookmarkStart w:id="11" w:name="_Toc20823276"/>
      <w:r/>
      <w:bookmarkStart w:id="12" w:name="_Toc16938520"/>
      <w:r/>
      <w:bookmarkEnd w:id="8"/>
      <w:r>
        <w:rPr>
          <w:rFonts w:hint="eastAsia" w:asciiTheme="minorEastAsia" w:hAnsiTheme="minorEastAsia" w:eastAsiaTheme="minorEastAsia" w:cstheme="minorEastAsia"/>
          <w:sz w:val="21"/>
        </w:rPr>
        <w:t xml:space="preserve">1</w:t>
      </w:r>
      <w:bookmarkEnd w:id="9"/>
      <w:r>
        <w:rPr>
          <w:rFonts w:hint="eastAsia" w:asciiTheme="minorEastAsia" w:hAnsiTheme="minorEastAsia" w:eastAsiaTheme="minorEastAsia" w:cstheme="minorEastAsia"/>
          <w:sz w:val="21"/>
        </w:rPr>
        <w:t xml:space="preserve">.招标方式</w:t>
      </w:r>
      <w:bookmarkEnd w:id="10"/>
      <w:r/>
      <w:bookmarkEnd w:id="11"/>
      <w:r/>
      <w:bookmarkEnd w:id="12"/>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1.1本次招标采取公开招标方式，本招标文件仅适用于招标公告中所述项目。</w:t>
      </w:r>
      <w:r/>
    </w:p>
    <w:p>
      <w:pPr>
        <w:pStyle w:val="750"/>
        <w:ind w:firstLine="420"/>
        <w:jc w:val="both"/>
        <w:spacing w:line="360" w:lineRule="auto"/>
        <w:rPr>
          <w:rFonts w:hint="eastAsia" w:asciiTheme="minorEastAsia" w:hAnsiTheme="minorEastAsia" w:eastAsiaTheme="minorEastAsia" w:cstheme="minorEastAsia"/>
          <w:b/>
          <w:bCs/>
          <w:sz w:val="21"/>
        </w:rPr>
      </w:pPr>
      <w:r/>
      <w:bookmarkStart w:id="13" w:name="_Toc513029205"/>
      <w:r/>
      <w:bookmarkStart w:id="14" w:name="_Toc20823277"/>
      <w:r/>
      <w:bookmarkStart w:id="15" w:name="_Toc16938521"/>
      <w:r>
        <w:rPr>
          <w:rFonts w:hint="eastAsia" w:asciiTheme="minorEastAsia" w:hAnsiTheme="minorEastAsia" w:eastAsiaTheme="minorEastAsia" w:cstheme="minorEastAsia"/>
          <w:sz w:val="21"/>
        </w:rPr>
        <w:t xml:space="preserve">2.合格的</w:t>
      </w:r>
      <w:bookmarkEnd w:id="13"/>
      <w:r/>
      <w:bookmarkEnd w:id="14"/>
      <w:r/>
      <w:bookmarkEnd w:id="15"/>
      <w:r>
        <w:rPr>
          <w:rFonts w:hint="eastAsia" w:asciiTheme="minorEastAsia" w:hAnsiTheme="minorEastAsia" w:eastAsiaTheme="minorEastAsia" w:cstheme="minorEastAsia"/>
          <w:sz w:val="21"/>
        </w:rPr>
        <w:t xml:space="preserve">投标人</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2.1满足招标公告中投标人的资格要求的规定。</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2.2满足本文件实质性条款的规定。</w:t>
      </w:r>
      <w:r/>
    </w:p>
    <w:p>
      <w:pPr>
        <w:pStyle w:val="750"/>
        <w:ind w:firstLine="420"/>
        <w:jc w:val="both"/>
        <w:spacing w:line="360" w:lineRule="auto"/>
        <w:rPr>
          <w:rFonts w:hint="eastAsia" w:asciiTheme="minorEastAsia" w:hAnsiTheme="minorEastAsia" w:eastAsiaTheme="minorEastAsia" w:cstheme="minorEastAsia"/>
          <w:b/>
          <w:bCs/>
          <w:sz w:val="21"/>
        </w:rPr>
      </w:pPr>
      <w:r/>
      <w:bookmarkStart w:id="16" w:name="_Toc20823278"/>
      <w:r/>
      <w:bookmarkStart w:id="17" w:name="_Toc513029206"/>
      <w:r/>
      <w:bookmarkStart w:id="18" w:name="_Toc16938522"/>
      <w:r>
        <w:rPr>
          <w:rFonts w:hint="eastAsia" w:asciiTheme="minorEastAsia" w:hAnsiTheme="minorEastAsia" w:eastAsiaTheme="minorEastAsia" w:cstheme="minorEastAsia"/>
          <w:sz w:val="21"/>
        </w:rPr>
        <w:t xml:space="preserve">3.适用法律</w:t>
      </w:r>
      <w:bookmarkEnd w:id="16"/>
      <w:r/>
      <w:bookmarkEnd w:id="17"/>
      <w:r/>
      <w:bookmarkEnd w:id="18"/>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3.1本次招标及由此产生的合同受中华人民共和国有关的法律法规制约和保护。</w:t>
      </w:r>
      <w:r/>
    </w:p>
    <w:p>
      <w:pPr>
        <w:pStyle w:val="750"/>
        <w:ind w:firstLine="420"/>
        <w:jc w:val="both"/>
        <w:spacing w:line="360" w:lineRule="auto"/>
        <w:rPr>
          <w:rFonts w:hint="eastAsia" w:asciiTheme="minorEastAsia" w:hAnsiTheme="minorEastAsia" w:eastAsiaTheme="minorEastAsia" w:cstheme="minorEastAsia"/>
          <w:b/>
          <w:bCs/>
          <w:sz w:val="21"/>
        </w:rPr>
      </w:pPr>
      <w:r/>
      <w:bookmarkStart w:id="19" w:name="_Toc462564067"/>
      <w:r/>
      <w:bookmarkStart w:id="20" w:name="_Toc16938523"/>
      <w:r/>
      <w:bookmarkStart w:id="21" w:name="_Toc20823279"/>
      <w:r/>
      <w:bookmarkStart w:id="22" w:name="_Toc513029207"/>
      <w:r>
        <w:rPr>
          <w:rFonts w:hint="eastAsia" w:asciiTheme="minorEastAsia" w:hAnsiTheme="minorEastAsia" w:eastAsiaTheme="minorEastAsia" w:cstheme="minorEastAsia"/>
          <w:sz w:val="21"/>
        </w:rPr>
        <w:t xml:space="preserve">4.投标费用</w:t>
      </w:r>
      <w:bookmarkEnd w:id="19"/>
      <w:r/>
      <w:bookmarkEnd w:id="20"/>
      <w:r/>
      <w:bookmarkEnd w:id="21"/>
      <w:r/>
      <w:bookmarkEnd w:id="22"/>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4.1投标人应自行承担所有与参加投标有关的费用，无论招标过程中的做法和结果如何，采购人在任何情况下均无义务和责任承担这些费用。</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4.2本项目采购代理费按15000元计取，由中标人在领取中标通知书前支付，本项目采购代理费用由投标人综合考虑在投标报价内（不得单列）。</w:t>
      </w:r>
      <w:r/>
    </w:p>
    <w:p>
      <w:pPr>
        <w:pStyle w:val="750"/>
        <w:ind w:firstLine="420"/>
        <w:jc w:val="both"/>
        <w:spacing w:line="360" w:lineRule="auto"/>
        <w:rPr>
          <w:rFonts w:hint="eastAsia" w:asciiTheme="minorEastAsia" w:hAnsiTheme="minorEastAsia" w:eastAsiaTheme="minorEastAsia" w:cstheme="minorEastAsia"/>
          <w:b/>
          <w:bCs/>
          <w:sz w:val="21"/>
        </w:rPr>
      </w:pPr>
      <w:r>
        <w:rPr>
          <w:rFonts w:hint="eastAsia" w:asciiTheme="minorEastAsia" w:hAnsiTheme="minorEastAsia" w:eastAsiaTheme="minorEastAsia" w:cstheme="minorEastAsia"/>
          <w:sz w:val="21"/>
        </w:rPr>
        <w:t xml:space="preserve">5.招标文件的约束力</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5.1</w:t>
      </w:r>
      <w:r>
        <w:rPr>
          <w:rFonts w:hint="eastAsia" w:asciiTheme="minorEastAsia" w:hAnsiTheme="minorEastAsia" w:eastAsiaTheme="minorEastAsia" w:cstheme="minorEastAsia"/>
          <w:szCs w:val="21"/>
        </w:rPr>
        <w:t xml:space="preserve">投标人一旦参加本项目采购活动，即被认为接受了本招标文件的规定和约束。</w:t>
      </w:r>
      <w:r/>
    </w:p>
    <w:p>
      <w:pPr>
        <w:pStyle w:val="750"/>
        <w:ind w:firstLine="420"/>
        <w:jc w:val="both"/>
        <w:spacing w:line="36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6.招标文件的解释</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6.1</w:t>
      </w:r>
      <w:r>
        <w:rPr>
          <w:rFonts w:hint="eastAsia" w:asciiTheme="minorEastAsia" w:hAnsiTheme="minorEastAsia" w:eastAsiaTheme="minorEastAsia" w:cstheme="minorEastAsia"/>
          <w:szCs w:val="21"/>
        </w:rPr>
        <w:t xml:space="preserve">招标文件需求部分（投标人资格要求、项目需求、商务技术评分标准）由采购人解释，其它部分由采购代理机构解释。</w:t>
      </w:r>
      <w:r/>
    </w:p>
    <w:p>
      <w:pPr>
        <w:pStyle w:val="749"/>
        <w:ind w:firstLine="422"/>
        <w:spacing w:before="0" w:after="0" w:line="360" w:lineRule="auto"/>
        <w:rPr>
          <w:rFonts w:hint="eastAsia" w:asciiTheme="minorEastAsia" w:hAnsiTheme="minorEastAsia" w:eastAsiaTheme="minorEastAsia" w:cstheme="minorEastAsia"/>
          <w:sz w:val="21"/>
          <w:szCs w:val="21"/>
        </w:rPr>
      </w:pPr>
      <w:r/>
      <w:bookmarkStart w:id="23" w:name="_Toc120614215"/>
      <w:r/>
      <w:bookmarkStart w:id="24" w:name="_Toc20823281"/>
      <w:r/>
      <w:bookmarkStart w:id="25" w:name="_Toc513029209"/>
      <w:r/>
      <w:bookmarkStart w:id="26" w:name="_Toc16938525"/>
      <w:r>
        <w:rPr>
          <w:rFonts w:hint="eastAsia" w:asciiTheme="minorEastAsia" w:hAnsiTheme="minorEastAsia" w:eastAsiaTheme="minorEastAsia" w:cstheme="minorEastAsia"/>
          <w:sz w:val="21"/>
          <w:szCs w:val="21"/>
        </w:rPr>
        <w:t xml:space="preserve">（二）招标文件</w:t>
      </w:r>
      <w:bookmarkEnd w:id="23"/>
      <w:r/>
      <w:bookmarkEnd w:id="24"/>
      <w:r/>
      <w:bookmarkEnd w:id="25"/>
      <w:r/>
      <w:bookmarkEnd w:id="26"/>
      <w:r/>
      <w:r/>
    </w:p>
    <w:p>
      <w:pPr>
        <w:pStyle w:val="750"/>
        <w:ind w:firstLine="420"/>
        <w:jc w:val="both"/>
        <w:spacing w:line="360" w:lineRule="auto"/>
        <w:rPr>
          <w:rFonts w:hint="eastAsia" w:asciiTheme="minorEastAsia" w:hAnsiTheme="minorEastAsia" w:eastAsiaTheme="minorEastAsia" w:cstheme="minorEastAsia"/>
          <w:b/>
          <w:bCs/>
          <w:sz w:val="21"/>
        </w:rPr>
      </w:pPr>
      <w:r/>
      <w:bookmarkStart w:id="27" w:name="_Toc20823282"/>
      <w:r/>
      <w:bookmarkStart w:id="28" w:name="_Toc513029210"/>
      <w:r/>
      <w:bookmarkStart w:id="29" w:name="_Toc16938526"/>
      <w:r>
        <w:rPr>
          <w:rFonts w:hint="eastAsia" w:asciiTheme="minorEastAsia" w:hAnsiTheme="minorEastAsia" w:eastAsiaTheme="minorEastAsia" w:cstheme="minorEastAsia"/>
          <w:sz w:val="21"/>
        </w:rPr>
        <w:t xml:space="preserve">1.招标文件构成</w:t>
      </w:r>
      <w:bookmarkEnd w:id="27"/>
      <w:r/>
      <w:bookmarkEnd w:id="28"/>
      <w:r/>
      <w:bookmarkEnd w:id="29"/>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1.1</w:t>
      </w:r>
      <w:r>
        <w:rPr>
          <w:rFonts w:hint="eastAsia" w:asciiTheme="minorEastAsia" w:hAnsiTheme="minorEastAsia" w:eastAsiaTheme="minorEastAsia" w:cstheme="minorEastAsia"/>
          <w:szCs w:val="21"/>
        </w:rPr>
        <w:t xml:space="preserve">招标文件由以下部分组成：</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（1）投标邀请</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（2）投标须知</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（3）项目需求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（4）评标方法与评标标准</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（5）合同格式</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（6）投标文件组成</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（7）附件（如有）</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请仔细检查招标文件是否齐全，如有缺漏请立即与采购人或采购代理机构联系解决。</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1.2</w:t>
      </w:r>
      <w:r>
        <w:rPr>
          <w:rFonts w:hint="eastAsia" w:asciiTheme="minorEastAsia" w:hAnsiTheme="minorEastAsia" w:eastAsiaTheme="minorEastAsia" w:cstheme="minorEastAsia"/>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30" w:name="_Toc513029211"/>
      <w:r/>
      <w:bookmarkStart w:id="31" w:name="_Toc20823283"/>
      <w:r/>
      <w:bookmarkStart w:id="32" w:name="_Toc16938527"/>
      <w:r/>
      <w:bookmarkStart w:id="33" w:name="_Toc462564070"/>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2.招标文件的澄清</w:t>
      </w:r>
      <w:bookmarkEnd w:id="30"/>
      <w:r/>
      <w:bookmarkEnd w:id="31"/>
      <w:r/>
      <w:bookmarkEnd w:id="32"/>
      <w:r/>
      <w:bookmarkEnd w:id="33"/>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2.1</w:t>
      </w:r>
      <w:r>
        <w:rPr>
          <w:rFonts w:hint="eastAsia" w:asciiTheme="minorEastAsia" w:hAnsiTheme="minorEastAsia" w:eastAsiaTheme="minorEastAsia" w:cstheme="minorEastAsia"/>
          <w:szCs w:val="21"/>
        </w:rPr>
        <w:t xml:space="preserve">任何要求对招标文件进行澄清的投标人，应在投标截止期十日前按招标公告中的通讯地址，以书面形式通知采购人。采购人有权对发出的招标文件进行必要的澄清或修改。</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2.2采购人视情组织答疑会</w:t>
      </w:r>
      <w:r/>
    </w:p>
    <w:p>
      <w:pPr>
        <w:pStyle w:val="750"/>
        <w:ind w:firstLine="420"/>
        <w:jc w:val="both"/>
        <w:spacing w:line="360" w:lineRule="auto"/>
        <w:rPr>
          <w:rFonts w:hint="eastAsia" w:asciiTheme="minorEastAsia" w:hAnsiTheme="minorEastAsia" w:eastAsiaTheme="minorEastAsia" w:cstheme="minorEastAsia"/>
          <w:b/>
          <w:bCs/>
          <w:sz w:val="21"/>
        </w:rPr>
      </w:pPr>
      <w:r/>
      <w:bookmarkStart w:id="34" w:name="_Toc462564071"/>
      <w:r/>
      <w:bookmarkStart w:id="35" w:name="_Toc513029212"/>
      <w:r/>
      <w:bookmarkStart w:id="36" w:name="_Toc20823284"/>
      <w:r/>
      <w:bookmarkStart w:id="37" w:name="_Toc16938528"/>
      <w:r>
        <w:rPr>
          <w:rFonts w:hint="eastAsia" w:asciiTheme="minorEastAsia" w:hAnsiTheme="minorEastAsia" w:eastAsiaTheme="minorEastAsia" w:cstheme="minorEastAsia"/>
          <w:sz w:val="21"/>
        </w:rPr>
        <w:t xml:space="preserve">3.招标文件的修改</w:t>
      </w:r>
      <w:bookmarkEnd w:id="34"/>
      <w:r/>
      <w:bookmarkEnd w:id="35"/>
      <w:r/>
      <w:bookmarkEnd w:id="36"/>
      <w:r/>
      <w:bookmarkEnd w:id="37"/>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3.1</w:t>
      </w:r>
      <w:r>
        <w:rPr>
          <w:rFonts w:hint="eastAsia" w:asciiTheme="minorEastAsia" w:hAnsiTheme="minorEastAsia" w:eastAsiaTheme="minorEastAsia" w:cstheme="minorEastAsia"/>
          <w:szCs w:val="21"/>
        </w:rPr>
        <w:t xml:space="preserve">在投标截止时间前，采购人或采购代理机构可以对招标文件进行修改。</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3.2</w:t>
      </w:r>
      <w:r>
        <w:rPr>
          <w:rFonts w:hint="eastAsia" w:asciiTheme="minorEastAsia" w:hAnsiTheme="minorEastAsia" w:eastAsiaTheme="minorEastAsia" w:cstheme="minorEastAsia"/>
          <w:szCs w:val="21"/>
        </w:rPr>
        <w:t xml:space="preserve">采购人或采购代理机构有权按照法定的要求推迟投标截止日期和开标日期。</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3.3</w:t>
      </w:r>
      <w:r>
        <w:rPr>
          <w:rFonts w:hint="eastAsia" w:asciiTheme="minorEastAsia" w:hAnsiTheme="minorEastAsia" w:eastAsiaTheme="minorEastAsia" w:cstheme="minorEastAsia"/>
          <w:szCs w:val="21"/>
        </w:rPr>
        <w:t xml:space="preserve">招标文件的修改将在江苏政府采购网公布，补充文件将作为招标文件的组成部分，并对投标人具有约束力。</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在投标响应截止日期前，采购人对招标文件进行澄清或者修改的，通过“苏采云”系统发布澄清公告或者修改的内容。澄清或者修改的内容以所发布的本项目的“更正（澄清）公告”的形式通知所有获取招标文件的投标人。发布本项目的“更正（澄清）公告”后采购代理机构已尽通知义务。敬请各潜投标人关注本项目的“更正（澄清）公告”，并通过“苏采云”系统重新下载更正（澄清）后的招标文件（后缀名为“.kedt”），离线编制投标文件，否则，将自行承担相应的风险。</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5.投标人对采购人提供的招标文件所做出的推论、解释和结论，采购人概不负责。投标人由于对招标文件的任何推论和误解以及采购人对有关问题的口头解释所造成的后果，均由各潜在投标人自负。</w:t>
      </w:r>
      <w:r/>
    </w:p>
    <w:p>
      <w:pPr>
        <w:pStyle w:val="749"/>
        <w:ind w:firstLine="422"/>
        <w:spacing w:before="0" w:after="0" w:line="360" w:lineRule="auto"/>
        <w:rPr>
          <w:rFonts w:hint="eastAsia" w:asciiTheme="minorEastAsia" w:hAnsiTheme="minorEastAsia" w:eastAsiaTheme="minorEastAsia" w:cstheme="minorEastAsia"/>
          <w:sz w:val="21"/>
          <w:szCs w:val="21"/>
        </w:rPr>
      </w:pPr>
      <w:r/>
      <w:bookmarkStart w:id="38" w:name="_Toc20823285"/>
      <w:r/>
      <w:bookmarkStart w:id="39" w:name="_Toc513029213"/>
      <w:r/>
      <w:bookmarkStart w:id="40" w:name="_Toc120614216"/>
      <w:r/>
      <w:bookmarkStart w:id="41" w:name="_Toc16938529"/>
      <w:r/>
      <w:bookmarkStart w:id="42" w:name="_Toc462564072"/>
      <w:r>
        <w:rPr>
          <w:rFonts w:hint="eastAsia" w:asciiTheme="minorEastAsia" w:hAnsiTheme="minorEastAsia" w:eastAsiaTheme="minorEastAsia" w:cstheme="minorEastAsia"/>
          <w:sz w:val="21"/>
          <w:szCs w:val="21"/>
        </w:rPr>
        <w:t xml:space="preserve">（三）投标文件的编制</w:t>
      </w:r>
      <w:bookmarkEnd w:id="38"/>
      <w:r/>
      <w:bookmarkEnd w:id="39"/>
      <w:r/>
      <w:bookmarkEnd w:id="40"/>
      <w:r/>
      <w:bookmarkEnd w:id="41"/>
      <w:r/>
      <w:bookmarkEnd w:id="42"/>
      <w:r/>
      <w:r/>
    </w:p>
    <w:p>
      <w:pPr>
        <w:pStyle w:val="750"/>
        <w:ind w:firstLine="420"/>
        <w:jc w:val="both"/>
        <w:spacing w:line="360" w:lineRule="auto"/>
        <w:rPr>
          <w:rFonts w:hint="eastAsia" w:asciiTheme="minorEastAsia" w:hAnsiTheme="minorEastAsia" w:eastAsiaTheme="minorEastAsia" w:cstheme="minorEastAsia"/>
          <w:bCs/>
          <w:sz w:val="21"/>
        </w:rPr>
      </w:pPr>
      <w:r/>
      <w:bookmarkStart w:id="43" w:name="_Toc16938530"/>
      <w:r/>
      <w:bookmarkStart w:id="44" w:name="_Toc20823286"/>
      <w:r/>
      <w:bookmarkStart w:id="45" w:name="_Toc462564073"/>
      <w:r/>
      <w:bookmarkStart w:id="46" w:name="_Toc513029214"/>
      <w:r>
        <w:rPr>
          <w:rFonts w:hint="eastAsia" w:asciiTheme="minorEastAsia" w:hAnsiTheme="minorEastAsia" w:eastAsiaTheme="minorEastAsia" w:cstheme="minorEastAsia"/>
          <w:sz w:val="21"/>
        </w:rPr>
        <w:t xml:space="preserve">1.投标文件的语言及度量衡单位</w:t>
      </w:r>
      <w:bookmarkEnd w:id="43"/>
      <w:r/>
      <w:bookmarkEnd w:id="44"/>
      <w:r/>
      <w:bookmarkEnd w:id="45"/>
      <w:r/>
      <w:bookmarkEnd w:id="46"/>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1.1投标人提交的投标文件以及投标人与采购人或采购代理机构就有关投标的所有来往通知、函件和文件均应使用简体中文。</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1.2除技术性能另有规定外，投标文件所使用的度量衡单位，均须采用国家法定计量单位。</w:t>
      </w:r>
      <w:r/>
    </w:p>
    <w:p>
      <w:pPr>
        <w:pStyle w:val="750"/>
        <w:ind w:firstLine="420"/>
        <w:jc w:val="both"/>
        <w:spacing w:line="360" w:lineRule="auto"/>
        <w:rPr>
          <w:rFonts w:hint="eastAsia" w:asciiTheme="minorEastAsia" w:hAnsiTheme="minorEastAsia" w:eastAsiaTheme="minorEastAsia" w:cstheme="minorEastAsia"/>
          <w:b/>
          <w:bCs/>
          <w:sz w:val="21"/>
        </w:rPr>
      </w:pPr>
      <w:r/>
      <w:bookmarkStart w:id="47" w:name="_Toc16938531"/>
      <w:r/>
      <w:bookmarkStart w:id="48" w:name="_Toc513029215"/>
      <w:r/>
      <w:bookmarkStart w:id="49" w:name="_Toc20823287"/>
      <w:r/>
      <w:bookmarkStart w:id="50" w:name="_Toc462564074"/>
      <w:r>
        <w:rPr>
          <w:rFonts w:hint="eastAsia" w:asciiTheme="minorEastAsia" w:hAnsiTheme="minorEastAsia" w:eastAsiaTheme="minorEastAsia" w:cstheme="minorEastAsia"/>
          <w:sz w:val="21"/>
        </w:rPr>
        <w:t xml:space="preserve">2.投标文件构成</w:t>
      </w:r>
      <w:bookmarkEnd w:id="47"/>
      <w:r/>
      <w:bookmarkEnd w:id="48"/>
      <w:r/>
      <w:bookmarkEnd w:id="49"/>
      <w:r/>
      <w:bookmarkEnd w:id="50"/>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2.1投标人编写的投标文件</w:t>
      </w:r>
      <w:r>
        <w:rPr>
          <w:rFonts w:hint="eastAsia" w:asciiTheme="minorEastAsia" w:hAnsiTheme="minorEastAsia" w:eastAsiaTheme="minorEastAsia" w:cstheme="minorEastAsia"/>
          <w:bCs/>
          <w:szCs w:val="21"/>
        </w:rPr>
        <w:t xml:space="preserve">详见招标文件第六部分投标文件的组成</w:t>
      </w:r>
      <w:r>
        <w:rPr>
          <w:rFonts w:hint="eastAsia" w:asciiTheme="minorEastAsia" w:hAnsiTheme="minorEastAsia" w:eastAsiaTheme="minorEastAsia" w:cstheme="minorEastAsia"/>
          <w:bCs/>
          <w:szCs w:val="21"/>
        </w:rPr>
        <w:t xml:space="preserve">。</w:t>
      </w:r>
      <w:r/>
    </w:p>
    <w:p>
      <w:pPr>
        <w:ind w:firstLine="420"/>
        <w:spacing w:line="360" w:lineRule="auto"/>
        <w:rPr>
          <w:rFonts w:hint="eastAsia" w:asciiTheme="minorEastAsia" w:hAnsiTheme="minorEastAsia" w:eastAsiaTheme="minorEastAsia" w:cstheme="minorEastAsia"/>
          <w:bCs/>
          <w:szCs w:val="21"/>
        </w:rPr>
      </w:pPr>
      <w:r/>
      <w:bookmarkStart w:id="51" w:name="_Hlt26954838"/>
      <w:r/>
      <w:bookmarkStart w:id="52" w:name="_Hlt26668975"/>
      <w:r/>
      <w:bookmarkStart w:id="53" w:name="_Hlt26670360"/>
      <w:r/>
      <w:bookmarkStart w:id="54" w:name="_Toc14577360"/>
      <w:r/>
      <w:bookmarkStart w:id="55" w:name="_Toc49090511"/>
      <w:r/>
      <w:bookmarkEnd w:id="51"/>
      <w:r/>
      <w:bookmarkEnd w:id="52"/>
      <w:r/>
      <w:bookmarkEnd w:id="53"/>
      <w:r>
        <w:rPr>
          <w:rFonts w:hint="eastAsia" w:asciiTheme="minorEastAsia" w:hAnsiTheme="minorEastAsia" w:eastAsiaTheme="minorEastAsia" w:cstheme="minorEastAsia"/>
          <w:bCs/>
          <w:szCs w:val="21"/>
        </w:rPr>
        <w:t xml:space="preserve">2.2如标书制作工具中格式和内容与“江苏政府采购网”发布的招标文件不一致，请以“江苏政府采购网”发布的招标文件为准。</w:t>
      </w:r>
      <w:bookmarkStart w:id="56" w:name="_Toc49090509"/>
      <w:r/>
      <w:bookmarkStart w:id="57" w:name="_Toc14577354"/>
      <w:r/>
      <w:bookmarkStart w:id="58" w:name="_Toc14577357"/>
      <w:r/>
      <w:bookmarkStart w:id="59" w:name="_Toc513029219"/>
      <w:r/>
      <w:bookmarkStart w:id="60" w:name="_Toc513029216"/>
      <w:r/>
      <w:bookmarkStart w:id="61" w:name="_Toc49090507"/>
      <w:r/>
      <w:bookmarkStart w:id="62" w:name="_Toc14577355"/>
      <w:r/>
      <w:bookmarkStart w:id="63" w:name="_Toc49090508"/>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3.证明投标人及投标标的符合招标文件规定的文件</w:t>
      </w:r>
      <w:bookmarkEnd w:id="56"/>
      <w:r/>
      <w:bookmarkEnd w:id="57"/>
      <w:r/>
      <w:bookmarkEnd w:id="58"/>
      <w:r/>
      <w:bookmarkEnd w:id="59"/>
      <w:r/>
      <w:bookmarkEnd w:id="60"/>
      <w:r/>
      <w:bookmarkEnd w:id="61"/>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3.1投标人应按照法律、法规、规章和规范性文件以及招标文件要求提交证明文件，证明其及投标标的符合招标文件规定。</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3.2招标文件对证明文件无明确形式要求的，证明文件可以以文字资料、图纸和数据等形式提交。</w:t>
      </w:r>
      <w:bookmarkEnd w:id="62"/>
      <w:r/>
      <w:bookmarkEnd w:id="63"/>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4.投标分项报价表</w:t>
      </w:r>
      <w:r/>
    </w:p>
    <w:p>
      <w:pPr>
        <w:ind w:left="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4.1投标人应按照招标文件规定格式填报投标分项报价表。</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4.2投标货币。投标文件中的单价和总价无特殊规定的采用人民币报价，以元为单位标注。招标文件中另有规定的按规定执行。</w:t>
      </w:r>
      <w:bookmarkStart w:id="64" w:name="_Hlt26954846"/>
      <w:r/>
      <w:bookmarkStart w:id="65" w:name="_Hlt26670486"/>
      <w:r/>
      <w:bookmarkStart w:id="66" w:name="_Hlt26670482"/>
      <w:r/>
      <w:bookmarkStart w:id="67" w:name="_Hlt26954731"/>
      <w:r/>
      <w:bookmarkStart w:id="68" w:name="_Hlt26954848"/>
      <w:r/>
      <w:bookmarkEnd w:id="64"/>
      <w:r/>
      <w:bookmarkEnd w:id="65"/>
      <w:r/>
      <w:bookmarkEnd w:id="66"/>
      <w:r/>
      <w:bookmarkEnd w:id="67"/>
      <w:r/>
      <w:bookmarkEnd w:id="68"/>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5.技术要求响应及偏离表、商务要求响应及偏离表</w:t>
      </w:r>
      <w:r/>
    </w:p>
    <w:p>
      <w:pPr>
        <w:ind w:firstLine="420"/>
        <w:spacing w:line="360" w:lineRule="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lang w:val="zh-CN"/>
        </w:rPr>
        <w:t xml:space="preserve">.1投标</w:t>
      </w:r>
      <w:r>
        <w:rPr>
          <w:rFonts w:hint="eastAsia" w:asciiTheme="minorEastAsia" w:hAnsiTheme="minorEastAsia" w:eastAsiaTheme="minorEastAsia" w:cstheme="minorEastAsia"/>
          <w:szCs w:val="21"/>
        </w:rPr>
        <w:t xml:space="preserve">人</w:t>
      </w:r>
      <w:r>
        <w:rPr>
          <w:rFonts w:hint="eastAsia" w:asciiTheme="minorEastAsia" w:hAnsiTheme="minorEastAsia" w:eastAsiaTheme="minorEastAsia" w:cstheme="minorEastAsia"/>
          <w:szCs w:val="21"/>
          <w:lang w:val="zh-CN"/>
        </w:rPr>
        <w:t xml:space="preserve">需对招标文件中的技术要求与商务要求逐项作出响应或偏离，并说明原因。</w:t>
      </w:r>
      <w:r/>
    </w:p>
    <w:p>
      <w:pPr>
        <w:ind w:firstLine="420"/>
        <w:spacing w:line="360" w:lineRule="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lang w:val="zh-CN"/>
        </w:rPr>
        <w:t xml:space="preserve">.2投标人可在投标文件中提供认为需要的其他技术文件或说明。</w:t>
      </w:r>
      <w:r/>
    </w:p>
    <w:p>
      <w:pPr>
        <w:pStyle w:val="750"/>
        <w:ind w:firstLine="420"/>
        <w:jc w:val="both"/>
        <w:spacing w:line="360" w:lineRule="auto"/>
        <w:rPr>
          <w:rFonts w:hint="eastAsia" w:asciiTheme="minorEastAsia" w:hAnsiTheme="minorEastAsia" w:eastAsiaTheme="minorEastAsia" w:cstheme="minorEastAsia"/>
          <w:sz w:val="21"/>
        </w:rPr>
      </w:pPr>
      <w:r/>
      <w:bookmarkStart w:id="69" w:name="_Toc49090510"/>
      <w:r/>
      <w:bookmarkStart w:id="70" w:name="_Toc14577359"/>
      <w:r>
        <w:rPr>
          <w:rFonts w:hint="eastAsia" w:asciiTheme="minorEastAsia" w:hAnsiTheme="minorEastAsia" w:eastAsiaTheme="minorEastAsia" w:cstheme="minorEastAsia"/>
          <w:sz w:val="21"/>
        </w:rPr>
        <w:t xml:space="preserve">6.投标函和开标一览表</w:t>
      </w:r>
      <w:r/>
    </w:p>
    <w:p>
      <w:pPr>
        <w:pStyle w:val="750"/>
        <w:ind w:firstLine="420"/>
        <w:jc w:val="both"/>
        <w:spacing w:line="36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6.1投标人应按照招标文件中提供的格式完整、正确填写投标函、开标一览表。</w:t>
      </w:r>
      <w:r/>
    </w:p>
    <w:p>
      <w:pPr>
        <w:pStyle w:val="750"/>
        <w:ind w:firstLine="420"/>
        <w:jc w:val="both"/>
        <w:spacing w:line="36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6.2对于采用货币报价的项目，开标一览表中的投标总报价应与投标分项报价表中的投标总报价一致，如不一致，不作为无效投标处理，但评标时按开标一览表中价格为准。</w:t>
      </w:r>
      <w:bookmarkEnd w:id="69"/>
      <w:r/>
      <w:bookmarkEnd w:id="70"/>
      <w:r/>
      <w:r/>
    </w:p>
    <w:p>
      <w:pPr>
        <w:pStyle w:val="750"/>
        <w:ind w:firstLine="420"/>
        <w:jc w:val="both"/>
        <w:spacing w:line="360" w:lineRule="auto"/>
        <w:rPr>
          <w:rFonts w:hint="eastAsia" w:asciiTheme="minorEastAsia" w:hAnsiTheme="minorEastAsia" w:eastAsiaTheme="minorEastAsia" w:cstheme="minorEastAsia"/>
          <w:b/>
          <w:bCs/>
          <w:sz w:val="21"/>
        </w:rPr>
      </w:pPr>
      <w:r>
        <w:rPr>
          <w:rFonts w:hint="eastAsia" w:asciiTheme="minorEastAsia" w:hAnsiTheme="minorEastAsia" w:eastAsiaTheme="minorEastAsia" w:cstheme="minorEastAsia"/>
          <w:sz w:val="21"/>
        </w:rPr>
        <w:t xml:space="preserve">7.投标有效期</w:t>
      </w:r>
      <w:bookmarkEnd w:id="54"/>
      <w:r/>
      <w:bookmarkEnd w:id="55"/>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7.1投标有效期为采购人规定的开标之日后</w:t>
      </w:r>
      <w:r>
        <w:rPr>
          <w:rFonts w:hint="eastAsia" w:asciiTheme="minorEastAsia" w:hAnsiTheme="minorEastAsia" w:eastAsiaTheme="minorEastAsia" w:cstheme="minorEastAsia"/>
          <w:b/>
          <w:szCs w:val="21"/>
          <w:u w:val="single"/>
        </w:rPr>
        <w:t xml:space="preserve">六十（60）天</w:t>
      </w:r>
      <w:r>
        <w:rPr>
          <w:rFonts w:hint="eastAsia" w:asciiTheme="minorEastAsia" w:hAnsiTheme="minorEastAsia" w:eastAsiaTheme="minorEastAsia" w:cstheme="minorEastAsia"/>
          <w:bCs/>
          <w:szCs w:val="21"/>
        </w:rPr>
        <w:t xml:space="preserve">。投标有效期比规定短的将被视为非响应性投标而予以拒绝。</w:t>
      </w:r>
      <w:r/>
    </w:p>
    <w:p>
      <w:pPr>
        <w:pStyle w:val="750"/>
        <w:ind w:firstLine="420"/>
        <w:jc w:val="both"/>
        <w:spacing w:line="360" w:lineRule="auto"/>
        <w:rPr>
          <w:rFonts w:hint="eastAsia" w:asciiTheme="minorEastAsia" w:hAnsiTheme="minorEastAsia" w:eastAsiaTheme="minorEastAsia" w:cstheme="minorEastAsia"/>
          <w:b/>
          <w:bCs/>
          <w:sz w:val="21"/>
        </w:rPr>
      </w:pPr>
      <w:r>
        <w:rPr>
          <w:rFonts w:hint="eastAsia" w:asciiTheme="minorEastAsia" w:hAnsiTheme="minorEastAsia" w:eastAsiaTheme="minorEastAsia" w:cstheme="minorEastAsia"/>
          <w:sz w:val="21"/>
        </w:rPr>
        <w:t xml:space="preserve">8.投标有效期的延长</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8.1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w:t>
      </w:r>
      <w:r>
        <w:rPr>
          <w:rFonts w:hint="eastAsia" w:asciiTheme="minorEastAsia" w:hAnsiTheme="minorEastAsia" w:eastAsiaTheme="minorEastAsia" w:cstheme="minorEastAsia"/>
          <w:szCs w:val="21"/>
        </w:rPr>
        <w:t xml:space="preserve">受投标有效期约束的所有权利与义务均延长至新的有效期</w:t>
      </w:r>
      <w:r>
        <w:rPr>
          <w:rFonts w:hint="eastAsia" w:asciiTheme="minorEastAsia" w:hAnsiTheme="minorEastAsia" w:eastAsiaTheme="minorEastAsia" w:cstheme="minorEastAsia"/>
          <w:bCs/>
          <w:szCs w:val="21"/>
        </w:rPr>
        <w:t xml:space="preserve">。</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9.电子投标文件其他要求</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9.1电子招标投标交易平台（即“苏采云”系统）相关要求是本招标文件的组成部分。</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9.2投标人应对CA证书妥善保管，如被他人盗用投标，因此带来的结果均由投标人自行承担。</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9.3投标人应当对招标文件提出的实质性要求和条件作出实质性响应，并在电子投标系统逐条应答。</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9.4投标人应对要求提供的资格证明文件（如资质证书、资格证书）、技术资料（如白皮书、彩页、手册、检测报告等）扫描上传至投标系统。 </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10.投标人应当在招标文件要求提交投标文件的截止时间前，将投标文件提交至“苏采云”系统，逾期提交的投标文件，“苏采云”系统将自动拒收。各投标人应在规定时间内凭CA证书进行网上解密。</w:t>
      </w:r>
      <w:r/>
    </w:p>
    <w:p>
      <w:pPr>
        <w:pStyle w:val="749"/>
        <w:ind w:firstLine="422"/>
        <w:spacing w:before="0" w:after="0" w:line="360" w:lineRule="auto"/>
        <w:rPr>
          <w:rFonts w:hint="eastAsia" w:asciiTheme="minorEastAsia" w:hAnsiTheme="minorEastAsia" w:eastAsiaTheme="minorEastAsia" w:cstheme="minorEastAsia"/>
          <w:sz w:val="21"/>
          <w:szCs w:val="21"/>
        </w:rPr>
      </w:pPr>
      <w:r/>
      <w:bookmarkStart w:id="71" w:name="_Hlt26954739"/>
      <w:r/>
      <w:bookmarkStart w:id="72" w:name="_Hlt26954852"/>
      <w:r/>
      <w:bookmarkStart w:id="73" w:name="_Toc120614217"/>
      <w:r/>
      <w:bookmarkStart w:id="74" w:name="_Toc16938540"/>
      <w:r/>
      <w:bookmarkStart w:id="75" w:name="_Toc20823296"/>
      <w:r/>
      <w:bookmarkStart w:id="76" w:name="_Toc513029224"/>
      <w:r/>
      <w:bookmarkEnd w:id="71"/>
      <w:r/>
      <w:bookmarkEnd w:id="72"/>
      <w:r>
        <w:rPr>
          <w:rFonts w:hint="eastAsia" w:asciiTheme="minorEastAsia" w:hAnsiTheme="minorEastAsia" w:eastAsiaTheme="minorEastAsia" w:cstheme="minorEastAsia"/>
          <w:sz w:val="21"/>
          <w:szCs w:val="21"/>
        </w:rPr>
        <w:t xml:space="preserve">（四）投标文件的递交</w:t>
      </w:r>
      <w:bookmarkEnd w:id="73"/>
      <w:r/>
      <w:bookmarkEnd w:id="74"/>
      <w:r/>
      <w:bookmarkEnd w:id="75"/>
      <w:r/>
      <w:bookmarkEnd w:id="76"/>
      <w:r/>
      <w:r/>
    </w:p>
    <w:p>
      <w:pPr>
        <w:pStyle w:val="750"/>
        <w:ind w:firstLine="420"/>
        <w:jc w:val="both"/>
        <w:spacing w:line="360" w:lineRule="auto"/>
        <w:rPr>
          <w:rFonts w:hint="eastAsia" w:asciiTheme="minorEastAsia" w:hAnsiTheme="minorEastAsia" w:eastAsiaTheme="minorEastAsia" w:cstheme="minorEastAsia"/>
          <w:b/>
          <w:bCs/>
          <w:sz w:val="21"/>
        </w:rPr>
      </w:pPr>
      <w:r/>
      <w:bookmarkStart w:id="77" w:name="_Toc462564084"/>
      <w:r/>
      <w:bookmarkStart w:id="78" w:name="_Toc16938541"/>
      <w:r/>
      <w:bookmarkStart w:id="79" w:name="_Toc20823297"/>
      <w:r/>
      <w:bookmarkStart w:id="80" w:name="_Toc513029225"/>
      <w:r>
        <w:rPr>
          <w:rFonts w:hint="eastAsia" w:asciiTheme="minorEastAsia" w:hAnsiTheme="minorEastAsia" w:eastAsiaTheme="minorEastAsia" w:cstheme="minorEastAsia"/>
          <w:sz w:val="21"/>
        </w:rPr>
        <w:t xml:space="preserve">1.投标文件</w:t>
      </w:r>
      <w:bookmarkEnd w:id="77"/>
      <w:r/>
      <w:bookmarkEnd w:id="78"/>
      <w:r/>
      <w:bookmarkEnd w:id="79"/>
      <w:r/>
      <w:bookmarkEnd w:id="80"/>
      <w:r>
        <w:rPr>
          <w:rFonts w:hint="eastAsia" w:asciiTheme="minorEastAsia" w:hAnsiTheme="minorEastAsia" w:eastAsiaTheme="minorEastAsia" w:cstheme="minorEastAsia"/>
          <w:sz w:val="21"/>
        </w:rPr>
        <w:t xml:space="preserve">的递交</w:t>
      </w:r>
      <w:r/>
    </w:p>
    <w:p>
      <w:pPr>
        <w:ind w:firstLine="420"/>
        <w:spacing w:line="360" w:lineRule="auto"/>
        <w:rPr>
          <w:rFonts w:hint="eastAsia" w:asciiTheme="minorEastAsia" w:hAnsiTheme="minorEastAsia" w:eastAsiaTheme="minorEastAsia" w:cstheme="minorEastAsia"/>
          <w:bCs/>
          <w:szCs w:val="21"/>
        </w:rPr>
      </w:pPr>
      <w:r/>
      <w:bookmarkStart w:id="81" w:name="_Toc16938542"/>
      <w:r/>
      <w:bookmarkStart w:id="82" w:name="_Toc513029226"/>
      <w:r/>
      <w:bookmarkStart w:id="83" w:name="_Toc20823298"/>
      <w:r>
        <w:rPr>
          <w:rFonts w:hint="eastAsia" w:asciiTheme="minorEastAsia" w:hAnsiTheme="minorEastAsia" w:eastAsiaTheme="minorEastAsia" w:cstheme="minorEastAsia"/>
          <w:bCs/>
          <w:szCs w:val="21"/>
        </w:rPr>
        <w:t xml:space="preserve">1.1线上提交与接收地点：投标人应当通过“苏采云”系统提交数据电文形式的投标文件（即电子投标），“苏采云”系统自动接收。</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420"/>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 xml:space="preserve">2.投标截止日期</w:t>
      </w:r>
      <w:bookmarkEnd w:id="81"/>
      <w:r/>
      <w:bookmarkEnd w:id="82"/>
      <w:r/>
      <w:bookmarkEnd w:id="83"/>
      <w:r/>
      <w:r/>
    </w:p>
    <w:p>
      <w:pPr>
        <w:ind w:firstLine="422"/>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2.1 投标人上传电子投标文件的时间不得迟于招标公告中规定的投标截止时间。</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2.2采购人或采购代理机构</w:t>
      </w:r>
      <w:r>
        <w:rPr>
          <w:rFonts w:hint="eastAsia" w:asciiTheme="minorEastAsia" w:hAnsiTheme="minorEastAsia" w:eastAsiaTheme="minorEastAsia" w:cstheme="minorEastAsia"/>
          <w:bCs/>
          <w:szCs w:val="21"/>
        </w:rPr>
        <w:t xml:space="preserve">可以按照规定，通过修改招标文件酌情延长投标截止日期，在此情况下，投标人的所有权利和义务以及投标人受制的截止日期均应以延长后新的截止日期为准。</w:t>
      </w:r>
      <w:bookmarkStart w:id="84" w:name="_Toc16938543"/>
      <w:r/>
      <w:bookmarkStart w:id="85" w:name="_Toc20823299"/>
      <w:r/>
      <w:bookmarkStart w:id="86" w:name="_Toc513029227"/>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3.投标文件的密封（加密）要求：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3.2投标人须通过“苏采云”系统提供的政府采购客户端工具（使用“CA数字证书”）加盖电子签章。</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说明：投标人应在用CA数字证书以及自备的能够登录“苏采云”系统的电脑，在达到开标时间后，使用CA数字证书解密各自投标文件。</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3.3投标人未按规定加密的投标文件，“苏采云”系统应当拒收并提示。</w:t>
      </w:r>
      <w:r/>
    </w:p>
    <w:p>
      <w:pPr>
        <w:ind w:firstLine="420"/>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4.投标文件</w:t>
      </w:r>
      <w:bookmarkEnd w:id="84"/>
      <w:r/>
      <w:bookmarkEnd w:id="85"/>
      <w:r/>
      <w:bookmarkEnd w:id="86"/>
      <w:r>
        <w:rPr>
          <w:rFonts w:hint="eastAsia" w:asciiTheme="minorEastAsia" w:hAnsiTheme="minorEastAsia" w:eastAsiaTheme="minorEastAsia" w:cstheme="minorEastAsia"/>
          <w:szCs w:val="21"/>
        </w:rPr>
        <w:t xml:space="preserve">的拒收</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4.1采购人或采购代理机构拒绝接收在其规定的投标截止时间后上传的任何投标文件。</w:t>
      </w:r>
      <w:r/>
    </w:p>
    <w:p>
      <w:pPr>
        <w:pStyle w:val="750"/>
        <w:ind w:firstLine="420"/>
        <w:jc w:val="both"/>
        <w:spacing w:line="360" w:lineRule="auto"/>
        <w:rPr>
          <w:rFonts w:hint="eastAsia" w:asciiTheme="minorEastAsia" w:hAnsiTheme="minorEastAsia" w:eastAsiaTheme="minorEastAsia" w:cstheme="minorEastAsia"/>
          <w:b/>
          <w:bCs/>
          <w:sz w:val="21"/>
        </w:rPr>
      </w:pPr>
      <w:r/>
      <w:bookmarkStart w:id="87" w:name="_Toc513029228"/>
      <w:r/>
      <w:bookmarkStart w:id="88" w:name="_Toc20823300"/>
      <w:r/>
      <w:bookmarkStart w:id="89" w:name="_Toc16938544"/>
      <w:r>
        <w:rPr>
          <w:rFonts w:hint="eastAsia" w:asciiTheme="minorEastAsia" w:hAnsiTheme="minorEastAsia" w:eastAsiaTheme="minorEastAsia" w:cstheme="minorEastAsia"/>
          <w:sz w:val="21"/>
        </w:rPr>
        <w:t xml:space="preserve">5.投标文件的撤回和修改</w:t>
      </w:r>
      <w:bookmarkEnd w:id="87"/>
      <w:r/>
      <w:bookmarkEnd w:id="88"/>
      <w:r/>
      <w:bookmarkEnd w:id="89"/>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5.1投标文件的撤回</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5.1.1电子投标文件的撤回</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投标人可在投标截止时间前，撤回其电子投标文件，具体操作方法见《操作手册》，可至江苏省政府采购网—办事指南-资料下载中心下载。</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5.1.2投标人撤回电子投标文件，则认为其不再参与本项目投标活动。</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5.2投标文件的修改</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投标人可在投标截止时间前，对其电子投标文件进行修改，</w:t>
      </w:r>
      <w:r>
        <w:rPr>
          <w:rFonts w:hint="eastAsia" w:asciiTheme="minorEastAsia" w:hAnsiTheme="minorEastAsia" w:eastAsiaTheme="minorEastAsia" w:cstheme="minorEastAsia"/>
          <w:szCs w:val="21"/>
        </w:rPr>
        <w:t xml:space="preserve">具体操作方法见《操作手册》。</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5.3</w:t>
      </w:r>
      <w:r>
        <w:rPr>
          <w:rFonts w:hint="eastAsia" w:asciiTheme="minorEastAsia" w:hAnsiTheme="minorEastAsia" w:eastAsiaTheme="minorEastAsia" w:cstheme="minorEastAsia"/>
          <w:bCs/>
          <w:szCs w:val="21"/>
        </w:rPr>
        <w:t xml:space="preserve">在投标截止时间之后，投标人不得对其电子投标文件作任何修改。</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5.4</w:t>
      </w:r>
      <w:r>
        <w:rPr>
          <w:rFonts w:hint="eastAsia" w:asciiTheme="minorEastAsia" w:hAnsiTheme="minorEastAsia" w:eastAsiaTheme="minorEastAsia" w:cstheme="minorEastAsia"/>
          <w:bCs/>
          <w:szCs w:val="21"/>
        </w:rPr>
        <w:t xml:space="preserve">在投标截止时间至招标文件中规定的投标有效期满之间的这段时间内，投标人不得撤回其投标。</w:t>
      </w:r>
      <w:r/>
    </w:p>
    <w:p>
      <w:pPr>
        <w:pStyle w:val="749"/>
        <w:ind w:firstLine="422"/>
        <w:spacing w:before="0" w:after="0" w:line="360" w:lineRule="auto"/>
        <w:rPr>
          <w:rFonts w:hint="eastAsia" w:asciiTheme="minorEastAsia" w:hAnsiTheme="minorEastAsia" w:eastAsiaTheme="minorEastAsia" w:cstheme="minorEastAsia"/>
          <w:sz w:val="21"/>
          <w:szCs w:val="21"/>
        </w:rPr>
      </w:pPr>
      <w:r/>
      <w:bookmarkStart w:id="90" w:name="_Toc120614218"/>
      <w:r/>
      <w:bookmarkStart w:id="91" w:name="_Toc20823301"/>
      <w:r/>
      <w:bookmarkStart w:id="92" w:name="_Toc16938545"/>
      <w:r/>
      <w:bookmarkStart w:id="93" w:name="_Toc513029229"/>
      <w:r>
        <w:rPr>
          <w:rFonts w:hint="eastAsia" w:asciiTheme="minorEastAsia" w:hAnsiTheme="minorEastAsia" w:eastAsiaTheme="minorEastAsia" w:cstheme="minorEastAsia"/>
          <w:sz w:val="21"/>
          <w:szCs w:val="21"/>
        </w:rPr>
        <w:t xml:space="preserve">（五）开标与评标</w:t>
      </w:r>
      <w:bookmarkEnd w:id="90"/>
      <w:r/>
      <w:bookmarkEnd w:id="91"/>
      <w:r/>
      <w:bookmarkEnd w:id="92"/>
      <w:r/>
      <w:bookmarkEnd w:id="93"/>
      <w:r/>
      <w:r/>
    </w:p>
    <w:p>
      <w:pPr>
        <w:pStyle w:val="750"/>
        <w:ind w:firstLine="420"/>
        <w:jc w:val="both"/>
        <w:spacing w:line="360" w:lineRule="auto"/>
        <w:rPr>
          <w:rFonts w:hint="eastAsia" w:asciiTheme="minorEastAsia" w:hAnsiTheme="minorEastAsia" w:eastAsiaTheme="minorEastAsia" w:cstheme="minorEastAsia"/>
          <w:b/>
          <w:bCs/>
          <w:sz w:val="21"/>
        </w:rPr>
      </w:pPr>
      <w:r/>
      <w:bookmarkStart w:id="94" w:name="_Toc20823302"/>
      <w:r/>
      <w:bookmarkStart w:id="95" w:name="_Toc513029230"/>
      <w:r/>
      <w:bookmarkStart w:id="96" w:name="_Toc16938546"/>
      <w:r>
        <w:rPr>
          <w:rFonts w:hint="eastAsia" w:asciiTheme="minorEastAsia" w:hAnsiTheme="minorEastAsia" w:eastAsiaTheme="minorEastAsia" w:cstheme="minorEastAsia"/>
          <w:sz w:val="21"/>
        </w:rPr>
        <w:t xml:space="preserve">1.开标</w:t>
      </w:r>
      <w:bookmarkEnd w:id="94"/>
      <w:r/>
      <w:bookmarkEnd w:id="95"/>
      <w:r/>
      <w:bookmarkEnd w:id="96"/>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1.1采购人或采购代理机构将在招标公告中规定的时间和地点组织公开开标。</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开标当天投标人及时登录不见面开标大厅，投标文件递交截止时间后，采购</w:t>
      </w:r>
      <w:r>
        <w:rPr>
          <w:rFonts w:hint="eastAsia" w:asciiTheme="minorEastAsia" w:hAnsiTheme="minorEastAsia" w:eastAsiaTheme="minorEastAsia" w:cstheme="minorEastAsia"/>
          <w:bCs/>
          <w:szCs w:val="21"/>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1.2开标仪</w:t>
      </w:r>
      <w:r>
        <w:rPr>
          <w:rFonts w:hint="eastAsia" w:asciiTheme="minorEastAsia" w:hAnsiTheme="minorEastAsia" w:eastAsiaTheme="minorEastAsia" w:cstheme="minorEastAsia"/>
          <w:szCs w:val="21"/>
        </w:rPr>
        <w:t xml:space="preserve">式由采购人或采购代理机构组织，苏采云系统将自动对项目进行开标，并宣布各投标人名称和投标价格。</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1.3投标人在开标过程中涉及到的投标文件解密、开标结果确认等工作，应按照《操作手册》规定</w:t>
      </w:r>
      <w:r>
        <w:rPr>
          <w:rFonts w:hint="eastAsia" w:asciiTheme="minorEastAsia" w:hAnsiTheme="minorEastAsia" w:eastAsiaTheme="minorEastAsia" w:cstheme="minorEastAsia"/>
          <w:bCs/>
          <w:szCs w:val="21"/>
        </w:rPr>
        <w:t xml:space="preserve">执行。</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1.4投标人如果对开标过程和开标记录有疑义，应当根据《操作手册》规定提出，如苏采云系统中《开标记录表》宣布后5分钟内未提出的，视同认可开标结果。</w:t>
      </w:r>
      <w:r/>
    </w:p>
    <w:p>
      <w:pPr>
        <w:ind w:firstLine="420"/>
        <w:spacing w:line="360" w:lineRule="auto"/>
        <w:rPr>
          <w:rFonts w:hint="eastAsia" w:asciiTheme="minorEastAsia" w:hAnsiTheme="minorEastAsia" w:eastAsiaTheme="minorEastAsia" w:cstheme="minorEastAsia"/>
          <w:szCs w:val="21"/>
        </w:rPr>
      </w:pPr>
      <w:r/>
      <w:bookmarkStart w:id="97" w:name="_Toc16938547"/>
      <w:r/>
      <w:bookmarkStart w:id="98" w:name="_Toc513029231"/>
      <w:r/>
      <w:bookmarkStart w:id="99" w:name="_Toc20823303"/>
      <w:r>
        <w:rPr>
          <w:rFonts w:hint="eastAsia" w:asciiTheme="minorEastAsia" w:hAnsiTheme="minorEastAsia" w:eastAsiaTheme="minorEastAsia" w:cstheme="minorEastAsia"/>
          <w:szCs w:val="21"/>
        </w:rPr>
        <w:t xml:space="preserve">2.评标委员会</w:t>
      </w:r>
      <w:r/>
    </w:p>
    <w:p>
      <w:pPr>
        <w:ind w:firstLine="420"/>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 xml:space="preserve">2.1开标后，采购人或采购代理机构将立即组织评标委员会（以下简称评委会）进行评标。</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2.2评委会由采购人代表和有关技术、经济等方面的专家组成，且人员构成符合政府采购有关规定。</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2.3评委会独立工作，负责评审所有投标文件并确定中标侯选人。</w:t>
      </w:r>
      <w:r/>
    </w:p>
    <w:p>
      <w:pPr>
        <w:pStyle w:val="750"/>
        <w:ind w:firstLine="420"/>
        <w:jc w:val="both"/>
        <w:spacing w:line="360" w:lineRule="auto"/>
        <w:rPr>
          <w:rFonts w:hint="eastAsia" w:asciiTheme="minorEastAsia" w:hAnsiTheme="minorEastAsia" w:eastAsiaTheme="minorEastAsia" w:cstheme="minorEastAsia"/>
          <w:b/>
          <w:bCs/>
          <w:sz w:val="21"/>
        </w:rPr>
      </w:pPr>
      <w:r>
        <w:rPr>
          <w:rFonts w:hint="eastAsia" w:asciiTheme="minorEastAsia" w:hAnsiTheme="minorEastAsia" w:eastAsiaTheme="minorEastAsia" w:cstheme="minorEastAsia"/>
          <w:sz w:val="21"/>
        </w:rPr>
        <w:t xml:space="preserve">3.评标过程的保密与公正</w:t>
      </w:r>
      <w:bookmarkEnd w:id="97"/>
      <w:r/>
      <w:bookmarkEnd w:id="98"/>
      <w:r/>
      <w:bookmarkEnd w:id="99"/>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3.1</w:t>
      </w:r>
      <w:r>
        <w:rPr>
          <w:rFonts w:hint="eastAsia" w:asciiTheme="minorEastAsia" w:hAnsiTheme="minorEastAsia" w:eastAsiaTheme="minorEastAsia" w:cstheme="minorEastAsia"/>
          <w:bCs/>
          <w:szCs w:val="21"/>
        </w:rPr>
        <w:t xml:space="preserve">凡是与审查、澄清、评价和比较投标的有关资料以及授标建议等，采购人、评委、采购代理机构均不得向投标人或与评标无关的其他人员透露。</w:t>
      </w:r>
      <w:r/>
    </w:p>
    <w:p>
      <w:pPr>
        <w:ind w:firstLine="422"/>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3.2在评标过程中，投标人不得以任何行为影响评标过程，否则其投标文件将被作为无效投标文件。</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3.3在评标期间，采购代理机构将设专门人员与投标人联系。</w:t>
      </w:r>
      <w:r/>
    </w:p>
    <w:p>
      <w:pPr>
        <w:ind w:firstLine="422"/>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3.4采购人或采购代理机构和评标委员会不向未中标的投标人解释未中标原因，也不公布评标过程中的相关细节。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3.5采用综合评分法的项目，未中标的投标人可于中标结果公告期限届满之日起通过苏采云系统查看自己的评审得分及排序情况。</w:t>
      </w:r>
      <w:r/>
    </w:p>
    <w:p>
      <w:pPr>
        <w:pStyle w:val="750"/>
        <w:ind w:firstLine="420"/>
        <w:jc w:val="both"/>
        <w:spacing w:line="360" w:lineRule="auto"/>
        <w:rPr>
          <w:rFonts w:hint="eastAsia" w:asciiTheme="minorEastAsia" w:hAnsiTheme="minorEastAsia" w:eastAsiaTheme="minorEastAsia" w:cstheme="minorEastAsia"/>
          <w:b/>
          <w:bCs/>
          <w:sz w:val="21"/>
        </w:rPr>
      </w:pPr>
      <w:r/>
      <w:bookmarkStart w:id="100" w:name="_Toc20823304"/>
      <w:r/>
      <w:bookmarkStart w:id="101" w:name="_Toc16938548"/>
      <w:r/>
      <w:bookmarkStart w:id="102" w:name="_Toc513029232"/>
      <w:r>
        <w:rPr>
          <w:rFonts w:hint="eastAsia" w:asciiTheme="minorEastAsia" w:hAnsiTheme="minorEastAsia" w:eastAsiaTheme="minorEastAsia" w:cstheme="minorEastAsia"/>
          <w:sz w:val="21"/>
        </w:rPr>
        <w:t xml:space="preserve">4.投标文件的澄清</w:t>
      </w:r>
      <w:bookmarkEnd w:id="100"/>
      <w:r/>
      <w:bookmarkEnd w:id="101"/>
      <w:r/>
      <w:bookmarkEnd w:id="102"/>
      <w:r/>
      <w:r/>
    </w:p>
    <w:p>
      <w:pPr>
        <w:ind w:firstLine="420"/>
        <w:spacing w:line="360" w:lineRule="auto"/>
        <w:rPr>
          <w:rFonts w:hint="eastAsia" w:asciiTheme="minorEastAsia" w:hAnsiTheme="minorEastAsia" w:eastAsiaTheme="minorEastAsia" w:cstheme="minorEastAsia"/>
          <w:szCs w:val="21"/>
        </w:rPr>
      </w:pPr>
      <w:r/>
      <w:bookmarkStart w:id="103" w:name="_Toc16938549"/>
      <w:r/>
      <w:bookmarkStart w:id="104" w:name="_Toc513029233"/>
      <w:r/>
      <w:bookmarkStart w:id="105" w:name="_Toc20823305"/>
      <w:r>
        <w:rPr>
          <w:rFonts w:hint="eastAsia" w:asciiTheme="minorEastAsia" w:hAnsiTheme="minorEastAsia" w:eastAsiaTheme="minorEastAsia" w:cstheme="minorEastAsia"/>
          <w:szCs w:val="21"/>
        </w:rPr>
        <w:t xml:space="preserve">4.1评标期间，评委会对投标文件中含义不明确、同类问题表述不一致或者有明显文字和计算错误的内容 ，有权要求投标人作出必要的澄清、说明或者补正。</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投标人的澄清、说明或者补正不得超出投标文件的范围或者改变投标文件的实质性内容。</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评标委员会并非对每个投标人都做澄清要求。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4.3接到评委会澄清、说明和补正要求的投标人如未按规定做出澄清、说明和补正，其风险由投标人自行承担。</w:t>
      </w:r>
      <w:r/>
    </w:p>
    <w:p>
      <w:pPr>
        <w:ind w:firstLine="420"/>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5.对投标文件的初审</w:t>
      </w:r>
      <w:bookmarkEnd w:id="103"/>
      <w:r/>
      <w:bookmarkEnd w:id="104"/>
      <w:r/>
      <w:bookmarkEnd w:id="105"/>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5.1</w:t>
      </w:r>
      <w:r>
        <w:rPr>
          <w:rFonts w:hint="eastAsia" w:asciiTheme="minorEastAsia" w:hAnsiTheme="minorEastAsia" w:eastAsiaTheme="minorEastAsia" w:cstheme="minorEastAsia"/>
          <w:bCs/>
          <w:szCs w:val="21"/>
        </w:rPr>
        <w:t xml:space="preserve">投标文件初审分为资格审查和符合性审查。</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5.1.1资格审查：依据法律法规和招标文件的规定，由采购人对投标文件中的资格证明文件进行审查。资格审查的结论，采购人以书面形式向评委会进行反馈。</w:t>
      </w:r>
      <w:r/>
    </w:p>
    <w:p>
      <w:pPr>
        <w:ind w:firstLine="422"/>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接受联合体的项目，两个以上的自然人、法人或者其他组织组成一个联合体，以一个投标人的身份共同参加政府采购活动的，联合体成员中任何一方存在不良信用记录的，视同联合体存在不良应用</w:t>
      </w:r>
      <w:r>
        <w:rPr>
          <w:rFonts w:hint="eastAsia" w:asciiTheme="minorEastAsia" w:hAnsiTheme="minorEastAsia" w:eastAsiaTheme="minorEastAsia" w:cstheme="minorEastAsia"/>
          <w:bCs/>
          <w:szCs w:val="21"/>
        </w:rPr>
        <w:t xml:space="preserve">记录。</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5.1.2符合性审查：依据招标文件的规定，由评委会从投标文件的有效性、完整性和对招标文件的响应程度进行审查，以确定是否对招标文件的实质性要求作出响应。</w:t>
      </w:r>
      <w:r/>
    </w:p>
    <w:p>
      <w:pPr>
        <w:ind w:firstLine="422"/>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5.1.3未通过资格审查或符合性审查的投标人，采购人或采购代理机构告知未通过资格审查或符合性审查的原因，评审结束后，采购人或采购代理机构将不再告知未通过资格审查或符合性审查的原因。</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Theme="minorEastAsia" w:hAnsiTheme="minorEastAsia" w:eastAsiaTheme="minorEastAsia" w:cstheme="minorEastAsia"/>
          <w:bCs/>
          <w:szCs w:val="21"/>
        </w:rPr>
        <w:t xml:space="preserve">评委决定投标文件的响应性只根据投标文件本身的内容，而不寻求外部的证据。</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5.3</w:t>
      </w:r>
      <w:r>
        <w:rPr>
          <w:rFonts w:hint="eastAsia" w:asciiTheme="minorEastAsia" w:hAnsiTheme="minorEastAsia" w:eastAsiaTheme="minorEastAsia" w:cstheme="minorEastAsia"/>
          <w:bCs/>
          <w:szCs w:val="21"/>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5.4</w:t>
      </w:r>
      <w:r>
        <w:rPr>
          <w:rFonts w:hint="eastAsia" w:asciiTheme="minorEastAsia" w:hAnsiTheme="minorEastAsia" w:eastAsiaTheme="minorEastAsia" w:cstheme="minorEastAsia"/>
          <w:bCs/>
          <w:szCs w:val="21"/>
        </w:rPr>
        <w:t xml:space="preserve">评委会将对确定为实质性响应的投标进行进一步审核，确定其是否有计算上或累加上的算术错误，修正错误的原则如下：</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（1）投标文件中开标一览表内容与投标文件中相应内容不一致的，以开标一览表为准。</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（2）大写金额和小写金额不一致的，以大写金额为准。</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（3）单价金额小数点或者百分比有明显错位的，以开标一览表的总价为准，并修改单价。</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（4）总价金额与按单价汇总金额不一致的，以单价金额计算结果为准。</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同时出现两种以上错误的，按照前款规定的顺序修正。</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5.5</w:t>
      </w:r>
      <w:r>
        <w:rPr>
          <w:rFonts w:hint="eastAsia" w:asciiTheme="minorEastAsia" w:hAnsiTheme="minorEastAsia" w:eastAsiaTheme="minorEastAsia" w:cstheme="minorEastAsia"/>
          <w:bCs/>
          <w:szCs w:val="21"/>
        </w:rPr>
        <w:t xml:space="preserve">评委会将按上述修正错误的方法调整投标文件中的投标报价，并告知投标人，调整后的价格应对投标人具有约束力。如果投标人不接受修正后的价格，则其投标将被拒绝。</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5.6</w:t>
      </w:r>
      <w:r>
        <w:rPr>
          <w:rFonts w:hint="eastAsia" w:asciiTheme="minorEastAsia" w:hAnsiTheme="minorEastAsia" w:eastAsiaTheme="minorEastAsia" w:cstheme="minorEastAsia"/>
          <w:bCs/>
          <w:szCs w:val="21"/>
        </w:rPr>
        <w:t xml:space="preserve">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Theme="minorEastAsia" w:hAnsiTheme="minorEastAsia" w:eastAsiaTheme="minorEastAsia" w:cstheme="minorEastAsia"/>
          <w:szCs w:val="21"/>
        </w:rPr>
      </w:pPr>
      <w:r/>
      <w:bookmarkStart w:id="106" w:name="_Toc20823306"/>
      <w:r/>
      <w:bookmarkStart w:id="107" w:name="_Toc16938550"/>
      <w:r/>
      <w:bookmarkStart w:id="108" w:name="_Toc513029234"/>
      <w:r>
        <w:rPr>
          <w:rFonts w:hint="eastAsia" w:asciiTheme="minorEastAsia" w:hAnsiTheme="minorEastAsia" w:eastAsiaTheme="minorEastAsia" w:cstheme="minorEastAsia"/>
          <w:szCs w:val="21"/>
        </w:rPr>
        <w:t xml:space="preserve">5.7投标人在开、评标全过程中应保持通讯畅通，及时登录苏采云系统查阅、答复相关信息，并安排专人与采购人或采购代理机构联系。</w:t>
      </w:r>
      <w:bookmarkEnd w:id="106"/>
      <w:r/>
      <w:bookmarkEnd w:id="107"/>
      <w:r/>
      <w:bookmarkEnd w:id="108"/>
      <w:r/>
      <w:r/>
    </w:p>
    <w:p>
      <w:pPr>
        <w:pStyle w:val="750"/>
        <w:ind w:firstLine="420"/>
        <w:jc w:val="both"/>
        <w:spacing w:line="360" w:lineRule="auto"/>
        <w:rPr>
          <w:rFonts w:hint="eastAsia" w:asciiTheme="minorEastAsia" w:hAnsiTheme="minorEastAsia" w:eastAsiaTheme="minorEastAsia" w:cstheme="minorEastAsia"/>
          <w:b/>
          <w:bCs/>
          <w:sz w:val="21"/>
        </w:rPr>
      </w:pPr>
      <w:r>
        <w:rPr>
          <w:rFonts w:hint="eastAsia" w:asciiTheme="minorEastAsia" w:hAnsiTheme="minorEastAsia" w:eastAsiaTheme="minorEastAsia" w:cstheme="minorEastAsia"/>
          <w:sz w:val="21"/>
        </w:rPr>
        <w:t xml:space="preserve">6.无效投标条款和废标条款</w:t>
      </w:r>
      <w:r/>
    </w:p>
    <w:p>
      <w:pPr>
        <w:ind w:firstLine="420"/>
        <w:spacing w:line="360" w:lineRule="auto"/>
        <w:rPr>
          <w:rFonts w:hint="eastAsia" w:asciiTheme="minorEastAsia" w:hAnsiTheme="minorEastAsia" w:eastAsiaTheme="minorEastAsia" w:cstheme="minorEastAsia"/>
          <w:bCs/>
          <w:szCs w:val="21"/>
        </w:rPr>
      </w:pPr>
      <w:r/>
      <w:bookmarkStart w:id="109" w:name="_Toc513029235"/>
      <w:r/>
      <w:bookmarkStart w:id="110" w:name="_Toc16938551"/>
      <w:r/>
      <w:bookmarkStart w:id="111" w:name="_Toc20823307"/>
      <w:r>
        <w:rPr>
          <w:rFonts w:hint="eastAsia" w:asciiTheme="minorEastAsia" w:hAnsiTheme="minorEastAsia" w:eastAsiaTheme="minorEastAsia" w:cstheme="minorEastAsia"/>
          <w:bCs/>
          <w:szCs w:val="21"/>
        </w:rPr>
        <w:t xml:space="preserve">6.1无效投标条款</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6.1.1投标人在苏采云系统规定的时间内未成功解密电子投标文件的。</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6.1.2投标人未按照招标文件要求上传电子投标文件的。</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6.1.3同一投标人提交两个（含两个）以上不同的投标报价的。</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6.1.4投标人不具备招标文件中规定资格要求的。</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6.1.5投标人的报价超过了采购预算或最高限价的。</w:t>
      </w:r>
      <w:r/>
    </w:p>
    <w:p>
      <w:pPr>
        <w:ind w:firstLine="420"/>
        <w:spacing w:line="360" w:lineRule="auto"/>
        <w:rPr>
          <w:rFonts w:hint="eastAsia" w:asciiTheme="minorEastAsia" w:hAnsiTheme="minorEastAsia" w:eastAsiaTheme="minorEastAsia" w:cstheme="minorEastAsia"/>
          <w:bCs/>
          <w:i/>
          <w:szCs w:val="21"/>
          <w:u w:val="single"/>
        </w:rPr>
      </w:pPr>
      <w:r>
        <w:rPr>
          <w:rFonts w:hint="eastAsia" w:asciiTheme="minorEastAsia" w:hAnsiTheme="minorEastAsia" w:eastAsiaTheme="minorEastAsia" w:cstheme="minorEastAsia"/>
          <w:bCs/>
          <w:szCs w:val="21"/>
        </w:rPr>
        <w:t xml:space="preserve">6.1.6未通过符合性审查的。</w:t>
      </w:r>
      <w:r/>
    </w:p>
    <w:p>
      <w:pPr>
        <w:ind w:firstLine="420"/>
        <w:spacing w:line="360" w:lineRule="auto"/>
        <w:rPr>
          <w:rFonts w:hint="eastAsia" w:asciiTheme="minorEastAsia" w:hAnsiTheme="minorEastAsia" w:eastAsiaTheme="minorEastAsia" w:cstheme="minorEastAsia"/>
          <w:bCs/>
          <w:i/>
          <w:szCs w:val="21"/>
          <w:u w:val="single"/>
        </w:rPr>
      </w:pPr>
      <w:r>
        <w:rPr>
          <w:rFonts w:hint="eastAsia" w:asciiTheme="minorEastAsia" w:hAnsiTheme="minorEastAsia" w:eastAsiaTheme="minorEastAsia" w:cstheme="minorEastAsia"/>
          <w:bCs/>
          <w:szCs w:val="21"/>
        </w:rPr>
        <w:t xml:space="preserve">6.1.7不符合招标文件中规定的其他实质性要求和条件的。</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6.1.8投标人被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6.1.9投标文件含有采购人不能接受的附加条件的。</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6.1.10评标委员会认为投标人的报价明显低于其他通过符合性审查投标人的报价，有可能影响产品质量或者不能诚信履约的，将通过</w:t>
      </w:r>
      <w:r>
        <w:rPr>
          <w:rFonts w:hint="eastAsia" w:asciiTheme="minorEastAsia" w:hAnsiTheme="minorEastAsia" w:eastAsiaTheme="minorEastAsia" w:cstheme="minorEastAsia"/>
          <w:szCs w:val="21"/>
        </w:rPr>
        <w:t xml:space="preserve">“苏采云系统”</w:t>
      </w:r>
      <w:r>
        <w:rPr>
          <w:rFonts w:hint="eastAsia" w:asciiTheme="minorEastAsia" w:hAnsiTheme="minorEastAsia" w:eastAsiaTheme="minorEastAsia" w:cstheme="minorEastAsia"/>
          <w:bCs/>
          <w:szCs w:val="21"/>
        </w:rPr>
        <w:t xml:space="preserve">要求其在合理的时间内提供说明，必要时提交相关证明材料；投标人不能证明其报价合理性的，评标委员会应当将其作为无效投标处理。</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6.1.11投标文件未按照招标文件要求加盖CA电子签章。</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6.1.12不同的投标人投标文件制作机器码、文件创建标识码一致的。</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6.1.13其他法律、法规及本招标文件规定的属无效投标的情形。</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6.2废标条款：</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6.2.1符合专业条件的投标人或者对招标文件作实质响应的投标人不足三家的。</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6.2.2出现影响采购公正的违法、违规行为的。</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6.2.3因重大变故，采购任务取消的。</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6.2.4评标委员会认定招标文件存在歧义、重大缺陷导致评审工作无法进行。</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6.2.5因苏采云系统故障原因造成开标不成功的。</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6.3投标截止时间结束后参加投标的投标人不足三家的处理：</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6.3.1如出现投标截止时间结束后参加投标的投标人或者在评标期间对招标文件做出实质响应的投标人不足三家情况，按政府采购相关规定执行。</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7.投标文件线上格式要求</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7.1投标人应当通过“苏采云”系统提交数据电文形式的投标文件（即电子投标）。</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7.2通过“苏采云”系统提交政府采购客户端工具导出加密的投标文件（后缀名为zip）。投标文件不得超过150M！</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7.3本项目采用线上投标，即投标人的投标文件从政府采购客户端工具制作通过“苏采云”系统提交，未提供线上投标文件的，投标无效。</w:t>
      </w:r>
      <w:bookmarkEnd w:id="109"/>
      <w:r/>
      <w:bookmarkEnd w:id="110"/>
      <w:r/>
      <w:bookmarkEnd w:id="111"/>
      <w:r/>
      <w:r/>
    </w:p>
    <w:p>
      <w:pPr>
        <w:pStyle w:val="749"/>
        <w:ind w:firstLine="422"/>
        <w:spacing w:before="0" w:after="0" w:line="360" w:lineRule="auto"/>
        <w:rPr>
          <w:rFonts w:hint="eastAsia" w:asciiTheme="minorEastAsia" w:hAnsiTheme="minorEastAsia" w:eastAsiaTheme="minorEastAsia" w:cstheme="minorEastAsia"/>
          <w:sz w:val="21"/>
          <w:szCs w:val="21"/>
        </w:rPr>
      </w:pPr>
      <w:r/>
      <w:bookmarkStart w:id="112" w:name="_Toc120614219"/>
      <w:r>
        <w:rPr>
          <w:rFonts w:hint="eastAsia" w:asciiTheme="minorEastAsia" w:hAnsiTheme="minorEastAsia" w:eastAsiaTheme="minorEastAsia" w:cstheme="minorEastAsia"/>
          <w:sz w:val="21"/>
          <w:szCs w:val="21"/>
        </w:rPr>
        <w:t xml:space="preserve">（六）定标</w:t>
      </w:r>
      <w:bookmarkEnd w:id="112"/>
      <w:r/>
      <w:r/>
    </w:p>
    <w:p>
      <w:pPr>
        <w:pStyle w:val="750"/>
        <w:ind w:firstLine="420"/>
        <w:jc w:val="both"/>
        <w:spacing w:line="360" w:lineRule="auto"/>
        <w:rPr>
          <w:rFonts w:hint="eastAsia" w:asciiTheme="minorEastAsia" w:hAnsiTheme="minorEastAsia" w:eastAsiaTheme="minorEastAsia" w:cstheme="minorEastAsia"/>
          <w:b/>
          <w:sz w:val="21"/>
        </w:rPr>
      </w:pPr>
      <w:r/>
      <w:bookmarkStart w:id="113" w:name="_Toc16938554"/>
      <w:r/>
      <w:bookmarkStart w:id="114" w:name="_Toc20823310"/>
      <w:r>
        <w:rPr>
          <w:rFonts w:hint="eastAsia" w:asciiTheme="minorEastAsia" w:hAnsiTheme="minorEastAsia" w:eastAsiaTheme="minorEastAsia" w:cstheme="minorEastAsia"/>
          <w:sz w:val="21"/>
        </w:rPr>
        <w:t xml:space="preserve">1.确定</w:t>
      </w:r>
      <w:bookmarkEnd w:id="113"/>
      <w:r/>
      <w:bookmarkEnd w:id="114"/>
      <w:r>
        <w:rPr>
          <w:rFonts w:hint="eastAsia" w:asciiTheme="minorEastAsia" w:hAnsiTheme="minorEastAsia" w:eastAsiaTheme="minorEastAsia" w:cstheme="minorEastAsia"/>
          <w:sz w:val="21"/>
        </w:rPr>
        <w:t xml:space="preserve">中标人</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1.1中标候选人的选取原则和数量见招标文件第四部分规定。 </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1.2采购人应根据评标委员会推荐的中标候选人确定中标人。</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1.3</w:t>
      </w:r>
      <w:r>
        <w:rPr>
          <w:rFonts w:hint="eastAsia" w:asciiTheme="minorEastAsia" w:hAnsiTheme="minorEastAsia" w:eastAsiaTheme="minorEastAsia" w:cstheme="minorEastAsia"/>
          <w:szCs w:val="21"/>
        </w:rPr>
        <w:t xml:space="preserve">采购人或采购代理机构将在“江苏政府采购网”发布中标公告，公告期限为1个工作日。</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1.4若有充分证据证明，中标人出现下列情况之一的，一经查实，将被取消中标资格：</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1.4.1提供虚假材料谋取中标的。</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1.4.2向采购人、采购代理机构行贿或者提供其他不正当利益的。</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1.4.3恶意竞争，投标总报价明显低于其自身合理成本且又无法提供证明的。</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1.4.4属于本文件规定的无效条件，但在评标过程中又未被评委会发现的。</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1.4.5与采购人或者其他投标人恶意串通的。</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1.4.6采取不正当手段诋毁、排挤其他投标人的。</w:t>
      </w:r>
      <w:r/>
    </w:p>
    <w:p>
      <w:pPr>
        <w:ind w:firstLine="420"/>
        <w:spacing w:line="360" w:lineRule="auto"/>
        <w:rPr>
          <w:rFonts w:hint="eastAsia" w:asciiTheme="minorEastAsia" w:hAnsiTheme="minorEastAsia" w:eastAsiaTheme="minorEastAsia" w:cstheme="minorEastAsia"/>
          <w:szCs w:val="21"/>
        </w:rPr>
      </w:pPr>
      <w:r/>
      <w:bookmarkStart w:id="115" w:name="_Toc200451960"/>
      <w:r>
        <w:rPr>
          <w:rFonts w:hint="eastAsia" w:asciiTheme="minorEastAsia" w:hAnsiTheme="minorEastAsia" w:eastAsiaTheme="minorEastAsia" w:cstheme="minorEastAsia"/>
          <w:szCs w:val="21"/>
        </w:rPr>
        <w:t xml:space="preserve">1.5有下列情形之一的，视为投标人串通投标，投标无效：</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1.5.1不同投标人的投标文件由同一单位或者个人编制；</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1.5.2不同投标人委托同一单位或者个人办理投标事宜；</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1.5.3不同投标人的投标文件载明的项目管理成员或者联系人员为同一人；</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1.5.4不同投标人的投标文件异常一致或者投标报价呈规律性差异；</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1.5.5不同投标人的投标文件相互混装。</w:t>
      </w:r>
      <w:r/>
    </w:p>
    <w:p>
      <w:pPr>
        <w:pStyle w:val="750"/>
        <w:ind w:firstLine="420"/>
        <w:jc w:val="both"/>
        <w:spacing w:line="360" w:lineRule="auto"/>
        <w:rPr>
          <w:rFonts w:hint="eastAsia" w:asciiTheme="minorEastAsia" w:hAnsiTheme="minorEastAsia" w:eastAsiaTheme="minorEastAsia" w:cstheme="minorEastAsia"/>
          <w:b/>
          <w:sz w:val="21"/>
        </w:rPr>
      </w:pPr>
      <w:r>
        <w:rPr>
          <w:rFonts w:hint="eastAsia" w:asciiTheme="minorEastAsia" w:hAnsiTheme="minorEastAsia" w:eastAsiaTheme="minorEastAsia" w:cstheme="minorEastAsia"/>
          <w:sz w:val="21"/>
        </w:rPr>
        <w:t xml:space="preserve">2.质疑处理</w:t>
      </w:r>
      <w:bookmarkEnd w:id="115"/>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2.1提出质疑的投标人应当是参与所质疑项目采购活动的投标人。潜在投标人依法获取其可质疑的招标文件的，可以对招标文件提出质疑。</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投标人认为招标文件、采购过程和采购结果使自己的权益受到损害的，可以在知道或应知其权益受到损害之日起七个工作日内，以书面形式向采购人或采购代理机构提出质疑。上述应知其权益受到损害之日，是指：</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2.2.1对可以质疑的招标文件提出质疑的，为收到招标文件之日或者招标文件公告期限届满之日；</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2.2.2对采购过程提出质疑的，为各采购程序环节结束之日；</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2.2.3对中标结果提出质疑的，为中标结果公告期限届满之日。</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投标人应当在法定质疑期内一次性提出针对同一采购程序环节的质疑。投标人如在法定期限内对同一采购程序环节提出多次质疑的，采购人或采购代理机构将只对投标人第一次质疑作出答复。</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2.3质疑函必须按照本招标文件中《质疑函范本》要求的格式和内容进行填写。投标人如组成联合体参加投标，则《质疑函范本》中要求签字、盖章、加盖公章之处，联合体各方均须按要求签字、盖章、加盖公章。</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2.4质疑答复依据《政府采购质疑和投诉办法》（财政部令第94号）。</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采购人质疑接收人及联系方式，见招标文件第一部分。</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2.5以下情形的质疑不予受理</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2.5.1内容不符合《政府采购质疑和投诉办法》第十二条规定的质疑。</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2.5.2超出政府采购法定期限的质疑。</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2.5.3未参加投标活动的投标人或在投标活动中自身权益未受到损害的投标人所提出的质疑。</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2.5.4投标人组成联合体参加投标，联合体中任何一方或多方未按要求签字、盖章、加盖公章的质疑。</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2.6投标人提出书面质疑必须有理、有据，不得捏造事实、提供虚假材料进行恶意质疑。否则，一经查实，采购人或采购代理机构有权依据政府采购的有关规定，报请政府采购监管部门对该投标人进</w:t>
      </w:r>
      <w:r>
        <w:rPr>
          <w:rFonts w:hint="eastAsia" w:asciiTheme="minorEastAsia" w:hAnsiTheme="minorEastAsia" w:eastAsiaTheme="minorEastAsia" w:cstheme="minorEastAsia"/>
          <w:szCs w:val="21"/>
        </w:rPr>
        <w:t xml:space="preserve">行相应的行政处罚和记录该投标人的失信信息。</w:t>
      </w:r>
      <w:r/>
    </w:p>
    <w:p>
      <w:pPr>
        <w:pStyle w:val="750"/>
        <w:ind w:firstLine="420"/>
        <w:jc w:val="both"/>
        <w:spacing w:line="360" w:lineRule="auto"/>
        <w:rPr>
          <w:rFonts w:hint="eastAsia" w:asciiTheme="minorEastAsia" w:hAnsiTheme="minorEastAsia" w:eastAsiaTheme="minorEastAsia" w:cstheme="minorEastAsia"/>
          <w:b/>
          <w:sz w:val="21"/>
        </w:rPr>
      </w:pPr>
      <w:r>
        <w:rPr>
          <w:rFonts w:hint="eastAsia" w:asciiTheme="minorEastAsia" w:hAnsiTheme="minorEastAsia" w:eastAsiaTheme="minorEastAsia" w:cstheme="minorEastAsia"/>
          <w:sz w:val="21"/>
        </w:rPr>
        <w:t xml:space="preserve">3.中标通知书</w:t>
      </w:r>
      <w:r/>
    </w:p>
    <w:p>
      <w:pPr>
        <w:ind w:firstLine="420"/>
        <w:spacing w:line="360" w:lineRule="auto"/>
        <w:rPr>
          <w:rFonts w:hint="eastAsia"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3.1中标结果确定后，</w:t>
      </w:r>
      <w:r>
        <w:rPr>
          <w:rFonts w:hint="eastAsia" w:asciiTheme="minorEastAsia" w:hAnsiTheme="minorEastAsia" w:eastAsiaTheme="minorEastAsia" w:cstheme="minorEastAsia"/>
          <w:bCs/>
          <w:szCs w:val="21"/>
        </w:rPr>
        <w:t xml:space="preserve">采购人或采购代理机构</w:t>
      </w:r>
      <w:r>
        <w:rPr>
          <w:rFonts w:hint="eastAsia" w:asciiTheme="minorEastAsia" w:hAnsiTheme="minorEastAsia" w:eastAsiaTheme="minorEastAsia" w:cstheme="minorEastAsia"/>
          <w:szCs w:val="21"/>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Theme="minorEastAsia" w:hAnsiTheme="minorEastAsia" w:eastAsiaTheme="minorEastAsia" w:cstheme="minorEastAsia"/>
          <w:b/>
          <w:bCs/>
          <w:szCs w:val="21"/>
        </w:rPr>
        <w:outlineLvl w:val="0"/>
      </w:pPr>
      <w:r>
        <w:rPr>
          <w:rFonts w:hint="eastAsia" w:asciiTheme="minorEastAsia" w:hAnsiTheme="minorEastAsia" w:eastAsiaTheme="minorEastAsia" w:cstheme="minorEastAsia"/>
          <w:b/>
          <w:bCs/>
          <w:szCs w:val="21"/>
        </w:rPr>
        <w:t xml:space="preserve">3.3中标人在下载中标通知书后须提供</w:t>
      </w:r>
      <w:r>
        <w:rPr>
          <w:rFonts w:hint="eastAsia" w:asciiTheme="minorEastAsia" w:hAnsiTheme="minorEastAsia" w:eastAsiaTheme="minorEastAsia" w:cstheme="minorEastAsia"/>
          <w:b/>
          <w:bCs/>
          <w:szCs w:val="21"/>
        </w:rPr>
        <w:t xml:space="preserve">3</w:t>
      </w:r>
      <w:r>
        <w:rPr>
          <w:rFonts w:hint="eastAsia" w:asciiTheme="minorEastAsia" w:hAnsiTheme="minorEastAsia" w:eastAsiaTheme="minorEastAsia" w:cstheme="minorEastAsia"/>
          <w:b/>
          <w:bCs/>
          <w:szCs w:val="21"/>
        </w:rPr>
        <w:t xml:space="preserve">套加盖红章的系统内打印的纸质投标文件给采购代理机构。</w:t>
      </w:r>
      <w:r/>
    </w:p>
    <w:p>
      <w:pPr>
        <w:pStyle w:val="749"/>
        <w:ind w:firstLine="422"/>
        <w:spacing w:before="0" w:after="0" w:line="360" w:lineRule="auto"/>
        <w:rPr>
          <w:rFonts w:hint="eastAsia" w:asciiTheme="minorEastAsia" w:hAnsiTheme="minorEastAsia" w:eastAsiaTheme="minorEastAsia" w:cstheme="minorEastAsia"/>
          <w:sz w:val="21"/>
          <w:szCs w:val="21"/>
        </w:rPr>
      </w:pPr>
      <w:r/>
      <w:bookmarkStart w:id="116" w:name="_Toc120614220"/>
      <w:r/>
      <w:bookmarkStart w:id="117" w:name="_Toc513029236"/>
      <w:r/>
      <w:bookmarkStart w:id="118" w:name="_Toc20823308"/>
      <w:r/>
      <w:bookmarkStart w:id="119" w:name="_Toc16938552"/>
      <w:r>
        <w:rPr>
          <w:rFonts w:hint="eastAsia" w:asciiTheme="minorEastAsia" w:hAnsiTheme="minorEastAsia" w:eastAsiaTheme="minorEastAsia" w:cstheme="minorEastAsia"/>
          <w:sz w:val="21"/>
          <w:szCs w:val="21"/>
        </w:rPr>
        <w:t xml:space="preserve">（七）授予合同</w:t>
      </w:r>
      <w:bookmarkEnd w:id="116"/>
      <w:r/>
      <w:bookmarkEnd w:id="117"/>
      <w:r/>
      <w:bookmarkEnd w:id="118"/>
      <w:r/>
      <w:bookmarkEnd w:id="119"/>
      <w:r/>
      <w:r/>
    </w:p>
    <w:p>
      <w:pPr>
        <w:pStyle w:val="750"/>
        <w:ind w:firstLine="420"/>
        <w:jc w:val="both"/>
        <w:spacing w:line="360" w:lineRule="auto"/>
        <w:rPr>
          <w:rFonts w:hint="eastAsia" w:asciiTheme="minorEastAsia" w:hAnsiTheme="minorEastAsia" w:eastAsiaTheme="minorEastAsia" w:cstheme="minorEastAsia"/>
          <w:b/>
          <w:sz w:val="21"/>
        </w:rPr>
      </w:pPr>
      <w:r/>
      <w:bookmarkStart w:id="120" w:name="_Toc16938553"/>
      <w:r/>
      <w:bookmarkStart w:id="121" w:name="_Toc20823309"/>
      <w:r/>
      <w:bookmarkStart w:id="122" w:name="_Toc513029237"/>
      <w:r>
        <w:rPr>
          <w:rFonts w:hint="eastAsia" w:asciiTheme="minorEastAsia" w:hAnsiTheme="minorEastAsia" w:eastAsiaTheme="minorEastAsia" w:cstheme="minorEastAsia"/>
          <w:sz w:val="21"/>
        </w:rPr>
        <w:t xml:space="preserve">1.签订合同</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1</w:t>
      </w:r>
      <w:r>
        <w:rPr>
          <w:rFonts w:hint="eastAsia" w:asciiTheme="minorEastAsia" w:hAnsiTheme="minorEastAsia" w:eastAsiaTheme="minorEastAsia" w:cstheme="minorEastAsia"/>
          <w:szCs w:val="21"/>
        </w:rPr>
        <w:t xml:space="preserve">.l中标人应当在中标通知书发出之日起三十日内，按照招标文件确定的事项与采购人签订政府采购合同。</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1.2招标文件、中标人的投标文件及招标过程中有关澄清、承诺文件均应作为合同附件。</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1.3签订合同后，</w:t>
      </w:r>
      <w:r>
        <w:rPr>
          <w:rFonts w:hint="eastAsia" w:asciiTheme="minorEastAsia" w:hAnsiTheme="minorEastAsia" w:eastAsiaTheme="minorEastAsia" w:cstheme="minorEastAsia"/>
          <w:szCs w:val="21"/>
          <w:u w:val="single"/>
        </w:rPr>
        <w:t xml:space="preserve">中标人不得将合同标的进行转包</w:t>
      </w:r>
      <w:r>
        <w:rPr>
          <w:rFonts w:hint="eastAsia" w:asciiTheme="minorEastAsia" w:hAnsiTheme="minorEastAsia" w:eastAsiaTheme="minorEastAsia" w:cstheme="minorEastAsia"/>
          <w:szCs w:val="21"/>
        </w:rPr>
        <w:t xml:space="preserve">。未经采购人同意，中标人也不得采用分包的形式履行合同，否则采购人有权终止合同。政府采购合同分包履行的，中标人就采购项目和分包项目向采购人负责，分包供应商就分包项目承担责任。转包或分包造成采购人损失的，中标人应承担相应赔偿责任。</w:t>
      </w:r>
      <w:r/>
    </w:p>
    <w:p>
      <w:pPr>
        <w:pStyle w:val="750"/>
        <w:ind w:firstLine="420"/>
        <w:jc w:val="both"/>
        <w:spacing w:line="360" w:lineRule="auto"/>
        <w:rPr>
          <w:rFonts w:hint="eastAsia" w:asciiTheme="minorEastAsia" w:hAnsiTheme="minorEastAsia" w:eastAsiaTheme="minorEastAsia" w:cstheme="minorEastAsia"/>
          <w:b/>
          <w:sz w:val="21"/>
        </w:rPr>
      </w:pPr>
      <w:r>
        <w:rPr>
          <w:rFonts w:hint="eastAsia" w:asciiTheme="minorEastAsia" w:hAnsiTheme="minorEastAsia" w:eastAsiaTheme="minorEastAsia" w:cstheme="minorEastAsia"/>
          <w:sz w:val="21"/>
        </w:rPr>
        <w:t xml:space="preserve">2.货物和服务的追加、减少和添购。</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0"/>
      <w:r/>
      <w:bookmarkEnd w:id="121"/>
      <w:r/>
      <w:bookmarkEnd w:id="122"/>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3.政府采购履约保证资金、合同信用融资扶持政策</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3.1履约保证金</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本项目不设履约保证金。</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3.2政府采购合同信用融资扶持政策</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3.2.1根据《关于深入开展南通市政府采购线上合同信用融资业务的通知》（通财购〔2022〕68号），中标人可通过中征应收账款融资服务平台（简称“中征平台”）办理“政采贷”融资贷款，具体业务操作流程如下： </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3.2.1.1确定融资意向。中标人取得中标通知书后，联系意向金融机构，商治融资事项，确定融资意向。</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3.2.1.2签订采购合同。中标人与采购人签订政府采购合同时，应将自身融资需求告知采购人或其委托的采购代理机构，提醒 (或协助 ) 其当天在“苏采云”上传合同的同时将“供应商是否融资”选为“是”。</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3.2.1.3提交融资申请。中标人登录“中征平台”进行用户注册，查看“政采贷”融资产品，向确定合作的金融机构提交融资申请。</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3.2.1.4确认回款账户。金融机构填写需要锁定的回款账户信息后中标人应登录“中征平台”确认账户信息，以实现回款账户的锁定。</w:t>
      </w:r>
      <w:r/>
    </w:p>
    <w:p>
      <w:pPr>
        <w:spacing w:line="360" w:lineRule="auto"/>
        <w:rPr>
          <w:szCs w:val="21"/>
        </w:rPr>
        <w:pBdr>
          <w:top w:val="none" w:color="000000" w:sz="0" w:space="0"/>
          <w:left w:val="none" w:color="000000" w:sz="0" w:space="0"/>
          <w:bottom w:val="none" w:color="000000" w:sz="0" w:space="0"/>
          <w:right w:val="none" w:color="000000" w:sz="0" w:space="0"/>
        </w:pBdr>
      </w:pPr>
      <w:r>
        <w:rPr>
          <w:szCs w:val="21"/>
        </w:rPr>
      </w:r>
      <w:r/>
    </w:p>
    <w:p>
      <w:pPr>
        <w:ind w:firstLine="281"/>
        <w:jc w:val="center"/>
        <w:spacing w:line="360" w:lineRule="auto"/>
        <w:rPr>
          <w:rFonts w:hint="eastAsia" w:ascii="宋体" w:hAnsi="宋体"/>
          <w:bCs/>
          <w:sz w:val="36"/>
          <w:szCs w:val="36"/>
        </w:rPr>
        <w:outlineLvl w:val="0"/>
      </w:pPr>
      <w:r>
        <w:rPr>
          <w:rFonts w:ascii="宋体" w:hAnsi="宋体"/>
          <w:sz w:val="28"/>
          <w:szCs w:val="28"/>
        </w:rPr>
        <w:br w:type="page" w:clear="all"/>
      </w:r>
      <w:r>
        <w:rPr>
          <w:rFonts w:hint="eastAsia" w:ascii="宋体" w:hAnsi="宋体"/>
          <w:b/>
          <w:sz w:val="36"/>
          <w:szCs w:val="36"/>
        </w:rPr>
        <w:t xml:space="preserve">第三部分  项目需求</w:t>
      </w:r>
      <w:bookmarkEnd w:id="0"/>
      <w:r/>
      <w:bookmarkEnd w:id="1"/>
      <w:r/>
      <w:bookmarkEnd w:id="2"/>
      <w:r/>
      <w:r/>
    </w:p>
    <w:p>
      <w:pPr>
        <w:pStyle w:val="749"/>
        <w:ind w:firstLine="422"/>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numPr>
          <w:ilvl w:val="0"/>
          <w:numId w:val="2"/>
        </w:numPr>
        <w:ind w:firstLine="422"/>
        <w:jc w:val="left"/>
        <w:spacing w:line="360" w:lineRule="auto"/>
        <w:rPr>
          <w:rFonts w:hint="eastAsia" w:ascii="宋体" w:hAnsi="宋体" w:cs="宋体"/>
          <w:b/>
          <w:bCs/>
          <w:szCs w:val="21"/>
        </w:rPr>
      </w:pPr>
      <w:r>
        <w:rPr>
          <w:rFonts w:hint="eastAsia" w:ascii="宋体" w:hAnsi="宋体" w:cs="宋体"/>
          <w:b/>
          <w:bCs/>
          <w:szCs w:val="21"/>
        </w:rPr>
        <w:t xml:space="preserve">项目具体需求</w:t>
      </w:r>
      <w:r/>
    </w:p>
    <w:p>
      <w:pPr>
        <w:pStyle w:val="749"/>
        <w:ind w:firstLine="422"/>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（一）项目任务书</w:t>
      </w:r>
      <w:r/>
    </w:p>
    <w:p>
      <w:pPr>
        <w:pStyle w:val="749"/>
        <w:ind w:firstLine="422"/>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1、工作背景</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中央城市工作会议强调，要</w:t>
      </w:r>
      <w:r>
        <w:rPr>
          <w:rFonts w:asciiTheme="minorEastAsia" w:hAnsiTheme="minorEastAsia" w:eastAsiaTheme="minorEastAsia" w:cstheme="minorEastAsia"/>
          <w:sz w:val="21"/>
        </w:rPr>
        <w:t xml:space="preserve">认真践行人民城市理念，坚持因地制宜、分类指导，以建设创新、宜居、美丽、韧性、文明、智慧的现代化人民城市为目标，以推动城市高质量发展为主题，以坚持城市内涵式发展为主线，走出一条中国特色城市现代化新路子。</w:t>
      </w:r>
      <w:r/>
    </w:p>
    <w:p>
      <w:pPr>
        <w:ind w:firstLine="420"/>
        <w:spacing w:line="360" w:lineRule="auto"/>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 xml:space="preserve">近年来，通州湾示范区抢抓长江经济带发展、长三角一体化等多重国家战略</w:t>
      </w:r>
      <w:r>
        <w:rPr>
          <w:rFonts w:hint="eastAsia" w:asciiTheme="minorEastAsia" w:hAnsiTheme="minorEastAsia" w:eastAsiaTheme="minorEastAsia" w:cstheme="minorEastAsia"/>
          <w:szCs w:val="21"/>
        </w:rPr>
        <w:t xml:space="preserve">，推动</w:t>
      </w:r>
      <w:r>
        <w:rPr>
          <w:rFonts w:asciiTheme="minorEastAsia" w:hAnsiTheme="minorEastAsia" w:eastAsiaTheme="minorEastAsia" w:cstheme="minorEastAsia"/>
          <w:szCs w:val="21"/>
        </w:rPr>
        <w:t xml:space="preserve">新材料、智能装备、现代纺织</w:t>
      </w:r>
      <w:r>
        <w:rPr>
          <w:rFonts w:hint="eastAsia" w:asciiTheme="minorEastAsia" w:hAnsiTheme="minorEastAsia" w:eastAsiaTheme="minorEastAsia" w:cstheme="minorEastAsia"/>
          <w:szCs w:val="21"/>
        </w:rPr>
        <w:t xml:space="preserve">等</w:t>
      </w:r>
      <w:r>
        <w:rPr>
          <w:rFonts w:asciiTheme="minorEastAsia" w:hAnsiTheme="minorEastAsia" w:eastAsiaTheme="minorEastAsia" w:cstheme="minorEastAsia"/>
          <w:szCs w:val="21"/>
        </w:rPr>
        <w:t xml:space="preserve">产业</w:t>
      </w:r>
      <w:r>
        <w:rPr>
          <w:rFonts w:hint="eastAsia" w:asciiTheme="minorEastAsia" w:hAnsiTheme="minorEastAsia" w:eastAsiaTheme="minorEastAsia" w:cstheme="minorEastAsia"/>
          <w:szCs w:val="21"/>
        </w:rPr>
        <w:t xml:space="preserve">全面发展</w:t>
      </w:r>
      <w:r>
        <w:rPr>
          <w:rFonts w:asciiTheme="minorEastAsia" w:hAnsiTheme="minorEastAsia" w:eastAsiaTheme="minorEastAsia" w:cstheme="minorEastAsia"/>
          <w:szCs w:val="21"/>
        </w:rPr>
        <w:t xml:space="preserve">，驱动区域经济高速前行。</w:t>
      </w:r>
      <w:r>
        <w:rPr>
          <w:rFonts w:hint="eastAsia" w:asciiTheme="minorEastAsia" w:hAnsiTheme="minorEastAsia" w:eastAsiaTheme="minorEastAsia" w:cstheme="minorEastAsia"/>
          <w:szCs w:val="21"/>
        </w:rPr>
        <w:t xml:space="preserve">随着产业快速发展和人口持续流入，通州湾当前的城市空间环境品质和公共服务配套设施将难以匹配不断增长的现实需求，需要及时响应，开展前瞻性谋划。同时，随着蓝海新材料上下游产业链及研发总部等项目落户，市委市政府对示范区作为南通市副城提出更高的规划指引和项目保障要求，需加快研究蓝海科学城空间格局和环境品质，完善公共服务配套功能，进一步提升蓝海科学城规划水平，指导现代化滨海新城建设。</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综上所述，</w:t>
      </w:r>
      <w:r>
        <w:rPr>
          <w:rFonts w:asciiTheme="minorEastAsia" w:hAnsiTheme="minorEastAsia" w:eastAsiaTheme="minorEastAsia" w:cstheme="minorEastAsia"/>
          <w:szCs w:val="21"/>
        </w:rPr>
        <w:t xml:space="preserve">对照</w:t>
      </w:r>
      <w:r>
        <w:rPr>
          <w:rFonts w:hint="eastAsia" w:asciiTheme="minorEastAsia" w:hAnsiTheme="minorEastAsia" w:eastAsiaTheme="minorEastAsia" w:cstheme="minorEastAsia"/>
          <w:szCs w:val="21"/>
        </w:rPr>
        <w:t xml:space="preserve">中央城市工作会议精神新要求和通州湾示范区发展实际需求</w:t>
      </w:r>
      <w:r>
        <w:rPr>
          <w:rFonts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现需开展通州湾示范区蓝海科学城规划提升研究，进一步统筹空间资源要素，优化城市空间格局，推动交通联系、宜居环境、生态景观、公共服务等系统提质增效，引领通州湾未来高质量发展</w:t>
      </w:r>
      <w:r>
        <w:rPr>
          <w:rFonts w:asciiTheme="minorEastAsia" w:hAnsiTheme="minorEastAsia" w:eastAsiaTheme="minorEastAsia" w:cstheme="minorEastAsia"/>
          <w:szCs w:val="21"/>
        </w:rPr>
        <w:t xml:space="preserve">。</w:t>
      </w:r>
      <w:r/>
    </w:p>
    <w:p>
      <w:pPr>
        <w:pStyle w:val="749"/>
        <w:ind w:firstLine="422"/>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2、工作范围</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本次规划分两个层次开展工作。</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总体研究范围：东至海堤，北至通海大道，南至团结河，西至临海快速路（G328），总面积约75.6平方公里。</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重点规划范围：聚焦蓝海科学城，东、北至堤顶路，南至团结河，西至纳潮河，总面积约6.2平方公里。</w:t>
      </w:r>
      <w:r/>
    </w:p>
    <w:p>
      <w:pPr>
        <w:pStyle w:val="749"/>
        <w:ind w:firstLine="422"/>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3、主要工作内容</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ab/>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是总体发展战略研究。全面分析宏观发展环境、上级政策导向，科学解读上位规划，梳理区域资源，提炼现状问题诉求等。综合研判，提出通州湾示范区空间品质提升总体发展战略，包括目标愿景、功能定位、空间格局和核心理念等。</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是重点系统提升策略。面向总体研究区域，落实总体战略，评估既有规划，衔接交通、产业、生态等各类专项规划和专题研究，针对交通体系、公共服务、生态景观等重点系统，提出优化策略和具体措施，形成近远期工作重点建议。进一步落实各系统策略，绘制一张蓝图，形成总体层面结构性用地指引。</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是重点片区规划设计。聚焦蓝海科学城片区，传导总体战略格局和重点系统策略，进行规划设计提升研究。一是梳理现状问题，提出提升策略和优化建议，完善设施配套，提出用地布局优化建议。二是统筹空间设计，聚焦风貌形象，提升城市品质。三是结合土地动态、项目招引和相关建设计划，</w:t>
      </w:r>
      <w:r>
        <w:rPr>
          <w:rFonts w:hint="eastAsia" w:asciiTheme="minorEastAsia" w:hAnsiTheme="minorEastAsia" w:eastAsiaTheme="minorEastAsia" w:cstheme="minorEastAsia"/>
          <w:szCs w:val="21"/>
        </w:rPr>
        <w:t xml:space="preserve">提出建议项目清单和时序建议。</w:t>
      </w:r>
      <w:r/>
    </w:p>
    <w:p>
      <w:pPr>
        <w:pStyle w:val="749"/>
        <w:ind w:firstLine="422"/>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（二）采购标的成果要求</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根据委托方整体工作推进安排，持续开展规划咨询服务，过程中进行阶段性汇报并提交阶段性成果。</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项目完成时提供最终技术服务成果：</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（1）纸质版成果（本次研究的综合报告）；</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（2）电子版成果（需包含纸质版规划成果全部内容，PDF 格式）。</w:t>
      </w:r>
      <w:r/>
    </w:p>
    <w:p>
      <w:pPr>
        <w:pStyle w:val="749"/>
        <w:ind w:firstLine="422"/>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（三）采购标的的其他技术、服务等要求：</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中标人应具备使用保密数据功能的设备。</w:t>
      </w:r>
      <w:r/>
    </w:p>
    <w:p>
      <w:pPr>
        <w:pStyle w:val="750"/>
        <w:ind w:firstLine="420"/>
        <w:jc w:val="both"/>
        <w:spacing w:line="360" w:lineRule="auto"/>
        <w:rPr>
          <w:rFonts w:hint="eastAsia" w:asciiTheme="minorEastAsia" w:hAnsiTheme="minorEastAsia" w:eastAsiaTheme="minorEastAsia" w:cstheme="minorEastAsia"/>
          <w:sz w:val="21"/>
          <w:lang w:val="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中标</w:t>
      </w:r>
      <w:r>
        <w:rPr>
          <w:rFonts w:hint="eastAsia" w:asciiTheme="minorEastAsia" w:hAnsiTheme="minorEastAsia" w:eastAsiaTheme="minorEastAsia" w:cstheme="minorEastAsia"/>
          <w:sz w:val="21"/>
          <w:lang w:val="zh-CN"/>
        </w:rPr>
        <w:t xml:space="preserve">人应明确项目组人员名单，未经采购人同意不得更换项目组主要设计人员，并根据实际工作需要及时投入人员。</w:t>
      </w:r>
      <w:r/>
    </w:p>
    <w:p>
      <w:pPr>
        <w:pStyle w:val="749"/>
        <w:ind w:firstLine="422"/>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（四）采购标的需执行的国家相关标准、行业标准、地方标准或者其他标准、规范：</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1、《中华人民共和国城乡规划法》（2019年修正）</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2、《中华人民共和国土地管理法》（2019年修正）</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3、《国土空间调查、规划、用途管制用地用海分类指南》（自然资办发〔2020〕51号）</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4、《社区生活圈规划技术指南》（TD/T 1062-2021）</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5、《国土空间规划城市设计指南》（TD/T 1065-2021）</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6、《江苏省城乡规划条例》（2019年修订）</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7、《江苏省土地管理条例》（2021年修订）</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8、《江苏省建设用地指标》（2022年版）</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9、《江苏省城镇开发边界内详细规划编制指南（试行）》</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10、《江苏省城镇开发边界内详细规划空间数据库标准（试行）》</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11、《江苏省城市规划管理技术规定南通市实施细则》（2023年版）</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12、《南通市国土空间总体规划（2021—2035）》</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13、《通州湾示范区国土空间分区规划（2021—2035）》（阶段成果）</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14、各类专项规划与专题研究</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服务的技术标准按国家标准执行，无国家标准的，按行业标准执行，无国家和行业标准的，按企业标准执行。</w:t>
      </w:r>
      <w:r/>
    </w:p>
    <w:p>
      <w:pPr>
        <w:rPr>
          <w:lang w:val="zh-CN"/>
        </w:rPr>
      </w:pPr>
      <w:r>
        <w:rPr>
          <w:lang w:val="zh-CN"/>
        </w:rPr>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二、其他要求</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1.交货期（服务周期）：自合同签定之日起</w:t>
      </w:r>
      <w:r>
        <w:rPr>
          <w:rFonts w:hint="eastAsia" w:asciiTheme="minorEastAsia" w:hAnsiTheme="minorEastAsia" w:eastAsiaTheme="minorEastAsia" w:cstheme="minorEastAsia"/>
          <w:sz w:val="21"/>
        </w:rPr>
        <w:t xml:space="preserve">至2026年底</w:t>
      </w:r>
      <w:r>
        <w:rPr>
          <w:rFonts w:hint="eastAsia" w:asciiTheme="minorEastAsia" w:hAnsiTheme="minorEastAsia" w:eastAsiaTheme="minorEastAsia" w:cstheme="minorEastAsia"/>
          <w:sz w:val="21"/>
        </w:rPr>
        <w:t xml:space="preserve">。</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2.交货（服务）地点：南通市通州湾江海联动开发示范区。</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3.售后服务及其他（含安装、调试、培训、维护等）：投标人响应报价应包括招标文件所确定的该项目的全部内容，包括响应及完成委托工作所需的一切费用，包含但不限于如设备、人工、数据收集、方案编制、专家论证、税费、利润及相关劳务支出等工作所发生的全部费用以及企业利润、税金</w:t>
      </w:r>
      <w:r>
        <w:rPr>
          <w:rFonts w:hint="eastAsia" w:asciiTheme="minorEastAsia" w:hAnsiTheme="minorEastAsia" w:eastAsiaTheme="minorEastAsia" w:cstheme="minorEastAsia"/>
          <w:sz w:val="21"/>
        </w:rPr>
        <w:t xml:space="preserve">和政策性文件规定及合同包含的所有风险、责任，即响应本招标文件规定的各项应有费用。</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4.知识产权</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中标人应保护采购人的知识产权。</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三、付款方式</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按规划进度，采用分期付款方式：</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合同签定后一个月内，支付合同经费的40%；</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提交中间成果并经甲方认可后一个月内，支付合同经费的40%；</w:t>
      </w:r>
      <w:r/>
    </w:p>
    <w:p>
      <w:pPr>
        <w:pStyle w:val="750"/>
        <w:ind w:firstLine="420"/>
        <w:jc w:val="both"/>
        <w:spacing w:line="360" w:lineRule="auto"/>
        <w:rPr>
          <w:rFonts w:hint="eastAsia" w:asciiTheme="minorEastAsia" w:hAnsiTheme="minorEastAsia" w:eastAsiaTheme="minorEastAsia" w:cstheme="minorEastAsia"/>
          <w:sz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rPr>
        <w:t xml:space="preserve">提交最终成果并经甲方认可后一个月内，支付合同经费的20%。</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四、采购标的对应的中小企业划分标准所属行业一览表</w:t>
      </w:r>
      <w:r/>
    </w:p>
    <w:tbl>
      <w:tblPr>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31"/>
        <w:gridCol w:w="4322"/>
        <w:gridCol w:w="3747"/>
      </w:tblGrid>
      <w:tr>
        <w:trPr>
          <w:cantSplit/>
          <w:jc w:val="center"/>
        </w:trPr>
        <w:tc>
          <w:tcPr>
            <w:tcW w:w="70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229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采购标的</w:t>
            </w:r>
            <w:r/>
          </w:p>
        </w:tc>
        <w:tc>
          <w:tcPr>
            <w:tcW w:w="199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对应中小企业划分标准所属行业</w:t>
            </w:r>
            <w:r/>
          </w:p>
        </w:tc>
      </w:tr>
      <w:tr>
        <w:trPr>
          <w:cantSplit/>
          <w:jc w:val="center"/>
          <w:trHeight w:val="291"/>
        </w:trPr>
        <w:tc>
          <w:tcPr>
            <w:tcW w:w="70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229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通州湾示范区蓝海科学城规划提升研究</w:t>
            </w:r>
            <w:r/>
          </w:p>
        </w:tc>
        <w:tc>
          <w:tcPr>
            <w:tcW w:w="199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其他未列明行业</w:t>
            </w:r>
            <w:r/>
          </w:p>
        </w:tc>
      </w:tr>
    </w:tbl>
    <w:p>
      <w:r/>
      <w:r/>
    </w:p>
    <w:p>
      <w:pPr>
        <w:rPr>
          <w:rFonts w:hint="eastAsia" w:ascii="宋体" w:hAnsi="宋体"/>
          <w:bCs/>
          <w:sz w:val="36"/>
          <w:szCs w:val="36"/>
        </w:rPr>
      </w:pPr>
      <w:r>
        <w:rPr>
          <w:rFonts w:hint="eastAsia" w:ascii="宋体" w:hAnsi="宋体"/>
          <w:bCs/>
          <w:sz w:val="36"/>
          <w:szCs w:val="36"/>
        </w:rPr>
        <w:br w:type="page" w:clear="all"/>
      </w:r>
      <w:r/>
    </w:p>
    <w:p>
      <w:pPr>
        <w:ind w:firstLine="281"/>
        <w:jc w:val="center"/>
        <w:spacing w:line="360" w:lineRule="auto"/>
        <w:rPr>
          <w:rFonts w:hint="eastAsia" w:ascii="宋体" w:hAnsi="宋体"/>
          <w:b/>
          <w:sz w:val="36"/>
          <w:szCs w:val="36"/>
        </w:rPr>
        <w:outlineLvl w:val="0"/>
      </w:pPr>
      <w:r>
        <w:rPr>
          <w:rFonts w:hint="eastAsia" w:ascii="宋体" w:hAnsi="宋体"/>
          <w:b/>
          <w:sz w:val="36"/>
          <w:szCs w:val="36"/>
        </w:rPr>
        <w:t xml:space="preserve">第四部分  评标方法与评标标准</w:t>
      </w:r>
      <w:r/>
    </w:p>
    <w:p>
      <w:pPr>
        <w:ind w:firstLine="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Theme="minorEastAsia" w:hAnsiTheme="minorEastAsia" w:eastAsiaTheme="minorEastAsia" w:cstheme="minorEastAsia"/>
          <w:szCs w:val="21"/>
        </w:rPr>
        <w:t xml:space="preserve">所有得分计算</w:t>
      </w:r>
      <w:r>
        <w:rPr>
          <w:rFonts w:asciiTheme="minorEastAsia" w:hAnsiTheme="minorEastAsia" w:eastAsiaTheme="minorEastAsia" w:cstheme="minorEastAsia"/>
          <w:szCs w:val="21"/>
        </w:rPr>
        <w:t xml:space="preserve">四舍五入保留两位小数</w:t>
      </w:r>
      <w:r>
        <w:rPr>
          <w:rFonts w:hint="eastAsia" w:asciiTheme="minorEastAsia" w:hAnsiTheme="minorEastAsia" w:eastAsiaTheme="minorEastAsia" w:cstheme="minorEastAsia"/>
          <w:szCs w:val="21"/>
        </w:rPr>
        <w:t xml:space="preserve">。</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888"/>
        <w:gridCol w:w="5912"/>
      </w:tblGrid>
      <w:tr>
        <w:trPr/>
        <w:tc>
          <w:tcPr>
            <w:tcW w:w="2888"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选取中标候选人数量</w:t>
            </w:r>
            <w:r/>
          </w:p>
        </w:tc>
        <w:tc>
          <w:tcPr>
            <w:tcW w:w="591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选取中标候选人的原则</w:t>
            </w:r>
            <w:r/>
          </w:p>
        </w:tc>
      </w:tr>
      <w:tr>
        <w:trPr/>
        <w:tc>
          <w:tcPr>
            <w:tcW w:w="2888"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W w:w="5912" w:type="dxa"/>
            <w:vAlign w:val="center"/>
            <w:textDirection w:val="lrTb"/>
            <w:noWrap w:val="false"/>
          </w:tcPr>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满足招标文件全部实质性要求，且按照评审因素的量化指标评审得分最高的投标人为中标候选人。</w:t>
            </w:r>
            <w:r/>
          </w:p>
        </w:tc>
      </w:tr>
    </w:tbl>
    <w:p>
      <w:pPr>
        <w:pStyle w:val="839"/>
        <w:numPr>
          <w:ilvl w:val="0"/>
          <w:numId w:val="10"/>
        </w:numPr>
        <w:spacing w:line="360" w:lineRule="auto"/>
        <w:rPr>
          <w:rFonts w:hint="eastAsia" w:asciiTheme="minorEastAsia" w:hAnsiTheme="minorEastAsia" w:eastAsiaTheme="minorEastAsia" w:cstheme="minorEastAsia"/>
          <w:b/>
          <w:bCs/>
          <w:szCs w:val="21"/>
        </w:rPr>
      </w:pPr>
      <w:r>
        <w:rPr>
          <w:rFonts w:asciiTheme="minorEastAsia" w:hAnsiTheme="minorEastAsia" w:eastAsiaTheme="minorEastAsia" w:cstheme="minorEastAsia"/>
          <w:b/>
          <w:bCs/>
          <w:szCs w:val="21"/>
        </w:rPr>
        <w:t xml:space="preserve">政府采购政策功能落实</w:t>
      </w:r>
      <w:r/>
    </w:p>
    <w:p>
      <w:pPr>
        <w:ind w:left="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1.小微型企业价格扣除</w:t>
      </w:r>
      <w:r/>
    </w:p>
    <w:p>
      <w:pPr>
        <w:ind w:left="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（1）本项目对小型和微型企业产品给予</w:t>
      </w: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0%的扣除价格，用扣除后的价格参与评审。</w:t>
      </w:r>
      <w:r/>
    </w:p>
    <w:p>
      <w:pPr>
        <w:ind w:left="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（2）投标人需按照招标文件的要求提供相应的《中小企业声明函》。</w:t>
      </w:r>
      <w:r/>
    </w:p>
    <w:p>
      <w:pPr>
        <w:ind w:left="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（3）企业标准请参照《关于印发中小企业划型标准规定的通知》（工信部联企业[2011]300号）文件规定自行填写。</w:t>
      </w:r>
      <w:r/>
    </w:p>
    <w:p>
      <w:pPr>
        <w:ind w:left="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2.残疾人福利单位价格扣除</w:t>
      </w:r>
      <w:r/>
    </w:p>
    <w:p>
      <w:pPr>
        <w:ind w:left="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（1）本项目对残疾人福利性单位视同小型、微型企业，给予</w:t>
      </w: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0%的价格扣除，用扣除后的价格参与评审。</w:t>
      </w:r>
      <w:r/>
    </w:p>
    <w:p>
      <w:pPr>
        <w:ind w:left="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（2）残疾人福利单位需按照招标文件的要求提供《残疾人福利性单位声明函》。</w:t>
      </w:r>
      <w:r/>
    </w:p>
    <w:p>
      <w:pPr>
        <w:ind w:left="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（3）残疾人福利单位标准请参照《关于促进残疾人就业政府采购政策的通知》（财库〔2017〕141号）。</w:t>
      </w:r>
      <w:r/>
    </w:p>
    <w:p>
      <w:pPr>
        <w:ind w:left="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3.监狱和戒毒企业价格扣除</w:t>
      </w:r>
      <w:r/>
    </w:p>
    <w:p>
      <w:pPr>
        <w:ind w:left="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（1）本项目对监狱和戒毒企业（简称监狱企业）视同小型、微型企业，给予</w:t>
      </w: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0%的价格扣除，用扣除后的价格参与评审。</w:t>
      </w:r>
      <w:r/>
    </w:p>
    <w:p>
      <w:pPr>
        <w:ind w:left="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left="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（3）监狱企业标准请参照《关于政府采购支持监狱企业发展有关问题的通知》（财库[2014]68号）。</w:t>
      </w:r>
      <w:r/>
    </w:p>
    <w:p>
      <w:pPr>
        <w:ind w:left="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4.残疾人福利单位、监狱企业属于小型、微型企业的，不重复享受政策。</w:t>
      </w:r>
      <w:r/>
    </w:p>
    <w:p>
      <w:pPr>
        <w:ind w:left="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如本项目同意联合体参加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6.联合体各方均为小型、微型企业（残疾人福利单位、监狱企业）的，联合体享受</w:t>
      </w: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0%价格扣除，用扣除后的价格参与评审。</w:t>
      </w:r>
      <w:r/>
    </w:p>
    <w:p>
      <w:pPr>
        <w:ind w:firstLine="555"/>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二、评标方法与评标标准</w:t>
      </w:r>
      <w:r/>
    </w:p>
    <w:p>
      <w:pPr>
        <w:ind w:firstLine="555"/>
        <w:spacing w:line="360" w:lineRule="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Cs w:val="21"/>
        </w:rPr>
        <w:t xml:space="preserve">一</w:t>
      </w:r>
      <w:r>
        <w:rPr>
          <w:rFonts w:hint="eastAsia" w:asciiTheme="minorEastAsia" w:hAnsiTheme="minorEastAsia" w:eastAsiaTheme="minorEastAsia" w:cstheme="minorEastAsia"/>
          <w:szCs w:val="21"/>
          <w:lang w:val="zh-CN"/>
        </w:rPr>
        <w:t xml:space="preserve">）价格</w:t>
      </w:r>
      <w:r>
        <w:rPr>
          <w:rFonts w:hint="eastAsia" w:asciiTheme="minorEastAsia" w:hAnsiTheme="minorEastAsia" w:eastAsiaTheme="minorEastAsia" w:cstheme="minorEastAsia"/>
          <w:szCs w:val="21"/>
        </w:rPr>
        <w:t xml:space="preserve">份：10分</w:t>
      </w:r>
      <w:r/>
    </w:p>
    <w:p>
      <w:pPr>
        <w:ind w:firstLine="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价格分统一采用低价优先法计算，即满足招标文件要求且投标价格最低的投标报价为评标基准价，其价格分为满分。其他投标人的价格分统一按照下列公式计算：</w:t>
      </w:r>
      <w:r/>
    </w:p>
    <w:p>
      <w:pPr>
        <w:ind w:firstLine="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投标报价得分=（评标基准价/投标报价）×价格权值×100</w:t>
      </w:r>
      <w:r/>
    </w:p>
    <w:p>
      <w:pPr>
        <w:ind w:firstLine="555"/>
        <w:spacing w:line="360" w:lineRule="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Cs w:val="21"/>
        </w:rPr>
        <w:t xml:space="preserve">二</w:t>
      </w:r>
      <w:r>
        <w:rPr>
          <w:rFonts w:hint="eastAsia" w:asciiTheme="minorEastAsia" w:hAnsiTheme="minorEastAsia" w:eastAsiaTheme="minorEastAsia" w:cstheme="minorEastAsia"/>
          <w:szCs w:val="21"/>
          <w:lang w:val="zh-CN"/>
        </w:rPr>
        <w:t xml:space="preserve">）商务技术分：90分</w:t>
      </w:r>
      <w:r/>
    </w:p>
    <w:p>
      <w:pPr>
        <w:ind w:firstLine="55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各投标人得分为评委会成员评分的算术平均分，分值四舍五入保留小数点后两位。</w:t>
      </w:r>
      <w:r/>
    </w:p>
    <w:tbl>
      <w:tblPr>
        <w:tblW w:w="96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1"/>
        <w:gridCol w:w="894"/>
        <w:gridCol w:w="1092"/>
        <w:gridCol w:w="6116"/>
        <w:gridCol w:w="856"/>
      </w:tblGrid>
      <w:tr>
        <w:trPr>
          <w:jc w:val="center"/>
          <w:trHeight w:val="454"/>
          <w:tblHeader/>
        </w:trPr>
        <w:tc>
          <w:tcPr>
            <w:tcW w:w="651" w:type="dxa"/>
            <w:vAlign w:val="center"/>
            <w:textDirection w:val="lrTb"/>
            <w:noWrap w:val="false"/>
          </w:tcPr>
          <w:p>
            <w:pPr>
              <w:pStyle w:val="759"/>
              <w:ind w:firstLine="0"/>
              <w:jc w:val="center"/>
              <w:spacing w:line="360" w:lineRule="auto"/>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 xml:space="preserve">序号</w:t>
            </w:r>
            <w:r/>
          </w:p>
        </w:tc>
        <w:tc>
          <w:tcPr>
            <w:gridSpan w:val="2"/>
            <w:tcW w:w="1986" w:type="dxa"/>
            <w:vAlign w:val="center"/>
            <w:textDirection w:val="lrTb"/>
            <w:noWrap w:val="false"/>
          </w:tcPr>
          <w:p>
            <w:pPr>
              <w:pStyle w:val="759"/>
              <w:ind w:firstLine="0"/>
              <w:jc w:val="cente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评审项目</w:t>
            </w:r>
            <w:r/>
          </w:p>
        </w:tc>
        <w:tc>
          <w:tcPr>
            <w:tcW w:w="6116" w:type="dxa"/>
            <w:vAlign w:val="center"/>
            <w:textDirection w:val="lrTb"/>
            <w:noWrap w:val="false"/>
          </w:tcPr>
          <w:p>
            <w:pPr>
              <w:jc w:val="center"/>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zh-CN"/>
              </w:rPr>
              <w:t xml:space="preserve">评分要求</w:t>
            </w:r>
            <w:r/>
          </w:p>
        </w:tc>
        <w:tc>
          <w:tcPr>
            <w:tcW w:w="856" w:type="dxa"/>
            <w:vAlign w:val="center"/>
            <w:textDirection w:val="lrTb"/>
            <w:noWrap w:val="false"/>
          </w:tcPr>
          <w:p>
            <w:pPr>
              <w:jc w:val="center"/>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分值</w:t>
            </w:r>
            <w:r/>
          </w:p>
        </w:tc>
      </w:tr>
      <w:tr>
        <w:trPr>
          <w:jc w:val="center"/>
          <w:trHeight w:val="2300"/>
        </w:trPr>
        <w:tc>
          <w:tcPr>
            <w:tcW w:w="651" w:type="dxa"/>
            <w:vAlign w:val="center"/>
            <w:vMerge w:val="restart"/>
            <w:textDirection w:val="lrTb"/>
            <w:noWrap w:val="false"/>
          </w:tcPr>
          <w:p>
            <w:pPr>
              <w:pStyle w:val="759"/>
              <w:ind w:firstLine="0"/>
              <w:jc w:val="center"/>
              <w:spacing w:line="360" w:lineRule="auto"/>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rPr>
              <w:t xml:space="preserve">1</w:t>
            </w:r>
            <w:r/>
          </w:p>
        </w:tc>
        <w:tc>
          <w:tcPr>
            <w:tcW w:w="894" w:type="dxa"/>
            <w:vAlign w:val="center"/>
            <w:vMerge w:val="restart"/>
            <w:textDirection w:val="lrTb"/>
            <w:noWrap w:val="false"/>
          </w:tcPr>
          <w:p>
            <w:pPr>
              <w:pStyle w:val="759"/>
              <w:ind w:firstLine="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投标人实力</w:t>
            </w:r>
            <w:r/>
          </w:p>
          <w:p>
            <w:pPr>
              <w:pStyle w:val="759"/>
              <w:ind w:firstLine="0"/>
              <w:jc w:val="cente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（满分30分）</w:t>
            </w:r>
            <w:r/>
          </w:p>
        </w:tc>
        <w:tc>
          <w:tcPr>
            <w:tcW w:w="1092" w:type="dxa"/>
            <w:vAlign w:val="center"/>
            <w:textDirection w:val="lrTb"/>
            <w:noWrap w:val="false"/>
          </w:tcPr>
          <w:p>
            <w:pPr>
              <w:jc w:val="center"/>
              <w:spacing w:line="500" w:lineRule="exact"/>
              <w:widowControl/>
              <w:rPr>
                <w:rFonts w:hint="eastAsia" w:ascii="宋体" w:hAnsi="宋体" w:cs="仿宋"/>
                <w:szCs w:val="21"/>
                <w:lang w:bidi="ar"/>
              </w:rPr>
            </w:pPr>
            <w:r>
              <w:rPr>
                <w:rFonts w:hint="eastAsia" w:ascii="宋体" w:hAnsi="宋体" w:cs="仿宋"/>
                <w:szCs w:val="21"/>
                <w:lang w:bidi="ar"/>
              </w:rPr>
              <w:t xml:space="preserve">同类项目编制经验</w:t>
            </w:r>
            <w:r/>
          </w:p>
        </w:tc>
        <w:tc>
          <w:tcPr>
            <w:tcW w:w="6116" w:type="dxa"/>
            <w:vAlign w:val="center"/>
            <w:textDirection w:val="lrTb"/>
            <w:noWrap w:val="false"/>
          </w:tcPr>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202</w:t>
            </w: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年1月1日至今（以合同签订时间为准），承接编制过的类似项目，如发展战略研究类、总体规划类、城市设计类、城市更新和品质提升类等，每有一个得2分，最高8分。</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注：项目业绩提供有效合同扫描件（至少包含合同首页、盖章页及能证明合同主要服务内容的关键信息）。</w:t>
            </w:r>
            <w:r/>
          </w:p>
        </w:tc>
        <w:tc>
          <w:tcPr>
            <w:tcW w:w="856"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p>
        </w:tc>
      </w:tr>
      <w:tr>
        <w:trPr>
          <w:jc w:val="center"/>
          <w:trHeight w:val="2829"/>
        </w:trPr>
        <w:tc>
          <w:tcPr>
            <w:tcW w:w="651" w:type="dxa"/>
            <w:vAlign w:val="center"/>
            <w:vMerge w:val="continue"/>
            <w:textDirection w:val="lrTb"/>
            <w:noWrap w:val="false"/>
          </w:tcPr>
          <w:p>
            <w:pPr>
              <w:pStyle w:val="759"/>
              <w:ind w:firstLine="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94" w:type="dxa"/>
            <w:vAlign w:val="center"/>
            <w:vMerge w:val="continue"/>
            <w:textDirection w:val="lrTb"/>
            <w:noWrap w:val="false"/>
          </w:tcPr>
          <w:p>
            <w:pPr>
              <w:pStyle w:val="759"/>
              <w:ind w:firstLine="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92" w:type="dxa"/>
            <w:vAlign w:val="center"/>
            <w:textDirection w:val="lrTb"/>
            <w:noWrap w:val="false"/>
          </w:tcPr>
          <w:p>
            <w:pPr>
              <w:jc w:val="center"/>
              <w:spacing w:line="500" w:lineRule="exact"/>
              <w:widowControl/>
              <w:rPr>
                <w:rFonts w:hint="eastAsia" w:ascii="宋体" w:hAnsi="宋体" w:cs="仿宋"/>
                <w:szCs w:val="21"/>
                <w:lang w:bidi="ar"/>
              </w:rPr>
            </w:pPr>
            <w:r>
              <w:rPr>
                <w:rFonts w:hint="eastAsia" w:ascii="宋体" w:hAnsi="宋体" w:cs="仿宋"/>
                <w:szCs w:val="21"/>
                <w:lang w:bidi="ar"/>
              </w:rPr>
              <w:t xml:space="preserve">投标人承接项目获奖情况</w:t>
            </w:r>
            <w:r/>
          </w:p>
        </w:tc>
        <w:tc>
          <w:tcPr>
            <w:tcW w:w="6116" w:type="dxa"/>
            <w:vAlign w:val="center"/>
            <w:textDirection w:val="lrTb"/>
            <w:noWrap w:val="false"/>
          </w:tcPr>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202</w:t>
            </w: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年1月1日至今（以获奖证书颁发时间为准），承接的规划设计研究类项目获奖情况：国家级奖项每提供一个得2分，省（直辖市）级奖项每提供一个得1.5分，市级奖项每提供一个得1分，本项最高8分。同一项目按最高荣誉计分，不重复计分。</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注：（1）提供奖项证书复印件（或扫描件）加盖投标人公章，否则不得分。（2）同一项目获得多个奖项的仅计分一次。</w:t>
            </w:r>
            <w:r/>
          </w:p>
        </w:tc>
        <w:tc>
          <w:tcPr>
            <w:tcW w:w="856"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p>
        </w:tc>
      </w:tr>
      <w:tr>
        <w:trPr>
          <w:jc w:val="center"/>
          <w:trHeight w:val="454"/>
        </w:trPr>
        <w:tc>
          <w:tcPr>
            <w:tcW w:w="651" w:type="dxa"/>
            <w:vAlign w:val="center"/>
            <w:vMerge w:val="continue"/>
            <w:textDirection w:val="lrTb"/>
            <w:noWrap w:val="false"/>
          </w:tcPr>
          <w:p>
            <w:pPr>
              <w:pStyle w:val="759"/>
              <w:ind w:firstLine="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94" w:type="dxa"/>
            <w:vAlign w:val="center"/>
            <w:vMerge w:val="continue"/>
            <w:textDirection w:val="lrTb"/>
            <w:noWrap w:val="false"/>
          </w:tcPr>
          <w:p>
            <w:pPr>
              <w:pStyle w:val="759"/>
              <w:ind w:firstLine="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92" w:type="dxa"/>
            <w:vAlign w:val="center"/>
            <w:textDirection w:val="lrTb"/>
            <w:noWrap w:val="false"/>
          </w:tcPr>
          <w:p>
            <w:pPr>
              <w:pStyle w:val="759"/>
              <w:ind w:firstLine="0"/>
              <w:jc w:val="center"/>
              <w:spacing w:line="360" w:lineRule="auto"/>
              <w:rPr>
                <w:rFonts w:hint="eastAsia" w:asciiTheme="minorEastAsia" w:hAnsiTheme="minorEastAsia" w:eastAsiaTheme="minorEastAsia" w:cstheme="minorEastAsia"/>
                <w:b/>
                <w:bCs/>
                <w:sz w:val="21"/>
                <w:szCs w:val="21"/>
              </w:rPr>
            </w:pPr>
            <w:r>
              <w:rPr>
                <w:rFonts w:hint="eastAsia" w:ascii="宋体" w:hAnsi="宋体" w:cs="仿宋"/>
                <w:sz w:val="21"/>
                <w:szCs w:val="21"/>
                <w:lang w:bidi="ar"/>
              </w:rPr>
              <w:t xml:space="preserve">团队人员情况</w:t>
            </w:r>
            <w:r/>
          </w:p>
        </w:tc>
        <w:tc>
          <w:tcPr>
            <w:tcW w:w="6116" w:type="dxa"/>
            <w:vAlign w:val="center"/>
            <w:textDirection w:val="lrTb"/>
            <w:noWrap w:val="false"/>
          </w:tcPr>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拟投入项目组成员（不含项目负责人）：</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投标人需在投标文件中提供人员组成表，表格内容至少包含人员的姓名、职称类别、专业类别、工作年限等基础信息，</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（1）每有一人具有城市规划、交通、建筑、景观、市政相关等专业高级或以上职称得2分，中级职称每人得1分，最高得6分；</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（2）每有一个注册城市（乡）规划师得1分，最高2分。</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1）提供有效证书及投标供应商近一个月为其缴纳社保的证明扫描件。如职称证书未能体现专业的须提供毕业证书作为佐证材料，否则不得分。（2）若职称证书不显示专业，则以毕业证书或学位证书或专业技术资格评审申报表上所注专业为准。</w:t>
            </w:r>
            <w:r/>
          </w:p>
        </w:tc>
        <w:tc>
          <w:tcPr>
            <w:tcW w:w="856"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p>
        </w:tc>
      </w:tr>
      <w:tr>
        <w:trPr>
          <w:jc w:val="center"/>
          <w:trHeight w:val="2012"/>
        </w:trPr>
        <w:tc>
          <w:tcPr>
            <w:tcW w:w="651" w:type="dxa"/>
            <w:vAlign w:val="center"/>
            <w:vMerge w:val="continue"/>
            <w:textDirection w:val="lrTb"/>
            <w:noWrap w:val="false"/>
          </w:tcPr>
          <w:p>
            <w:pPr>
              <w:pStyle w:val="759"/>
              <w:ind w:firstLine="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94" w:type="dxa"/>
            <w:vAlign w:val="center"/>
            <w:vMerge w:val="continue"/>
            <w:textDirection w:val="lrTb"/>
            <w:noWrap w:val="false"/>
          </w:tcPr>
          <w:p>
            <w:pPr>
              <w:pStyle w:val="759"/>
              <w:ind w:firstLine="0"/>
              <w:jc w:val="cente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tc>
        <w:tc>
          <w:tcPr>
            <w:tcW w:w="1092" w:type="dxa"/>
            <w:vAlign w:val="center"/>
            <w:textDirection w:val="lrTb"/>
            <w:noWrap w:val="false"/>
          </w:tcPr>
          <w:p>
            <w:pPr>
              <w:jc w:val="center"/>
              <w:spacing w:line="500" w:lineRule="exact"/>
              <w:widowControl/>
              <w:rPr>
                <w:rFonts w:hint="eastAsia" w:ascii="宋体" w:hAnsi="宋体" w:cs="仿宋"/>
                <w:szCs w:val="21"/>
                <w:lang w:bidi="ar"/>
              </w:rPr>
            </w:pPr>
            <w:r>
              <w:rPr>
                <w:rFonts w:hint="eastAsia" w:ascii="宋体" w:hAnsi="宋体" w:cs="仿宋"/>
                <w:szCs w:val="21"/>
                <w:lang w:bidi="ar"/>
              </w:rPr>
              <w:t xml:space="preserve">项目负责人情况</w:t>
            </w:r>
            <w:r/>
          </w:p>
        </w:tc>
        <w:tc>
          <w:tcPr>
            <w:tcW w:w="6116" w:type="dxa"/>
            <w:textDirection w:val="lrTb"/>
            <w:noWrap w:val="false"/>
          </w:tcPr>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拟投入项目组负责人：</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（1）具有规划类专业高级或以上职称的得2分；</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（2）被相关行业主管部门评定为省（直辖市）级及以上国土空间规划设计大师的得2分；</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项目负责人获奖：负责人参与过的规划类项目，获得国家级奖项的每个得2分，获得省（直辖市）级奖项的每个得1.5分，获得市级奖项的每个得1分，最高得2分。最多按三个项目计，同一项目获奖按最高获奖计分，不重复计分。</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注：提供有效证书（或证明）及投标供应商近一个月为其缴纳社保的证明扫描件。</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本项最高得6分。</w:t>
            </w:r>
            <w:r/>
          </w:p>
        </w:tc>
        <w:tc>
          <w:tcPr>
            <w:tcW w:w="856"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r>
      <w:tr>
        <w:trPr>
          <w:jc w:val="center"/>
          <w:trHeight w:val="454"/>
        </w:trPr>
        <w:tc>
          <w:tcPr>
            <w:tcW w:w="651" w:type="dxa"/>
            <w:vAlign w:val="center"/>
            <w:vMerge w:val="restart"/>
            <w:textDirection w:val="lrTb"/>
            <w:noWrap w:val="false"/>
          </w:tcPr>
          <w:p>
            <w:pPr>
              <w:pStyle w:val="759"/>
              <w:ind w:firstLine="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894"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技术方案（满分60分）</w:t>
            </w:r>
            <w:r/>
          </w:p>
        </w:tc>
        <w:tc>
          <w:tcPr>
            <w:tcW w:w="1092" w:type="dxa"/>
            <w:vAlign w:val="center"/>
            <w:textDirection w:val="lrTb"/>
            <w:noWrap w:val="false"/>
          </w:tcPr>
          <w:p>
            <w:pPr>
              <w:jc w:val="center"/>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项目理解</w:t>
            </w:r>
            <w:r/>
          </w:p>
        </w:tc>
        <w:tc>
          <w:tcPr>
            <w:tcW w:w="6116" w:type="dxa"/>
            <w:vAlign w:val="center"/>
            <w:textDirection w:val="lrTb"/>
            <w:noWrap w:val="false"/>
          </w:tcPr>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对本项目区域发展环境及相关政策对项目地发展带来的影响进行分析，对发展机遇进行研判。</w:t>
            </w:r>
            <w:r/>
          </w:p>
          <w:p>
            <w:pPr>
              <w:numPr>
                <w:ilvl w:val="0"/>
                <w:numId w:val="3"/>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分析全面、深入，主要内容把握准确的得6分；</w:t>
            </w:r>
            <w:r/>
          </w:p>
          <w:p>
            <w:pPr>
              <w:numPr>
                <w:ilvl w:val="0"/>
                <w:numId w:val="3"/>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分析较为全面，主要内容把握基本准确的得4分；</w:t>
            </w:r>
            <w:r/>
          </w:p>
          <w:p>
            <w:pPr>
              <w:numPr>
                <w:ilvl w:val="0"/>
                <w:numId w:val="3"/>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分析基本全面，主要内容把握基本准确的得2分；</w:t>
            </w:r>
            <w:r/>
          </w:p>
          <w:p>
            <w:pPr>
              <w:numPr>
                <w:ilvl w:val="0"/>
                <w:numId w:val="3"/>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分析不够全面，主要内容把握不够准确的得1分；</w:t>
            </w:r>
            <w:r/>
          </w:p>
          <w:p>
            <w:pPr>
              <w:numPr>
                <w:ilvl w:val="0"/>
                <w:numId w:val="3"/>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未提供不得分。</w:t>
            </w:r>
            <w:r/>
          </w:p>
        </w:tc>
        <w:tc>
          <w:tcPr>
            <w:tcW w:w="856"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r>
      <w:tr>
        <w:trPr>
          <w:jc w:val="center"/>
          <w:trHeight w:val="454"/>
        </w:trPr>
        <w:tc>
          <w:tcPr>
            <w:tcW w:w="651" w:type="dxa"/>
            <w:vAlign w:val="center"/>
            <w:vMerge w:val="continue"/>
            <w:textDirection w:val="lrTb"/>
            <w:noWrap w:val="false"/>
          </w:tcPr>
          <w:p>
            <w:pPr>
              <w:pStyle w:val="759"/>
              <w:ind w:firstLine="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94"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r>
            <w:r/>
          </w:p>
        </w:tc>
        <w:tc>
          <w:tcPr>
            <w:tcW w:w="1092" w:type="dxa"/>
            <w:vAlign w:val="center"/>
            <w:textDirection w:val="lrTb"/>
            <w:noWrap w:val="false"/>
          </w:tcPr>
          <w:p>
            <w:pPr>
              <w:jc w:val="center"/>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重难点分析和技术路径</w:t>
            </w:r>
            <w:r/>
          </w:p>
        </w:tc>
        <w:tc>
          <w:tcPr>
            <w:tcW w:w="6116" w:type="dxa"/>
            <w:vAlign w:val="center"/>
            <w:textDirection w:val="lrTb"/>
            <w:noWrap w:val="false"/>
          </w:tcPr>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立足本项目实际，剖析本次工作重难点，并提出解决思路和技术路径。</w:t>
            </w:r>
            <w:r/>
          </w:p>
          <w:p>
            <w:pPr>
              <w:numPr>
                <w:ilvl w:val="0"/>
                <w:numId w:val="4"/>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重难点问题把握精准，技术思路阐述全面、合理的得4分；</w:t>
            </w:r>
            <w:r/>
          </w:p>
          <w:p>
            <w:pPr>
              <w:numPr>
                <w:ilvl w:val="0"/>
                <w:numId w:val="4"/>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重难点问题把握较为精准，技术思路阐述较为全面、合理的得3分；</w:t>
            </w:r>
            <w:r/>
          </w:p>
          <w:p>
            <w:pPr>
              <w:numPr>
                <w:ilvl w:val="0"/>
                <w:numId w:val="4"/>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重难点问题把握基本准确，技术思路阐述基本全面、合理的得2分；</w:t>
            </w:r>
            <w:r/>
          </w:p>
          <w:p>
            <w:pPr>
              <w:numPr>
                <w:ilvl w:val="0"/>
                <w:numId w:val="4"/>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重难点问题把握一般准确，技术思路阐述不够全面、欠合理的得1分；</w:t>
            </w:r>
            <w:r/>
          </w:p>
          <w:p>
            <w:pPr>
              <w:numPr>
                <w:ilvl w:val="0"/>
                <w:numId w:val="4"/>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未提供不得分。</w:t>
            </w:r>
            <w:r/>
          </w:p>
        </w:tc>
        <w:tc>
          <w:tcPr>
            <w:tcW w:w="856"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3238"/>
        </w:trPr>
        <w:tc>
          <w:tcPr>
            <w:tcW w:w="651" w:type="dxa"/>
            <w:vAlign w:val="center"/>
            <w:vMerge w:val="continue"/>
            <w:textDirection w:val="lrTb"/>
            <w:noWrap w:val="false"/>
          </w:tcPr>
          <w:p>
            <w:pPr>
              <w:pStyle w:val="759"/>
              <w:ind w:firstLine="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94" w:type="dxa"/>
            <w:vAlign w:val="center"/>
            <w:vMerge w:val="continue"/>
            <w:textDirection w:val="lrTb"/>
            <w:noWrap w:val="false"/>
          </w:tcPr>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r>
            <w:r/>
          </w:p>
        </w:tc>
        <w:tc>
          <w:tcPr>
            <w:tcW w:w="1092" w:type="dxa"/>
            <w:vAlign w:val="center"/>
            <w:textDirection w:val="lrTb"/>
            <w:noWrap w:val="false"/>
          </w:tcPr>
          <w:p>
            <w:pPr>
              <w:jc w:val="center"/>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现状分析和规划评估</w:t>
            </w:r>
            <w:r/>
          </w:p>
        </w:tc>
        <w:tc>
          <w:tcPr>
            <w:tcW w:w="6116" w:type="dxa"/>
            <w:vAlign w:val="center"/>
            <w:textDirection w:val="lrTb"/>
            <w:noWrap w:val="false"/>
          </w:tcPr>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对本项目现状问题进行分析，准确把握现实诉求和发展瓶颈；对既有相关规划进行评估，掌握既有规划条件，发掘本次提升空间。</w:t>
            </w:r>
            <w:r/>
          </w:p>
          <w:p>
            <w:pPr>
              <w:numPr>
                <w:ilvl w:val="0"/>
                <w:numId w:val="5"/>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分析和评估全面、详实的得6分；</w:t>
            </w:r>
            <w:r/>
          </w:p>
          <w:p>
            <w:pPr>
              <w:numPr>
                <w:ilvl w:val="0"/>
                <w:numId w:val="5"/>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分析和评估较为全面、详实的得4分；</w:t>
            </w:r>
            <w:r/>
          </w:p>
          <w:p>
            <w:pPr>
              <w:numPr>
                <w:ilvl w:val="0"/>
                <w:numId w:val="5"/>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分析和评估基本全面、详实的得2分；</w:t>
            </w:r>
            <w:r/>
          </w:p>
          <w:p>
            <w:pPr>
              <w:numPr>
                <w:ilvl w:val="0"/>
                <w:numId w:val="5"/>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分析和评估不够全面、详实的得1分；</w:t>
            </w:r>
            <w:r/>
          </w:p>
          <w:p>
            <w:pPr>
              <w:numPr>
                <w:ilvl w:val="0"/>
                <w:numId w:val="5"/>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未提供不得分。</w:t>
            </w:r>
            <w:r/>
          </w:p>
        </w:tc>
        <w:tc>
          <w:tcPr>
            <w:tcW w:w="856"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r>
      <w:tr>
        <w:trPr>
          <w:jc w:val="center"/>
          <w:trHeight w:val="888"/>
        </w:trPr>
        <w:tc>
          <w:tcPr>
            <w:tcW w:w="651" w:type="dxa"/>
            <w:vAlign w:val="center"/>
            <w:vMerge w:val="continue"/>
            <w:textDirection w:val="lrTb"/>
            <w:noWrap w:val="false"/>
          </w:tcPr>
          <w:p>
            <w:pPr>
              <w:pStyle w:val="759"/>
              <w:ind w:firstLine="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94" w:type="dxa"/>
            <w:vAlign w:val="center"/>
            <w:vMerge w:val="continue"/>
            <w:textDirection w:val="lrTb"/>
            <w:noWrap w:val="false"/>
          </w:tcPr>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r>
            <w:r/>
          </w:p>
        </w:tc>
        <w:tc>
          <w:tcPr>
            <w:tcW w:w="1092" w:type="dxa"/>
            <w:vAlign w:val="center"/>
            <w:textDirection w:val="lrTb"/>
            <w:noWrap w:val="false"/>
          </w:tcPr>
          <w:p>
            <w:pPr>
              <w:jc w:val="center"/>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总体发展战略</w:t>
            </w:r>
            <w:r/>
          </w:p>
        </w:tc>
        <w:tc>
          <w:tcPr>
            <w:tcW w:w="6116" w:type="dxa"/>
            <w:vAlign w:val="center"/>
            <w:textDirection w:val="lrTb"/>
            <w:noWrap w:val="false"/>
          </w:tcPr>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针对通州湾示范区总体发展，明确目标定位，提炼发展理念，优化空间格局。</w:t>
            </w:r>
            <w:r/>
          </w:p>
          <w:p>
            <w:pPr>
              <w:numPr>
                <w:ilvl w:val="0"/>
                <w:numId w:val="6"/>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针对上述要求，阐述全面、准确的得5分；</w:t>
            </w:r>
            <w:r/>
          </w:p>
          <w:p>
            <w:pPr>
              <w:numPr>
                <w:ilvl w:val="0"/>
                <w:numId w:val="6"/>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针对上述要求，阐述较为全面、准确的得3分；</w:t>
            </w:r>
            <w:r/>
          </w:p>
          <w:p>
            <w:pPr>
              <w:numPr>
                <w:ilvl w:val="0"/>
                <w:numId w:val="6"/>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针对上述要求，阐述基本全面、准确的得2分；</w:t>
            </w:r>
            <w:r/>
          </w:p>
          <w:p>
            <w:pPr>
              <w:numPr>
                <w:ilvl w:val="0"/>
                <w:numId w:val="6"/>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针对上述要求，阐述不够全面、准确的得1分；</w:t>
            </w:r>
            <w:r/>
          </w:p>
          <w:p>
            <w:pPr>
              <w:numPr>
                <w:ilvl w:val="0"/>
                <w:numId w:val="6"/>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未提供不得分。</w:t>
            </w:r>
            <w:r/>
          </w:p>
        </w:tc>
        <w:tc>
          <w:tcPr>
            <w:tcW w:w="856"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p>
        </w:tc>
      </w:tr>
      <w:tr>
        <w:trPr>
          <w:jc w:val="center"/>
          <w:trHeight w:val="888"/>
        </w:trPr>
        <w:tc>
          <w:tcPr>
            <w:tcW w:w="651" w:type="dxa"/>
            <w:vAlign w:val="center"/>
            <w:vMerge w:val="continue"/>
            <w:textDirection w:val="lrTb"/>
            <w:noWrap w:val="false"/>
          </w:tcPr>
          <w:p>
            <w:pPr>
              <w:pStyle w:val="759"/>
              <w:ind w:firstLine="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94" w:type="dxa"/>
            <w:vAlign w:val="center"/>
            <w:vMerge w:val="continue"/>
            <w:textDirection w:val="lrTb"/>
            <w:noWrap w:val="false"/>
          </w:tcPr>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r>
            <w:r/>
          </w:p>
        </w:tc>
        <w:tc>
          <w:tcPr>
            <w:tcW w:w="1092" w:type="dxa"/>
            <w:vAlign w:val="center"/>
            <w:textDirection w:val="lrTb"/>
            <w:noWrap w:val="false"/>
          </w:tcPr>
          <w:p>
            <w:pPr>
              <w:jc w:val="center"/>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重点系统提升策略</w:t>
            </w:r>
            <w:r/>
          </w:p>
        </w:tc>
        <w:tc>
          <w:tcPr>
            <w:tcW w:w="6116" w:type="dxa"/>
            <w:vAlign w:val="center"/>
            <w:textDirection w:val="lrTb"/>
            <w:noWrap w:val="false"/>
          </w:tcPr>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立足整体区域，面向未来产城融合发展，针对交通体系、公共服务、生态景观等重点系统，提出优化策略。</w:t>
            </w:r>
            <w:r/>
          </w:p>
          <w:p>
            <w:pPr>
              <w:numPr>
                <w:ilvl w:val="0"/>
                <w:numId w:val="7"/>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相关策略前瞻、合理、扎实的得15分；</w:t>
            </w:r>
            <w:r/>
          </w:p>
          <w:p>
            <w:pPr>
              <w:numPr>
                <w:ilvl w:val="0"/>
                <w:numId w:val="7"/>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相关策略较为前瞻、合理、扎实的得12分；</w:t>
            </w:r>
            <w:r/>
          </w:p>
          <w:p>
            <w:pPr>
              <w:numPr>
                <w:ilvl w:val="0"/>
                <w:numId w:val="7"/>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相关策略基本前瞻、合理、扎实的得8分；</w:t>
            </w:r>
            <w:r/>
          </w:p>
          <w:p>
            <w:pPr>
              <w:numPr>
                <w:ilvl w:val="0"/>
                <w:numId w:val="7"/>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相关策略不够前瞻、合理、扎实的得5分；</w:t>
            </w:r>
            <w:r/>
          </w:p>
          <w:p>
            <w:pPr>
              <w:numPr>
                <w:ilvl w:val="0"/>
                <w:numId w:val="7"/>
              </w:num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未提供不得分。</w:t>
            </w:r>
            <w:r/>
          </w:p>
        </w:tc>
        <w:tc>
          <w:tcPr>
            <w:tcW w:w="856"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w:t>
            </w:r>
            <w:r/>
          </w:p>
        </w:tc>
      </w:tr>
      <w:tr>
        <w:trPr>
          <w:jc w:val="center"/>
          <w:trHeight w:val="454"/>
        </w:trPr>
        <w:tc>
          <w:tcPr>
            <w:tcW w:w="651" w:type="dxa"/>
            <w:vAlign w:val="center"/>
            <w:vMerge w:val="continue"/>
            <w:textDirection w:val="lrTb"/>
            <w:noWrap w:val="false"/>
          </w:tcPr>
          <w:p>
            <w:pPr>
              <w:pStyle w:val="759"/>
              <w:ind w:firstLine="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94" w:type="dxa"/>
            <w:vAlign w:val="center"/>
            <w:vMerge w:val="continue"/>
            <w:textDirection w:val="lrTb"/>
            <w:noWrap w:val="false"/>
          </w:tcPr>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r>
            <w:r/>
          </w:p>
        </w:tc>
        <w:tc>
          <w:tcPr>
            <w:tcW w:w="1092" w:type="dxa"/>
            <w:vAlign w:val="center"/>
            <w:textDirection w:val="lrTb"/>
            <w:noWrap w:val="false"/>
          </w:tcPr>
          <w:p>
            <w:pPr>
              <w:jc w:val="center"/>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重点地区规划设计</w:t>
            </w:r>
            <w:r/>
          </w:p>
        </w:tc>
        <w:tc>
          <w:tcPr>
            <w:tcW w:w="6116" w:type="dxa"/>
            <w:vAlign w:val="center"/>
            <w:textDirection w:val="lrTb"/>
            <w:noWrap w:val="false"/>
          </w:tcPr>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针对蓝海科学城片区，梳理现状问题，优化系统布局，提升空间品质，塑造特色风貌。</w:t>
            </w:r>
            <w:r/>
          </w:p>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针对上述要求，内容全面、详实、可行的得15分；</w:t>
            </w:r>
            <w:r/>
          </w:p>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针对上述要求，内容比较全面、较详实、较可行的得12分；</w:t>
            </w:r>
            <w:r/>
          </w:p>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针对上述要求，内容基本全面、详实、可行的得8分；</w:t>
            </w:r>
            <w:r/>
          </w:p>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针对上述要求，内容有描述但不够具体和明确的得5分；</w:t>
            </w:r>
            <w:r/>
          </w:p>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未提供不得分。</w:t>
            </w:r>
            <w:r/>
          </w:p>
        </w:tc>
        <w:tc>
          <w:tcPr>
            <w:tcW w:w="856"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w:t>
            </w:r>
            <w:r/>
          </w:p>
        </w:tc>
      </w:tr>
      <w:tr>
        <w:trPr>
          <w:jc w:val="center"/>
          <w:trHeight w:val="454"/>
        </w:trPr>
        <w:tc>
          <w:tcPr>
            <w:tcW w:w="651" w:type="dxa"/>
            <w:vAlign w:val="center"/>
            <w:vMerge w:val="continue"/>
            <w:textDirection w:val="lrTb"/>
            <w:noWrap w:val="false"/>
          </w:tcPr>
          <w:p>
            <w:pPr>
              <w:pStyle w:val="759"/>
              <w:ind w:firstLine="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94" w:type="dxa"/>
            <w:vAlign w:val="center"/>
            <w:vMerge w:val="continue"/>
            <w:textDirection w:val="lrTb"/>
            <w:noWrap w:val="false"/>
          </w:tcPr>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r>
            <w:r/>
          </w:p>
        </w:tc>
        <w:tc>
          <w:tcPr>
            <w:tcW w:w="1092"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质量、技术保障和后期服务措施</w:t>
            </w:r>
            <w:r/>
          </w:p>
        </w:tc>
        <w:tc>
          <w:tcPr>
            <w:tcW w:w="6116" w:type="dxa"/>
            <w:vAlign w:val="center"/>
            <w:textDirection w:val="lrTb"/>
            <w:noWrap w:val="false"/>
          </w:tcPr>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评委根据投标人提供的质量、技术等具体保障措施横向比较，综合评分。本项最高3分。</w:t>
            </w:r>
            <w:r/>
          </w:p>
        </w:tc>
        <w:tc>
          <w:tcPr>
            <w:tcW w:w="856"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r>
      <w:tr>
        <w:trPr>
          <w:jc w:val="center"/>
          <w:trHeight w:val="454"/>
        </w:trPr>
        <w:tc>
          <w:tcPr>
            <w:tcW w:w="651" w:type="dxa"/>
            <w:vAlign w:val="center"/>
            <w:vMerge w:val="continue"/>
            <w:textDirection w:val="lrTb"/>
            <w:noWrap w:val="false"/>
          </w:tcPr>
          <w:p>
            <w:pPr>
              <w:pStyle w:val="759"/>
              <w:ind w:firstLine="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94" w:type="dxa"/>
            <w:vAlign w:val="center"/>
            <w:vMerge w:val="continue"/>
            <w:textDirection w:val="lrTb"/>
            <w:noWrap w:val="false"/>
          </w:tcPr>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r>
            <w:r/>
          </w:p>
        </w:tc>
        <w:tc>
          <w:tcPr>
            <w:tcW w:w="1092"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r>
            <w:r/>
          </w:p>
        </w:tc>
        <w:tc>
          <w:tcPr>
            <w:tcW w:w="6116" w:type="dxa"/>
            <w:vAlign w:val="center"/>
            <w:textDirection w:val="lrTb"/>
            <w:noWrap w:val="false"/>
          </w:tcPr>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投标人根据项目技术要求和进度要求，提供相应服务措施，评委根据投标人提供资料横向比较，综合评分。本项最高3分。</w:t>
            </w:r>
            <w:r/>
          </w:p>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r>
            <w:r/>
          </w:p>
        </w:tc>
        <w:tc>
          <w:tcPr>
            <w:tcW w:w="856"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r>
      <w:tr>
        <w:trPr>
          <w:jc w:val="center"/>
          <w:trHeight w:val="454"/>
        </w:trPr>
        <w:tc>
          <w:tcPr>
            <w:tcW w:w="651" w:type="dxa"/>
            <w:vAlign w:val="center"/>
            <w:vMerge w:val="continue"/>
            <w:textDirection w:val="lrTb"/>
            <w:noWrap w:val="false"/>
          </w:tcPr>
          <w:p>
            <w:pPr>
              <w:pStyle w:val="759"/>
              <w:ind w:firstLine="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94" w:type="dxa"/>
            <w:vAlign w:val="center"/>
            <w:vMerge w:val="continue"/>
            <w:textDirection w:val="lrTb"/>
            <w:noWrap w:val="false"/>
          </w:tcPr>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r>
            <w:r/>
          </w:p>
        </w:tc>
        <w:tc>
          <w:tcPr>
            <w:tcW w:w="1092"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r>
            <w:r/>
          </w:p>
        </w:tc>
        <w:tc>
          <w:tcPr>
            <w:tcW w:w="6116" w:type="dxa"/>
            <w:vAlign w:val="center"/>
            <w:textDirection w:val="lrTb"/>
            <w:noWrap w:val="false"/>
          </w:tcPr>
          <w:p>
            <w:pPr>
              <w:jc w:val="left"/>
              <w:spacing w:line="360" w:lineRule="auto"/>
              <w:rPr>
                <w:rFonts w:hint="eastAsia" w:asciiTheme="minorEastAsia" w:hAnsiTheme="minorEastAsia" w:eastAsiaTheme="minorEastAsia" w:cstheme="minorEastAsia"/>
                <w:szCs w:val="21"/>
              </w:rPr>
              <w:outlineLvl w:val="2"/>
            </w:pPr>
            <w:r>
              <w:rPr>
                <w:rFonts w:hint="eastAsia" w:asciiTheme="minorEastAsia" w:hAnsiTheme="minorEastAsia" w:eastAsiaTheme="minorEastAsia" w:cstheme="minorEastAsia"/>
                <w:szCs w:val="21"/>
              </w:rPr>
              <w:t xml:space="preserve">评委根据投标人提供的后续服务承诺及服务措施，评委根据投标人提供资料横向比较，综合评分。本项最高3分。</w:t>
            </w:r>
            <w:r/>
          </w:p>
        </w:tc>
        <w:tc>
          <w:tcPr>
            <w:tcW w:w="856"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r>
    </w:tbl>
    <w:p>
      <w:pPr>
        <w:ind w:firstLine="560"/>
        <w:spacing w:line="500" w:lineRule="exact"/>
        <w:rPr>
          <w:rFonts w:hint="eastAsia" w:ascii="宋体" w:hAnsi="宋体"/>
          <w:szCs w:val="21"/>
        </w:rPr>
      </w:pPr>
      <w:r>
        <w:rPr>
          <w:rFonts w:hint="eastAsia" w:ascii="宋体" w:hAnsi="宋体"/>
          <w:szCs w:val="21"/>
        </w:rPr>
      </w:r>
      <w:r/>
    </w:p>
    <w:p>
      <w:pPr>
        <w:jc w:val="center"/>
        <w:spacing w:line="500" w:lineRule="exact"/>
        <w:rPr>
          <w:rFonts w:hint="eastAsia" w:ascii="宋体" w:hAnsi="宋体"/>
          <w:bCs/>
          <w:sz w:val="36"/>
          <w:szCs w:val="36"/>
        </w:rPr>
        <w:outlineLvl w:val="0"/>
      </w:pPr>
      <w:r>
        <w:rPr>
          <w:rFonts w:ascii="宋体" w:hAnsi="宋体"/>
          <w:b/>
          <w:sz w:val="36"/>
          <w:szCs w:val="36"/>
        </w:rPr>
        <w:br w:type="page" w:clear="all"/>
      </w:r>
      <w:r>
        <w:rPr>
          <w:rFonts w:hint="eastAsia" w:ascii="宋体" w:hAnsi="宋体"/>
          <w:bCs/>
          <w:sz w:val="36"/>
          <w:szCs w:val="36"/>
        </w:rPr>
        <w:t xml:space="preserve">第五部分  合同格式</w:t>
      </w:r>
      <w:r/>
    </w:p>
    <w:p>
      <w:pPr>
        <w:spacing w:after="60" w:line="360" w:lineRule="auto"/>
        <w:rPr>
          <w:rFonts w:hint="eastAsia" w:ascii="宋体" w:hAnsi="宋体" w:cs="宋体"/>
          <w:szCs w:val="21"/>
        </w:rPr>
      </w:pPr>
      <w:r/>
      <w:bookmarkStart w:id="123" w:name="_Toc16938559"/>
      <w:r/>
      <w:bookmarkStart w:id="124" w:name="_Toc20823315"/>
      <w:r/>
      <w:bookmarkStart w:id="125" w:name="_Toc14707"/>
      <w:r/>
      <w:bookmarkStart w:id="126" w:name="_Toc513029243"/>
      <w:r/>
      <w:bookmarkStart w:id="127" w:name="_Toc5321_WPSOffice_Level2"/>
      <w:r/>
      <w:bookmarkEnd w:id="123"/>
      <w:r/>
      <w:bookmarkEnd w:id="124"/>
      <w:r/>
      <w:bookmarkEnd w:id="125"/>
      <w:r/>
      <w:bookmarkEnd w:id="126"/>
      <w:r/>
      <w:bookmarkEnd w:id="127"/>
      <w:r/>
      <w:r/>
    </w:p>
    <w:p>
      <w:pPr>
        <w:jc w:val="center"/>
        <w:spacing w:line="360" w:lineRule="auto"/>
        <w:rPr>
          <w:rFonts w:hint="eastAsia" w:ascii="宋体" w:hAnsi="宋体"/>
          <w:bCs/>
          <w:sz w:val="36"/>
          <w:szCs w:val="36"/>
        </w:rPr>
      </w:pPr>
      <w:r>
        <w:rPr>
          <w:rFonts w:hint="eastAsia" w:ascii="宋体" w:hAnsi="宋体"/>
          <w:bCs/>
          <w:sz w:val="36"/>
          <w:szCs w:val="36"/>
        </w:rPr>
        <w:t xml:space="preserve">略</w:t>
      </w:r>
      <w:r/>
    </w:p>
    <w:p>
      <w:pPr>
        <w:rPr>
          <w:rFonts w:hint="eastAsia" w:ascii="宋体" w:hAnsi="宋体"/>
          <w:bCs/>
          <w:sz w:val="36"/>
          <w:szCs w:val="36"/>
        </w:rPr>
      </w:pPr>
      <w:r>
        <w:rPr>
          <w:rFonts w:hint="eastAsia" w:ascii="宋体" w:hAnsi="宋体"/>
          <w:bCs/>
          <w:sz w:val="36"/>
          <w:szCs w:val="36"/>
        </w:rPr>
        <w:br w:type="page" w:clear="all"/>
      </w:r>
      <w:r/>
    </w:p>
    <w:p>
      <w:pPr>
        <w:jc w:val="center"/>
        <w:spacing w:line="360" w:lineRule="auto"/>
        <w:rPr>
          <w:rFonts w:hint="eastAsia" w:ascii="宋体" w:hAnsi="宋体"/>
          <w:bCs/>
          <w:sz w:val="36"/>
          <w:szCs w:val="36"/>
        </w:rPr>
      </w:pPr>
      <w:r>
        <w:rPr>
          <w:rFonts w:hint="eastAsia" w:ascii="宋体" w:hAnsi="宋体"/>
          <w:bCs/>
          <w:sz w:val="36"/>
          <w:szCs w:val="36"/>
        </w:rPr>
        <w:t xml:space="preserve">第六部分  投标文件组成</w:t>
      </w:r>
      <w:r/>
    </w:p>
    <w:p>
      <w:pPr>
        <w:spacing w:line="500" w:lineRule="exact"/>
        <w:rPr>
          <w:rFonts w:hint="eastAsia" w:ascii="宋体" w:hAnsi="宋体"/>
          <w:b/>
          <w:bCs/>
          <w:sz w:val="28"/>
          <w:szCs w:val="28"/>
          <w:lang w:val="zh-CN"/>
        </w:rPr>
      </w:pPr>
      <w:r>
        <w:rPr>
          <w:rFonts w:hint="eastAsia" w:ascii="宋体" w:hAnsi="宋体"/>
          <w:b/>
          <w:bCs/>
          <w:sz w:val="28"/>
          <w:szCs w:val="28"/>
          <w:lang w:val="zh-CN"/>
        </w:rPr>
      </w:r>
      <w:r/>
    </w:p>
    <w:p>
      <w:pPr>
        <w:spacing w:line="360" w:lineRule="auto"/>
        <w:rPr>
          <w:rFonts w:hint="eastAsia" w:ascii="宋体" w:hAnsi="宋体"/>
        </w:rPr>
      </w:pPr>
      <w:r>
        <w:rPr>
          <w:rFonts w:hint="eastAsia" w:ascii="宋体" w:hAnsi="宋体"/>
        </w:rPr>
        <w:t xml:space="preserve">开标一览表</w:t>
      </w:r>
      <w:r/>
    </w:p>
    <w:p>
      <w:pPr>
        <w:spacing w:line="360" w:lineRule="auto"/>
        <w:rPr>
          <w:rFonts w:hint="eastAsia" w:ascii="宋体" w:hAnsi="宋体"/>
          <w:b/>
          <w:bCs/>
          <w:lang w:val="zh-CN"/>
        </w:rPr>
      </w:pPr>
      <w:r>
        <w:rPr>
          <w:rFonts w:hint="eastAsia" w:ascii="宋体" w:hAnsi="宋体"/>
          <w:b/>
          <w:bCs/>
        </w:rPr>
        <w:t xml:space="preserve">一、</w:t>
      </w:r>
      <w:r>
        <w:rPr>
          <w:rFonts w:ascii="宋体" w:hAnsi="宋体"/>
          <w:b/>
          <w:bCs/>
          <w:lang w:val="zh-CN"/>
        </w:rPr>
        <w:t xml:space="preserve">资格</w:t>
      </w:r>
      <w:r>
        <w:rPr>
          <w:rFonts w:hint="eastAsia" w:ascii="宋体" w:hAnsi="宋体"/>
          <w:b/>
          <w:bCs/>
        </w:rPr>
        <w:t xml:space="preserve">条件</w:t>
      </w:r>
      <w:r/>
    </w:p>
    <w:p>
      <w:pPr>
        <w:spacing w:line="360" w:lineRule="auto"/>
        <w:rPr>
          <w:rFonts w:hint="eastAsia" w:ascii="宋体" w:hAnsi="宋体"/>
        </w:rPr>
      </w:pPr>
      <w:r>
        <w:rPr>
          <w:rFonts w:hint="eastAsia" w:ascii="宋体" w:hAnsi="宋体"/>
        </w:rPr>
        <w:t xml:space="preserve">1.具有独立承担民事责任的能力（提供法人或者其他组织的营业执照等证明文件，自然人的身份证明）；</w:t>
      </w:r>
      <w:r/>
    </w:p>
    <w:p>
      <w:pPr>
        <w:spacing w:line="360" w:lineRule="auto"/>
        <w:rPr>
          <w:rFonts w:hint="eastAsia" w:ascii="宋体" w:hAnsi="宋体"/>
        </w:rPr>
      </w:pPr>
      <w:r>
        <w:rPr>
          <w:rFonts w:hint="eastAsia" w:ascii="宋体" w:hAnsi="宋体"/>
        </w:rPr>
        <w:t xml:space="preserve">2</w:t>
      </w:r>
      <w:r>
        <w:rPr>
          <w:rFonts w:ascii="宋体" w:hAnsi="宋体"/>
        </w:rPr>
        <w:t xml:space="preserve">.法人授权书（格式见附件）；</w:t>
      </w:r>
      <w:r/>
    </w:p>
    <w:p>
      <w:pPr>
        <w:spacing w:line="360" w:lineRule="auto"/>
        <w:rPr>
          <w:rFonts w:hint="eastAsia" w:ascii="宋体" w:hAnsi="宋体"/>
        </w:rPr>
      </w:pPr>
      <w:r>
        <w:rPr>
          <w:rFonts w:hint="eastAsia" w:ascii="宋体" w:hAnsi="宋体"/>
        </w:rPr>
        <w:t xml:space="preserve">3.具有良好的商业信誉和健全的财务会计制度（提供上</w:t>
      </w:r>
      <w:r>
        <w:rPr>
          <w:rFonts w:hint="eastAsia" w:ascii="宋体" w:hAnsi="宋体"/>
        </w:rPr>
        <w:t xml:space="preserve">2024或2025年</w:t>
      </w:r>
      <w:r>
        <w:rPr>
          <w:rFonts w:hint="eastAsia" w:ascii="宋体" w:hAnsi="宋体"/>
        </w:rPr>
        <w:t xml:space="preserve">的财务状况报告，成立不满一年不需提供）；</w:t>
      </w:r>
      <w:r/>
    </w:p>
    <w:p>
      <w:pPr>
        <w:spacing w:line="360" w:lineRule="auto"/>
        <w:rPr>
          <w:rFonts w:hint="eastAsia" w:ascii="宋体" w:hAnsi="宋体"/>
        </w:rPr>
      </w:pPr>
      <w:r>
        <w:rPr>
          <w:rFonts w:hint="eastAsia" w:ascii="宋体" w:hAnsi="宋体"/>
        </w:rPr>
        <w:t xml:space="preserve">4.有依法缴纳税收和社会保障资金的良好记录（提供提交投标文件截止时间前一年内至少一个月依法缴纳税收及缴纳社会保障资金的证明材料。投标人依法享受缓缴、免缴税收、社会保障资金的提供证明材料）；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ascii="宋体" w:hAnsi="宋体"/>
        </w:rPr>
      </w:pPr>
      <w:r>
        <w:rPr>
          <w:rFonts w:hint="eastAsia" w:ascii="宋体" w:hAnsi="宋体"/>
        </w:rPr>
        <w:t xml:space="preserve">5.具有履行合同所必需的设备和专业技术能力（提供书面声明，格式见附件）；</w:t>
      </w:r>
      <w:r/>
    </w:p>
    <w:p>
      <w:pPr>
        <w:spacing w:line="360" w:lineRule="auto"/>
        <w:rPr>
          <w:rFonts w:hint="eastAsia" w:ascii="宋体" w:hAnsi="宋体"/>
        </w:rPr>
      </w:pPr>
      <w:r>
        <w:rPr>
          <w:rFonts w:hint="eastAsia" w:ascii="宋体" w:hAnsi="宋体"/>
        </w:rPr>
        <w:t xml:space="preserve">6.参加政府采购活动前三年内，在经营活动中没有重大违法记录（提供书面声明，格式见附件）；</w:t>
      </w:r>
      <w:r/>
    </w:p>
    <w:p>
      <w:pPr>
        <w:spacing w:line="360" w:lineRule="auto"/>
        <w:rPr>
          <w:rFonts w:hint="eastAsia" w:ascii="宋体" w:hAnsi="宋体"/>
        </w:rPr>
      </w:pPr>
      <w:r>
        <w:rPr>
          <w:rFonts w:hint="eastAsia" w:ascii="宋体" w:hAnsi="宋体"/>
        </w:rPr>
        <w:t xml:space="preserve">7.本项目的特定资格要求：</w:t>
      </w:r>
      <w:r/>
    </w:p>
    <w:p>
      <w:pPr>
        <w:spacing w:line="360" w:lineRule="auto"/>
        <w:rPr>
          <w:rFonts w:hint="eastAsia" w:ascii="宋体" w:hAnsi="宋体"/>
        </w:rPr>
      </w:pPr>
      <w:r>
        <w:rPr>
          <w:rFonts w:hint="eastAsia" w:ascii="宋体" w:hAnsi="宋体"/>
        </w:rPr>
        <w:t xml:space="preserve">（1）</w:t>
      </w:r>
      <w:r>
        <w:rPr>
          <w:rFonts w:hint="eastAsia" w:ascii="宋体" w:hAnsi="宋体"/>
          <w:szCs w:val="21"/>
        </w:rPr>
        <w:t xml:space="preserve">投标人具有城乡规划编制甲级资质</w:t>
      </w:r>
      <w:r>
        <w:rPr>
          <w:rFonts w:hint="eastAsia" w:ascii="宋体" w:hAnsi="宋体"/>
        </w:rPr>
        <w:t xml:space="preserve">；</w:t>
      </w:r>
      <w:r/>
    </w:p>
    <w:p>
      <w:pPr>
        <w:spacing w:line="360" w:lineRule="auto"/>
        <w:rPr>
          <w:rFonts w:hint="eastAsia" w:ascii="宋体" w:hAnsi="宋体"/>
        </w:rPr>
      </w:pPr>
      <w:r>
        <w:rPr>
          <w:rFonts w:hint="eastAsia" w:ascii="宋体" w:hAnsi="宋体"/>
        </w:rPr>
        <w:t xml:space="preserve">（2）</w:t>
      </w:r>
      <w:r>
        <w:rPr>
          <w:rFonts w:hint="eastAsia" w:ascii="宋体" w:hAnsi="宋体"/>
          <w:szCs w:val="21"/>
        </w:rPr>
        <w:t xml:space="preserve">拟派项目负责人具有高级城市规划师及以上职称</w:t>
      </w:r>
      <w:r>
        <w:rPr>
          <w:rFonts w:hint="eastAsia" w:ascii="宋体" w:hAnsi="宋体"/>
        </w:rPr>
        <w:t xml:space="preserve">。</w:t>
      </w:r>
      <w:r/>
    </w:p>
    <w:p>
      <w:pPr>
        <w:spacing w:line="360" w:lineRule="auto"/>
        <w:rPr>
          <w:rFonts w:hint="eastAsia" w:ascii="宋体" w:hAnsi="宋体"/>
        </w:rPr>
      </w:pPr>
      <w:r>
        <w:rPr>
          <w:rFonts w:hint="eastAsia" w:ascii="宋体" w:hAnsi="宋体"/>
        </w:rPr>
        <w:t xml:space="preserve">8.</w:t>
      </w:r>
      <w:r>
        <w:rPr>
          <w:rFonts w:ascii="宋体" w:hAnsi="宋体"/>
        </w:rPr>
        <w:t xml:space="preserve">政府采购联合体协议模板</w:t>
      </w:r>
      <w:r>
        <w:rPr>
          <w:rFonts w:hint="eastAsia" w:ascii="宋体" w:hAnsi="宋体"/>
        </w:rPr>
        <w:t xml:space="preserve">（如采用联合体投标）</w:t>
      </w:r>
      <w:r/>
    </w:p>
    <w:p>
      <w:pPr>
        <w:spacing w:line="360" w:lineRule="auto"/>
        <w:rPr>
          <w:rFonts w:hint="eastAsia" w:ascii="宋体" w:hAnsi="宋体"/>
        </w:rPr>
      </w:pPr>
      <w:r>
        <w:rPr>
          <w:rFonts w:hint="eastAsia" w:ascii="宋体" w:hAnsi="宋体"/>
        </w:rPr>
        <w:t xml:space="preserve">注：</w:t>
      </w:r>
      <w:r>
        <w:rPr>
          <w:rFonts w:ascii="宋体" w:hAnsi="宋体"/>
        </w:rPr>
        <w:t xml:space="preserve">（如采购文件要求提供的资格审查证明材料中没有对应的接口上传的资料，可以在本部分的其他材料的接口中上传）</w:t>
      </w:r>
      <w:r/>
    </w:p>
    <w:p>
      <w:pPr>
        <w:spacing w:line="360" w:lineRule="auto"/>
        <w:rPr>
          <w:rFonts w:hint="eastAsia" w:ascii="宋体" w:hAnsi="宋体"/>
          <w:b/>
          <w:bCs/>
          <w:lang w:val="zh-CN"/>
        </w:rPr>
      </w:pPr>
      <w:r>
        <w:rPr>
          <w:rFonts w:hint="eastAsia" w:ascii="宋体" w:hAnsi="宋体"/>
          <w:b/>
          <w:bCs/>
        </w:rPr>
        <w:t xml:space="preserve">二、符合条件</w:t>
      </w:r>
      <w:r/>
    </w:p>
    <w:p>
      <w:pPr>
        <w:spacing w:line="360" w:lineRule="auto"/>
        <w:rPr>
          <w:rFonts w:hint="eastAsia" w:ascii="宋体" w:hAnsi="宋体"/>
          <w:lang w:val="zh-CN"/>
        </w:rPr>
      </w:pPr>
      <w:r>
        <w:rPr>
          <w:rFonts w:hint="eastAsia" w:ascii="宋体" w:hAnsi="宋体"/>
        </w:rPr>
        <w:t xml:space="preserve">1.投标函</w:t>
      </w:r>
      <w:r>
        <w:rPr>
          <w:rFonts w:hint="eastAsia" w:ascii="宋体" w:hAnsi="宋体"/>
          <w:lang w:val="zh-CN"/>
        </w:rPr>
        <w:t xml:space="preserve">（格式见附件）；</w:t>
      </w:r>
      <w:r/>
    </w:p>
    <w:p>
      <w:pPr>
        <w:spacing w:line="360" w:lineRule="auto"/>
        <w:rPr>
          <w:rFonts w:hint="eastAsia" w:ascii="宋体" w:hAnsi="宋体"/>
        </w:rPr>
      </w:pPr>
      <w:r>
        <w:rPr>
          <w:rFonts w:hint="eastAsia" w:ascii="宋体" w:hAnsi="宋体"/>
        </w:rPr>
        <w:t xml:space="preserve">2.</w:t>
      </w:r>
      <w:r>
        <w:rPr>
          <w:rFonts w:hint="eastAsia" w:ascii="宋体" w:hAnsi="宋体"/>
          <w:lang w:val="zh-CN"/>
        </w:rPr>
        <w:t xml:space="preserve">实质性</w:t>
      </w:r>
      <w:r>
        <w:rPr>
          <w:rFonts w:hint="eastAsia" w:ascii="宋体" w:hAnsi="宋体"/>
        </w:rPr>
        <w:t xml:space="preserve">响应承诺函</w:t>
      </w:r>
      <w:r>
        <w:rPr>
          <w:rFonts w:hint="eastAsia" w:ascii="宋体" w:hAnsi="宋体"/>
          <w:lang w:val="zh-CN"/>
        </w:rPr>
        <w:t xml:space="preserve">（格式见附件）；</w:t>
      </w:r>
      <w:r/>
    </w:p>
    <w:p>
      <w:pPr>
        <w:spacing w:line="360" w:lineRule="auto"/>
        <w:rPr>
          <w:rFonts w:hint="eastAsia" w:ascii="宋体" w:hAnsi="宋体"/>
          <w:lang w:val="zh-CN"/>
        </w:rPr>
      </w:pPr>
      <w:r>
        <w:rPr>
          <w:rFonts w:hint="eastAsia" w:ascii="宋体" w:hAnsi="宋体"/>
        </w:rPr>
        <w:t xml:space="preserve">3</w:t>
      </w:r>
      <w:r>
        <w:rPr>
          <w:rFonts w:hint="eastAsia" w:ascii="宋体" w:hAnsi="宋体"/>
          <w:lang w:val="zh-CN"/>
        </w:rPr>
        <w:t xml:space="preserve">.商务部分正负偏离表（格式见附件）；</w:t>
      </w:r>
      <w:r/>
    </w:p>
    <w:p>
      <w:pPr>
        <w:spacing w:line="360" w:lineRule="auto"/>
        <w:rPr>
          <w:rFonts w:hint="eastAsia" w:ascii="宋体" w:hAnsi="宋体"/>
          <w:lang w:val="zh-CN"/>
        </w:rPr>
      </w:pPr>
      <w:r>
        <w:rPr>
          <w:rFonts w:hint="eastAsia" w:ascii="宋体" w:hAnsi="宋体"/>
        </w:rPr>
        <w:t xml:space="preserve">4</w:t>
      </w:r>
      <w:r>
        <w:rPr>
          <w:rFonts w:hint="eastAsia" w:ascii="宋体" w:hAnsi="宋体"/>
          <w:lang w:val="zh-CN"/>
        </w:rPr>
        <w:t xml:space="preserve">.技术部分正负偏离表（格式见附件）。</w:t>
      </w:r>
      <w:r/>
    </w:p>
    <w:p>
      <w:pPr>
        <w:spacing w:line="360" w:lineRule="auto"/>
        <w:rPr>
          <w:rFonts w:hint="eastAsia" w:ascii="宋体" w:hAnsi="宋体"/>
          <w:lang w:val="zh-CN"/>
        </w:rPr>
      </w:pPr>
      <w:r>
        <w:rPr>
          <w:rFonts w:ascii="宋体" w:hAnsi="宋体"/>
          <w:lang w:val="zh-CN"/>
        </w:rPr>
        <w:t xml:space="preserve">（如采购文件要求提供的</w:t>
      </w:r>
      <w:r>
        <w:rPr>
          <w:rFonts w:hint="eastAsia" w:ascii="宋体" w:hAnsi="宋体"/>
          <w:lang w:val="zh-CN"/>
        </w:rPr>
        <w:t xml:space="preserve">符合条件</w:t>
      </w:r>
      <w:r>
        <w:rPr>
          <w:rFonts w:ascii="宋体" w:hAnsi="宋体"/>
          <w:lang w:val="zh-CN"/>
        </w:rPr>
        <w:t xml:space="preserve">中没有对应的接口上传的资料可以在本部分的其他材料的接口中上传）</w:t>
      </w:r>
      <w:r/>
    </w:p>
    <w:p>
      <w:pPr>
        <w:spacing w:line="360" w:lineRule="auto"/>
        <w:rPr>
          <w:rFonts w:hint="eastAsia" w:ascii="宋体" w:hAnsi="宋体"/>
          <w:b/>
          <w:bCs/>
          <w:lang w:val="zh-CN"/>
        </w:rPr>
      </w:pPr>
      <w:r>
        <w:rPr>
          <w:rFonts w:hint="eastAsia" w:ascii="宋体" w:hAnsi="宋体"/>
          <w:b/>
          <w:bCs/>
        </w:rPr>
        <w:t xml:space="preserve">三、</w:t>
      </w:r>
      <w:r>
        <w:rPr>
          <w:rFonts w:hint="eastAsia" w:ascii="宋体" w:hAnsi="宋体"/>
          <w:b/>
          <w:bCs/>
        </w:rPr>
        <w:t xml:space="preserve">商务技术响应文件</w:t>
      </w:r>
      <w:r/>
    </w:p>
    <w:p>
      <w:pPr>
        <w:spacing w:line="360" w:lineRule="auto"/>
        <w:rPr>
          <w:rFonts w:hint="eastAsia" w:ascii="宋体" w:hAnsi="宋体"/>
        </w:rPr>
      </w:pPr>
      <w:r>
        <w:rPr>
          <w:rFonts w:hint="eastAsia" w:ascii="宋体" w:hAnsi="宋体"/>
        </w:rPr>
        <w:t xml:space="preserve">商务技术分评审标准中所涉及的事项需提供的所有资料。</w:t>
      </w:r>
      <w:r/>
    </w:p>
    <w:p>
      <w:pPr>
        <w:spacing w:line="360" w:lineRule="auto"/>
        <w:rPr>
          <w:rFonts w:ascii="宋体" w:hAnsi="宋体"/>
        </w:rPr>
      </w:pPr>
      <w:r>
        <w:rPr>
          <w:rFonts w:ascii="宋体" w:hAnsi="宋体"/>
        </w:rPr>
        <w:t xml:space="preserve">（如采购文件要求提供的商务技术标材料中没有对应的接口上传的资料，可以在本部分的其他材料的接口中上传）</w:t>
      </w:r>
      <w:r/>
    </w:p>
    <w:p>
      <w:pPr>
        <w:spacing w:line="360" w:lineRule="auto"/>
        <w:rPr>
          <w:rFonts w:ascii="宋体" w:hAnsi="宋体"/>
          <w:b/>
          <w:bCs/>
        </w:rPr>
      </w:pPr>
      <w:r>
        <w:rPr>
          <w:rFonts w:hint="eastAsia" w:ascii="宋体" w:hAnsi="宋体"/>
          <w:b/>
          <w:bCs/>
        </w:rPr>
        <w:t xml:space="preserve">四、</w:t>
      </w:r>
      <w:r>
        <w:rPr>
          <w:rFonts w:ascii="宋体" w:hAnsi="宋体"/>
          <w:b/>
          <w:bCs/>
        </w:rPr>
        <w:t xml:space="preserve">价格折扣文件</w:t>
      </w:r>
      <w:r/>
    </w:p>
    <w:p>
      <w:pPr>
        <w:spacing w:line="360" w:lineRule="auto"/>
        <w:rPr>
          <w:rFonts w:hint="eastAsia" w:ascii="宋体" w:hAnsi="宋体"/>
        </w:rPr>
      </w:pPr>
      <w:r>
        <w:rPr>
          <w:rFonts w:hint="eastAsia" w:ascii="宋体" w:hAnsi="宋体"/>
        </w:rPr>
        <w:t xml:space="preserve">1.中小企业声明函</w:t>
      </w:r>
      <w:r>
        <w:rPr>
          <w:rFonts w:hint="eastAsia" w:ascii="宋体" w:hAnsi="宋体"/>
          <w:lang w:val="zh-CN"/>
        </w:rPr>
        <w:t xml:space="preserve">（</w:t>
      </w:r>
      <w:r>
        <w:rPr>
          <w:rFonts w:hint="eastAsia" w:ascii="宋体" w:hAnsi="宋体"/>
        </w:rPr>
        <w:t xml:space="preserve">如有</w:t>
      </w:r>
      <w:r>
        <w:rPr>
          <w:rFonts w:hint="eastAsia" w:ascii="宋体" w:hAnsi="宋体"/>
          <w:lang w:val="zh-CN"/>
        </w:rPr>
        <w:t xml:space="preserve">）；</w:t>
      </w:r>
      <w:r/>
    </w:p>
    <w:p>
      <w:pPr>
        <w:spacing w:line="360" w:lineRule="auto"/>
        <w:rPr>
          <w:rFonts w:hint="eastAsia" w:ascii="宋体" w:hAnsi="宋体"/>
        </w:rPr>
      </w:pPr>
      <w:r>
        <w:rPr>
          <w:rFonts w:hint="eastAsia" w:ascii="宋体" w:hAnsi="宋体"/>
        </w:rPr>
        <w:t xml:space="preserve">2.监狱企业证明函（如符合监狱企业的需提供）；</w:t>
      </w:r>
      <w:r/>
    </w:p>
    <w:p>
      <w:pPr>
        <w:spacing w:line="360" w:lineRule="auto"/>
        <w:rPr>
          <w:rFonts w:hint="eastAsia" w:ascii="宋体" w:hAnsi="宋体"/>
        </w:rPr>
      </w:pPr>
      <w:r>
        <w:rPr>
          <w:rFonts w:hint="eastAsia" w:ascii="宋体" w:hAnsi="宋体"/>
        </w:rPr>
        <w:t xml:space="preserve">3.残疾人福利性单位声明函（如符合残疾人福利性单位的需提供）；</w:t>
      </w:r>
      <w:r/>
    </w:p>
    <w:p>
      <w:pPr>
        <w:spacing w:line="360" w:lineRule="auto"/>
        <w:rPr>
          <w:rFonts w:hint="eastAsia" w:ascii="宋体" w:hAnsi="宋体"/>
          <w:b/>
          <w:bCs/>
        </w:rPr>
      </w:pPr>
      <w:r>
        <w:rPr>
          <w:rFonts w:hint="eastAsia" w:ascii="宋体" w:hAnsi="宋体"/>
          <w:b/>
          <w:bCs/>
        </w:rPr>
        <w:t xml:space="preserve">注：如是联合体投标</w:t>
      </w:r>
      <w:r>
        <w:rPr>
          <w:rFonts w:hint="eastAsia" w:ascii="宋体" w:hAnsi="宋体"/>
          <w:b/>
          <w:bCs/>
        </w:rPr>
        <w:t xml:space="preserve">且符合</w:t>
      </w:r>
      <w:r>
        <w:rPr>
          <w:rFonts w:hint="eastAsia" w:ascii="宋体" w:hAnsi="宋体"/>
          <w:b/>
          <w:bCs/>
        </w:rPr>
        <w:t xml:space="preserve">招标文件第四部分价格扣除要求的</w:t>
      </w:r>
      <w:r>
        <w:rPr>
          <w:rFonts w:hint="eastAsia" w:ascii="宋体" w:hAnsi="宋体"/>
          <w:b/>
          <w:bCs/>
        </w:rPr>
        <w:t xml:space="preserve">，</w:t>
      </w:r>
      <w:r>
        <w:rPr>
          <w:rFonts w:hint="eastAsia" w:ascii="宋体" w:hAnsi="宋体"/>
          <w:b/>
          <w:bCs/>
        </w:rPr>
        <w:t xml:space="preserve">联合体所有成员单位均需提交企业声明函</w:t>
      </w:r>
      <w:r>
        <w:rPr>
          <w:rFonts w:hint="eastAsia" w:ascii="宋体" w:hAnsi="宋体"/>
          <w:b/>
          <w:bCs/>
        </w:rPr>
        <w:t xml:space="preserve">，其中大中型企业提供</w:t>
      </w:r>
      <w:r>
        <w:rPr>
          <w:rFonts w:hint="eastAsia" w:ascii="宋体" w:hAnsi="宋体"/>
          <w:b/>
          <w:bCs/>
        </w:rPr>
        <w:t xml:space="preserve">说明格式自拟</w:t>
      </w:r>
      <w:r>
        <w:rPr>
          <w:rFonts w:hint="eastAsia" w:ascii="宋体" w:hAnsi="宋体"/>
          <w:b/>
          <w:bCs/>
        </w:rPr>
        <w:t xml:space="preserve">。</w:t>
      </w:r>
      <w:r/>
    </w:p>
    <w:p>
      <w:pPr>
        <w:spacing w:line="360" w:lineRule="auto"/>
        <w:rPr>
          <w:rFonts w:hint="eastAsia" w:ascii="宋体" w:hAnsi="宋体"/>
        </w:rPr>
      </w:pPr>
      <w:r>
        <w:rPr>
          <w:rFonts w:hint="eastAsia" w:ascii="宋体" w:hAnsi="宋体"/>
          <w:highlight w:val="none"/>
        </w:rPr>
      </w:r>
      <w:r>
        <w:rPr>
          <w:rFonts w:hint="eastAsia" w:ascii="宋体" w:hAnsi="宋体"/>
          <w:highlight w:val="none"/>
        </w:rPr>
      </w:r>
      <w:r/>
    </w:p>
    <w:p>
      <w:pPr>
        <w:spacing w:line="360" w:lineRule="auto"/>
        <w:rPr>
          <w:rFonts w:hint="eastAsia" w:ascii="宋体" w:hAnsi="宋体"/>
          <w:highlight w:val="none"/>
        </w:rPr>
      </w:pPr>
      <w:r>
        <w:rPr>
          <w:rFonts w:hint="eastAsia" w:ascii="宋体" w:hAnsi="宋体"/>
        </w:rPr>
        <w:t xml:space="preserve">*</w:t>
      </w:r>
      <w:r>
        <w:rPr>
          <w:rFonts w:hint="eastAsia" w:asciiTheme="minorEastAsia" w:hAnsiTheme="minorEastAsia" w:eastAsiaTheme="minorEastAsia" w:cstheme="minorEastAsia"/>
          <w:bCs/>
          <w:szCs w:val="21"/>
        </w:rPr>
        <w:t xml:space="preserve">如标书制作工具中格式和内容与“江苏政府采购网”发布的招标文件不一致，请以“江苏政府采购网”发布的招标文件为准</w:t>
      </w:r>
      <w:r>
        <w:rPr>
          <w:rFonts w:hint="eastAsia" w:ascii="宋体" w:hAnsi="宋体"/>
        </w:rPr>
      </w:r>
      <w:r>
        <w:rPr>
          <w:rFonts w:hint="eastAsia" w:ascii="宋体" w:hAnsi="宋体"/>
        </w:rPr>
        <w:t xml:space="preserve">。*</w:t>
      </w:r>
      <w:r>
        <w:rPr>
          <w:rFonts w:hint="eastAsia" w:ascii="宋体" w:hAnsi="宋体"/>
        </w:rPr>
        <w:br w:type="page" w:clear="all"/>
      </w:r>
      <w:r/>
    </w:p>
    <w:p>
      <w:pPr>
        <w:jc w:val="left"/>
        <w:rPr>
          <w:rFonts w:hint="eastAsia" w:ascii="宋体" w:hAnsi="宋体" w:cs="宋体"/>
          <w:b/>
          <w:bCs/>
          <w:sz w:val="30"/>
          <w:szCs w:val="30"/>
        </w:rPr>
      </w:pPr>
      <w:r>
        <w:rPr>
          <w:rFonts w:hint="eastAsia" w:ascii="宋体" w:hAnsi="宋体" w:cs="宋体"/>
          <w:b/>
          <w:bCs/>
          <w:sz w:val="30"/>
          <w:szCs w:val="30"/>
        </w:rPr>
        <w:t xml:space="preserve">附件：</w:t>
      </w:r>
      <w:r/>
    </w:p>
    <w:p>
      <w:pPr>
        <w:jc w:val="left"/>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t xml:space="preserve">开标一览表</w:t>
      </w:r>
      <w:r/>
    </w:p>
    <w:p>
      <w:pPr>
        <w:jc w:val="center"/>
        <w:rPr>
          <w:rFonts w:hint="eastAsia" w:ascii="宋体" w:hAnsi="宋体" w:cs="宋体"/>
          <w:b/>
          <w:bCs/>
          <w:sz w:val="30"/>
          <w:szCs w:val="30"/>
        </w:rPr>
      </w:pPr>
      <w:r>
        <w:rPr>
          <w:rFonts w:hint="eastAsia" w:ascii="宋体" w:hAnsi="宋体" w:cs="宋体"/>
          <w:b/>
          <w:bCs/>
          <w:sz w:val="30"/>
          <w:szCs w:val="30"/>
        </w:rPr>
      </w:r>
      <w:r/>
    </w:p>
    <w:p>
      <w:pPr>
        <w:ind w:firstLine="480"/>
        <w:rPr>
          <w:rFonts w:hint="eastAsia"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hint="eastAsia" w:ascii="宋体" w:hAnsi="宋体"/>
          <w:sz w:val="24"/>
        </w:rPr>
      </w:pPr>
      <w:r>
        <w:rPr>
          <w:rFonts w:hint="eastAsia" w:ascii="宋体" w:hAnsi="宋体"/>
          <w:sz w:val="24"/>
        </w:rPr>
        <w:t xml:space="preserve">招标编号：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rPr>
            </w:pPr>
            <w:r>
              <w:rPr>
                <w:rFonts w:hint="eastAsia" w:ascii="宋体" w:hAnsi="宋体" w:cs="宋体"/>
                <w:sz w:val="24"/>
              </w:rPr>
              <w:t xml:space="preserve">                      </w:t>
            </w:r>
            <w:r>
              <w:rPr>
                <w:rFonts w:hint="eastAsia" w:ascii="宋体" w:hAnsi="宋体"/>
                <w:sz w:val="24"/>
              </w:rPr>
              <w:t xml:space="preserve">投标总报价</w:t>
            </w:r>
            <w:r/>
          </w:p>
        </w:tc>
      </w:tr>
      <w:tr>
        <w:trPr>
          <w:cantSplit/>
          <w:trHeight w:val="612"/>
        </w:trPr>
        <w:tc>
          <w:tcPr>
            <w:tcW w:w="8206" w:type="dxa"/>
            <w:vAlign w:val="center"/>
            <w:textDirection w:val="lrTb"/>
            <w:noWrap w:val="false"/>
          </w:tcPr>
          <w:p>
            <w:pPr>
              <w:pStyle w:val="1008"/>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pStyle w:val="791"/>
        <w:rPr>
          <w:rFonts w:hint="eastAsia" w:cs="宋体"/>
          <w:color w:val="auto"/>
          <w:sz w:val="21"/>
          <w:szCs w:val="21"/>
        </w:rPr>
      </w:pPr>
      <w:r>
        <w:rPr>
          <w:rFonts w:hint="eastAsia" w:cs="宋体"/>
          <w:color w:val="auto"/>
          <w:sz w:val="21"/>
          <w:szCs w:val="21"/>
        </w:rPr>
      </w:r>
      <w:r/>
    </w:p>
    <w:p>
      <w:pPr>
        <w:pStyle w:val="791"/>
        <w:rPr>
          <w:rFonts w:hint="eastAsia" w:cs="宋体"/>
          <w:color w:val="auto"/>
          <w:sz w:val="21"/>
          <w:szCs w:val="21"/>
        </w:rPr>
      </w:pPr>
      <w:r>
        <w:rPr>
          <w:rFonts w:hint="eastAsia" w:cs="宋体"/>
          <w:color w:val="auto"/>
          <w:sz w:val="21"/>
          <w:szCs w:val="21"/>
        </w:rPr>
        <w:t xml:space="preserve">盖章（公章）：</w:t>
      </w:r>
      <w:r/>
    </w:p>
    <w:p>
      <w:pPr>
        <w:ind w:firstLine="480"/>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b/>
          <w:bCs/>
          <w:szCs w:val="21"/>
        </w:rPr>
        <w:br w:type="page" w:clear="all"/>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t xml:space="preserve">法人授权书</w:t>
      </w:r>
      <w:r/>
    </w:p>
    <w:p>
      <w:pPr>
        <w:ind w:firstLine="420"/>
        <w:spacing w:line="360" w:lineRule="auto"/>
        <w:tabs>
          <w:tab w:val="left" w:pos="360" w:leader="none"/>
        </w:tabs>
        <w:rPr>
          <w:rFonts w:hint="eastAsia" w:ascii="宋体" w:hAnsi="宋体" w:cs="宋体"/>
          <w:szCs w:val="21"/>
        </w:rPr>
      </w:pPr>
      <w:r>
        <w:rPr>
          <w:rFonts w:hint="eastAsia" w:ascii="宋体" w:hAnsi="宋体" w:cs="宋体"/>
          <w:szCs w:val="21"/>
        </w:rPr>
      </w:r>
      <w:r/>
    </w:p>
    <w:p>
      <w:pPr>
        <w:ind w:firstLine="420"/>
        <w:spacing w:line="360" w:lineRule="auto"/>
        <w:tabs>
          <w:tab w:val="left" w:pos="360" w:leader="none"/>
        </w:tabs>
        <w:rPr>
          <w:rFonts w:hint="eastAsia"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                 </w:t>
      </w:r>
      <w:r>
        <w:rPr>
          <w:rFonts w:hint="eastAsia" w:ascii="宋体" w:hAnsi="宋体" w:cs="宋体"/>
          <w:szCs w:val="21"/>
        </w:rPr>
        <w:t xml:space="preserve">（投标人名称）授权</w:t>
      </w:r>
      <w:r>
        <w:rPr>
          <w:rFonts w:hint="eastAsia" w:ascii="宋体" w:hAnsi="宋体" w:cs="宋体"/>
          <w:szCs w:val="21"/>
          <w:u w:val="single"/>
        </w:rPr>
        <w:t xml:space="preserve">                 </w:t>
      </w:r>
      <w:r>
        <w:rPr>
          <w:rFonts w:hint="eastAsia" w:ascii="宋体" w:hAnsi="宋体" w:cs="宋体"/>
          <w:szCs w:val="21"/>
        </w:rPr>
        <w:t xml:space="preserve">（被授权人的姓名）为我方 </w:t>
      </w:r>
      <w:r>
        <w:rPr>
          <w:rFonts w:hint="eastAsia" w:ascii="宋体" w:hAnsi="宋体" w:cs="宋体"/>
          <w:szCs w:val="21"/>
          <w:u w:val="single"/>
        </w:rPr>
        <w:t xml:space="preserve">        </w:t>
      </w:r>
      <w:r>
        <w:rPr>
          <w:rFonts w:hint="eastAsia" w:ascii="宋体" w:hAnsi="宋体" w:cs="宋体"/>
          <w:szCs w:val="21"/>
        </w:rPr>
        <w:t xml:space="preserve">号（项目编号）______________项目（项目名称）采购活动的合法代理人，以本单位名义全权处理一切与该项目采购有关的事务。</w:t>
      </w:r>
      <w:r/>
    </w:p>
    <w:p>
      <w:pPr>
        <w:ind w:firstLine="420"/>
        <w:spacing w:line="360" w:lineRule="auto"/>
        <w:tabs>
          <w:tab w:val="left" w:pos="360" w:leader="none"/>
        </w:tabs>
        <w:rPr>
          <w:rFonts w:hint="eastAsia" w:ascii="宋体" w:hAnsi="宋体" w:cs="宋体"/>
          <w:szCs w:val="21"/>
        </w:rPr>
      </w:pPr>
      <w:r>
        <w:rPr>
          <w:rFonts w:hint="eastAsia" w:ascii="宋体" w:hAnsi="宋体" w:cs="宋体"/>
          <w:szCs w:val="21"/>
        </w:rPr>
        <w:t xml:space="preserve">本授权书于______年____月____日起生效，特此声明。</w:t>
      </w:r>
      <w:r/>
    </w:p>
    <w:p>
      <w:pPr>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    被授权人身份证号码：</w:t>
      </w:r>
      <w:r>
        <w:rPr>
          <w:rFonts w:hint="eastAsia" w:ascii="宋体" w:hAnsi="宋体" w:cs="宋体"/>
          <w:szCs w:val="21"/>
          <w:u w:val="single"/>
        </w:rPr>
        <w:t xml:space="preserve">                              </w:t>
      </w:r>
      <w:r/>
    </w:p>
    <w:p>
      <w:pPr>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    被授权人联系电话：（手机）</w:t>
      </w:r>
      <w:r>
        <w:rPr>
          <w:rFonts w:hint="eastAsia" w:ascii="宋体" w:hAnsi="宋体" w:cs="宋体"/>
          <w:szCs w:val="21"/>
          <w:u w:val="single"/>
        </w:rPr>
        <w:t xml:space="preserve">                          </w:t>
      </w:r>
      <w:r/>
    </w:p>
    <w:p>
      <w:pPr>
        <w:ind w:firstLine="420"/>
        <w:spacing w:line="360" w:lineRule="auto"/>
        <w:tabs>
          <w:tab w:val="left" w:pos="360" w:leader="none"/>
        </w:tabs>
        <w:rPr>
          <w:rFonts w:hint="eastAsia" w:ascii="宋体" w:hAnsi="宋体" w:cs="宋体"/>
          <w:szCs w:val="21"/>
        </w:rPr>
      </w:pPr>
      <w:r>
        <w:rPr>
          <w:rFonts w:hint="eastAsia" w:ascii="宋体" w:hAnsi="宋体" w:cs="宋体"/>
          <w:szCs w:val="21"/>
        </w:rPr>
        <w:t xml:space="preserve">授权单位名称：</w:t>
      </w:r>
      <w:r>
        <w:rPr>
          <w:rFonts w:hint="eastAsia" w:ascii="宋体" w:hAnsi="宋体" w:cs="宋体"/>
          <w:szCs w:val="21"/>
          <w:u w:val="single"/>
        </w:rPr>
        <w:t xml:space="preserve">（加盖CA电子公章）</w:t>
      </w:r>
      <w:r/>
    </w:p>
    <w:p>
      <w:pPr>
        <w:ind w:firstLine="420"/>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单位地址：</w:t>
      </w:r>
      <w:r>
        <w:rPr>
          <w:rFonts w:hint="eastAsia" w:ascii="宋体" w:hAnsi="宋体" w:cs="宋体"/>
          <w:szCs w:val="21"/>
          <w:u w:val="single"/>
        </w:rPr>
        <w:t xml:space="preserve">                                         </w:t>
      </w:r>
      <w:r/>
    </w:p>
    <w:p>
      <w:pPr>
        <w:ind w:firstLine="420"/>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日期：</w:t>
      </w:r>
      <w:bookmarkStart w:id="128" w:name="_Hlt26671380"/>
      <w:r/>
      <w:bookmarkStart w:id="129" w:name="_Hlt26955070"/>
      <w:r/>
      <w:bookmarkStart w:id="130" w:name="_格式3__银行出具的资信证明"/>
      <w:r/>
      <w:bookmarkEnd w:id="128"/>
      <w:r/>
      <w:bookmarkEnd w:id="129"/>
      <w:r/>
      <w:bookmarkEnd w:id="130"/>
      <w:r>
        <w:rPr>
          <w:rFonts w:hint="eastAsia" w:ascii="宋体" w:hAnsi="宋体" w:cs="宋体"/>
          <w:szCs w:val="21"/>
          <w:u w:val="single"/>
        </w:rPr>
        <w:t xml:space="preserve">                                         </w:t>
      </w:r>
      <w:r/>
    </w:p>
    <w:p>
      <w:pPr>
        <w:ind w:firstLine="105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法定代表人身份证复印件</w:t>
      </w:r>
      <w:r/>
    </w:p>
    <w:p>
      <w:pP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t xml:space="preserve">（粘贴此处）</w:t>
      </w:r>
      <w:r/>
    </w:p>
    <w:p>
      <w:pPr>
        <w:spacing w:line="360" w:lineRule="auto"/>
        <w:rPr>
          <w:rFonts w:hint="eastAsia" w:ascii="宋体" w:hAnsi="宋体" w:cs="宋体"/>
          <w:szCs w:val="21"/>
        </w:rPr>
      </w:pPr>
      <w:r>
        <w:rPr>
          <w:rFonts w:hint="eastAsia" w:ascii="宋体" w:hAnsi="宋体" w:cs="宋体"/>
          <w:szCs w:val="21"/>
        </w:rPr>
        <w:t xml:space="preserve">被授权人身份证复印件</w:t>
      </w:r>
      <w:r/>
    </w:p>
    <w:p>
      <w:pP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b/>
          <w:bCs/>
          <w:szCs w:val="21"/>
        </w:rPr>
      </w:pPr>
      <w:r>
        <w:rPr>
          <w:rFonts w:hint="eastAsia" w:ascii="宋体" w:hAnsi="宋体" w:cs="宋体"/>
          <w:szCs w:val="21"/>
        </w:rPr>
        <w:t xml:space="preserve">（粘贴此处）</w:t>
      </w:r>
      <w:r/>
    </w:p>
    <w:p>
      <w:pPr>
        <w:rPr>
          <w:rFonts w:hint="eastAsia" w:ascii="宋体" w:hAnsi="宋体" w:cs="宋体"/>
          <w:b/>
          <w:bCs/>
          <w:szCs w:val="21"/>
          <w:u w:val="single"/>
        </w:rPr>
      </w:pPr>
      <w:r>
        <w:rPr>
          <w:rFonts w:hint="eastAsia" w:ascii="宋体" w:hAnsi="宋体" w:cs="宋体"/>
          <w:b/>
          <w:bCs/>
          <w:szCs w:val="21"/>
          <w:u w:val="single"/>
        </w:rPr>
        <w:br w:type="page" w:clear="all"/>
      </w:r>
      <w:r/>
    </w:p>
    <w:p>
      <w:pPr>
        <w:jc w:val="center"/>
        <w:rPr>
          <w:rFonts w:hint="eastAsia" w:ascii="宋体" w:hAnsi="宋体" w:cs="宋体"/>
          <w:b/>
          <w:bCs/>
          <w:sz w:val="30"/>
          <w:szCs w:val="30"/>
        </w:rPr>
      </w:pPr>
      <w:r>
        <w:rPr>
          <w:rFonts w:hint="eastAsia" w:ascii="宋体" w:hAnsi="宋体" w:cs="宋体"/>
          <w:b/>
          <w:bCs/>
          <w:sz w:val="30"/>
          <w:szCs w:val="30"/>
        </w:rPr>
        <w:t xml:space="preserve">具有履行合同所必需的设备和专业技术能力</w:t>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t xml:space="preserve">声  明</w:t>
      </w:r>
      <w:r/>
    </w:p>
    <w:p>
      <w:pPr>
        <w:jc w:val="center"/>
        <w:rPr>
          <w:rFonts w:hint="eastAsia" w:ascii="宋体" w:hAnsi="宋体" w:cs="宋体"/>
          <w:b/>
          <w:bCs/>
          <w:sz w:val="30"/>
          <w:szCs w:val="30"/>
        </w:rPr>
      </w:pPr>
      <w:r>
        <w:rPr>
          <w:rFonts w:hint="eastAsia" w:ascii="宋体" w:hAnsi="宋体" w:cs="宋体"/>
          <w:b/>
          <w:bCs/>
          <w:sz w:val="30"/>
          <w:szCs w:val="30"/>
        </w:rPr>
      </w:r>
      <w:r/>
    </w:p>
    <w:p>
      <w:pPr>
        <w:spacing w:line="360" w:lineRule="auto"/>
        <w:rPr>
          <w:rStyle w:val="1065"/>
          <w:rFonts w:hint="eastAsia" w:ascii="宋体" w:hAnsi="宋体" w:cs="宋体"/>
          <w:szCs w:val="21"/>
          <w:u w:val="single"/>
        </w:rPr>
      </w:pPr>
      <w:r>
        <w:rPr>
          <w:rStyle w:val="1065"/>
          <w:rFonts w:hint="eastAsia" w:ascii="宋体" w:hAnsi="宋体" w:cs="宋体"/>
          <w:szCs w:val="21"/>
          <w:u w:val="single"/>
        </w:rPr>
        <w:t xml:space="preserve">               </w:t>
      </w:r>
      <w:r>
        <w:rPr>
          <w:rStyle w:val="1065"/>
          <w:rFonts w:hint="eastAsia" w:ascii="宋体" w:hAnsi="宋体" w:cs="宋体"/>
          <w:szCs w:val="21"/>
        </w:rPr>
        <w:t xml:space="preserve">：</w:t>
      </w:r>
      <w:r/>
    </w:p>
    <w:p>
      <w:pPr>
        <w:ind w:firstLine="492"/>
        <w:spacing w:line="360" w:lineRule="auto"/>
        <w:rPr>
          <w:rFonts w:hint="eastAsia" w:ascii="宋体" w:hAnsi="宋体" w:cs="宋体"/>
          <w:szCs w:val="21"/>
        </w:rPr>
      </w:pPr>
      <w:r>
        <w:rPr>
          <w:rFonts w:hint="eastAsia" w:ascii="宋体" w:hAnsi="宋体" w:cs="宋体"/>
          <w:szCs w:val="21"/>
        </w:rPr>
        <w:t xml:space="preserve">我单位郑重承诺：我单位具备履行本项采购合同所必需的设备和专业技术能力，为履行本项采购合同我公司具备如下主要设备和主要专业技术能力：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szCs w:val="21"/>
        </w:rPr>
      </w:pPr>
      <w:r>
        <w:rPr>
          <w:rFonts w:hint="eastAsia" w:ascii="宋体" w:hAnsi="宋体" w:cs="宋体"/>
          <w:szCs w:val="21"/>
        </w:rPr>
        <w:t xml:space="preserve">主要设备有：</w:t>
      </w:r>
      <w:r>
        <w:rPr>
          <w:rFonts w:hint="eastAsia" w:ascii="宋体" w:hAnsi="宋体" w:cs="宋体"/>
          <w:szCs w:val="21"/>
          <w:u w:val="single"/>
        </w:rPr>
        <w:t xml:space="preserve">              </w:t>
      </w:r>
      <w:r>
        <w:rPr>
          <w:rFonts w:hint="eastAsia" w:ascii="宋体" w:hAnsi="宋体" w:cs="宋体"/>
          <w:szCs w:val="21"/>
        </w:rPr>
        <w:t xml:space="preserve">。</w:t>
      </w:r>
      <w:r/>
    </w:p>
    <w:p>
      <w:pPr>
        <w:ind w:firstLine="492"/>
        <w:spacing w:line="360" w:lineRule="auto"/>
        <w:rPr>
          <w:rFonts w:hint="eastAsia" w:ascii="宋体" w:hAnsi="宋体" w:cs="宋体"/>
          <w:szCs w:val="21"/>
        </w:rPr>
      </w:pPr>
      <w:r>
        <w:rPr>
          <w:rFonts w:hint="eastAsia" w:ascii="宋体" w:hAnsi="宋体" w:cs="宋体"/>
          <w:szCs w:val="21"/>
        </w:rPr>
        <w:t xml:space="preserve">主要专业技术能力有：</w:t>
      </w:r>
      <w:r>
        <w:rPr>
          <w:rFonts w:hint="eastAsia" w:ascii="宋体" w:hAnsi="宋体" w:cs="宋体"/>
          <w:szCs w:val="21"/>
          <w:u w:val="single"/>
        </w:rPr>
        <w:t xml:space="preserve">       </w:t>
      </w:r>
      <w:r>
        <w:rPr>
          <w:rFonts w:hint="eastAsia" w:ascii="宋体" w:hAnsi="宋体" w:cs="宋体"/>
          <w:szCs w:val="21"/>
        </w:rPr>
        <w:t xml:space="preserve">。</w:t>
      </w:r>
      <w:r/>
    </w:p>
    <w:p>
      <w:pPr>
        <w:ind w:firstLine="492"/>
        <w:jc w:val="right"/>
        <w:spacing w:line="360" w:lineRule="auto"/>
        <w:rPr>
          <w:rFonts w:hint="eastAsia" w:ascii="宋体" w:hAnsi="宋体" w:cs="宋体"/>
          <w:szCs w:val="21"/>
        </w:rPr>
      </w:pPr>
      <w:r>
        <w:rPr>
          <w:rFonts w:hint="eastAsia" w:ascii="宋体" w:hAnsi="宋体" w:cs="宋体"/>
          <w:szCs w:val="21"/>
        </w:rPr>
        <w:t xml:space="preserve"> 投标人：（加盖CA电子公章）</w:t>
      </w:r>
      <w:r/>
    </w:p>
    <w:p>
      <w:pPr>
        <w:pStyle w:val="759"/>
        <w:jc w:val="right"/>
        <w:spacing w:line="360" w:lineRule="auto"/>
        <w:rPr>
          <w:rFonts w:hint="eastAsia" w:ascii="宋体" w:hAnsi="宋体" w:cs="宋体"/>
          <w:sz w:val="21"/>
          <w:szCs w:val="21"/>
        </w:rPr>
      </w:pPr>
      <w:r>
        <w:rPr>
          <w:rFonts w:hint="eastAsia" w:ascii="宋体" w:hAnsi="宋体" w:cs="宋体"/>
          <w:sz w:val="21"/>
          <w:szCs w:val="21"/>
        </w:rPr>
        <w:t xml:space="preserve"> </w:t>
      </w:r>
      <w:r/>
    </w:p>
    <w:p>
      <w:pPr>
        <w:contextualSpacing/>
        <w:ind w:firstLine="540"/>
        <w:jc w:val="right"/>
        <w:spacing w:line="360" w:lineRule="auto"/>
        <w:rPr>
          <w:rFonts w:hint="eastAsia" w:ascii="宋体" w:hAnsi="宋体" w:cs="宋体"/>
          <w:b/>
          <w:szCs w:val="21"/>
          <w:lang w:val="zh-CN"/>
        </w:rPr>
      </w:pPr>
      <w:r>
        <w:rPr>
          <w:rFonts w:hint="eastAsia" w:ascii="宋体" w:hAnsi="宋体" w:cs="宋体"/>
          <w:szCs w:val="21"/>
        </w:rPr>
        <w:t xml:space="preserve">   年</w:t>
      </w:r>
      <w:r>
        <w:rPr>
          <w:rFonts w:hint="eastAsia" w:ascii="宋体" w:hAnsi="宋体" w:cs="宋体"/>
          <w:szCs w:val="21"/>
        </w:rPr>
        <w:tab/>
        <w:t xml:space="preserve"> 月 </w:t>
      </w:r>
      <w:r>
        <w:rPr>
          <w:rFonts w:hint="eastAsia" w:ascii="宋体" w:hAnsi="宋体" w:cs="宋体"/>
          <w:szCs w:val="21"/>
        </w:rPr>
        <w:tab/>
        <w:t xml:space="preserve">日</w:t>
      </w:r>
      <w:r/>
    </w:p>
    <w:p>
      <w:pPr>
        <w:contextualSpacing/>
        <w:ind w:firstLine="540"/>
        <w:spacing w:line="360" w:lineRule="auto"/>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rPr>
          <w:rFonts w:hint="eastAsia" w:ascii="宋体" w:hAnsi="宋体" w:cs="宋体"/>
          <w:b/>
          <w:bCs/>
          <w:szCs w:val="21"/>
        </w:rPr>
      </w:pPr>
      <w:r>
        <w:rPr>
          <w:rFonts w:hint="eastAsia" w:ascii="宋体" w:hAnsi="宋体" w:cs="宋体"/>
          <w:b/>
          <w:bCs/>
          <w:szCs w:val="21"/>
        </w:rPr>
        <w:br w:type="page" w:clear="all"/>
      </w:r>
      <w:r/>
    </w:p>
    <w:p>
      <w:pPr>
        <w:jc w:val="center"/>
        <w:rPr>
          <w:rFonts w:hint="eastAsia" w:ascii="宋体" w:hAnsi="宋体" w:cs="宋体"/>
          <w:b/>
          <w:bCs/>
          <w:sz w:val="30"/>
          <w:szCs w:val="30"/>
        </w:rPr>
      </w:pPr>
      <w:r>
        <w:rPr>
          <w:rFonts w:hint="eastAsia" w:ascii="宋体" w:hAnsi="宋体" w:cs="宋体"/>
          <w:b/>
          <w:bCs/>
          <w:sz w:val="30"/>
          <w:szCs w:val="30"/>
        </w:rPr>
        <w:t xml:space="preserve">参加政府采购活动前三年内，在经营活动中没有重大违法记录</w:t>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t xml:space="preserve">声  明</w:t>
      </w:r>
      <w:r/>
    </w:p>
    <w:p>
      <w:pPr>
        <w:jc w:val="center"/>
        <w:rPr>
          <w:rFonts w:hint="eastAsia" w:ascii="宋体" w:hAnsi="宋体" w:cs="宋体"/>
          <w:b/>
          <w:bCs/>
          <w:sz w:val="30"/>
          <w:szCs w:val="30"/>
        </w:rPr>
      </w:pPr>
      <w:r>
        <w:rPr>
          <w:rFonts w:hint="eastAsia" w:ascii="宋体" w:hAnsi="宋体" w:cs="宋体"/>
          <w:b/>
          <w:bCs/>
          <w:sz w:val="30"/>
          <w:szCs w:val="30"/>
        </w:rPr>
      </w:r>
      <w:r/>
    </w:p>
    <w:p>
      <w:pPr>
        <w:spacing w:line="360" w:lineRule="auto"/>
        <w:rPr>
          <w:rStyle w:val="1065"/>
          <w:rFonts w:hint="eastAsia" w:ascii="宋体" w:hAnsi="宋体" w:cs="宋体"/>
          <w:szCs w:val="21"/>
          <w:u w:val="single"/>
        </w:rPr>
      </w:pPr>
      <w:r>
        <w:rPr>
          <w:rStyle w:val="1065"/>
          <w:rFonts w:hint="eastAsia" w:ascii="宋体" w:hAnsi="宋体" w:cs="宋体"/>
          <w:szCs w:val="21"/>
          <w:u w:val="single"/>
        </w:rPr>
        <w:t xml:space="preserve">                  </w:t>
      </w:r>
      <w:r>
        <w:rPr>
          <w:rStyle w:val="1065"/>
          <w:rFonts w:hint="eastAsia" w:ascii="宋体" w:hAnsi="宋体" w:cs="宋体"/>
          <w:szCs w:val="21"/>
        </w:rPr>
        <w:t xml:space="preserve">：</w:t>
      </w:r>
      <w:r/>
    </w:p>
    <w:p>
      <w:pPr>
        <w:spacing w:line="360" w:lineRule="auto"/>
        <w:rPr>
          <w:rStyle w:val="1065"/>
          <w:rFonts w:hint="eastAsia" w:ascii="宋体" w:hAnsi="宋体" w:cs="宋体"/>
          <w:szCs w:val="21"/>
        </w:rPr>
      </w:pPr>
      <w:r>
        <w:rPr>
          <w:rStyle w:val="1065"/>
          <w:rFonts w:hint="eastAsia" w:ascii="宋体" w:hAnsi="宋体" w:cs="宋体"/>
          <w:szCs w:val="21"/>
        </w:rPr>
        <w:t xml:space="preserve">    我单位</w:t>
      </w:r>
      <w:r>
        <w:rPr>
          <w:rStyle w:val="1065"/>
          <w:rFonts w:hint="eastAsia" w:ascii="宋体" w:hAnsi="宋体" w:cs="宋体"/>
          <w:szCs w:val="21"/>
          <w:u w:val="single"/>
        </w:rPr>
        <w:t xml:space="preserve">        </w:t>
      </w:r>
      <w:r>
        <w:rPr>
          <w:rStyle w:val="1065"/>
          <w:rFonts w:hint="eastAsia" w:ascii="宋体" w:hAnsi="宋体" w:cs="宋体"/>
          <w:szCs w:val="21"/>
        </w:rPr>
        <w:t xml:space="preserve">（投标人名称）郑重声明：</w:t>
      </w:r>
      <w:r/>
    </w:p>
    <w:p>
      <w:pPr>
        <w:spacing w:line="360" w:lineRule="auto"/>
        <w:rPr>
          <w:rStyle w:val="1065"/>
          <w:rFonts w:hint="eastAsia" w:ascii="宋体" w:hAnsi="宋体" w:cs="宋体"/>
          <w:szCs w:val="21"/>
        </w:rPr>
      </w:pPr>
      <w:r>
        <w:rPr>
          <w:rStyle w:val="1065"/>
          <w:rFonts w:hint="eastAsia" w:ascii="宋体" w:hAnsi="宋体" w:cs="宋体"/>
          <w:szCs w:val="21"/>
        </w:rPr>
        <w:t xml:space="preserve">    参加本次政府采购活动前 3 年内，我单位在经营活动中没有因违法经营受到刑事处罚或者责令停产停业、吊销许可证或者执照、较大数额罚款等行政处罚。</w:t>
      </w:r>
      <w:r/>
    </w:p>
    <w:p>
      <w:pPr>
        <w:spacing w:line="360" w:lineRule="auto"/>
        <w:rPr>
          <w:rStyle w:val="1065"/>
          <w:rFonts w:hint="eastAsia" w:ascii="宋体" w:hAnsi="宋体" w:cs="宋体"/>
          <w:szCs w:val="21"/>
        </w:rPr>
      </w:pPr>
      <w:r>
        <w:rPr>
          <w:rStyle w:val="1065"/>
          <w:rFonts w:hint="eastAsia" w:ascii="宋体" w:hAnsi="宋体" w:cs="宋体"/>
          <w:szCs w:val="21"/>
        </w:rPr>
        <w:t xml:space="preserve">                                                  投标人：</w:t>
      </w:r>
      <w:r>
        <w:rPr>
          <w:rFonts w:hint="eastAsia" w:ascii="宋体" w:hAnsi="宋体" w:cs="宋体"/>
          <w:szCs w:val="21"/>
        </w:rPr>
        <w:t xml:space="preserve">（加盖CA电子公章）</w:t>
      </w:r>
      <w:r/>
    </w:p>
    <w:p>
      <w:pPr>
        <w:jc w:val="center"/>
        <w:spacing w:line="360" w:lineRule="auto"/>
        <w:rPr>
          <w:rStyle w:val="1065"/>
          <w:rFonts w:hint="eastAsia" w:ascii="宋体" w:hAnsi="宋体" w:cs="宋体"/>
          <w:szCs w:val="21"/>
        </w:rPr>
      </w:pPr>
      <w:r>
        <w:rPr>
          <w:rStyle w:val="1065"/>
          <w:rFonts w:hint="eastAsia" w:ascii="宋体" w:hAnsi="宋体" w:cs="宋体"/>
          <w:szCs w:val="21"/>
        </w:rPr>
        <w:t xml:space="preserve">                                                  年     月    日</w:t>
      </w:r>
      <w:r/>
    </w:p>
    <w:p>
      <w:pPr>
        <w:spacing w:line="500" w:lineRule="exact"/>
        <w:rPr>
          <w:rStyle w:val="1065"/>
          <w:rFonts w:hint="eastAsia" w:ascii="宋体" w:hAnsi="宋体" w:cs="宋体"/>
          <w:szCs w:val="21"/>
        </w:rPr>
      </w:pPr>
      <w:r>
        <w:rPr>
          <w:rFonts w:hint="eastAsia" w:ascii="宋体" w:hAnsi="宋体" w:cs="宋体"/>
          <w:szCs w:val="21"/>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spacing w:line="500" w:lineRule="exact"/>
        <w:rPr>
          <w:rFonts w:hint="eastAsia" w:ascii="宋体" w:hAnsi="宋体" w:cs="宋体"/>
          <w:szCs w:val="21"/>
        </w:rPr>
      </w:pPr>
      <w:r>
        <w:rPr>
          <w:rFonts w:hint="eastAsia" w:ascii="宋体" w:hAnsi="宋体" w:cs="宋体"/>
          <w:b/>
          <w:szCs w:val="21"/>
          <w:lang w:val="zh-CN"/>
        </w:rPr>
        <w:br w:type="page" w:clear="all"/>
      </w:r>
      <w:r/>
    </w:p>
    <w:p>
      <w:pPr>
        <w:jc w:val="left"/>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t xml:space="preserve">投标函</w:t>
      </w:r>
      <w:r/>
    </w:p>
    <w:p>
      <w:pPr>
        <w:pStyle w:val="1008"/>
        <w:ind w:left="0" w:firstLine="0"/>
        <w:jc w:val="left"/>
        <w:spacing w:before="0" w:after="0"/>
        <w:rPr>
          <w:rFonts w:hint="eastAsia" w:ascii="宋体" w:hAnsi="宋体" w:cs="宋体"/>
          <w:sz w:val="21"/>
          <w:szCs w:val="21"/>
          <w:u w:val="single"/>
        </w:rPr>
      </w:pP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008"/>
        <w:jc w:val="left"/>
        <w:spacing w:before="0" w:after="0"/>
        <w:rPr>
          <w:rFonts w:hint="eastAsia" w:ascii="宋体" w:hAnsi="宋体" w:cs="宋体"/>
          <w:sz w:val="21"/>
          <w:szCs w:val="21"/>
        </w:rPr>
      </w:pPr>
      <w:r>
        <w:rPr>
          <w:rFonts w:hint="eastAsia" w:ascii="宋体" w:hAnsi="宋体" w:cs="宋体"/>
          <w:sz w:val="21"/>
          <w:szCs w:val="21"/>
        </w:rPr>
        <w:t xml:space="preserve">根据贵方的</w:t>
      </w:r>
      <w:r>
        <w:rPr>
          <w:rFonts w:hint="eastAsia" w:ascii="宋体" w:hAnsi="宋体" w:cs="宋体"/>
          <w:sz w:val="21"/>
          <w:szCs w:val="21"/>
          <w:u w:val="single"/>
        </w:rPr>
        <w:t xml:space="preserve">              </w:t>
      </w:r>
      <w:r>
        <w:rPr>
          <w:rFonts w:hint="eastAsia" w:ascii="宋体" w:hAnsi="宋体" w:cs="宋体"/>
          <w:sz w:val="21"/>
          <w:szCs w:val="21"/>
        </w:rPr>
        <w:t xml:space="preserve">号招标文件，正式授权_____(被授权人姓名)代表我方_______（投标人的名称），全权处理本次项目投标的有关事宜。</w:t>
      </w:r>
      <w:r/>
    </w:p>
    <w:p>
      <w:pPr>
        <w:ind w:firstLine="560"/>
        <w:jc w:val="left"/>
        <w:spacing w:line="360" w:lineRule="auto"/>
        <w:rPr>
          <w:rFonts w:hint="eastAsia" w:ascii="宋体" w:hAnsi="宋体" w:cs="宋体"/>
          <w:szCs w:val="21"/>
        </w:rPr>
      </w:pPr>
      <w:r>
        <w:rPr>
          <w:rFonts w:hint="eastAsia" w:ascii="宋体" w:hAnsi="宋体" w:cs="宋体"/>
          <w:szCs w:val="21"/>
        </w:rPr>
        <w:t xml:space="preserve">据此函，__________（被授权人签字）兹宣布同意如下：</w:t>
      </w:r>
      <w:r/>
    </w:p>
    <w:p>
      <w:pPr>
        <w:pStyle w:val="1008"/>
        <w:jc w:val="left"/>
        <w:spacing w:before="0" w:after="0"/>
        <w:rPr>
          <w:rFonts w:hint="eastAsia" w:ascii="宋体" w:hAnsi="宋体" w:cs="宋体"/>
          <w:sz w:val="21"/>
          <w:szCs w:val="21"/>
        </w:rPr>
      </w:pPr>
      <w:r>
        <w:rPr>
          <w:rFonts w:hint="eastAsia" w:ascii="宋体" w:hAnsi="宋体" w:cs="宋体"/>
          <w:sz w:val="21"/>
          <w:szCs w:val="21"/>
        </w:rPr>
        <w:t xml:space="preserve">1.按招标文件规定的各项要求，向买方提供所需服务。</w:t>
      </w:r>
      <w:r/>
    </w:p>
    <w:p>
      <w:pPr>
        <w:pStyle w:val="1008"/>
        <w:jc w:val="left"/>
        <w:spacing w:before="0" w:after="0"/>
        <w:rPr>
          <w:rFonts w:hint="eastAsia" w:ascii="宋体" w:hAnsi="宋体" w:cs="宋体"/>
          <w:sz w:val="21"/>
          <w:szCs w:val="21"/>
        </w:rPr>
      </w:pPr>
      <w:r>
        <w:rPr>
          <w:rFonts w:hint="eastAsia" w:ascii="宋体" w:hAnsi="宋体" w:cs="宋体"/>
          <w:sz w:val="21"/>
          <w:szCs w:val="21"/>
        </w:rPr>
        <w:t xml:space="preserve">2.我们完全理解贵方不一定将合同授予最低报价的投标人。</w:t>
      </w:r>
      <w:r/>
    </w:p>
    <w:p>
      <w:pPr>
        <w:pStyle w:val="1008"/>
        <w:jc w:val="left"/>
        <w:spacing w:before="0" w:after="0"/>
        <w:rPr>
          <w:rFonts w:hint="eastAsia" w:ascii="宋体" w:hAnsi="宋体" w:cs="宋体"/>
          <w:sz w:val="21"/>
          <w:szCs w:val="21"/>
        </w:rPr>
      </w:pPr>
      <w:r>
        <w:rPr>
          <w:rFonts w:hint="eastAsia" w:ascii="宋体" w:hAnsi="宋体" w:cs="宋体"/>
          <w:sz w:val="21"/>
          <w:szCs w:val="21"/>
        </w:rPr>
        <w:t xml:space="preserve">3.我们已详细审核全部招标文件及其有效补充文件，我们知道必须放弃提出含糊不清或误解问题的权利。</w:t>
      </w:r>
      <w:r/>
    </w:p>
    <w:p>
      <w:pPr>
        <w:pStyle w:val="1008"/>
        <w:jc w:val="left"/>
        <w:spacing w:before="0" w:after="0"/>
        <w:rPr>
          <w:rFonts w:hint="eastAsia" w:ascii="宋体" w:hAnsi="宋体" w:cs="宋体"/>
          <w:sz w:val="21"/>
          <w:szCs w:val="21"/>
        </w:rPr>
      </w:pPr>
      <w:r>
        <w:rPr>
          <w:rFonts w:hint="eastAsia" w:ascii="宋体" w:hAnsi="宋体" w:cs="宋体"/>
          <w:sz w:val="21"/>
          <w:szCs w:val="21"/>
        </w:rPr>
        <w:t xml:space="preserve">4.我们同意从规定的开标日期起遵循本投标文件，并在规定的投标有效期期满之前均具有约束力。</w:t>
      </w:r>
      <w:r/>
    </w:p>
    <w:p>
      <w:pPr>
        <w:pStyle w:val="1008"/>
        <w:jc w:val="left"/>
        <w:spacing w:before="0" w:after="0"/>
        <w:rPr>
          <w:rFonts w:hint="eastAsia" w:ascii="宋体" w:hAnsi="宋体" w:cs="宋体"/>
          <w:sz w:val="21"/>
          <w:szCs w:val="21"/>
        </w:rPr>
      </w:pPr>
      <w:r>
        <w:rPr>
          <w:rFonts w:hint="eastAsia" w:ascii="宋体" w:hAnsi="宋体" w:cs="宋体"/>
          <w:sz w:val="21"/>
          <w:szCs w:val="21"/>
        </w:rPr>
        <w:t xml:space="preserve">5.同意向贵方提供贵方可能另外要求的与投标有关的任何证据或资料，并保证我方已提供和将要提供的文件是真实的、准确的。</w:t>
      </w:r>
      <w:r/>
    </w:p>
    <w:p>
      <w:pPr>
        <w:pStyle w:val="1008"/>
        <w:jc w:val="left"/>
        <w:spacing w:before="0" w:after="0"/>
        <w:rPr>
          <w:rFonts w:hint="eastAsia" w:ascii="宋体" w:hAnsi="宋体" w:cs="宋体"/>
          <w:sz w:val="21"/>
          <w:szCs w:val="21"/>
        </w:rPr>
      </w:pPr>
      <w:r>
        <w:rPr>
          <w:rFonts w:hint="eastAsia" w:ascii="宋体" w:hAnsi="宋体" w:cs="宋体"/>
          <w:sz w:val="21"/>
          <w:szCs w:val="21"/>
        </w:rPr>
        <w:t xml:space="preserve">6.一旦我方中标,我方将根据招标文件的规定，严格履行合同的责任和义务,并保证在招标文件规定的时间完成项目，交付买方验收、使用。</w:t>
      </w:r>
      <w:r/>
    </w:p>
    <w:p>
      <w:pPr>
        <w:pStyle w:val="1008"/>
        <w:jc w:val="left"/>
        <w:spacing w:before="0" w:after="0"/>
        <w:rPr>
          <w:rFonts w:hint="eastAsia" w:ascii="宋体" w:hAnsi="宋体" w:cs="宋体"/>
          <w:sz w:val="21"/>
          <w:szCs w:val="21"/>
        </w:rPr>
      </w:pPr>
      <w:r>
        <w:rPr>
          <w:rFonts w:hint="eastAsia" w:ascii="宋体" w:hAnsi="宋体" w:cs="宋体"/>
          <w:sz w:val="21"/>
          <w:szCs w:val="21"/>
        </w:rPr>
        <w:t xml:space="preserve">7.与本投标有关的正式通讯地址为：</w:t>
      </w:r>
      <w:r/>
    </w:p>
    <w:p>
      <w:pPr>
        <w:pStyle w:val="1008"/>
        <w:ind w:firstLine="596"/>
        <w:jc w:val="left"/>
        <w:spacing w:before="0" w:after="0"/>
        <w:rPr>
          <w:rFonts w:hint="eastAsia" w:ascii="宋体" w:hAnsi="宋体" w:cs="宋体"/>
          <w:sz w:val="21"/>
          <w:szCs w:val="21"/>
        </w:rPr>
      </w:pPr>
      <w:r>
        <w:rPr>
          <w:rFonts w:hint="eastAsia" w:ascii="宋体" w:hAnsi="宋体" w:cs="宋体"/>
          <w:sz w:val="21"/>
          <w:szCs w:val="21"/>
        </w:rPr>
        <w:t xml:space="preserve">地        址：</w:t>
      </w:r>
      <w:r/>
    </w:p>
    <w:p>
      <w:pPr>
        <w:pStyle w:val="1008"/>
        <w:ind w:firstLine="596"/>
        <w:jc w:val="left"/>
        <w:spacing w:before="0" w:after="0"/>
        <w:rPr>
          <w:rFonts w:hint="eastAsia" w:ascii="宋体" w:hAnsi="宋体" w:cs="宋体"/>
          <w:sz w:val="21"/>
          <w:szCs w:val="21"/>
        </w:rPr>
      </w:pPr>
      <w:r>
        <w:rPr>
          <w:rFonts w:hint="eastAsia" w:ascii="宋体" w:hAnsi="宋体" w:cs="宋体"/>
          <w:sz w:val="21"/>
          <w:szCs w:val="21"/>
        </w:rPr>
        <w:t xml:space="preserve">邮        编：</w:t>
      </w:r>
      <w:r/>
    </w:p>
    <w:p>
      <w:pPr>
        <w:pStyle w:val="1008"/>
        <w:ind w:firstLine="596"/>
        <w:jc w:val="left"/>
        <w:spacing w:before="0" w:after="0"/>
        <w:rPr>
          <w:rFonts w:hint="eastAsia" w:ascii="宋体" w:hAnsi="宋体" w:cs="宋体"/>
          <w:sz w:val="21"/>
          <w:szCs w:val="21"/>
        </w:rPr>
      </w:pPr>
      <w:r>
        <w:rPr>
          <w:rFonts w:hint="eastAsia" w:ascii="宋体" w:hAnsi="宋体" w:cs="宋体"/>
          <w:sz w:val="21"/>
          <w:szCs w:val="21"/>
        </w:rPr>
        <w:t xml:space="preserve">电        话：</w:t>
      </w:r>
      <w:r/>
    </w:p>
    <w:p>
      <w:pPr>
        <w:pStyle w:val="1008"/>
        <w:ind w:firstLine="596"/>
        <w:jc w:val="left"/>
        <w:spacing w:before="0" w:after="0"/>
        <w:rPr>
          <w:rFonts w:hint="eastAsia" w:ascii="宋体" w:hAnsi="宋体" w:cs="宋体"/>
          <w:sz w:val="21"/>
          <w:szCs w:val="21"/>
        </w:rPr>
      </w:pPr>
      <w:r>
        <w:rPr>
          <w:rFonts w:hint="eastAsia" w:ascii="宋体" w:hAnsi="宋体" w:cs="宋体"/>
          <w:sz w:val="21"/>
          <w:szCs w:val="21"/>
        </w:rPr>
        <w:t xml:space="preserve">传        真：</w:t>
      </w:r>
      <w:r/>
    </w:p>
    <w:p>
      <w:pPr>
        <w:pStyle w:val="1008"/>
        <w:ind w:firstLine="596"/>
        <w:jc w:val="left"/>
        <w:spacing w:before="0" w:after="0"/>
        <w:rPr>
          <w:rFonts w:hint="eastAsia" w:ascii="宋体" w:hAnsi="宋体" w:cs="宋体"/>
          <w:sz w:val="21"/>
          <w:szCs w:val="21"/>
        </w:rPr>
      </w:pPr>
      <w:r>
        <w:rPr>
          <w:rFonts w:hint="eastAsia" w:ascii="宋体" w:hAnsi="宋体" w:cs="宋体"/>
          <w:sz w:val="21"/>
          <w:szCs w:val="21"/>
        </w:rPr>
        <w:t xml:space="preserve">投标人开户行：</w:t>
      </w:r>
      <w:r/>
    </w:p>
    <w:p>
      <w:pPr>
        <w:pStyle w:val="1008"/>
        <w:ind w:firstLine="596"/>
        <w:jc w:val="left"/>
        <w:spacing w:before="0" w:after="0"/>
        <w:rPr>
          <w:rFonts w:hint="eastAsia" w:ascii="宋体" w:hAnsi="宋体" w:cs="宋体"/>
          <w:sz w:val="21"/>
          <w:szCs w:val="21"/>
        </w:rPr>
      </w:pPr>
      <w:r>
        <w:rPr>
          <w:rFonts w:hint="eastAsia" w:ascii="宋体" w:hAnsi="宋体" w:cs="宋体"/>
          <w:sz w:val="21"/>
          <w:szCs w:val="21"/>
        </w:rPr>
        <w:t xml:space="preserve">账        号： </w:t>
      </w:r>
      <w:r/>
    </w:p>
    <w:p>
      <w:pPr>
        <w:jc w:val="right"/>
        <w:spacing w:line="360" w:lineRule="auto"/>
        <w:rPr>
          <w:rFonts w:hint="eastAsia" w:ascii="宋体" w:hAnsi="宋体" w:cs="宋体"/>
          <w:szCs w:val="21"/>
        </w:rPr>
      </w:pPr>
      <w:r>
        <w:rPr>
          <w:rFonts w:hint="eastAsia" w:ascii="宋体" w:hAnsi="宋体" w:cs="宋体"/>
          <w:szCs w:val="21"/>
        </w:rPr>
      </w:r>
      <w:r/>
    </w:p>
    <w:p>
      <w:pPr>
        <w:jc w:val="right"/>
        <w:spacing w:line="360" w:lineRule="auto"/>
        <w:rPr>
          <w:rFonts w:hint="eastAsia" w:ascii="宋体" w:hAnsi="宋体" w:cs="宋体"/>
          <w:szCs w:val="21"/>
        </w:rPr>
      </w:pPr>
      <w:r>
        <w:rPr>
          <w:rFonts w:hint="eastAsia" w:ascii="宋体" w:hAnsi="宋体" w:cs="宋体"/>
          <w:szCs w:val="21"/>
        </w:rPr>
      </w:r>
      <w:r/>
    </w:p>
    <w:p>
      <w:pPr>
        <w:jc w:val="right"/>
        <w:spacing w:line="360" w:lineRule="auto"/>
        <w:rPr>
          <w:rFonts w:hint="eastAsia" w:ascii="宋体" w:hAnsi="宋体" w:cs="宋体"/>
          <w:szCs w:val="21"/>
        </w:rPr>
      </w:pPr>
      <w:r>
        <w:rPr>
          <w:rFonts w:hint="eastAsia" w:ascii="宋体" w:hAnsi="宋体" w:cs="宋体"/>
          <w:szCs w:val="21"/>
        </w:rPr>
        <w:t xml:space="preserve">投标人：（加盖CA电子公章）</w:t>
      </w:r>
      <w:r/>
    </w:p>
    <w:p>
      <w:pPr>
        <w:jc w:val="right"/>
        <w:spacing w:line="360" w:lineRule="auto"/>
        <w:rPr>
          <w:rFonts w:hint="eastAsia" w:ascii="宋体" w:hAnsi="宋体" w:cs="宋体"/>
          <w:szCs w:val="21"/>
        </w:rPr>
      </w:pPr>
      <w:r>
        <w:rPr>
          <w:rFonts w:hint="eastAsia" w:ascii="宋体" w:hAnsi="宋体" w:cs="宋体"/>
          <w:szCs w:val="21"/>
        </w:rPr>
        <w:t xml:space="preserve"> 年      月     日</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rPr>
          <w:rFonts w:hint="eastAsia" w:ascii="宋体" w:hAnsi="宋体" w:cs="宋体"/>
          <w:b/>
          <w:bCs/>
          <w:szCs w:val="21"/>
        </w:rPr>
      </w:pPr>
      <w:r>
        <w:rPr>
          <w:rFonts w:hint="eastAsia" w:ascii="宋体" w:hAnsi="宋体" w:cs="宋体"/>
          <w:b/>
          <w:bCs/>
          <w:szCs w:val="21"/>
        </w:rPr>
        <w:br w:type="page" w:clear="all"/>
      </w:r>
      <w:r/>
    </w:p>
    <w:p>
      <w:pPr>
        <w:jc w:val="cente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t xml:space="preserve">实质性响应承诺函</w:t>
      </w:r>
      <w:r/>
    </w:p>
    <w:p>
      <w:pPr>
        <w:spacing w:line="360" w:lineRule="auto"/>
        <w:rPr>
          <w:rStyle w:val="1065"/>
          <w:rFonts w:hint="eastAsia" w:ascii="宋体" w:hAnsi="宋体" w:cs="宋体"/>
          <w:szCs w:val="21"/>
        </w:rPr>
      </w:pPr>
      <w:r>
        <w:rPr>
          <w:rStyle w:val="1065"/>
          <w:rFonts w:hint="eastAsia" w:ascii="宋体" w:hAnsi="宋体" w:cs="宋体"/>
          <w:szCs w:val="21"/>
          <w:u w:val="single"/>
        </w:rPr>
        <w:t xml:space="preserve">                  </w:t>
      </w:r>
      <w:r>
        <w:rPr>
          <w:rStyle w:val="1065"/>
          <w:rFonts w:hint="eastAsia" w:ascii="宋体" w:hAnsi="宋体" w:cs="宋体"/>
          <w:szCs w:val="21"/>
        </w:rPr>
        <w:t xml:space="preserve">：</w:t>
      </w:r>
      <w:r/>
    </w:p>
    <w:p>
      <w:pPr>
        <w:ind w:firstLine="420"/>
        <w:spacing w:line="360" w:lineRule="auto"/>
        <w:rPr>
          <w:rStyle w:val="1065"/>
          <w:rFonts w:hint="eastAsia" w:ascii="宋体" w:hAnsi="宋体" w:cs="宋体"/>
          <w:szCs w:val="21"/>
        </w:rPr>
      </w:pPr>
      <w:r>
        <w:rPr>
          <w:rStyle w:val="1065"/>
          <w:rFonts w:hint="eastAsia" w:ascii="宋体" w:hAnsi="宋体" w:cs="宋体"/>
          <w:szCs w:val="21"/>
        </w:rPr>
        <w:t xml:space="preserve">我单位（投标人名称）郑重承诺：</w:t>
      </w:r>
      <w:r/>
    </w:p>
    <w:p>
      <w:pPr>
        <w:ind w:firstLine="420"/>
        <w:spacing w:line="360" w:lineRule="auto"/>
        <w:rPr>
          <w:rFonts w:hint="eastAsia" w:ascii="宋体" w:hAnsi="宋体" w:cs="宋体"/>
          <w:szCs w:val="21"/>
        </w:rPr>
      </w:pPr>
      <w:r>
        <w:rPr>
          <w:rStyle w:val="1065"/>
          <w:rFonts w:hint="eastAsia" w:ascii="宋体" w:hAnsi="宋体" w:cs="宋体"/>
          <w:szCs w:val="21"/>
        </w:rPr>
        <w:t xml:space="preserve">我单位完全实质性响应</w:t>
      </w:r>
      <w:r>
        <w:rPr>
          <w:rFonts w:hint="eastAsia" w:ascii="宋体" w:hAnsi="宋体" w:cs="宋体"/>
          <w:szCs w:val="21"/>
        </w:rPr>
        <w:t xml:space="preserve">招标文件第三章项目需求所有内容。</w:t>
      </w:r>
      <w:r/>
    </w:p>
    <w:p>
      <w:pPr>
        <w:pStyle w:val="765"/>
        <w:spacing w:line="360" w:lineRule="auto"/>
      </w:pPr>
      <w:r/>
      <w:r/>
    </w:p>
    <w:p>
      <w:pPr>
        <w:spacing w:line="360" w:lineRule="auto"/>
        <w:rPr>
          <w:rStyle w:val="1065"/>
          <w:rFonts w:hint="eastAsia" w:ascii="宋体" w:hAnsi="宋体" w:cs="宋体"/>
          <w:szCs w:val="21"/>
        </w:rPr>
      </w:pPr>
      <w:r>
        <w:rPr>
          <w:rStyle w:val="1065"/>
          <w:rFonts w:hint="eastAsia" w:ascii="宋体" w:hAnsi="宋体" w:cs="宋体"/>
          <w:szCs w:val="21"/>
        </w:rPr>
        <w:t xml:space="preserve">                                                   投标人：</w:t>
      </w:r>
      <w:r>
        <w:rPr>
          <w:rFonts w:hint="eastAsia" w:ascii="宋体" w:hAnsi="宋体" w:cs="宋体"/>
          <w:szCs w:val="21"/>
        </w:rPr>
        <w:t xml:space="preserve">（加盖CA电子公章）</w:t>
      </w:r>
      <w:r/>
    </w:p>
    <w:p>
      <w:pPr>
        <w:jc w:val="center"/>
        <w:spacing w:line="360" w:lineRule="auto"/>
        <w:rPr>
          <w:rStyle w:val="1065"/>
          <w:rFonts w:hint="eastAsia" w:ascii="宋体" w:hAnsi="宋体" w:cs="宋体"/>
          <w:szCs w:val="21"/>
        </w:rPr>
      </w:pPr>
      <w:r>
        <w:rPr>
          <w:rStyle w:val="1065"/>
          <w:rFonts w:hint="eastAsia" w:ascii="宋体" w:hAnsi="宋体" w:cs="宋体"/>
          <w:szCs w:val="21"/>
        </w:rPr>
        <w:t xml:space="preserve">                                                  年     月    日</w:t>
      </w:r>
      <w:r/>
    </w:p>
    <w:p>
      <w:pPr>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br w:type="page" w:clear="all"/>
      </w:r>
      <w:r/>
    </w:p>
    <w:p>
      <w:pPr>
        <w:rPr>
          <w:rFonts w:hint="eastAsia" w:ascii="宋体" w:hAnsi="宋体" w:cs="宋体"/>
          <w:b/>
          <w:bCs/>
          <w:sz w:val="30"/>
          <w:szCs w:val="30"/>
        </w:rPr>
      </w:pPr>
      <w:r>
        <w:rPr>
          <w:rFonts w:hint="eastAsia" w:ascii="宋体" w:hAnsi="宋体" w:cs="宋体"/>
          <w:b/>
          <w:bCs/>
          <w:sz w:val="30"/>
          <w:szCs w:val="30"/>
        </w:rPr>
        <w:t xml:space="preserve">           </w:t>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t xml:space="preserve">商务部分正负偏离表</w:t>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1"/>
        <w:gridCol w:w="2815"/>
        <w:gridCol w:w="2852"/>
        <w:gridCol w:w="1308"/>
        <w:gridCol w:w="1173"/>
      </w:tblGrid>
      <w:tr>
        <w:trPr>
          <w:cantSplit/>
        </w:trPr>
        <w:tc>
          <w:tcPr>
            <w:tcW w:w="1021"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W w:w="2815"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招标文件要求</w:t>
            </w:r>
            <w:r/>
          </w:p>
        </w:tc>
        <w:tc>
          <w:tcPr>
            <w:tcW w:w="285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投标响应情况</w:t>
            </w:r>
            <w:r/>
          </w:p>
        </w:tc>
        <w:tc>
          <w:tcPr>
            <w:tcW w:w="1308"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超出、符合或偏离</w:t>
            </w:r>
            <w:r/>
          </w:p>
        </w:tc>
        <w:tc>
          <w:tcPr>
            <w:tcW w:w="1173"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证明</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材料</w:t>
            </w:r>
            <w:r/>
          </w:p>
        </w:tc>
      </w:tr>
      <w:tr>
        <w:trPr>
          <w:cantSplit/>
          <w:trHeight w:val="640"/>
        </w:trPr>
        <w:tc>
          <w:tcPr>
            <w:tcW w:w="1021"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15"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52"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73"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cantSplit/>
          <w:trHeight w:val="640"/>
        </w:trPr>
        <w:tc>
          <w:tcPr>
            <w:tcW w:w="1021"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15"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52"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73"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cantSplit/>
          <w:trHeight w:val="640"/>
        </w:trPr>
        <w:tc>
          <w:tcPr>
            <w:tcW w:w="1021"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15"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52"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73"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cantSplit/>
          <w:trHeight w:val="640"/>
        </w:trPr>
        <w:tc>
          <w:tcPr>
            <w:tcW w:w="1021"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15"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52"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73"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cantSplit/>
          <w:trHeight w:val="640"/>
        </w:trPr>
        <w:tc>
          <w:tcPr>
            <w:tcW w:w="1021"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15"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52"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73"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cantSplit/>
          <w:trHeight w:val="640"/>
        </w:trPr>
        <w:tc>
          <w:tcPr>
            <w:tcW w:w="1021"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15"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52"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73"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cantSplit/>
          <w:trHeight w:val="640"/>
        </w:trPr>
        <w:tc>
          <w:tcPr>
            <w:tcW w:w="1021"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15"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52"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73"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cantSplit/>
          <w:trHeight w:val="640"/>
        </w:trPr>
        <w:tc>
          <w:tcPr>
            <w:tcW w:w="1021"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15"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p>
        </w:tc>
        <w:tc>
          <w:tcPr>
            <w:tcW w:w="2852"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73"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bl>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 行数不够，可自行添加</w:t>
      </w:r>
      <w:r>
        <w:rPr>
          <w:rFonts w:hint="eastAsia" w:asciiTheme="minorEastAsia" w:hAnsiTheme="minorEastAsia" w:eastAsiaTheme="minorEastAsia" w:cstheme="minorEastAsia"/>
          <w:szCs w:val="21"/>
        </w:rPr>
        <w:t xml:space="preserve">，格式仅供参考，可自拟</w:t>
      </w:r>
      <w:r>
        <w:rPr>
          <w:rFonts w:hint="eastAsia" w:asciiTheme="minorEastAsia" w:hAnsiTheme="minorEastAsia" w:eastAsiaTheme="minorEastAsia" w:cstheme="minorEastAsia"/>
          <w:szCs w:val="21"/>
        </w:rPr>
        <w:t xml:space="preserve">。</w:t>
      </w:r>
      <w:r/>
    </w:p>
    <w:p>
      <w:pPr>
        <w:ind w:firstLine="492"/>
        <w:jc w:val="righ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投标人：（加盖CA电子公章）</w:t>
      </w:r>
      <w:r/>
    </w:p>
    <w:p>
      <w:pPr>
        <w:pStyle w:val="759"/>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p>
      <w:pPr>
        <w:pStyle w:val="794"/>
        <w:ind w:left="0" w:firstLine="0"/>
        <w:jc w:val="right"/>
        <w:spacing w:line="360" w:lineRule="auto"/>
      </w:pPr>
      <w:r>
        <w:rPr>
          <w:rFonts w:hint="eastAsia" w:asciiTheme="minorEastAsia" w:hAnsiTheme="minorEastAsia" w:eastAsiaTheme="minorEastAsia" w:cstheme="minorEastAsia"/>
          <w:sz w:val="21"/>
          <w:szCs w:val="21"/>
        </w:rPr>
        <w:t xml:space="preserve">   年</w:t>
      </w:r>
      <w:r>
        <w:rPr>
          <w:rFonts w:hint="eastAsia" w:asciiTheme="minorEastAsia" w:hAnsiTheme="minorEastAsia" w:eastAsiaTheme="minorEastAsia" w:cstheme="minorEastAsia"/>
          <w:sz w:val="21"/>
          <w:szCs w:val="21"/>
        </w:rPr>
        <w:tab/>
        <w:t xml:space="preserve"> 月 </w:t>
      </w:r>
      <w:r>
        <w:rPr>
          <w:rFonts w:hint="eastAsia" w:asciiTheme="minorEastAsia" w:hAnsiTheme="minorEastAsia" w:eastAsiaTheme="minorEastAsia" w:cstheme="minorEastAsia"/>
          <w:sz w:val="21"/>
          <w:szCs w:val="21"/>
        </w:rPr>
        <w:tab/>
        <w:t xml:space="preserve">日</w:t>
      </w:r>
      <w:r/>
    </w:p>
    <w:p>
      <w:pPr>
        <w:contextualSpacing/>
        <w:ind w:firstLine="540"/>
        <w:spacing w:line="400" w:lineRule="exact"/>
        <w:rPr>
          <w:rFonts w:hint="eastAsia" w:ascii="宋体" w:hAnsi="宋体" w:cs="宋体"/>
          <w:b/>
          <w:szCs w:val="21"/>
        </w:rPr>
      </w:pPr>
      <w:r>
        <w:rPr>
          <w:rFonts w:hint="eastAsia" w:ascii="宋体" w:hAnsi="宋体" w:cs="宋体"/>
          <w:b/>
          <w:szCs w:val="21"/>
        </w:rPr>
      </w:r>
      <w:r/>
    </w:p>
    <w:p>
      <w:pPr>
        <w:contextualSpacing/>
        <w:ind w:firstLine="540"/>
        <w:spacing w:line="400" w:lineRule="exact"/>
        <w:rPr>
          <w:rFonts w:hint="eastAsia" w:ascii="宋体" w:hAnsi="宋体" w:cs="宋体"/>
          <w:b/>
          <w:szCs w:val="21"/>
        </w:rPr>
      </w:pPr>
      <w:r>
        <w:rPr>
          <w:rFonts w:hint="eastAsia" w:ascii="宋体" w:hAnsi="宋体" w:cs="宋体"/>
          <w:b/>
          <w:szCs w:val="21"/>
        </w:rPr>
      </w:r>
      <w:r/>
    </w:p>
    <w:p>
      <w:pPr>
        <w:contextualSpacing/>
        <w:ind w:firstLine="540"/>
        <w:spacing w:line="400" w:lineRule="exact"/>
        <w:rPr>
          <w:rFonts w:hint="eastAsia" w:ascii="宋体" w:hAnsi="宋体" w:cs="宋体"/>
          <w:b/>
          <w:szCs w:val="21"/>
        </w:rPr>
      </w:pPr>
      <w:r>
        <w:rPr>
          <w:rFonts w:hint="eastAsia" w:ascii="宋体" w:hAnsi="宋体" w:cs="宋体"/>
          <w:b/>
          <w:szCs w:val="21"/>
        </w:rPr>
      </w:r>
      <w:r/>
    </w:p>
    <w:p>
      <w:pPr>
        <w:contextualSpacing/>
        <w:ind w:firstLine="540"/>
        <w:spacing w:line="400" w:lineRule="exact"/>
        <w:rPr>
          <w:rFonts w:hint="eastAsia" w:ascii="宋体" w:hAnsi="宋体" w:cs="宋体"/>
          <w:b/>
          <w:szCs w:val="21"/>
        </w:rPr>
      </w:pPr>
      <w:r>
        <w:rPr>
          <w:rFonts w:hint="eastAsia" w:ascii="宋体" w:hAnsi="宋体" w:cs="宋体"/>
          <w:b/>
          <w:szCs w:val="21"/>
        </w:rPr>
      </w:r>
      <w:r/>
    </w:p>
    <w:p>
      <w:pPr>
        <w:contextualSpacing/>
        <w:ind w:firstLine="540"/>
        <w:spacing w:line="400" w:lineRule="exact"/>
        <w:rPr>
          <w:rFonts w:hint="eastAsia" w:ascii="宋体" w:hAnsi="宋体" w:cs="宋体"/>
          <w:b/>
          <w:szCs w:val="21"/>
        </w:rPr>
      </w:pPr>
      <w:r>
        <w:rPr>
          <w:rFonts w:hint="eastAsia" w:ascii="宋体" w:hAnsi="宋体" w:cs="宋体"/>
          <w:b/>
          <w:szCs w:val="21"/>
        </w:rPr>
      </w:r>
      <w:r/>
    </w:p>
    <w:p>
      <w:pPr>
        <w:rPr>
          <w:rFonts w:hint="eastAsia" w:ascii="宋体" w:hAnsi="宋体" w:cs="宋体"/>
          <w:b/>
          <w:bCs/>
          <w:szCs w:val="21"/>
        </w:rPr>
      </w:pPr>
      <w:r>
        <w:rPr>
          <w:rFonts w:hint="eastAsia" w:ascii="宋体" w:hAnsi="宋体" w:cs="宋体"/>
          <w:b/>
          <w:bCs/>
          <w:szCs w:val="21"/>
        </w:rPr>
        <w:br w:type="page" w:clear="all"/>
      </w:r>
      <w:r/>
    </w:p>
    <w:p>
      <w:pPr>
        <w:rPr>
          <w:rFonts w:hint="eastAsia" w:ascii="宋体" w:hAnsi="宋体" w:cs="宋体"/>
          <w:bCs/>
          <w:szCs w:val="21"/>
        </w:rPr>
      </w:pPr>
      <w:r>
        <w:rPr>
          <w:rFonts w:hint="eastAsia" w:ascii="宋体" w:hAnsi="宋体" w:cs="宋体"/>
          <w:bCs/>
          <w:szCs w:val="21"/>
        </w:rPr>
        <w:t xml:space="preserve">   </w:t>
      </w:r>
      <w:r/>
    </w:p>
    <w:p>
      <w:pPr>
        <w:jc w:val="center"/>
        <w:rPr>
          <w:rFonts w:hint="eastAsia" w:ascii="宋体" w:hAnsi="宋体" w:cs="宋体"/>
          <w:b/>
          <w:bCs/>
          <w:sz w:val="30"/>
          <w:szCs w:val="30"/>
        </w:rPr>
      </w:pPr>
      <w:r>
        <w:rPr>
          <w:rFonts w:hint="eastAsia" w:ascii="宋体" w:hAnsi="宋体" w:cs="宋体"/>
          <w:b/>
          <w:bCs/>
          <w:sz w:val="30"/>
          <w:szCs w:val="30"/>
        </w:rPr>
        <w:t xml:space="preserve">技术部分正负偏离表</w:t>
      </w:r>
      <w:r/>
    </w:p>
    <w:p>
      <w:pPr>
        <w:rPr>
          <w:rFonts w:hint="eastAsia" w:ascii="宋体" w:hAnsi="宋体" w:cs="宋体"/>
          <w:b/>
          <w:bCs/>
          <w:szCs w:val="21"/>
        </w:rPr>
      </w:pPr>
      <w:r>
        <w:rPr>
          <w:rFonts w:hint="eastAsia" w:ascii="宋体" w:hAnsi="宋体" w:cs="宋体"/>
          <w:b/>
          <w:bCs/>
          <w:szCs w:val="21"/>
        </w:rPr>
      </w:r>
      <w:r/>
    </w:p>
    <w:tbl>
      <w:tblPr>
        <w:tblW w:w="9710"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br w:type="page" w:clear="all"/>
            </w:r>
            <w:r>
              <w:rPr>
                <w:rFonts w:hint="eastAsia" w:asciiTheme="minorEastAsia" w:hAnsiTheme="minorEastAsia" w:eastAsiaTheme="minorEastAsia" w:cstheme="minorEastAsia"/>
                <w:szCs w:val="21"/>
              </w:rPr>
              <w:t xml:space="preserve">序号</w:t>
            </w:r>
            <w:r/>
          </w:p>
        </w:tc>
        <w:tc>
          <w:tcPr>
            <w:tcW w:w="3291"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招标文件要求</w:t>
            </w:r>
            <w:r/>
          </w:p>
        </w:tc>
        <w:tc>
          <w:tcPr>
            <w:tcW w:w="2852"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投标响应情况</w:t>
            </w:r>
            <w:r/>
          </w:p>
        </w:tc>
        <w:tc>
          <w:tcPr>
            <w:tcW w:w="1308"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超出、符合或偏离</w:t>
            </w:r>
            <w:r/>
          </w:p>
        </w:tc>
        <w:tc>
          <w:tcPr>
            <w:tcW w:w="1173"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证明</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材料</w:t>
            </w:r>
            <w:r/>
          </w:p>
        </w:tc>
      </w:tr>
      <w:tr>
        <w:trPr>
          <w:cantSplit/>
          <w:trHeight w:val="640"/>
        </w:trPr>
        <w:tc>
          <w:tcPr>
            <w:tcW w:w="1086"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3291"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52"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73"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cantSplit/>
          <w:trHeight w:val="640"/>
        </w:trPr>
        <w:tc>
          <w:tcPr>
            <w:tcW w:w="1086"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3291"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52"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73"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cantSplit/>
          <w:trHeight w:val="640"/>
        </w:trPr>
        <w:tc>
          <w:tcPr>
            <w:tcW w:w="1086"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3291"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52"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73"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cantSplit/>
          <w:trHeight w:val="640"/>
        </w:trPr>
        <w:tc>
          <w:tcPr>
            <w:tcW w:w="1086"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3291"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52"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73"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cantSplit/>
          <w:trHeight w:val="640"/>
        </w:trPr>
        <w:tc>
          <w:tcPr>
            <w:tcW w:w="1086"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3291"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52"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73"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cantSplit/>
          <w:trHeight w:val="640"/>
        </w:trPr>
        <w:tc>
          <w:tcPr>
            <w:tcW w:w="1086"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3291"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52"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73"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cantSplit/>
          <w:trHeight w:val="640"/>
        </w:trPr>
        <w:tc>
          <w:tcPr>
            <w:tcW w:w="1086"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3291"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2852"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73"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cantSplit/>
          <w:trHeight w:val="640"/>
        </w:trPr>
        <w:tc>
          <w:tcPr>
            <w:tcW w:w="1086"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3291"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p>
        </w:tc>
        <w:tc>
          <w:tcPr>
            <w:tcW w:w="2852"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73" w:type="dxa"/>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bl>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 行数不够，可自行添加</w:t>
      </w:r>
      <w:r>
        <w:rPr>
          <w:rFonts w:hint="eastAsia" w:asciiTheme="minorEastAsia" w:hAnsiTheme="minorEastAsia" w:eastAsiaTheme="minorEastAsia" w:cstheme="minorEastAsia"/>
          <w:szCs w:val="21"/>
        </w:rPr>
        <w:t xml:space="preserve">，格式仅供参考，可自拟</w:t>
      </w:r>
      <w:r>
        <w:rPr>
          <w:rFonts w:hint="eastAsia" w:asciiTheme="minorEastAsia" w:hAnsiTheme="minorEastAsia" w:eastAsiaTheme="minorEastAsia" w:cstheme="minorEastAsia"/>
          <w:szCs w:val="21"/>
        </w:rPr>
        <w:t xml:space="preserve">。</w:t>
      </w:r>
      <w:r/>
    </w:p>
    <w:p>
      <w:pPr>
        <w:ind w:firstLine="492"/>
        <w:jc w:val="righ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投标人：（加盖CA电子公章）</w:t>
      </w:r>
      <w:r/>
    </w:p>
    <w:p>
      <w:pPr>
        <w:pStyle w:val="759"/>
        <w:jc w:val="righ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p>
      <w:pPr>
        <w:pStyle w:val="759"/>
        <w:jc w:val="right"/>
        <w:spacing w:line="360" w:lineRule="auto"/>
        <w:rPr>
          <w:rFonts w:hint="eastAsia" w:ascii="宋体" w:hAnsi="宋体"/>
          <w:sz w:val="24"/>
          <w:szCs w:val="21"/>
        </w:rPr>
      </w:pPr>
      <w:r>
        <w:rPr>
          <w:rFonts w:hint="eastAsia" w:asciiTheme="minorEastAsia" w:hAnsiTheme="minorEastAsia" w:eastAsiaTheme="minorEastAsia" w:cstheme="minorEastAsia"/>
          <w:sz w:val="21"/>
          <w:szCs w:val="21"/>
        </w:rPr>
        <w:t xml:space="preserve">   年</w:t>
      </w:r>
      <w:r>
        <w:rPr>
          <w:rFonts w:hint="eastAsia" w:asciiTheme="minorEastAsia" w:hAnsiTheme="minorEastAsia" w:eastAsiaTheme="minorEastAsia" w:cstheme="minorEastAsia"/>
          <w:sz w:val="21"/>
          <w:szCs w:val="21"/>
        </w:rPr>
        <w:tab/>
        <w:t xml:space="preserve"> 月 </w:t>
      </w:r>
      <w:r>
        <w:rPr>
          <w:rFonts w:hint="eastAsia" w:asciiTheme="minorEastAsia" w:hAnsiTheme="minorEastAsia" w:eastAsiaTheme="minorEastAsia" w:cstheme="minorEastAsia"/>
          <w:sz w:val="21"/>
          <w:szCs w:val="21"/>
        </w:rPr>
        <w:tab/>
        <w:t xml:space="preserve">日</w:t>
      </w:r>
      <w:r/>
    </w:p>
    <w:p>
      <w:pPr>
        <w:rPr>
          <w:rFonts w:hint="eastAsia" w:ascii="宋体" w:hAnsi="宋体" w:cs="宋体"/>
          <w:b/>
          <w:bCs/>
          <w:szCs w:val="21"/>
        </w:rPr>
      </w:pPr>
      <w:r>
        <w:rPr>
          <w:rFonts w:hint="eastAsia" w:ascii="宋体" w:hAnsi="宋体" w:cs="宋体"/>
          <w:b/>
          <w:bCs/>
          <w:szCs w:val="21"/>
        </w:rPr>
      </w:r>
      <w:r/>
    </w:p>
    <w:p>
      <w:pPr>
        <w:rPr>
          <w:rFonts w:hint="eastAsia" w:ascii="宋体" w:hAnsi="宋体" w:cs="宋体"/>
          <w:b/>
          <w:sz w:val="28"/>
          <w:szCs w:val="28"/>
        </w:rPr>
      </w:pPr>
      <w:r>
        <w:rPr>
          <w:rFonts w:hint="eastAsia" w:ascii="宋体" w:hAnsi="宋体" w:cs="宋体"/>
          <w:b/>
          <w:sz w:val="28"/>
          <w:szCs w:val="28"/>
        </w:rPr>
        <w:br w:type="page" w:clear="all"/>
      </w:r>
      <w:r/>
    </w:p>
    <w:p>
      <w:pPr>
        <w:spacing w:line="400" w:lineRule="exact"/>
        <w:widowControl/>
        <w:rPr>
          <w:rFonts w:hint="eastAsia" w:ascii="宋体" w:hAnsi="宋体" w:cs="宋体"/>
        </w:rPr>
      </w:pPr>
      <w:r>
        <w:rPr>
          <w:rFonts w:hint="eastAsia" w:ascii="宋体" w:hAnsi="宋体" w:cs="宋体"/>
        </w:rPr>
      </w:r>
      <w:r/>
    </w:p>
    <w:p>
      <w:pPr>
        <w:pStyle w:val="765"/>
        <w:ind w:right="415"/>
        <w:jc w:val="center"/>
        <w:spacing w:line="360" w:lineRule="auto"/>
        <w:rPr>
          <w:rFonts w:hint="eastAsia" w:ascii="宋体" w:hAnsi="宋体"/>
          <w:b/>
          <w:color w:val="000000"/>
        </w:rPr>
      </w:pPr>
      <w:r>
        <w:rPr>
          <w:rFonts w:hint="eastAsia" w:ascii="宋体" w:hAnsi="宋体" w:eastAsia="宋体"/>
          <w:b/>
          <w:color w:val="000000"/>
          <w:sz w:val="30"/>
          <w:szCs w:val="30"/>
        </w:rPr>
        <w:t xml:space="preserve">政府采购联合体协议模板</w:t>
      </w:r>
      <w:r>
        <w:rPr>
          <w:rFonts w:hint="eastAsia" w:ascii="宋体" w:hAnsi="宋体" w:eastAsia="宋体"/>
          <w:b/>
          <w:color w:val="000000"/>
          <w:sz w:val="30"/>
          <w:szCs w:val="30"/>
        </w:rPr>
        <w:t xml:space="preserve">（格式</w:t>
      </w:r>
      <w:r>
        <w:rPr>
          <w:rFonts w:hint="eastAsia" w:ascii="宋体" w:hAnsi="宋体" w:eastAsia="宋体"/>
          <w:b/>
          <w:color w:val="000000"/>
          <w:sz w:val="30"/>
          <w:szCs w:val="30"/>
        </w:rPr>
        <w:t xml:space="preserve">仅供参考</w:t>
      </w:r>
      <w:r>
        <w:rPr>
          <w:rFonts w:hint="eastAsia" w:ascii="宋体" w:hAnsi="宋体" w:eastAsia="宋体"/>
          <w:b/>
          <w:color w:val="000000"/>
          <w:sz w:val="30"/>
          <w:szCs w:val="30"/>
        </w:rPr>
        <w:t xml:space="preserve">，</w:t>
      </w:r>
      <w:r>
        <w:rPr>
          <w:rFonts w:hint="eastAsia" w:ascii="宋体" w:hAnsi="宋体" w:eastAsia="宋体"/>
          <w:b/>
          <w:color w:val="000000"/>
          <w:sz w:val="30"/>
          <w:szCs w:val="30"/>
        </w:rPr>
        <w:t xml:space="preserve">可自拟）</w:t>
      </w:r>
      <w:r/>
    </w:p>
    <w:p>
      <w:pPr>
        <w:jc w:val="left"/>
        <w:widowControl/>
        <w:rPr>
          <w:sz w:val="24"/>
        </w:rPr>
      </w:pPr>
      <w:r>
        <w:rPr>
          <w:rStyle w:val="796"/>
        </w:rPr>
        <w:t xml:space="preserve">项目名称</w:t>
      </w:r>
      <w:r>
        <w:t xml:space="preserve">：</w:t>
      </w:r>
      <w:r>
        <w:t xml:space="preserve">[</w:t>
      </w:r>
      <w:r>
        <w:rPr>
          <w:rFonts w:hint="eastAsia"/>
        </w:rPr>
        <w:t xml:space="preserve"> </w:t>
      </w:r>
      <w:r>
        <w:t xml:space="preserve">]</w:t>
      </w:r>
      <w:r/>
    </w:p>
    <w:p>
      <w:r>
        <w:rPr>
          <w:rStyle w:val="796"/>
        </w:rPr>
        <w:t xml:space="preserve">项目编号</w:t>
      </w:r>
      <w:r>
        <w:t xml:space="preserve">：</w:t>
      </w:r>
      <w:r>
        <w:t xml:space="preserve">[</w:t>
      </w:r>
      <w:r>
        <w:t xml:space="preserve">政府采购项目编号</w:t>
      </w:r>
      <w:r>
        <w:t xml:space="preserve">]</w:t>
      </w:r>
      <w:r/>
    </w:p>
    <w:p>
      <w:r>
        <w:rPr>
          <w:rStyle w:val="796"/>
        </w:rPr>
        <w:t xml:space="preserve">合同估算价</w:t>
      </w:r>
      <w:r>
        <w:t xml:space="preserve">：</w:t>
      </w:r>
      <w:r>
        <w:rPr>
          <w:rFonts w:hint="eastAsia"/>
        </w:rPr>
        <w:t xml:space="preserve"> </w:t>
      </w:r>
      <w:r/>
    </w:p>
    <w:p>
      <w:r>
        <w:rPr>
          <w:rStyle w:val="796"/>
        </w:rPr>
        <w:t xml:space="preserve">甲方（牵头方）</w:t>
      </w:r>
      <w:r>
        <w:t xml:space="preserve">：</w:t>
      </w:r>
      <w:r>
        <w:t xml:space="preserve">[</w:t>
      </w:r>
      <w:r>
        <w:t xml:space="preserve">规划甲级单位全称</w:t>
      </w:r>
      <w:r>
        <w:t xml:space="preserve">]</w:t>
      </w:r>
      <w:r/>
    </w:p>
    <w:p>
      <w:r>
        <w:t xml:space="preserve">统一社会信用代码：</w:t>
      </w:r>
      <w:r/>
    </w:p>
    <w:p>
      <w:r>
        <w:t xml:space="preserve">法定代表人：</w:t>
      </w:r>
      <w:r/>
    </w:p>
    <w:p>
      <w:r>
        <w:t xml:space="preserve">地址：</w:t>
      </w:r>
      <w:r/>
    </w:p>
    <w:p>
      <w:r>
        <w:t xml:space="preserve">联系电话：</w:t>
      </w:r>
      <w:r/>
    </w:p>
    <w:p>
      <w:r>
        <w:t xml:space="preserve">资质等级：</w:t>
      </w:r>
      <w:r>
        <w:rPr>
          <w:rStyle w:val="796"/>
        </w:rPr>
        <w:t xml:space="preserve">城乡规划编制甲级资质</w:t>
      </w:r>
      <w:r/>
    </w:p>
    <w:p>
      <w:r>
        <w:rPr>
          <w:rStyle w:val="796"/>
        </w:rPr>
        <w:t xml:space="preserve">乙方（成员方）</w:t>
      </w:r>
      <w:r>
        <w:t xml:space="preserve">：</w:t>
      </w:r>
      <w:r>
        <w:t xml:space="preserve">[</w:t>
      </w:r>
      <w:r>
        <w:t xml:space="preserve">配套专业单位全称</w:t>
      </w:r>
      <w:r>
        <w:t xml:space="preserve">]</w:t>
      </w:r>
      <w:r/>
    </w:p>
    <w:p>
      <w:r>
        <w:t xml:space="preserve">统一社会信用代码：</w:t>
      </w:r>
      <w:r/>
    </w:p>
    <w:p>
      <w:r>
        <w:t xml:space="preserve">法定代表人：</w:t>
      </w:r>
      <w:r/>
    </w:p>
    <w:p>
      <w:r>
        <w:t xml:space="preserve">地址：</w:t>
      </w:r>
      <w:r/>
    </w:p>
    <w:p>
      <w:r>
        <w:t xml:space="preserve">联系电话：</w:t>
      </w:r>
      <w:r/>
    </w:p>
    <w:p>
      <w:r>
        <w:t xml:space="preserve">资质等级：</w:t>
      </w:r>
      <w:r>
        <w:t xml:space="preserve">[</w:t>
      </w:r>
      <w:r>
        <w:t xml:space="preserve">建筑</w:t>
      </w:r>
      <w:r>
        <w:t xml:space="preserve">/</w:t>
      </w:r>
      <w:r>
        <w:t xml:space="preserve">市政</w:t>
      </w:r>
      <w:r>
        <w:t xml:space="preserve">/</w:t>
      </w:r>
      <w:r>
        <w:t xml:space="preserve">测绘</w:t>
      </w:r>
      <w:r>
        <w:t xml:space="preserve">/</w:t>
      </w:r>
      <w:r>
        <w:t xml:space="preserve">风景园林等对应资质</w:t>
      </w:r>
      <w:r>
        <w:t xml:space="preserve">]</w:t>
      </w:r>
      <w:r/>
    </w:p>
    <w:p>
      <w:r>
        <w:rPr>
          <w:rStyle w:val="1075"/>
        </w:rPr>
        <w:t xml:space="preserve">注：若有多家联合体成员，可参照本协议乙方格式自行添加（如丁方、戊方等），新增成员需明确资质、分工及权利义务，与本协议具有同等法律效力。</w:t>
      </w:r>
      <w:r/>
    </w:p>
    <w:p>
      <w:r>
        <w:t xml:space="preserve">依据《中华人民共和国政府采购法》《中华人民共和国城乡规划法》及本项目招标文件，甲、乙双方（含新增联合体成员，下同）自愿组成联合体，共同参与本项目政府采购投标。经充分协商，就联合体投标、中标履约及权利义务达成如下协议：</w:t>
      </w:r>
      <w:r/>
    </w:p>
    <w:p>
      <w:pPr>
        <w:pStyle w:val="748"/>
      </w:pPr>
      <w:r>
        <w:t xml:space="preserve">一、联合体组成与牵头授权</w:t>
      </w:r>
      <w:r/>
    </w:p>
    <w:p>
      <w:r>
        <w:t xml:space="preserve">1. </w:t>
      </w:r>
      <w:r>
        <w:t xml:space="preserve">各方自愿组成</w:t>
      </w:r>
      <w:r>
        <w:rPr>
          <w:rStyle w:val="796"/>
        </w:rPr>
        <w:t xml:space="preserve">[</w:t>
      </w:r>
      <w:r>
        <w:rPr>
          <w:rStyle w:val="796"/>
        </w:rPr>
        <w:t xml:space="preserve">项目名称</w:t>
      </w:r>
      <w:r>
        <w:rPr>
          <w:rStyle w:val="796"/>
        </w:rPr>
        <w:t xml:space="preserve">]</w:t>
      </w:r>
      <w:r>
        <w:rPr>
          <w:rStyle w:val="796"/>
        </w:rPr>
        <w:t xml:space="preserve">规划项目投标联合体</w:t>
      </w:r>
      <w:r>
        <w:t xml:space="preserve">，以</w:t>
      </w:r>
      <w:r>
        <w:rPr>
          <w:rStyle w:val="796"/>
        </w:rPr>
        <w:t xml:space="preserve">单一供应商身份</w:t>
      </w:r>
      <w:r>
        <w:t xml:space="preserve">共同投标、共同签约、共同履约。</w:t>
      </w:r>
      <w:r/>
    </w:p>
    <w:p>
      <w:r>
        <w:t xml:space="preserve">2. </w:t>
      </w:r>
      <w:r>
        <w:rPr>
          <w:rStyle w:val="796"/>
        </w:rPr>
        <w:t xml:space="preserve">指定甲方为联合体牵头人</w:t>
      </w:r>
      <w:r>
        <w:t xml:space="preserve">，全权代表联合体：</w:t>
      </w:r>
      <w:r/>
    </w:p>
    <w:p>
      <w:r>
        <w:t xml:space="preserve">- </w:t>
      </w:r>
      <w:r>
        <w:t xml:space="preserve">负责投标文件编制、签署、递交、答疑、澄清、谈判；</w:t>
      </w:r>
      <w:r/>
    </w:p>
    <w:p>
      <w:r>
        <w:t xml:space="preserve">- </w:t>
      </w:r>
      <w:r>
        <w:t xml:space="preserve">负责与采购人、代理机构对接，接收指令、文件、款项；</w:t>
      </w:r>
      <w:r/>
    </w:p>
    <w:p>
      <w:r>
        <w:t xml:space="preserve">- </w:t>
      </w:r>
      <w:r>
        <w:t xml:space="preserve">负责项目总协调、进度管控、成果汇总与报审；</w:t>
      </w:r>
      <w:r/>
    </w:p>
    <w:p>
      <w:r>
        <w:t xml:space="preserve">- </w:t>
      </w:r>
      <w:r>
        <w:t xml:space="preserve">牵头方行为对全体成员具有法律约束力。</w:t>
      </w:r>
      <w:r/>
    </w:p>
    <w:p>
      <w:r>
        <w:t xml:space="preserve">3. </w:t>
      </w:r>
      <w:r>
        <w:t xml:space="preserve">全体成员承诺：</w:t>
      </w:r>
      <w:r>
        <w:rPr>
          <w:rStyle w:val="796"/>
        </w:rPr>
        <w:t xml:space="preserve">不单独投标、不加入其他联合体参与本项目</w:t>
      </w:r>
      <w:r>
        <w:t xml:space="preserve">。</w:t>
      </w:r>
      <w:r/>
    </w:p>
    <w:p>
      <w:pPr>
        <w:pStyle w:val="748"/>
      </w:pPr>
      <w:r>
        <w:t xml:space="preserve">二、资质与责任原则</w:t>
      </w:r>
      <w:r/>
    </w:p>
    <w:p>
      <w:r>
        <w:t xml:space="preserve">1. </w:t>
      </w:r>
      <w:r>
        <w:t xml:space="preserve">牵头方必须具备</w:t>
      </w:r>
      <w:r>
        <w:rPr>
          <w:rStyle w:val="796"/>
        </w:rPr>
        <w:t xml:space="preserve">城乡规划编制甲级资质</w:t>
      </w:r>
      <w:r>
        <w:t xml:space="preserve">，为项目规划责任主体。</w:t>
      </w:r>
      <w:r/>
    </w:p>
    <w:p>
      <w:r>
        <w:t xml:space="preserve">2. </w:t>
      </w:r>
      <w:r>
        <w:t xml:space="preserve">各成员方具备对应专业资质，按分工承担专项工作。</w:t>
      </w:r>
      <w:r/>
    </w:p>
    <w:p>
      <w:r>
        <w:t xml:space="preserve">3. </w:t>
      </w:r>
      <w:r>
        <w:t xml:space="preserve">联合体对采购人承担</w:t>
      </w:r>
      <w:r>
        <w:rPr>
          <w:rStyle w:val="796"/>
        </w:rPr>
        <w:t xml:space="preserve">连带责任</w:t>
      </w:r>
      <w:r>
        <w:t xml:space="preserve">；内部按分工与约定比例承担责任。</w:t>
      </w:r>
      <w:r/>
    </w:p>
    <w:p>
      <w:r>
        <w:t xml:space="preserve">4. </w:t>
      </w:r>
      <w:r>
        <w:t xml:space="preserve">同专业联合体成员按</w:t>
      </w:r>
      <w:r>
        <w:rPr>
          <w:rStyle w:val="796"/>
        </w:rPr>
        <w:t xml:space="preserve">就低原则</w:t>
      </w:r>
      <w:r>
        <w:t xml:space="preserve">认定资质；跨专业成员按分工各自认定资质。</w:t>
      </w:r>
      <w:r/>
    </w:p>
    <w:p>
      <w:pPr>
        <w:pStyle w:val="748"/>
      </w:pPr>
      <w:r>
        <w:t xml:space="preserve">三、工作范围与分工</w:t>
      </w:r>
      <w:r/>
    </w:p>
    <w:p>
      <w:r>
        <w:rPr>
          <w:rStyle w:val="796"/>
        </w:rPr>
        <w:t xml:space="preserve">（一）甲方（牵头方</w:t>
      </w:r>
      <w:r>
        <w:rPr>
          <w:rStyle w:val="796"/>
        </w:rPr>
        <w:t xml:space="preserve">·</w:t>
      </w:r>
      <w:r>
        <w:rPr>
          <w:rStyle w:val="796"/>
        </w:rPr>
        <w:t xml:space="preserve">规划甲级）</w:t>
      </w:r>
      <w:r>
        <w:t xml:space="preserve">：</w:t>
      </w:r>
      <w:r/>
    </w:p>
    <w:p>
      <w:r>
        <w:t xml:space="preserve">________________________________________________________</w:t>
      </w:r>
      <w:r/>
    </w:p>
    <w:p>
      <w:r>
        <w:t xml:space="preserve">________________________________________________________</w:t>
      </w:r>
      <w:r/>
    </w:p>
    <w:p>
      <w:r>
        <w:t xml:space="preserve">________________________________________________________</w:t>
      </w:r>
      <w:r/>
    </w:p>
    <w:p>
      <w:r>
        <w:t xml:space="preserve">承担工作量：</w:t>
      </w:r>
      <w:r>
        <w:t xml:space="preserve">__________</w:t>
      </w:r>
      <w:r>
        <w:t xml:space="preserve">，对应合同金额：</w:t>
      </w:r>
      <w:r>
        <w:t xml:space="preserve">__________</w:t>
      </w:r>
      <w:r>
        <w:t xml:space="preserve">万元</w:t>
      </w:r>
      <w:r/>
    </w:p>
    <w:p>
      <w:r>
        <w:rPr>
          <w:rStyle w:val="796"/>
        </w:rPr>
        <w:t xml:space="preserve">（二）乙方</w:t>
      </w:r>
      <w:r>
        <w:t xml:space="preserve">：</w:t>
      </w:r>
      <w:r/>
    </w:p>
    <w:p>
      <w:r>
        <w:t xml:space="preserve">________________________________________________________</w:t>
      </w:r>
      <w:r/>
    </w:p>
    <w:p>
      <w:r>
        <w:t xml:space="preserve">________________________________________________________</w:t>
      </w:r>
      <w:r/>
    </w:p>
    <w:p>
      <w:r>
        <w:t xml:space="preserve">________________________________________________________</w:t>
      </w:r>
      <w:r/>
    </w:p>
    <w:p>
      <w:r>
        <w:t xml:space="preserve">承担工作量：</w:t>
      </w:r>
      <w:r>
        <w:t xml:space="preserve">__________</w:t>
      </w:r>
      <w:r>
        <w:t xml:space="preserve">，对应合同金额：</w:t>
      </w:r>
      <w:r>
        <w:t xml:space="preserve">__________</w:t>
      </w:r>
      <w:r>
        <w:t xml:space="preserve">万元</w:t>
      </w:r>
      <w:r/>
    </w:p>
    <w:p>
      <w:r>
        <w:rPr>
          <w:rStyle w:val="1075"/>
        </w:rPr>
        <w:t xml:space="preserve">（若有新增联合体成员，在此处参照上述格式补充分工及金额）</w:t>
      </w:r>
      <w:r/>
    </w:p>
    <w:p>
      <w:pPr>
        <w:pStyle w:val="748"/>
      </w:pPr>
      <w:r>
        <w:t xml:space="preserve">四、权利与义务</w:t>
      </w:r>
      <w:r/>
    </w:p>
    <w:p>
      <w:r>
        <w:t xml:space="preserve">1. </w:t>
      </w:r>
      <w:r>
        <w:t xml:space="preserve">共同遵守采购法规与招标文件，确保各方资质、业绩、人员真实有效。</w:t>
      </w:r>
      <w:r/>
    </w:p>
    <w:p>
      <w:r>
        <w:t xml:space="preserve">2. </w:t>
      </w:r>
      <w:r>
        <w:t xml:space="preserve">共同编制投标文件，共同承担投标风险与相关法律责任。</w:t>
      </w:r>
      <w:r/>
    </w:p>
    <w:p>
      <w:r>
        <w:t xml:space="preserve">3. </w:t>
      </w:r>
      <w:r>
        <w:t xml:space="preserve">中标后</w:t>
      </w:r>
      <w:r>
        <w:rPr>
          <w:rStyle w:val="796"/>
        </w:rPr>
        <w:t xml:space="preserve">共同签署政府采购合同</w:t>
      </w:r>
      <w:r>
        <w:t xml:space="preserve">，共同履约、共同接受验收。</w:t>
      </w:r>
      <w:r/>
    </w:p>
    <w:p>
      <w:r>
        <w:t xml:space="preserve">4. </w:t>
      </w:r>
      <w:r>
        <w:t xml:space="preserve">按各自分工配备符合项目要求的专业人员（如注册城乡规划师、注册建筑师、测绘师等）。</w:t>
      </w:r>
      <w:r/>
    </w:p>
    <w:p>
      <w:r>
        <w:t xml:space="preserve">5. </w:t>
      </w:r>
      <w:r>
        <w:t xml:space="preserve">各方及时交换项目资料、同步工作进度、共同解决履约过程中的技术及协调问题。</w:t>
      </w:r>
      <w:r/>
    </w:p>
    <w:p>
      <w:r>
        <w:t xml:space="preserve">6. </w:t>
      </w:r>
      <w:r>
        <w:t xml:space="preserve">未经全体成员一致同意，任何一方不得擅自变更、退出联合体；违约方需赔偿其他成员全部损失。</w:t>
      </w:r>
      <w:r/>
    </w:p>
    <w:p>
      <w:pPr>
        <w:pStyle w:val="748"/>
      </w:pPr>
      <w:r>
        <w:t xml:space="preserve">五、费用与付款</w:t>
      </w:r>
      <w:r/>
    </w:p>
    <w:p>
      <w:r>
        <w:t xml:space="preserve">1. </w:t>
      </w:r>
      <w:r>
        <w:t xml:space="preserve">本项目投标保证金由</w:t>
      </w:r>
      <w:r>
        <w:rPr>
          <w:rStyle w:val="796"/>
        </w:rPr>
        <w:t xml:space="preserve">牵头方统一缴纳</w:t>
      </w:r>
      <w:r>
        <w:t xml:space="preserve">，费用按各方分工比例分摊（或约定由某一方承担）。</w:t>
      </w:r>
      <w:r/>
    </w:p>
    <w:p>
      <w:r>
        <w:t xml:space="preserve">2. </w:t>
      </w:r>
      <w:r>
        <w:t xml:space="preserve">采购人支付的全部合同款项，</w:t>
      </w:r>
      <w:r>
        <w:rPr>
          <w:rStyle w:val="796"/>
        </w:rPr>
        <w:t xml:space="preserve">统一付至牵头方指定账户</w:t>
      </w:r>
      <w:r>
        <w:t xml:space="preserve">。</w:t>
      </w:r>
      <w:r/>
    </w:p>
    <w:p>
      <w:r>
        <w:t xml:space="preserve">3. </w:t>
      </w:r>
      <w:r>
        <w:t xml:space="preserve">牵头方在款项到账后</w:t>
      </w:r>
      <w:r>
        <w:rPr>
          <w:rStyle w:val="796"/>
        </w:rPr>
        <w:t xml:space="preserve">10</w:t>
      </w:r>
      <w:r>
        <w:rPr>
          <w:rStyle w:val="796"/>
        </w:rPr>
        <w:t xml:space="preserve">个工作日内</w:t>
      </w:r>
      <w:r>
        <w:t xml:space="preserve">，按本协议约定的分工比例，将对应款项划转至各成员方指定账户：</w:t>
      </w:r>
      <w:r/>
    </w:p>
    <w:p>
      <w:r>
        <w:t xml:space="preserve">- </w:t>
      </w:r>
      <w:r>
        <w:t xml:space="preserve">甲方（牵头方）：</w:t>
      </w:r>
      <w:r>
        <w:t xml:space="preserve">__________</w:t>
      </w:r>
      <w:r>
        <w:t xml:space="preserve">万元（</w:t>
      </w:r>
      <w:r>
        <w:t xml:space="preserve">__________%</w:t>
      </w:r>
      <w:r>
        <w:t xml:space="preserve">）</w:t>
      </w:r>
      <w:r/>
    </w:p>
    <w:p>
      <w:r>
        <w:t xml:space="preserve">- </w:t>
      </w:r>
      <w:r>
        <w:t xml:space="preserve">乙方（成员方）：</w:t>
      </w:r>
      <w:r>
        <w:t xml:space="preserve">__________</w:t>
      </w:r>
      <w:r>
        <w:t xml:space="preserve">万元（</w:t>
      </w:r>
      <w:r>
        <w:t xml:space="preserve">__________%</w:t>
      </w:r>
      <w:r>
        <w:t xml:space="preserve">）</w:t>
      </w:r>
      <w:r/>
    </w:p>
    <w:p>
      <w:r>
        <w:t xml:space="preserve">- </w:t>
      </w:r>
      <w:r>
        <w:t xml:space="preserve">（新增成员）：</w:t>
      </w:r>
      <w:r>
        <w:t xml:space="preserve">__________</w:t>
      </w:r>
      <w:r>
        <w:t xml:space="preserve">万元（</w:t>
      </w:r>
      <w:r>
        <w:t xml:space="preserve">__________%</w:t>
      </w:r>
      <w:r>
        <w:t xml:space="preserve">）</w:t>
      </w:r>
      <w:r/>
    </w:p>
    <w:p>
      <w:r>
        <w:t xml:space="preserve">4. </w:t>
      </w:r>
      <w:r>
        <w:t xml:space="preserve">各方税费自行承担，按国家相关规定开具发票。</w:t>
      </w:r>
      <w:r/>
    </w:p>
    <w:p>
      <w:pPr>
        <w:pStyle w:val="748"/>
      </w:pPr>
      <w:r>
        <w:t xml:space="preserve">六、成果与知识产权</w:t>
      </w:r>
      <w:r/>
    </w:p>
    <w:p>
      <w:r>
        <w:t xml:space="preserve">1. </w:t>
      </w:r>
      <w:r>
        <w:t xml:space="preserve">本项目全部规划成果由联合体各方共同完成，</w:t>
      </w:r>
      <w:r>
        <w:rPr>
          <w:rStyle w:val="796"/>
        </w:rPr>
        <w:t xml:space="preserve">著作权归采购人所有</w:t>
      </w:r>
      <w:r>
        <w:t xml:space="preserve">。</w:t>
      </w:r>
      <w:r/>
    </w:p>
    <w:p>
      <w:r>
        <w:t xml:space="preserve">2. </w:t>
      </w:r>
      <w:r>
        <w:t xml:space="preserve">各成员方自有技术成果、专利等归原方所有；各方承诺不得侵犯第三方知识产权，若因此产生纠纷，由责任方承担全部责任。</w:t>
      </w:r>
      <w:r/>
    </w:p>
    <w:p>
      <w:r>
        <w:t xml:space="preserve">3. </w:t>
      </w:r>
      <w:r>
        <w:t xml:space="preserve">项目最终成果需由</w:t>
      </w:r>
      <w:r>
        <w:rPr>
          <w:rStyle w:val="796"/>
        </w:rPr>
        <w:t xml:space="preserve">牵头方加盖城乡规划甲级资质专用章</w:t>
      </w:r>
      <w:r>
        <w:t xml:space="preserve">后，方可提交采购人。</w:t>
      </w:r>
      <w:r/>
    </w:p>
    <w:p>
      <w:pPr>
        <w:pStyle w:val="748"/>
      </w:pPr>
      <w:r>
        <w:t xml:space="preserve">七、保密与违约</w:t>
      </w:r>
      <w:r/>
    </w:p>
    <w:p>
      <w:r>
        <w:t xml:space="preserve">1. </w:t>
      </w:r>
      <w:r>
        <w:t xml:space="preserve">各方对本项目相关的技术资料、商业秘密、投标文件及履约过程中的信息承担</w:t>
      </w:r>
      <w:r>
        <w:rPr>
          <w:rStyle w:val="796"/>
        </w:rPr>
        <w:t xml:space="preserve">永久保密义务</w:t>
      </w:r>
      <w:r>
        <w:t xml:space="preserve">，不得向第三方泄露。</w:t>
      </w:r>
      <w:r/>
    </w:p>
    <w:p>
      <w:r>
        <w:t xml:space="preserve">2. </w:t>
      </w:r>
      <w:r>
        <w:t xml:space="preserve">任何一方违反本协议约定，导致项目废标、履约失败或采购人索赔的，由违约方全额赔偿联合体其他成员及采购人的全部损失；无法分清责任的，按各方分工比例分担。</w:t>
      </w:r>
      <w:r/>
    </w:p>
    <w:p>
      <w:r>
        <w:t xml:space="preserve">3. </w:t>
      </w:r>
      <w:r>
        <w:t xml:space="preserve">因一方资质失效、人员不到位、未按约定完成工作等原因，导致联合体无法满足投标或履约要求的，该方承担全部责任并赔偿其他成员损失。</w:t>
      </w:r>
      <w:r/>
    </w:p>
    <w:p>
      <w:pPr>
        <w:pStyle w:val="748"/>
      </w:pPr>
      <w:r>
        <w:t xml:space="preserve">八、其他</w:t>
      </w:r>
      <w:r/>
    </w:p>
    <w:p>
      <w:r>
        <w:t xml:space="preserve">1. </w:t>
      </w:r>
      <w:r>
        <w:t xml:space="preserve">本协议自各方</w:t>
      </w:r>
      <w:r>
        <w:rPr>
          <w:rStyle w:val="796"/>
        </w:rPr>
        <w:t xml:space="preserve">签字盖章之日起生效</w:t>
      </w:r>
      <w:r>
        <w:t xml:space="preserve">，至本项目合同履行完毕、质保期届满后自动失效。</w:t>
      </w:r>
      <w:r/>
    </w:p>
    <w:p>
      <w:r>
        <w:t xml:space="preserve">2. </w:t>
      </w:r>
      <w:r>
        <w:t xml:space="preserve">本协议一式</w:t>
      </w:r>
      <w:r>
        <w:rPr>
          <w:rStyle w:val="796"/>
        </w:rPr>
        <w:t xml:space="preserve">陆份</w:t>
      </w:r>
      <w:r>
        <w:t xml:space="preserve">：牵头方贰份、各成员方各壹份、采购人贰份、采购代理机构壹份，具有同等法律效力。</w:t>
      </w:r>
      <w:r/>
    </w:p>
    <w:p>
      <w:r>
        <w:t xml:space="preserve">3. </w:t>
      </w:r>
      <w:r>
        <w:t xml:space="preserve">本协议未尽事宜，由各方协商一致后签订补充协议，补充协议与本协议具有同等法律效力；若发生争议，各方应协商解决，协商不成的，向</w:t>
      </w:r>
      <w:r>
        <w:rPr>
          <w:rStyle w:val="796"/>
        </w:rPr>
        <w:t xml:space="preserve">项目所在地人民法院</w:t>
      </w:r>
      <w:r>
        <w:t xml:space="preserve">提起诉讼。</w:t>
      </w:r>
      <w:r/>
    </w:p>
    <w:p>
      <w:r>
        <w:t xml:space="preserve">（以下无正文）</w:t>
      </w:r>
      <w:r/>
    </w:p>
    <w:p>
      <w:r>
        <w:rPr>
          <w:rStyle w:val="796"/>
        </w:rPr>
        <w:t xml:space="preserve">甲方（牵头方</w:t>
      </w:r>
      <w:r>
        <w:rPr>
          <w:rStyle w:val="796"/>
        </w:rPr>
        <w:t xml:space="preserve">·</w:t>
      </w:r>
      <w:r>
        <w:rPr>
          <w:rStyle w:val="796"/>
        </w:rPr>
        <w:t xml:space="preserve">盖章）</w:t>
      </w:r>
      <w:r>
        <w:t xml:space="preserve">：</w:t>
      </w:r>
      <w:r/>
    </w:p>
    <w:p>
      <w:r>
        <w:t xml:space="preserve">法定代表人</w:t>
      </w:r>
      <w:r>
        <w:t xml:space="preserve">/</w:t>
      </w:r>
      <w:r>
        <w:t xml:space="preserve">授权代表（签字）：</w:t>
      </w:r>
      <w:r/>
    </w:p>
    <w:p>
      <w:r>
        <w:t xml:space="preserve">日期：</w:t>
      </w:r>
      <w:r>
        <w:t xml:space="preserve"> </w:t>
      </w:r>
      <w:r>
        <w:t xml:space="preserve">年</w:t>
      </w:r>
      <w:r>
        <w:t xml:space="preserve"> </w:t>
      </w:r>
      <w:r>
        <w:t xml:space="preserve">月</w:t>
      </w:r>
      <w:r>
        <w:t xml:space="preserve"> </w:t>
      </w:r>
      <w:r>
        <w:t xml:space="preserve">日</w:t>
      </w:r>
      <w:r/>
    </w:p>
    <w:p>
      <w:r>
        <w:rPr>
          <w:rStyle w:val="796"/>
        </w:rPr>
        <w:t xml:space="preserve">乙方（成员方</w:t>
      </w:r>
      <w:r>
        <w:rPr>
          <w:rStyle w:val="796"/>
        </w:rPr>
        <w:t xml:space="preserve">·</w:t>
      </w:r>
      <w:r>
        <w:rPr>
          <w:rStyle w:val="796"/>
        </w:rPr>
        <w:t xml:space="preserve">盖章）</w:t>
      </w:r>
      <w:r>
        <w:t xml:space="preserve">：</w:t>
      </w:r>
      <w:r/>
    </w:p>
    <w:p>
      <w:r>
        <w:t xml:space="preserve">法定代表人</w:t>
      </w:r>
      <w:r>
        <w:t xml:space="preserve">/</w:t>
      </w:r>
      <w:r>
        <w:t xml:space="preserve">授权代表（签字）：</w:t>
      </w:r>
      <w:r/>
    </w:p>
    <w:p>
      <w:r>
        <w:t xml:space="preserve">日期：</w:t>
      </w:r>
      <w:r>
        <w:t xml:space="preserve"> </w:t>
      </w:r>
      <w:r>
        <w:t xml:space="preserve">年</w:t>
      </w:r>
      <w:r>
        <w:t xml:space="preserve"> </w:t>
      </w:r>
      <w:r>
        <w:t xml:space="preserve">月</w:t>
      </w:r>
      <w:r>
        <w:t xml:space="preserve"> </w:t>
      </w:r>
      <w:r>
        <w:t xml:space="preserve">日</w:t>
      </w:r>
      <w:r/>
    </w:p>
    <w:p>
      <w:r>
        <w:rPr>
          <w:rStyle w:val="1075"/>
        </w:rPr>
        <w:t xml:space="preserve">（若有新增联合体成员，在此处添加盖章及签字栏）</w:t>
      </w:r>
      <w:r/>
    </w:p>
    <w:p>
      <w:r>
        <w:rPr>
          <w:rStyle w:val="796"/>
        </w:rPr>
        <w:t xml:space="preserve">新增成员（盖章）</w:t>
      </w:r>
      <w:r>
        <w:t xml:space="preserve">：</w:t>
      </w:r>
      <w:r/>
    </w:p>
    <w:p>
      <w:r>
        <w:t xml:space="preserve">法定代表人</w:t>
      </w:r>
      <w:r>
        <w:t xml:space="preserve">/</w:t>
      </w:r>
      <w:r>
        <w:t xml:space="preserve">授权代表（签字）：</w:t>
      </w:r>
      <w:r/>
    </w:p>
    <w:p>
      <w:r>
        <w:t xml:space="preserve">日期：</w:t>
      </w:r>
      <w:r>
        <w:t xml:space="preserve"> </w:t>
      </w:r>
      <w:r>
        <w:t xml:space="preserve">年</w:t>
      </w:r>
      <w:r>
        <w:t xml:space="preserve"> </w:t>
      </w:r>
      <w:r>
        <w:t xml:space="preserve">月</w:t>
      </w:r>
      <w:r>
        <w:t xml:space="preserve"> </w:t>
      </w:r>
      <w:r>
        <w:t xml:space="preserve">日</w:t>
      </w:r>
      <w:r/>
    </w:p>
    <w:p>
      <w:pPr>
        <w:pStyle w:val="749"/>
      </w:pPr>
      <w:r>
        <w:t xml:space="preserve">填写与使用说明</w:t>
      </w:r>
      <w:r/>
    </w:p>
    <w:p>
      <w:r>
        <w:t xml:space="preserve">1. </w:t>
      </w:r>
      <w:r>
        <w:t xml:space="preserve">请替换所有</w:t>
      </w:r>
      <w:r>
        <w:rPr>
          <w:rStyle w:val="796"/>
        </w:rPr>
        <w:t xml:space="preserve">[ ]</w:t>
      </w:r>
      <w:r>
        <w:t xml:space="preserve">内内容，名称、资质、金额、比例等信息必须精准，与招标文件及各方实际情况一致。</w:t>
      </w:r>
      <w:r/>
    </w:p>
    <w:p>
      <w:r>
        <w:t xml:space="preserve">2. </w:t>
      </w:r>
      <w:r>
        <w:t xml:space="preserve">分工部分需结合项目实际（如规划编制、专项设计、测绘勘察等）详细填写，明确各方具体工作内容，避免模糊表述。</w:t>
      </w:r>
      <w:r/>
    </w:p>
    <w:p>
      <w:r>
        <w:t xml:space="preserve">3. </w:t>
      </w:r>
      <w:r>
        <w:t xml:space="preserve">若有多家联合体成员，可参照乙方格式自行添加，新增成员需补充资质信息、分工、金额比例及签字盖章栏。</w:t>
      </w:r>
      <w:r/>
    </w:p>
    <w:p>
      <w:r>
        <w:t xml:space="preserve">4. </w:t>
      </w:r>
      <w:r>
        <w:t xml:space="preserve">协议签署时，需附各方营业执照、资质证书、法定代表人身份证明、授权委托书（如有）复印件，加盖各方公章。</w:t>
      </w:r>
      <w:r/>
    </w:p>
    <w:p>
      <w:pPr>
        <w:rPr>
          <w:rFonts w:hint="eastAsia" w:ascii="宋体" w:hAnsi="宋体"/>
          <w:b/>
          <w:color w:val="000000"/>
          <w:sz w:val="30"/>
          <w:szCs w:val="30"/>
        </w:rPr>
      </w:pPr>
      <w:r>
        <w:rPr>
          <w:rFonts w:hint="eastAsia" w:ascii="宋体" w:hAnsi="宋体"/>
          <w:b/>
          <w:color w:val="000000"/>
          <w:sz w:val="30"/>
          <w:szCs w:val="30"/>
        </w:rPr>
      </w:r>
      <w:r/>
    </w:p>
    <w:p>
      <w:pPr>
        <w:jc w:val="left"/>
        <w:widowControl/>
        <w:rPr>
          <w:rFonts w:hint="eastAsia" w:ascii="宋体" w:hAnsi="宋体"/>
          <w:b/>
          <w:color w:val="000000"/>
          <w:sz w:val="30"/>
          <w:szCs w:val="30"/>
        </w:rPr>
      </w:pPr>
      <w:r>
        <w:rPr>
          <w:rFonts w:hint="eastAsia" w:ascii="宋体" w:hAnsi="宋体"/>
          <w:b/>
          <w:color w:val="000000"/>
          <w:sz w:val="30"/>
          <w:szCs w:val="30"/>
        </w:rPr>
        <w:br w:type="page" w:clear="all"/>
      </w:r>
      <w:r/>
    </w:p>
    <w:p>
      <w:pPr>
        <w:ind w:firstLine="602"/>
        <w:jc w:val="center"/>
        <w:spacing w:line="360" w:lineRule="auto"/>
        <w:rPr>
          <w:rFonts w:ascii="方正小标宋_GBK" w:hAnsi="方正小标宋_GBK" w:eastAsia="方正小标宋_GBK" w:cs="方正小标宋_GBK"/>
          <w:b/>
          <w:bCs/>
          <w:sz w:val="28"/>
          <w:szCs w:val="28"/>
          <w:lang w:bidi="zh-CN"/>
        </w:rPr>
      </w:pPr>
      <w:r>
        <w:rPr>
          <w:rFonts w:ascii="方正小标宋_GBK" w:hAnsi="方正小标宋_GBK" w:eastAsia="方正小标宋_GBK" w:cs="方正小标宋_GBK"/>
          <w:b/>
          <w:bCs/>
          <w:sz w:val="28"/>
          <w:szCs w:val="28"/>
          <w:lang w:bidi="zh-CN"/>
        </w:rPr>
        <w:t xml:space="preserve">中小企业声明函</w:t>
      </w:r>
      <w:r/>
    </w:p>
    <w:p>
      <w:pPr>
        <w:ind w:firstLine="560"/>
        <w:spacing w:line="360" w:lineRule="auto"/>
        <w:rPr>
          <w:rFonts w:ascii="宋体" w:hAnsi="宋体" w:cs="宋体"/>
          <w:sz w:val="28"/>
          <w:szCs w:val="28"/>
        </w:rPr>
      </w:pPr>
      <w:r>
        <w:rPr>
          <w:rFonts w:ascii="宋体" w:hAnsi="宋体" w:cs="宋体"/>
          <w:sz w:val="28"/>
          <w:szCs w:val="28"/>
        </w:rPr>
        <w:t xml:space="preserve">本公司（联合体）郑重声明，根据《政府采购促进中小企业发展管理办法》（财库﹝2020﹞46 号）的规定，本公司（联合体）参加</w:t>
      </w:r>
      <w:r>
        <w:rPr>
          <w:rFonts w:ascii="宋体" w:hAnsi="宋体" w:cs="宋体"/>
          <w:sz w:val="28"/>
          <w:szCs w:val="28"/>
          <w:u w:val="single"/>
        </w:rPr>
        <w:t xml:space="preserve"> </w:t>
      </w:r>
      <w:r>
        <w:rPr>
          <w:rFonts w:ascii="宋体" w:hAnsi="宋体" w:cs="宋体"/>
          <w:sz w:val="28"/>
          <w:szCs w:val="28"/>
          <w:u w:val="single"/>
          <w:lang w:val="zh-CN"/>
        </w:rPr>
        <w:t xml:space="preserve">（单位名称）</w:t>
      </w:r>
      <w:r>
        <w:rPr>
          <w:rFonts w:ascii="宋体" w:hAnsi="宋体" w:cs="宋体"/>
          <w:sz w:val="28"/>
          <w:szCs w:val="28"/>
          <w:u w:val="single"/>
        </w:rPr>
        <w:t xml:space="preserve"> </w:t>
      </w:r>
      <w:r>
        <w:rPr>
          <w:rFonts w:ascii="宋体" w:hAnsi="宋体" w:cs="宋体"/>
          <w:sz w:val="28"/>
          <w:szCs w:val="28"/>
        </w:rPr>
        <w:t xml:space="preserve">的 </w:t>
      </w:r>
      <w:r>
        <w:rPr>
          <w:rFonts w:ascii="宋体" w:hAnsi="宋体" w:cs="宋体"/>
          <w:sz w:val="28"/>
          <w:szCs w:val="28"/>
          <w:u w:val="single"/>
          <w:lang w:val="zh-CN"/>
        </w:rPr>
        <w:t xml:space="preserve">（项目名称）</w:t>
      </w:r>
      <w:r>
        <w:rPr>
          <w:rFonts w:ascii="宋体" w:hAnsi="宋体" w:cs="宋体"/>
          <w:sz w:val="28"/>
          <w:szCs w:val="28"/>
        </w:rPr>
        <w:t xml:space="preserve"> 采购活动，服务全部由符合政策要求的中小企业承接。相关企业（含联合体中的中小企业、签订分包意向协议的中小企业）的具体情况如下：</w:t>
      </w:r>
      <w:r/>
    </w:p>
    <w:p>
      <w:pPr>
        <w:ind w:firstLine="560"/>
        <w:spacing w:line="360" w:lineRule="auto"/>
        <w:rPr>
          <w:rFonts w:ascii="宋体" w:hAnsi="宋体" w:cs="宋体"/>
          <w:sz w:val="28"/>
          <w:szCs w:val="28"/>
          <w:lang w:val="zh-CN"/>
        </w:rPr>
      </w:pPr>
      <w:r>
        <w:rPr>
          <w:rFonts w:ascii="宋体" w:hAnsi="宋体" w:cs="宋体"/>
          <w:sz w:val="28"/>
          <w:szCs w:val="28"/>
          <w:u w:val="single"/>
          <w:lang w:val="zh-CN"/>
        </w:rPr>
        <w:t xml:space="preserve">（标的名称）</w:t>
      </w:r>
      <w:r>
        <w:rPr>
          <w:rFonts w:ascii="宋体" w:hAnsi="宋体" w:cs="宋体"/>
          <w:sz w:val="28"/>
          <w:szCs w:val="28"/>
        </w:rPr>
        <w:t xml:space="preserve">，属于</w:t>
      </w:r>
      <w:r>
        <w:rPr>
          <w:rFonts w:ascii="宋体" w:hAnsi="宋体" w:cs="宋体"/>
          <w:sz w:val="28"/>
          <w:szCs w:val="28"/>
          <w:u w:val="single"/>
        </w:rPr>
        <w:t xml:space="preserve">                 </w:t>
      </w:r>
      <w:r>
        <w:rPr>
          <w:rFonts w:ascii="宋体" w:hAnsi="宋体" w:cs="宋体"/>
          <w:sz w:val="28"/>
          <w:szCs w:val="28"/>
          <w:lang w:val="zh-CN"/>
        </w:rPr>
        <w:t xml:space="preserve">（采购文件中明确的所属行业）；</w:t>
      </w:r>
      <w:r>
        <w:rPr>
          <w:rFonts w:ascii="宋体" w:hAnsi="宋体" w:cs="宋体"/>
          <w:sz w:val="28"/>
          <w:szCs w:val="28"/>
        </w:rPr>
        <w:t xml:space="preserve">承接企业为</w:t>
      </w:r>
      <w:r>
        <w:rPr>
          <w:rFonts w:ascii="宋体" w:hAnsi="宋体" w:cs="宋体"/>
          <w:sz w:val="28"/>
          <w:szCs w:val="28"/>
          <w:u w:val="single"/>
          <w:lang w:val="zh-CN"/>
        </w:rPr>
        <w:t xml:space="preserve">（企业名称）</w:t>
      </w:r>
      <w:r>
        <w:rPr>
          <w:rFonts w:ascii="宋体" w:hAnsi="宋体" w:cs="宋体"/>
          <w:sz w:val="28"/>
          <w:szCs w:val="28"/>
          <w:lang w:val="zh-CN"/>
        </w:rPr>
        <w:t xml:space="preserve">，</w:t>
      </w:r>
      <w:r>
        <w:rPr>
          <w:rFonts w:ascii="宋体" w:hAnsi="宋体" w:cs="宋体"/>
          <w:sz w:val="28"/>
          <w:szCs w:val="28"/>
        </w:rPr>
        <w:t xml:space="preserve">从业人员 </w:t>
      </w:r>
      <w:r>
        <w:rPr>
          <w:rFonts w:ascii="宋体" w:hAnsi="宋体" w:cs="宋体"/>
          <w:sz w:val="28"/>
          <w:szCs w:val="28"/>
          <w:u w:val="single"/>
        </w:rPr>
        <w:t xml:space="preserve">    </w:t>
      </w:r>
      <w:r>
        <w:rPr>
          <w:rFonts w:ascii="宋体" w:hAnsi="宋体" w:cs="宋体"/>
          <w:sz w:val="28"/>
          <w:szCs w:val="28"/>
        </w:rPr>
        <w:t xml:space="preserve">人，营业收入为</w:t>
      </w:r>
      <w:r>
        <w:rPr>
          <w:rFonts w:ascii="宋体" w:hAnsi="宋体" w:cs="宋体"/>
          <w:sz w:val="28"/>
          <w:szCs w:val="28"/>
          <w:u w:val="single"/>
        </w:rPr>
        <w:t xml:space="preserve">   </w:t>
      </w:r>
      <w:r>
        <w:rPr>
          <w:rFonts w:ascii="宋体" w:hAnsi="宋体" w:cs="宋体"/>
          <w:sz w:val="28"/>
          <w:szCs w:val="28"/>
          <w:u w:val="single"/>
        </w:rPr>
        <w:tab/>
      </w:r>
      <w:r>
        <w:rPr>
          <w:rFonts w:ascii="宋体" w:hAnsi="宋体" w:cs="宋体"/>
          <w:sz w:val="28"/>
          <w:szCs w:val="28"/>
        </w:rPr>
        <w:t xml:space="preserve">万元，资产总额为</w:t>
      </w:r>
      <w:r>
        <w:rPr>
          <w:rFonts w:ascii="宋体" w:hAnsi="宋体" w:cs="宋体"/>
          <w:sz w:val="28"/>
          <w:szCs w:val="28"/>
          <w:u w:val="single"/>
        </w:rPr>
        <w:t xml:space="preserve">      </w:t>
      </w:r>
      <w:r>
        <w:rPr>
          <w:rFonts w:ascii="宋体" w:hAnsi="宋体" w:cs="宋体"/>
          <w:sz w:val="28"/>
          <w:szCs w:val="28"/>
        </w:rPr>
        <w:t xml:space="preserve">万元，属于</w:t>
      </w:r>
      <w:r>
        <w:rPr>
          <w:rFonts w:ascii="宋体" w:hAnsi="宋体" w:cs="宋体"/>
          <w:sz w:val="28"/>
          <w:szCs w:val="28"/>
          <w:u w:val="single"/>
        </w:rPr>
        <w:t xml:space="preserve">          </w:t>
      </w:r>
      <w:r>
        <w:rPr>
          <w:rFonts w:ascii="宋体" w:hAnsi="宋体" w:cs="宋体"/>
          <w:sz w:val="28"/>
          <w:szCs w:val="28"/>
          <w:lang w:val="zh-CN"/>
        </w:rPr>
        <w:t xml:space="preserve">（中型企业、小型企业、微型企业）；</w:t>
      </w:r>
      <w:r/>
    </w:p>
    <w:p>
      <w:pPr>
        <w:ind w:firstLine="560"/>
        <w:spacing w:line="360" w:lineRule="auto"/>
        <w:rPr>
          <w:rFonts w:ascii="宋体" w:hAnsi="宋体" w:cs="宋体"/>
          <w:sz w:val="28"/>
          <w:szCs w:val="28"/>
        </w:rPr>
      </w:pPr>
      <w:r>
        <w:rPr>
          <w:rFonts w:ascii="宋体" w:hAnsi="宋体" w:cs="宋体"/>
          <w:sz w:val="28"/>
          <w:szCs w:val="28"/>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z w:val="28"/>
          <w:szCs w:val="28"/>
        </w:rPr>
      </w:pPr>
      <w:r>
        <w:rPr>
          <w:rFonts w:ascii="宋体" w:hAnsi="宋体" w:cs="宋体"/>
          <w:sz w:val="28"/>
          <w:szCs w:val="28"/>
        </w:rPr>
        <w:t xml:space="preserve">本企业对上述声明内容的真实性负责。如有虚假，将依法承担相应责任。</w:t>
      </w:r>
      <w:r/>
    </w:p>
    <w:p>
      <w:pPr>
        <w:ind w:firstLine="560"/>
        <w:spacing w:line="360" w:lineRule="auto"/>
        <w:rPr>
          <w:rFonts w:ascii="宋体" w:hAnsi="宋体" w:cs="宋体"/>
          <w:sz w:val="28"/>
          <w:szCs w:val="28"/>
        </w:rPr>
      </w:pPr>
      <w:r>
        <w:rPr>
          <w:rFonts w:ascii="宋体" w:hAnsi="宋体" w:cs="宋体"/>
          <w:sz w:val="28"/>
          <w:szCs w:val="28"/>
        </w:rPr>
        <w:t xml:space="preserve">企业名称（加盖CA电子签章）：</w:t>
      </w:r>
      <w:r/>
    </w:p>
    <w:p>
      <w:pPr>
        <w:ind w:firstLine="560"/>
        <w:spacing w:line="360" w:lineRule="auto"/>
        <w:rPr>
          <w:rFonts w:ascii="宋体" w:hAnsi="宋体" w:cs="宋体"/>
          <w:sz w:val="28"/>
          <w:szCs w:val="28"/>
        </w:rPr>
      </w:pPr>
      <w:r>
        <w:rPr>
          <w:rFonts w:ascii="宋体" w:hAnsi="宋体" w:cs="宋体"/>
          <w:sz w:val="28"/>
          <w:szCs w:val="28"/>
        </w:rPr>
        <w:t xml:space="preserve">日期：</w:t>
      </w:r>
      <w:r/>
    </w:p>
    <w:p>
      <w:pPr>
        <w:ind w:firstLine="560"/>
        <w:spacing w:line="360" w:lineRule="auto"/>
        <w:rPr>
          <w:rFonts w:ascii="宋体" w:hAnsi="宋体" w:cs="宋体"/>
          <w:sz w:val="28"/>
          <w:szCs w:val="28"/>
        </w:rPr>
      </w:pPr>
      <w:r>
        <w:rPr>
          <w:rFonts w:ascii="宋体" w:hAnsi="宋体" w:cs="宋体"/>
          <w:sz w:val="28"/>
          <w:szCs w:val="28"/>
        </w:rPr>
        <w:t xml:space="preserve">备注：从业人员、营业收入、资产总额填报上一年度数据，无上一年度数据的新成立企业可不填报。</w:t>
      </w:r>
      <w:r/>
    </w:p>
    <w:p>
      <w:pPr>
        <w:jc w:val="center"/>
        <w:spacing w:line="360" w:lineRule="auto"/>
        <w:rPr>
          <w:rFonts w:ascii="方正小标宋_GBK" w:hAnsi="方正小标宋_GBK" w:eastAsia="方正小标宋_GBK" w:cs="方正小标宋_GBK"/>
          <w:b/>
          <w:bCs/>
          <w:sz w:val="28"/>
          <w:szCs w:val="28"/>
        </w:rPr>
      </w:pPr>
      <w:r>
        <w:rPr>
          <w:rFonts w:ascii="宋体" w:hAnsi="宋体" w:cs="宋体"/>
          <w:sz w:val="28"/>
          <w:szCs w:val="28"/>
        </w:rPr>
        <w:br w:type="page" w:clear="all"/>
      </w:r>
      <w:r>
        <w:rPr>
          <w:rFonts w:ascii="方正小标宋_GBK" w:hAnsi="方正小标宋_GBK" w:eastAsia="方正小标宋_GBK" w:cs="方正小标宋_GBK"/>
          <w:b/>
          <w:bCs/>
          <w:sz w:val="28"/>
          <w:szCs w:val="28"/>
        </w:rPr>
        <w:t xml:space="preserve">残疾人福利性单位声明函</w:t>
      </w:r>
      <w:r/>
    </w:p>
    <w:p>
      <w:pPr>
        <w:ind w:firstLine="42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bCs/>
          <w:sz w:val="28"/>
          <w:szCs w:val="28"/>
        </w:rPr>
      </w:pPr>
      <w:r>
        <w:rPr>
          <w:rFonts w:ascii="宋体" w:hAnsi="宋体" w:cs="宋体"/>
          <w:bCs/>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宋体" w:hAnsi="宋体" w:cs="宋体"/>
          <w:bCs/>
          <w:sz w:val="28"/>
          <w:szCs w:val="28"/>
          <w:u w:val="single"/>
        </w:rPr>
        <w:t xml:space="preserve">       </w:t>
      </w:r>
      <w:r>
        <w:rPr>
          <w:rFonts w:ascii="宋体" w:hAnsi="宋体" w:cs="宋体"/>
          <w:bCs/>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ascii="宋体" w:hAnsi="宋体" w:cs="宋体"/>
          <w:bCs/>
          <w:sz w:val="28"/>
          <w:szCs w:val="28"/>
        </w:rPr>
      </w:pPr>
      <w:r>
        <w:rPr>
          <w:rFonts w:ascii="宋体" w:hAnsi="宋体" w:cs="宋体"/>
          <w:bCs/>
          <w:sz w:val="28"/>
          <w:szCs w:val="28"/>
        </w:rPr>
        <w:t xml:space="preserve">本单位对上述声明的真实性负责。如有虚假，将依法承担相应责任。</w:t>
      </w:r>
      <w:r/>
    </w:p>
    <w:p>
      <w:pPr>
        <w:ind w:firstLine="560"/>
        <w:spacing w:line="360" w:lineRule="auto"/>
        <w:rPr>
          <w:rFonts w:ascii="宋体" w:hAnsi="宋体" w:cs="宋体"/>
          <w:sz w:val="28"/>
          <w:szCs w:val="28"/>
        </w:rPr>
      </w:pPr>
      <w:r>
        <w:rPr>
          <w:rFonts w:ascii="宋体" w:hAnsi="宋体" w:cs="宋体"/>
          <w:bCs/>
          <w:sz w:val="28"/>
          <w:szCs w:val="28"/>
        </w:rPr>
        <w:t xml:space="preserve">（备注：1.供应商如不提供此声明函，价格将不做相应扣除。2.中标供应商为残疾人福利单位的，此声明函将随中标结果同时公告，接受社会监督）</w:t>
      </w:r>
      <w:r/>
    </w:p>
    <w:p>
      <w:pPr>
        <w:ind w:firstLine="584"/>
        <w:spacing w:line="360" w:lineRule="auto"/>
        <w:rPr>
          <w:rFonts w:ascii="宋体" w:hAnsi="宋体" w:cs="宋体"/>
          <w:sz w:val="28"/>
          <w:szCs w:val="28"/>
        </w:rPr>
      </w:pPr>
      <w:r>
        <w:rPr>
          <w:rFonts w:ascii="宋体" w:hAnsi="宋体" w:cs="宋体"/>
          <w:spacing w:val="6"/>
          <w:sz w:val="28"/>
          <w:szCs w:val="28"/>
        </w:rPr>
        <w:t xml:space="preserve">             </w:t>
      </w:r>
      <w:r>
        <w:rPr>
          <w:rFonts w:ascii="宋体" w:hAnsi="宋体" w:cs="宋体"/>
          <w:sz w:val="28"/>
          <w:szCs w:val="28"/>
        </w:rPr>
        <w:t xml:space="preserve">供应商全称（加盖CA电子公章）：</w:t>
      </w:r>
      <w:r/>
    </w:p>
    <w:p>
      <w:pPr>
        <w:ind w:firstLine="560"/>
        <w:spacing w:line="360" w:lineRule="auto"/>
        <w:rPr>
          <w:rFonts w:ascii="宋体" w:hAnsi="宋体" w:cs="宋体"/>
          <w:sz w:val="28"/>
          <w:szCs w:val="28"/>
        </w:rPr>
      </w:pPr>
      <w:r>
        <w:rPr>
          <w:rFonts w:ascii="宋体" w:hAnsi="宋体" w:cs="宋体"/>
          <w:sz w:val="28"/>
          <w:szCs w:val="28"/>
        </w:rPr>
        <w:t xml:space="preserve">        日  期：</w:t>
      </w:r>
      <w:r/>
    </w:p>
    <w:p>
      <w:pPr>
        <w:jc w:val="left"/>
        <w:widowControl/>
        <w:rPr>
          <w:rFonts w:hint="eastAsia" w:ascii="宋体" w:hAnsi="宋体"/>
          <w:b/>
          <w:color w:val="000000"/>
          <w:sz w:val="30"/>
          <w:szCs w:val="30"/>
        </w:rPr>
      </w:pPr>
      <w:r>
        <w:rPr>
          <w:rFonts w:hint="eastAsia" w:ascii="宋体" w:hAnsi="宋体"/>
          <w:b/>
          <w:color w:val="000000"/>
          <w:sz w:val="30"/>
          <w:szCs w:val="30"/>
        </w:rPr>
        <w:br w:type="page" w:clear="all"/>
      </w:r>
      <w:r/>
    </w:p>
    <w:p>
      <w:pPr>
        <w:jc w:val="center"/>
        <w:spacing w:line="360" w:lineRule="auto"/>
        <w:rPr>
          <w:rFonts w:ascii="方正小标宋_GBK" w:hAnsi="方正小标宋_GBK" w:eastAsia="方正小标宋_GBK" w:cs="方正小标宋_GBK"/>
          <w:b/>
          <w:bCs/>
          <w:sz w:val="28"/>
          <w:szCs w:val="28"/>
        </w:rPr>
      </w:pPr>
      <w:r>
        <w:rPr>
          <w:rFonts w:ascii="方正小标宋_GBK" w:hAnsi="方正小标宋_GBK" w:eastAsia="方正小标宋_GBK" w:cs="方正小标宋_GBK"/>
          <w:b/>
          <w:bCs/>
          <w:sz w:val="28"/>
          <w:szCs w:val="28"/>
        </w:rPr>
        <w:t xml:space="preserve">监狱企业声明函</w:t>
      </w:r>
      <w:r/>
    </w:p>
    <w:p>
      <w:pPr>
        <w:jc w:val="center"/>
        <w:rPr>
          <w:rFonts w:hint="eastAsia" w:ascii="宋体" w:hAnsi="宋体"/>
          <w:b/>
          <w:color w:val="000000"/>
          <w:sz w:val="30"/>
          <w:szCs w:val="30"/>
        </w:rPr>
      </w:pPr>
      <w:r>
        <w:rPr>
          <w:rFonts w:hint="eastAsia" w:ascii="宋体" w:hAnsi="宋体"/>
          <w:b/>
          <w:color w:val="000000"/>
          <w:sz w:val="30"/>
          <w:szCs w:val="30"/>
        </w:rPr>
        <w:t xml:space="preserve">（格式自拟）</w:t>
      </w:r>
      <w:r/>
    </w:p>
    <w:sectPr>
      <w:headerReference w:type="default" r:id="rId10"/>
      <w:headerReference w:type="even" r:id="rId11"/>
      <w:headerReference w:type="first" r:id="rId12"/>
      <w:footerReference w:type="default" r:id="rId13"/>
      <w:footerReference w:type="even" r:id="rId14"/>
      <w:footerReference w:type="first" r:id="rId15"/>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Light">
    <w:panose1 w:val="020B0503020202020204"/>
  </w:font>
  <w:font w:name="Wingdings">
    <w:panose1 w:val="05000000000000000000"/>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仿宋">
    <w:panose1 w:val="02010609060101010101"/>
  </w:font>
  <w:font w:name="等线">
    <w:panose1 w:val="02010600030101010101"/>
  </w:font>
  <w:font w:name="等线 Light">
    <w:panose1 w:val="0201060003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hidden"/>
      <w:id w:val="969169713"/>
      <w:placeholder>
        <w:docPart w:val="0052D53AF5EA4679A75848472EC4007D"/>
      </w:placeholder>
      <w:showingPlcHdr w:val="true"/>
      <w:temporary w:val="true"/>
      <w:rPr/>
    </w:sdtPr>
    <w:sdtContent>
      <w:p>
        <w:pPr>
          <w:pStyle w:val="777"/>
          <w:rPr>
            <w:rFonts w:hint="eastAsia"/>
          </w:rPr>
        </w:pPr>
        <w:r>
          <w:rPr>
            <w:lang w:val="zh-CN"/>
          </w:rPr>
          <w:t xml:space="preserve">[</w:t>
        </w:r>
        <w:r>
          <w:rPr>
            <w:lang w:val="zh-CN"/>
          </w:rPr>
          <w:t xml:space="preserve">在此处键入</w:t>
        </w:r>
        <w:r>
          <w:rPr>
            <w:lang w:val="zh-CN"/>
          </w:rPr>
          <w:t xml:space="preserve">]</w:t>
        </w:r>
        <w:r/>
      </w:p>
    </w:sdtContent>
  </w:sdt>
  <w:p>
    <w:pPr>
      <w:pStyle w:val="7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49"/>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990" w:hanging="435"/>
      </w:pPr>
      <w:rPr>
        <w:rFonts w:hint="default"/>
      </w:rPr>
    </w:lvl>
    <w:lvl w:ilvl="1">
      <w:start w:val="1"/>
      <w:numFmt w:val="lowerLetter"/>
      <w:isLgl w:val="false"/>
      <w:suff w:val="tab"/>
      <w:lvlText w:val="%2)"/>
      <w:lvlJc w:val="left"/>
      <w:pPr>
        <w:ind w:left="1435" w:hanging="440"/>
      </w:pPr>
    </w:lvl>
    <w:lvl w:ilvl="2">
      <w:start w:val="1"/>
      <w:numFmt w:val="lowerRoman"/>
      <w:isLgl w:val="false"/>
      <w:suff w:val="tab"/>
      <w:lvlText w:val="%3."/>
      <w:lvlJc w:val="right"/>
      <w:pPr>
        <w:ind w:left="1875" w:hanging="440"/>
      </w:pPr>
    </w:lvl>
    <w:lvl w:ilvl="3">
      <w:start w:val="1"/>
      <w:numFmt w:val="decimal"/>
      <w:isLgl w:val="false"/>
      <w:suff w:val="tab"/>
      <w:lvlText w:val="%4."/>
      <w:lvlJc w:val="left"/>
      <w:pPr>
        <w:ind w:left="2315" w:hanging="440"/>
      </w:pPr>
    </w:lvl>
    <w:lvl w:ilvl="4">
      <w:start w:val="1"/>
      <w:numFmt w:val="lowerLetter"/>
      <w:isLgl w:val="false"/>
      <w:suff w:val="tab"/>
      <w:lvlText w:val="%5)"/>
      <w:lvlJc w:val="left"/>
      <w:pPr>
        <w:ind w:left="2755" w:hanging="440"/>
      </w:pPr>
    </w:lvl>
    <w:lvl w:ilvl="5">
      <w:start w:val="1"/>
      <w:numFmt w:val="lowerRoman"/>
      <w:isLgl w:val="false"/>
      <w:suff w:val="tab"/>
      <w:lvlText w:val="%6."/>
      <w:lvlJc w:val="right"/>
      <w:pPr>
        <w:ind w:left="3195" w:hanging="440"/>
      </w:pPr>
    </w:lvl>
    <w:lvl w:ilvl="6">
      <w:start w:val="1"/>
      <w:numFmt w:val="decimal"/>
      <w:isLgl w:val="false"/>
      <w:suff w:val="tab"/>
      <w:lvlText w:val="%7."/>
      <w:lvlJc w:val="left"/>
      <w:pPr>
        <w:ind w:left="3635" w:hanging="440"/>
      </w:pPr>
    </w:lvl>
    <w:lvl w:ilvl="7">
      <w:start w:val="1"/>
      <w:numFmt w:val="lowerLetter"/>
      <w:isLgl w:val="false"/>
      <w:suff w:val="tab"/>
      <w:lvlText w:val="%8)"/>
      <w:lvlJc w:val="left"/>
      <w:pPr>
        <w:ind w:left="4075" w:hanging="440"/>
      </w:pPr>
    </w:lvl>
    <w:lvl w:ilvl="8">
      <w:start w:val="1"/>
      <w:numFmt w:val="lowerRoman"/>
      <w:isLgl w:val="false"/>
      <w:suff w:val="tab"/>
      <w:lvlText w:val="%9."/>
      <w:lvlJc w:val="right"/>
      <w:pPr>
        <w:ind w:left="4515" w:hanging="440"/>
      </w:pPr>
    </w:lvl>
  </w:abstractNum>
  <w:num w:numId="1">
    <w:abstractNumId w:val="4"/>
  </w:num>
  <w:num w:numId="2">
    <w:abstractNumId w:val="6"/>
  </w:num>
  <w:num w:numId="3">
    <w:abstractNumId w:val="5"/>
  </w:num>
  <w:num w:numId="4">
    <w:abstractNumId w:val="1"/>
  </w:num>
  <w:num w:numId="5">
    <w:abstractNumId w:val="7"/>
  </w:num>
  <w:num w:numId="6">
    <w:abstractNumId w:val="8"/>
  </w:num>
  <w:num w:numId="7">
    <w:abstractNumId w:val="3"/>
  </w:num>
  <w:num w:numId="8">
    <w:abstractNumId w:val="2"/>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6">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3">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4">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5">
    <w:name w:val="TOC Heading"/>
    <w:uiPriority w:val="39"/>
    <w:unhideWhenUsed/>
  </w:style>
  <w:style w:type="paragraph" w:styleId="746" w:default="1">
    <w:name w:val="Normal"/>
    <w:qFormat/>
    <w:pPr>
      <w:jc w:val="both"/>
      <w:widowControl w:val="off"/>
    </w:pPr>
    <w:rPr>
      <w:sz w:val="21"/>
      <w:szCs w:val="24"/>
    </w:rPr>
  </w:style>
  <w:style w:type="paragraph" w:styleId="747">
    <w:name w:val="Heading 1"/>
    <w:basedOn w:val="746"/>
    <w:next w:val="746"/>
    <w:link w:val="978"/>
    <w:qFormat/>
    <w:pPr>
      <w:keepLines/>
      <w:keepNext/>
      <w:spacing w:before="340" w:after="330" w:line="578" w:lineRule="auto"/>
      <w:outlineLvl w:val="0"/>
    </w:pPr>
    <w:rPr>
      <w:b/>
      <w:bCs/>
      <w:sz w:val="44"/>
      <w:szCs w:val="44"/>
    </w:rPr>
  </w:style>
  <w:style w:type="paragraph" w:styleId="748">
    <w:name w:val="Heading 2"/>
    <w:basedOn w:val="746"/>
    <w:next w:val="746"/>
    <w:link w:val="979"/>
    <w:qFormat/>
    <w:pPr>
      <w:keepLines/>
      <w:keepNext/>
      <w:spacing w:before="260" w:after="260" w:line="416" w:lineRule="auto"/>
      <w:outlineLvl w:val="1"/>
    </w:pPr>
    <w:rPr>
      <w:rFonts w:ascii="Arial" w:hAnsi="Arial" w:eastAsia="黑体"/>
      <w:b/>
      <w:bCs/>
      <w:sz w:val="32"/>
      <w:szCs w:val="32"/>
    </w:rPr>
  </w:style>
  <w:style w:type="paragraph" w:styleId="749">
    <w:name w:val="Heading 3"/>
    <w:basedOn w:val="746"/>
    <w:next w:val="746"/>
    <w:link w:val="980"/>
    <w:qFormat/>
    <w:pPr>
      <w:keepLines/>
      <w:keepNext/>
      <w:spacing w:before="260" w:after="260" w:line="416" w:lineRule="auto"/>
      <w:outlineLvl w:val="2"/>
    </w:pPr>
    <w:rPr>
      <w:b/>
      <w:bCs/>
      <w:sz w:val="32"/>
      <w:szCs w:val="32"/>
    </w:rPr>
  </w:style>
  <w:style w:type="paragraph" w:styleId="750">
    <w:name w:val="Heading 4"/>
    <w:basedOn w:val="746"/>
    <w:next w:val="746"/>
    <w:link w:val="981"/>
    <w:qFormat/>
    <w:pPr>
      <w:jc w:val="center"/>
      <w:keepNext/>
      <w:outlineLvl w:val="3"/>
    </w:pPr>
    <w:rPr>
      <w:rFonts w:eastAsia="新宋体"/>
      <w:sz w:val="30"/>
      <w:szCs w:val="21"/>
    </w:rPr>
  </w:style>
  <w:style w:type="paragraph" w:styleId="751">
    <w:name w:val="Heading 5"/>
    <w:basedOn w:val="746"/>
    <w:next w:val="746"/>
    <w:link w:val="982"/>
    <w:qFormat/>
    <w:pPr>
      <w:keepLines/>
      <w:keepNext/>
      <w:spacing w:before="280" w:after="290" w:line="376" w:lineRule="auto"/>
      <w:outlineLvl w:val="4"/>
    </w:pPr>
    <w:rPr>
      <w:b/>
      <w:bCs/>
      <w:sz w:val="28"/>
      <w:szCs w:val="28"/>
    </w:rPr>
  </w:style>
  <w:style w:type="paragraph" w:styleId="752">
    <w:name w:val="Heading 6"/>
    <w:basedOn w:val="746"/>
    <w:next w:val="759"/>
    <w:link w:val="983"/>
    <w:qFormat/>
    <w:pPr>
      <w:jc w:val="center"/>
      <w:keepNext/>
      <w:outlineLvl w:val="5"/>
    </w:pPr>
    <w:rPr>
      <w:b/>
      <w:sz w:val="44"/>
      <w:szCs w:val="20"/>
    </w:rPr>
  </w:style>
  <w:style w:type="paragraph" w:styleId="753">
    <w:name w:val="Heading 7"/>
    <w:basedOn w:val="746"/>
    <w:next w:val="746"/>
    <w:link w:val="985"/>
    <w:qFormat/>
    <w:pPr>
      <w:keepLines/>
      <w:keepNext/>
      <w:spacing w:before="240" w:after="64" w:line="320" w:lineRule="auto"/>
      <w:outlineLvl w:val="6"/>
    </w:pPr>
    <w:rPr>
      <w:b/>
      <w:bCs/>
      <w:sz w:val="24"/>
    </w:rPr>
  </w:style>
  <w:style w:type="paragraph" w:styleId="754">
    <w:name w:val="Heading 8"/>
    <w:basedOn w:val="746"/>
    <w:next w:val="746"/>
    <w:link w:val="986"/>
    <w:qFormat/>
    <w:pPr>
      <w:keepLines/>
      <w:keepNext/>
      <w:spacing w:before="240" w:after="64" w:line="320" w:lineRule="auto"/>
      <w:outlineLvl w:val="7"/>
    </w:pPr>
    <w:rPr>
      <w:rFonts w:ascii="Arial" w:hAnsi="Arial" w:eastAsia="黑体"/>
      <w:sz w:val="24"/>
    </w:rPr>
  </w:style>
  <w:style w:type="paragraph" w:styleId="755">
    <w:name w:val="Heading 9"/>
    <w:basedOn w:val="746"/>
    <w:next w:val="746"/>
    <w:link w:val="987"/>
    <w:qFormat/>
    <w:pPr>
      <w:keepLines/>
      <w:keepNext/>
      <w:spacing w:before="240" w:after="64" w:line="320" w:lineRule="auto"/>
      <w:outlineLvl w:val="8"/>
    </w:pPr>
    <w:rPr>
      <w:rFonts w:ascii="Arial" w:hAnsi="Arial" w:eastAsia="黑体"/>
      <w:sz w:val="24"/>
      <w:szCs w:val="21"/>
    </w:rPr>
  </w:style>
  <w:style w:type="character" w:styleId="756" w:default="1">
    <w:name w:val="Default Paragraph Font"/>
    <w:uiPriority w:val="1"/>
    <w:semiHidden/>
    <w:unhideWhenUsed/>
  </w:style>
  <w:style w:type="table" w:styleId="757" w:default="1">
    <w:name w:val="Normal Table"/>
    <w:uiPriority w:val="99"/>
    <w:semiHidden/>
    <w:unhideWhenUsed/>
    <w:tblPr>
      <w:tblInd w:w="0" w:type="dxa"/>
      <w:tblCellMar>
        <w:left w:w="108" w:type="dxa"/>
        <w:top w:w="0" w:type="dxa"/>
        <w:right w:w="108" w:type="dxa"/>
        <w:bottom w:w="0" w:type="dxa"/>
      </w:tblCellMar>
    </w:tblPr>
  </w:style>
  <w:style w:type="numbering" w:styleId="758" w:default="1">
    <w:name w:val="No List"/>
    <w:uiPriority w:val="99"/>
    <w:semiHidden/>
    <w:unhideWhenUsed/>
  </w:style>
  <w:style w:type="paragraph" w:styleId="759">
    <w:name w:val="Normal Indent"/>
    <w:basedOn w:val="746"/>
    <w:link w:val="984"/>
    <w:qFormat/>
    <w:pPr>
      <w:ind w:firstLine="420"/>
    </w:pPr>
    <w:rPr>
      <w:sz w:val="20"/>
      <w:szCs w:val="20"/>
    </w:rPr>
  </w:style>
  <w:style w:type="paragraph" w:styleId="760">
    <w:name w:val="toc 7"/>
    <w:basedOn w:val="746"/>
    <w:next w:val="746"/>
    <w:uiPriority w:val="39"/>
    <w:unhideWhenUsed/>
    <w:qFormat/>
    <w:pPr>
      <w:ind w:left="1701"/>
      <w:spacing w:after="57"/>
    </w:pPr>
  </w:style>
  <w:style w:type="paragraph" w:styleId="761">
    <w:name w:val="Caption"/>
    <w:basedOn w:val="746"/>
    <w:next w:val="746"/>
    <w:uiPriority w:val="35"/>
    <w:semiHidden/>
    <w:unhideWhenUsed/>
    <w:qFormat/>
    <w:pPr>
      <w:spacing w:line="276" w:lineRule="auto"/>
    </w:pPr>
    <w:rPr>
      <w:b/>
      <w:bCs/>
      <w:color w:val="4f81bd"/>
      <w:sz w:val="18"/>
      <w:szCs w:val="18"/>
    </w:rPr>
  </w:style>
  <w:style w:type="paragraph" w:styleId="762">
    <w:name w:val="Document Map"/>
    <w:basedOn w:val="746"/>
    <w:link w:val="988"/>
    <w:semiHidden/>
    <w:qFormat/>
    <w:pPr>
      <w:shd w:val="clear" w:color="auto" w:fill="000080"/>
    </w:pPr>
    <w:rPr>
      <w:sz w:val="20"/>
    </w:rPr>
  </w:style>
  <w:style w:type="paragraph" w:styleId="763">
    <w:name w:val="annotation text"/>
    <w:basedOn w:val="746"/>
    <w:uiPriority w:val="99"/>
    <w:semiHidden/>
    <w:unhideWhenUsed/>
    <w:qFormat/>
    <w:pPr>
      <w:jc w:val="left"/>
    </w:pPr>
  </w:style>
  <w:style w:type="paragraph" w:styleId="764">
    <w:name w:val="Body Text 3"/>
    <w:basedOn w:val="746"/>
    <w:link w:val="989"/>
    <w:qFormat/>
    <w:pPr>
      <w:spacing w:after="120"/>
    </w:pPr>
    <w:rPr>
      <w:sz w:val="16"/>
      <w:szCs w:val="16"/>
    </w:rPr>
  </w:style>
  <w:style w:type="paragraph" w:styleId="765">
    <w:name w:val="Body Text"/>
    <w:basedOn w:val="746"/>
    <w:next w:val="746"/>
    <w:link w:val="990"/>
    <w:qFormat/>
    <w:rPr>
      <w:rFonts w:ascii="仿宋_GB2312" w:eastAsia="仿宋_GB2312"/>
      <w:sz w:val="24"/>
      <w:szCs w:val="20"/>
    </w:rPr>
  </w:style>
  <w:style w:type="paragraph" w:styleId="766">
    <w:name w:val="Body Text Indent"/>
    <w:basedOn w:val="746"/>
    <w:next w:val="767"/>
    <w:link w:val="991"/>
    <w:qFormat/>
    <w:pPr>
      <w:ind w:left="765"/>
    </w:pPr>
    <w:rPr>
      <w:rFonts w:ascii="仿宋_GB2312" w:eastAsia="仿宋_GB2312"/>
      <w:sz w:val="28"/>
      <w:szCs w:val="20"/>
    </w:rPr>
  </w:style>
  <w:style w:type="paragraph" w:styleId="767">
    <w:name w:val="envelope return"/>
    <w:basedOn w:val="746"/>
    <w:uiPriority w:val="99"/>
    <w:unhideWhenUsed/>
    <w:qFormat/>
    <w:rPr>
      <w:rFonts w:ascii="Arial" w:hAnsi="Arial"/>
    </w:rPr>
  </w:style>
  <w:style w:type="paragraph" w:styleId="768">
    <w:name w:val="index 4"/>
    <w:basedOn w:val="746"/>
    <w:next w:val="746"/>
    <w:uiPriority w:val="99"/>
    <w:unhideWhenUsed/>
    <w:qFormat/>
    <w:pPr>
      <w:ind w:left="600"/>
    </w:pPr>
  </w:style>
  <w:style w:type="paragraph" w:styleId="769">
    <w:name w:val="toc 5"/>
    <w:basedOn w:val="746"/>
    <w:next w:val="746"/>
    <w:uiPriority w:val="39"/>
    <w:unhideWhenUsed/>
    <w:qFormat/>
    <w:pPr>
      <w:ind w:left="1134"/>
      <w:spacing w:after="57"/>
    </w:pPr>
  </w:style>
  <w:style w:type="paragraph" w:styleId="770">
    <w:name w:val="toc 3"/>
    <w:basedOn w:val="746"/>
    <w:next w:val="746"/>
    <w:uiPriority w:val="39"/>
    <w:unhideWhenUsed/>
    <w:qFormat/>
    <w:pPr>
      <w:ind w:left="567"/>
      <w:spacing w:after="57"/>
    </w:pPr>
  </w:style>
  <w:style w:type="paragraph" w:styleId="771">
    <w:name w:val="Plain Text"/>
    <w:basedOn w:val="746"/>
    <w:link w:val="992"/>
    <w:qFormat/>
    <w:rPr>
      <w:rFonts w:ascii="宋体" w:hAnsi="Courier New"/>
      <w:sz w:val="20"/>
      <w:szCs w:val="21"/>
    </w:rPr>
  </w:style>
  <w:style w:type="paragraph" w:styleId="772">
    <w:name w:val="toc 8"/>
    <w:basedOn w:val="746"/>
    <w:next w:val="746"/>
    <w:uiPriority w:val="39"/>
    <w:unhideWhenUsed/>
    <w:qFormat/>
    <w:pPr>
      <w:ind w:left="1984"/>
      <w:spacing w:after="57"/>
    </w:pPr>
  </w:style>
  <w:style w:type="paragraph" w:styleId="773">
    <w:name w:val="Date"/>
    <w:basedOn w:val="746"/>
    <w:next w:val="746"/>
    <w:link w:val="993"/>
    <w:qFormat/>
    <w:rPr>
      <w:sz w:val="24"/>
      <w:szCs w:val="20"/>
    </w:rPr>
  </w:style>
  <w:style w:type="paragraph" w:styleId="774">
    <w:name w:val="Body Text Indent 2"/>
    <w:basedOn w:val="746"/>
    <w:link w:val="994"/>
    <w:qFormat/>
    <w:pPr>
      <w:ind w:firstLine="560"/>
      <w:spacing w:line="500" w:lineRule="exact"/>
    </w:pPr>
    <w:rPr>
      <w:rFonts w:eastAsia="仿宋_GB2312"/>
      <w:sz w:val="28"/>
      <w:szCs w:val="20"/>
    </w:rPr>
  </w:style>
  <w:style w:type="paragraph" w:styleId="775">
    <w:name w:val="endnote text"/>
    <w:basedOn w:val="746"/>
    <w:link w:val="976"/>
    <w:uiPriority w:val="99"/>
    <w:semiHidden/>
    <w:unhideWhenUsed/>
    <w:qFormat/>
    <w:rPr>
      <w:sz w:val="20"/>
    </w:rPr>
  </w:style>
  <w:style w:type="paragraph" w:styleId="776">
    <w:name w:val="Balloon Text"/>
    <w:basedOn w:val="746"/>
    <w:link w:val="995"/>
    <w:semiHidden/>
    <w:qFormat/>
    <w:rPr>
      <w:sz w:val="18"/>
      <w:szCs w:val="18"/>
    </w:rPr>
  </w:style>
  <w:style w:type="paragraph" w:styleId="777">
    <w:name w:val="Footer"/>
    <w:basedOn w:val="746"/>
    <w:link w:val="996"/>
    <w:uiPriority w:val="99"/>
    <w:qFormat/>
    <w:pPr>
      <w:jc w:val="left"/>
      <w:tabs>
        <w:tab w:val="center" w:pos="4153" w:leader="none"/>
        <w:tab w:val="right" w:pos="8306" w:leader="none"/>
      </w:tabs>
    </w:pPr>
    <w:rPr>
      <w:sz w:val="18"/>
      <w:szCs w:val="20"/>
    </w:rPr>
  </w:style>
  <w:style w:type="paragraph" w:styleId="778">
    <w:name w:val="Header"/>
    <w:basedOn w:val="746"/>
    <w:link w:val="997"/>
    <w:qFormat/>
    <w:pPr>
      <w:jc w:val="center"/>
      <w:tabs>
        <w:tab w:val="center" w:pos="4153" w:leader="none"/>
        <w:tab w:val="right" w:pos="8306" w:leader="none"/>
      </w:tabs>
      <w:pBdr>
        <w:bottom w:val="single" w:color="000000" w:sz="6" w:space="1"/>
      </w:pBdr>
    </w:pPr>
    <w:rPr>
      <w:sz w:val="18"/>
      <w:szCs w:val="18"/>
    </w:rPr>
  </w:style>
  <w:style w:type="paragraph" w:styleId="779">
    <w:name w:val="toc 1"/>
    <w:basedOn w:val="746"/>
    <w:next w:val="746"/>
    <w:uiPriority w:val="39"/>
    <w:unhideWhenUsed/>
    <w:qFormat/>
    <w:pPr>
      <w:spacing w:after="57"/>
    </w:pPr>
  </w:style>
  <w:style w:type="paragraph" w:styleId="780">
    <w:name w:val="toc 4"/>
    <w:basedOn w:val="746"/>
    <w:next w:val="746"/>
    <w:uiPriority w:val="39"/>
    <w:unhideWhenUsed/>
    <w:qFormat/>
    <w:pPr>
      <w:ind w:left="850"/>
      <w:spacing w:after="57"/>
    </w:pPr>
  </w:style>
  <w:style w:type="paragraph" w:styleId="781">
    <w:name w:val="Subtitle"/>
    <w:basedOn w:val="746"/>
    <w:next w:val="746"/>
    <w:link w:val="842"/>
    <w:uiPriority w:val="11"/>
    <w:qFormat/>
    <w:pPr>
      <w:spacing w:before="200" w:after="200"/>
    </w:pPr>
    <w:rPr>
      <w:sz w:val="24"/>
    </w:rPr>
  </w:style>
  <w:style w:type="paragraph" w:styleId="782">
    <w:name w:val="List"/>
    <w:basedOn w:val="746"/>
    <w:qFormat/>
    <w:pPr>
      <w:ind w:left="200" w:hanging="200"/>
    </w:pPr>
  </w:style>
  <w:style w:type="paragraph" w:styleId="783">
    <w:name w:val="footnote text"/>
    <w:basedOn w:val="746"/>
    <w:link w:val="975"/>
    <w:uiPriority w:val="99"/>
    <w:semiHidden/>
    <w:unhideWhenUsed/>
    <w:qFormat/>
    <w:pPr>
      <w:spacing w:after="40"/>
    </w:pPr>
    <w:rPr>
      <w:sz w:val="18"/>
    </w:rPr>
  </w:style>
  <w:style w:type="paragraph" w:styleId="784">
    <w:name w:val="toc 6"/>
    <w:basedOn w:val="746"/>
    <w:next w:val="746"/>
    <w:uiPriority w:val="39"/>
    <w:unhideWhenUsed/>
    <w:qFormat/>
    <w:pPr>
      <w:ind w:left="1417"/>
      <w:spacing w:after="57"/>
    </w:pPr>
  </w:style>
  <w:style w:type="paragraph" w:styleId="785">
    <w:name w:val="Body Text Indent 3"/>
    <w:basedOn w:val="746"/>
    <w:link w:val="999"/>
    <w:qFormat/>
    <w:pPr>
      <w:ind w:left="420"/>
      <w:spacing w:after="120"/>
    </w:pPr>
    <w:rPr>
      <w:sz w:val="16"/>
      <w:szCs w:val="16"/>
    </w:rPr>
  </w:style>
  <w:style w:type="paragraph" w:styleId="786">
    <w:name w:val="table of figures"/>
    <w:basedOn w:val="746"/>
    <w:next w:val="746"/>
    <w:uiPriority w:val="99"/>
    <w:unhideWhenUsed/>
    <w:qFormat/>
  </w:style>
  <w:style w:type="paragraph" w:styleId="787">
    <w:name w:val="toc 2"/>
    <w:basedOn w:val="746"/>
    <w:next w:val="746"/>
    <w:uiPriority w:val="39"/>
    <w:unhideWhenUsed/>
    <w:qFormat/>
    <w:pPr>
      <w:ind w:left="283"/>
      <w:spacing w:after="57"/>
    </w:pPr>
  </w:style>
  <w:style w:type="paragraph" w:styleId="788">
    <w:name w:val="toc 9"/>
    <w:basedOn w:val="746"/>
    <w:next w:val="746"/>
    <w:uiPriority w:val="39"/>
    <w:unhideWhenUsed/>
    <w:qFormat/>
    <w:pPr>
      <w:ind w:left="2268"/>
      <w:spacing w:after="57"/>
    </w:pPr>
  </w:style>
  <w:style w:type="paragraph" w:styleId="789">
    <w:name w:val="Body Text 2"/>
    <w:basedOn w:val="746"/>
    <w:link w:val="1000"/>
    <w:qFormat/>
    <w:rPr>
      <w:b/>
      <w:bCs/>
      <w:sz w:val="18"/>
    </w:rPr>
  </w:style>
  <w:style w:type="paragraph" w:styleId="790">
    <w:name w:val="HTML Preformatted"/>
    <w:basedOn w:val="746"/>
    <w:link w:val="100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cs="等线 Light"/>
      <w:sz w:val="24"/>
      <w:szCs w:val="22"/>
    </w:rPr>
  </w:style>
  <w:style w:type="paragraph" w:styleId="791">
    <w:name w:val="Normal (Web)"/>
    <w:basedOn w:val="746"/>
    <w:qFormat/>
    <w:pPr>
      <w:jc w:val="left"/>
      <w:spacing w:before="100" w:beforeAutospacing="1" w:after="100" w:afterAutospacing="1"/>
      <w:widowControl/>
    </w:pPr>
    <w:rPr>
      <w:rFonts w:ascii="宋体" w:hAnsi="宋体"/>
      <w:color w:val="000000"/>
      <w:sz w:val="24"/>
    </w:rPr>
  </w:style>
  <w:style w:type="paragraph" w:styleId="792">
    <w:name w:val="Title"/>
    <w:basedOn w:val="746"/>
    <w:next w:val="746"/>
    <w:link w:val="841"/>
    <w:uiPriority w:val="10"/>
    <w:qFormat/>
    <w:pPr>
      <w:contextualSpacing/>
      <w:spacing w:before="300" w:after="200"/>
    </w:pPr>
    <w:rPr>
      <w:sz w:val="48"/>
      <w:szCs w:val="48"/>
    </w:rPr>
  </w:style>
  <w:style w:type="paragraph" w:styleId="793">
    <w:name w:val="Body Text First Indent"/>
    <w:basedOn w:val="765"/>
    <w:uiPriority w:val="99"/>
    <w:qFormat/>
    <w:pPr>
      <w:ind w:firstLine="420"/>
    </w:pPr>
  </w:style>
  <w:style w:type="paragraph" w:styleId="794">
    <w:name w:val="Body Text First Indent 2"/>
    <w:basedOn w:val="766"/>
    <w:uiPriority w:val="99"/>
    <w:qFormat/>
    <w:pPr>
      <w:ind w:firstLine="200"/>
    </w:pPr>
  </w:style>
  <w:style w:type="table" w:styleId="795">
    <w:name w:val="Table Grid"/>
    <w:basedOn w:val="757"/>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6">
    <w:name w:val="Strong"/>
    <w:uiPriority w:val="22"/>
    <w:qFormat/>
    <w:rPr>
      <w:b/>
      <w:bCs/>
    </w:rPr>
  </w:style>
  <w:style w:type="character" w:styleId="797">
    <w:name w:val="endnote reference"/>
    <w:uiPriority w:val="99"/>
    <w:semiHidden/>
    <w:unhideWhenUsed/>
    <w:qFormat/>
    <w:rPr>
      <w:vertAlign w:val="superscript"/>
    </w:rPr>
  </w:style>
  <w:style w:type="character" w:styleId="798">
    <w:name w:val="page number"/>
    <w:qFormat/>
  </w:style>
  <w:style w:type="character" w:styleId="799">
    <w:name w:val="Hyperlink"/>
    <w:qFormat/>
    <w:rPr>
      <w:color w:val="0000ff"/>
      <w:u w:val="single"/>
    </w:rPr>
  </w:style>
  <w:style w:type="character" w:styleId="800">
    <w:name w:val="footnote reference"/>
    <w:uiPriority w:val="99"/>
    <w:unhideWhenUsed/>
    <w:qFormat/>
    <w:rPr>
      <w:vertAlign w:val="superscript"/>
    </w:rPr>
  </w:style>
  <w:style w:type="paragraph" w:styleId="801" w:customStyle="1">
    <w:name w:val="Default"/>
    <w:qFormat/>
    <w:pPr>
      <w:widowControl w:val="off"/>
    </w:pPr>
    <w:rPr>
      <w:rFonts w:ascii="Arial Unicode MS" w:eastAsia="Arial Unicode MS" w:cs="Arial Unicode MS"/>
      <w:color w:val="000000"/>
      <w:sz w:val="24"/>
      <w:szCs w:val="24"/>
    </w:rPr>
  </w:style>
  <w:style w:type="paragraph" w:styleId="802" w:customStyle="1">
    <w:name w:val="正文首行缩进 21"/>
    <w:basedOn w:val="803"/>
    <w:qFormat/>
    <w:pPr>
      <w:ind w:left="0" w:firstLine="420"/>
      <w:spacing w:after="0" w:line="360" w:lineRule="auto"/>
    </w:pPr>
    <w:rPr>
      <w:rFonts w:ascii="宋体" w:hAnsi="宋体"/>
      <w:sz w:val="20"/>
      <w:szCs w:val="20"/>
    </w:rPr>
  </w:style>
  <w:style w:type="paragraph" w:styleId="803" w:customStyle="1">
    <w:name w:val="正文文本缩进1"/>
    <w:basedOn w:val="746"/>
    <w:uiPriority w:val="99"/>
    <w:unhideWhenUsed/>
    <w:qFormat/>
    <w:pPr>
      <w:ind w:left="420"/>
      <w:spacing w:after="120"/>
    </w:pPr>
  </w:style>
  <w:style w:type="table" w:styleId="804" w:customStyle="1">
    <w:name w:val="无格式表格 11"/>
    <w:basedOn w:val="75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basedOn w:val="75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basedOn w:val="75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basedOn w:val="75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basedOn w:val="75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0" w:customStyle="1">
    <w:name w:val="网格表 21"/>
    <w:basedOn w:val="75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1" w:customStyle="1">
    <w:name w:val="网格表 31"/>
    <w:basedOn w:val="75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basedOn w:val="75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网格表 5 深色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网格表 6 彩色1"/>
    <w:basedOn w:val="75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5" w:customStyle="1">
    <w:name w:val="网格表 7 彩色1"/>
    <w:basedOn w:val="75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6" w:customStyle="1">
    <w:name w:val="清单表 1 浅色1"/>
    <w:basedOn w:val="75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清单表 21"/>
    <w:basedOn w:val="75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8" w:customStyle="1">
    <w:name w:val="清单表 3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清单表 4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5 深色1"/>
    <w:basedOn w:val="75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1" w:customStyle="1">
    <w:name w:val="清单表 6 彩色1"/>
    <w:basedOn w:val="75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2" w:customStyle="1">
    <w:name w:val="清单表 7 彩色1"/>
    <w:basedOn w:val="75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3" w:customStyle="1">
    <w:name w:val="TOC 标题1"/>
    <w:uiPriority w:val="39"/>
    <w:unhideWhenUsed/>
    <w:qFormat/>
  </w:style>
  <w:style w:type="character" w:styleId="824" w:customStyle="1">
    <w:name w:val="Title Char"/>
    <w:basedOn w:val="756"/>
    <w:uiPriority w:val="10"/>
    <w:qFormat/>
    <w:rPr>
      <w:sz w:val="48"/>
      <w:szCs w:val="48"/>
    </w:rPr>
  </w:style>
  <w:style w:type="character" w:styleId="825" w:customStyle="1">
    <w:name w:val="Subtitle Char"/>
    <w:basedOn w:val="756"/>
    <w:uiPriority w:val="11"/>
    <w:qFormat/>
    <w:rPr>
      <w:sz w:val="24"/>
      <w:szCs w:val="24"/>
    </w:rPr>
  </w:style>
  <w:style w:type="character" w:styleId="826" w:customStyle="1">
    <w:name w:val="Quote Char"/>
    <w:uiPriority w:val="29"/>
    <w:qFormat/>
    <w:rPr>
      <w:i/>
    </w:rPr>
  </w:style>
  <w:style w:type="character" w:styleId="827" w:customStyle="1">
    <w:name w:val="Intense Quote Char"/>
    <w:uiPriority w:val="30"/>
    <w:qFormat/>
    <w:rPr>
      <w:i/>
    </w:rPr>
  </w:style>
  <w:style w:type="character" w:styleId="828" w:customStyle="1">
    <w:name w:val="Footnote Text Char"/>
    <w:uiPriority w:val="99"/>
    <w:qFormat/>
    <w:rPr>
      <w:sz w:val="18"/>
    </w:rPr>
  </w:style>
  <w:style w:type="character" w:styleId="829" w:customStyle="1">
    <w:name w:val="Endnote Text Char"/>
    <w:uiPriority w:val="99"/>
    <w:qFormat/>
    <w:rPr>
      <w:sz w:val="20"/>
    </w:rPr>
  </w:style>
  <w:style w:type="character" w:styleId="830" w:customStyle="1">
    <w:name w:val="Heading 1 Char"/>
    <w:uiPriority w:val="9"/>
    <w:qFormat/>
    <w:rPr>
      <w:rFonts w:ascii="Arial" w:hAnsi="Arial" w:eastAsia="Arial" w:cs="Arial"/>
      <w:sz w:val="40"/>
      <w:szCs w:val="40"/>
    </w:rPr>
  </w:style>
  <w:style w:type="character" w:styleId="831" w:customStyle="1">
    <w:name w:val="Heading 2 Char"/>
    <w:uiPriority w:val="9"/>
    <w:qFormat/>
    <w:rPr>
      <w:rFonts w:ascii="Arial" w:hAnsi="Arial" w:eastAsia="Arial" w:cs="Arial"/>
      <w:sz w:val="34"/>
    </w:rPr>
  </w:style>
  <w:style w:type="character" w:styleId="832" w:customStyle="1">
    <w:name w:val="Heading 3 Char"/>
    <w:uiPriority w:val="9"/>
    <w:qFormat/>
    <w:rPr>
      <w:rFonts w:ascii="Arial" w:hAnsi="Arial" w:eastAsia="Arial" w:cs="Arial"/>
      <w:sz w:val="30"/>
      <w:szCs w:val="30"/>
    </w:rPr>
  </w:style>
  <w:style w:type="character" w:styleId="833" w:customStyle="1">
    <w:name w:val="Heading 4 Char"/>
    <w:uiPriority w:val="9"/>
    <w:qFormat/>
    <w:rPr>
      <w:rFonts w:ascii="Arial" w:hAnsi="Arial" w:eastAsia="Arial" w:cs="Arial"/>
      <w:b/>
      <w:bCs/>
      <w:sz w:val="26"/>
      <w:szCs w:val="26"/>
    </w:rPr>
  </w:style>
  <w:style w:type="character" w:styleId="834" w:customStyle="1">
    <w:name w:val="Heading 5 Char"/>
    <w:uiPriority w:val="9"/>
    <w:qFormat/>
    <w:rPr>
      <w:rFonts w:ascii="Arial" w:hAnsi="Arial" w:eastAsia="Arial" w:cs="Arial"/>
      <w:b/>
      <w:bCs/>
      <w:sz w:val="24"/>
      <w:szCs w:val="24"/>
    </w:rPr>
  </w:style>
  <w:style w:type="character" w:styleId="835" w:customStyle="1">
    <w:name w:val="Heading 6 Char"/>
    <w:uiPriority w:val="9"/>
    <w:qFormat/>
    <w:rPr>
      <w:rFonts w:ascii="Arial" w:hAnsi="Arial" w:eastAsia="Arial" w:cs="Arial"/>
      <w:b/>
      <w:bCs/>
      <w:sz w:val="22"/>
      <w:szCs w:val="22"/>
    </w:rPr>
  </w:style>
  <w:style w:type="character" w:styleId="836" w:customStyle="1">
    <w:name w:val="Heading 7 Char"/>
    <w:uiPriority w:val="9"/>
    <w:qFormat/>
    <w:rPr>
      <w:rFonts w:ascii="Arial" w:hAnsi="Arial" w:eastAsia="Arial" w:cs="Arial"/>
      <w:b/>
      <w:bCs/>
      <w:i/>
      <w:iCs/>
      <w:sz w:val="22"/>
      <w:szCs w:val="22"/>
    </w:rPr>
  </w:style>
  <w:style w:type="character" w:styleId="837" w:customStyle="1">
    <w:name w:val="Heading 8 Char"/>
    <w:uiPriority w:val="9"/>
    <w:qFormat/>
    <w:rPr>
      <w:rFonts w:ascii="Arial" w:hAnsi="Arial" w:eastAsia="Arial" w:cs="Arial"/>
      <w:i/>
      <w:iCs/>
      <w:sz w:val="22"/>
      <w:szCs w:val="22"/>
    </w:rPr>
  </w:style>
  <w:style w:type="character" w:styleId="838" w:customStyle="1">
    <w:name w:val="Heading 9 Char"/>
    <w:uiPriority w:val="9"/>
    <w:qFormat/>
    <w:rPr>
      <w:rFonts w:ascii="Arial" w:hAnsi="Arial" w:eastAsia="Arial" w:cs="Arial"/>
      <w:i/>
      <w:iCs/>
      <w:sz w:val="21"/>
      <w:szCs w:val="21"/>
    </w:rPr>
  </w:style>
  <w:style w:type="paragraph" w:styleId="839">
    <w:name w:val="List Paragraph"/>
    <w:basedOn w:val="746"/>
    <w:link w:val="1005"/>
    <w:uiPriority w:val="34"/>
    <w:qFormat/>
    <w:pPr>
      <w:ind w:firstLine="420"/>
    </w:pPr>
    <w:rPr>
      <w:sz w:val="20"/>
      <w:szCs w:val="20"/>
    </w:rPr>
  </w:style>
  <w:style w:type="paragraph" w:styleId="840">
    <w:name w:val="No Spacing"/>
    <w:uiPriority w:val="1"/>
    <w:qFormat/>
  </w:style>
  <w:style w:type="character" w:styleId="841" w:customStyle="1">
    <w:name w:val="标题 字符"/>
    <w:link w:val="792"/>
    <w:uiPriority w:val="10"/>
    <w:qFormat/>
    <w:rPr>
      <w:sz w:val="48"/>
      <w:szCs w:val="48"/>
    </w:rPr>
  </w:style>
  <w:style w:type="character" w:styleId="842" w:customStyle="1">
    <w:name w:val="副标题 字符"/>
    <w:link w:val="781"/>
    <w:uiPriority w:val="11"/>
    <w:qFormat/>
    <w:rPr>
      <w:sz w:val="24"/>
      <w:szCs w:val="24"/>
    </w:rPr>
  </w:style>
  <w:style w:type="paragraph" w:styleId="843">
    <w:name w:val="Quote"/>
    <w:basedOn w:val="746"/>
    <w:next w:val="746"/>
    <w:link w:val="844"/>
    <w:uiPriority w:val="29"/>
    <w:qFormat/>
    <w:pPr>
      <w:ind w:left="720" w:right="720"/>
    </w:pPr>
    <w:rPr>
      <w:i/>
    </w:rPr>
  </w:style>
  <w:style w:type="character" w:styleId="844" w:customStyle="1">
    <w:name w:val="引用 字符"/>
    <w:link w:val="843"/>
    <w:uiPriority w:val="29"/>
    <w:qFormat/>
    <w:rPr>
      <w:i/>
    </w:rPr>
  </w:style>
  <w:style w:type="paragraph" w:styleId="845">
    <w:name w:val="Intense Quote"/>
    <w:basedOn w:val="746"/>
    <w:next w:val="746"/>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字符"/>
    <w:link w:val="845"/>
    <w:uiPriority w:val="30"/>
    <w:qFormat/>
    <w:rPr>
      <w:i/>
    </w:rPr>
  </w:style>
  <w:style w:type="character" w:styleId="847" w:customStyle="1">
    <w:name w:val="Header Char"/>
    <w:uiPriority w:val="99"/>
    <w:qFormat/>
  </w:style>
  <w:style w:type="character" w:styleId="848" w:customStyle="1">
    <w:name w:val="Footer Char"/>
    <w:uiPriority w:val="99"/>
    <w:qFormat/>
  </w:style>
  <w:style w:type="character" w:styleId="849" w:customStyle="1">
    <w:name w:val="Caption Char"/>
    <w:uiPriority w:val="99"/>
    <w:qFormat/>
  </w:style>
  <w:style w:type="table" w:styleId="85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3" w:customStyle="1">
    <w:name w:val="无格式表格 31"/>
    <w:uiPriority w:val="99"/>
    <w:qFormat/>
    <w:tblPr>
      <w:tblCellMar>
        <w:left w:w="0" w:type="dxa"/>
        <w:top w:w="0" w:type="dxa"/>
        <w:right w:w="0" w:type="dxa"/>
        <w:bottom w:w="0" w:type="dxa"/>
      </w:tblCellMar>
    </w:tblPr>
  </w:style>
  <w:style w:type="table" w:styleId="854" w:customStyle="1">
    <w:name w:val="无格式表格 41"/>
    <w:uiPriority w:val="99"/>
    <w:qFormat/>
    <w:tblPr>
      <w:tblCellMar>
        <w:left w:w="0" w:type="dxa"/>
        <w:top w:w="0" w:type="dxa"/>
        <w:right w:w="0" w:type="dxa"/>
        <w:bottom w:w="0" w:type="dxa"/>
      </w:tblCellMar>
    </w:tblPr>
  </w:style>
  <w:style w:type="table" w:styleId="855" w:customStyle="1">
    <w:name w:val="无格式表格 51"/>
    <w:uiPriority w:val="99"/>
    <w:qFormat/>
    <w:tblPr>
      <w:tblCellMar>
        <w:left w:w="0" w:type="dxa"/>
        <w:top w:w="0" w:type="dxa"/>
        <w:right w:w="0" w:type="dxa"/>
        <w:bottom w:w="0" w:type="dxa"/>
      </w:tblCellMar>
    </w:tblPr>
  </w:style>
  <w:style w:type="table" w:styleId="85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5" w:customStyle="1">
    <w:name w:val="清单表 1 浅色1"/>
    <w:uiPriority w:val="99"/>
    <w:qFormat/>
    <w:tblPr>
      <w:tblCellMar>
        <w:left w:w="0" w:type="dxa"/>
        <w:top w:w="0" w:type="dxa"/>
        <w:right w:w="0" w:type="dxa"/>
        <w:bottom w:w="0" w:type="dxa"/>
      </w:tblCellMar>
    </w:tblPr>
  </w:style>
  <w:style w:type="table" w:styleId="906" w:customStyle="1">
    <w:name w:val="List Table 1 Light - Accent 1"/>
    <w:uiPriority w:val="99"/>
    <w:qFormat/>
    <w:tblPr>
      <w:tblCellMar>
        <w:left w:w="0" w:type="dxa"/>
        <w:top w:w="0" w:type="dxa"/>
        <w:right w:w="0" w:type="dxa"/>
        <w:bottom w:w="0" w:type="dxa"/>
      </w:tblCellMar>
    </w:tblPr>
  </w:style>
  <w:style w:type="table" w:styleId="907" w:customStyle="1">
    <w:name w:val="List Table 1 Light - Accent 2"/>
    <w:uiPriority w:val="99"/>
    <w:qFormat/>
    <w:tblPr>
      <w:tblCellMar>
        <w:left w:w="0" w:type="dxa"/>
        <w:top w:w="0" w:type="dxa"/>
        <w:right w:w="0" w:type="dxa"/>
        <w:bottom w:w="0" w:type="dxa"/>
      </w:tblCellMar>
    </w:tblPr>
  </w:style>
  <w:style w:type="table" w:styleId="908" w:customStyle="1">
    <w:name w:val="List Table 1 Light - Accent 3"/>
    <w:uiPriority w:val="99"/>
    <w:qFormat/>
    <w:tblPr>
      <w:tblCellMar>
        <w:left w:w="0" w:type="dxa"/>
        <w:top w:w="0" w:type="dxa"/>
        <w:right w:w="0" w:type="dxa"/>
        <w:bottom w:w="0" w:type="dxa"/>
      </w:tblCellMar>
    </w:tblPr>
  </w:style>
  <w:style w:type="table" w:styleId="909" w:customStyle="1">
    <w:name w:val="List Table 1 Light - Accent 4"/>
    <w:uiPriority w:val="99"/>
    <w:qFormat/>
    <w:tblPr>
      <w:tblCellMar>
        <w:left w:w="0" w:type="dxa"/>
        <w:top w:w="0" w:type="dxa"/>
        <w:right w:w="0" w:type="dxa"/>
        <w:bottom w:w="0" w:type="dxa"/>
      </w:tblCellMar>
    </w:tblPr>
  </w:style>
  <w:style w:type="table" w:styleId="910" w:customStyle="1">
    <w:name w:val="List Table 1 Light - Accent 5"/>
    <w:uiPriority w:val="99"/>
    <w:qFormat/>
    <w:tblPr>
      <w:tblCellMar>
        <w:left w:w="0" w:type="dxa"/>
        <w:top w:w="0" w:type="dxa"/>
        <w:right w:w="0" w:type="dxa"/>
        <w:bottom w:w="0" w:type="dxa"/>
      </w:tblCellMar>
    </w:tblPr>
  </w:style>
  <w:style w:type="table" w:styleId="911" w:customStyle="1">
    <w:name w:val="List Table 1 Light - Accent 6"/>
    <w:uiPriority w:val="99"/>
    <w:qFormat/>
    <w:tblPr>
      <w:tblCellMar>
        <w:left w:w="0" w:type="dxa"/>
        <w:top w:w="0" w:type="dxa"/>
        <w:right w:w="0" w:type="dxa"/>
        <w:bottom w:w="0" w:type="dxa"/>
      </w:tblCellMar>
    </w:tblPr>
  </w:style>
  <w:style w:type="table" w:styleId="91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4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4" w:customStyle="1">
    <w:name w:val="Lined - Accent"/>
    <w:uiPriority w:val="99"/>
    <w:qFormat/>
    <w:rPr>
      <w:color w:val="404040"/>
    </w:rPr>
    <w:tblPr>
      <w:tblCellMar>
        <w:left w:w="0" w:type="dxa"/>
        <w:top w:w="0" w:type="dxa"/>
        <w:right w:w="0" w:type="dxa"/>
        <w:bottom w:w="0" w:type="dxa"/>
      </w:tblCellMar>
    </w:tblPr>
  </w:style>
  <w:style w:type="table" w:styleId="955" w:customStyle="1">
    <w:name w:val="Lined - Accent 1"/>
    <w:uiPriority w:val="99"/>
    <w:qFormat/>
    <w:rPr>
      <w:color w:val="404040"/>
    </w:rPr>
    <w:tblPr>
      <w:tblCellMar>
        <w:left w:w="0" w:type="dxa"/>
        <w:top w:w="0" w:type="dxa"/>
        <w:right w:w="0" w:type="dxa"/>
        <w:bottom w:w="0" w:type="dxa"/>
      </w:tblCellMar>
    </w:tblPr>
  </w:style>
  <w:style w:type="table" w:styleId="956" w:customStyle="1">
    <w:name w:val="Lined - Accent 2"/>
    <w:uiPriority w:val="99"/>
    <w:qFormat/>
    <w:rPr>
      <w:color w:val="404040"/>
    </w:rPr>
    <w:tblPr>
      <w:tblCellMar>
        <w:left w:w="0" w:type="dxa"/>
        <w:top w:w="0" w:type="dxa"/>
        <w:right w:w="0" w:type="dxa"/>
        <w:bottom w:w="0" w:type="dxa"/>
      </w:tblCellMar>
    </w:tblPr>
  </w:style>
  <w:style w:type="table" w:styleId="957" w:customStyle="1">
    <w:name w:val="Lined - Accent 3"/>
    <w:uiPriority w:val="99"/>
    <w:qFormat/>
    <w:rPr>
      <w:color w:val="404040"/>
    </w:rPr>
    <w:tblPr>
      <w:tblCellMar>
        <w:left w:w="0" w:type="dxa"/>
        <w:top w:w="0" w:type="dxa"/>
        <w:right w:w="0" w:type="dxa"/>
        <w:bottom w:w="0" w:type="dxa"/>
      </w:tblCellMar>
    </w:tblPr>
  </w:style>
  <w:style w:type="table" w:styleId="958" w:customStyle="1">
    <w:name w:val="Lined - Accent 4"/>
    <w:uiPriority w:val="99"/>
    <w:qFormat/>
    <w:rPr>
      <w:color w:val="404040"/>
    </w:rPr>
    <w:tblPr>
      <w:tblCellMar>
        <w:left w:w="0" w:type="dxa"/>
        <w:top w:w="0" w:type="dxa"/>
        <w:right w:w="0" w:type="dxa"/>
        <w:bottom w:w="0" w:type="dxa"/>
      </w:tblCellMar>
    </w:tblPr>
  </w:style>
  <w:style w:type="table" w:styleId="959" w:customStyle="1">
    <w:name w:val="Lined - Accent 5"/>
    <w:uiPriority w:val="99"/>
    <w:qFormat/>
    <w:rPr>
      <w:color w:val="404040"/>
    </w:rPr>
    <w:tblPr>
      <w:tblCellMar>
        <w:left w:w="0" w:type="dxa"/>
        <w:top w:w="0" w:type="dxa"/>
        <w:right w:w="0" w:type="dxa"/>
        <w:bottom w:w="0" w:type="dxa"/>
      </w:tblCellMar>
    </w:tblPr>
  </w:style>
  <w:style w:type="table" w:styleId="960" w:customStyle="1">
    <w:name w:val="Lined - Accent 6"/>
    <w:uiPriority w:val="99"/>
    <w:qFormat/>
    <w:rPr>
      <w:color w:val="404040"/>
    </w:rPr>
    <w:tblPr>
      <w:tblCellMar>
        <w:left w:w="0" w:type="dxa"/>
        <w:top w:w="0" w:type="dxa"/>
        <w:right w:w="0" w:type="dxa"/>
        <w:bottom w:w="0" w:type="dxa"/>
      </w:tblCellMar>
    </w:tblPr>
  </w:style>
  <w:style w:type="table" w:styleId="96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5" w:customStyle="1">
    <w:name w:val="脚注文本 字符"/>
    <w:link w:val="783"/>
    <w:uiPriority w:val="99"/>
    <w:qFormat/>
    <w:rPr>
      <w:sz w:val="18"/>
    </w:rPr>
  </w:style>
  <w:style w:type="character" w:styleId="976" w:customStyle="1">
    <w:name w:val="尾注文本 字符"/>
    <w:link w:val="775"/>
    <w:uiPriority w:val="99"/>
    <w:qFormat/>
    <w:rPr>
      <w:sz w:val="20"/>
    </w:rPr>
  </w:style>
  <w:style w:type="paragraph" w:styleId="977" w:customStyle="1">
    <w:name w:val="TOC 标题1"/>
    <w:uiPriority w:val="39"/>
    <w:unhideWhenUsed/>
    <w:qFormat/>
  </w:style>
  <w:style w:type="character" w:styleId="978" w:customStyle="1">
    <w:name w:val="标题 1 字符"/>
    <w:link w:val="747"/>
    <w:qFormat/>
    <w:rPr>
      <w:rFonts w:ascii="Times New Roman" w:hAnsi="Times New Roman" w:eastAsia="宋体" w:cs="Times New Roman"/>
      <w:b/>
      <w:bCs/>
      <w:sz w:val="44"/>
      <w:szCs w:val="44"/>
    </w:rPr>
  </w:style>
  <w:style w:type="character" w:styleId="979" w:customStyle="1">
    <w:name w:val="标题 2 字符"/>
    <w:link w:val="748"/>
    <w:qFormat/>
    <w:rPr>
      <w:rFonts w:ascii="Arial" w:hAnsi="Arial" w:eastAsia="黑体" w:cs="Times New Roman"/>
      <w:b/>
      <w:bCs/>
      <w:sz w:val="32"/>
      <w:szCs w:val="32"/>
    </w:rPr>
  </w:style>
  <w:style w:type="character" w:styleId="980" w:customStyle="1">
    <w:name w:val="标题 3 字符"/>
    <w:link w:val="749"/>
    <w:qFormat/>
    <w:rPr>
      <w:rFonts w:ascii="Times New Roman" w:hAnsi="Times New Roman" w:eastAsia="宋体" w:cs="Times New Roman"/>
      <w:b/>
      <w:bCs/>
      <w:sz w:val="32"/>
      <w:szCs w:val="32"/>
    </w:rPr>
  </w:style>
  <w:style w:type="character" w:styleId="981" w:customStyle="1">
    <w:name w:val="标题 4 字符"/>
    <w:link w:val="750"/>
    <w:qFormat/>
    <w:rPr>
      <w:rFonts w:ascii="Times New Roman" w:hAnsi="Times New Roman" w:eastAsia="新宋体" w:cs="Times New Roman"/>
      <w:sz w:val="30"/>
      <w:szCs w:val="21"/>
    </w:rPr>
  </w:style>
  <w:style w:type="character" w:styleId="982" w:customStyle="1">
    <w:name w:val="标题 5 字符"/>
    <w:link w:val="751"/>
    <w:qFormat/>
    <w:rPr>
      <w:rFonts w:ascii="Times New Roman" w:hAnsi="Times New Roman" w:eastAsia="宋体" w:cs="Times New Roman"/>
      <w:b/>
      <w:bCs/>
      <w:sz w:val="28"/>
      <w:szCs w:val="28"/>
    </w:rPr>
  </w:style>
  <w:style w:type="character" w:styleId="983" w:customStyle="1">
    <w:name w:val="标题 6 字符"/>
    <w:link w:val="752"/>
    <w:qFormat/>
    <w:rPr>
      <w:rFonts w:ascii="Times New Roman" w:hAnsi="Times New Roman" w:eastAsia="宋体" w:cs="Times New Roman"/>
      <w:b/>
      <w:sz w:val="44"/>
      <w:szCs w:val="20"/>
    </w:rPr>
  </w:style>
  <w:style w:type="character" w:styleId="984" w:customStyle="1">
    <w:name w:val="正文缩进 字符"/>
    <w:link w:val="759"/>
    <w:qFormat/>
    <w:rPr>
      <w:rFonts w:ascii="Times New Roman" w:hAnsi="Times New Roman" w:eastAsia="宋体" w:cs="Times New Roman"/>
      <w:sz w:val="20"/>
      <w:szCs w:val="20"/>
    </w:rPr>
  </w:style>
  <w:style w:type="character" w:styleId="985" w:customStyle="1">
    <w:name w:val="标题 7 字符"/>
    <w:link w:val="753"/>
    <w:qFormat/>
    <w:rPr>
      <w:rFonts w:ascii="Times New Roman" w:hAnsi="Times New Roman" w:eastAsia="宋体" w:cs="Times New Roman"/>
      <w:b/>
      <w:bCs/>
      <w:sz w:val="24"/>
      <w:szCs w:val="24"/>
    </w:rPr>
  </w:style>
  <w:style w:type="character" w:styleId="986" w:customStyle="1">
    <w:name w:val="标题 8 字符"/>
    <w:link w:val="754"/>
    <w:qFormat/>
    <w:rPr>
      <w:rFonts w:ascii="Arial" w:hAnsi="Arial" w:eastAsia="黑体" w:cs="Times New Roman"/>
      <w:sz w:val="24"/>
      <w:szCs w:val="24"/>
    </w:rPr>
  </w:style>
  <w:style w:type="character" w:styleId="987" w:customStyle="1">
    <w:name w:val="标题 9 字符"/>
    <w:link w:val="755"/>
    <w:qFormat/>
    <w:rPr>
      <w:rFonts w:ascii="Arial" w:hAnsi="Arial" w:eastAsia="黑体" w:cs="Times New Roman"/>
      <w:sz w:val="24"/>
      <w:szCs w:val="21"/>
    </w:rPr>
  </w:style>
  <w:style w:type="character" w:styleId="988" w:customStyle="1">
    <w:name w:val="文档结构图 字符"/>
    <w:link w:val="762"/>
    <w:semiHidden/>
    <w:qFormat/>
    <w:rPr>
      <w:szCs w:val="24"/>
      <w:shd w:val="clear" w:color="auto" w:fill="000080"/>
    </w:rPr>
  </w:style>
  <w:style w:type="character" w:styleId="989" w:customStyle="1">
    <w:name w:val="正文文本 3 字符"/>
    <w:link w:val="764"/>
    <w:qFormat/>
    <w:rPr>
      <w:rFonts w:ascii="Times New Roman" w:hAnsi="Times New Roman" w:eastAsia="宋体" w:cs="Times New Roman"/>
      <w:sz w:val="16"/>
      <w:szCs w:val="16"/>
    </w:rPr>
  </w:style>
  <w:style w:type="character" w:styleId="990" w:customStyle="1">
    <w:name w:val="正文文本 字符"/>
    <w:link w:val="765"/>
    <w:qFormat/>
    <w:rPr>
      <w:rFonts w:ascii="仿宋_GB2312" w:hAnsi="Times New Roman" w:eastAsia="仿宋_GB2312" w:cs="Times New Roman"/>
      <w:sz w:val="24"/>
      <w:szCs w:val="20"/>
    </w:rPr>
  </w:style>
  <w:style w:type="character" w:styleId="991" w:customStyle="1">
    <w:name w:val="正文文本缩进 字符"/>
    <w:link w:val="766"/>
    <w:qFormat/>
    <w:rPr>
      <w:rFonts w:ascii="仿宋_GB2312" w:hAnsi="Times New Roman" w:eastAsia="仿宋_GB2312" w:cs="Times New Roman"/>
      <w:sz w:val="28"/>
      <w:szCs w:val="20"/>
    </w:rPr>
  </w:style>
  <w:style w:type="character" w:styleId="992" w:customStyle="1">
    <w:name w:val="纯文本 字符"/>
    <w:link w:val="771"/>
    <w:qFormat/>
    <w:rPr>
      <w:rFonts w:ascii="宋体" w:hAnsi="Courier New" w:eastAsia="宋体" w:cs="Courier New"/>
      <w:szCs w:val="21"/>
    </w:rPr>
  </w:style>
  <w:style w:type="character" w:styleId="993" w:customStyle="1">
    <w:name w:val="日期 字符"/>
    <w:link w:val="773"/>
    <w:qFormat/>
    <w:rPr>
      <w:rFonts w:ascii="Times New Roman" w:hAnsi="Times New Roman" w:eastAsia="宋体" w:cs="Times New Roman"/>
      <w:sz w:val="24"/>
      <w:szCs w:val="20"/>
    </w:rPr>
  </w:style>
  <w:style w:type="character" w:styleId="994" w:customStyle="1">
    <w:name w:val="正文文本缩进 2 字符"/>
    <w:link w:val="774"/>
    <w:qFormat/>
    <w:rPr>
      <w:rFonts w:ascii="Times New Roman" w:hAnsi="Times New Roman" w:eastAsia="仿宋_GB2312" w:cs="Times New Roman"/>
      <w:sz w:val="28"/>
      <w:szCs w:val="20"/>
    </w:rPr>
  </w:style>
  <w:style w:type="character" w:styleId="995" w:customStyle="1">
    <w:name w:val="批注框文本 字符"/>
    <w:link w:val="776"/>
    <w:semiHidden/>
    <w:qFormat/>
    <w:rPr>
      <w:sz w:val="18"/>
      <w:szCs w:val="18"/>
    </w:rPr>
  </w:style>
  <w:style w:type="character" w:styleId="996" w:customStyle="1">
    <w:name w:val="页脚 字符"/>
    <w:link w:val="777"/>
    <w:uiPriority w:val="99"/>
    <w:qFormat/>
    <w:rPr>
      <w:rFonts w:ascii="Times New Roman" w:hAnsi="Times New Roman" w:eastAsia="宋体" w:cs="Times New Roman"/>
      <w:sz w:val="18"/>
      <w:szCs w:val="20"/>
    </w:rPr>
  </w:style>
  <w:style w:type="character" w:styleId="997" w:customStyle="1">
    <w:name w:val="页眉 字符"/>
    <w:link w:val="778"/>
    <w:qFormat/>
    <w:rPr>
      <w:rFonts w:ascii="Times New Roman" w:hAnsi="Times New Roman" w:eastAsia="宋体" w:cs="Times New Roman"/>
      <w:sz w:val="18"/>
      <w:szCs w:val="18"/>
    </w:rPr>
  </w:style>
  <w:style w:type="paragraph" w:styleId="998" w:customStyle="1">
    <w:name w:val="目录 11"/>
    <w:basedOn w:val="746"/>
    <w:next w:val="746"/>
    <w:semiHidden/>
    <w:qFormat/>
    <w:rPr>
      <w:sz w:val="24"/>
    </w:rPr>
  </w:style>
  <w:style w:type="character" w:styleId="999" w:customStyle="1">
    <w:name w:val="正文文本缩进 3 字符"/>
    <w:link w:val="785"/>
    <w:qFormat/>
    <w:rPr>
      <w:rFonts w:ascii="Times New Roman" w:hAnsi="Times New Roman" w:eastAsia="宋体" w:cs="Times New Roman"/>
      <w:sz w:val="16"/>
      <w:szCs w:val="16"/>
    </w:rPr>
  </w:style>
  <w:style w:type="character" w:styleId="1000" w:customStyle="1">
    <w:name w:val="正文文本 2 字符"/>
    <w:link w:val="789"/>
    <w:qFormat/>
    <w:rPr>
      <w:rFonts w:ascii="Times New Roman" w:hAnsi="Times New Roman" w:eastAsia="宋体" w:cs="Times New Roman"/>
      <w:b/>
      <w:bCs/>
      <w:sz w:val="18"/>
      <w:szCs w:val="24"/>
    </w:rPr>
  </w:style>
  <w:style w:type="character" w:styleId="1001" w:customStyle="1">
    <w:name w:val="HTML 预设格式 字符"/>
    <w:link w:val="790"/>
    <w:qFormat/>
    <w:rPr>
      <w:rFonts w:ascii="等线 Light" w:hAnsi="等线 Light" w:eastAsia="幼圆" w:cs="等线 Light"/>
      <w:sz w:val="24"/>
      <w:szCs w:val="22"/>
    </w:rPr>
  </w:style>
  <w:style w:type="paragraph" w:styleId="1002" w:customStyle="1">
    <w:name w:val="正文首行缩进1"/>
    <w:basedOn w:val="765"/>
    <w:link w:val="1003"/>
    <w:qFormat/>
    <w:pPr>
      <w:ind w:firstLine="420"/>
      <w:spacing w:after="120"/>
    </w:pPr>
    <w:rPr>
      <w:rFonts w:ascii="Times New Roman" w:eastAsia="宋体"/>
      <w:szCs w:val="24"/>
    </w:rPr>
  </w:style>
  <w:style w:type="character" w:styleId="1003" w:customStyle="1">
    <w:name w:val="正文文本首行缩进 字符"/>
    <w:link w:val="1002"/>
    <w:qFormat/>
    <w:rPr>
      <w:rFonts w:ascii="Times New Roman" w:hAnsi="Times New Roman" w:eastAsia="宋体" w:cs="Times New Roman"/>
      <w:sz w:val="24"/>
      <w:szCs w:val="24"/>
    </w:rPr>
  </w:style>
  <w:style w:type="character" w:styleId="1004" w:customStyle="1">
    <w:name w:val="已访问的超链接1"/>
    <w:qFormat/>
    <w:rPr>
      <w:color w:val="800080"/>
      <w:u w:val="single"/>
    </w:rPr>
  </w:style>
  <w:style w:type="character" w:styleId="1005" w:customStyle="1">
    <w:name w:val="列表段落 字符1"/>
    <w:link w:val="839"/>
    <w:uiPriority w:val="99"/>
    <w:qFormat/>
  </w:style>
  <w:style w:type="character" w:styleId="1006" w:customStyle="1">
    <w:name w:val="文档结构图 Char1"/>
    <w:uiPriority w:val="99"/>
    <w:semiHidden/>
    <w:qFormat/>
    <w:rPr>
      <w:rFonts w:ascii="宋体" w:hAnsi="Times New Roman" w:eastAsia="宋体" w:cs="Times New Roman"/>
      <w:sz w:val="18"/>
      <w:szCs w:val="18"/>
    </w:rPr>
  </w:style>
  <w:style w:type="character" w:styleId="1007" w:customStyle="1">
    <w:name w:val="普通正文 Char"/>
    <w:link w:val="1008"/>
    <w:qFormat/>
    <w:rPr>
      <w:rFonts w:ascii="Arial" w:hAnsi="Arial"/>
      <w:sz w:val="24"/>
      <w:szCs w:val="24"/>
    </w:rPr>
  </w:style>
  <w:style w:type="paragraph" w:styleId="1008" w:customStyle="1">
    <w:name w:val="普通正文"/>
    <w:basedOn w:val="746"/>
    <w:link w:val="1007"/>
    <w:qFormat/>
    <w:pPr>
      <w:ind w:left="-2" w:right="120" w:firstLine="480"/>
      <w:jc w:val="center"/>
      <w:spacing w:before="120" w:after="120" w:line="360" w:lineRule="auto"/>
    </w:pPr>
    <w:rPr>
      <w:rFonts w:ascii="Arial" w:hAnsi="Arial"/>
      <w:sz w:val="24"/>
    </w:rPr>
  </w:style>
  <w:style w:type="character" w:styleId="1009" w:customStyle="1">
    <w:name w:val="FA正文 Char"/>
    <w:link w:val="1010"/>
    <w:qFormat/>
    <w:rPr>
      <w:rFonts w:ascii="宋体" w:hAnsi="宋体" w:eastAsia="宋体" w:cs="Times New Roman"/>
      <w:sz w:val="28"/>
      <w:szCs w:val="28"/>
    </w:rPr>
  </w:style>
  <w:style w:type="paragraph" w:styleId="1010" w:customStyle="1">
    <w:name w:val="FA正文"/>
    <w:basedOn w:val="746"/>
    <w:link w:val="1009"/>
    <w:qFormat/>
    <w:pPr>
      <w:ind w:firstLine="538"/>
      <w:spacing w:line="440" w:lineRule="atLeast"/>
      <w:tabs>
        <w:tab w:val="left" w:pos="3375" w:leader="none"/>
      </w:tabs>
    </w:pPr>
    <w:rPr>
      <w:rFonts w:ascii="宋体" w:hAnsi="宋体"/>
      <w:sz w:val="28"/>
      <w:szCs w:val="28"/>
    </w:rPr>
  </w:style>
  <w:style w:type="character" w:styleId="1011" w:customStyle="1">
    <w:name w:val="正文缩进2格 Char"/>
    <w:link w:val="1012"/>
    <w:qFormat/>
    <w:rPr>
      <w:rFonts w:ascii="仿宋_GB2312" w:hAnsi="宋体" w:eastAsia="仿宋_GB2312" w:cs="Times New Roman"/>
      <w:sz w:val="31"/>
      <w:szCs w:val="28"/>
    </w:rPr>
  </w:style>
  <w:style w:type="paragraph" w:styleId="1012" w:customStyle="1">
    <w:name w:val="正文缩进2格"/>
    <w:basedOn w:val="746"/>
    <w:link w:val="1011"/>
    <w:qFormat/>
    <w:pPr>
      <w:ind w:firstLine="639"/>
      <w:spacing w:line="600" w:lineRule="exact"/>
    </w:pPr>
    <w:rPr>
      <w:rFonts w:ascii="仿宋_GB2312" w:hAnsi="宋体" w:eastAsia="仿宋_GB2312"/>
      <w:sz w:val="31"/>
      <w:szCs w:val="28"/>
    </w:rPr>
  </w:style>
  <w:style w:type="character" w:styleId="1013" w:customStyle="1">
    <w:name w:val="cn_text1"/>
    <w:qFormat/>
    <w:rPr>
      <w:rFonts w:ascii="ˎ̥" w:hAnsi="ˎ̥"/>
      <w:color w:val="003399"/>
      <w:spacing w:val="15"/>
      <w:sz w:val="18"/>
      <w:szCs w:val="18"/>
    </w:rPr>
  </w:style>
  <w:style w:type="character" w:styleId="1014" w:customStyle="1">
    <w:name w:val="ssss Char"/>
    <w:qFormat/>
    <w:rPr>
      <w:rFonts w:eastAsia="宋体"/>
      <w:sz w:val="24"/>
      <w:szCs w:val="24"/>
      <w:lang w:val="en-US" w:eastAsia="zh-CN" w:bidi="ar-SA"/>
    </w:rPr>
  </w:style>
  <w:style w:type="character" w:styleId="1015" w:customStyle="1">
    <w:name w:val="ssss Char1"/>
    <w:link w:val="1016"/>
    <w:qFormat/>
    <w:rPr>
      <w:rFonts w:ascii="Times New Roman" w:hAnsi="Times New Roman" w:eastAsia="宋体" w:cs="Times New Roman"/>
      <w:sz w:val="24"/>
      <w:szCs w:val="24"/>
    </w:rPr>
  </w:style>
  <w:style w:type="paragraph" w:styleId="1016" w:customStyle="1">
    <w:name w:val="ssss"/>
    <w:basedOn w:val="746"/>
    <w:link w:val="1015"/>
    <w:qFormat/>
    <w:pPr>
      <w:ind w:firstLine="480"/>
      <w:spacing w:line="360" w:lineRule="auto"/>
    </w:pPr>
    <w:rPr>
      <w:sz w:val="24"/>
    </w:rPr>
  </w:style>
  <w:style w:type="character" w:styleId="1017" w:customStyle="1">
    <w:name w:val="标题 4 Char1"/>
    <w:qFormat/>
    <w:rPr>
      <w:rFonts w:ascii="Arial" w:hAnsi="Arial" w:eastAsia="黑体"/>
      <w:b/>
      <w:bCs/>
      <w:sz w:val="28"/>
      <w:szCs w:val="28"/>
      <w:lang w:val="en-US" w:eastAsia="zh-CN" w:bidi="ar-SA"/>
    </w:rPr>
  </w:style>
  <w:style w:type="character" w:styleId="1018" w:customStyle="1">
    <w:name w:val="列表段落 字符"/>
    <w:uiPriority w:val="34"/>
    <w:qFormat/>
    <w:rPr>
      <w:rFonts w:ascii="Calibri" w:hAnsi="Calibri"/>
      <w:sz w:val="21"/>
      <w:szCs w:val="22"/>
    </w:rPr>
  </w:style>
  <w:style w:type="character" w:styleId="1019" w:customStyle="1">
    <w:name w:val="批注框文本 Char1"/>
    <w:uiPriority w:val="99"/>
    <w:semiHidden/>
    <w:qFormat/>
    <w:rPr>
      <w:rFonts w:ascii="Times New Roman" w:hAnsi="Times New Roman" w:eastAsia="宋体" w:cs="Times New Roman"/>
      <w:sz w:val="18"/>
      <w:szCs w:val="18"/>
    </w:rPr>
  </w:style>
  <w:style w:type="character" w:styleId="1020" w:customStyle="1">
    <w:name w:val="样式 ssss + 宋体 五号1 Char"/>
    <w:link w:val="1021"/>
    <w:qFormat/>
    <w:rPr>
      <w:rFonts w:ascii="宋体" w:hAnsi="宋体" w:eastAsia="宋体" w:cs="Times New Roman"/>
      <w:sz w:val="24"/>
      <w:szCs w:val="24"/>
    </w:rPr>
  </w:style>
  <w:style w:type="paragraph" w:styleId="1021" w:customStyle="1">
    <w:name w:val="样式 ssss + 宋体 五号1"/>
    <w:basedOn w:val="1016"/>
    <w:link w:val="1020"/>
    <w:qFormat/>
    <w:rPr>
      <w:rFonts w:ascii="宋体" w:hAnsi="宋体"/>
    </w:rPr>
  </w:style>
  <w:style w:type="character" w:styleId="1022" w:customStyle="1">
    <w:name w:val="point_normal1"/>
    <w:qFormat/>
    <w:rPr>
      <w:rFonts w:ascii="Arial" w:hAnsi="Arial" w:cs="Arial"/>
      <w:sz w:val="16"/>
      <w:szCs w:val="16"/>
    </w:rPr>
  </w:style>
  <w:style w:type="paragraph" w:styleId="1023" w:customStyle="1">
    <w:name w:val="样式 正文文本缩进 3 + 四号"/>
    <w:basedOn w:val="785"/>
    <w:qFormat/>
    <w:pPr>
      <w:ind w:left="0" w:firstLine="437"/>
      <w:spacing w:after="0" w:line="360" w:lineRule="auto"/>
    </w:pPr>
    <w:rPr>
      <w:sz w:val="24"/>
      <w:szCs w:val="21"/>
    </w:rPr>
  </w:style>
  <w:style w:type="paragraph" w:styleId="1024" w:customStyle="1">
    <w:name w:val="2cxsplast"/>
    <w:basedOn w:val="746"/>
    <w:qFormat/>
    <w:pPr>
      <w:jc w:val="left"/>
      <w:spacing w:before="100" w:beforeAutospacing="1" w:after="100" w:afterAutospacing="1"/>
      <w:widowControl/>
    </w:pPr>
    <w:rPr>
      <w:rFonts w:ascii="宋体" w:hAnsi="宋体" w:cs="宋体"/>
      <w:sz w:val="24"/>
    </w:rPr>
  </w:style>
  <w:style w:type="paragraph" w:styleId="1025" w:customStyle="1">
    <w:name w:val="ec_msonormal"/>
    <w:basedOn w:val="746"/>
    <w:qFormat/>
    <w:pPr>
      <w:jc w:val="left"/>
      <w:spacing w:before="100" w:beforeAutospacing="1" w:after="100" w:afterAutospacing="1"/>
      <w:widowControl/>
    </w:pPr>
    <w:rPr>
      <w:rFonts w:ascii="宋体" w:hAnsi="宋体"/>
      <w:sz w:val="24"/>
    </w:rPr>
  </w:style>
  <w:style w:type="paragraph" w:styleId="1026" w:customStyle="1">
    <w:name w:val="Char Char Char Char"/>
    <w:basedOn w:val="746"/>
    <w:qFormat/>
    <w:rPr>
      <w:rFonts w:ascii="Tahoma" w:hAnsi="Tahoma"/>
      <w:sz w:val="24"/>
      <w:szCs w:val="20"/>
    </w:rPr>
  </w:style>
  <w:style w:type="paragraph" w:styleId="1027" w:customStyle="1">
    <w:name w:val="Char Char Char Char Char Char Char Char Char Char Char Char Char"/>
    <w:basedOn w:val="746"/>
    <w:qFormat/>
  </w:style>
  <w:style w:type="paragraph" w:styleId="1028" w:customStyle="1">
    <w:name w:val="表格正文"/>
    <w:basedOn w:val="746"/>
    <w:qFormat/>
    <w:pPr>
      <w:jc w:val="left"/>
      <w:spacing w:line="360" w:lineRule="auto"/>
    </w:pPr>
    <w:rPr>
      <w:rFonts w:ascii="Calibri" w:hAnsi="Calibri"/>
      <w:color w:val="000000"/>
      <w:szCs w:val="28"/>
    </w:rPr>
  </w:style>
  <w:style w:type="paragraph" w:styleId="1029" w:customStyle="1">
    <w:name w:val="Normal1"/>
    <w:qFormat/>
    <w:pPr>
      <w:jc w:val="both"/>
      <w:spacing w:line="315" w:lineRule="atLeast"/>
      <w:widowControl w:val="off"/>
    </w:pPr>
    <w:rPr>
      <w:rFonts w:ascii="宋体"/>
      <w:sz w:val="24"/>
    </w:rPr>
  </w:style>
  <w:style w:type="paragraph" w:styleId="1030" w:customStyle="1">
    <w:name w:val="Char Char Char Char1"/>
    <w:basedOn w:val="746"/>
    <w:qFormat/>
    <w:rPr>
      <w:rFonts w:ascii="Tahoma" w:hAnsi="Tahoma"/>
      <w:sz w:val="24"/>
      <w:szCs w:val="20"/>
    </w:rPr>
  </w:style>
  <w:style w:type="paragraph" w:styleId="1031" w:customStyle="1">
    <w:name w:val="Char Char Char"/>
    <w:basedOn w:val="746"/>
    <w:qFormat/>
    <w:rPr>
      <w:rFonts w:ascii="Tahoma" w:hAnsi="Tahoma"/>
      <w:sz w:val="24"/>
      <w:szCs w:val="20"/>
    </w:rPr>
  </w:style>
  <w:style w:type="paragraph" w:styleId="1032" w:customStyle="1">
    <w:name w:val="标题-----3"/>
    <w:basedOn w:val="749"/>
    <w:qFormat/>
    <w:pPr>
      <w:spacing w:before="0" w:after="0" w:line="240" w:lineRule="auto"/>
      <w:outlineLvl w:val="0"/>
    </w:pPr>
    <w:rPr>
      <w:rFonts w:ascii="宋体" w:hAnsi="宋体"/>
      <w:b w:val="0"/>
      <w:bCs w:val="0"/>
      <w:sz w:val="28"/>
      <w:szCs w:val="28"/>
    </w:rPr>
  </w:style>
  <w:style w:type="paragraph" w:styleId="1033" w:customStyle="1">
    <w:name w:val="样式 ssss + 居中"/>
    <w:basedOn w:val="1016"/>
    <w:qFormat/>
    <w:pPr>
      <w:jc w:val="center"/>
    </w:pPr>
    <w:rPr>
      <w:rFonts w:cs="宋体"/>
      <w:szCs w:val="20"/>
    </w:rPr>
  </w:style>
  <w:style w:type="paragraph" w:styleId="1034" w:customStyle="1">
    <w:name w:val="样式 宋体 四号 黑色 左侧:  0.74 厘米 首行缩进:  0.74 厘米 行距: 1.5 倍行距"/>
    <w:basedOn w:val="746"/>
    <w:qFormat/>
    <w:pPr>
      <w:ind w:firstLine="420"/>
      <w:spacing w:line="360" w:lineRule="auto"/>
    </w:pPr>
    <w:rPr>
      <w:rFonts w:ascii="宋体"/>
      <w:color w:val="000000"/>
      <w:sz w:val="24"/>
      <w:szCs w:val="21"/>
    </w:rPr>
  </w:style>
  <w:style w:type="paragraph" w:styleId="1035" w:customStyle="1">
    <w:name w:val="样式 样式 ssss + 宋体 五号 + 首行缩进:  2 字符"/>
    <w:basedOn w:val="1036"/>
    <w:qFormat/>
    <w:pPr>
      <w:ind w:firstLine="480"/>
    </w:pPr>
  </w:style>
  <w:style w:type="paragraph" w:styleId="1036" w:customStyle="1">
    <w:name w:val="样式 ssss + 宋体 五号"/>
    <w:basedOn w:val="1016"/>
    <w:qFormat/>
    <w:pPr>
      <w:ind w:firstLine="420"/>
    </w:pPr>
    <w:rPr>
      <w:rFonts w:ascii="宋体" w:hAnsi="宋体" w:cs="宋体"/>
      <w:szCs w:val="20"/>
    </w:rPr>
  </w:style>
  <w:style w:type="paragraph" w:styleId="1037" w:customStyle="1">
    <w:name w:val="msonormalcxsplast"/>
    <w:basedOn w:val="746"/>
    <w:qFormat/>
    <w:pPr>
      <w:jc w:val="left"/>
      <w:spacing w:before="100" w:beforeAutospacing="1" w:after="100" w:afterAutospacing="1"/>
      <w:widowControl/>
    </w:pPr>
    <w:rPr>
      <w:rFonts w:ascii="宋体" w:hAnsi="宋体" w:cs="宋体"/>
      <w:sz w:val="24"/>
    </w:rPr>
  </w:style>
  <w:style w:type="paragraph" w:styleId="1038" w:customStyle="1">
    <w:name w:val="Char"/>
    <w:basedOn w:val="746"/>
    <w:qFormat/>
    <w:rPr>
      <w:rFonts w:ascii="Tahoma" w:hAnsi="Tahoma"/>
      <w:sz w:val="24"/>
      <w:szCs w:val="20"/>
    </w:rPr>
  </w:style>
  <w:style w:type="paragraph" w:styleId="1039" w:customStyle="1">
    <w:name w:val="xl25"/>
    <w:basedOn w:val="746"/>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40" w:customStyle="1">
    <w:name w:val="标题------4"/>
    <w:basedOn w:val="750"/>
    <w:qFormat/>
    <w:pPr>
      <w:ind w:left="960" w:hanging="420"/>
      <w:jc w:val="both"/>
      <w:keepLines/>
      <w:spacing w:line="360" w:lineRule="auto"/>
    </w:pPr>
    <w:rPr>
      <w:rFonts w:ascii="仿宋_GB2312" w:hAnsi="宋体" w:eastAsia="仿宋_GB2312" w:cs="仿宋_GB2312"/>
      <w:b/>
      <w:sz w:val="28"/>
      <w:szCs w:val="28"/>
      <w:lang w:val="zh-CN"/>
    </w:rPr>
  </w:style>
  <w:style w:type="paragraph" w:styleId="1041" w:customStyle="1">
    <w:name w:val="msonormalcxspmiddle"/>
    <w:basedOn w:val="746"/>
    <w:qFormat/>
    <w:pPr>
      <w:jc w:val="left"/>
      <w:spacing w:before="100" w:beforeAutospacing="1" w:after="100" w:afterAutospacing="1"/>
      <w:widowControl/>
    </w:pPr>
    <w:rPr>
      <w:rFonts w:ascii="宋体" w:hAnsi="宋体" w:cs="宋体"/>
      <w:sz w:val="24"/>
    </w:rPr>
  </w:style>
  <w:style w:type="paragraph" w:styleId="1042" w:customStyle="1">
    <w:name w:val="Char Char Char Char Char Char Char Char Char Char Char Char Char1"/>
    <w:basedOn w:val="746"/>
    <w:qFormat/>
    <w:rPr>
      <w:sz w:val="24"/>
    </w:rPr>
  </w:style>
  <w:style w:type="paragraph" w:styleId="1043" w:customStyle="1">
    <w:name w:val="表格"/>
    <w:basedOn w:val="746"/>
    <w:qFormat/>
    <w:rPr>
      <w:rFonts w:ascii="Arial" w:hAnsi="Arial"/>
      <w:sz w:val="24"/>
    </w:rPr>
  </w:style>
  <w:style w:type="paragraph" w:styleId="1044" w:customStyle="1">
    <w:name w:val="正文样式1"/>
    <w:basedOn w:val="746"/>
    <w:qFormat/>
    <w:pPr>
      <w:ind w:firstLine="480"/>
      <w:spacing w:before="120" w:after="120" w:line="360" w:lineRule="auto"/>
    </w:pPr>
    <w:rPr>
      <w:sz w:val="24"/>
      <w:szCs w:val="20"/>
    </w:rPr>
  </w:style>
  <w:style w:type="paragraph" w:styleId="1045" w:customStyle="1">
    <w:name w:val="Char Char1 Char Char Char Char Char Char"/>
    <w:basedOn w:val="746"/>
    <w:qFormat/>
    <w:pPr>
      <w:jc w:val="left"/>
      <w:spacing w:after="160" w:line="240" w:lineRule="exact"/>
      <w:widowControl/>
    </w:pPr>
    <w:rPr>
      <w:rFonts w:ascii="Verdana" w:hAnsi="Verdana" w:eastAsia="仿宋_GB2312"/>
      <w:sz w:val="24"/>
      <w:szCs w:val="20"/>
      <w:lang w:eastAsia="en-US"/>
    </w:rPr>
  </w:style>
  <w:style w:type="paragraph" w:styleId="1046" w:customStyle="1">
    <w:name w:val="Char Char Char Char Char Char Char Char Char Char"/>
    <w:basedOn w:val="746"/>
    <w:qFormat/>
    <w:rPr>
      <w:rFonts w:ascii="Tahoma" w:hAnsi="Tahoma"/>
      <w:sz w:val="24"/>
      <w:szCs w:val="20"/>
    </w:rPr>
  </w:style>
  <w:style w:type="paragraph" w:styleId="1047" w:customStyle="1">
    <w:name w:val="Char1"/>
    <w:basedOn w:val="746"/>
    <w:qFormat/>
    <w:pPr>
      <w:tabs>
        <w:tab w:val="left" w:pos="360" w:leader="none"/>
      </w:tabs>
    </w:pPr>
    <w:rPr>
      <w:sz w:val="24"/>
    </w:rPr>
  </w:style>
  <w:style w:type="paragraph" w:styleId="1048" w:customStyle="1">
    <w:name w:val="标题1"/>
    <w:basedOn w:val="746"/>
    <w:next w:val="74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9" w:customStyle="1">
    <w:name w:val="Header2"/>
    <w:basedOn w:val="746"/>
    <w:qFormat/>
    <w:pPr>
      <w:numPr>
        <w:numId w:val="1"/>
      </w:numPr>
    </w:pPr>
  </w:style>
  <w:style w:type="paragraph" w:styleId="1050" w:customStyle="1">
    <w:name w:val="Char Char 字元 字元 字元 Char Char Char Char"/>
    <w:basedOn w:val="746"/>
    <w:qFormat/>
    <w:pPr>
      <w:spacing w:line="360" w:lineRule="auto"/>
    </w:pPr>
    <w:rPr>
      <w:sz w:val="24"/>
      <w:szCs w:val="20"/>
    </w:rPr>
  </w:style>
  <w:style w:type="paragraph" w:styleId="1051" w:customStyle="1">
    <w:name w:val="2cxspmiddle"/>
    <w:basedOn w:val="746"/>
    <w:qFormat/>
    <w:pPr>
      <w:jc w:val="left"/>
      <w:spacing w:before="100" w:beforeAutospacing="1" w:after="100" w:afterAutospacing="1"/>
      <w:widowControl/>
    </w:pPr>
    <w:rPr>
      <w:rFonts w:ascii="宋体" w:hAnsi="宋体" w:cs="宋体"/>
      <w:sz w:val="24"/>
    </w:rPr>
  </w:style>
  <w:style w:type="paragraph" w:styleId="1052" w:customStyle="1">
    <w:name w:val="正文_0_0"/>
    <w:qFormat/>
    <w:pPr>
      <w:jc w:val="both"/>
      <w:widowControl w:val="off"/>
    </w:pPr>
    <w:rPr>
      <w:sz w:val="21"/>
      <w:szCs w:val="24"/>
    </w:rPr>
  </w:style>
  <w:style w:type="paragraph" w:styleId="1053" w:customStyle="1">
    <w:name w:val="正文_1_0"/>
    <w:qFormat/>
    <w:pPr>
      <w:jc w:val="both"/>
      <w:widowControl w:val="off"/>
    </w:pPr>
    <w:rPr>
      <w:sz w:val="21"/>
      <w:szCs w:val="24"/>
    </w:rPr>
  </w:style>
  <w:style w:type="table" w:styleId="1054" w:customStyle="1">
    <w:name w:val="网格型1"/>
    <w:basedOn w:val="757"/>
    <w:uiPriority w:val="39"/>
    <w:qFormat/>
    <w:rPr>
      <w:rFonts w:ascii="等线" w:hAnsi="等线" w:eastAsia="等线"/>
      <w:sz w:val="21"/>
      <w:szCs w:val="22"/>
    </w:rPr>
    <w:tblPr/>
  </w:style>
  <w:style w:type="paragraph" w:styleId="1055" w:customStyle="1">
    <w:name w:val="正文_3"/>
    <w:qFormat/>
    <w:pPr>
      <w:jc w:val="both"/>
      <w:widowControl w:val="off"/>
    </w:pPr>
    <w:rPr>
      <w:sz w:val="21"/>
      <w:szCs w:val="24"/>
    </w:rPr>
  </w:style>
  <w:style w:type="paragraph" w:styleId="1056" w:customStyle="1">
    <w:name w:val="修订1"/>
    <w:uiPriority w:val="99"/>
    <w:unhideWhenUsed/>
    <w:qFormat/>
    <w:rPr>
      <w:sz w:val="21"/>
      <w:szCs w:val="24"/>
    </w:rPr>
  </w:style>
  <w:style w:type="paragraph" w:styleId="1057" w:customStyle="1">
    <w:name w:val="列出段落1"/>
    <w:basedOn w:val="746"/>
    <w:qFormat/>
    <w:pPr>
      <w:ind w:firstLine="200"/>
    </w:pPr>
    <w:rPr>
      <w:rFonts w:ascii="Wingdings" w:hAnsi="Wingdings" w:eastAsia="幼圆" w:cs="Helvetica-Light"/>
      <w:szCs w:val="22"/>
    </w:rPr>
  </w:style>
  <w:style w:type="paragraph" w:styleId="1058" w:customStyle="1">
    <w:name w:val="Char1 Char Char Char"/>
    <w:basedOn w:val="746"/>
    <w:qFormat/>
    <w:pPr>
      <w:jc w:val="left"/>
      <w:spacing w:after="160" w:line="240" w:lineRule="exact"/>
      <w:widowControl/>
    </w:pPr>
    <w:rPr>
      <w:szCs w:val="20"/>
    </w:rPr>
  </w:style>
  <w:style w:type="paragraph" w:styleId="1059" w:customStyle="1">
    <w:name w:val="正文_2"/>
    <w:qFormat/>
    <w:pPr>
      <w:jc w:val="both"/>
      <w:widowControl w:val="off"/>
    </w:pPr>
    <w:rPr>
      <w:rFonts w:ascii="等线" w:hAnsi="等线" w:eastAsia="等线" w:cs="等线"/>
      <w:sz w:val="21"/>
    </w:rPr>
  </w:style>
  <w:style w:type="paragraph" w:styleId="1060" w:customStyle="1">
    <w:name w:val="列表段落4"/>
    <w:basedOn w:val="746"/>
    <w:uiPriority w:val="34"/>
    <w:qFormat/>
    <w:pPr>
      <w:ind w:firstLine="420"/>
    </w:pPr>
    <w:rPr>
      <w:szCs w:val="22"/>
    </w:rPr>
  </w:style>
  <w:style w:type="character" w:styleId="1061" w:customStyle="1">
    <w:name w:val="font51"/>
    <w:basedOn w:val="756"/>
    <w:qFormat/>
    <w:rPr>
      <w:rFonts w:hint="eastAsia" w:ascii="宋体" w:hAnsi="宋体" w:eastAsia="宋体" w:cs="宋体"/>
      <w:color w:val="000000"/>
      <w:sz w:val="24"/>
      <w:szCs w:val="24"/>
      <w:u w:val="none"/>
    </w:rPr>
  </w:style>
  <w:style w:type="character" w:styleId="1062" w:customStyle="1">
    <w:name w:val="font71"/>
    <w:basedOn w:val="756"/>
    <w:qFormat/>
    <w:rPr>
      <w:rFonts w:hint="eastAsia" w:ascii="宋体" w:hAnsi="宋体" w:eastAsia="宋体" w:cs="宋体"/>
      <w:color w:val="000000"/>
      <w:sz w:val="24"/>
      <w:szCs w:val="24"/>
      <w:u w:val="none"/>
    </w:rPr>
  </w:style>
  <w:style w:type="character" w:styleId="1063" w:customStyle="1">
    <w:name w:val="font61"/>
    <w:basedOn w:val="756"/>
    <w:qFormat/>
    <w:rPr>
      <w:rFonts w:hint="eastAsia" w:ascii="宋体" w:hAnsi="宋体" w:eastAsia="宋体" w:cs="宋体"/>
      <w:color w:val="000000"/>
      <w:sz w:val="24"/>
      <w:szCs w:val="24"/>
      <w:u w:val="none"/>
    </w:rPr>
  </w:style>
  <w:style w:type="character" w:styleId="1064" w:customStyle="1">
    <w:name w:val="font81"/>
    <w:basedOn w:val="756"/>
    <w:qFormat/>
    <w:rPr>
      <w:rFonts w:hint="eastAsia" w:ascii="宋体" w:hAnsi="宋体" w:eastAsia="宋体" w:cs="宋体"/>
      <w:color w:val="000000"/>
      <w:sz w:val="24"/>
      <w:szCs w:val="24"/>
      <w:u w:val="none"/>
    </w:rPr>
  </w:style>
  <w:style w:type="character" w:styleId="1065" w:customStyle="1">
    <w:name w:val="NormalCharacter"/>
    <w:qFormat/>
  </w:style>
  <w:style w:type="paragraph" w:styleId="1066" w:customStyle="1">
    <w:name w:val="BodyText1I2"/>
    <w:basedOn w:val="1067"/>
    <w:qFormat/>
    <w:pPr>
      <w:ind w:firstLine="420"/>
    </w:pPr>
  </w:style>
  <w:style w:type="paragraph" w:styleId="1067" w:customStyle="1">
    <w:name w:val="BodyTextIndent"/>
    <w:basedOn w:val="746"/>
    <w:next w:val="1068"/>
    <w:qFormat/>
    <w:pPr>
      <w:ind w:left="570"/>
      <w:spacing w:line="520" w:lineRule="exact"/>
    </w:pPr>
    <w:rPr>
      <w:rFonts w:ascii="方正仿宋简体" w:hAnsi="创艺简仿宋" w:eastAsia="方正仿宋简体"/>
      <w:sz w:val="24"/>
    </w:rPr>
  </w:style>
  <w:style w:type="paragraph" w:styleId="1068" w:customStyle="1">
    <w:name w:val="EnvelopeReturn"/>
    <w:basedOn w:val="746"/>
    <w:qFormat/>
    <w:rPr>
      <w:rFonts w:ascii="Arial" w:hAnsi="Arial"/>
    </w:rPr>
  </w:style>
  <w:style w:type="paragraph" w:styleId="1069" w:customStyle="1">
    <w:name w:val="Table Paragraph"/>
    <w:basedOn w:val="746"/>
    <w:uiPriority w:val="1"/>
    <w:qFormat/>
    <w:pPr>
      <w:ind w:left="107"/>
      <w:spacing w:before="31"/>
    </w:pPr>
    <w:rPr>
      <w:rFonts w:ascii="微软雅黑" w:hAnsi="微软雅黑" w:eastAsia="微软雅黑" w:cs="微软雅黑"/>
    </w:rPr>
  </w:style>
  <w:style w:type="paragraph" w:styleId="1070" w:customStyle="1">
    <w:name w:val="正文文本1"/>
    <w:basedOn w:val="746"/>
    <w:next w:val="746"/>
    <w:qFormat/>
    <w:rPr>
      <w:rFonts w:ascii="仿宋_GB2312" w:eastAsia="仿宋_GB2312"/>
      <w:sz w:val="24"/>
      <w:szCs w:val="20"/>
    </w:rPr>
  </w:style>
  <w:style w:type="paragraph" w:styleId="1071" w:customStyle="1">
    <w:name w:val="信息标题1"/>
    <w:basedOn w:val="746"/>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72" w:customStyle="1">
    <w:name w:val="Body text|1"/>
    <w:basedOn w:val="746"/>
    <w:qFormat/>
    <w:pPr>
      <w:ind w:firstLine="400"/>
      <w:spacing w:line="384" w:lineRule="auto"/>
    </w:pPr>
    <w:rPr>
      <w:rFonts w:ascii="宋体" w:hAnsi="宋体" w:cs="宋体"/>
      <w:sz w:val="26"/>
      <w:szCs w:val="26"/>
      <w:lang w:val="zh-TW" w:eastAsia="zh-TW" w:bidi="zh-TW"/>
    </w:rPr>
  </w:style>
  <w:style w:type="paragraph" w:styleId="1073" w:customStyle="1">
    <w:name w:val="页脚1"/>
    <w:basedOn w:val="746"/>
    <w:uiPriority w:val="99"/>
    <w:qFormat/>
    <w:pPr>
      <w:jc w:val="left"/>
      <w:tabs>
        <w:tab w:val="center" w:pos="4153" w:leader="none"/>
        <w:tab w:val="right" w:pos="8306" w:leader="none"/>
      </w:tabs>
    </w:pPr>
    <w:rPr>
      <w:rFonts w:ascii="宋体" w:hAnsi="Calibri"/>
      <w:sz w:val="18"/>
      <w:szCs w:val="18"/>
    </w:rPr>
  </w:style>
  <w:style w:type="paragraph" w:styleId="1074" w:customStyle="1">
    <w:name w:val="段"/>
    <w:qFormat/>
    <w:pPr>
      <w:ind w:firstLine="200"/>
      <w:jc w:val="both"/>
    </w:pPr>
    <w:rPr>
      <w:rFonts w:ascii="宋体"/>
      <w:sz w:val="21"/>
    </w:rPr>
  </w:style>
  <w:style w:type="character" w:styleId="1075">
    <w:name w:val="Emphasis"/>
    <w:basedOn w:val="756"/>
    <w:uiPriority w:val="20"/>
    <w:qFormat/>
    <w:rPr>
      <w:i/>
      <w:i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0052D53AF5EA4679A75848472EC4007D"/>
        <w:category>
          <w:name w:val="常规"/>
          <w:gallery w:val="placeholder"/>
        </w:category>
        <w:types>
          <w:type w:val="bbPlcHdr"/>
        </w:types>
        <w:behaviors>
          <w:behavior w:val="content"/>
        </w:behaviors>
        <w:guid w:val="{0E3AC896-488F-4A1A-8A6F-9EDC8C192C66}"/>
      </w:docPartPr>
      <w:docPartBody>
        <w:p>
          <w:pPr>
            <w:pStyle w:val="1706"/>
          </w:pPr>
          <w:r>
            <w:rPr>
              <w:lang w:val="zh-CN"/>
            </w:rPr>
            <w:t xml:space="preserve">[在此处键入]</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4"/>
        <w14:ligatures w14:val="standardContextual"/>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24">
    <w:name w:val="Heading 1"/>
    <w:basedOn w:val="1702"/>
    <w:next w:val="1702"/>
    <w:link w:val="1525"/>
    <w:uiPriority w:val="9"/>
    <w:qFormat/>
    <w:pPr>
      <w:keepLines/>
      <w:keepNext/>
      <w:spacing w:before="480" w:after="200"/>
      <w:outlineLvl w:val="0"/>
    </w:pPr>
    <w:rPr>
      <w:rFonts w:ascii="Arial" w:hAnsi="Arial" w:eastAsia="Arial" w:cs="Arial"/>
      <w:sz w:val="40"/>
      <w:szCs w:val="40"/>
    </w:rPr>
  </w:style>
  <w:style w:type="character" w:styleId="1525">
    <w:name w:val="Heading 1 Char"/>
    <w:basedOn w:val="1703"/>
    <w:link w:val="1524"/>
    <w:uiPriority w:val="9"/>
    <w:rPr>
      <w:rFonts w:ascii="Arial" w:hAnsi="Arial" w:eastAsia="Arial" w:cs="Arial"/>
      <w:sz w:val="40"/>
      <w:szCs w:val="40"/>
    </w:rPr>
  </w:style>
  <w:style w:type="paragraph" w:styleId="1526">
    <w:name w:val="Heading 2"/>
    <w:basedOn w:val="1702"/>
    <w:next w:val="1702"/>
    <w:link w:val="1527"/>
    <w:uiPriority w:val="9"/>
    <w:unhideWhenUsed/>
    <w:qFormat/>
    <w:pPr>
      <w:keepLines/>
      <w:keepNext/>
      <w:spacing w:before="360" w:after="200"/>
      <w:outlineLvl w:val="1"/>
    </w:pPr>
    <w:rPr>
      <w:rFonts w:ascii="Arial" w:hAnsi="Arial" w:eastAsia="Arial" w:cs="Arial"/>
      <w:sz w:val="34"/>
    </w:rPr>
  </w:style>
  <w:style w:type="character" w:styleId="1527">
    <w:name w:val="Heading 2 Char"/>
    <w:basedOn w:val="1703"/>
    <w:link w:val="1526"/>
    <w:uiPriority w:val="9"/>
    <w:rPr>
      <w:rFonts w:ascii="Arial" w:hAnsi="Arial" w:eastAsia="Arial" w:cs="Arial"/>
      <w:sz w:val="34"/>
    </w:rPr>
  </w:style>
  <w:style w:type="paragraph" w:styleId="1528">
    <w:name w:val="Heading 3"/>
    <w:basedOn w:val="1702"/>
    <w:next w:val="1702"/>
    <w:link w:val="1529"/>
    <w:uiPriority w:val="9"/>
    <w:unhideWhenUsed/>
    <w:qFormat/>
    <w:pPr>
      <w:keepLines/>
      <w:keepNext/>
      <w:spacing w:before="320" w:after="200"/>
      <w:outlineLvl w:val="2"/>
    </w:pPr>
    <w:rPr>
      <w:rFonts w:ascii="Arial" w:hAnsi="Arial" w:eastAsia="Arial" w:cs="Arial"/>
      <w:sz w:val="30"/>
      <w:szCs w:val="30"/>
    </w:rPr>
  </w:style>
  <w:style w:type="character" w:styleId="1529">
    <w:name w:val="Heading 3 Char"/>
    <w:basedOn w:val="1703"/>
    <w:link w:val="1528"/>
    <w:uiPriority w:val="9"/>
    <w:rPr>
      <w:rFonts w:ascii="Arial" w:hAnsi="Arial" w:eastAsia="Arial" w:cs="Arial"/>
      <w:sz w:val="30"/>
      <w:szCs w:val="30"/>
    </w:rPr>
  </w:style>
  <w:style w:type="paragraph" w:styleId="1530">
    <w:name w:val="Heading 4"/>
    <w:basedOn w:val="1702"/>
    <w:next w:val="1702"/>
    <w:link w:val="1531"/>
    <w:uiPriority w:val="9"/>
    <w:unhideWhenUsed/>
    <w:qFormat/>
    <w:pPr>
      <w:keepLines/>
      <w:keepNext/>
      <w:spacing w:before="320" w:after="200"/>
      <w:outlineLvl w:val="3"/>
    </w:pPr>
    <w:rPr>
      <w:rFonts w:ascii="Arial" w:hAnsi="Arial" w:eastAsia="Arial" w:cs="Arial"/>
      <w:b/>
      <w:bCs/>
      <w:sz w:val="26"/>
      <w:szCs w:val="26"/>
    </w:rPr>
  </w:style>
  <w:style w:type="character" w:styleId="1531">
    <w:name w:val="Heading 4 Char"/>
    <w:basedOn w:val="1703"/>
    <w:link w:val="1530"/>
    <w:uiPriority w:val="9"/>
    <w:rPr>
      <w:rFonts w:ascii="Arial" w:hAnsi="Arial" w:eastAsia="Arial" w:cs="Arial"/>
      <w:b/>
      <w:bCs/>
      <w:sz w:val="26"/>
      <w:szCs w:val="26"/>
    </w:rPr>
  </w:style>
  <w:style w:type="paragraph" w:styleId="1532">
    <w:name w:val="Heading 5"/>
    <w:basedOn w:val="1702"/>
    <w:next w:val="1702"/>
    <w:link w:val="1533"/>
    <w:uiPriority w:val="9"/>
    <w:unhideWhenUsed/>
    <w:qFormat/>
    <w:pPr>
      <w:keepLines/>
      <w:keepNext/>
      <w:spacing w:before="320" w:after="200"/>
      <w:outlineLvl w:val="4"/>
    </w:pPr>
    <w:rPr>
      <w:rFonts w:ascii="Arial" w:hAnsi="Arial" w:eastAsia="Arial" w:cs="Arial"/>
      <w:b/>
      <w:bCs/>
      <w:sz w:val="24"/>
      <w:szCs w:val="24"/>
    </w:rPr>
  </w:style>
  <w:style w:type="character" w:styleId="1533">
    <w:name w:val="Heading 5 Char"/>
    <w:basedOn w:val="1703"/>
    <w:link w:val="1532"/>
    <w:uiPriority w:val="9"/>
    <w:rPr>
      <w:rFonts w:ascii="Arial" w:hAnsi="Arial" w:eastAsia="Arial" w:cs="Arial"/>
      <w:b/>
      <w:bCs/>
      <w:sz w:val="24"/>
      <w:szCs w:val="24"/>
    </w:rPr>
  </w:style>
  <w:style w:type="paragraph" w:styleId="1534">
    <w:name w:val="Heading 6"/>
    <w:basedOn w:val="1702"/>
    <w:next w:val="1702"/>
    <w:link w:val="1535"/>
    <w:uiPriority w:val="9"/>
    <w:unhideWhenUsed/>
    <w:qFormat/>
    <w:pPr>
      <w:keepLines/>
      <w:keepNext/>
      <w:spacing w:before="320" w:after="200"/>
      <w:outlineLvl w:val="5"/>
    </w:pPr>
    <w:rPr>
      <w:rFonts w:ascii="Arial" w:hAnsi="Arial" w:eastAsia="Arial" w:cs="Arial"/>
      <w:b/>
      <w:bCs/>
      <w:sz w:val="22"/>
      <w:szCs w:val="22"/>
    </w:rPr>
  </w:style>
  <w:style w:type="character" w:styleId="1535">
    <w:name w:val="Heading 6 Char"/>
    <w:basedOn w:val="1703"/>
    <w:link w:val="1534"/>
    <w:uiPriority w:val="9"/>
    <w:rPr>
      <w:rFonts w:ascii="Arial" w:hAnsi="Arial" w:eastAsia="Arial" w:cs="Arial"/>
      <w:b/>
      <w:bCs/>
      <w:sz w:val="22"/>
      <w:szCs w:val="22"/>
    </w:rPr>
  </w:style>
  <w:style w:type="paragraph" w:styleId="1536">
    <w:name w:val="Heading 7"/>
    <w:basedOn w:val="1702"/>
    <w:next w:val="1702"/>
    <w:link w:val="1537"/>
    <w:uiPriority w:val="9"/>
    <w:unhideWhenUsed/>
    <w:qFormat/>
    <w:pPr>
      <w:keepLines/>
      <w:keepNext/>
      <w:spacing w:before="320" w:after="200"/>
      <w:outlineLvl w:val="6"/>
    </w:pPr>
    <w:rPr>
      <w:rFonts w:ascii="Arial" w:hAnsi="Arial" w:eastAsia="Arial" w:cs="Arial"/>
      <w:b/>
      <w:bCs/>
      <w:i/>
      <w:iCs/>
      <w:sz w:val="22"/>
      <w:szCs w:val="22"/>
    </w:rPr>
  </w:style>
  <w:style w:type="character" w:styleId="1537">
    <w:name w:val="Heading 7 Char"/>
    <w:basedOn w:val="1703"/>
    <w:link w:val="1536"/>
    <w:uiPriority w:val="9"/>
    <w:rPr>
      <w:rFonts w:ascii="Arial" w:hAnsi="Arial" w:eastAsia="Arial" w:cs="Arial"/>
      <w:b/>
      <w:bCs/>
      <w:i/>
      <w:iCs/>
      <w:sz w:val="22"/>
      <w:szCs w:val="22"/>
    </w:rPr>
  </w:style>
  <w:style w:type="paragraph" w:styleId="1538">
    <w:name w:val="Heading 8"/>
    <w:basedOn w:val="1702"/>
    <w:next w:val="1702"/>
    <w:link w:val="1539"/>
    <w:uiPriority w:val="9"/>
    <w:unhideWhenUsed/>
    <w:qFormat/>
    <w:pPr>
      <w:keepLines/>
      <w:keepNext/>
      <w:spacing w:before="320" w:after="200"/>
      <w:outlineLvl w:val="7"/>
    </w:pPr>
    <w:rPr>
      <w:rFonts w:ascii="Arial" w:hAnsi="Arial" w:eastAsia="Arial" w:cs="Arial"/>
      <w:i/>
      <w:iCs/>
      <w:sz w:val="22"/>
      <w:szCs w:val="22"/>
    </w:rPr>
  </w:style>
  <w:style w:type="character" w:styleId="1539">
    <w:name w:val="Heading 8 Char"/>
    <w:basedOn w:val="1703"/>
    <w:link w:val="1538"/>
    <w:uiPriority w:val="9"/>
    <w:rPr>
      <w:rFonts w:ascii="Arial" w:hAnsi="Arial" w:eastAsia="Arial" w:cs="Arial"/>
      <w:i/>
      <w:iCs/>
      <w:sz w:val="22"/>
      <w:szCs w:val="22"/>
    </w:rPr>
  </w:style>
  <w:style w:type="paragraph" w:styleId="1540">
    <w:name w:val="Heading 9"/>
    <w:basedOn w:val="1702"/>
    <w:next w:val="1702"/>
    <w:link w:val="1541"/>
    <w:uiPriority w:val="9"/>
    <w:unhideWhenUsed/>
    <w:qFormat/>
    <w:pPr>
      <w:keepLines/>
      <w:keepNext/>
      <w:spacing w:before="320" w:after="200"/>
      <w:outlineLvl w:val="8"/>
    </w:pPr>
    <w:rPr>
      <w:rFonts w:ascii="Arial" w:hAnsi="Arial" w:eastAsia="Arial" w:cs="Arial"/>
      <w:i/>
      <w:iCs/>
      <w:sz w:val="21"/>
      <w:szCs w:val="21"/>
    </w:rPr>
  </w:style>
  <w:style w:type="character" w:styleId="1541">
    <w:name w:val="Heading 9 Char"/>
    <w:basedOn w:val="1703"/>
    <w:link w:val="1540"/>
    <w:uiPriority w:val="9"/>
    <w:rPr>
      <w:rFonts w:ascii="Arial" w:hAnsi="Arial" w:eastAsia="Arial" w:cs="Arial"/>
      <w:i/>
      <w:iCs/>
      <w:sz w:val="21"/>
      <w:szCs w:val="21"/>
    </w:rPr>
  </w:style>
  <w:style w:type="paragraph" w:styleId="1542">
    <w:name w:val="List Paragraph"/>
    <w:basedOn w:val="1702"/>
    <w:uiPriority w:val="34"/>
    <w:qFormat/>
    <w:pPr>
      <w:contextualSpacing/>
      <w:ind w:left="720"/>
    </w:pPr>
  </w:style>
  <w:style w:type="paragraph" w:styleId="1543">
    <w:name w:val="No Spacing"/>
    <w:uiPriority w:val="1"/>
    <w:qFormat/>
    <w:pPr>
      <w:spacing w:before="0" w:after="0" w:line="240" w:lineRule="auto"/>
    </w:pPr>
  </w:style>
  <w:style w:type="paragraph" w:styleId="1544">
    <w:name w:val="Title"/>
    <w:basedOn w:val="1702"/>
    <w:next w:val="1702"/>
    <w:link w:val="1545"/>
    <w:uiPriority w:val="10"/>
    <w:qFormat/>
    <w:pPr>
      <w:contextualSpacing/>
      <w:spacing w:before="300" w:after="200"/>
    </w:pPr>
    <w:rPr>
      <w:sz w:val="48"/>
      <w:szCs w:val="48"/>
    </w:rPr>
  </w:style>
  <w:style w:type="character" w:styleId="1545">
    <w:name w:val="Title Char"/>
    <w:basedOn w:val="1703"/>
    <w:link w:val="1544"/>
    <w:uiPriority w:val="10"/>
    <w:rPr>
      <w:sz w:val="48"/>
      <w:szCs w:val="48"/>
    </w:rPr>
  </w:style>
  <w:style w:type="paragraph" w:styleId="1546">
    <w:name w:val="Subtitle"/>
    <w:basedOn w:val="1702"/>
    <w:next w:val="1702"/>
    <w:link w:val="1547"/>
    <w:uiPriority w:val="11"/>
    <w:qFormat/>
    <w:pPr>
      <w:spacing w:before="200" w:after="200"/>
    </w:pPr>
    <w:rPr>
      <w:sz w:val="24"/>
      <w:szCs w:val="24"/>
    </w:rPr>
  </w:style>
  <w:style w:type="character" w:styleId="1547">
    <w:name w:val="Subtitle Char"/>
    <w:basedOn w:val="1703"/>
    <w:link w:val="1546"/>
    <w:uiPriority w:val="11"/>
    <w:rPr>
      <w:sz w:val="24"/>
      <w:szCs w:val="24"/>
    </w:rPr>
  </w:style>
  <w:style w:type="paragraph" w:styleId="1548">
    <w:name w:val="Quote"/>
    <w:basedOn w:val="1702"/>
    <w:next w:val="1702"/>
    <w:link w:val="1549"/>
    <w:uiPriority w:val="29"/>
    <w:qFormat/>
    <w:pPr>
      <w:ind w:left="720" w:right="720"/>
    </w:pPr>
    <w:rPr>
      <w:i/>
    </w:rPr>
  </w:style>
  <w:style w:type="character" w:styleId="1549">
    <w:name w:val="Quote Char"/>
    <w:link w:val="1548"/>
    <w:uiPriority w:val="29"/>
    <w:rPr>
      <w:i/>
    </w:rPr>
  </w:style>
  <w:style w:type="paragraph" w:styleId="1550">
    <w:name w:val="Intense Quote"/>
    <w:basedOn w:val="1702"/>
    <w:next w:val="1702"/>
    <w:link w:val="15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51">
    <w:name w:val="Intense Quote Char"/>
    <w:link w:val="1550"/>
    <w:uiPriority w:val="30"/>
    <w:rPr>
      <w:i/>
    </w:rPr>
  </w:style>
  <w:style w:type="paragraph" w:styleId="1552">
    <w:name w:val="Header"/>
    <w:basedOn w:val="1702"/>
    <w:link w:val="1553"/>
    <w:uiPriority w:val="99"/>
    <w:unhideWhenUsed/>
    <w:pPr>
      <w:spacing w:after="0" w:line="240" w:lineRule="auto"/>
      <w:tabs>
        <w:tab w:val="center" w:pos="7143" w:leader="none"/>
        <w:tab w:val="right" w:pos="14287" w:leader="none"/>
      </w:tabs>
    </w:pPr>
  </w:style>
  <w:style w:type="character" w:styleId="1553">
    <w:name w:val="Header Char"/>
    <w:basedOn w:val="1703"/>
    <w:link w:val="1552"/>
    <w:uiPriority w:val="99"/>
  </w:style>
  <w:style w:type="paragraph" w:styleId="1554">
    <w:name w:val="Footer"/>
    <w:basedOn w:val="1702"/>
    <w:link w:val="1557"/>
    <w:uiPriority w:val="99"/>
    <w:unhideWhenUsed/>
    <w:pPr>
      <w:spacing w:after="0" w:line="240" w:lineRule="auto"/>
      <w:tabs>
        <w:tab w:val="center" w:pos="7143" w:leader="none"/>
        <w:tab w:val="right" w:pos="14287" w:leader="none"/>
      </w:tabs>
    </w:pPr>
  </w:style>
  <w:style w:type="character" w:styleId="1555">
    <w:name w:val="Footer Char"/>
    <w:basedOn w:val="1703"/>
    <w:link w:val="1554"/>
    <w:uiPriority w:val="99"/>
  </w:style>
  <w:style w:type="paragraph" w:styleId="1556">
    <w:name w:val="Caption"/>
    <w:basedOn w:val="1702"/>
    <w:next w:val="1702"/>
    <w:uiPriority w:val="35"/>
    <w:semiHidden/>
    <w:unhideWhenUsed/>
    <w:qFormat/>
    <w:pPr>
      <w:spacing w:line="276" w:lineRule="auto"/>
    </w:pPr>
    <w:rPr>
      <w:b/>
      <w:bCs/>
      <w:color w:val="4f81bd" w:themeColor="accent1"/>
      <w:sz w:val="18"/>
      <w:szCs w:val="18"/>
    </w:rPr>
  </w:style>
  <w:style w:type="character" w:styleId="1557">
    <w:name w:val="Caption Char"/>
    <w:basedOn w:val="1556"/>
    <w:link w:val="1554"/>
    <w:uiPriority w:val="99"/>
  </w:style>
  <w:style w:type="table" w:styleId="1558">
    <w:name w:val="Table Grid"/>
    <w:basedOn w:val="170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59">
    <w:name w:val="Table Grid Light"/>
    <w:basedOn w:val="1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60">
    <w:name w:val="Plain Table 1"/>
    <w:basedOn w:val="1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61">
    <w:name w:val="Plain Table 2"/>
    <w:basedOn w:val="1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62">
    <w:name w:val="Plain Table 3"/>
    <w:basedOn w:val="1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63">
    <w:name w:val="Plain Table 4"/>
    <w:basedOn w:val="1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64">
    <w:name w:val="Plain Table 5"/>
    <w:basedOn w:val="1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65">
    <w:name w:val="Grid Table 1 Light"/>
    <w:basedOn w:val="1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66">
    <w:name w:val="Grid Table 1 Light - Accent 1"/>
    <w:basedOn w:val="17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67">
    <w:name w:val="Grid Table 1 Light - Accent 2"/>
    <w:basedOn w:val="17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68">
    <w:name w:val="Grid Table 1 Light - Accent 3"/>
    <w:basedOn w:val="17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69">
    <w:name w:val="Grid Table 1 Light - Accent 4"/>
    <w:basedOn w:val="17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70">
    <w:name w:val="Grid Table 1 Light - Accent 5"/>
    <w:basedOn w:val="17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71">
    <w:name w:val="Grid Table 1 Light - Accent 6"/>
    <w:basedOn w:val="17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72">
    <w:name w:val="Grid Table 2"/>
    <w:basedOn w:val="1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73">
    <w:name w:val="Grid Table 2 - Accent 1"/>
    <w:basedOn w:val="17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74">
    <w:name w:val="Grid Table 2 - Accent 2"/>
    <w:basedOn w:val="17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75">
    <w:name w:val="Grid Table 2 - Accent 3"/>
    <w:basedOn w:val="17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76">
    <w:name w:val="Grid Table 2 - Accent 4"/>
    <w:basedOn w:val="17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77">
    <w:name w:val="Grid Table 2 - Accent 5"/>
    <w:basedOn w:val="17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78">
    <w:name w:val="Grid Table 2 - Accent 6"/>
    <w:basedOn w:val="17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79">
    <w:name w:val="Grid Table 3"/>
    <w:basedOn w:val="1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0">
    <w:name w:val="Grid Table 3 - Accent 1"/>
    <w:basedOn w:val="17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1">
    <w:name w:val="Grid Table 3 - Accent 2"/>
    <w:basedOn w:val="17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2">
    <w:name w:val="Grid Table 3 - Accent 3"/>
    <w:basedOn w:val="17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3">
    <w:name w:val="Grid Table 3 - Accent 4"/>
    <w:basedOn w:val="17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4">
    <w:name w:val="Grid Table 3 - Accent 5"/>
    <w:basedOn w:val="17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5">
    <w:name w:val="Grid Table 3 - Accent 6"/>
    <w:basedOn w:val="17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6">
    <w:name w:val="Grid Table 4"/>
    <w:basedOn w:val="1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87">
    <w:name w:val="Grid Table 4 - Accent 1"/>
    <w:basedOn w:val="17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88">
    <w:name w:val="Grid Table 4 - Accent 2"/>
    <w:basedOn w:val="17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89">
    <w:name w:val="Grid Table 4 - Accent 3"/>
    <w:basedOn w:val="17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90">
    <w:name w:val="Grid Table 4 - Accent 4"/>
    <w:basedOn w:val="17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91">
    <w:name w:val="Grid Table 4 - Accent 5"/>
    <w:basedOn w:val="17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92">
    <w:name w:val="Grid Table 4 - Accent 6"/>
    <w:basedOn w:val="17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93">
    <w:name w:val="Grid Table 5 Dark"/>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94">
    <w:name w:val="Grid Table 5 Dark- Accent 1"/>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595">
    <w:name w:val="Grid Table 5 Dark - Accent 2"/>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596">
    <w:name w:val="Grid Table 5 Dark - Accent 3"/>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597">
    <w:name w:val="Grid Table 5 Dark- Accent 4"/>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598">
    <w:name w:val="Grid Table 5 Dark - Accent 5"/>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599">
    <w:name w:val="Grid Table 5 Dark - Accent 6"/>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00">
    <w:name w:val="Grid Table 6 Colorful"/>
    <w:basedOn w:val="1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01">
    <w:name w:val="Grid Table 6 Colorful - Accent 1"/>
    <w:basedOn w:val="17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02">
    <w:name w:val="Grid Table 6 Colorful - Accent 2"/>
    <w:basedOn w:val="17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603">
    <w:name w:val="Grid Table 6 Colorful - Accent 3"/>
    <w:basedOn w:val="17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04">
    <w:name w:val="Grid Table 6 Colorful - Accent 4"/>
    <w:basedOn w:val="17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05">
    <w:name w:val="Grid Table 6 Colorful - Accent 5"/>
    <w:basedOn w:val="17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06">
    <w:name w:val="Grid Table 6 Colorful - Accent 6"/>
    <w:basedOn w:val="17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07">
    <w:name w:val="Grid Table 7 Colorful"/>
    <w:basedOn w:val="1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08">
    <w:name w:val="Grid Table 7 Colorful - Accent 1"/>
    <w:basedOn w:val="17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09">
    <w:name w:val="Grid Table 7 Colorful - Accent 2"/>
    <w:basedOn w:val="17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10">
    <w:name w:val="Grid Table 7 Colorful - Accent 3"/>
    <w:basedOn w:val="17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11">
    <w:name w:val="Grid Table 7 Colorful - Accent 4"/>
    <w:basedOn w:val="17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12">
    <w:name w:val="Grid Table 7 Colorful - Accent 5"/>
    <w:basedOn w:val="17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13">
    <w:name w:val="Grid Table 7 Colorful - Accent 6"/>
    <w:basedOn w:val="17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14">
    <w:name w:val="List Table 1 Light"/>
    <w:basedOn w:val="1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15">
    <w:name w:val="List Table 1 Light - Accent 1"/>
    <w:basedOn w:val="17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16">
    <w:name w:val="List Table 1 Light - Accent 2"/>
    <w:basedOn w:val="17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17">
    <w:name w:val="List Table 1 Light - Accent 3"/>
    <w:basedOn w:val="17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18">
    <w:name w:val="List Table 1 Light - Accent 4"/>
    <w:basedOn w:val="17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19">
    <w:name w:val="List Table 1 Light - Accent 5"/>
    <w:basedOn w:val="17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20">
    <w:name w:val="List Table 1 Light - Accent 6"/>
    <w:basedOn w:val="17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21">
    <w:name w:val="List Table 2"/>
    <w:basedOn w:val="1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22">
    <w:name w:val="List Table 2 - Accent 1"/>
    <w:basedOn w:val="17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23">
    <w:name w:val="List Table 2 - Accent 2"/>
    <w:basedOn w:val="17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24">
    <w:name w:val="List Table 2 - Accent 3"/>
    <w:basedOn w:val="17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25">
    <w:name w:val="List Table 2 - Accent 4"/>
    <w:basedOn w:val="17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26">
    <w:name w:val="List Table 2 - Accent 5"/>
    <w:basedOn w:val="17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27">
    <w:name w:val="List Table 2 - Accent 6"/>
    <w:basedOn w:val="17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28">
    <w:name w:val="List Table 3"/>
    <w:basedOn w:val="1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29">
    <w:name w:val="List Table 3 - Accent 1"/>
    <w:basedOn w:val="17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30">
    <w:name w:val="List Table 3 - Accent 2"/>
    <w:basedOn w:val="17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631">
    <w:name w:val="List Table 3 - Accent 3"/>
    <w:basedOn w:val="17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632">
    <w:name w:val="List Table 3 - Accent 4"/>
    <w:basedOn w:val="17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633">
    <w:name w:val="List Table 3 - Accent 5"/>
    <w:basedOn w:val="17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634">
    <w:name w:val="List Table 3 - Accent 6"/>
    <w:basedOn w:val="17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635">
    <w:name w:val="List Table 4"/>
    <w:basedOn w:val="1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36">
    <w:name w:val="List Table 4 - Accent 1"/>
    <w:basedOn w:val="17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37">
    <w:name w:val="List Table 4 - Accent 2"/>
    <w:basedOn w:val="17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638">
    <w:name w:val="List Table 4 - Accent 3"/>
    <w:basedOn w:val="17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639">
    <w:name w:val="List Table 4 - Accent 4"/>
    <w:basedOn w:val="17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640">
    <w:name w:val="List Table 4 - Accent 5"/>
    <w:basedOn w:val="17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641">
    <w:name w:val="List Table 4 - Accent 6"/>
    <w:basedOn w:val="17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642">
    <w:name w:val="List Table 5 Dark"/>
    <w:basedOn w:val="1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3">
    <w:name w:val="List Table 5 Dark - Accent 1"/>
    <w:basedOn w:val="17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4">
    <w:name w:val="List Table 5 Dark - Accent 2"/>
    <w:basedOn w:val="17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5">
    <w:name w:val="List Table 5 Dark - Accent 3"/>
    <w:basedOn w:val="17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6">
    <w:name w:val="List Table 5 Dark - Accent 4"/>
    <w:basedOn w:val="17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7">
    <w:name w:val="List Table 5 Dark - Accent 5"/>
    <w:basedOn w:val="17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8">
    <w:name w:val="List Table 5 Dark - Accent 6"/>
    <w:basedOn w:val="17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9">
    <w:name w:val="List Table 6 Colorful"/>
    <w:basedOn w:val="1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50">
    <w:name w:val="List Table 6 Colorful - Accent 1"/>
    <w:basedOn w:val="17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651">
    <w:name w:val="List Table 6 Colorful - Accent 2"/>
    <w:basedOn w:val="17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652">
    <w:name w:val="List Table 6 Colorful - Accent 3"/>
    <w:basedOn w:val="17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653">
    <w:name w:val="List Table 6 Colorful - Accent 4"/>
    <w:basedOn w:val="17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654">
    <w:name w:val="List Table 6 Colorful - Accent 5"/>
    <w:basedOn w:val="17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655">
    <w:name w:val="List Table 6 Colorful - Accent 6"/>
    <w:basedOn w:val="17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656">
    <w:name w:val="List Table 7 Colorful"/>
    <w:basedOn w:val="1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57">
    <w:name w:val="List Table 7 Colorful - Accent 1"/>
    <w:basedOn w:val="17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658">
    <w:name w:val="List Table 7 Colorful - Accent 2"/>
    <w:basedOn w:val="17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659">
    <w:name w:val="List Table 7 Colorful - Accent 3"/>
    <w:basedOn w:val="17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660">
    <w:name w:val="List Table 7 Colorful - Accent 4"/>
    <w:basedOn w:val="17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661">
    <w:name w:val="List Table 7 Colorful - Accent 5"/>
    <w:basedOn w:val="17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662">
    <w:name w:val="List Table 7 Colorful - Accent 6"/>
    <w:basedOn w:val="17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663">
    <w:name w:val="Lined - Accent"/>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64">
    <w:name w:val="Lined - Accent 1"/>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65">
    <w:name w:val="Lined - Accent 2"/>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66">
    <w:name w:val="Lined - Accent 3"/>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67">
    <w:name w:val="Lined - Accent 4"/>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68">
    <w:name w:val="Lined - Accent 5"/>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9">
    <w:name w:val="Lined - Accent 6"/>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0">
    <w:name w:val="Bordered &amp; Lined - Accent"/>
    <w:basedOn w:val="17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71">
    <w:name w:val="Bordered &amp; Lined - Accent 1"/>
    <w:basedOn w:val="17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72">
    <w:name w:val="Bordered &amp; Lined - Accent 2"/>
    <w:basedOn w:val="17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73">
    <w:name w:val="Bordered &amp; Lined - Accent 3"/>
    <w:basedOn w:val="17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74">
    <w:name w:val="Bordered &amp; Lined - Accent 4"/>
    <w:basedOn w:val="17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75">
    <w:name w:val="Bordered &amp; Lined - Accent 5"/>
    <w:basedOn w:val="17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76">
    <w:name w:val="Bordered &amp; Lined - Accent 6"/>
    <w:basedOn w:val="17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7">
    <w:name w:val="Bordered"/>
    <w:basedOn w:val="17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8">
    <w:name w:val="Bordered - Accent 1"/>
    <w:basedOn w:val="17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79">
    <w:name w:val="Bordered - Accent 2"/>
    <w:basedOn w:val="17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80">
    <w:name w:val="Bordered - Accent 3"/>
    <w:basedOn w:val="17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81">
    <w:name w:val="Bordered - Accent 4"/>
    <w:basedOn w:val="17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82">
    <w:name w:val="Bordered - Accent 5"/>
    <w:basedOn w:val="17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83">
    <w:name w:val="Bordered - Accent 6"/>
    <w:basedOn w:val="17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84">
    <w:name w:val="Hyperlink"/>
    <w:uiPriority w:val="99"/>
    <w:unhideWhenUsed/>
    <w:rPr>
      <w:color w:val="0000ff" w:themeColor="hyperlink"/>
      <w:u w:val="single"/>
    </w:rPr>
  </w:style>
  <w:style w:type="paragraph" w:styleId="1685">
    <w:name w:val="footnote text"/>
    <w:basedOn w:val="1702"/>
    <w:link w:val="1686"/>
    <w:uiPriority w:val="99"/>
    <w:semiHidden/>
    <w:unhideWhenUsed/>
    <w:pPr>
      <w:spacing w:after="40" w:line="240" w:lineRule="auto"/>
    </w:pPr>
    <w:rPr>
      <w:sz w:val="18"/>
    </w:rPr>
  </w:style>
  <w:style w:type="character" w:styleId="1686">
    <w:name w:val="Footnote Text Char"/>
    <w:link w:val="1685"/>
    <w:uiPriority w:val="99"/>
    <w:rPr>
      <w:sz w:val="18"/>
    </w:rPr>
  </w:style>
  <w:style w:type="character" w:styleId="1687">
    <w:name w:val="footnote reference"/>
    <w:basedOn w:val="1703"/>
    <w:uiPriority w:val="99"/>
    <w:unhideWhenUsed/>
    <w:rPr>
      <w:vertAlign w:val="superscript"/>
    </w:rPr>
  </w:style>
  <w:style w:type="paragraph" w:styleId="1688">
    <w:name w:val="endnote text"/>
    <w:basedOn w:val="1702"/>
    <w:link w:val="1689"/>
    <w:uiPriority w:val="99"/>
    <w:semiHidden/>
    <w:unhideWhenUsed/>
    <w:pPr>
      <w:spacing w:after="0" w:line="240" w:lineRule="auto"/>
    </w:pPr>
    <w:rPr>
      <w:sz w:val="20"/>
    </w:rPr>
  </w:style>
  <w:style w:type="character" w:styleId="1689">
    <w:name w:val="Endnote Text Char"/>
    <w:link w:val="1688"/>
    <w:uiPriority w:val="99"/>
    <w:rPr>
      <w:sz w:val="20"/>
    </w:rPr>
  </w:style>
  <w:style w:type="character" w:styleId="1690">
    <w:name w:val="endnote reference"/>
    <w:basedOn w:val="1703"/>
    <w:uiPriority w:val="99"/>
    <w:semiHidden/>
    <w:unhideWhenUsed/>
    <w:rPr>
      <w:vertAlign w:val="superscript"/>
    </w:rPr>
  </w:style>
  <w:style w:type="paragraph" w:styleId="1691">
    <w:name w:val="toc 1"/>
    <w:basedOn w:val="1702"/>
    <w:next w:val="1702"/>
    <w:uiPriority w:val="39"/>
    <w:unhideWhenUsed/>
    <w:pPr>
      <w:ind w:left="0" w:right="0" w:firstLine="0"/>
      <w:spacing w:after="57"/>
    </w:pPr>
  </w:style>
  <w:style w:type="paragraph" w:styleId="1692">
    <w:name w:val="toc 2"/>
    <w:basedOn w:val="1702"/>
    <w:next w:val="1702"/>
    <w:uiPriority w:val="39"/>
    <w:unhideWhenUsed/>
    <w:pPr>
      <w:ind w:left="283" w:right="0" w:firstLine="0"/>
      <w:spacing w:after="57"/>
    </w:pPr>
  </w:style>
  <w:style w:type="paragraph" w:styleId="1693">
    <w:name w:val="toc 3"/>
    <w:basedOn w:val="1702"/>
    <w:next w:val="1702"/>
    <w:uiPriority w:val="39"/>
    <w:unhideWhenUsed/>
    <w:pPr>
      <w:ind w:left="567" w:right="0" w:firstLine="0"/>
      <w:spacing w:after="57"/>
    </w:pPr>
  </w:style>
  <w:style w:type="paragraph" w:styleId="1694">
    <w:name w:val="toc 4"/>
    <w:basedOn w:val="1702"/>
    <w:next w:val="1702"/>
    <w:uiPriority w:val="39"/>
    <w:unhideWhenUsed/>
    <w:pPr>
      <w:ind w:left="850" w:right="0" w:firstLine="0"/>
      <w:spacing w:after="57"/>
    </w:pPr>
  </w:style>
  <w:style w:type="paragraph" w:styleId="1695">
    <w:name w:val="toc 5"/>
    <w:basedOn w:val="1702"/>
    <w:next w:val="1702"/>
    <w:uiPriority w:val="39"/>
    <w:unhideWhenUsed/>
    <w:pPr>
      <w:ind w:left="1134" w:right="0" w:firstLine="0"/>
      <w:spacing w:after="57"/>
    </w:pPr>
  </w:style>
  <w:style w:type="paragraph" w:styleId="1696">
    <w:name w:val="toc 6"/>
    <w:basedOn w:val="1702"/>
    <w:next w:val="1702"/>
    <w:uiPriority w:val="39"/>
    <w:unhideWhenUsed/>
    <w:pPr>
      <w:ind w:left="1417" w:right="0" w:firstLine="0"/>
      <w:spacing w:after="57"/>
    </w:pPr>
  </w:style>
  <w:style w:type="paragraph" w:styleId="1697">
    <w:name w:val="toc 7"/>
    <w:basedOn w:val="1702"/>
    <w:next w:val="1702"/>
    <w:uiPriority w:val="39"/>
    <w:unhideWhenUsed/>
    <w:pPr>
      <w:ind w:left="1701" w:right="0" w:firstLine="0"/>
      <w:spacing w:after="57"/>
    </w:pPr>
  </w:style>
  <w:style w:type="paragraph" w:styleId="1698">
    <w:name w:val="toc 8"/>
    <w:basedOn w:val="1702"/>
    <w:next w:val="1702"/>
    <w:uiPriority w:val="39"/>
    <w:unhideWhenUsed/>
    <w:pPr>
      <w:ind w:left="1984" w:right="0" w:firstLine="0"/>
      <w:spacing w:after="57"/>
    </w:pPr>
  </w:style>
  <w:style w:type="paragraph" w:styleId="1699">
    <w:name w:val="toc 9"/>
    <w:basedOn w:val="1702"/>
    <w:next w:val="1702"/>
    <w:uiPriority w:val="39"/>
    <w:unhideWhenUsed/>
    <w:pPr>
      <w:ind w:left="2268" w:right="0" w:firstLine="0"/>
      <w:spacing w:after="57"/>
    </w:pPr>
  </w:style>
  <w:style w:type="paragraph" w:styleId="1700">
    <w:name w:val="TOC Heading"/>
    <w:uiPriority w:val="39"/>
    <w:unhideWhenUsed/>
  </w:style>
  <w:style w:type="paragraph" w:styleId="1701">
    <w:name w:val="table of figures"/>
    <w:basedOn w:val="1702"/>
    <w:next w:val="1702"/>
    <w:uiPriority w:val="99"/>
    <w:unhideWhenUsed/>
    <w:pPr>
      <w:spacing w:after="0" w:afterAutospacing="0"/>
    </w:pPr>
  </w:style>
  <w:style w:type="paragraph" w:styleId="1702" w:default="1">
    <w:name w:val="Normal"/>
    <w:qFormat/>
    <w:pPr>
      <w:widowControl w:val="off"/>
    </w:pPr>
  </w:style>
  <w:style w:type="character" w:styleId="1703" w:default="1">
    <w:name w:val="Default Paragraph Font"/>
    <w:uiPriority w:val="1"/>
    <w:semiHidden/>
    <w:unhideWhenUsed/>
  </w:style>
  <w:style w:type="table" w:styleId="1704" w:default="1">
    <w:name w:val="Normal Table"/>
    <w:uiPriority w:val="99"/>
    <w:semiHidden/>
    <w:unhideWhenUsed/>
    <w:tblPr>
      <w:tblInd w:w="0" w:type="dxa"/>
      <w:tblCellMar>
        <w:left w:w="108" w:type="dxa"/>
        <w:top w:w="0" w:type="dxa"/>
        <w:right w:w="108" w:type="dxa"/>
        <w:bottom w:w="0" w:type="dxa"/>
      </w:tblCellMar>
    </w:tblPr>
  </w:style>
  <w:style w:type="numbering" w:styleId="1705" w:default="1">
    <w:name w:val="No List"/>
    <w:uiPriority w:val="99"/>
    <w:semiHidden/>
    <w:unhideWhenUsed/>
  </w:style>
  <w:style w:type="paragraph" w:styleId="1706" w:customStyle="1">
    <w:name w:val="0052D53AF5EA4679A75848472EC4007D"/>
    <w:pPr>
      <w:widowControl w:val="off"/>
    </w:p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陆源</cp:lastModifiedBy>
  <cp:revision>73</cp:revision>
  <dcterms:created xsi:type="dcterms:W3CDTF">2024-06-03T06:42:00Z</dcterms:created>
  <dcterms:modified xsi:type="dcterms:W3CDTF">2026-05-20T05:49:05Z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57D8AE4C47814C7F8E510A1FA4A18AEF_13</vt:lpwstr>
  </property>
  <property fmtid="{D5CDD505-2E9C-101B-9397-08002B2CF9AE}" pid="4" name="KSOTemplateDocerSaveRecord">
    <vt:lpwstr>eyJoZGlkIjoiYWY5NTZkZGE1MTdmZmI5MDlkNjgxNGIzODgzN2MzMWIiLCJ1c2VySWQiOiIzMDEwOTUxNDIifQ==</vt:lpwstr>
  </property>
</Properties>
</file>