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caps/>
          <w:color w:val="auto"/>
          <w:sz w:val="44"/>
          <w:szCs w:val="44"/>
          <w:highlight w:val="none"/>
          <w:lang w:val="zh-CN"/>
        </w:rPr>
        <w:outlineLvl w:val="9"/>
      </w:pPr>
      <w:r>
        <w:rPr>
          <w:rFonts w:ascii="宋体"/>
          <w:caps/>
          <w:color w:val="auto"/>
          <w:sz w:val="44"/>
          <w:szCs w:val="44"/>
          <w:highlight w:val="none"/>
          <w:lang w:val="zh-CN"/>
        </w:rPr>
      </w:r>
      <w:r/>
    </w:p>
    <w:p>
      <w:pPr>
        <w:rPr>
          <w:rFonts w:ascii="宋体"/>
          <w:caps/>
          <w:color w:val="auto"/>
          <w:sz w:val="44"/>
          <w:szCs w:val="44"/>
          <w:highlight w:val="none"/>
          <w:lang w:val="zh-CN"/>
        </w:rPr>
        <w:outlineLvl w:val="9"/>
      </w:pPr>
      <w:r>
        <w:rPr>
          <w:rFonts w:ascii="宋体"/>
          <w:caps/>
          <w:color w:val="auto"/>
          <w:sz w:val="44"/>
          <w:szCs w:val="44"/>
          <w:highlight w:val="none"/>
          <w:lang w:val="zh-CN"/>
        </w:rPr>
      </w:r>
      <w:r/>
    </w:p>
    <w:p>
      <w:pPr>
        <w:rPr>
          <w:rFonts w:ascii="宋体"/>
          <w:caps/>
          <w:color w:val="auto"/>
          <w:sz w:val="44"/>
          <w:szCs w:val="44"/>
          <w:highlight w:val="none"/>
          <w:lang w:val="zh-CN"/>
        </w:rPr>
        <w:outlineLvl w:val="9"/>
      </w:pPr>
      <w:r>
        <w:rPr>
          <w:rFonts w:ascii="宋体"/>
          <w:caps/>
          <w:color w:val="auto"/>
          <w:sz w:val="44"/>
          <w:szCs w:val="44"/>
          <w:highlight w:val="none"/>
          <w:lang w:val="zh-CN"/>
        </w:rPr>
      </w:r>
      <w:r/>
    </w:p>
    <w:p>
      <w:pPr>
        <w:jc w:val="center"/>
        <w:rPr>
          <w:rFonts w:ascii="宋体"/>
          <w:caps/>
          <w:color w:val="auto"/>
          <w:sz w:val="44"/>
          <w:szCs w:val="44"/>
          <w:highlight w:val="none"/>
          <w:lang w:val="zh-CN"/>
        </w:rPr>
        <w:outlineLvl w:val="9"/>
      </w:pPr>
      <w:r>
        <w:rPr>
          <w:rFonts w:hint="eastAsia" w:ascii="黑体" w:eastAsia="黑体"/>
          <w:color w:val="auto"/>
          <w:sz w:val="100"/>
          <w:szCs w:val="100"/>
          <w:highlight w:val="none"/>
          <w:lang w:val="zh-CN"/>
        </w:rPr>
        <w:t xml:space="preserve">公开招标文件</w:t>
      </w:r>
      <w:r/>
    </w:p>
    <w:p>
      <w:pPr>
        <w:rPr>
          <w:rFonts w:ascii="黑体" w:eastAsia="黑体"/>
          <w:color w:val="auto"/>
          <w:sz w:val="32"/>
          <w:szCs w:val="32"/>
          <w:highlight w:val="none"/>
          <w:lang w:val="zh-CN"/>
        </w:rPr>
      </w:pPr>
      <w:r>
        <w:rPr>
          <w:rFonts w:ascii="黑体" w:eastAsia="黑体"/>
          <w:color w:val="auto"/>
          <w:sz w:val="32"/>
          <w:szCs w:val="32"/>
          <w:highlight w:val="none"/>
          <w:lang w:val="zh-CN"/>
        </w:rPr>
      </w:r>
      <w:r/>
    </w:p>
    <w:p>
      <w:pPr>
        <w:rPr>
          <w:rFonts w:ascii="黑体" w:eastAsia="黑体"/>
          <w:color w:val="auto"/>
          <w:sz w:val="32"/>
          <w:szCs w:val="32"/>
          <w:highlight w:val="none"/>
          <w:lang w:val="zh-CN"/>
        </w:rPr>
      </w:pPr>
      <w:r>
        <w:rPr>
          <w:rFonts w:ascii="黑体" w:eastAsia="黑体"/>
          <w:color w:val="auto"/>
          <w:sz w:val="32"/>
          <w:szCs w:val="32"/>
          <w:highlight w:val="none"/>
          <w:lang w:val="zh-CN"/>
        </w:rPr>
      </w:r>
      <w:r/>
    </w:p>
    <w:p>
      <w:pPr>
        <w:rPr>
          <w:rFonts w:ascii="黑体" w:eastAsia="黑体"/>
          <w:color w:val="auto"/>
          <w:sz w:val="32"/>
          <w:szCs w:val="32"/>
          <w:highlight w:val="none"/>
          <w:lang w:val="zh-CN"/>
        </w:rPr>
      </w:pPr>
      <w:r>
        <w:rPr>
          <w:rFonts w:ascii="黑体" w:eastAsia="黑体"/>
          <w:color w:val="auto"/>
          <w:sz w:val="32"/>
          <w:szCs w:val="32"/>
          <w:highlight w:val="none"/>
          <w:lang w:val="zh-CN"/>
        </w:rPr>
      </w:r>
      <w:r/>
    </w:p>
    <w:tbl>
      <w:tblPr>
        <w:tblStyle w:val="679"/>
        <w:tblpPr w:horzAnchor="margin" w:tblpXSpec="right" w:vertAnchor="text" w:tblpY="321" w:leftFromText="180" w:topFromText="0" w:rightFromText="180" w:bottomFromText="0"/>
        <w:tblW w:w="9393" w:type="dxa"/>
        <w:tblInd w:w="217" w:type="dxa"/>
        <w:tblLayout w:type="fixed"/>
        <w:tblCellMar>
          <w:left w:w="0" w:type="dxa"/>
          <w:top w:w="0" w:type="dxa"/>
          <w:right w:w="0" w:type="dxa"/>
          <w:bottom w:w="0" w:type="dxa"/>
        </w:tblCellMar>
        <w:tblLook w:val="04A0" w:firstRow="1" w:lastRow="0" w:firstColumn="1" w:lastColumn="0" w:noHBand="0" w:noVBand="1"/>
      </w:tblPr>
      <w:tblGrid>
        <w:gridCol w:w="9393"/>
      </w:tblGrid>
      <w:tr>
        <w:trPr>
          <w:trHeight w:val="2336"/>
        </w:trPr>
        <w:tc>
          <w:tcPr>
            <w:tcBorders>
              <w:top w:val="none" w:color="000000" w:sz="4" w:space="0"/>
              <w:left w:val="none" w:color="000000" w:sz="4" w:space="0"/>
              <w:bottom w:val="none" w:color="000000" w:sz="4" w:space="0"/>
              <w:right w:val="none" w:color="000000" w:sz="4" w:space="0"/>
            </w:tcBorders>
            <w:tcW w:w="9393" w:type="dxa"/>
            <w:textDirection w:val="lrTb"/>
            <w:noWrap w:val="false"/>
          </w:tcPr>
          <w:p>
            <w:pPr>
              <w:ind w:firstLine="1980"/>
              <w:rPr>
                <w:rFonts w:ascii="黑体" w:eastAsia="黑体"/>
                <w:color w:val="auto"/>
                <w:sz w:val="44"/>
                <w:szCs w:val="44"/>
                <w:highlight w:val="none"/>
                <w:lang w:val="zh-CN"/>
              </w:rPr>
            </w:pPr>
            <w:r>
              <w:rPr>
                <w:rFonts w:ascii="黑体" w:eastAsia="黑体"/>
                <w:color w:val="auto"/>
                <w:sz w:val="44"/>
                <w:szCs w:val="44"/>
                <w:highlight w:val="none"/>
                <w:lang w:val="zh-CN"/>
              </w:rPr>
            </w:r>
            <w:r/>
          </w:p>
          <w:p>
            <w:pPr>
              <w:jc w:val="center"/>
              <w:spacing w:line="360" w:lineRule="auto"/>
              <w:rPr>
                <w:rFonts w:ascii="黑体" w:eastAsia="黑体"/>
                <w:color w:val="auto"/>
                <w:sz w:val="36"/>
                <w:szCs w:val="36"/>
                <w:highlight w:val="none"/>
                <w:lang w:val="zh-CN"/>
              </w:rPr>
            </w:pPr>
            <w:r>
              <w:rPr>
                <w:rFonts w:hint="eastAsia" w:ascii="黑体" w:eastAsia="黑体"/>
                <w:color w:val="auto"/>
                <w:sz w:val="36"/>
                <w:szCs w:val="36"/>
                <w:highlight w:val="none"/>
                <w:lang w:val="zh-CN"/>
              </w:rPr>
              <w:t xml:space="preserve">项目编号：JSZC-320117-NJZX-G2026-0005</w:t>
            </w:r>
            <w:r/>
          </w:p>
          <w:p>
            <w:pPr>
              <w:ind w:left="1800" w:hanging="1800"/>
              <w:jc w:val="center"/>
              <w:spacing w:line="360" w:lineRule="auto"/>
              <w:tabs>
                <w:tab w:val="left" w:pos="9030" w:leader="none"/>
              </w:tabs>
              <w:rPr>
                <w:rFonts w:hint="default" w:ascii="黑体" w:hAnsi="黑体" w:eastAsia="黑体"/>
                <w:color w:val="auto"/>
                <w:sz w:val="36"/>
                <w:szCs w:val="36"/>
                <w:highlight w:val="none"/>
                <w:lang w:val="en-US" w:eastAsia="zh-CN"/>
              </w:rPr>
            </w:pPr>
            <w:r>
              <w:rPr>
                <w:rFonts w:hint="eastAsia" w:ascii="黑体" w:hAnsi="黑体" w:eastAsia="黑体"/>
                <w:color w:val="auto"/>
                <w:sz w:val="36"/>
                <w:szCs w:val="36"/>
                <w:highlight w:val="none"/>
                <w:lang w:val="zh-CN"/>
              </w:rPr>
              <w:t xml:space="preserve">项目名称：</w:t>
            </w:r>
            <w:r>
              <w:rPr>
                <w:rFonts w:hint="eastAsia" w:ascii="黑体" w:hAnsi="黑体" w:eastAsia="黑体"/>
                <w:color w:val="auto"/>
                <w:sz w:val="36"/>
                <w:szCs w:val="36"/>
                <w:highlight w:val="none"/>
                <w:lang w:val="en-US" w:eastAsia="zh-CN"/>
              </w:rPr>
              <w:t xml:space="preserve">电增容及配电房改造</w:t>
            </w:r>
            <w:r/>
          </w:p>
          <w:p>
            <w:pPr>
              <w:ind w:left="1800" w:hanging="1800"/>
              <w:jc w:val="center"/>
              <w:spacing w:line="360" w:lineRule="auto"/>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t xml:space="preserve">（</w:t>
            </w:r>
            <w:r>
              <w:rPr>
                <w:rFonts w:hint="eastAsia" w:ascii="黑体" w:hAnsi="黑体" w:eastAsia="黑体"/>
                <w:color w:val="auto"/>
                <w:sz w:val="36"/>
                <w:szCs w:val="36"/>
                <w:highlight w:val="none"/>
                <w:lang w:val="en-US" w:eastAsia="zh-CN"/>
              </w:rPr>
              <w:t xml:space="preserve">货物类</w:t>
            </w:r>
            <w:r>
              <w:rPr>
                <w:rFonts w:hint="eastAsia" w:ascii="黑体" w:hAnsi="黑体" w:eastAsia="黑体"/>
                <w:color w:val="auto"/>
                <w:sz w:val="36"/>
                <w:szCs w:val="36"/>
                <w:highlight w:val="none"/>
                <w:lang w:val="zh-CN"/>
              </w:rPr>
              <w:t xml:space="preserve">项目，</w:t>
            </w:r>
            <w:r>
              <w:rPr>
                <w:rFonts w:hint="eastAsia" w:ascii="黑体" w:hAnsi="黑体" w:eastAsia="黑体"/>
                <w:color w:val="auto"/>
                <w:sz w:val="36"/>
                <w:szCs w:val="36"/>
                <w:highlight w:val="none"/>
                <w:lang w:val="zh-CN"/>
              </w:rPr>
              <w:t xml:space="preserve">非专门面向中小企业</w:t>
            </w:r>
            <w:r>
              <w:rPr>
                <w:rFonts w:hint="eastAsia" w:ascii="黑体" w:hAnsi="黑体" w:eastAsia="黑体"/>
                <w:color w:val="auto"/>
                <w:sz w:val="36"/>
                <w:szCs w:val="36"/>
                <w:highlight w:val="none"/>
                <w:lang w:val="zh-CN"/>
              </w:rPr>
              <w:t xml:space="preserve">）</w:t>
            </w:r>
            <w:r/>
          </w:p>
        </w:tc>
      </w:tr>
    </w:tbl>
    <w:p>
      <w:pPr>
        <w:rPr>
          <w:rFonts w:ascii="黑体" w:eastAsia="黑体"/>
          <w:color w:val="auto"/>
          <w:sz w:val="44"/>
          <w:szCs w:val="44"/>
          <w:highlight w:val="none"/>
          <w:lang w:val="zh-CN"/>
        </w:rPr>
      </w:pPr>
      <w:r>
        <w:rPr>
          <w:rFonts w:ascii="黑体" w:eastAsia="黑体"/>
          <w:color w:val="auto"/>
          <w:sz w:val="44"/>
          <w:szCs w:val="44"/>
          <w:highlight w:val="none"/>
          <w:lang w:val="zh-CN"/>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pStyle w:val="735"/>
        <w:rPr>
          <w:color w:val="auto"/>
          <w:highlight w:val="none"/>
        </w:rPr>
      </w:pPr>
      <w:r>
        <w:rPr>
          <w:color w:val="auto"/>
          <w:highlight w:val="none"/>
        </w:rPr>
      </w:r>
      <w:r/>
    </w:p>
    <w:p>
      <w:pPr>
        <w:pStyle w:val="735"/>
        <w:rPr>
          <w:color w:val="auto"/>
          <w:highlight w:val="none"/>
        </w:rPr>
      </w:pPr>
      <w:r>
        <w:rPr>
          <w:color w:val="auto"/>
          <w:highlight w:val="none"/>
        </w:rPr>
      </w:r>
      <w:r/>
    </w:p>
    <w:p>
      <w:pPr>
        <w:pStyle w:val="735"/>
        <w:rPr>
          <w:color w:val="auto"/>
          <w:highlight w:val="none"/>
        </w:rPr>
      </w:pPr>
      <w:r>
        <w:rPr>
          <w:color w:val="auto"/>
          <w:highlight w:val="none"/>
        </w:rPr>
      </w:r>
      <w:r/>
    </w:p>
    <w:p>
      <w:pPr>
        <w:rPr>
          <w:rFonts w:ascii="仿宋_GB2312" w:hAnsi="华文仿宋" w:eastAsia="仿宋_GB2312" w:cs="宋体"/>
          <w:b/>
          <w:color w:val="auto"/>
          <w:sz w:val="28"/>
          <w:szCs w:val="28"/>
          <w:highlight w:val="none"/>
        </w:rPr>
      </w:pPr>
      <w:r>
        <w:rPr>
          <w:rFonts w:ascii="仿宋_GB2312" w:hAnsi="华文仿宋" w:eastAsia="仿宋_GB2312" w:cs="宋体"/>
          <w:b/>
          <w:color w:val="auto"/>
          <w:sz w:val="28"/>
          <w:szCs w:val="28"/>
          <w:highlight w:val="none"/>
        </w:rPr>
      </w:r>
      <w:r/>
    </w:p>
    <w:p>
      <w:pPr>
        <w:ind w:left="1800" w:hanging="1800"/>
        <w:jc w:val="center"/>
        <w:spacing w:line="360" w:lineRule="auto"/>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t xml:space="preserve">采购人：南京市溧水区第三高级中学</w:t>
      </w:r>
      <w:r/>
    </w:p>
    <w:p>
      <w:pPr>
        <w:ind w:left="1800" w:hanging="1800"/>
        <w:jc w:val="center"/>
        <w:spacing w:line="360" w:lineRule="auto"/>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t xml:space="preserve">采购代理机构：南京中信工程造价有限公司</w:t>
      </w:r>
      <w:r/>
    </w:p>
    <w:p>
      <w:pPr>
        <w:ind w:left="1800" w:hanging="1800"/>
        <w:jc w:val="center"/>
        <w:spacing w:line="360" w:lineRule="auto"/>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t xml:space="preserve">二○二</w:t>
      </w:r>
      <w:r>
        <w:rPr>
          <w:rFonts w:hint="eastAsia" w:ascii="黑体" w:hAnsi="黑体" w:eastAsia="黑体"/>
          <w:color w:val="auto"/>
          <w:sz w:val="36"/>
          <w:szCs w:val="36"/>
          <w:highlight w:val="none"/>
          <w:lang w:val="en-US" w:eastAsia="zh-CN"/>
        </w:rPr>
        <w:t xml:space="preserve">六</w:t>
      </w:r>
      <w:r>
        <w:rPr>
          <w:rFonts w:hint="eastAsia" w:ascii="黑体" w:hAnsi="黑体" w:eastAsia="黑体"/>
          <w:color w:val="auto"/>
          <w:sz w:val="36"/>
          <w:szCs w:val="36"/>
          <w:highlight w:val="none"/>
          <w:lang w:val="zh-CN"/>
        </w:rPr>
        <w:t xml:space="preserve">年</w:t>
      </w:r>
      <w:r>
        <w:rPr>
          <w:rFonts w:hint="eastAsia" w:ascii="黑体" w:hAnsi="黑体" w:eastAsia="黑体"/>
          <w:color w:val="auto"/>
          <w:sz w:val="36"/>
          <w:szCs w:val="36"/>
          <w:highlight w:val="none"/>
          <w:lang w:val="en-US" w:eastAsia="zh-CN"/>
        </w:rPr>
        <w:t xml:space="preserve">六</w:t>
      </w:r>
      <w:r>
        <w:rPr>
          <w:rFonts w:hint="eastAsia" w:ascii="黑体" w:hAnsi="黑体" w:eastAsia="黑体"/>
          <w:color w:val="auto"/>
          <w:sz w:val="36"/>
          <w:szCs w:val="36"/>
          <w:highlight w:val="none"/>
          <w:lang w:val="zh-CN"/>
        </w:rPr>
        <w:t xml:space="preserve">月</w:t>
      </w:r>
      <w:r/>
    </w:p>
    <w:p>
      <w:pPr>
        <w:jc w:val="center"/>
        <w:spacing w:line="480" w:lineRule="auto"/>
        <w:rPr>
          <w:rFonts w:hint="eastAsia" w:ascii="黑体" w:hAnsi="Arial" w:eastAsia="黑体"/>
          <w:b/>
          <w:color w:val="auto"/>
          <w:sz w:val="44"/>
          <w:highlight w:val="none"/>
        </w:rPr>
        <w:outlineLvl w:val="9"/>
      </w:pPr>
      <w:r>
        <w:rPr>
          <w:rFonts w:hint="eastAsia" w:ascii="黑体" w:hAnsi="Arial" w:eastAsia="黑体"/>
          <w:b/>
          <w:color w:val="auto"/>
          <w:sz w:val="44"/>
          <w:highlight w:val="none"/>
        </w:rPr>
        <w:t xml:space="preserve">总目录</w:t>
      </w:r>
      <w:r/>
    </w:p>
    <w:p>
      <w:pPr>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numPr>
          <w:ilvl w:val="0"/>
          <w:numId w:val="2"/>
        </w:numPr>
        <w:ind w:left="1440" w:hanging="1440"/>
        <w:spacing w:line="480" w:lineRule="auto"/>
        <w:rPr>
          <w:rFonts w:hint="eastAsia" w:ascii="黑体" w:hAnsi="宋体" w:eastAsia="黑体"/>
          <w:color w:val="auto"/>
          <w:sz w:val="36"/>
          <w:highlight w:val="none"/>
        </w:rPr>
        <w:outlineLvl w:val="9"/>
      </w:pPr>
      <w:r>
        <w:rPr>
          <w:rFonts w:hint="eastAsia" w:ascii="黑体" w:hAnsi="宋体" w:eastAsia="黑体"/>
          <w:color w:val="auto"/>
          <w:sz w:val="36"/>
          <w:highlight w:val="none"/>
        </w:rPr>
        <w:t xml:space="preserve">投标邀请</w:t>
      </w:r>
      <w:r/>
    </w:p>
    <w:p>
      <w:pPr>
        <w:numPr>
          <w:ilvl w:val="0"/>
          <w:numId w:val="2"/>
        </w:numPr>
        <w:ind w:left="1440" w:hanging="1440"/>
        <w:spacing w:line="480" w:lineRule="auto"/>
        <w:rPr>
          <w:rFonts w:hint="eastAsia" w:ascii="黑体" w:hAnsi="宋体" w:eastAsia="黑体"/>
          <w:color w:val="auto"/>
          <w:sz w:val="36"/>
          <w:highlight w:val="none"/>
        </w:rPr>
        <w:outlineLvl w:val="9"/>
      </w:pPr>
      <w:r>
        <w:rPr>
          <w:rFonts w:hint="eastAsia" w:ascii="黑体" w:hAnsi="宋体" w:eastAsia="黑体"/>
          <w:color w:val="auto"/>
          <w:sz w:val="36"/>
          <w:highlight w:val="none"/>
        </w:rPr>
        <w:t xml:space="preserve">投标人须知</w:t>
      </w:r>
      <w:r/>
    </w:p>
    <w:p>
      <w:pPr>
        <w:numPr>
          <w:ilvl w:val="0"/>
          <w:numId w:val="2"/>
        </w:numPr>
        <w:ind w:left="1440" w:hanging="1440"/>
        <w:jc w:val="left"/>
        <w:spacing w:line="480" w:lineRule="auto"/>
        <w:rPr>
          <w:rFonts w:hint="eastAsia" w:ascii="黑体" w:hAnsi="宋体" w:eastAsia="黑体"/>
          <w:color w:val="auto"/>
          <w:sz w:val="36"/>
          <w:highlight w:val="none"/>
        </w:rPr>
        <w:outlineLvl w:val="9"/>
      </w:pPr>
      <w:r>
        <w:rPr>
          <w:rFonts w:hint="eastAsia" w:ascii="黑体" w:hAnsi="宋体" w:eastAsia="黑体"/>
          <w:color w:val="auto"/>
          <w:sz w:val="36"/>
          <w:highlight w:val="none"/>
        </w:rPr>
        <w:t xml:space="preserve">评标方法与评</w:t>
      </w:r>
      <w:r>
        <w:rPr>
          <w:rFonts w:hint="eastAsia" w:ascii="黑体" w:hAnsi="宋体" w:eastAsia="黑体"/>
          <w:color w:val="auto"/>
          <w:sz w:val="36"/>
          <w:highlight w:val="none"/>
          <w:lang w:val="en-US" w:eastAsia="zh-CN"/>
        </w:rPr>
        <w:t xml:space="preserve">分</w:t>
      </w:r>
      <w:r>
        <w:rPr>
          <w:rFonts w:hint="eastAsia" w:ascii="黑体" w:hAnsi="宋体" w:eastAsia="黑体"/>
          <w:color w:val="auto"/>
          <w:sz w:val="36"/>
          <w:highlight w:val="none"/>
        </w:rPr>
        <w:t xml:space="preserve">标准</w:t>
      </w:r>
      <w:r/>
    </w:p>
    <w:p>
      <w:pPr>
        <w:numPr>
          <w:ilvl w:val="0"/>
          <w:numId w:val="2"/>
        </w:numPr>
        <w:ind w:left="1440" w:hanging="1440"/>
        <w:spacing w:line="480" w:lineRule="auto"/>
        <w:rPr>
          <w:rFonts w:hint="eastAsia" w:ascii="黑体" w:hAnsi="宋体" w:eastAsia="黑体"/>
          <w:color w:val="auto"/>
          <w:sz w:val="36"/>
          <w:highlight w:val="none"/>
        </w:rPr>
        <w:outlineLvl w:val="9"/>
      </w:pPr>
      <w:r>
        <w:rPr>
          <w:rFonts w:hint="eastAsia" w:ascii="黑体" w:hAnsi="宋体" w:eastAsia="黑体"/>
          <w:color w:val="auto"/>
          <w:sz w:val="36"/>
          <w:highlight w:val="none"/>
        </w:rPr>
        <w:t xml:space="preserve">采购需求</w:t>
      </w:r>
      <w:r/>
    </w:p>
    <w:p>
      <w:pPr>
        <w:numPr>
          <w:ilvl w:val="0"/>
          <w:numId w:val="2"/>
        </w:numPr>
        <w:ind w:left="1440" w:hanging="1440"/>
        <w:spacing w:line="480" w:lineRule="auto"/>
        <w:rPr>
          <w:rFonts w:hint="eastAsia" w:ascii="黑体" w:hAnsi="宋体" w:eastAsia="黑体"/>
          <w:color w:val="auto"/>
          <w:sz w:val="36"/>
          <w:highlight w:val="none"/>
        </w:rPr>
        <w:outlineLvl w:val="9"/>
      </w:pPr>
      <w:r>
        <w:rPr>
          <w:rFonts w:hint="eastAsia" w:ascii="黑体" w:eastAsia="黑体"/>
          <w:color w:val="auto"/>
          <w:sz w:val="36"/>
          <w:szCs w:val="36"/>
          <w:highlight w:val="none"/>
          <w:lang w:val="zh-CN"/>
        </w:rPr>
        <w:t xml:space="preserve">拟签订的合同条款</w:t>
      </w:r>
      <w:r/>
    </w:p>
    <w:p>
      <w:pPr>
        <w:numPr>
          <w:ilvl w:val="0"/>
          <w:numId w:val="2"/>
        </w:numPr>
        <w:ind w:left="1440" w:hanging="1440"/>
        <w:spacing w:line="480" w:lineRule="auto"/>
        <w:rPr>
          <w:rFonts w:hint="eastAsia" w:ascii="黑体" w:hAnsi="宋体" w:eastAsia="黑体"/>
          <w:color w:val="auto"/>
          <w:sz w:val="36"/>
          <w:highlight w:val="none"/>
        </w:rPr>
        <w:outlineLvl w:val="9"/>
      </w:pPr>
      <w:r>
        <w:rPr>
          <w:rFonts w:hint="eastAsia" w:ascii="黑体" w:hAnsi="宋体" w:eastAsia="黑体"/>
          <w:color w:val="auto"/>
          <w:sz w:val="36"/>
          <w:highlight w:val="none"/>
        </w:rPr>
        <w:t xml:space="preserve">投标文件格式</w:t>
      </w:r>
      <w:r>
        <w:rPr>
          <w:rFonts w:hint="eastAsia" w:ascii="黑体" w:hAnsi="宋体" w:eastAsia="黑体"/>
          <w:color w:val="auto"/>
          <w:sz w:val="36"/>
          <w:highlight w:val="none"/>
          <w:lang w:val="en-US" w:eastAsia="zh-CN"/>
        </w:rPr>
        <w:t xml:space="preserve">及附件</w:t>
      </w:r>
      <w:r/>
    </w:p>
    <w:p>
      <w:pPr>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left="1800" w:hanging="1800"/>
        <w:jc w:val="center"/>
        <w:spacing w:line="360" w:lineRule="auto"/>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r>
      <w:r/>
    </w:p>
    <w:p>
      <w:pPr>
        <w:pStyle w:val="1264"/>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r>
      <w:r/>
    </w:p>
    <w:p>
      <w:pPr>
        <w:pStyle w:val="1039"/>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r>
      <w:r/>
    </w:p>
    <w:p>
      <w:pPr>
        <w:pStyle w:val="1039"/>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r>
      <w:r/>
    </w:p>
    <w:p>
      <w:pPr>
        <w:pStyle w:val="1039"/>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r>
      <w:r/>
    </w:p>
    <w:p>
      <w:pPr>
        <w:pStyle w:val="1039"/>
        <w:rPr>
          <w:rFonts w:hint="eastAsia" w:ascii="黑体" w:hAnsi="黑体" w:eastAsia="黑体"/>
          <w:color w:val="auto"/>
          <w:sz w:val="36"/>
          <w:szCs w:val="36"/>
          <w:highlight w:val="none"/>
          <w:lang w:val="zh-CN"/>
        </w:rPr>
      </w:pPr>
      <w:r>
        <w:rPr>
          <w:rFonts w:hint="eastAsia" w:ascii="黑体" w:hAnsi="黑体" w:eastAsia="黑体"/>
          <w:color w:val="auto"/>
          <w:sz w:val="36"/>
          <w:szCs w:val="36"/>
          <w:highlight w:val="none"/>
          <w:lang w:val="zh-CN"/>
        </w:rPr>
      </w:r>
      <w:r/>
    </w:p>
    <w:p>
      <w:pPr>
        <w:ind w:left="0" w:firstLine="0"/>
        <w:jc w:val="center"/>
        <w:spacing w:line="360" w:lineRule="auto"/>
        <w:rPr>
          <w:rFonts w:ascii="黑体" w:eastAsia="黑体"/>
          <w:color w:val="auto"/>
          <w:sz w:val="36"/>
          <w:szCs w:val="36"/>
          <w:highlight w:val="none"/>
          <w:lang w:val="zh-CN"/>
        </w:rPr>
        <w:outlineLvl w:val="0"/>
      </w:pPr>
      <w:r>
        <w:rPr>
          <w:rFonts w:hint="eastAsia" w:ascii="黑体" w:eastAsia="黑体"/>
          <w:color w:val="auto"/>
          <w:sz w:val="36"/>
          <w:szCs w:val="36"/>
          <w:highlight w:val="none"/>
          <w:lang w:val="zh-CN"/>
        </w:rPr>
        <w:t xml:space="preserve">第一章投标邀请</w:t>
      </w:r>
      <w:r/>
    </w:p>
    <w:p>
      <w:pPr>
        <w:ind w:firstLine="420"/>
        <w:spacing w:line="360" w:lineRule="auto"/>
        <w:rPr>
          <w:rFonts w:hint="eastAsia" w:ascii="宋体" w:hAnsi="宋体" w:eastAsia="宋体" w:cs="宋体"/>
          <w:color w:val="auto"/>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1"/>
          <w:szCs w:val="21"/>
          <w:highlight w:val="none"/>
          <w:u w:val="single"/>
          <w:lang w:val="en-US" w:eastAsia="zh-CN"/>
        </w:rPr>
        <w:t xml:space="preserve">电增容及配电房改造JSZC-320117-NJZX-G2026-0005</w:t>
      </w:r>
      <w:r>
        <w:rPr>
          <w:rFonts w:hint="eastAsia" w:ascii="宋体" w:hAnsi="宋体" w:cs="宋体"/>
          <w:color w:val="auto"/>
          <w:sz w:val="21"/>
          <w:szCs w:val="21"/>
          <w:highlight w:val="none"/>
          <w:u w:val="none"/>
          <w:lang w:eastAsia="zh-CN"/>
        </w:rPr>
        <w:t xml:space="preserve">招标项目</w:t>
      </w:r>
      <w:r>
        <w:rPr>
          <w:rFonts w:hint="eastAsia" w:ascii="宋体" w:hAnsi="宋体" w:eastAsia="宋体" w:cs="宋体"/>
          <w:color w:val="auto"/>
          <w:sz w:val="21"/>
          <w:szCs w:val="21"/>
          <w:highlight w:val="none"/>
        </w:rPr>
        <w:t xml:space="preserve">的潜在供应商应在</w:t>
      </w:r>
      <w:r>
        <w:rPr>
          <w:rFonts w:hint="eastAsia" w:ascii="宋体" w:hAnsi="宋体" w:eastAsia="宋体" w:cs="宋体"/>
          <w:color w:val="auto"/>
          <w:sz w:val="21"/>
          <w:szCs w:val="21"/>
          <w:highlight w:val="none"/>
          <w:u w:val="single"/>
        </w:rPr>
        <w:t xml:space="preserve">江苏政府采购网</w:t>
      </w:r>
      <w:r>
        <w:rPr>
          <w:rFonts w:hint="eastAsia" w:ascii="宋体" w:hAnsi="宋体" w:eastAsia="宋体" w:cs="宋体"/>
          <w:color w:val="auto"/>
          <w:sz w:val="21"/>
          <w:szCs w:val="21"/>
          <w:highlight w:val="none"/>
        </w:rPr>
        <w:t xml:space="preserve">获取</w:t>
      </w:r>
      <w:r>
        <w:rPr>
          <w:rFonts w:hint="eastAsia" w:ascii="宋体" w:hAnsi="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文件，并于</w:t>
      </w:r>
      <w:r>
        <w:rPr>
          <w:rFonts w:hint="eastAsia" w:ascii="宋体" w:hAnsi="宋体" w:cs="宋体"/>
          <w:color w:val="auto"/>
          <w:sz w:val="21"/>
          <w:szCs w:val="21"/>
          <w:highlight w:val="none"/>
          <w:u w:val="single"/>
          <w:lang w:eastAsia="zh-CN"/>
        </w:rPr>
        <w:t xml:space="preserve">202</w:t>
      </w:r>
      <w:r>
        <w:rPr>
          <w:rFonts w:hint="eastAsia" w:ascii="宋体" w:hAnsi="宋体" w:cs="宋体"/>
          <w:color w:val="auto"/>
          <w:sz w:val="21"/>
          <w:szCs w:val="21"/>
          <w:highlight w:val="none"/>
          <w:u w:val="single"/>
          <w:lang w:val="en-US" w:eastAsia="zh-CN"/>
        </w:rPr>
        <w:t xml:space="preserve">6</w:t>
      </w:r>
      <w:r>
        <w:rPr>
          <w:rFonts w:hint="eastAsia" w:ascii="宋体" w:hAnsi="宋体" w:cs="宋体"/>
          <w:color w:val="auto"/>
          <w:sz w:val="21"/>
          <w:szCs w:val="21"/>
          <w:highlight w:val="none"/>
          <w:u w:val="single"/>
          <w:lang w:eastAsia="zh-CN"/>
        </w:rPr>
        <w:t xml:space="preserve">年</w:t>
      </w:r>
      <w:r>
        <w:rPr>
          <w:rFonts w:hint="eastAsia" w:ascii="宋体" w:hAnsi="宋体" w:cs="宋体"/>
          <w:color w:val="auto"/>
          <w:sz w:val="21"/>
          <w:szCs w:val="21"/>
          <w:highlight w:val="none"/>
          <w:u w:val="single"/>
          <w:lang w:val="en-US" w:eastAsia="zh-CN"/>
        </w:rPr>
        <w:t xml:space="preserve">7月13日9</w:t>
      </w:r>
      <w:r>
        <w:rPr>
          <w:rFonts w:hint="eastAsia" w:ascii="宋体" w:hAnsi="宋体" w:eastAsia="宋体" w:cs="宋体"/>
          <w:color w:val="auto"/>
          <w:sz w:val="21"/>
          <w:szCs w:val="21"/>
          <w:highlight w:val="none"/>
          <w:u w:val="single"/>
          <w:lang w:eastAsia="zh-CN"/>
        </w:rPr>
        <w:t xml:space="preserve">点</w:t>
      </w:r>
      <w:r>
        <w:rPr>
          <w:rFonts w:hint="eastAsia" w:ascii="宋体" w:hAnsi="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lang w:eastAsia="zh-CN"/>
        </w:rPr>
        <w:t xml:space="preserve">0分</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北京时间）前提交</w:t>
      </w:r>
      <w:r>
        <w:rPr>
          <w:rFonts w:hint="eastAsia" w:ascii="宋体" w:hAnsi="宋体" w:cs="宋体"/>
          <w:bCs/>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widowControl w:val="off"/>
        <w:tabs>
          <w:tab w:val="left" w:pos="7005" w:leader="none"/>
        </w:tabs>
        <w:rPr>
          <w:rFonts w:ascii="宋体" w:hAnsi="宋体"/>
          <w:b/>
          <w:bCs/>
          <w:color w:val="auto"/>
          <w:szCs w:val="21"/>
          <w:highlight w:val="none"/>
          <w:lang w:val="zh-CN"/>
        </w:rPr>
        <w:outlineLvl w:val="1"/>
      </w:pPr>
      <w:r>
        <w:rPr>
          <w:rFonts w:hint="eastAsia" w:ascii="宋体" w:hAnsi="宋体"/>
          <w:b/>
          <w:bCs/>
          <w:color w:val="auto"/>
          <w:szCs w:val="21"/>
          <w:highlight w:val="none"/>
          <w:lang w:val="zh-CN"/>
        </w:rPr>
        <w:t xml:space="preserve">一、项目基本情况</w:t>
      </w:r>
      <w:r/>
    </w:p>
    <w:p>
      <w:pPr>
        <w:ind w:firstLine="420"/>
        <w:keepLines w:val="0"/>
        <w:keepNext w:val="0"/>
        <w:pageBreakBefore w:val="0"/>
        <w:spacing w:line="360" w:lineRule="auto"/>
        <w:widowControl w:val="off"/>
        <w:tabs>
          <w:tab w:val="left" w:pos="7005" w:leader="none"/>
        </w:tabs>
        <w:rPr>
          <w:rFonts w:ascii="宋体"/>
          <w:b/>
          <w:color w:val="auto"/>
          <w:szCs w:val="21"/>
          <w:highlight w:val="none"/>
          <w:lang w:val="zh-CN"/>
        </w:rPr>
        <w:outlineLvl w:val="9"/>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、项目编号：JSZC-320117-NJZX-G2026-0005。</w:t>
      </w:r>
      <w:r/>
    </w:p>
    <w:p>
      <w:pPr>
        <w:ind w:firstLine="420"/>
        <w:keepLines w:val="0"/>
        <w:keepNext w:val="0"/>
        <w:pageBreakBefore w:val="0"/>
        <w:spacing w:line="360" w:lineRule="auto"/>
        <w:widowControl w:val="off"/>
        <w:rPr>
          <w:rFonts w:ascii="宋体" w:hAnsi="宋体"/>
          <w:color w:val="auto"/>
          <w:szCs w:val="21"/>
          <w:highlight w:val="none"/>
        </w:rPr>
        <w:outlineLvl w:val="9"/>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、项目名称：</w:t>
      </w:r>
      <w:r>
        <w:rPr>
          <w:rFonts w:hint="eastAsia" w:ascii="宋体" w:hAnsi="宋体"/>
          <w:color w:val="auto"/>
          <w:szCs w:val="21"/>
          <w:highlight w:val="none"/>
          <w:lang w:val="en-US" w:eastAsia="zh-CN"/>
        </w:rPr>
        <w:t xml:space="preserve">电增容及配电房改造</w:t>
      </w:r>
      <w:r>
        <w:rPr>
          <w:rFonts w:hint="eastAsia" w:ascii="宋体" w:hAnsi="宋体"/>
          <w:color w:val="auto"/>
          <w:szCs w:val="21"/>
          <w:highlight w:val="none"/>
          <w:lang w:val="zh-CN"/>
        </w:rPr>
        <w:t xml:space="preserve">。</w:t>
      </w:r>
      <w:r/>
    </w:p>
    <w:p>
      <w:pPr>
        <w:ind w:firstLine="420"/>
        <w:keepLines w:val="0"/>
        <w:keepNext w:val="0"/>
        <w:pageBreakBefore w:val="0"/>
        <w:spacing w:line="360" w:lineRule="auto"/>
        <w:widowControl w:val="off"/>
        <w:rPr>
          <w:rFonts w:hint="default" w:ascii="宋体" w:hAnsi="宋体" w:eastAsia="宋体"/>
          <w:color w:val="auto"/>
          <w:szCs w:val="21"/>
          <w:highlight w:val="none"/>
          <w:lang w:val="en-US" w:eastAsia="zh-CN"/>
        </w:rPr>
        <w:outlineLvl w:val="9"/>
      </w:pPr>
      <w:r>
        <w:rPr>
          <w:rFonts w:hint="eastAsia" w:ascii="宋体" w:hAnsi="宋体"/>
          <w:color w:val="auto"/>
          <w:szCs w:val="21"/>
          <w:highlight w:val="none"/>
        </w:rPr>
        <w:t xml:space="preserve">3、预算金额：</w:t>
      </w:r>
      <w:r>
        <w:rPr>
          <w:rFonts w:hint="eastAsia" w:ascii="宋体" w:hAnsi="宋体"/>
          <w:color w:val="auto"/>
          <w:szCs w:val="21"/>
          <w:highlight w:val="none"/>
          <w:lang w:val="en-US" w:eastAsia="zh-CN"/>
        </w:rPr>
        <w:t xml:space="preserve">140.00万元。</w:t>
      </w:r>
      <w:r/>
    </w:p>
    <w:p>
      <w:pPr>
        <w:ind w:firstLine="420"/>
        <w:keepLines w:val="0"/>
        <w:keepNext w:val="0"/>
        <w:pageBreakBefore w:val="0"/>
        <w:spacing w:line="360" w:lineRule="auto"/>
        <w:widowControl w:val="off"/>
        <w:rPr>
          <w:rFonts w:hint="eastAsia" w:ascii="宋体" w:hAnsi="宋体" w:cs="Times New Roman"/>
          <w:color w:val="auto"/>
          <w:szCs w:val="21"/>
          <w:highlight w:val="none"/>
          <w:lang w:val="en-US" w:eastAsia="zh-CN"/>
        </w:rPr>
        <w:outlineLvl w:val="9"/>
      </w:pPr>
      <w:r>
        <w:rPr>
          <w:rFonts w:hint="eastAsia" w:ascii="宋体" w:hAnsi="宋体"/>
          <w:color w:val="auto"/>
          <w:szCs w:val="21"/>
          <w:highlight w:val="none"/>
        </w:rPr>
        <w:t xml:space="preserve">4、</w:t>
      </w:r>
      <w:r>
        <w:rPr>
          <w:rFonts w:hint="eastAsia" w:ascii="宋体" w:hAnsi="宋体"/>
          <w:color w:val="auto"/>
          <w:szCs w:val="21"/>
          <w:highlight w:val="none"/>
          <w:lang w:val="en-US" w:eastAsia="zh-CN"/>
        </w:rPr>
        <w:t xml:space="preserve">最高限价：140.00万</w:t>
      </w:r>
      <w:r>
        <w:rPr>
          <w:rFonts w:hint="eastAsia" w:ascii="宋体" w:hAnsi="宋体"/>
          <w:color w:val="auto"/>
          <w:szCs w:val="21"/>
          <w:highlight w:val="none"/>
          <w:lang w:val="en-US" w:eastAsia="zh-CN"/>
        </w:rPr>
        <w:t xml:space="preserve">元，报价超过最高限价的为无效标</w:t>
      </w:r>
      <w:r>
        <w:rPr>
          <w:rFonts w:hint="eastAsia" w:ascii="宋体" w:hAnsi="宋体" w:cs="Times New Roman"/>
          <w:color w:val="auto"/>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zh-CN" w:eastAsia="zh-CN"/>
        </w:rPr>
        <w:outlineLvl w:val="9"/>
      </w:pPr>
      <w:r>
        <w:rPr>
          <w:rFonts w:hint="eastAsia" w:ascii="宋体" w:hAnsi="宋体"/>
          <w:color w:val="auto"/>
          <w:szCs w:val="21"/>
          <w:highlight w:val="none"/>
          <w:lang w:val="zh-CN"/>
        </w:rPr>
        <w:t xml:space="preserve">5、采购需求：</w:t>
      </w:r>
      <w:r>
        <w:rPr>
          <w:rFonts w:hint="eastAsia" w:ascii="宋体" w:hAnsi="宋体"/>
          <w:color w:val="auto"/>
          <w:szCs w:val="21"/>
          <w:highlight w:val="none"/>
          <w:lang w:val="zh-CN" w:eastAsia="zh-CN"/>
        </w:rPr>
        <w:t xml:space="preserve">本项目为</w:t>
      </w:r>
      <w:r>
        <w:rPr>
          <w:rFonts w:hint="eastAsia" w:ascii="宋体" w:hAnsi="宋体"/>
          <w:color w:val="auto"/>
          <w:szCs w:val="21"/>
          <w:highlight w:val="none"/>
          <w:lang w:val="zh-CN"/>
        </w:rPr>
        <w:t xml:space="preserve">电增容及配电房改造，</w:t>
      </w:r>
      <w:r>
        <w:rPr>
          <w:rFonts w:hint="eastAsia" w:ascii="宋体" w:hAnsi="宋体"/>
          <w:color w:val="auto"/>
          <w:szCs w:val="21"/>
          <w:highlight w:val="none"/>
          <w:lang w:val="zh-CN" w:eastAsia="zh-CN"/>
        </w:rPr>
        <w:t xml:space="preserve">主要包括将老旧变压器更换为新型节能变压器，高低压柜、母</w:t>
      </w:r>
      <w:r>
        <w:rPr>
          <w:rFonts w:hint="eastAsia" w:ascii="宋体" w:hAnsi="宋体" w:eastAsia="宋体" w:cs="Times New Roman"/>
          <w:color w:val="auto"/>
          <w:szCs w:val="21"/>
          <w:highlight w:val="none"/>
          <w:lang w:val="zh-CN" w:eastAsia="zh-CN"/>
        </w:rPr>
        <w:t xml:space="preserve">线槽按照现行用电规范进行换新等内容</w:t>
      </w:r>
      <w:r>
        <w:rPr>
          <w:rFonts w:hint="eastAsia" w:ascii="宋体" w:hAnsi="宋体" w:eastAsia="宋体" w:cs="Times New Roman"/>
          <w:color w:val="auto"/>
          <w:szCs w:val="21"/>
          <w:highlight w:val="none"/>
          <w:lang w:val="zh-CN"/>
        </w:rPr>
        <w:t xml:space="preserve">，</w:t>
      </w:r>
      <w:r>
        <w:rPr>
          <w:rFonts w:hint="eastAsia" w:ascii="宋体" w:hAnsi="宋体" w:eastAsia="宋体" w:cs="Times New Roman"/>
          <w:color w:val="auto"/>
          <w:szCs w:val="21"/>
          <w:highlight w:val="none"/>
          <w:lang w:val="en-US" w:eastAsia="zh-CN"/>
        </w:rPr>
        <w:t xml:space="preserve">详见采购需求</w:t>
      </w:r>
      <w:r>
        <w:rPr>
          <w:rFonts w:hint="eastAsia" w:ascii="宋体" w:hAnsi="宋体" w:eastAsia="宋体" w:cs="Times New Roman"/>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zh-CN"/>
        </w:rPr>
        <w:outlineLvl w:val="9"/>
      </w:pPr>
      <w:r>
        <w:rPr>
          <w:rFonts w:hint="eastAsia" w:ascii="宋体" w:hAnsi="宋体" w:eastAsia="宋体" w:cs="Times New Roman"/>
          <w:color w:val="auto"/>
          <w:szCs w:val="21"/>
          <w:highlight w:val="none"/>
          <w:lang w:val="zh-CN"/>
        </w:rPr>
        <w:t xml:space="preserve">6、合同履行期限：自合同签订之日起</w:t>
      </w:r>
      <w:r>
        <w:rPr>
          <w:rFonts w:hint="eastAsia" w:ascii="宋体" w:hAnsi="宋体" w:cs="Times New Roman"/>
          <w:color w:val="auto"/>
          <w:szCs w:val="21"/>
          <w:highlight w:val="none"/>
          <w:lang w:val="en-US" w:eastAsia="zh-CN"/>
        </w:rPr>
        <w:t xml:space="preserve">至</w:t>
      </w:r>
      <w:r>
        <w:rPr>
          <w:rFonts w:hint="eastAsia" w:ascii="宋体" w:hAnsi="宋体" w:eastAsia="宋体" w:cs="Times New Roman"/>
          <w:color w:val="auto"/>
          <w:szCs w:val="21"/>
          <w:highlight w:val="none"/>
          <w:lang w:val="zh-CN"/>
        </w:rPr>
        <w:t xml:space="preserve">2026年</w:t>
      </w:r>
      <w:r>
        <w:rPr>
          <w:rFonts w:hint="eastAsia" w:ascii="宋体" w:hAnsi="宋体" w:eastAsia="宋体" w:cs="Times New Roman"/>
          <w:color w:val="auto"/>
          <w:szCs w:val="21"/>
          <w:highlight w:val="none"/>
          <w:lang w:val="zh-CN" w:eastAsia="zh-CN"/>
        </w:rPr>
        <w:t xml:space="preserve">8</w:t>
      </w:r>
      <w:r>
        <w:rPr>
          <w:rFonts w:hint="eastAsia" w:ascii="宋体" w:hAnsi="宋体" w:eastAsia="宋体" w:cs="Times New Roman"/>
          <w:color w:val="auto"/>
          <w:szCs w:val="21"/>
          <w:highlight w:val="none"/>
          <w:lang w:val="zh-CN"/>
        </w:rPr>
        <w:t xml:space="preserve">月</w:t>
      </w:r>
      <w:r>
        <w:rPr>
          <w:rFonts w:hint="eastAsia" w:ascii="宋体" w:hAnsi="宋体" w:eastAsia="宋体" w:cs="Times New Roman"/>
          <w:color w:val="auto"/>
          <w:szCs w:val="21"/>
          <w:highlight w:val="none"/>
          <w:lang w:val="zh-CN" w:eastAsia="zh-CN"/>
        </w:rPr>
        <w:t xml:space="preserve">15日</w:t>
      </w:r>
      <w:r>
        <w:rPr>
          <w:rFonts w:hint="eastAsia" w:ascii="宋体" w:hAnsi="宋体" w:cs="Times New Roman"/>
          <w:color w:val="auto"/>
          <w:szCs w:val="21"/>
          <w:highlight w:val="none"/>
          <w:lang w:val="en-US" w:eastAsia="zh-CN"/>
        </w:rPr>
        <w:t xml:space="preserve">前</w:t>
      </w:r>
      <w:r>
        <w:rPr>
          <w:rFonts w:hint="eastAsia" w:ascii="宋体" w:hAnsi="宋体" w:eastAsia="宋体" w:cs="Times New Roman"/>
          <w:color w:val="auto"/>
          <w:szCs w:val="21"/>
          <w:highlight w:val="none"/>
          <w:lang w:val="zh-CN"/>
        </w:rPr>
        <w:t xml:space="preserve">所有产品全部配货到位并安装调试完成</w:t>
      </w:r>
      <w:r>
        <w:rPr>
          <w:rFonts w:hint="eastAsia" w:ascii="宋体" w:hAnsi="宋体" w:eastAsia="宋体" w:cs="Times New Roman"/>
          <w:color w:val="auto"/>
          <w:szCs w:val="21"/>
          <w:highlight w:val="none"/>
          <w:lang w:val="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7、</w:t>
      </w:r>
      <w:r>
        <w:rPr>
          <w:rFonts w:hint="eastAsia" w:ascii="宋体" w:hAnsi="宋体" w:eastAsia="宋体" w:cs="Times New Roman"/>
          <w:color w:val="auto"/>
          <w:szCs w:val="21"/>
          <w:highlight w:val="none"/>
          <w:lang w:val="zh-CN"/>
        </w:rPr>
        <w:t xml:space="preserve">本项目</w:t>
      </w:r>
      <w:r>
        <w:rPr>
          <w:rFonts w:hint="eastAsia" w:ascii="宋体" w:hAnsi="宋体" w:eastAsia="宋体" w:cs="Times New Roman"/>
          <w:color w:val="auto"/>
          <w:szCs w:val="21"/>
          <w:highlight w:val="none"/>
          <w:lang w:val="en-US" w:eastAsia="zh-CN"/>
        </w:rPr>
        <w:t xml:space="preserve">(是/否)</w:t>
      </w:r>
      <w:r>
        <w:rPr>
          <w:rFonts w:hint="eastAsia" w:ascii="宋体" w:hAnsi="宋体" w:eastAsia="宋体" w:cs="Times New Roman"/>
          <w:color w:val="auto"/>
          <w:szCs w:val="21"/>
          <w:highlight w:val="none"/>
          <w:lang w:val="zh-CN"/>
        </w:rPr>
        <w:t xml:space="preserve">接受联合体投标：</w:t>
      </w:r>
      <w:r>
        <w:rPr>
          <w:rFonts w:hint="eastAsia" w:ascii="宋体" w:hAnsi="宋体" w:eastAsia="宋体" w:cs="Times New Roman"/>
          <w:color w:val="auto"/>
          <w:szCs w:val="21"/>
          <w:highlight w:val="none"/>
          <w:lang w:val="en-US" w:eastAsia="zh-CN"/>
        </w:rPr>
        <w:t xml:space="preserve">否</w:t>
      </w:r>
      <w:r>
        <w:rPr>
          <w:rFonts w:hint="eastAsia" w:ascii="宋体" w:hAnsi="宋体" w:eastAsia="宋体" w:cs="Times New Roman"/>
          <w:color w:val="auto"/>
          <w:szCs w:val="21"/>
          <w:highlight w:val="none"/>
          <w:lang w:val="zh-CN"/>
        </w:rPr>
        <w:t xml:space="preserve">。</w:t>
      </w:r>
      <w:r/>
    </w:p>
    <w:p>
      <w:pPr>
        <w:ind w:firstLine="420"/>
        <w:keepLines w:val="0"/>
        <w:keepNext w:val="0"/>
        <w:pageBreakBefore w:val="0"/>
        <w:spacing w:line="360" w:lineRule="auto"/>
        <w:widowControl w:val="off"/>
        <w:tabs>
          <w:tab w:val="left" w:pos="7005" w:leader="none"/>
        </w:tabs>
        <w:rPr>
          <w:rFonts w:hint="eastAsia" w:ascii="宋体" w:hAnsi="宋体" w:eastAsia="宋体" w:cs="Times New Roman"/>
          <w:b w:val="0"/>
          <w:bCs w:val="0"/>
          <w:color w:val="auto"/>
          <w:szCs w:val="21"/>
          <w:highlight w:val="none"/>
          <w:lang w:val="en-US" w:eastAsia="zh-CN"/>
        </w:rPr>
        <w:outlineLvl w:val="9"/>
      </w:pPr>
      <w:r>
        <w:rPr>
          <w:rFonts w:hint="eastAsia" w:ascii="宋体" w:hAnsi="宋体" w:eastAsia="宋体" w:cs="Times New Roman"/>
          <w:b w:val="0"/>
          <w:bCs w:val="0"/>
          <w:color w:val="auto"/>
          <w:szCs w:val="21"/>
          <w:highlight w:val="none"/>
          <w:lang w:val="en-US" w:eastAsia="zh-CN"/>
        </w:rPr>
        <w:t xml:space="preserve">8、本项目(是/否)接受进口产品：否。</w:t>
      </w:r>
      <w:r/>
    </w:p>
    <w:p>
      <w:pPr>
        <w:ind w:firstLine="422"/>
        <w:keepLines w:val="0"/>
        <w:keepNext w:val="0"/>
        <w:pageBreakBefore w:val="0"/>
        <w:spacing w:line="360" w:lineRule="auto"/>
        <w:widowControl w:val="off"/>
        <w:tabs>
          <w:tab w:val="left" w:pos="7005" w:leader="none"/>
        </w:tabs>
        <w:rPr>
          <w:rFonts w:hint="eastAsia" w:ascii="宋体" w:hAnsi="宋体" w:eastAsia="宋体" w:cs="Times New Roman"/>
          <w:b/>
          <w:bCs/>
          <w:color w:val="auto"/>
          <w:szCs w:val="21"/>
          <w:highlight w:val="none"/>
          <w:lang w:val="zh-CN"/>
        </w:rPr>
        <w:outlineLvl w:val="1"/>
      </w:pPr>
      <w:r>
        <w:rPr>
          <w:rFonts w:hint="eastAsia" w:ascii="宋体" w:hAnsi="宋体" w:eastAsia="宋体" w:cs="Times New Roman"/>
          <w:b/>
          <w:bCs/>
          <w:color w:val="auto"/>
          <w:szCs w:val="21"/>
          <w:highlight w:val="none"/>
          <w:lang w:val="zh-CN"/>
        </w:rPr>
        <w:t xml:space="preserve">二、申请人的资格要求</w:t>
      </w:r>
      <w:r/>
    </w:p>
    <w:p>
      <w:pPr>
        <w:ind w:firstLine="420"/>
        <w:keepLines w:val="0"/>
        <w:keepNext w:val="0"/>
        <w:pageBreakBefore w:val="0"/>
        <w:spacing w:line="360" w:lineRule="auto"/>
        <w:widowControl w:val="off"/>
        <w:tabs>
          <w:tab w:val="left" w:pos="7005" w:leader="none"/>
        </w:tabs>
        <w:rPr>
          <w:rFonts w:hint="eastAsia" w:ascii="宋体" w:hAnsi="宋体" w:eastAsia="宋体" w:cs="Times New Roman"/>
          <w:b w:val="0"/>
          <w:bCs w:val="0"/>
          <w:color w:val="auto"/>
          <w:szCs w:val="21"/>
          <w:highlight w:val="none"/>
          <w:lang w:val="zh-CN"/>
        </w:rPr>
        <w:outlineLvl w:val="9"/>
      </w:pPr>
      <w:r>
        <w:rPr>
          <w:rFonts w:hint="eastAsia" w:ascii="宋体" w:hAnsi="宋体" w:eastAsia="宋体" w:cs="Times New Roman"/>
          <w:b w:val="0"/>
          <w:bCs w:val="0"/>
          <w:color w:val="auto"/>
          <w:szCs w:val="21"/>
          <w:highlight w:val="none"/>
          <w:lang w:val="zh-CN" w:eastAsia="zh-CN"/>
        </w:rPr>
        <w:t xml:space="preserve">（</w:t>
      </w:r>
      <w:r>
        <w:rPr>
          <w:rFonts w:hint="eastAsia" w:ascii="宋体" w:hAnsi="宋体" w:eastAsia="宋体" w:cs="Times New Roman"/>
          <w:b w:val="0"/>
          <w:bCs w:val="0"/>
          <w:color w:val="auto"/>
          <w:szCs w:val="21"/>
          <w:highlight w:val="none"/>
          <w:lang w:val="en-US" w:eastAsia="zh-CN"/>
        </w:rPr>
        <w:t xml:space="preserve">一</w:t>
      </w:r>
      <w:r>
        <w:rPr>
          <w:rFonts w:hint="eastAsia" w:ascii="宋体" w:hAnsi="宋体" w:eastAsia="宋体" w:cs="Times New Roman"/>
          <w:b w:val="0"/>
          <w:bCs w:val="0"/>
          <w:color w:val="auto"/>
          <w:szCs w:val="21"/>
          <w:highlight w:val="none"/>
          <w:lang w:val="zh-CN" w:eastAsia="zh-CN"/>
        </w:rPr>
        <w:t xml:space="preserve">）</w:t>
      </w:r>
      <w:r>
        <w:rPr>
          <w:rFonts w:hint="eastAsia" w:ascii="宋体" w:hAnsi="宋体" w:eastAsia="宋体" w:cs="Times New Roman"/>
          <w:b w:val="0"/>
          <w:bCs w:val="0"/>
          <w:color w:val="auto"/>
          <w:szCs w:val="21"/>
          <w:highlight w:val="none"/>
          <w:lang w:val="zh-CN"/>
        </w:rPr>
        <w:t xml:space="preserve">满足《中华人民共和国政府采购法》第二十二条规定：</w:t>
      </w:r>
      <w:r/>
    </w:p>
    <w:p>
      <w:pPr>
        <w:ind w:firstLine="420"/>
        <w:keepLines w:val="0"/>
        <w:keepNext w:val="0"/>
        <w:pageBreakBefore w:val="0"/>
        <w:spacing w:line="360" w:lineRule="auto"/>
        <w:widowControl w:val="off"/>
        <w:tabs>
          <w:tab w:val="left" w:pos="7005" w:leader="none"/>
        </w:tabs>
        <w:rPr>
          <w:rFonts w:hint="eastAsia" w:ascii="宋体" w:hAnsi="宋体" w:eastAsia="宋体" w:cs="Times New Roman"/>
          <w:b w:val="0"/>
          <w:bCs w:val="0"/>
          <w:color w:val="auto"/>
          <w:szCs w:val="21"/>
          <w:highlight w:val="none"/>
          <w:lang w:val="zh-CN"/>
        </w:rPr>
        <w:outlineLvl w:val="9"/>
      </w:pPr>
      <w:r>
        <w:rPr>
          <w:rFonts w:hint="eastAsia" w:ascii="宋体" w:hAnsi="宋体" w:eastAsia="宋体" w:cs="Times New Roman"/>
          <w:b w:val="0"/>
          <w:bCs w:val="0"/>
          <w:color w:val="auto"/>
          <w:szCs w:val="21"/>
          <w:highlight w:val="none"/>
          <w:lang w:val="en-US" w:eastAsia="zh-CN"/>
        </w:rPr>
        <w:t xml:space="preserve">1.</w:t>
      </w:r>
      <w:r>
        <w:rPr>
          <w:rFonts w:hint="eastAsia" w:ascii="宋体" w:hAnsi="宋体" w:eastAsia="宋体" w:cs="Times New Roman"/>
          <w:b w:val="0"/>
          <w:bCs w:val="0"/>
          <w:color w:val="auto"/>
          <w:szCs w:val="21"/>
          <w:highlight w:val="none"/>
          <w:lang w:val="zh-CN"/>
        </w:rPr>
        <w:t xml:space="preserve">符合《政府采购法》第二十二条的相关规定，供应商提供网站在线打印的《南京市政府采购供应商信用记录表暨信用承诺书》。其中不适用信用承诺的情形：（</w:t>
      </w:r>
      <w:r>
        <w:rPr>
          <w:rFonts w:hint="eastAsia" w:ascii="宋体" w:hAnsi="宋体" w:eastAsia="宋体" w:cs="Times New Roman"/>
          <w:b w:val="0"/>
          <w:bCs w:val="0"/>
          <w:color w:val="auto"/>
          <w:szCs w:val="21"/>
          <w:highlight w:val="none"/>
          <w:lang w:val="en-US" w:eastAsia="zh-CN"/>
        </w:rPr>
        <w:t xml:space="preserve">1</w:t>
      </w:r>
      <w:r>
        <w:rPr>
          <w:rFonts w:hint="eastAsia" w:ascii="宋体" w:hAnsi="宋体" w:eastAsia="宋体" w:cs="Times New Roman"/>
          <w:b w:val="0"/>
          <w:bCs w:val="0"/>
          <w:color w:val="auto"/>
          <w:szCs w:val="21"/>
          <w:highlight w:val="none"/>
          <w:lang w:val="zh-CN"/>
        </w:rPr>
        <w:t xml:space="preserve">）供应商被列入严重失信主体名单：（</w:t>
      </w:r>
      <w:r>
        <w:rPr>
          <w:rFonts w:hint="eastAsia" w:ascii="宋体" w:hAnsi="宋体" w:eastAsia="宋体" w:cs="Times New Roman"/>
          <w:b w:val="0"/>
          <w:bCs w:val="0"/>
          <w:color w:val="auto"/>
          <w:szCs w:val="21"/>
          <w:highlight w:val="none"/>
          <w:lang w:val="en-US" w:eastAsia="zh-CN"/>
        </w:rPr>
        <w:t xml:space="preserve">2</w:t>
      </w:r>
      <w:r>
        <w:rPr>
          <w:rFonts w:hint="eastAsia" w:ascii="宋体" w:hAnsi="宋体" w:eastAsia="宋体" w:cs="Times New Roman"/>
          <w:b w:val="0"/>
          <w:bCs w:val="0"/>
          <w:color w:val="auto"/>
          <w:szCs w:val="21"/>
          <w:highlight w:val="none"/>
          <w:lang w:val="zh-CN"/>
        </w:rPr>
        <w:t xml:space="preserve">）被相关监督部门作出行政处罚且尚处在处罚有效期内：（</w:t>
      </w:r>
      <w:r>
        <w:rPr>
          <w:rFonts w:hint="eastAsia" w:ascii="宋体" w:hAnsi="宋体" w:eastAsia="宋体" w:cs="Times New Roman"/>
          <w:b w:val="0"/>
          <w:bCs w:val="0"/>
          <w:color w:val="auto"/>
          <w:szCs w:val="21"/>
          <w:highlight w:val="none"/>
          <w:lang w:val="en-US" w:eastAsia="zh-CN"/>
        </w:rPr>
        <w:t xml:space="preserve">3</w:t>
      </w:r>
      <w:r>
        <w:rPr>
          <w:rFonts w:hint="eastAsia" w:ascii="宋体" w:hAnsi="宋体" w:eastAsia="宋体" w:cs="Times New Roman"/>
          <w:b w:val="0"/>
          <w:bCs w:val="0"/>
          <w:color w:val="auto"/>
          <w:szCs w:val="21"/>
          <w:highlight w:val="none"/>
          <w:lang w:val="zh-CN"/>
        </w:rPr>
        <w:t xml:space="preserve">）其他法律、行政法规规定的不适用信用承诺的情形。</w:t>
      </w:r>
      <w:r/>
    </w:p>
    <w:p>
      <w:pPr>
        <w:ind w:firstLine="420"/>
        <w:keepLines w:val="0"/>
        <w:keepNext w:val="0"/>
        <w:pageBreakBefore w:val="0"/>
        <w:spacing w:line="360" w:lineRule="auto"/>
        <w:widowControl w:val="off"/>
        <w:tabs>
          <w:tab w:val="left" w:pos="7005" w:leader="none"/>
        </w:tabs>
        <w:rPr>
          <w:rFonts w:hint="default" w:ascii="宋体" w:hAnsi="宋体" w:eastAsia="宋体" w:cs="Times New Roman"/>
          <w:b w:val="0"/>
          <w:bCs w:val="0"/>
          <w:color w:val="auto"/>
          <w:szCs w:val="21"/>
          <w:highlight w:val="none"/>
          <w:lang w:val="en-US" w:eastAsia="zh-CN"/>
        </w:rPr>
        <w:outlineLvl w:val="9"/>
      </w:pPr>
      <w:r>
        <w:rPr>
          <w:rFonts w:hint="eastAsia" w:ascii="宋体" w:hAnsi="宋体" w:eastAsia="宋体" w:cs="Times New Roman"/>
          <w:b w:val="0"/>
          <w:bCs w:val="0"/>
          <w:color w:val="auto"/>
          <w:szCs w:val="21"/>
          <w:highlight w:val="none"/>
          <w:lang w:val="en-US" w:eastAsia="zh-CN"/>
        </w:rPr>
        <w:t xml:space="preserve">2.法律、行政法规规定的其他条件：无。</w:t>
      </w:r>
      <w:r/>
    </w:p>
    <w:p>
      <w:pPr>
        <w:ind w:firstLine="420"/>
        <w:keepLines w:val="0"/>
        <w:keepNext w:val="0"/>
        <w:pageBreakBefore w:val="0"/>
        <w:spacing w:line="360" w:lineRule="auto"/>
        <w:widowControl w:val="off"/>
        <w:tabs>
          <w:tab w:val="left" w:pos="7005" w:leader="none"/>
        </w:tabs>
        <w:rPr>
          <w:rFonts w:hint="eastAsia" w:ascii="宋体" w:hAnsi="宋体" w:eastAsia="宋体" w:cs="Times New Roman"/>
          <w:b w:val="0"/>
          <w:bCs w:val="0"/>
          <w:color w:val="auto"/>
          <w:szCs w:val="21"/>
          <w:highlight w:val="none"/>
          <w:lang w:val="zh-CN" w:eastAsia="zh-CN"/>
        </w:rPr>
        <w:outlineLvl w:val="9"/>
      </w:pPr>
      <w:r>
        <w:rPr>
          <w:rFonts w:hint="eastAsia" w:ascii="宋体" w:hAnsi="宋体" w:eastAsia="宋体" w:cs="Times New Roman"/>
          <w:b w:val="0"/>
          <w:bCs w:val="0"/>
          <w:color w:val="auto"/>
          <w:szCs w:val="21"/>
          <w:highlight w:val="none"/>
          <w:lang w:val="zh-CN" w:eastAsia="zh-CN"/>
        </w:rPr>
        <w:t xml:space="preserve">（</w:t>
      </w:r>
      <w:r>
        <w:rPr>
          <w:rFonts w:hint="eastAsia" w:ascii="宋体" w:hAnsi="宋体" w:eastAsia="宋体" w:cs="Times New Roman"/>
          <w:b w:val="0"/>
          <w:bCs w:val="0"/>
          <w:color w:val="auto"/>
          <w:szCs w:val="21"/>
          <w:highlight w:val="none"/>
          <w:lang w:val="en-US" w:eastAsia="zh-CN"/>
        </w:rPr>
        <w:t xml:space="preserve">二</w:t>
      </w:r>
      <w:r>
        <w:rPr>
          <w:rFonts w:hint="eastAsia" w:ascii="宋体" w:hAnsi="宋体" w:eastAsia="宋体" w:cs="Times New Roman"/>
          <w:b w:val="0"/>
          <w:bCs w:val="0"/>
          <w:color w:val="auto"/>
          <w:szCs w:val="21"/>
          <w:highlight w:val="none"/>
          <w:lang w:val="zh-CN" w:eastAsia="zh-CN"/>
        </w:rPr>
        <w:t xml:space="preserve">）落实政府采购政策需满足的资格要求：</w:t>
      </w:r>
      <w:r/>
    </w:p>
    <w:p>
      <w:pPr>
        <w:ind w:firstLine="420"/>
        <w:keepLines w:val="0"/>
        <w:keepNext w:val="0"/>
        <w:pageBreakBefore w:val="0"/>
        <w:spacing w:line="360" w:lineRule="auto"/>
        <w:widowControl w:val="off"/>
        <w:tabs>
          <w:tab w:val="left" w:pos="7005" w:leader="none"/>
        </w:tabs>
        <w:rPr>
          <w:rFonts w:hint="eastAsia" w:ascii="宋体" w:hAnsi="宋体" w:eastAsia="宋体" w:cs="Times New Roman"/>
          <w:b w:val="0"/>
          <w:bCs w:val="0"/>
          <w:color w:val="auto"/>
          <w:szCs w:val="21"/>
          <w:highlight w:val="none"/>
          <w:lang w:val="en-US" w:eastAsia="zh-CN"/>
        </w:rPr>
        <w:outlineLvl w:val="9"/>
      </w:pPr>
      <w:r>
        <w:rPr>
          <w:rFonts w:hint="eastAsia" w:ascii="宋体" w:hAnsi="宋体" w:eastAsia="宋体" w:cs="Times New Roman"/>
          <w:b w:val="0"/>
          <w:bCs w:val="0"/>
          <w:color w:val="auto"/>
          <w:szCs w:val="21"/>
          <w:highlight w:val="none"/>
          <w:lang w:val="zh-CN" w:eastAsia="zh-CN"/>
        </w:rPr>
        <w:t xml:space="preserve">本项目为非预留份额的采购项目或采购包，执行价格扣除优惠政策，具体详见第三章评标方法与评</w:t>
      </w:r>
      <w:r>
        <w:rPr>
          <w:rFonts w:hint="eastAsia" w:ascii="宋体" w:hAnsi="宋体" w:eastAsia="宋体" w:cs="Times New Roman"/>
          <w:b w:val="0"/>
          <w:bCs w:val="0"/>
          <w:color w:val="auto"/>
          <w:szCs w:val="21"/>
          <w:highlight w:val="none"/>
          <w:lang w:val="en-US" w:eastAsia="zh-CN"/>
        </w:rPr>
        <w:t xml:space="preserve">分</w:t>
      </w:r>
      <w:r>
        <w:rPr>
          <w:rFonts w:hint="eastAsia" w:ascii="宋体" w:hAnsi="宋体" w:eastAsia="宋体" w:cs="Times New Roman"/>
          <w:b w:val="0"/>
          <w:bCs w:val="0"/>
          <w:color w:val="auto"/>
          <w:szCs w:val="21"/>
          <w:highlight w:val="none"/>
          <w:lang w:val="zh-CN" w:eastAsia="zh-CN"/>
        </w:rPr>
        <w:t xml:space="preserve">标准。</w:t>
      </w:r>
      <w:r/>
    </w:p>
    <w:p>
      <w:pPr>
        <w:ind w:firstLine="420"/>
        <w:keepLines w:val="0"/>
        <w:keepNext w:val="0"/>
        <w:pageBreakBefore w:val="0"/>
        <w:spacing w:line="360" w:lineRule="auto"/>
        <w:widowControl w:val="off"/>
        <w:tabs>
          <w:tab w:val="left" w:pos="7005" w:leader="none"/>
        </w:tabs>
        <w:rPr>
          <w:rFonts w:hint="eastAsia" w:ascii="宋体" w:hAnsi="宋体" w:eastAsia="宋体" w:cs="Times New Roman"/>
          <w:b w:val="0"/>
          <w:bCs w:val="0"/>
          <w:color w:val="auto"/>
          <w:szCs w:val="21"/>
          <w:highlight w:val="none"/>
          <w:lang w:val="en-US" w:eastAsia="zh-CN"/>
        </w:rPr>
        <w:outlineLvl w:val="9"/>
      </w:pPr>
      <w:r>
        <w:rPr>
          <w:rFonts w:hint="eastAsia" w:ascii="宋体" w:hAnsi="宋体" w:eastAsia="宋体" w:cs="Times New Roman"/>
          <w:b w:val="0"/>
          <w:bCs w:val="0"/>
          <w:color w:val="auto"/>
          <w:szCs w:val="21"/>
          <w:highlight w:val="none"/>
          <w:lang w:val="en-US" w:eastAsia="zh-CN"/>
        </w:rPr>
        <w:t xml:space="preserve">本项目采购标的对应的中小企业划分标准所属行业为：工业。</w:t>
      </w:r>
      <w:r/>
    </w:p>
    <w:p>
      <w:pPr>
        <w:ind w:firstLine="420"/>
        <w:keepLines w:val="0"/>
        <w:keepNext w:val="0"/>
        <w:pageBreakBefore w:val="0"/>
        <w:spacing w:line="360" w:lineRule="auto"/>
        <w:widowControl w:val="off"/>
        <w:tabs>
          <w:tab w:val="left" w:pos="7005" w:leader="none"/>
        </w:tabs>
        <w:rPr>
          <w:rFonts w:hint="eastAsia" w:ascii="宋体" w:hAnsi="宋体" w:eastAsia="宋体" w:cs="Times New Roman"/>
          <w:b w:val="0"/>
          <w:bCs w:val="0"/>
          <w:color w:val="auto"/>
          <w:szCs w:val="21"/>
          <w:highlight w:val="none"/>
          <w:lang w:val="zh-CN"/>
        </w:rPr>
        <w:outlineLvl w:val="9"/>
      </w:pPr>
      <w:r>
        <w:rPr>
          <w:rFonts w:hint="eastAsia" w:ascii="宋体" w:hAnsi="宋体" w:eastAsia="宋体" w:cs="Times New Roman"/>
          <w:b w:val="0"/>
          <w:bCs w:val="0"/>
          <w:color w:val="auto"/>
          <w:szCs w:val="21"/>
          <w:highlight w:val="none"/>
          <w:lang w:val="zh-CN"/>
        </w:rPr>
        <w:t xml:space="preserve">（三）采购人根据采购项目的特殊要求规定的特定条件：</w:t>
      </w:r>
      <w:r/>
    </w:p>
    <w:p>
      <w:pPr>
        <w:ind w:firstLine="420"/>
        <w:keepLines w:val="0"/>
        <w:keepNext w:val="0"/>
        <w:pageBreakBefore w:val="0"/>
        <w:spacing w:line="360" w:lineRule="auto"/>
        <w:widowControl w:val="off"/>
        <w:tabs>
          <w:tab w:val="left" w:pos="7005" w:leader="none"/>
        </w:tabs>
        <w:rPr>
          <w:rFonts w:hint="eastAsia" w:ascii="宋体" w:hAnsi="宋体" w:eastAsia="宋体" w:cs="Times New Roman"/>
          <w:b w:val="0"/>
          <w:bCs w:val="0"/>
          <w:color w:val="auto"/>
          <w:szCs w:val="21"/>
          <w:highlight w:val="none"/>
          <w:lang w:val="en-US" w:eastAsia="zh-CN"/>
        </w:rPr>
        <w:outlineLvl w:val="9"/>
      </w:pPr>
      <w:r>
        <w:rPr>
          <w:rFonts w:hint="eastAsia" w:ascii="宋体" w:hAnsi="宋体" w:eastAsia="宋体" w:cs="Times New Roman"/>
          <w:b w:val="0"/>
          <w:bCs w:val="0"/>
          <w:color w:val="auto"/>
          <w:szCs w:val="21"/>
          <w:highlight w:val="none"/>
          <w:lang w:val="en-US" w:eastAsia="zh-CN"/>
        </w:rPr>
        <w:t xml:space="preserve">①企业资质要求：具有有效期内国家建设行政主管部门颁发的电力工程施工总承包三级(含)以上资质或输变电工程专业承包三级及以上资质，且具有省级及以上建设行政主管部门核发有效期内《安全生产许可证》（提供证书复印件加盖单位公章）。</w:t>
      </w:r>
      <w:r/>
    </w:p>
    <w:p>
      <w:pPr>
        <w:ind w:firstLine="420"/>
        <w:keepLines w:val="0"/>
        <w:keepNext w:val="0"/>
        <w:pageBreakBefore w:val="0"/>
        <w:spacing w:line="360" w:lineRule="auto"/>
        <w:widowControl w:val="off"/>
        <w:tabs>
          <w:tab w:val="left" w:pos="7005" w:leader="none"/>
        </w:tabs>
        <w:rPr>
          <w:rFonts w:hint="eastAsia" w:ascii="宋体" w:hAnsi="宋体" w:eastAsia="宋体" w:cs="Times New Roman"/>
          <w:b w:val="0"/>
          <w:bCs w:val="0"/>
          <w:color w:val="auto"/>
          <w:szCs w:val="21"/>
          <w:highlight w:val="none"/>
          <w:lang w:val="en-US" w:eastAsia="zh-CN"/>
        </w:rPr>
        <w:outlineLvl w:val="9"/>
      </w:pPr>
      <w:r>
        <w:rPr>
          <w:rFonts w:hint="eastAsia" w:ascii="宋体" w:hAnsi="宋体" w:eastAsia="宋体" w:cs="Times New Roman"/>
          <w:b w:val="0"/>
          <w:bCs w:val="0"/>
          <w:color w:val="auto"/>
          <w:szCs w:val="21"/>
          <w:highlight w:val="none"/>
          <w:lang w:val="en-US" w:eastAsia="zh-CN"/>
        </w:rPr>
        <w:t xml:space="preserve">②投标人具有国家主管部门颁发的承装（修、试）电力设施许可证，许可类别和等级：承装类五级、承修类五级、承试类五级及以上资质，提供在有效期内的证书（复印件加盖投标人公章）。</w:t>
      </w:r>
      <w:r/>
    </w:p>
    <w:p>
      <w:pPr>
        <w:ind w:firstLine="420"/>
        <w:keepLines w:val="0"/>
        <w:keepNext w:val="0"/>
        <w:pageBreakBefore w:val="0"/>
        <w:spacing w:line="360" w:lineRule="auto"/>
        <w:widowControl w:val="off"/>
        <w:tabs>
          <w:tab w:val="left" w:pos="7005" w:leader="none"/>
        </w:tabs>
        <w:rPr>
          <w:rFonts w:hint="eastAsia" w:ascii="宋体" w:hAnsi="宋体" w:eastAsia="宋体" w:cs="Times New Roman"/>
          <w:b w:val="0"/>
          <w:bCs w:val="0"/>
          <w:color w:val="auto"/>
          <w:szCs w:val="21"/>
          <w:highlight w:val="none"/>
          <w:lang w:val="en-US" w:eastAsia="zh-CN"/>
        </w:rPr>
        <w:outlineLvl w:val="9"/>
      </w:pPr>
      <w:r>
        <w:rPr>
          <w:rFonts w:hint="eastAsia" w:ascii="宋体" w:hAnsi="宋体" w:eastAsia="宋体" w:cs="Times New Roman"/>
          <w:b w:val="0"/>
          <w:bCs w:val="0"/>
          <w:color w:val="auto"/>
          <w:szCs w:val="21"/>
          <w:highlight w:val="none"/>
          <w:lang w:val="en-US" w:eastAsia="zh-CN"/>
        </w:rPr>
        <w:t xml:space="preserve">③项目经理资质要求：具有注册建造师证机电工程二级及以上，且具有省级及以上建筑主管部门核发的有效期内《建筑施工企业项目负责人和安全生产管理人员安全生产考核合格证书》（B类证）（提供参加本次采购活动近六个月（202</w:t>
      </w:r>
      <w:r>
        <w:rPr>
          <w:rFonts w:hint="eastAsia" w:ascii="宋体" w:hAnsi="宋体" w:cs="Times New Roman"/>
          <w:b w:val="0"/>
          <w:bCs w:val="0"/>
          <w:color w:val="auto"/>
          <w:szCs w:val="21"/>
          <w:highlight w:val="none"/>
          <w:lang w:val="en-US" w:eastAsia="zh-CN"/>
        </w:rPr>
        <w:t xml:space="preserve">6</w:t>
      </w:r>
      <w:r>
        <w:rPr>
          <w:rFonts w:hint="eastAsia" w:ascii="宋体" w:hAnsi="宋体" w:eastAsia="宋体" w:cs="Times New Roman"/>
          <w:b w:val="0"/>
          <w:bCs w:val="0"/>
          <w:color w:val="auto"/>
          <w:szCs w:val="21"/>
          <w:highlight w:val="none"/>
          <w:lang w:val="en-US" w:eastAsia="zh-CN"/>
        </w:rPr>
        <w:t xml:space="preserve">年</w:t>
      </w:r>
      <w:r>
        <w:rPr>
          <w:rFonts w:hint="eastAsia" w:ascii="宋体" w:hAnsi="宋体" w:cs="Times New Roman"/>
          <w:b w:val="0"/>
          <w:bCs w:val="0"/>
          <w:color w:val="auto"/>
          <w:szCs w:val="21"/>
          <w:highlight w:val="none"/>
          <w:lang w:val="en-US" w:eastAsia="zh-CN"/>
        </w:rPr>
        <w:t xml:space="preserve">1</w:t>
      </w:r>
      <w:r>
        <w:rPr>
          <w:rFonts w:hint="eastAsia" w:ascii="宋体" w:hAnsi="宋体" w:eastAsia="宋体" w:cs="Times New Roman"/>
          <w:b w:val="0"/>
          <w:bCs w:val="0"/>
          <w:color w:val="auto"/>
          <w:szCs w:val="21"/>
          <w:highlight w:val="none"/>
          <w:lang w:val="en-US" w:eastAsia="zh-CN"/>
        </w:rPr>
        <w:t xml:space="preserve">月-202</w:t>
      </w:r>
      <w:r>
        <w:rPr>
          <w:rFonts w:hint="eastAsia" w:ascii="宋体" w:hAnsi="宋体" w:cs="Times New Roman"/>
          <w:b w:val="0"/>
          <w:bCs w:val="0"/>
          <w:color w:val="auto"/>
          <w:szCs w:val="21"/>
          <w:highlight w:val="none"/>
          <w:lang w:val="en-US" w:eastAsia="zh-CN"/>
        </w:rPr>
        <w:t xml:space="preserve">6</w:t>
      </w:r>
      <w:r>
        <w:rPr>
          <w:rFonts w:hint="eastAsia" w:ascii="宋体" w:hAnsi="宋体" w:eastAsia="宋体" w:cs="Times New Roman"/>
          <w:b w:val="0"/>
          <w:bCs w:val="0"/>
          <w:color w:val="auto"/>
          <w:szCs w:val="21"/>
          <w:highlight w:val="none"/>
          <w:lang w:val="en-US" w:eastAsia="zh-CN"/>
        </w:rPr>
        <w:t xml:space="preserve">年</w:t>
      </w:r>
      <w:r>
        <w:rPr>
          <w:rFonts w:hint="eastAsia" w:ascii="宋体" w:hAnsi="宋体" w:cs="Times New Roman"/>
          <w:b w:val="0"/>
          <w:bCs w:val="0"/>
          <w:color w:val="auto"/>
          <w:szCs w:val="21"/>
          <w:highlight w:val="none"/>
          <w:lang w:val="en-US" w:eastAsia="zh-CN"/>
        </w:rPr>
        <w:t xml:space="preserve">6</w:t>
      </w:r>
      <w:r>
        <w:rPr>
          <w:rFonts w:hint="eastAsia" w:ascii="宋体" w:hAnsi="宋体" w:eastAsia="宋体" w:cs="Times New Roman"/>
          <w:b w:val="0"/>
          <w:bCs w:val="0"/>
          <w:color w:val="auto"/>
          <w:szCs w:val="21"/>
          <w:highlight w:val="none"/>
          <w:lang w:val="en-US" w:eastAsia="zh-CN"/>
        </w:rPr>
        <w:t xml:space="preserve">月）至少一个月投标申请人为其缴纳的社保缴费证明【加盖社保公章或具有可验证的二维码（或验证码）】，社保缴纳应体现养老、工伤、失业，或医疗、生育保险）。</w:t>
      </w:r>
      <w:r/>
    </w:p>
    <w:p>
      <w:pPr>
        <w:ind w:firstLine="420"/>
        <w:keepLines w:val="0"/>
        <w:keepNext w:val="0"/>
        <w:pageBreakBefore w:val="0"/>
        <w:spacing w:line="360" w:lineRule="auto"/>
        <w:widowControl w:val="off"/>
        <w:tabs>
          <w:tab w:val="left" w:pos="7005" w:leader="none"/>
        </w:tabs>
        <w:rPr>
          <w:rFonts w:hint="eastAsia" w:ascii="宋体" w:hAnsi="宋体" w:eastAsia="宋体" w:cs="Times New Roman"/>
          <w:b w:val="0"/>
          <w:bCs w:val="0"/>
          <w:color w:val="auto"/>
          <w:szCs w:val="21"/>
          <w:highlight w:val="none"/>
          <w:lang w:val="en-US" w:eastAsia="zh-CN"/>
        </w:rPr>
        <w:outlineLvl w:val="9"/>
      </w:pPr>
      <w:r>
        <w:rPr>
          <w:rFonts w:hint="eastAsia" w:ascii="宋体" w:hAnsi="宋体" w:eastAsia="宋体" w:cs="Times New Roman"/>
          <w:b w:val="0"/>
          <w:bCs w:val="0"/>
          <w:color w:val="auto"/>
          <w:szCs w:val="21"/>
          <w:highlight w:val="none"/>
          <w:lang w:val="en-US" w:eastAsia="zh-CN"/>
        </w:rPr>
        <w:t xml:space="preserve">④投标人须提供验收合格承诺，确保本项目设备安装完成后（除重大灾害、疫情等不可抗力的情形以外）可以及时通过供电部门验收、供电，否则由此产生的损失由投标人承担（承诺书格式自拟，并加盖投标人公章）。</w:t>
      </w:r>
      <w:r/>
    </w:p>
    <w:p>
      <w:pPr>
        <w:ind w:firstLine="422"/>
        <w:keepLines w:val="0"/>
        <w:keepNext w:val="0"/>
        <w:pageBreakBefore w:val="0"/>
        <w:spacing w:line="360" w:lineRule="auto"/>
        <w:widowControl w:val="off"/>
        <w:tabs>
          <w:tab w:val="left" w:pos="7005" w:leader="none"/>
        </w:tabs>
        <w:rPr>
          <w:rFonts w:hint="eastAsia" w:ascii="宋体" w:hAnsi="宋体" w:eastAsia="宋体" w:cs="Times New Roman"/>
          <w:b/>
          <w:bCs/>
          <w:color w:val="auto"/>
          <w:szCs w:val="21"/>
          <w:highlight w:val="none"/>
          <w:lang w:val="zh-CN"/>
        </w:rPr>
        <w:outlineLvl w:val="1"/>
      </w:pPr>
      <w:r>
        <w:rPr>
          <w:rFonts w:hint="eastAsia" w:ascii="宋体" w:hAnsi="宋体" w:eastAsia="宋体" w:cs="Times New Roman"/>
          <w:b/>
          <w:bCs/>
          <w:color w:val="auto"/>
          <w:szCs w:val="21"/>
          <w:highlight w:val="none"/>
          <w:lang w:val="zh-CN"/>
        </w:rPr>
        <w:t xml:space="preserve">三、获取招标文件</w:t>
      </w:r>
      <w:r/>
    </w:p>
    <w:p>
      <w:pPr>
        <w:ind w:firstLine="420"/>
        <w:keepLines w:val="0"/>
        <w:keepNext w:val="0"/>
        <w:pageBreakBefore w:val="0"/>
        <w:spacing w:line="360" w:lineRule="auto"/>
        <w:widowControl w:val="off"/>
        <w:tabs>
          <w:tab w:val="left" w:pos="7005" w:leader="none"/>
        </w:tabs>
        <w:rPr>
          <w:rFonts w:hint="eastAsia" w:ascii="宋体" w:hAnsi="宋体" w:eastAsia="宋体" w:cs="Times New Roman"/>
          <w:b w:val="0"/>
          <w:bCs w:val="0"/>
          <w:color w:val="auto"/>
          <w:szCs w:val="21"/>
          <w:highlight w:val="none"/>
          <w:lang w:val="zh-CN" w:eastAsia="zh-CN"/>
        </w:rPr>
        <w:outlineLvl w:val="9"/>
      </w:pPr>
      <w:r>
        <w:rPr>
          <w:rFonts w:hint="eastAsia" w:ascii="宋体" w:hAnsi="宋体" w:eastAsia="宋体" w:cs="Times New Roman"/>
          <w:b w:val="0"/>
          <w:bCs w:val="0"/>
          <w:color w:val="auto"/>
          <w:szCs w:val="21"/>
          <w:highlight w:val="none"/>
          <w:lang w:val="zh-CN" w:eastAsia="zh-CN"/>
        </w:rPr>
        <w:t xml:space="preserve">时间：自招标文件公告发布之日起5个工作日</w:t>
      </w:r>
      <w:r/>
    </w:p>
    <w:p>
      <w:pPr>
        <w:ind w:firstLine="420"/>
        <w:keepLines w:val="0"/>
        <w:keepNext w:val="0"/>
        <w:pageBreakBefore w:val="0"/>
        <w:spacing w:line="360" w:lineRule="auto"/>
        <w:widowControl w:val="off"/>
        <w:rPr>
          <w:rFonts w:hint="eastAsia"/>
          <w:color w:val="auto"/>
          <w:highlight w:val="none"/>
          <w:lang w:val="zh-CN" w:eastAsia="zh-CN"/>
        </w:rPr>
        <w:outlineLvl w:val="9"/>
      </w:pPr>
      <w:r>
        <w:rPr>
          <w:rFonts w:hint="eastAsia"/>
          <w:color w:val="auto"/>
          <w:highlight w:val="none"/>
          <w:lang w:val="zh-CN" w:eastAsia="zh-CN"/>
        </w:rPr>
        <w:t xml:space="preserve">地点：江苏政府采购网</w:t>
      </w:r>
      <w:r/>
    </w:p>
    <w:p>
      <w:pPr>
        <w:ind w:firstLine="420"/>
        <w:keepLines w:val="0"/>
        <w:keepNext w:val="0"/>
        <w:pageBreakBefore w:val="0"/>
        <w:spacing w:line="360" w:lineRule="auto"/>
        <w:widowControl w:val="off"/>
        <w:rPr>
          <w:rFonts w:hint="eastAsia"/>
          <w:color w:val="auto"/>
          <w:highlight w:val="none"/>
          <w:lang w:val="zh-CN" w:eastAsia="zh-CN"/>
        </w:rPr>
        <w:outlineLvl w:val="9"/>
      </w:pPr>
      <w:r>
        <w:rPr>
          <w:rFonts w:hint="eastAsia"/>
          <w:color w:val="auto"/>
          <w:highlight w:val="none"/>
          <w:lang w:val="zh-CN" w:eastAsia="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keepLines w:val="0"/>
        <w:keepNext w:val="0"/>
        <w:pageBreakBefore w:val="0"/>
        <w:spacing w:line="360" w:lineRule="auto"/>
        <w:widowControl w:val="off"/>
        <w:rPr>
          <w:color w:val="auto"/>
          <w:highlight w:val="none"/>
          <w:lang w:val="zh-CN"/>
        </w:rPr>
        <w:outlineLvl w:val="9"/>
      </w:pPr>
      <w:r>
        <w:rPr>
          <w:rFonts w:hint="eastAsia"/>
          <w:color w:val="auto"/>
          <w:highlight w:val="none"/>
          <w:lang w:val="zh-CN" w:eastAsia="zh-CN"/>
        </w:rPr>
        <w:t xml:space="preserve">售价：0.00元。</w:t>
      </w:r>
      <w:r/>
    </w:p>
    <w:p>
      <w:pPr>
        <w:ind w:firstLine="422"/>
        <w:keepLines w:val="0"/>
        <w:keepNext w:val="0"/>
        <w:pageBreakBefore w:val="0"/>
        <w:spacing w:line="360" w:lineRule="auto"/>
        <w:widowControl w:val="off"/>
        <w:tabs>
          <w:tab w:val="left" w:pos="7005" w:leader="none"/>
        </w:tabs>
        <w:rPr>
          <w:rFonts w:hint="eastAsia" w:ascii="宋体" w:hAnsi="宋体" w:eastAsia="宋体" w:cs="Times New Roman"/>
          <w:b/>
          <w:bCs/>
          <w:color w:val="auto"/>
          <w:szCs w:val="21"/>
          <w:highlight w:val="none"/>
          <w:lang w:val="zh-CN"/>
        </w:rPr>
        <w:outlineLvl w:val="1"/>
      </w:pPr>
      <w:r>
        <w:rPr>
          <w:rFonts w:hint="eastAsia" w:ascii="宋体" w:hAnsi="宋体" w:eastAsia="宋体" w:cs="Times New Roman"/>
          <w:b/>
          <w:bCs/>
          <w:color w:val="auto"/>
          <w:szCs w:val="21"/>
          <w:highlight w:val="none"/>
          <w:lang w:val="zh-CN"/>
        </w:rPr>
        <w:t xml:space="preserve">四、提交投标文件截止时间、</w:t>
      </w:r>
      <w:r>
        <w:rPr>
          <w:rFonts w:hint="eastAsia" w:ascii="宋体" w:hAnsi="宋体" w:eastAsia="宋体" w:cs="Times New Roman"/>
          <w:b/>
          <w:bCs/>
          <w:color w:val="auto"/>
          <w:szCs w:val="21"/>
          <w:highlight w:val="none"/>
          <w:lang w:val="en-US" w:eastAsia="zh-CN"/>
        </w:rPr>
        <w:t xml:space="preserve">开标时间和</w:t>
      </w:r>
      <w:r>
        <w:rPr>
          <w:rFonts w:hint="eastAsia" w:ascii="宋体" w:hAnsi="宋体" w:eastAsia="宋体" w:cs="Times New Roman"/>
          <w:b/>
          <w:bCs/>
          <w:color w:val="auto"/>
          <w:szCs w:val="21"/>
          <w:highlight w:val="none"/>
          <w:lang w:val="zh-CN"/>
        </w:rPr>
        <w:t xml:space="preserve">地点</w:t>
      </w:r>
      <w:r/>
    </w:p>
    <w:p>
      <w:pPr>
        <w:ind w:firstLine="420"/>
        <w:keepLines w:val="0"/>
        <w:keepNext w:val="0"/>
        <w:pageBreakBefore w:val="0"/>
        <w:spacing w:line="360" w:lineRule="auto"/>
        <w:widowControl w:val="off"/>
        <w:rPr>
          <w:rFonts w:hint="eastAsia" w:ascii="宋体" w:hAnsi="宋体"/>
          <w:b w:val="0"/>
          <w:bCs/>
          <w:color w:val="auto"/>
          <w:szCs w:val="21"/>
          <w:highlight w:val="none"/>
          <w:lang w:val="zh-CN"/>
        </w:rPr>
        <w:outlineLvl w:val="9"/>
      </w:pPr>
      <w:r>
        <w:rPr>
          <w:rFonts w:hint="eastAsia" w:ascii="宋体" w:hAnsi="宋体"/>
          <w:b w:val="0"/>
          <w:bCs/>
          <w:color w:val="auto"/>
          <w:szCs w:val="21"/>
          <w:highlight w:val="none"/>
          <w:lang w:val="zh-CN" w:eastAsia="zh-CN"/>
        </w:rPr>
        <w:t xml:space="preserve">时间：</w:t>
      </w:r>
      <w:r>
        <w:rPr>
          <w:rFonts w:hint="eastAsia" w:ascii="宋体" w:hAnsi="宋体"/>
          <w:b w:val="0"/>
          <w:bCs/>
          <w:color w:val="auto"/>
          <w:szCs w:val="21"/>
          <w:highlight w:val="none"/>
          <w:lang w:val="zh-CN"/>
        </w:rPr>
        <w:t xml:space="preserve">202</w:t>
      </w:r>
      <w:r>
        <w:rPr>
          <w:rFonts w:hint="eastAsia" w:ascii="宋体" w:hAnsi="宋体"/>
          <w:b w:val="0"/>
          <w:bCs/>
          <w:color w:val="auto"/>
          <w:szCs w:val="21"/>
          <w:highlight w:val="none"/>
          <w:lang w:val="en-US" w:eastAsia="zh-CN"/>
        </w:rPr>
        <w:t xml:space="preserve">6</w:t>
      </w:r>
      <w:r>
        <w:rPr>
          <w:rFonts w:hint="eastAsia" w:ascii="宋体" w:hAnsi="宋体"/>
          <w:b w:val="0"/>
          <w:bCs/>
          <w:color w:val="auto"/>
          <w:szCs w:val="21"/>
          <w:highlight w:val="none"/>
          <w:lang w:val="zh-CN"/>
        </w:rPr>
        <w:t xml:space="preserve">年</w:t>
      </w:r>
      <w:r>
        <w:rPr>
          <w:rFonts w:hint="eastAsia" w:ascii="宋体" w:hAnsi="宋体"/>
          <w:b w:val="0"/>
          <w:bCs/>
          <w:color w:val="auto"/>
          <w:szCs w:val="21"/>
          <w:highlight w:val="none"/>
          <w:lang w:val="en-US" w:eastAsia="zh-CN"/>
        </w:rPr>
        <w:t xml:space="preserve">7</w:t>
      </w:r>
      <w:r>
        <w:rPr>
          <w:rFonts w:hint="eastAsia" w:ascii="宋体" w:hAnsi="宋体"/>
          <w:b w:val="0"/>
          <w:bCs/>
          <w:color w:val="auto"/>
          <w:szCs w:val="21"/>
          <w:highlight w:val="none"/>
          <w:lang w:val="zh-CN" w:eastAsia="zh-CN"/>
        </w:rPr>
        <w:t xml:space="preserve">月</w:t>
      </w:r>
      <w:r>
        <w:rPr>
          <w:rFonts w:hint="eastAsia" w:ascii="宋体" w:hAnsi="宋体"/>
          <w:b w:val="0"/>
          <w:bCs/>
          <w:color w:val="auto"/>
          <w:szCs w:val="21"/>
          <w:highlight w:val="none"/>
          <w:lang w:val="en-US" w:eastAsia="zh-CN"/>
        </w:rPr>
        <w:t xml:space="preserve">13</w:t>
      </w:r>
      <w:r>
        <w:rPr>
          <w:rFonts w:hint="eastAsia" w:ascii="宋体" w:hAnsi="宋体"/>
          <w:b w:val="0"/>
          <w:bCs/>
          <w:color w:val="auto"/>
          <w:szCs w:val="21"/>
          <w:highlight w:val="none"/>
          <w:lang w:val="zh-CN" w:eastAsia="zh-CN"/>
        </w:rPr>
        <w:t xml:space="preserve">日</w:t>
      </w:r>
      <w:r>
        <w:rPr>
          <w:rFonts w:hint="eastAsia" w:ascii="宋体" w:hAnsi="宋体"/>
          <w:b w:val="0"/>
          <w:bCs/>
          <w:color w:val="auto"/>
          <w:szCs w:val="21"/>
          <w:highlight w:val="none"/>
          <w:lang w:val="en-US" w:eastAsia="zh-CN"/>
        </w:rPr>
        <w:t xml:space="preserve">9</w:t>
      </w:r>
      <w:r>
        <w:rPr>
          <w:rFonts w:hint="eastAsia" w:ascii="宋体" w:hAnsi="宋体"/>
          <w:b w:val="0"/>
          <w:bCs/>
          <w:color w:val="auto"/>
          <w:szCs w:val="21"/>
          <w:highlight w:val="none"/>
          <w:lang w:val="zh-CN" w:eastAsia="zh-CN"/>
        </w:rPr>
        <w:t xml:space="preserve">点</w:t>
      </w:r>
      <w:r>
        <w:rPr>
          <w:rFonts w:hint="eastAsia" w:ascii="宋体" w:hAnsi="宋体"/>
          <w:b w:val="0"/>
          <w:bCs/>
          <w:color w:val="auto"/>
          <w:szCs w:val="21"/>
          <w:highlight w:val="none"/>
          <w:lang w:val="en-US" w:eastAsia="zh-CN"/>
        </w:rPr>
        <w:t xml:space="preserve">3</w:t>
      </w:r>
      <w:r>
        <w:rPr>
          <w:rFonts w:hint="eastAsia" w:ascii="宋体" w:hAnsi="宋体"/>
          <w:b w:val="0"/>
          <w:bCs/>
          <w:color w:val="auto"/>
          <w:szCs w:val="21"/>
          <w:highlight w:val="none"/>
          <w:lang w:val="zh-CN" w:eastAsia="zh-CN"/>
        </w:rPr>
        <w:t xml:space="preserve">0分</w:t>
      </w:r>
      <w:r>
        <w:rPr>
          <w:rFonts w:hint="eastAsia" w:ascii="宋体" w:hAnsi="宋体"/>
          <w:b w:val="0"/>
          <w:bCs/>
          <w:color w:val="auto"/>
          <w:szCs w:val="21"/>
          <w:highlight w:val="none"/>
          <w:lang w:val="zh-CN"/>
        </w:rPr>
        <w:t xml:space="preserve">（北京时间）</w:t>
      </w:r>
      <w:r/>
    </w:p>
    <w:p>
      <w:pPr>
        <w:ind w:firstLine="420"/>
        <w:keepLines w:val="0"/>
        <w:keepNext w:val="0"/>
        <w:pageBreakBefore w:val="0"/>
        <w:spacing w:line="360" w:lineRule="auto"/>
        <w:widowControl w:val="off"/>
        <w:rPr>
          <w:rFonts w:ascii="宋体" w:hAnsi="宋体"/>
          <w:b/>
          <w:color w:val="auto"/>
          <w:szCs w:val="21"/>
          <w:highlight w:val="none"/>
          <w:lang w:val="zh-CN"/>
        </w:rPr>
        <w:outlineLvl w:val="9"/>
      </w:pPr>
      <w:r>
        <w:rPr>
          <w:rFonts w:hint="eastAsia" w:ascii="宋体" w:hAnsi="宋体"/>
          <w:b w:val="0"/>
          <w:bCs/>
          <w:color w:val="auto"/>
          <w:szCs w:val="21"/>
          <w:highlight w:val="none"/>
          <w:lang w:val="zh-CN"/>
        </w:rPr>
        <w:t xml:space="preserve">地点：“苏采云系统”网上开标大厅</w:t>
      </w:r>
      <w:r/>
    </w:p>
    <w:p>
      <w:pPr>
        <w:ind w:firstLine="422"/>
        <w:keepLines w:val="0"/>
        <w:keepNext w:val="0"/>
        <w:pageBreakBefore w:val="0"/>
        <w:spacing w:line="360" w:lineRule="auto"/>
        <w:widowControl w:val="off"/>
        <w:tabs>
          <w:tab w:val="left" w:pos="7005" w:leader="none"/>
        </w:tabs>
        <w:rPr>
          <w:rFonts w:hint="eastAsia" w:ascii="宋体" w:hAnsi="宋体" w:eastAsia="宋体" w:cs="Times New Roman"/>
          <w:b/>
          <w:bCs/>
          <w:color w:val="auto"/>
          <w:szCs w:val="21"/>
          <w:highlight w:val="none"/>
          <w:lang w:val="zh-CN" w:eastAsia="zh-CN"/>
        </w:rPr>
        <w:outlineLvl w:val="1"/>
      </w:pPr>
      <w:r>
        <w:rPr>
          <w:rFonts w:hint="eastAsia" w:ascii="宋体" w:hAnsi="宋体" w:eastAsia="宋体" w:cs="Times New Roman"/>
          <w:b/>
          <w:bCs/>
          <w:color w:val="auto"/>
          <w:szCs w:val="21"/>
          <w:highlight w:val="none"/>
          <w:lang w:val="en-US" w:eastAsia="zh-CN"/>
        </w:rPr>
        <w:t xml:space="preserve">五</w:t>
      </w:r>
      <w:r>
        <w:rPr>
          <w:rFonts w:hint="eastAsia" w:ascii="宋体" w:hAnsi="宋体" w:eastAsia="宋体" w:cs="Times New Roman"/>
          <w:b/>
          <w:bCs/>
          <w:color w:val="auto"/>
          <w:szCs w:val="21"/>
          <w:highlight w:val="none"/>
          <w:lang w:val="zh-CN"/>
        </w:rPr>
        <w:t xml:space="preserve">、公告期限</w:t>
      </w:r>
      <w:r/>
    </w:p>
    <w:p>
      <w:pPr>
        <w:ind w:firstLine="420"/>
        <w:keepLines w:val="0"/>
        <w:keepNext w:val="0"/>
        <w:pageBreakBefore w:val="0"/>
        <w:spacing w:line="360" w:lineRule="auto"/>
        <w:widowControl w:val="off"/>
        <w:rPr>
          <w:rFonts w:ascii="宋体" w:hAnsi="宋体"/>
          <w:color w:val="auto"/>
          <w:szCs w:val="21"/>
          <w:highlight w:val="none"/>
        </w:rPr>
        <w:outlineLvl w:val="9"/>
      </w:pPr>
      <w:r>
        <w:rPr>
          <w:rFonts w:hint="eastAsia" w:ascii="宋体" w:hAnsi="宋体"/>
          <w:color w:val="auto"/>
          <w:szCs w:val="21"/>
          <w:highlight w:val="none"/>
        </w:rPr>
        <w:t xml:space="preserve">自本公告发布之日起5个工作日。</w:t>
      </w:r>
      <w:r/>
    </w:p>
    <w:p>
      <w:pPr>
        <w:ind w:firstLine="422"/>
        <w:keepLines w:val="0"/>
        <w:keepNext w:val="0"/>
        <w:pageBreakBefore w:val="0"/>
        <w:spacing w:line="360" w:lineRule="auto"/>
        <w:widowControl w:val="off"/>
        <w:tabs>
          <w:tab w:val="left" w:pos="7005" w:leader="none"/>
        </w:tabs>
        <w:rPr>
          <w:rFonts w:hint="eastAsia" w:ascii="宋体" w:hAnsi="宋体" w:eastAsia="宋体" w:cs="Times New Roman"/>
          <w:b/>
          <w:bCs/>
          <w:color w:val="auto"/>
          <w:szCs w:val="21"/>
          <w:highlight w:val="none"/>
          <w:lang w:val="en-US" w:eastAsia="zh-CN"/>
        </w:rPr>
        <w:outlineLvl w:val="1"/>
      </w:pPr>
      <w:r>
        <w:rPr>
          <w:rFonts w:hint="eastAsia" w:ascii="宋体" w:hAnsi="宋体" w:eastAsia="宋体" w:cs="Times New Roman"/>
          <w:b/>
          <w:bCs/>
          <w:color w:val="auto"/>
          <w:szCs w:val="21"/>
          <w:highlight w:val="none"/>
          <w:lang w:val="en-US" w:eastAsia="zh-CN"/>
        </w:rPr>
        <w:t xml:space="preserve">六、其他补充事宜</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集中勘察或答疑：</w:t>
      </w:r>
      <w:r>
        <w:rPr>
          <w:rFonts w:hint="eastAsia" w:ascii="宋体" w:hAnsi="宋体" w:eastAsia="宋体" w:cs="宋体"/>
          <w:color w:val="auto"/>
          <w:sz w:val="21"/>
          <w:szCs w:val="21"/>
          <w:highlight w:val="none"/>
        </w:rPr>
        <w:t xml:space="preserve">不组织集中勘察，供应商如果对采购需求有疑问请和采购单位联系人沟通。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有关本次</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的事项若存在变动或修改，敬请及时关注“</w:t>
      </w:r>
      <w:r>
        <w:rPr>
          <w:rFonts w:hint="eastAsia" w:ascii="宋体" w:hAnsi="宋体" w:eastAsia="宋体" w:cs="宋体"/>
          <w:color w:val="auto"/>
          <w:sz w:val="21"/>
          <w:szCs w:val="21"/>
          <w:highlight w:val="none"/>
          <w:lang w:eastAsia="zh-CN"/>
        </w:rPr>
        <w:t xml:space="preserve">江苏政府采购网</w:t>
      </w:r>
      <w:r>
        <w:rPr>
          <w:rFonts w:hint="eastAsia" w:ascii="宋体" w:hAnsi="宋体" w:eastAsia="宋体" w:cs="宋体"/>
          <w:color w:val="auto"/>
          <w:sz w:val="21"/>
          <w:szCs w:val="21"/>
          <w:highlight w:val="none"/>
        </w:rPr>
        <w:t xml:space="preserve">”发布的信息更正公告。</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w:t>
      </w:r>
      <w:r>
        <w:rPr>
          <w:rFonts w:hint="eastAsia" w:ascii="宋体" w:hAnsi="宋体" w:eastAsia="宋体" w:cs="宋体"/>
          <w:color w:val="auto"/>
          <w:sz w:val="21"/>
          <w:szCs w:val="21"/>
          <w:highlight w:val="none"/>
        </w:rPr>
        <w:t xml:space="preserve">”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ascii="宋体" w:hAnsi="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一并递交。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在政府采购资格审查环节，供应商只需提供书面《南京市政府采购供应商信用记录表暨信用承诺书》，即可替代以下证明材料：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（1）符合国家相关规定的财务状况报告；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（2）依法缴纳税收的证明材料；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（3）依法缴纳社会保障资金的证明材料；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（4）具备履行政府采购合同所必需的设备和专业技术能力的证明材料；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（5）参加政府采购活动前三年内在经营活动中没有重大违法记录的证明材料；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（6）未被列入失信被执行人、重大税收违法失信主体、政府采购严重违法失信行为记录名单的证明材料。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供应商涉及以下情形的，不适用信用承诺：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（1）供应商被列入严重失信主体名单；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（2）被相关监管部门作出行政处罚且尚在处罚有效期内；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（3）其他法律、行政法规规定的不适用信用承诺的情形。</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供应商对信用承诺内容的真实性、合法性、有效性负责。如作出虚假信用承诺，视同为“提供虚假材料谋取中标、成交”的违法行为。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友情提示：南京市政府采购供应商诚信档案管理系统客服电话：</w:t>
      </w:r>
      <w:r>
        <w:rPr>
          <w:rFonts w:hint="eastAsia" w:ascii="宋体" w:hAnsi="宋体" w:eastAsia="宋体" w:cs="宋体"/>
          <w:color w:val="auto"/>
          <w:sz w:val="21"/>
          <w:szCs w:val="21"/>
          <w:highlight w:val="none"/>
          <w:lang w:val="en-US"/>
        </w:rPr>
        <w:t xml:space="preserve">025-52718366</w:t>
      </w:r>
      <w:r>
        <w:rPr>
          <w:rFonts w:hint="eastAsia" w:ascii="宋体" w:hAnsi="宋体" w:eastAsia="宋体" w:cs="宋体"/>
          <w:color w:val="auto"/>
          <w:sz w:val="21"/>
          <w:szCs w:val="21"/>
          <w:highlight w:val="none"/>
        </w:rPr>
        <w:t xml:space="preserve">；供应商可就用户注册与打印</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lang w:eastAsia="zh-CN"/>
        </w:rPr>
        <w:t xml:space="preserve">南京市政府采购供应商信用记录表暨信用承诺书</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rPr>
        <w:t xml:space="preserve">等事宜进行咨询。</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本项目需要使用CA数字证书制作、上传电子</w:t>
      </w:r>
      <w:r>
        <w:rPr>
          <w:rFonts w:hint="eastAsia" w:ascii="宋体" w:hAnsi="宋体" w:cs="宋体"/>
          <w:color w:val="auto"/>
          <w:sz w:val="21"/>
          <w:szCs w:val="21"/>
          <w:highlight w:val="none"/>
          <w:lang w:val="en-US" w:eastAsia="zh-CN"/>
        </w:rPr>
        <w:t xml:space="preserve">投标文件</w:t>
      </w:r>
      <w:r>
        <w:rPr>
          <w:rFonts w:hint="eastAsia" w:ascii="宋体" w:hAnsi="宋体" w:eastAsia="宋体" w:cs="宋体"/>
          <w:color w:val="auto"/>
          <w:sz w:val="21"/>
          <w:szCs w:val="21"/>
          <w:highlight w:val="none"/>
        </w:rPr>
        <w:t xml:space="preserve">完成电子投标，请供应商在参加</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活动前办理好CA数字证书申领及电子签章等操作。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rPr>
          <w:rFonts w:hint="eastAsia" w:ascii="宋体" w:hAnsi="宋体" w:eastAsia="宋体" w:cs="宋体"/>
          <w:color w:val="auto"/>
          <w:sz w:val="21"/>
          <w:szCs w:val="21"/>
          <w:highlight w:val="none"/>
          <w:lang w:val="zh-CN"/>
        </w:rPr>
        <w:t xml:space="preserve">江苏省政府采购交易系统</w:t>
      </w:r>
      <w:r>
        <w:rPr>
          <w:rFonts w:hint="eastAsia" w:ascii="宋体" w:hAnsi="宋体" w:eastAsia="宋体" w:cs="宋体"/>
          <w:color w:val="auto"/>
          <w:sz w:val="21"/>
          <w:szCs w:val="21"/>
          <w:highlight w:val="none"/>
        </w:rPr>
        <w:t xml:space="preserve">（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w:t>
      </w:r>
      <w:r>
        <w:rPr>
          <w:rFonts w:hint="eastAsia" w:ascii="宋体" w:hAnsi="宋体" w:eastAsia="宋体" w:cs="宋体"/>
          <w:color w:val="auto"/>
          <w:sz w:val="21"/>
          <w:szCs w:val="21"/>
          <w:highlight w:val="none"/>
          <w:lang w:eastAsia="zh-CN"/>
        </w:rPr>
        <w:t xml:space="preserve">代理公司</w:t>
      </w:r>
      <w:r>
        <w:rPr>
          <w:rFonts w:hint="eastAsia" w:ascii="宋体" w:hAnsi="宋体" w:eastAsia="宋体" w:cs="宋体"/>
          <w:color w:val="auto"/>
          <w:sz w:val="21"/>
          <w:szCs w:val="21"/>
          <w:highlight w:val="none"/>
        </w:rPr>
        <w:t xml:space="preserve">北门外1255室（025-68505941）办理）。具体联系方式见《苏采云系统供应商操作手册》（以下简称《操作手册》）。</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4.2供应商按《苏采云系统供应商操作手册》要求进行注册，并制作上传电子</w:t>
      </w:r>
      <w:r>
        <w:rPr>
          <w:rFonts w:hint="eastAsia" w:ascii="宋体" w:hAnsi="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（“苏采云”南京地区客服热线025-83633744、025-83633743）。江苏省政府采购管理交易系统供应商操作指南，下载地址：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"http://www.ccgp-jiangsu.gov.cn/jiangsu/zlxz/ee/ee3a4bc5a3454aa2b0d9312230633ce9.html。" </w:instrText>
      </w:r>
      <w:r>
        <w:rPr>
          <w:rFonts w:hint="eastAsia" w:ascii="宋体" w:hAnsi="宋体" w:eastAsia="宋体" w:cs="宋体"/>
          <w:color w:val="auto"/>
          <w:sz w:val="21"/>
          <w:szCs w:val="21"/>
          <w:highlight w:val="none"/>
        </w:rPr>
        <w:fldChar w:fldCharType="separate"/>
      </w:r>
      <w:r>
        <w:rPr>
          <w:rStyle w:val="730"/>
          <w:rFonts w:hint="eastAsia" w:ascii="宋体" w:hAnsi="宋体" w:eastAsia="宋体" w:cs="宋体"/>
          <w:sz w:val="21"/>
          <w:szCs w:val="21"/>
          <w:highlight w:val="none"/>
        </w:rPr>
        <w:t xml:space="preserve">http://www.ccgp-jiangsu.gov.cn/jiangsu/zlxz/ee/ee3a4bc5a3454aa2b0d9312230633ce9.html</w:t>
      </w:r>
      <w:r>
        <w:rPr>
          <w:rStyle w:val="730"/>
          <w:rFonts w:hint="eastAsia" w:ascii="宋体" w:hAnsi="宋体" w:eastAsia="宋体" w:cs="宋体"/>
          <w:bCs/>
          <w:sz w:val="21"/>
          <w:szCs w:val="21"/>
          <w:highlight w:val="none"/>
        </w:rPr>
        <w:t xml:space="preserve">。</w:t>
      </w:r>
      <w:r>
        <w:rPr>
          <w:rFonts w:hint="eastAsia" w:ascii="宋体" w:hAnsi="宋体" w:eastAsia="宋体" w:cs="宋体"/>
          <w:color w:val="auto"/>
          <w:sz w:val="21"/>
          <w:szCs w:val="21"/>
          <w:highlight w:val="none"/>
        </w:rPr>
        <w:fldChar w:fldCharType="end"/>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5.建设工程企业资质证书有效期延期执行国家及省、市相关文件规定。投标人须确保提交的证书真实有效，若处于换证期间，须同时提供相应的证明材料，否则将导致资格审查不通过。</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2"/>
        <w:keepLines w:val="0"/>
        <w:keepNext w:val="0"/>
        <w:pageBreakBefore w:val="0"/>
        <w:spacing w:line="360" w:lineRule="auto"/>
        <w:widowControl w:val="off"/>
        <w:rPr>
          <w:rFonts w:hint="eastAsia" w:ascii="宋体" w:hAnsi="宋体" w:eastAsia="宋体"/>
          <w:b/>
          <w:bCs/>
          <w:color w:val="auto"/>
          <w:szCs w:val="21"/>
          <w:highlight w:val="none"/>
          <w:lang w:eastAsia="zh-CN"/>
        </w:rPr>
        <w:outlineLvl w:val="1"/>
      </w:pPr>
      <w:r>
        <w:rPr>
          <w:rFonts w:hint="eastAsia" w:ascii="宋体" w:hAnsi="宋体"/>
          <w:b/>
          <w:bCs/>
          <w:color w:val="auto"/>
          <w:szCs w:val="21"/>
          <w:highlight w:val="none"/>
          <w:lang w:val="en-US" w:eastAsia="zh-CN"/>
        </w:rPr>
        <w:t xml:space="preserve">七</w:t>
      </w:r>
      <w:r>
        <w:rPr>
          <w:rFonts w:hint="eastAsia" w:ascii="宋体" w:hAnsi="宋体"/>
          <w:b/>
          <w:bCs/>
          <w:color w:val="auto"/>
          <w:szCs w:val="21"/>
          <w:highlight w:val="none"/>
        </w:rPr>
        <w:t xml:space="preserve">、对本次招标提出询问，请按以下方式联系</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1.采购人信息</w:t>
      </w:r>
      <w:r/>
    </w:p>
    <w:p>
      <w:pPr>
        <w:ind w:firstLine="420"/>
        <w:keepLines w:val="0"/>
        <w:keepNext w:val="0"/>
        <w:pageBreakBefore w:val="0"/>
        <w:spacing w:line="360" w:lineRule="auto"/>
        <w:widowControl w:val="off"/>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名称：</w:t>
      </w:r>
      <w:r>
        <w:rPr>
          <w:rFonts w:hint="eastAsia" w:ascii="宋体" w:hAnsi="宋体"/>
          <w:color w:val="auto"/>
          <w:szCs w:val="21"/>
          <w:highlight w:val="none"/>
          <w:lang w:eastAsia="zh-CN"/>
        </w:rPr>
        <w:t xml:space="preserve">南京市溧水区第三高级中学</w:t>
      </w:r>
      <w:r/>
    </w:p>
    <w:p>
      <w:pPr>
        <w:ind w:firstLine="420"/>
        <w:keepLines w:val="0"/>
        <w:keepNext w:val="0"/>
        <w:pageBreakBefore w:val="0"/>
        <w:spacing w:line="360" w:lineRule="auto"/>
        <w:widowControl w:val="off"/>
        <w:rPr>
          <w:rFonts w:hint="eastAsia" w:ascii="宋体" w:hAnsi="宋体" w:eastAsia="宋体"/>
          <w:color w:val="auto"/>
          <w:szCs w:val="21"/>
          <w:highlight w:val="none"/>
          <w:lang w:eastAsia="zh-CN"/>
        </w:rPr>
      </w:pPr>
      <w:r>
        <w:rPr>
          <w:rFonts w:hint="eastAsia" w:ascii="宋体" w:hAnsi="宋体"/>
          <w:color w:val="auto"/>
          <w:szCs w:val="21"/>
          <w:highlight w:val="none"/>
        </w:rPr>
        <w:t xml:space="preserve">地址：溧水区永阳街道分龙岗路71号</w:t>
      </w:r>
      <w:r/>
    </w:p>
    <w:p>
      <w:pPr>
        <w:ind w:firstLine="420"/>
        <w:keepLines w:val="0"/>
        <w:keepNext w:val="0"/>
        <w:pageBreakBefore w:val="0"/>
        <w:spacing w:line="360" w:lineRule="auto"/>
        <w:widowControl w:val="off"/>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联系方式：</w:t>
      </w:r>
      <w:r>
        <w:rPr>
          <w:rFonts w:hint="eastAsia" w:ascii="宋体" w:hAnsi="宋体"/>
          <w:color w:val="auto"/>
          <w:szCs w:val="21"/>
          <w:highlight w:val="none"/>
          <w:lang w:val="en-US" w:eastAsia="zh-CN"/>
        </w:rPr>
        <w:t xml:space="preserve">高老师025-57214440</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2.采购代理机构信息</w:t>
      </w:r>
      <w:r/>
    </w:p>
    <w:p>
      <w:pPr>
        <w:ind w:firstLine="420"/>
        <w:keepLines w:val="0"/>
        <w:keepNext w:val="0"/>
        <w:pageBreakBefore w:val="0"/>
        <w:spacing w:line="360" w:lineRule="auto"/>
        <w:widowControl w:val="off"/>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名称：</w:t>
      </w:r>
      <w:r>
        <w:rPr>
          <w:rFonts w:hint="eastAsia" w:ascii="宋体" w:hAnsi="宋体"/>
          <w:bCs/>
          <w:color w:val="auto"/>
          <w:szCs w:val="21"/>
          <w:highlight w:val="none"/>
          <w:lang w:eastAsia="zh-CN"/>
        </w:rPr>
        <w:t xml:space="preserve">南京中信工程造价有限公司</w:t>
      </w:r>
      <w:r/>
    </w:p>
    <w:p>
      <w:pPr>
        <w:ind w:firstLine="420"/>
        <w:keepLines w:val="0"/>
        <w:keepNext w:val="0"/>
        <w:pageBreakBefore w:val="0"/>
        <w:spacing w:line="360" w:lineRule="auto"/>
        <w:widowControl w:val="off"/>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地址：</w:t>
      </w:r>
      <w:r>
        <w:rPr>
          <w:rFonts w:hint="eastAsia" w:ascii="宋体" w:hAnsi="宋体"/>
          <w:bCs/>
          <w:color w:val="auto"/>
          <w:szCs w:val="21"/>
          <w:highlight w:val="none"/>
          <w:lang w:eastAsia="zh-CN"/>
        </w:rPr>
        <w:t xml:space="preserve">南京市溧水区永阳街道温州商贸文化广场停车场内南京中信工程造价有限公司三楼304室</w:t>
      </w:r>
      <w:r/>
    </w:p>
    <w:p>
      <w:pPr>
        <w:ind w:firstLine="420"/>
        <w:keepLines w:val="0"/>
        <w:keepNext w:val="0"/>
        <w:pageBreakBefore w:val="0"/>
        <w:spacing w:line="360" w:lineRule="auto"/>
        <w:widowControl w:val="off"/>
        <w:rPr>
          <w:rFonts w:hint="default" w:ascii="宋体" w:hAnsi="宋体" w:eastAsia="宋体"/>
          <w:bCs/>
          <w:color w:val="auto"/>
          <w:szCs w:val="21"/>
          <w:highlight w:val="none"/>
          <w:lang w:val="en-US" w:eastAsia="zh-CN"/>
        </w:rPr>
      </w:pPr>
      <w:r>
        <w:rPr>
          <w:rFonts w:hint="eastAsia" w:ascii="宋体" w:hAnsi="宋体"/>
          <w:bCs/>
          <w:color w:val="auto"/>
          <w:szCs w:val="21"/>
          <w:highlight w:val="none"/>
        </w:rPr>
        <w:t xml:space="preserve">联系方式：</w:t>
      </w:r>
      <w:r>
        <w:rPr>
          <w:rFonts w:hint="eastAsia" w:ascii="宋体" w:hAnsi="宋体"/>
          <w:bCs/>
          <w:color w:val="auto"/>
          <w:szCs w:val="21"/>
          <w:highlight w:val="none"/>
          <w:lang w:val="en-US" w:eastAsia="zh-CN"/>
        </w:rPr>
        <w:t xml:space="preserve">刘工025-57207242/18018065298</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3.项目联系方式</w:t>
      </w:r>
      <w:r/>
    </w:p>
    <w:p>
      <w:pPr>
        <w:ind w:firstLine="420"/>
        <w:keepLines w:val="0"/>
        <w:keepNext w:val="0"/>
        <w:pageBreakBefore w:val="0"/>
        <w:spacing w:line="360" w:lineRule="auto"/>
        <w:widowControl w:val="off"/>
        <w:rPr>
          <w:rFonts w:hint="eastAsia" w:ascii="宋体" w:hAnsi="宋体"/>
          <w:bCs/>
          <w:color w:val="auto"/>
          <w:szCs w:val="21"/>
          <w:highlight w:val="none"/>
          <w:lang w:eastAsia="zh-CN"/>
        </w:rPr>
      </w:pPr>
      <w:r>
        <w:rPr>
          <w:rFonts w:hint="eastAsia" w:ascii="宋体" w:hAnsi="宋体"/>
          <w:bCs/>
          <w:color w:val="auto"/>
          <w:szCs w:val="21"/>
          <w:highlight w:val="none"/>
        </w:rPr>
        <w:t xml:space="preserve">项目联系人：</w:t>
      </w:r>
      <w:r>
        <w:rPr>
          <w:rFonts w:hint="eastAsia" w:ascii="宋体" w:hAnsi="宋体"/>
          <w:color w:val="auto"/>
          <w:szCs w:val="21"/>
          <w:highlight w:val="none"/>
          <w:lang w:val="en-US" w:eastAsia="zh-CN"/>
        </w:rPr>
        <w:t xml:space="preserve">高老师/</w:t>
      </w:r>
      <w:r>
        <w:rPr>
          <w:rFonts w:hint="eastAsia" w:ascii="宋体" w:hAnsi="宋体"/>
          <w:bCs/>
          <w:color w:val="auto"/>
          <w:szCs w:val="21"/>
          <w:highlight w:val="none"/>
          <w:lang w:val="en-US" w:eastAsia="zh-CN"/>
        </w:rPr>
        <w:t xml:space="preserve">刘工</w:t>
      </w:r>
      <w:r/>
    </w:p>
    <w:p>
      <w:pPr>
        <w:ind w:firstLine="420"/>
        <w:keepLines w:val="0"/>
        <w:keepNext w:val="0"/>
        <w:pageBreakBefore w:val="0"/>
        <w:spacing w:line="360" w:lineRule="auto"/>
        <w:widowControl w:val="off"/>
        <w:rPr>
          <w:rFonts w:hint="eastAsia" w:ascii="宋体" w:hAnsi="宋体"/>
          <w:bCs/>
          <w:color w:val="auto"/>
          <w:szCs w:val="21"/>
          <w:highlight w:val="none"/>
          <w:lang w:eastAsia="zh-CN"/>
        </w:rPr>
      </w:pPr>
      <w:r>
        <w:rPr>
          <w:rFonts w:hint="eastAsia" w:ascii="宋体" w:hAnsi="宋体"/>
          <w:bCs/>
          <w:color w:val="auto"/>
          <w:szCs w:val="21"/>
          <w:highlight w:val="none"/>
          <w:lang w:eastAsia="zh-CN"/>
        </w:rPr>
        <w:t xml:space="preserve">电话：</w:t>
      </w:r>
      <w:r>
        <w:rPr>
          <w:rFonts w:hint="eastAsia" w:ascii="宋体" w:hAnsi="宋体"/>
          <w:bCs/>
          <w:color w:val="auto"/>
          <w:szCs w:val="21"/>
          <w:highlight w:val="none"/>
          <w:lang w:val="en-US" w:eastAsia="zh-CN"/>
        </w:rPr>
        <w:t xml:space="preserve">025-57214440/025-57207242</w:t>
      </w:r>
      <w:r/>
    </w:p>
    <w:p>
      <w:pPr>
        <w:jc w:val="cente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r>
      <w:r/>
    </w:p>
    <w:p>
      <w:pPr>
        <w:rPr>
          <w:rFonts w:hint="eastAsia" w:ascii="黑体" w:hAnsi="黑体" w:eastAsia="黑体"/>
          <w:b/>
          <w:color w:val="auto"/>
          <w:sz w:val="36"/>
          <w:szCs w:val="36"/>
          <w:highlight w:val="none"/>
          <w:lang w:val="zh-CN"/>
        </w:rPr>
      </w:pPr>
      <w:r>
        <w:rPr>
          <w:rFonts w:hint="eastAsia" w:ascii="黑体" w:hAnsi="黑体" w:eastAsia="黑体"/>
          <w:b/>
          <w:color w:val="auto"/>
          <w:sz w:val="36"/>
          <w:szCs w:val="36"/>
          <w:highlight w:val="none"/>
          <w:lang w:val="zh-CN"/>
        </w:rPr>
        <w:br w:type="page" w:clear="all"/>
      </w:r>
      <w:r/>
    </w:p>
    <w:p>
      <w:pPr>
        <w:jc w:val="center"/>
        <w:rPr>
          <w:rFonts w:ascii="黑体" w:hAnsi="黑体" w:eastAsia="黑体"/>
          <w:b/>
          <w:color w:val="auto"/>
          <w:sz w:val="36"/>
          <w:szCs w:val="36"/>
          <w:highlight w:val="none"/>
          <w:lang w:val="zh-CN"/>
        </w:rPr>
        <w:outlineLvl w:val="0"/>
      </w:pPr>
      <w:r>
        <w:rPr>
          <w:rFonts w:hint="eastAsia" w:ascii="黑体" w:hAnsi="黑体" w:eastAsia="黑体"/>
          <w:b/>
          <w:color w:val="auto"/>
          <w:sz w:val="36"/>
          <w:szCs w:val="36"/>
          <w:highlight w:val="none"/>
          <w:lang w:val="zh-CN"/>
        </w:rPr>
        <w:t xml:space="preserve">第二章供应商须知</w:t>
      </w:r>
      <w:r/>
    </w:p>
    <w:p>
      <w:pPr>
        <w:jc w:val="left"/>
        <w:spacing w:line="360" w:lineRule="auto"/>
        <w:rPr>
          <w:rFonts w:hint="eastAsia" w:ascii="宋体" w:hAnsi="宋体"/>
          <w:b/>
          <w:color w:val="auto"/>
          <w:szCs w:val="21"/>
          <w:highlight w:val="none"/>
        </w:rPr>
        <w:outlineLvl w:val="1"/>
      </w:pPr>
      <w:r>
        <w:rPr>
          <w:rFonts w:hint="eastAsia" w:ascii="宋体" w:hAnsi="宋体"/>
          <w:b/>
          <w:color w:val="auto"/>
          <w:szCs w:val="21"/>
          <w:highlight w:val="none"/>
        </w:rPr>
        <w:t xml:space="preserve">一、总则</w:t>
      </w:r>
      <w:r/>
    </w:p>
    <w:p>
      <w:pPr>
        <w:jc w:val="left"/>
        <w:spacing w:line="360" w:lineRule="auto"/>
        <w:rPr>
          <w:rFonts w:ascii="宋体" w:hAnsi="宋体"/>
          <w:color w:val="auto"/>
          <w:szCs w:val="21"/>
          <w:highlight w:val="none"/>
        </w:rPr>
        <w:outlineLvl w:val="9"/>
      </w:pPr>
      <w:r>
        <w:rPr>
          <w:rFonts w:hint="eastAsia" w:ascii="宋体" w:hAnsi="宋体"/>
          <w:b/>
          <w:color w:val="auto"/>
          <w:szCs w:val="21"/>
          <w:highlight w:val="none"/>
        </w:rPr>
        <w:t xml:space="preserve">1、适用法律</w:t>
      </w:r>
      <w:r>
        <w:rPr>
          <w:rFonts w:hint="eastAsia" w:ascii="宋体" w:hAnsi="宋体"/>
          <w:b/>
          <w:color w:val="auto"/>
          <w:szCs w:val="21"/>
          <w:highlight w:val="none"/>
        </w:rPr>
        <w:br/>
      </w:r>
      <w:r>
        <w:rPr>
          <w:rFonts w:hint="eastAsia" w:ascii="宋体" w:hAnsi="宋体"/>
          <w:color w:val="auto"/>
          <w:szCs w:val="21"/>
          <w:highlight w:val="none"/>
        </w:rPr>
        <w:t xml:space="preserve">1.1《中华人民共和国政府采购法》《中华人民共和国政府采购法实施条例》《政府采购货物和服务招标投标管理办法》等有关法律、规章和规定。本次招标及由此产生的合同受中华人民共和国有关的法律法规制约和保护</w:t>
      </w:r>
      <w:r>
        <w:rPr>
          <w:rFonts w:hint="eastAsia" w:ascii="宋体" w:hAnsi="宋体"/>
          <w:color w:val="auto"/>
          <w:szCs w:val="21"/>
          <w:highlight w:val="none"/>
          <w:lang w:eastAsia="zh-CN"/>
        </w:rPr>
        <w:t xml:space="preserve">。</w:t>
      </w:r>
      <w:r>
        <w:rPr>
          <w:rFonts w:hint="eastAsia" w:ascii="宋体" w:hAnsi="宋体"/>
          <w:color w:val="auto"/>
          <w:szCs w:val="21"/>
          <w:highlight w:val="none"/>
        </w:rPr>
        <w:br/>
      </w:r>
      <w:r>
        <w:rPr>
          <w:rFonts w:hint="eastAsia" w:ascii="宋体" w:hAnsi="宋体"/>
          <w:b/>
          <w:color w:val="auto"/>
          <w:szCs w:val="21"/>
          <w:highlight w:val="none"/>
        </w:rPr>
        <w:t xml:space="preserve">2、定义</w:t>
      </w:r>
      <w:r>
        <w:rPr>
          <w:rFonts w:hint="eastAsia" w:ascii="宋体" w:hAnsi="宋体"/>
          <w:color w:val="auto"/>
          <w:szCs w:val="21"/>
          <w:highlight w:val="none"/>
        </w:rPr>
        <w:br/>
      </w:r>
      <w:r>
        <w:rPr>
          <w:rFonts w:hint="eastAsia" w:ascii="宋体" w:hAnsi="宋体"/>
          <w:color w:val="auto"/>
          <w:szCs w:val="21"/>
          <w:highlight w:val="none"/>
        </w:rPr>
        <w:t xml:space="preserve">2.1“供应商”“投标人”是指参加投标竞争，并符合招标文件规定资格条件的法人、其他组织或者自然人。</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2.2“货物和服务”指本招标文件中所述产品及相关服务</w:t>
      </w:r>
      <w:r>
        <w:rPr>
          <w:rFonts w:hint="eastAsia" w:ascii="宋体" w:hAnsi="宋体" w:eastAsia="宋体" w:cs="Times New Roman"/>
          <w:color w:val="auto"/>
          <w:szCs w:val="21"/>
          <w:highlight w:val="none"/>
        </w:rPr>
        <w:t xml:space="preserve">。本项目不接受进口产品</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或服务</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2.3本次招标除特别说明外不接受进口产品投标，进口产品是指通过中国海关报关验放进入中国境内且产自关境外的产品。</w:t>
      </w:r>
      <w:r/>
    </w:p>
    <w:p>
      <w:pPr>
        <w:jc w:val="left"/>
        <w:spacing w:line="360" w:lineRule="auto"/>
        <w:rPr>
          <w:rFonts w:ascii="宋体" w:hAnsi="宋体"/>
          <w:b/>
          <w:color w:val="auto"/>
          <w:szCs w:val="21"/>
          <w:highlight w:val="none"/>
        </w:rPr>
        <w:outlineLvl w:val="9"/>
      </w:pPr>
      <w:r>
        <w:rPr>
          <w:rFonts w:hint="eastAsia" w:ascii="宋体" w:hAnsi="宋体"/>
          <w:color w:val="auto"/>
          <w:szCs w:val="21"/>
          <w:highlight w:val="none"/>
        </w:rPr>
        <w:t xml:space="preserve">2.4“用户或使用单位”是指使用货物或服务的单位。</w:t>
      </w:r>
      <w:r>
        <w:rPr>
          <w:rFonts w:hint="eastAsia" w:ascii="宋体" w:hAnsi="宋体"/>
          <w:color w:val="auto"/>
          <w:szCs w:val="21"/>
          <w:highlight w:val="none"/>
        </w:rPr>
        <w:br/>
      </w:r>
      <w:r>
        <w:rPr>
          <w:rFonts w:hint="eastAsia" w:ascii="宋体" w:hAnsi="宋体"/>
          <w:b/>
          <w:color w:val="auto"/>
          <w:szCs w:val="21"/>
          <w:highlight w:val="none"/>
        </w:rPr>
        <w:t xml:space="preserve">3、政策功能</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3.1政府采购促进中小企业发展，在政府采购活动中，供应商提供的货物、工程或者服务符合下列情形的，享受中小企业扶持政策：</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（1）在货物采购项目中，货物由中小企业制造，即货物由中小企业生产且使用该中小企业商号或者注册商标；</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（2）在工程采购项目中，工程由中小企业承建，即工程施工单位为中小企业；</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（3）在服务采购项目中，服务由中小企业承接，即提供服务的人员为中小企业依照《中华人民共和国劳动合同法》订立劳动合同的从业人员。</w:t>
      </w:r>
      <w:r/>
    </w:p>
    <w:p>
      <w:pPr>
        <w:spacing w:line="360" w:lineRule="auto"/>
        <w:rPr>
          <w:rFonts w:ascii="宋体" w:hAnsi="宋体"/>
          <w:b/>
          <w:color w:val="auto"/>
          <w:szCs w:val="21"/>
          <w:highlight w:val="none"/>
        </w:rPr>
        <w:outlineLvl w:val="9"/>
      </w:pPr>
      <w:r>
        <w:rPr>
          <w:rFonts w:hint="eastAsia" w:ascii="宋体" w:hAnsi="宋体"/>
          <w:b/>
          <w:color w:val="auto"/>
          <w:szCs w:val="21"/>
          <w:highlight w:val="none"/>
        </w:rPr>
        <w:t xml:space="preserve">在货物采购项目中，供应商提供的货物既有中小企业制造货物，也有大型企业制造货物的，不享受本办法规定的中小企业扶持政策。</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以联合体形式参加政府采购活动，联合体各方均为中小企业的，联合体视同中小企业。其中，联合体各方均为小微企业的，联合体视同小微企业。</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中小企业供应商参加政府采购活动，应当出具《中小企业声明函》（格式见后附件），否则不得享受相关中小企业扶持政策。</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中小企业，是指在中华人民共和国境内依法成立，依据国务院批准的中小企业划分标准（详见《关于印发中小企业划型标准规定的同志》工信部联企业〔2011〕300号及《国家统计局关于印发&lt;统计上大中小微型企业划分办法（2017）&gt;的通知》国统字〔2017〕213号确定的中型企业、小型企业和微型企业，但与大企业的负责人为同一人，或者大企业存在直接控股、管理关系的除外。符合中小企业划分标准的个体工商户，在政府采购活动中视同中小企业。</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3.4强制采购节能产品、信息安全产品，优先采购环境标志产品。节能产品是指列入财政部、国家发展和改革委员会制定的《节能产品政府采购清单》，且经过认定的节能产品；信息安全产品是指列入国家质检总局国家认监委《信息安全产品强制性认证目录》，并获得强制性产品认证证书的产品；环境标志产品是指列入财政部、国家环保总局制定的《环境标志产品政府采购清单》，且依据相关标准的最新版本认证的环境标志产品。</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3.5提供的产品属于信息安全产品的，供应商应当选择经国家认证的信息安全产品投标，并提供由中国信息安全认证中心按国家标准认证颁发的有效认证证书复印件。</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3.6提供的产品属于政府强制采购节能产品的，供应商应当选择依据国家标准中二级能效（水效）指标认证的节能产品投标，并提供有效的节能产品认证证书复印件。</w:t>
      </w:r>
      <w:r/>
    </w:p>
    <w:p>
      <w:pPr>
        <w:spacing w:line="360" w:lineRule="auto"/>
        <w:rPr>
          <w:rFonts w:hint="eastAsia" w:ascii="宋体" w:hAnsi="宋体"/>
          <w:color w:val="auto"/>
          <w:szCs w:val="21"/>
          <w:highlight w:val="none"/>
        </w:rPr>
        <w:outlineLvl w:val="9"/>
      </w:pPr>
      <w:r>
        <w:rPr>
          <w:rFonts w:hint="eastAsia" w:ascii="宋体" w:hAnsi="宋体"/>
          <w:color w:val="auto"/>
          <w:szCs w:val="21"/>
          <w:highlight w:val="none"/>
        </w:rPr>
        <w:t xml:space="preserve">3.7提供的产品属于环境标志产品的，供应商应当选择依据相关标准的最新版本认证的环境标志产品投标,并提供有效的环境标志产品认证证书复印件。</w:t>
      </w:r>
      <w:r/>
    </w:p>
    <w:p>
      <w:pPr>
        <w:numPr>
          <w:ilvl w:val="0"/>
          <w:numId w:val="0"/>
        </w:numPr>
        <w:jc w:val="left"/>
        <w:spacing w:line="360" w:lineRule="auto"/>
        <w:rPr>
          <w:rFonts w:hint="eastAsia" w:ascii="宋体" w:hAnsi="宋体" w:eastAsia="宋体" w:cs="Times New Roman"/>
          <w:color w:val="auto"/>
          <w:szCs w:val="21"/>
          <w:highlight w:val="none"/>
        </w:rPr>
        <w:outlineLvl w:val="9"/>
      </w:pPr>
      <w:r>
        <w:rPr>
          <w:rFonts w:hint="eastAsia" w:ascii="宋体" w:hAnsi="宋体"/>
          <w:color w:val="auto"/>
          <w:szCs w:val="21"/>
          <w:highlight w:val="none"/>
          <w:lang w:val="en-US" w:eastAsia="zh-CN"/>
        </w:rPr>
        <w:t xml:space="preserve">3.8</w:t>
      </w:r>
      <w:r>
        <w:rPr>
          <w:rFonts w:hint="eastAsia" w:ascii="宋体" w:hAnsi="宋体"/>
          <w:color w:val="auto"/>
          <w:szCs w:val="21"/>
          <w:highlight w:val="none"/>
        </w:rPr>
        <w:t xml:space="preserve">根据《国务院办公厅关于在政府采购中实施本国产品标准及相关政策的通知》，政府采购活动中既有本国产品又有非本国产品参与竞争的，依法对本国产品给予价格评审优惠。供应商需对其提供的产</w:t>
      </w:r>
      <w:r>
        <w:rPr>
          <w:rFonts w:hint="eastAsia" w:ascii="宋体" w:hAnsi="宋体" w:eastAsia="宋体" w:cs="Times New Roman"/>
          <w:color w:val="auto"/>
          <w:szCs w:val="21"/>
          <w:highlight w:val="none"/>
        </w:rPr>
        <w:t xml:space="preserve">品出具《关于符合本国产品标准的声明函》。</w:t>
      </w:r>
      <w:r/>
    </w:p>
    <w:p>
      <w:pPr>
        <w:numPr>
          <w:ilvl w:val="0"/>
          <w:numId w:val="0"/>
        </w:numPr>
        <w:jc w:val="left"/>
        <w:spacing w:line="360" w:lineRule="auto"/>
        <w:rPr>
          <w:rFonts w:hint="eastAsia" w:ascii="宋体" w:hAnsi="宋体" w:eastAsia="宋体" w:cs="Times New Roman"/>
          <w:b/>
          <w:bCs/>
          <w:color w:val="auto"/>
          <w:szCs w:val="21"/>
          <w:highlight w:val="none"/>
          <w:lang w:val="en-US"/>
        </w:rPr>
        <w:outlineLvl w:val="9"/>
      </w:pPr>
      <w:r>
        <w:rPr>
          <w:rFonts w:hint="eastAsia" w:ascii="宋体" w:hAnsi="宋体" w:eastAsia="宋体" w:cs="Times New Roman"/>
          <w:b/>
          <w:bCs/>
          <w:color w:val="auto"/>
          <w:szCs w:val="21"/>
          <w:highlight w:val="none"/>
          <w:lang w:val="en-US"/>
        </w:rPr>
        <w:t xml:space="preserve">注：未按要求提供相关材料的，不享受相关政策。</w:t>
      </w:r>
      <w:r/>
    </w:p>
    <w:p>
      <w:pPr>
        <w:numPr>
          <w:ilvl w:val="0"/>
          <w:numId w:val="0"/>
        </w:numPr>
        <w:jc w:val="left"/>
        <w:spacing w:line="360" w:lineRule="auto"/>
        <w:rPr>
          <w:rFonts w:hint="eastAsia" w:ascii="宋体" w:hAnsi="宋体" w:eastAsia="宋体" w:cs="Times New Roman"/>
          <w:b/>
          <w:color w:val="auto"/>
          <w:szCs w:val="21"/>
          <w:highlight w:val="none"/>
        </w:rPr>
        <w:outlineLvl w:val="1"/>
      </w:pPr>
      <w:r>
        <w:rPr>
          <w:rFonts w:hint="eastAsia" w:ascii="宋体" w:hAnsi="宋体" w:eastAsia="宋体" w:cs="Times New Roman"/>
          <w:b/>
          <w:color w:val="auto"/>
          <w:szCs w:val="21"/>
          <w:highlight w:val="none"/>
        </w:rPr>
        <w:t xml:space="preserve">二、招标文件</w:t>
      </w:r>
      <w:r/>
    </w:p>
    <w:p>
      <w:pPr>
        <w:numPr>
          <w:ilvl w:val="0"/>
          <w:numId w:val="0"/>
        </w:numPr>
        <w:jc w:val="left"/>
        <w:spacing w:line="360" w:lineRule="auto"/>
        <w:rPr>
          <w:rFonts w:ascii="宋体" w:hAnsi="宋体"/>
          <w:b/>
          <w:color w:val="auto"/>
          <w:szCs w:val="21"/>
          <w:highlight w:val="none"/>
        </w:rPr>
        <w:outlineLvl w:val="9"/>
      </w:pPr>
      <w:r>
        <w:rPr>
          <w:rFonts w:hint="eastAsia" w:ascii="宋体" w:hAnsi="宋体" w:eastAsia="宋体" w:cs="Times New Roman"/>
          <w:color w:val="auto"/>
          <w:szCs w:val="21"/>
          <w:highlight w:val="none"/>
        </w:rPr>
        <w:t xml:space="preserve">4、招标文件组成</w:t>
      </w:r>
      <w:r>
        <w:rPr>
          <w:rFonts w:hint="eastAsia" w:ascii="宋体" w:hAnsi="宋体" w:eastAsia="宋体" w:cs="Times New Roman"/>
          <w:color w:val="auto"/>
          <w:szCs w:val="21"/>
          <w:highlight w:val="none"/>
        </w:rPr>
        <w:br/>
      </w:r>
      <w:r>
        <w:rPr>
          <w:rFonts w:hint="eastAsia" w:ascii="宋体" w:hAnsi="宋体" w:eastAsia="宋体" w:cs="Times New Roman"/>
          <w:color w:val="auto"/>
          <w:szCs w:val="21"/>
          <w:highlight w:val="none"/>
        </w:rPr>
        <w:t xml:space="preserve">4.1招标文件组成：</w:t>
      </w:r>
      <w:r>
        <w:rPr>
          <w:rFonts w:hint="eastAsia" w:ascii="宋体" w:hAnsi="宋体"/>
          <w:color w:val="auto"/>
          <w:szCs w:val="21"/>
          <w:highlight w:val="none"/>
        </w:rPr>
        <w:t xml:space="preserve">投标邀请、供应商须知、供应商应当提交的资格和资信证明文件、投标报价要求、投标文件编制要求、招标项目的服务要求和数量、合同主要条款及合同签订方式、交货和提供服务的时间、验收标准、付款条件、评标方法、评标标准、无效投标和废标条款、附件等。</w:t>
      </w:r>
      <w:r>
        <w:rPr>
          <w:rFonts w:hint="eastAsia" w:ascii="宋体" w:hAnsi="宋体"/>
          <w:color w:val="auto"/>
          <w:szCs w:val="21"/>
          <w:highlight w:val="none"/>
        </w:rPr>
        <w:br/>
      </w:r>
      <w:r>
        <w:rPr>
          <w:rFonts w:hint="eastAsia" w:ascii="宋体" w:hAnsi="宋体"/>
          <w:color w:val="auto"/>
          <w:szCs w:val="21"/>
          <w:highlight w:val="none"/>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olor w:val="auto"/>
          <w:szCs w:val="21"/>
          <w:highlight w:val="none"/>
        </w:rPr>
        <w:br/>
      </w:r>
      <w:r>
        <w:rPr>
          <w:rFonts w:hint="eastAsia" w:ascii="宋体" w:hAnsi="宋体"/>
          <w:color w:val="auto"/>
          <w:szCs w:val="21"/>
          <w:highlight w:val="none"/>
        </w:rPr>
        <w:t xml:space="preserve">4.3招标文件如果要求供应商提交备选投标方案的，供应商可以提交备选方案；否则，备选方案将被拒绝。</w:t>
      </w:r>
      <w:r>
        <w:rPr>
          <w:rFonts w:hint="eastAsia" w:ascii="宋体" w:hAnsi="宋体"/>
          <w:color w:val="auto"/>
          <w:szCs w:val="21"/>
          <w:highlight w:val="none"/>
        </w:rPr>
        <w:br/>
      </w:r>
      <w:r>
        <w:rPr>
          <w:rFonts w:hint="eastAsia" w:ascii="宋体" w:hAnsi="宋体"/>
          <w:b/>
          <w:color w:val="auto"/>
          <w:szCs w:val="21"/>
          <w:highlight w:val="none"/>
        </w:rPr>
        <w:t xml:space="preserve">5、招标文件的澄清、修改</w:t>
      </w:r>
      <w:r>
        <w:rPr>
          <w:rFonts w:hint="eastAsia" w:ascii="宋体" w:hAnsi="宋体"/>
          <w:color w:val="auto"/>
          <w:szCs w:val="21"/>
          <w:highlight w:val="none"/>
        </w:rPr>
        <w:br/>
      </w:r>
      <w:r>
        <w:rPr>
          <w:rFonts w:hint="eastAsia" w:ascii="宋体" w:hAnsi="宋体"/>
          <w:color w:val="auto"/>
          <w:szCs w:val="21"/>
          <w:highlight w:val="none"/>
        </w:rPr>
        <w:t xml:space="preserve">5.1任何要求对招标文件进行澄清的投标人，应在投标截止期十日前按招标公告中的通讯地址，以书面形式通知</w:t>
      </w:r>
      <w:r>
        <w:rPr>
          <w:rFonts w:hint="eastAsia" w:ascii="宋体" w:hAnsi="宋体"/>
          <w:color w:val="auto"/>
          <w:szCs w:val="21"/>
          <w:highlight w:val="none"/>
          <w:lang w:val="en-US" w:eastAsia="zh-CN"/>
        </w:rPr>
        <w:t xml:space="preserve">南京中信</w:t>
      </w:r>
      <w:r>
        <w:rPr>
          <w:rFonts w:hint="eastAsia" w:ascii="宋体" w:hAnsi="宋体"/>
          <w:color w:val="auto"/>
          <w:szCs w:val="21"/>
          <w:highlight w:val="none"/>
          <w:lang w:eastAsia="zh-CN"/>
        </w:rPr>
        <w:t xml:space="preserve">。</w:t>
      </w:r>
      <w:r/>
    </w:p>
    <w:p>
      <w:pPr>
        <w:numPr>
          <w:ilvl w:val="0"/>
          <w:numId w:val="0"/>
        </w:numPr>
        <w:jc w:val="left"/>
        <w:spacing w:line="360" w:lineRule="auto"/>
        <w:rPr>
          <w:rFonts w:hint="eastAsia" w:ascii="宋体" w:hAnsi="宋体"/>
          <w:color w:val="auto"/>
          <w:szCs w:val="21"/>
          <w:highlight w:val="none"/>
          <w:lang w:eastAsia="zh-CN"/>
        </w:rPr>
        <w:outlineLvl w:val="9"/>
      </w:pPr>
      <w:r>
        <w:rPr>
          <w:rFonts w:hint="eastAsia" w:ascii="宋体" w:hAnsi="宋体"/>
          <w:color w:val="auto"/>
          <w:szCs w:val="21"/>
          <w:highlight w:val="none"/>
          <w:lang w:val="en-US" w:eastAsia="zh-CN"/>
        </w:rPr>
        <w:t xml:space="preserve">5.2</w:t>
      </w:r>
      <w:r>
        <w:rPr>
          <w:rFonts w:hint="eastAsia" w:ascii="宋体" w:hAnsi="宋体"/>
          <w:color w:val="auto"/>
          <w:szCs w:val="21"/>
          <w:highlight w:val="none"/>
        </w:rPr>
        <w:t xml:space="preserve">采购人或者采购代理机构对已发出的招标文件进行必要澄清或者修改的，将在招标文件要求提交投标文件截止时间十五日前，在原招标公告媒体发布更正公告，该澄清或者修改的内容为招标文件的组成部分。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olor w:val="auto"/>
          <w:szCs w:val="21"/>
          <w:highlight w:val="none"/>
        </w:rPr>
        <w:br/>
      </w:r>
      <w:r>
        <w:rPr>
          <w:rFonts w:hint="eastAsia" w:ascii="宋体" w:hAnsi="宋体"/>
          <w:color w:val="auto"/>
          <w:szCs w:val="21"/>
          <w:highlight w:val="none"/>
        </w:rPr>
        <w:t xml:space="preserve">5.2采购人或者采购代理机构在招标文件要求提交投标文件截止时间前，有权决定延长投标截止时间和开标时间，并在原采购信息发布媒体上发布变更公告。</w:t>
      </w:r>
      <w:r>
        <w:rPr>
          <w:rFonts w:hint="eastAsia" w:ascii="宋体" w:hAnsi="宋体"/>
          <w:color w:val="auto"/>
          <w:szCs w:val="21"/>
          <w:highlight w:val="none"/>
        </w:rPr>
        <w:br/>
      </w:r>
      <w:r>
        <w:rPr>
          <w:rFonts w:hint="eastAsia" w:ascii="宋体" w:hAnsi="宋体"/>
          <w:color w:val="auto"/>
          <w:szCs w:val="21"/>
          <w:highlight w:val="none"/>
        </w:rPr>
        <w:t xml:space="preserve">5.3供应商应在投标截止时间前关注原招标公告发布媒体上有关本招标项目有无变更公告。根据更正公告内容自行决定是否需要重新制作和提交投标文件，并承担由此产生的相应责任</w:t>
      </w:r>
      <w:r>
        <w:rPr>
          <w:rFonts w:hint="eastAsia" w:ascii="宋体" w:hAnsi="宋体"/>
          <w:color w:val="auto"/>
          <w:szCs w:val="21"/>
          <w:highlight w:val="none"/>
          <w:lang w:eastAsia="zh-CN"/>
        </w:rPr>
        <w:t xml:space="preserve">。</w:t>
      </w:r>
      <w:r/>
    </w:p>
    <w:p>
      <w:pPr>
        <w:numPr>
          <w:ilvl w:val="0"/>
          <w:numId w:val="0"/>
        </w:numPr>
        <w:jc w:val="left"/>
        <w:spacing w:line="360" w:lineRule="auto"/>
        <w:rPr>
          <w:rFonts w:ascii="宋体" w:hAnsi="宋体"/>
          <w:b/>
          <w:color w:val="auto"/>
          <w:szCs w:val="21"/>
          <w:highlight w:val="none"/>
        </w:rPr>
        <w:outlineLvl w:val="1"/>
      </w:pPr>
      <w:r>
        <w:rPr>
          <w:rFonts w:hint="eastAsia" w:ascii="宋体" w:hAnsi="宋体"/>
          <w:b/>
          <w:color w:val="auto"/>
          <w:szCs w:val="21"/>
          <w:highlight w:val="none"/>
        </w:rPr>
        <w:t xml:space="preserve">三、投标</w:t>
      </w:r>
      <w:r/>
    </w:p>
    <w:p>
      <w:pPr>
        <w:pStyle w:val="691"/>
        <w:numPr>
          <w:ilvl w:val="0"/>
          <w:numId w:val="3"/>
        </w:numPr>
        <w:rPr>
          <w:rFonts w:ascii="宋体" w:hAnsi="宋体"/>
          <w:b/>
          <w:color w:val="auto"/>
          <w:szCs w:val="21"/>
          <w:highlight w:val="none"/>
        </w:rPr>
        <w:outlineLvl w:val="9"/>
      </w:pPr>
      <w:r>
        <w:rPr>
          <w:rFonts w:hint="eastAsia" w:ascii="宋体" w:hAnsi="宋体"/>
          <w:b/>
          <w:color w:val="auto"/>
          <w:szCs w:val="21"/>
          <w:highlight w:val="none"/>
        </w:rPr>
        <w:t xml:space="preserve">投标</w:t>
      </w:r>
      <w:r/>
    </w:p>
    <w:p>
      <w:pPr>
        <w:spacing w:line="360" w:lineRule="auto"/>
        <w:rPr>
          <w:rFonts w:ascii="宋体"/>
          <w:color w:val="auto"/>
          <w:szCs w:val="21"/>
          <w:highlight w:val="none"/>
        </w:rPr>
        <w:outlineLvl w:val="9"/>
      </w:pPr>
      <w:r>
        <w:rPr>
          <w:rFonts w:hint="eastAsia" w:ascii="宋体"/>
          <w:color w:val="auto"/>
          <w:szCs w:val="21"/>
          <w:highlight w:val="none"/>
        </w:rPr>
        <w:t xml:space="preserve">6.1供应商应由其法定代表人或法定代表人授权委托人在规定的投标时间内完成响应。</w:t>
      </w:r>
      <w:r/>
    </w:p>
    <w:p>
      <w:pPr>
        <w:spacing w:line="360" w:lineRule="auto"/>
        <w:rPr>
          <w:rFonts w:ascii="宋体"/>
          <w:color w:val="auto"/>
          <w:szCs w:val="21"/>
          <w:highlight w:val="none"/>
        </w:rPr>
        <w:outlineLvl w:val="9"/>
      </w:pPr>
      <w:r>
        <w:rPr>
          <w:rFonts w:hint="eastAsia" w:ascii="宋体"/>
          <w:color w:val="auto"/>
          <w:szCs w:val="21"/>
          <w:highlight w:val="none"/>
        </w:rPr>
        <w:t xml:space="preserve">6</w:t>
      </w:r>
      <w:r>
        <w:rPr>
          <w:rFonts w:ascii="宋体"/>
          <w:color w:val="auto"/>
          <w:szCs w:val="21"/>
          <w:highlight w:val="none"/>
        </w:rPr>
        <w:t xml:space="preserve">.2供应商应当对</w:t>
      </w:r>
      <w:r>
        <w:rPr>
          <w:rFonts w:hint="eastAsia" w:ascii="宋体"/>
          <w:color w:val="auto"/>
          <w:szCs w:val="21"/>
          <w:highlight w:val="none"/>
        </w:rPr>
        <w:t xml:space="preserve">招标</w:t>
      </w:r>
      <w:r>
        <w:rPr>
          <w:rFonts w:ascii="宋体"/>
          <w:color w:val="auto"/>
          <w:szCs w:val="21"/>
          <w:highlight w:val="none"/>
        </w:rPr>
        <w:t xml:space="preserve">文件提出的要求和条件作出实质性响应，并</w:t>
      </w:r>
      <w:r>
        <w:rPr>
          <w:rFonts w:hint="eastAsia" w:ascii="宋体"/>
          <w:color w:val="auto"/>
          <w:szCs w:val="21"/>
          <w:highlight w:val="none"/>
        </w:rPr>
        <w:t xml:space="preserve">在投标文件中</w:t>
      </w:r>
      <w:r>
        <w:rPr>
          <w:rFonts w:ascii="宋体"/>
          <w:color w:val="auto"/>
          <w:szCs w:val="21"/>
          <w:highlight w:val="none"/>
        </w:rPr>
        <w:t xml:space="preserve">逐条应答。</w:t>
      </w:r>
      <w:r/>
    </w:p>
    <w:p>
      <w:pPr>
        <w:spacing w:line="360" w:lineRule="auto"/>
        <w:rPr>
          <w:rFonts w:ascii="宋体"/>
          <w:color w:val="auto"/>
          <w:szCs w:val="21"/>
          <w:highlight w:val="none"/>
        </w:rPr>
        <w:outlineLvl w:val="9"/>
      </w:pPr>
      <w:r>
        <w:rPr>
          <w:rFonts w:hint="eastAsia" w:ascii="宋体"/>
          <w:color w:val="auto"/>
          <w:szCs w:val="21"/>
          <w:highlight w:val="none"/>
        </w:rPr>
        <w:t xml:space="preserve">6</w:t>
      </w:r>
      <w:r>
        <w:rPr>
          <w:rFonts w:ascii="宋体"/>
          <w:color w:val="auto"/>
          <w:szCs w:val="21"/>
          <w:highlight w:val="none"/>
        </w:rPr>
        <w:t xml:space="preserve">.3供应商应对要求提供的资格证明文件（如资质证书、资格证书）、技术资料（如白皮书、彩页、手册、检测报告等）</w:t>
      </w:r>
      <w:r>
        <w:rPr>
          <w:rFonts w:hint="eastAsia" w:ascii="宋体"/>
          <w:color w:val="auto"/>
          <w:szCs w:val="21"/>
          <w:highlight w:val="none"/>
        </w:rPr>
        <w:t xml:space="preserve">提供</w:t>
      </w:r>
      <w:r>
        <w:rPr>
          <w:rFonts w:ascii="宋体"/>
          <w:color w:val="auto"/>
          <w:szCs w:val="21"/>
          <w:highlight w:val="none"/>
        </w:rPr>
        <w:t xml:space="preserve">复印件并加盖公章。</w:t>
      </w:r>
      <w:r/>
    </w:p>
    <w:p>
      <w:pPr>
        <w:spacing w:line="360" w:lineRule="auto"/>
        <w:rPr>
          <w:rFonts w:ascii="宋体"/>
          <w:color w:val="auto"/>
          <w:szCs w:val="21"/>
          <w:highlight w:val="none"/>
        </w:rPr>
        <w:outlineLvl w:val="9"/>
      </w:pPr>
      <w:r>
        <w:rPr>
          <w:rFonts w:hint="eastAsia" w:ascii="宋体"/>
          <w:color w:val="auto"/>
          <w:szCs w:val="21"/>
          <w:highlight w:val="none"/>
        </w:rPr>
        <w:t xml:space="preserve">6</w:t>
      </w:r>
      <w:r>
        <w:rPr>
          <w:rFonts w:ascii="宋体"/>
          <w:color w:val="auto"/>
          <w:szCs w:val="21"/>
          <w:highlight w:val="none"/>
        </w:rPr>
        <w:t xml:space="preserve">.4</w:t>
      </w:r>
      <w:r>
        <w:rPr>
          <w:rFonts w:hint="eastAsia" w:ascii="宋体"/>
          <w:color w:val="auto"/>
          <w:szCs w:val="21"/>
          <w:highlight w:val="none"/>
        </w:rPr>
        <w:t xml:space="preserve">供应商符合《政府采购促进中小企业发展管理办法》（财库【2020】46号）规定的，应按要求在投标文件中提供《中小企业声明函》，否则不享受相应政策。</w:t>
      </w:r>
      <w:r/>
    </w:p>
    <w:p>
      <w:pPr>
        <w:spacing w:line="360" w:lineRule="auto"/>
        <w:rPr>
          <w:rFonts w:ascii="宋体"/>
          <w:color w:val="auto"/>
          <w:szCs w:val="21"/>
          <w:highlight w:val="none"/>
        </w:rPr>
        <w:outlineLvl w:val="9"/>
      </w:pPr>
      <w:r>
        <w:rPr>
          <w:rFonts w:hint="eastAsia" w:ascii="宋体"/>
          <w:color w:val="auto"/>
          <w:szCs w:val="21"/>
          <w:highlight w:val="none"/>
        </w:rPr>
        <w:t xml:space="preserve">6</w:t>
      </w:r>
      <w:r>
        <w:rPr>
          <w:rFonts w:ascii="宋体"/>
          <w:color w:val="auto"/>
          <w:szCs w:val="21"/>
          <w:highlight w:val="none"/>
        </w:rPr>
        <w:t xml:space="preserve">.</w:t>
      </w:r>
      <w:r>
        <w:rPr>
          <w:rFonts w:hint="eastAsia" w:ascii="宋体"/>
          <w:color w:val="auto"/>
          <w:szCs w:val="21"/>
          <w:highlight w:val="none"/>
        </w:rPr>
        <w:t xml:space="preserve">5</w:t>
      </w:r>
      <w:r>
        <w:rPr>
          <w:rFonts w:ascii="宋体"/>
          <w:color w:val="auto"/>
          <w:szCs w:val="21"/>
          <w:highlight w:val="none"/>
        </w:rPr>
        <w:t xml:space="preserve">供应商应当按照</w:t>
      </w:r>
      <w:r>
        <w:rPr>
          <w:rFonts w:hint="eastAsia" w:ascii="宋体"/>
          <w:color w:val="auto"/>
          <w:szCs w:val="21"/>
          <w:highlight w:val="none"/>
        </w:rPr>
        <w:t xml:space="preserve">招标</w:t>
      </w:r>
      <w:r>
        <w:rPr>
          <w:rFonts w:ascii="宋体"/>
          <w:color w:val="auto"/>
          <w:szCs w:val="21"/>
          <w:highlight w:val="none"/>
        </w:rPr>
        <w:t xml:space="preserve">文件的要求编制</w:t>
      </w:r>
      <w:r>
        <w:rPr>
          <w:rFonts w:hint="eastAsia" w:ascii="宋体"/>
          <w:color w:val="auto"/>
          <w:szCs w:val="21"/>
          <w:highlight w:val="none"/>
        </w:rPr>
        <w:t xml:space="preserve">投标</w:t>
      </w:r>
      <w:r>
        <w:rPr>
          <w:rFonts w:ascii="宋体"/>
          <w:color w:val="auto"/>
          <w:szCs w:val="21"/>
          <w:highlight w:val="none"/>
        </w:rPr>
        <w:t xml:space="preserve">文件，并对其提交的</w:t>
      </w:r>
      <w:r>
        <w:rPr>
          <w:rFonts w:hint="eastAsia" w:ascii="宋体"/>
          <w:color w:val="auto"/>
          <w:szCs w:val="21"/>
          <w:highlight w:val="none"/>
        </w:rPr>
        <w:t xml:space="preserve">投标</w:t>
      </w:r>
      <w:r>
        <w:rPr>
          <w:rFonts w:ascii="宋体"/>
          <w:color w:val="auto"/>
          <w:szCs w:val="21"/>
          <w:highlight w:val="none"/>
        </w:rPr>
        <w:t xml:space="preserve">文件真实性、合法性承担法律责任。</w:t>
      </w:r>
      <w:r/>
    </w:p>
    <w:p>
      <w:pPr>
        <w:spacing w:line="360" w:lineRule="auto"/>
        <w:rPr>
          <w:rFonts w:ascii="宋体"/>
          <w:b/>
          <w:bCs/>
          <w:color w:val="auto"/>
          <w:szCs w:val="21"/>
          <w:highlight w:val="none"/>
          <w:lang w:val="zh-CN"/>
        </w:rPr>
        <w:outlineLvl w:val="9"/>
      </w:pPr>
      <w:r>
        <w:rPr>
          <w:rFonts w:hint="eastAsia" w:ascii="宋体"/>
          <w:b/>
          <w:bCs/>
          <w:color w:val="auto"/>
          <w:szCs w:val="21"/>
          <w:highlight w:val="none"/>
        </w:rPr>
        <w:t xml:space="preserve">7</w:t>
      </w:r>
      <w:r>
        <w:rPr>
          <w:rFonts w:hint="eastAsia" w:ascii="宋体"/>
          <w:b/>
          <w:bCs/>
          <w:color w:val="auto"/>
          <w:szCs w:val="21"/>
          <w:highlight w:val="none"/>
          <w:lang w:val="zh-CN"/>
        </w:rPr>
        <w:t xml:space="preserve">、投标文件的语言、计量单位、货币和编制</w:t>
      </w:r>
      <w:r/>
    </w:p>
    <w:p>
      <w:pPr>
        <w:spacing w:line="360" w:lineRule="auto"/>
        <w:rPr>
          <w:rFonts w:ascii="宋体"/>
          <w:color w:val="auto"/>
          <w:szCs w:val="21"/>
          <w:highlight w:val="none"/>
          <w:lang w:val="zh-CN"/>
        </w:rPr>
        <w:outlineLvl w:val="9"/>
      </w:pPr>
      <w:r>
        <w:rPr>
          <w:rFonts w:hint="eastAsia" w:ascii="宋体"/>
          <w:color w:val="auto"/>
          <w:szCs w:val="21"/>
          <w:highlight w:val="none"/>
        </w:rPr>
        <w:t xml:space="preserve">7</w:t>
      </w:r>
      <w:r>
        <w:rPr>
          <w:rFonts w:ascii="宋体"/>
          <w:color w:val="auto"/>
          <w:szCs w:val="21"/>
          <w:highlight w:val="none"/>
          <w:lang w:val="zh-CN"/>
        </w:rPr>
        <w:t xml:space="preserve">.1</w:t>
      </w:r>
      <w:r>
        <w:rPr>
          <w:rFonts w:hint="eastAsia" w:ascii="宋体"/>
          <w:color w:val="auto"/>
          <w:szCs w:val="21"/>
          <w:highlight w:val="none"/>
          <w:lang w:val="zh-CN"/>
        </w:rPr>
        <w:t xml:space="preserve">供应商提交的投标文件、技术文件和资料，包括图纸中的说明，以及供应商与</w:t>
      </w:r>
      <w:r>
        <w:rPr>
          <w:rFonts w:hint="eastAsia" w:ascii="宋体"/>
          <w:color w:val="auto"/>
          <w:szCs w:val="21"/>
          <w:highlight w:val="none"/>
        </w:rPr>
        <w:t xml:space="preserve">采购代理机构</w:t>
      </w:r>
      <w:r>
        <w:rPr>
          <w:rFonts w:hint="eastAsia" w:ascii="宋体"/>
          <w:color w:val="auto"/>
          <w:szCs w:val="21"/>
          <w:highlight w:val="none"/>
          <w:lang w:val="zh-CN"/>
        </w:rPr>
        <w:t xml:space="preserve">就有关投标的所有来往函电均应使用中文。投标文件中若有英文或其他语言文字的资料，应提供相应的中文翻译资料。对不同文本投标文件的解释发生异议的，以中文文本为准。</w:t>
      </w:r>
      <w:r/>
    </w:p>
    <w:p>
      <w:pPr>
        <w:spacing w:line="360" w:lineRule="auto"/>
        <w:rPr>
          <w:rFonts w:ascii="宋体"/>
          <w:color w:val="auto"/>
          <w:szCs w:val="21"/>
          <w:highlight w:val="none"/>
          <w:lang w:val="zh-CN"/>
        </w:rPr>
        <w:outlineLvl w:val="9"/>
      </w:pPr>
      <w:r>
        <w:rPr>
          <w:rFonts w:hint="eastAsia" w:ascii="宋体"/>
          <w:color w:val="auto"/>
          <w:szCs w:val="21"/>
          <w:highlight w:val="none"/>
        </w:rPr>
        <w:t xml:space="preserve">7</w:t>
      </w:r>
      <w:r>
        <w:rPr>
          <w:rFonts w:ascii="宋体"/>
          <w:color w:val="auto"/>
          <w:szCs w:val="21"/>
          <w:highlight w:val="none"/>
          <w:lang w:val="zh-CN"/>
        </w:rPr>
        <w:t xml:space="preserve">.2</w:t>
      </w:r>
      <w:r>
        <w:rPr>
          <w:rFonts w:hint="eastAsia" w:ascii="宋体"/>
          <w:color w:val="auto"/>
          <w:szCs w:val="21"/>
          <w:highlight w:val="none"/>
          <w:lang w:val="zh-CN"/>
        </w:rPr>
        <w:t xml:space="preserve">供应商所使用的计量单位应为国家法定计量单位。</w:t>
      </w:r>
      <w:r/>
    </w:p>
    <w:p>
      <w:pPr>
        <w:spacing w:line="360" w:lineRule="auto"/>
        <w:rPr>
          <w:rFonts w:ascii="宋体"/>
          <w:color w:val="auto"/>
          <w:szCs w:val="21"/>
          <w:highlight w:val="none"/>
          <w:lang w:val="zh-CN"/>
        </w:rPr>
        <w:outlineLvl w:val="9"/>
      </w:pPr>
      <w:r>
        <w:rPr>
          <w:rFonts w:hint="eastAsia" w:ascii="宋体"/>
          <w:color w:val="auto"/>
          <w:szCs w:val="21"/>
          <w:highlight w:val="none"/>
        </w:rPr>
        <w:t xml:space="preserve">7</w:t>
      </w:r>
      <w:r>
        <w:rPr>
          <w:rFonts w:ascii="宋体"/>
          <w:color w:val="auto"/>
          <w:szCs w:val="21"/>
          <w:highlight w:val="none"/>
          <w:lang w:val="zh-CN"/>
        </w:rPr>
        <w:t xml:space="preserve">.3</w:t>
      </w:r>
      <w:r>
        <w:rPr>
          <w:rFonts w:hint="eastAsia" w:ascii="宋体"/>
          <w:color w:val="auto"/>
          <w:szCs w:val="21"/>
          <w:highlight w:val="none"/>
          <w:lang w:val="zh-CN"/>
        </w:rPr>
        <w:t xml:space="preserve">供应商应用人民币报价。</w:t>
      </w:r>
      <w:r/>
    </w:p>
    <w:p>
      <w:pPr>
        <w:spacing w:line="360" w:lineRule="auto"/>
        <w:rPr>
          <w:rFonts w:ascii="宋体"/>
          <w:color w:val="auto"/>
          <w:szCs w:val="21"/>
          <w:highlight w:val="none"/>
        </w:rPr>
        <w:outlineLvl w:val="9"/>
      </w:pPr>
      <w:r>
        <w:rPr>
          <w:rFonts w:hint="eastAsia" w:ascii="宋体"/>
          <w:color w:val="auto"/>
          <w:szCs w:val="21"/>
          <w:highlight w:val="none"/>
        </w:rPr>
        <w:t xml:space="preserve">7.4供应商所使用的技术标准应遵循国家最新标准及规范。</w:t>
      </w:r>
      <w:r/>
    </w:p>
    <w:p>
      <w:pPr>
        <w:jc w:val="left"/>
        <w:spacing w:line="360" w:lineRule="auto"/>
        <w:rPr>
          <w:rFonts w:ascii="宋体" w:hAnsi="宋体"/>
          <w:color w:val="auto"/>
          <w:szCs w:val="21"/>
          <w:highlight w:val="none"/>
        </w:rPr>
        <w:outlineLvl w:val="9"/>
      </w:pPr>
      <w:r>
        <w:rPr>
          <w:rFonts w:hint="eastAsia" w:ascii="宋体" w:hAnsi="宋体"/>
          <w:b/>
          <w:color w:val="auto"/>
          <w:szCs w:val="21"/>
          <w:highlight w:val="none"/>
        </w:rPr>
        <w:t xml:space="preserve">8、联合体投标（本项目招标文件格式，此项目不接受联合体投标）</w:t>
      </w:r>
      <w:r>
        <w:rPr>
          <w:rFonts w:hint="eastAsia" w:ascii="宋体" w:hAnsi="宋体"/>
          <w:color w:val="auto"/>
          <w:szCs w:val="21"/>
          <w:highlight w:val="none"/>
        </w:rPr>
        <w:br/>
      </w:r>
      <w:r>
        <w:rPr>
          <w:rFonts w:hint="eastAsia" w:ascii="宋体" w:hAnsi="宋体"/>
          <w:color w:val="auto"/>
          <w:szCs w:val="21"/>
          <w:highlight w:val="none"/>
        </w:rPr>
        <w:t xml:space="preserve">8.1采购项目如接受联合体投标的，两个以上的自然人、法人或者其他组织可以组成一个联合体，以一个供应商的身份共同参加政府采购。</w:t>
      </w:r>
      <w:r>
        <w:rPr>
          <w:rFonts w:hint="eastAsia" w:ascii="宋体" w:hAnsi="宋体"/>
          <w:color w:val="auto"/>
          <w:szCs w:val="21"/>
          <w:highlight w:val="none"/>
        </w:rPr>
        <w:br/>
      </w:r>
      <w:r>
        <w:rPr>
          <w:rFonts w:hint="eastAsia" w:ascii="宋体" w:hAnsi="宋体"/>
          <w:color w:val="auto"/>
          <w:szCs w:val="21"/>
          <w:highlight w:val="none"/>
        </w:rPr>
        <w:t xml:space="preserve">8.2联合体中有同类资质的供应商按照联合体分工承担相同工作的，按照资质等级较低的供应商确定资质等级，以投标全权代表方的应答材料作为商务评审的依据。由不同资质的供应商组成联合体，首先以投标全权代表方的应答材料作为认定资质以及商务评审的依据，涉及行业专属的资质，按照所属行业对应的供应商的应答材料确定。</w:t>
      </w:r>
      <w:r>
        <w:rPr>
          <w:rFonts w:hint="eastAsia" w:ascii="宋体" w:hAnsi="宋体"/>
          <w:color w:val="auto"/>
          <w:szCs w:val="21"/>
          <w:highlight w:val="none"/>
        </w:rPr>
        <w:br/>
      </w:r>
      <w:r>
        <w:rPr>
          <w:rFonts w:hint="eastAsia" w:ascii="宋体" w:hAnsi="宋体"/>
          <w:color w:val="auto"/>
          <w:szCs w:val="21"/>
          <w:highlight w:val="none"/>
        </w:rPr>
        <w:t xml:space="preserve">8.3联合体各方之间应当签订共同投标联合体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olor w:val="auto"/>
          <w:szCs w:val="21"/>
          <w:highlight w:val="none"/>
        </w:rPr>
        <w:br/>
      </w:r>
      <w:r>
        <w:rPr>
          <w:rFonts w:hint="eastAsia" w:ascii="宋体" w:hAnsi="宋体"/>
          <w:color w:val="auto"/>
          <w:szCs w:val="21"/>
          <w:highlight w:val="none"/>
        </w:rPr>
        <w:t xml:space="preserve">8.4鼓励大中型企业和其他自然人、法人或者其他组织与小型、微型企业组成联合体共同参加非专门面向中小企业的政府采购活动。联合协议中约定，小型、微型企业的协议合同金额占到联合体协议合同总金额30%以上的，给予联合体</w:t>
      </w:r>
      <w:r>
        <w:rPr>
          <w:rFonts w:hint="eastAsia" w:ascii="宋体" w:hAnsi="宋体"/>
          <w:bCs/>
          <w:color w:val="auto"/>
          <w:szCs w:val="21"/>
          <w:highlight w:val="none"/>
          <w:lang w:val="zh-CN"/>
        </w:rPr>
        <w:t xml:space="preserve">3%的价格扣除</w:t>
      </w:r>
      <w:r>
        <w:rPr>
          <w:rFonts w:hint="eastAsia" w:ascii="宋体" w:hAnsi="宋体"/>
          <w:color w:val="auto"/>
          <w:szCs w:val="21"/>
          <w:highlight w:val="none"/>
        </w:rPr>
        <w:t xml:space="preserve">。联合体各方均为小型、微型企业的，联合体视同为小型、微型企业享受</w:t>
      </w:r>
      <w:r>
        <w:rPr>
          <w:rFonts w:hint="eastAsia" w:ascii="宋体" w:hAnsi="宋体"/>
          <w:bCs/>
          <w:color w:val="auto"/>
          <w:szCs w:val="21"/>
          <w:highlight w:val="none"/>
          <w:lang w:val="zh-CN"/>
        </w:rPr>
        <w:t xml:space="preserve">10%的价格扣除</w:t>
      </w:r>
      <w:r>
        <w:rPr>
          <w:rFonts w:hint="eastAsia" w:ascii="宋体" w:hAnsi="宋体"/>
          <w:color w:val="auto"/>
          <w:szCs w:val="21"/>
          <w:highlight w:val="none"/>
        </w:rPr>
        <w:t xml:space="preserve">。组成联合体的大中型企业和其他自然人、法人或者其他组织，与小型、微型企业之间不得存在投资关系。</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8.5政府采购合同分包履行的，中标供应商就采购项目和分包项目向采购人负责，分包项目供应商就分包项目承担责任，中标供应商与分包供应商之间应该签订分包意向协议。</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8.6享受中小企业扶持政策获得政府采购合同的，小微企业不得将合同分包给大中型企业，中型企业不得将合同分包给大型企业。</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8.7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spacing w:line="360" w:lineRule="auto"/>
        <w:rPr>
          <w:rFonts w:ascii="宋体" w:hAnsi="宋体"/>
          <w:b/>
          <w:bCs/>
          <w:color w:val="auto"/>
          <w:szCs w:val="21"/>
          <w:highlight w:val="none"/>
          <w:lang w:val="zh-CN"/>
        </w:rPr>
        <w:outlineLvl w:val="9"/>
      </w:pPr>
      <w:r>
        <w:rPr>
          <w:rFonts w:hint="eastAsia" w:ascii="宋体" w:hAnsi="宋体"/>
          <w:b/>
          <w:bCs/>
          <w:color w:val="auto"/>
          <w:szCs w:val="21"/>
          <w:highlight w:val="none"/>
        </w:rPr>
        <w:t xml:space="preserve">9</w:t>
      </w:r>
      <w:r>
        <w:rPr>
          <w:rFonts w:hint="eastAsia" w:ascii="宋体" w:hAnsi="宋体"/>
          <w:b/>
          <w:bCs/>
          <w:color w:val="auto"/>
          <w:szCs w:val="21"/>
          <w:highlight w:val="none"/>
          <w:lang w:val="zh-CN"/>
        </w:rPr>
        <w:t xml:space="preserve">、投标费用</w:t>
      </w:r>
      <w:r/>
    </w:p>
    <w:p>
      <w:pPr>
        <w:spacing w:line="360" w:lineRule="auto"/>
        <w:rPr>
          <w:rFonts w:ascii="宋体" w:hAnsi="宋体"/>
          <w:color w:val="auto"/>
          <w:szCs w:val="21"/>
          <w:highlight w:val="none"/>
          <w:lang w:val="zh-CN"/>
        </w:rPr>
        <w:outlineLvl w:val="9"/>
      </w:pPr>
      <w:r>
        <w:rPr>
          <w:rFonts w:hint="eastAsia" w:ascii="宋体" w:hAnsi="宋体"/>
          <w:color w:val="auto"/>
          <w:szCs w:val="21"/>
          <w:highlight w:val="none"/>
        </w:rPr>
        <w:t xml:space="preserve">9</w:t>
      </w: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供应商应自行承担所有与准备和参加投标有关的费用。无论采购结果如何，采购代理和采购人在任何情况下均无义务和责任承担这些费用。</w:t>
      </w:r>
      <w:r/>
    </w:p>
    <w:p>
      <w:pPr>
        <w:spacing w:line="360" w:lineRule="auto"/>
        <w:rPr>
          <w:rFonts w:hint="eastAsia" w:ascii="宋体" w:hAnsi="宋体"/>
          <w:b/>
          <w:bCs/>
          <w:color w:val="auto"/>
          <w:szCs w:val="21"/>
          <w:highlight w:val="none"/>
        </w:rPr>
        <w:outlineLvl w:val="9"/>
      </w:pPr>
      <w:r>
        <w:rPr>
          <w:rFonts w:hint="eastAsia" w:ascii="宋体" w:hAnsi="宋体"/>
          <w:color w:val="auto"/>
          <w:szCs w:val="21"/>
          <w:highlight w:val="none"/>
        </w:rPr>
        <w:t xml:space="preserve">9.2</w:t>
      </w:r>
      <w:r>
        <w:rPr>
          <w:rFonts w:hint="eastAsia" w:ascii="宋体" w:hAnsi="宋体"/>
          <w:b/>
          <w:bCs/>
          <w:color w:val="auto"/>
          <w:szCs w:val="21"/>
          <w:highlight w:val="none"/>
        </w:rPr>
        <w:t xml:space="preserve">招标代理费计费原则：</w:t>
      </w:r>
      <w:r>
        <w:rPr>
          <w:rFonts w:hint="eastAsia" w:ascii="宋体" w:hAnsi="宋体"/>
          <w:b/>
          <w:bCs/>
          <w:color w:val="auto"/>
          <w:szCs w:val="21"/>
          <w:highlight w:val="none"/>
          <w:lang w:val="en-US"/>
        </w:rPr>
        <w:t xml:space="preserve">按照计价格[2002]1980号《招标代理服务收费管理暂行办法》文件</w:t>
      </w:r>
      <w:r>
        <w:rPr>
          <w:rFonts w:hint="eastAsia" w:ascii="宋体" w:hAnsi="宋体"/>
          <w:b/>
          <w:bCs/>
          <w:color w:val="auto"/>
          <w:szCs w:val="21"/>
          <w:highlight w:val="none"/>
          <w:lang w:val="en-US" w:eastAsia="zh-CN"/>
        </w:rPr>
        <w:t xml:space="preserve">收费标准计取中标</w:t>
      </w:r>
      <w:r>
        <w:rPr>
          <w:rFonts w:hint="eastAsia" w:ascii="宋体" w:hAnsi="宋体"/>
          <w:b/>
          <w:bCs/>
          <w:color w:val="auto"/>
          <w:szCs w:val="21"/>
          <w:highlight w:val="none"/>
          <w:lang w:val="en-US"/>
        </w:rPr>
        <w:t xml:space="preserve">服务费</w:t>
      </w:r>
      <w:r>
        <w:rPr>
          <w:rFonts w:hint="eastAsia"/>
          <w:b/>
          <w:bCs/>
          <w:color w:val="auto"/>
          <w:highlight w:val="none"/>
          <w:lang w:eastAsia="zh-CN"/>
        </w:rPr>
        <w:t xml:space="preserve">，不足3000按3000收，</w:t>
      </w:r>
      <w:r>
        <w:rPr>
          <w:rFonts w:hint="eastAsia" w:ascii="宋体" w:hAnsi="宋体"/>
          <w:b/>
          <w:bCs/>
          <w:color w:val="auto"/>
          <w:szCs w:val="21"/>
          <w:highlight w:val="none"/>
        </w:rPr>
        <w:t xml:space="preserve">由中选单位支付，在领取中标通知书时一次性付清。此费用不单独列项。</w:t>
      </w:r>
      <w:r>
        <w:rPr>
          <w:rFonts w:hint="eastAsia" w:ascii="宋体" w:hAnsi="宋体"/>
          <w:b/>
          <w:bCs/>
          <w:color w:val="auto"/>
          <w:szCs w:val="21"/>
          <w:highlight w:val="none"/>
        </w:rPr>
        <w:t xml:space="preserve">评委费由采购人支付。</w:t>
      </w:r>
      <w:r>
        <w:rPr>
          <w:rFonts w:hint="eastAsia" w:ascii="宋体" w:hAnsi="宋体"/>
          <w:b/>
          <w:bCs/>
          <w:color w:val="auto"/>
          <w:szCs w:val="21"/>
          <w:highlight w:val="none"/>
        </w:rPr>
      </w:r>
      <w:r/>
    </w:p>
    <w:p>
      <w:pPr>
        <w:jc w:val="left"/>
        <w:spacing w:line="360" w:lineRule="auto"/>
        <w:rPr>
          <w:rFonts w:hint="eastAsia" w:ascii="宋体" w:hAnsi="宋体" w:eastAsia="宋体" w:cs="Times New Roman"/>
          <w:b/>
          <w:color w:val="auto"/>
          <w:szCs w:val="21"/>
          <w:highlight w:val="none"/>
          <w:lang w:val="en-US" w:eastAsia="zh-CN"/>
        </w:rPr>
        <w:outlineLvl w:val="9"/>
      </w:pPr>
      <w:r>
        <w:rPr>
          <w:rFonts w:hint="eastAsia" w:ascii="宋体" w:hAnsi="宋体" w:eastAsia="宋体" w:cs="Times New Roman"/>
          <w:b/>
          <w:color w:val="auto"/>
          <w:szCs w:val="21"/>
          <w:highlight w:val="none"/>
          <w:lang w:val="en-US" w:eastAsia="zh-CN"/>
        </w:rPr>
        <w:t xml:space="preserve">汇款信息：</w:t>
      </w:r>
      <w:r/>
    </w:p>
    <w:p>
      <w:pPr>
        <w:jc w:val="left"/>
        <w:spacing w:line="360" w:lineRule="auto"/>
        <w:rPr>
          <w:rFonts w:hint="eastAsia" w:ascii="宋体" w:hAnsi="宋体" w:eastAsia="宋体" w:cs="Times New Roman"/>
          <w:b/>
          <w:color w:val="auto"/>
          <w:szCs w:val="21"/>
          <w:highlight w:val="none"/>
          <w:lang w:val="zh-CN"/>
        </w:rPr>
        <w:outlineLvl w:val="9"/>
      </w:pPr>
      <w:r>
        <w:rPr>
          <w:rFonts w:hint="eastAsia" w:ascii="宋体" w:hAnsi="宋体"/>
          <w:b/>
          <w:color w:val="auto"/>
          <w:szCs w:val="21"/>
          <w:highlight w:val="none"/>
          <w:lang w:val="zh-CN"/>
        </w:rPr>
        <w:t xml:space="preserve">名称：南京中信工程造价有限公司</w:t>
      </w:r>
      <w:r>
        <w:rPr>
          <w:rFonts w:hint="eastAsia" w:ascii="宋体" w:hAnsi="宋体"/>
          <w:b/>
          <w:color w:val="auto"/>
          <w:szCs w:val="21"/>
          <w:highlight w:val="none"/>
          <w:lang w:val="zh-CN"/>
        </w:rPr>
        <w:br/>
      </w:r>
      <w:r>
        <w:rPr>
          <w:rFonts w:hint="eastAsia" w:ascii="宋体" w:hAnsi="宋体"/>
          <w:b/>
          <w:color w:val="auto"/>
          <w:szCs w:val="21"/>
          <w:highlight w:val="none"/>
          <w:lang w:val="zh-CN"/>
        </w:rPr>
        <w:t xml:space="preserve">纳税人识别号：91320117780679746Y</w:t>
      </w:r>
      <w:r>
        <w:rPr>
          <w:rFonts w:hint="eastAsia" w:ascii="宋体" w:hAnsi="宋体" w:eastAsia="宋体" w:cs="Times New Roman"/>
          <w:b/>
          <w:color w:val="auto"/>
          <w:szCs w:val="21"/>
          <w:highlight w:val="none"/>
          <w:lang w:val="zh-CN"/>
        </w:rPr>
        <w:br/>
      </w:r>
      <w:r>
        <w:rPr>
          <w:rFonts w:hint="eastAsia" w:ascii="宋体" w:hAnsi="宋体" w:eastAsia="宋体" w:cs="Times New Roman"/>
          <w:b/>
          <w:color w:val="auto"/>
          <w:szCs w:val="21"/>
          <w:highlight w:val="none"/>
          <w:lang w:val="zh-CN"/>
        </w:rPr>
        <w:t xml:space="preserve">地址、电话：南京市鼓楼区燕江路201号D座20层025-86289667</w:t>
      </w:r>
      <w:r>
        <w:rPr>
          <w:rFonts w:hint="eastAsia" w:ascii="宋体" w:hAnsi="宋体" w:eastAsia="宋体" w:cs="Times New Roman"/>
          <w:b/>
          <w:color w:val="auto"/>
          <w:szCs w:val="21"/>
          <w:highlight w:val="none"/>
          <w:lang w:val="zh-CN"/>
        </w:rPr>
        <w:br/>
      </w:r>
      <w:r>
        <w:rPr>
          <w:rFonts w:hint="eastAsia" w:ascii="宋体" w:hAnsi="宋体" w:eastAsia="宋体" w:cs="Times New Roman"/>
          <w:b/>
          <w:color w:val="auto"/>
          <w:szCs w:val="21"/>
          <w:highlight w:val="none"/>
          <w:lang w:val="zh-CN"/>
        </w:rPr>
        <w:t xml:space="preserve">开户行及账号：建设银行南京大东门支行32001596340052500905</w:t>
      </w:r>
      <w:r/>
    </w:p>
    <w:p>
      <w:pPr>
        <w:jc w:val="left"/>
        <w:spacing w:line="360" w:lineRule="auto"/>
        <w:rPr>
          <w:rFonts w:hint="default" w:ascii="宋体" w:hAnsi="宋体" w:eastAsia="宋体" w:cs="Times New Roman"/>
          <w:b/>
          <w:color w:val="auto"/>
          <w:szCs w:val="21"/>
          <w:highlight w:val="none"/>
          <w:lang w:val="en-US" w:eastAsia="zh-CN"/>
        </w:rPr>
        <w:outlineLvl w:val="9"/>
      </w:pPr>
      <w:r>
        <w:rPr>
          <w:rFonts w:hint="eastAsia" w:ascii="宋体" w:hAnsi="宋体" w:eastAsia="宋体" w:cs="Times New Roman"/>
          <w:b/>
          <w:color w:val="auto"/>
          <w:szCs w:val="21"/>
          <w:highlight w:val="none"/>
          <w:lang w:val="zh-CN"/>
        </w:rPr>
        <w:t xml:space="preserve">备注：汇款时请注明“采购项目名称”（可简写）等相关内容</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9.3本项目还涉及税费、管理费等相关为完成本次项目招标的费用由中选单位支付；以上费用由中标人支付并含在投标综合单价内。</w:t>
      </w:r>
      <w:r/>
    </w:p>
    <w:p>
      <w:pPr>
        <w:jc w:val="left"/>
        <w:spacing w:line="360" w:lineRule="auto"/>
        <w:rPr>
          <w:rFonts w:hint="eastAsia" w:ascii="宋体" w:hAnsi="宋体" w:eastAsia="宋体" w:cs="Times New Roman"/>
          <w:color w:val="auto"/>
          <w:szCs w:val="21"/>
          <w:highlight w:val="none"/>
        </w:rPr>
        <w:outlineLvl w:val="9"/>
      </w:pPr>
      <w:r>
        <w:rPr>
          <w:rFonts w:hint="eastAsia" w:ascii="宋体" w:hAnsi="宋体"/>
          <w:b/>
          <w:color w:val="auto"/>
          <w:szCs w:val="21"/>
          <w:highlight w:val="none"/>
        </w:rPr>
        <w:t xml:space="preserve">10、投标文件组成</w:t>
      </w:r>
      <w:r>
        <w:rPr>
          <w:rFonts w:hint="eastAsia" w:ascii="宋体" w:hAnsi="宋体"/>
          <w:color w:val="auto"/>
          <w:szCs w:val="21"/>
          <w:highlight w:val="none"/>
        </w:rPr>
        <w:br/>
      </w:r>
      <w:r>
        <w:rPr>
          <w:rFonts w:hint="eastAsia" w:ascii="宋体" w:hAnsi="宋体"/>
          <w:color w:val="auto"/>
          <w:szCs w:val="21"/>
          <w:highlight w:val="none"/>
        </w:rPr>
        <w:t xml:space="preserve">10.1供应商应当根据招标文件要求编制投标文件，投标文件应对招标文件提出的要求和条件作出实质性响应，并在《商务条款偏离表》等处逐条标明满足与否。</w:t>
      </w:r>
      <w:r>
        <w:rPr>
          <w:rFonts w:hint="eastAsia" w:ascii="宋体" w:hAnsi="宋体" w:cs="宋体"/>
          <w:b/>
          <w:color w:val="auto"/>
          <w:szCs w:val="21"/>
          <w:highlight w:val="none"/>
        </w:rPr>
        <w:t xml:space="preserve">对带星号（“</w:t>
      </w:r>
      <w:r>
        <w:rPr>
          <w:rFonts w:ascii="宋体" w:hAnsi="宋体" w:cs="宋体"/>
          <w:b/>
          <w:color w:val="auto"/>
          <w:szCs w:val="21"/>
          <w:highlight w:val="none"/>
        </w:rPr>
        <w:t xml:space="preserve">★</w:t>
      </w:r>
      <w:r>
        <w:rPr>
          <w:rFonts w:hint="eastAsia" w:ascii="宋体" w:hAnsi="宋体" w:cs="宋体"/>
          <w:b/>
          <w:color w:val="auto"/>
          <w:szCs w:val="21"/>
          <w:highlight w:val="none"/>
        </w:rPr>
        <w:t xml:space="preserve">”）的技术参数必须在投标文件中按要求提供技术支持资料（如白皮书、彩页、手册、检测报告等），未提供技术支持资料的，评标时不予认可。（采购需求中另有规定的，也可从其规定）</w:t>
      </w:r>
      <w:r>
        <w:rPr>
          <w:rFonts w:hint="eastAsia" w:ascii="宋体" w:hAnsi="宋体"/>
          <w:color w:val="auto"/>
          <w:szCs w:val="21"/>
          <w:highlight w:val="none"/>
        </w:rPr>
        <w:br/>
      </w:r>
      <w:r>
        <w:rPr>
          <w:rFonts w:hint="eastAsia" w:ascii="宋体" w:hAnsi="宋体"/>
          <w:color w:val="auto"/>
          <w:szCs w:val="21"/>
          <w:highlight w:val="none"/>
        </w:rPr>
        <w:t xml:space="preserve">10.2供应商根据招标文件载明的标的采购项目实际情况，拟在中标后将中标项目的非主体、非关键性工作交由他人完成的，应当在投标文件中载明。</w:t>
      </w:r>
      <w:r>
        <w:rPr>
          <w:rFonts w:hint="eastAsia" w:ascii="宋体" w:hAnsi="宋体"/>
          <w:color w:val="auto"/>
          <w:szCs w:val="21"/>
          <w:highlight w:val="none"/>
        </w:rPr>
        <w:br/>
      </w:r>
      <w:r>
        <w:rPr>
          <w:rFonts w:hint="eastAsia" w:ascii="宋体" w:hAnsi="宋体"/>
          <w:color w:val="auto"/>
          <w:szCs w:val="21"/>
          <w:highlight w:val="none"/>
        </w:rPr>
        <w:t xml:space="preserve">10.3投标文件由商务部分、技术部分、价格部分，以及其他部分组成。</w:t>
      </w:r>
      <w:r>
        <w:rPr>
          <w:rFonts w:hint="eastAsia" w:ascii="宋体" w:hAnsi="宋体"/>
          <w:color w:val="auto"/>
          <w:szCs w:val="21"/>
          <w:highlight w:val="none"/>
        </w:rPr>
        <w:br/>
      </w:r>
      <w:r>
        <w:rPr>
          <w:rFonts w:hint="eastAsia" w:ascii="宋体" w:hAnsi="宋体"/>
          <w:b/>
          <w:color w:val="auto"/>
          <w:szCs w:val="21"/>
          <w:highlight w:val="none"/>
        </w:rPr>
        <w:t xml:space="preserve">11、投标文件的商务部分</w:t>
      </w:r>
      <w:r>
        <w:rPr>
          <w:rFonts w:hint="eastAsia" w:ascii="宋体" w:hAnsi="宋体"/>
          <w:color w:val="auto"/>
          <w:szCs w:val="21"/>
          <w:highlight w:val="none"/>
        </w:rPr>
        <w:br/>
      </w:r>
      <w:r>
        <w:rPr>
          <w:rFonts w:hint="eastAsia" w:ascii="宋体" w:hAnsi="宋体"/>
          <w:color w:val="auto"/>
          <w:szCs w:val="21"/>
          <w:highlight w:val="none"/>
        </w:rPr>
        <w:t xml:space="preserve">11.1商务部分是证明供应商有资格参加投标和中标后有能力履行合同的文件，这些文件应能满足招标</w:t>
      </w:r>
      <w:r>
        <w:rPr>
          <w:rFonts w:hint="eastAsia" w:ascii="宋体" w:hAnsi="宋体" w:eastAsia="宋体" w:cs="Times New Roman"/>
          <w:color w:val="auto"/>
          <w:szCs w:val="21"/>
          <w:highlight w:val="none"/>
        </w:rPr>
        <w:t xml:space="preserve">的要求，包括但不限于下列文件，其中加“★”项目不得有缺失或无效。</w:t>
      </w:r>
      <w:r>
        <w:rPr>
          <w:rFonts w:hint="eastAsia" w:ascii="宋体" w:hAnsi="宋体" w:eastAsia="宋体" w:cs="Times New Roman"/>
          <w:color w:val="auto"/>
          <w:szCs w:val="21"/>
          <w:highlight w:val="none"/>
        </w:rPr>
        <w:br/>
      </w:r>
      <w:r>
        <w:rPr>
          <w:rFonts w:hint="eastAsia"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lang w:val="zh-CN"/>
        </w:rPr>
        <w:t xml:space="preserve">投标申请及声明</w:t>
      </w: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br/>
      </w:r>
      <w:r>
        <w:rPr>
          <w:rFonts w:hint="eastAsia"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lang w:val="zh-CN"/>
        </w:rPr>
        <w:t xml:space="preserve">法定代表人授权委托书及委托代理人的身份证</w:t>
      </w:r>
      <w:r>
        <w:rPr>
          <w:rFonts w:hint="eastAsia" w:ascii="宋体" w:hAnsi="宋体" w:eastAsia="宋体" w:cs="Times New Roman"/>
          <w:color w:val="auto"/>
          <w:szCs w:val="21"/>
          <w:highlight w:val="none"/>
        </w:rPr>
        <w:t xml:space="preserve">；</w:t>
      </w:r>
      <w:r/>
    </w:p>
    <w:p>
      <w:pPr>
        <w:jc w:val="left"/>
        <w:spacing w:line="360" w:lineRule="auto"/>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（3）★第一章投标邀请中《中华人民共和国政府采购法》第二十二条规定的资格条件证明文件</w:t>
      </w:r>
      <w:r>
        <w:rPr>
          <w:rFonts w:hint="eastAsia" w:ascii="宋体" w:hAnsi="宋体" w:eastAsia="宋体" w:cs="Times New Roman"/>
          <w:color w:val="auto"/>
          <w:szCs w:val="21"/>
          <w:highlight w:val="none"/>
          <w:lang w:val="en-US" w:eastAsia="zh-CN"/>
        </w:rPr>
        <w:t xml:space="preserve">或</w:t>
      </w:r>
      <w:r>
        <w:rPr>
          <w:rFonts w:hint="eastAsia" w:ascii="宋体" w:hAnsi="宋体" w:eastAsia="宋体" w:cs="Times New Roman"/>
          <w:color w:val="auto"/>
          <w:szCs w:val="21"/>
          <w:highlight w:val="none"/>
        </w:rPr>
        <w:t xml:space="preserve">《南京市政府采购供应商信用记录表暨信用承诺书》（供应商参加本项目政府采购活动时，均应在采购文件发布之日起至</w:t>
      </w:r>
      <w:r>
        <w:rPr>
          <w:rFonts w:hint="eastAsia" w:ascii="宋体" w:hAnsi="宋体" w:eastAsia="宋体" w:cs="Times New Roman"/>
          <w:color w:val="auto"/>
          <w:szCs w:val="21"/>
          <w:highlight w:val="none"/>
          <w:lang w:val="en-US" w:eastAsia="zh-CN"/>
        </w:rPr>
        <w:t xml:space="preserve">响应</w:t>
      </w:r>
      <w:r>
        <w:rPr>
          <w:rFonts w:hint="eastAsia" w:ascii="宋体" w:hAnsi="宋体" w:eastAsia="宋体" w:cs="Times New Roman"/>
          <w:color w:val="auto"/>
          <w:szCs w:val="21"/>
          <w:highlight w:val="none"/>
        </w:rPr>
        <w:t xml:space="preserve">截止时间前，登录“信用南京”（www.njcredit.gov.cn）或“南京公共采购信息网”（www.njgc.jfh.com）主页“南京市政府采购供应商诚信档案”栏目在线打印“南京市政府采购供应商信用记录表暨信用承诺书”）；</w:t>
      </w:r>
      <w:r>
        <w:rPr>
          <w:rFonts w:hint="eastAsia" w:ascii="宋体" w:hAnsi="宋体" w:eastAsia="宋体" w:cs="Times New Roman"/>
          <w:color w:val="auto"/>
          <w:szCs w:val="21"/>
          <w:highlight w:val="none"/>
        </w:rPr>
        <w:br/>
      </w:r>
      <w:r>
        <w:rPr>
          <w:rFonts w:hint="eastAsia" w:ascii="宋体" w:hAnsi="宋体" w:eastAsia="宋体" w:cs="Times New Roman"/>
          <w:color w:val="auto"/>
          <w:szCs w:val="21"/>
          <w:highlight w:val="none"/>
        </w:rPr>
        <w:t xml:space="preserve">（4）★第一章投标邀请中采购人根据采购项目的特殊要求规定的特定条件证明文件；</w:t>
      </w:r>
      <w:r/>
    </w:p>
    <w:p>
      <w:pPr>
        <w:jc w:val="left"/>
        <w:spacing w:line="360" w:lineRule="auto"/>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（5）《中小企业声明函》；</w:t>
      </w:r>
      <w:r>
        <w:rPr>
          <w:rFonts w:hint="eastAsia" w:ascii="宋体" w:hAnsi="宋体" w:eastAsia="宋体" w:cs="Times New Roman"/>
          <w:color w:val="auto"/>
          <w:szCs w:val="21"/>
          <w:highlight w:val="none"/>
        </w:rPr>
        <w:br/>
      </w:r>
      <w:r>
        <w:rPr>
          <w:rFonts w:hint="eastAsia" w:ascii="宋体" w:hAnsi="宋体" w:eastAsia="宋体" w:cs="Times New Roman"/>
          <w:color w:val="auto"/>
          <w:szCs w:val="21"/>
          <w:highlight w:val="none"/>
        </w:rPr>
        <w:t xml:space="preserve">（6）《商务条款偏离表》；</w:t>
      </w:r>
      <w:r/>
    </w:p>
    <w:p>
      <w:pPr>
        <w:jc w:val="left"/>
        <w:spacing w:line="360" w:lineRule="auto"/>
        <w:rPr>
          <w:rFonts w:hint="eastAsia" w:ascii="宋体" w:hAnsi="宋体" w:eastAsia="宋体" w:cs="Times New Roman"/>
          <w:color w:val="auto"/>
          <w:szCs w:val="21"/>
          <w:highlight w:val="none"/>
          <w:lang w:val="zh-CN"/>
        </w:rPr>
        <w:outlineLvl w:val="9"/>
      </w:pPr>
      <w:r>
        <w:rPr>
          <w:rFonts w:hint="eastAsia" w:ascii="宋体" w:hAnsi="宋体" w:eastAsia="宋体" w:cs="Times New Roman"/>
          <w:color w:val="auto"/>
          <w:szCs w:val="21"/>
          <w:highlight w:val="none"/>
        </w:rPr>
        <w:t xml:space="preserve">（7）供应商认为需要提供的其他资格证明文件和商务资料等。</w:t>
      </w:r>
      <w:r/>
    </w:p>
    <w:p>
      <w:pPr>
        <w:spacing w:line="360" w:lineRule="auto"/>
        <w:rPr>
          <w:rFonts w:ascii="宋体" w:hAnsi="宋体"/>
          <w:b/>
          <w:bCs/>
          <w:color w:val="auto"/>
          <w:szCs w:val="21"/>
          <w:highlight w:val="none"/>
          <w:lang w:val="zh-CN"/>
        </w:rPr>
        <w:outlineLvl w:val="9"/>
      </w:pPr>
      <w:r>
        <w:rPr>
          <w:rFonts w:hint="eastAsia" w:ascii="宋体" w:hAnsi="宋体"/>
          <w:b/>
          <w:bCs/>
          <w:color w:val="auto"/>
          <w:szCs w:val="21"/>
          <w:highlight w:val="none"/>
        </w:rPr>
        <w:t xml:space="preserve">12</w:t>
      </w:r>
      <w:r>
        <w:rPr>
          <w:rFonts w:hint="eastAsia" w:ascii="宋体" w:hAnsi="宋体"/>
          <w:b/>
          <w:bCs/>
          <w:color w:val="auto"/>
          <w:szCs w:val="21"/>
          <w:highlight w:val="none"/>
          <w:lang w:val="zh-CN"/>
        </w:rPr>
        <w:t xml:space="preserve">、投标文件的技术部分</w:t>
      </w:r>
      <w:r/>
    </w:p>
    <w:p>
      <w:pPr>
        <w:spacing w:line="360" w:lineRule="auto"/>
        <w:rPr>
          <w:rFonts w:ascii="宋体" w:hAnsi="宋体"/>
          <w:color w:val="auto"/>
          <w:szCs w:val="21"/>
          <w:highlight w:val="none"/>
          <w:lang w:val="zh-CN"/>
        </w:rPr>
        <w:outlineLvl w:val="9"/>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2</w:t>
      </w: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技术部分是证明</w:t>
      </w:r>
      <w:r>
        <w:rPr>
          <w:rFonts w:hint="eastAsia" w:ascii="宋体" w:hAnsi="宋体"/>
          <w:color w:val="auto"/>
          <w:szCs w:val="21"/>
          <w:highlight w:val="none"/>
        </w:rPr>
        <w:t xml:space="preserve">供应商提供的服务是合格的、并符合招标文件要求的证明文件，以及</w:t>
      </w:r>
      <w:r>
        <w:rPr>
          <w:rFonts w:hint="eastAsia" w:ascii="宋体" w:hAnsi="宋体"/>
          <w:color w:val="auto"/>
          <w:szCs w:val="21"/>
          <w:highlight w:val="none"/>
          <w:lang w:val="zh-CN"/>
        </w:rPr>
        <w:t xml:space="preserve">对投标报价表中的服务的详细说明，这些文件可以是文字资料、图纸和数据等。</w:t>
      </w:r>
      <w:r/>
    </w:p>
    <w:p>
      <w:pPr>
        <w:spacing w:line="360" w:lineRule="auto"/>
        <w:rPr>
          <w:rFonts w:ascii="宋体" w:hAnsi="宋体"/>
          <w:color w:val="auto"/>
          <w:szCs w:val="21"/>
          <w:highlight w:val="none"/>
          <w:lang w:val="zh-CN"/>
        </w:rPr>
        <w:outlineLvl w:val="9"/>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.2若技术性能无特殊说明，则按国家有关部门最新颁布的标准及规范为准；</w:t>
      </w:r>
      <w:r/>
    </w:p>
    <w:p>
      <w:pPr>
        <w:spacing w:line="360" w:lineRule="auto"/>
        <w:rPr>
          <w:rFonts w:ascii="宋体" w:hAnsi="宋体"/>
          <w:color w:val="auto"/>
          <w:szCs w:val="21"/>
          <w:highlight w:val="none"/>
          <w:lang w:val="zh-CN"/>
        </w:rPr>
        <w:outlineLvl w:val="9"/>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.3提供的</w:t>
      </w:r>
      <w:r>
        <w:rPr>
          <w:rFonts w:hint="eastAsia" w:ascii="宋体" w:hAnsi="宋体"/>
          <w:color w:val="auto"/>
          <w:szCs w:val="21"/>
          <w:highlight w:val="none"/>
        </w:rPr>
        <w:t xml:space="preserve">技术</w:t>
      </w:r>
      <w:r>
        <w:rPr>
          <w:rFonts w:hint="eastAsia" w:ascii="宋体" w:hAnsi="宋体"/>
          <w:color w:val="auto"/>
          <w:szCs w:val="21"/>
          <w:highlight w:val="none"/>
          <w:lang w:val="en-US" w:eastAsia="zh-CN"/>
        </w:rPr>
        <w:t xml:space="preserve">或服务</w:t>
      </w:r>
      <w:r>
        <w:rPr>
          <w:rFonts w:hint="eastAsia" w:ascii="宋体" w:hAnsi="宋体"/>
          <w:color w:val="auto"/>
          <w:szCs w:val="21"/>
          <w:highlight w:val="none"/>
          <w:lang w:val="zh-CN"/>
        </w:rPr>
        <w:t xml:space="preserve">如与招标文件要求有不符之处，应说明其差别之所在，并在《技术规格偏离表》中逐条予以说明。</w:t>
      </w:r>
      <w:r/>
    </w:p>
    <w:p>
      <w:pPr>
        <w:spacing w:line="360" w:lineRule="auto"/>
        <w:rPr>
          <w:rFonts w:ascii="宋体" w:hAnsi="宋体"/>
          <w:b/>
          <w:color w:val="auto"/>
          <w:szCs w:val="21"/>
          <w:highlight w:val="none"/>
          <w:lang w:val="zh-CN"/>
        </w:rPr>
        <w:outlineLvl w:val="9"/>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.4投标文件应按照招标文件要求提供技术资料、文件和有关证明，包括但不限于</w:t>
      </w:r>
      <w:r>
        <w:rPr>
          <w:rFonts w:hint="eastAsia" w:ascii="宋体" w:hAnsi="宋体"/>
          <w:b/>
          <w:color w:val="auto"/>
          <w:szCs w:val="21"/>
          <w:highlight w:val="none"/>
          <w:lang w:val="zh-CN"/>
        </w:rPr>
        <w:t xml:space="preserve">其中加</w:t>
      </w:r>
      <w:r>
        <w:rPr>
          <w:rFonts w:hint="eastAsia" w:ascii="宋体" w:hAnsi="宋体"/>
          <w:color w:val="auto"/>
          <w:szCs w:val="21"/>
          <w:highlight w:val="none"/>
        </w:rPr>
        <w:t xml:space="preserve">★</w:t>
      </w:r>
      <w:r>
        <w:rPr>
          <w:rFonts w:hint="eastAsia" w:ascii="宋体" w:hAnsi="宋体"/>
          <w:b/>
          <w:color w:val="auto"/>
          <w:szCs w:val="21"/>
          <w:highlight w:val="none"/>
          <w:lang w:val="zh-CN"/>
        </w:rPr>
        <w:t xml:space="preserve">项目不得有缺失或无效：</w:t>
      </w:r>
      <w:r/>
    </w:p>
    <w:p>
      <w:pPr>
        <w:jc w:val="left"/>
        <w:spacing w:line="360" w:lineRule="auto"/>
        <w:rPr>
          <w:rFonts w:hint="eastAsia" w:ascii="宋体" w:hAnsi="宋体" w:eastAsia="宋体" w:cs="Times New Roman"/>
          <w:color w:val="auto"/>
          <w:szCs w:val="21"/>
          <w:highlight w:val="none"/>
          <w:lang w:val="zh-CN"/>
        </w:rPr>
        <w:outlineLvl w:val="9"/>
      </w:pPr>
      <w:r>
        <w:rPr>
          <w:rFonts w:hint="eastAsia" w:ascii="宋体" w:hAnsi="宋体" w:eastAsia="宋体" w:cs="Times New Roman"/>
          <w:color w:val="auto"/>
          <w:szCs w:val="21"/>
          <w:highlight w:val="none"/>
          <w:lang w:val="zh-CN"/>
        </w:rPr>
        <w:t xml:space="preserve">（1）货物材质、主要技术指标和性能、生产产地、品牌、型号等详细说明</w:t>
      </w:r>
      <w:r>
        <w:rPr>
          <w:rFonts w:hint="eastAsia" w:ascii="宋体" w:hAnsi="宋体" w:eastAsia="宋体" w:cs="Times New Roman"/>
          <w:color w:val="auto"/>
          <w:szCs w:val="21"/>
          <w:highlight w:val="none"/>
          <w:lang w:val="en-US" w:eastAsia="zh-CN"/>
        </w:rPr>
        <w:t xml:space="preserve">或服务内容的详细说明</w:t>
      </w:r>
      <w:r>
        <w:rPr>
          <w:rFonts w:hint="eastAsia" w:ascii="宋体" w:hAnsi="宋体" w:eastAsia="宋体" w:cs="Times New Roman"/>
          <w:color w:val="auto"/>
          <w:szCs w:val="21"/>
          <w:highlight w:val="none"/>
          <w:lang w:val="zh-CN"/>
        </w:rPr>
        <w:t xml:space="preserve">；</w:t>
      </w:r>
      <w:r/>
    </w:p>
    <w:p>
      <w:pPr>
        <w:jc w:val="left"/>
        <w:spacing w:line="360" w:lineRule="auto"/>
        <w:rPr>
          <w:rFonts w:hint="eastAsia" w:ascii="宋体" w:hAnsi="宋体" w:eastAsia="宋体" w:cs="Times New Roman"/>
          <w:color w:val="auto"/>
          <w:szCs w:val="21"/>
          <w:highlight w:val="none"/>
          <w:lang w:val="zh-CN"/>
        </w:rPr>
        <w:outlineLvl w:val="9"/>
      </w:pPr>
      <w:r>
        <w:rPr>
          <w:rFonts w:hint="eastAsia" w:ascii="宋体" w:hAnsi="宋体" w:eastAsia="宋体" w:cs="Times New Roman"/>
          <w:color w:val="auto"/>
          <w:szCs w:val="21"/>
          <w:highlight w:val="none"/>
          <w:lang w:val="zh-CN"/>
        </w:rPr>
        <w:t xml:space="preserve">（2）★《技术条款偏离表》；</w:t>
      </w:r>
      <w:r/>
    </w:p>
    <w:p>
      <w:pPr>
        <w:jc w:val="left"/>
        <w:spacing w:line="360" w:lineRule="auto"/>
        <w:rPr>
          <w:rFonts w:hint="eastAsia" w:ascii="宋体" w:hAnsi="宋体" w:eastAsia="宋体" w:cs="Times New Roman"/>
          <w:color w:val="auto"/>
          <w:szCs w:val="21"/>
          <w:highlight w:val="none"/>
          <w:lang w:val="zh-CN"/>
        </w:rPr>
        <w:outlineLvl w:val="9"/>
      </w:pPr>
      <w:r>
        <w:rPr>
          <w:rFonts w:hint="eastAsia" w:ascii="宋体" w:hAnsi="宋体" w:eastAsia="宋体" w:cs="Times New Roman"/>
          <w:color w:val="auto"/>
          <w:szCs w:val="21"/>
          <w:highlight w:val="none"/>
          <w:lang w:val="zh-CN"/>
        </w:rPr>
        <w:t xml:space="preserve">（3）服务的标准和规范；</w:t>
      </w:r>
      <w:r/>
    </w:p>
    <w:p>
      <w:pPr>
        <w:jc w:val="left"/>
        <w:spacing w:line="360" w:lineRule="auto"/>
        <w:rPr>
          <w:rFonts w:hint="eastAsia" w:ascii="宋体" w:hAnsi="宋体" w:eastAsia="宋体" w:cs="Times New Roman"/>
          <w:color w:val="auto"/>
          <w:szCs w:val="21"/>
          <w:highlight w:val="none"/>
          <w:lang w:val="zh-CN"/>
        </w:rPr>
        <w:outlineLvl w:val="9"/>
      </w:pPr>
      <w:r>
        <w:rPr>
          <w:rFonts w:hint="eastAsia" w:ascii="宋体" w:hAnsi="宋体" w:eastAsia="宋体" w:cs="Times New Roman"/>
          <w:color w:val="auto"/>
          <w:szCs w:val="21"/>
          <w:highlight w:val="none"/>
          <w:lang w:val="zh-CN"/>
        </w:rPr>
        <w:t xml:space="preserve">（4）项目集成（实施）方案；</w:t>
      </w:r>
      <w:r/>
    </w:p>
    <w:p>
      <w:pPr>
        <w:jc w:val="left"/>
        <w:spacing w:line="360" w:lineRule="auto"/>
        <w:rPr>
          <w:rFonts w:hint="eastAsia" w:ascii="宋体" w:hAnsi="宋体" w:eastAsia="宋体" w:cs="Times New Roman"/>
          <w:color w:val="auto"/>
          <w:szCs w:val="21"/>
          <w:highlight w:val="none"/>
          <w:lang w:val="zh-CN"/>
        </w:rPr>
        <w:outlineLvl w:val="9"/>
      </w:pPr>
      <w:r>
        <w:rPr>
          <w:rFonts w:hint="eastAsia" w:ascii="宋体" w:hAnsi="宋体" w:eastAsia="宋体" w:cs="Times New Roman"/>
          <w:color w:val="auto"/>
          <w:szCs w:val="21"/>
          <w:highlight w:val="none"/>
          <w:lang w:val="zh-CN"/>
        </w:rPr>
        <w:t xml:space="preserve">（</w:t>
      </w: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lang w:val="zh-CN"/>
        </w:rPr>
        <w:t xml:space="preserve">）服务承诺（不得低于本项目招标要求）；</w:t>
      </w:r>
      <w:r/>
    </w:p>
    <w:p>
      <w:pPr>
        <w:jc w:val="left"/>
        <w:spacing w:line="360" w:lineRule="auto"/>
        <w:rPr>
          <w:rFonts w:ascii="宋体" w:hAnsi="宋体"/>
          <w:color w:val="auto"/>
          <w:szCs w:val="21"/>
          <w:highlight w:val="none"/>
        </w:rPr>
        <w:outlineLvl w:val="9"/>
      </w:pPr>
      <w:r>
        <w:rPr>
          <w:rFonts w:hint="eastAsia" w:ascii="宋体" w:hAnsi="宋体" w:eastAsia="宋体" w:cs="Times New Roman"/>
          <w:color w:val="auto"/>
          <w:szCs w:val="21"/>
          <w:highlight w:val="none"/>
          <w:lang w:val="zh-CN"/>
        </w:rPr>
        <w:t xml:space="preserve">（</w:t>
      </w: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val="zh-CN"/>
        </w:rPr>
        <w:t xml:space="preserve">）供应商认为需要提供的其他技术文件或资料等。</w:t>
      </w:r>
      <w:r>
        <w:rPr>
          <w:rFonts w:hint="eastAsia" w:ascii="宋体" w:hAnsi="宋体" w:eastAsia="宋体" w:cs="Times New Roman"/>
          <w:color w:val="auto"/>
          <w:szCs w:val="21"/>
          <w:highlight w:val="none"/>
          <w:lang w:val="zh-CN"/>
        </w:rPr>
        <w:br/>
      </w:r>
      <w:r>
        <w:rPr>
          <w:rFonts w:hint="eastAsia" w:ascii="宋体" w:hAnsi="宋体"/>
          <w:b/>
          <w:color w:val="auto"/>
          <w:szCs w:val="21"/>
          <w:highlight w:val="none"/>
        </w:rPr>
        <w:t xml:space="preserve">13、投标文件的价格部分</w:t>
      </w:r>
      <w:r>
        <w:rPr>
          <w:rFonts w:hint="eastAsia" w:ascii="宋体" w:hAnsi="宋体"/>
          <w:color w:val="auto"/>
          <w:szCs w:val="21"/>
          <w:highlight w:val="none"/>
        </w:rPr>
        <w:br/>
      </w:r>
      <w:r>
        <w:rPr>
          <w:rFonts w:hint="eastAsia" w:ascii="宋体" w:hAnsi="宋体"/>
          <w:color w:val="auto"/>
          <w:szCs w:val="21"/>
          <w:highlight w:val="none"/>
        </w:rPr>
        <w:t xml:space="preserve">13.1价格部分是对投标货物和服务价格构成的说明，每一项货物仅接受一个价格。</w:t>
      </w:r>
      <w:r>
        <w:rPr>
          <w:rFonts w:hint="eastAsia" w:ascii="宋体" w:hAnsi="宋体"/>
          <w:color w:val="auto"/>
          <w:szCs w:val="21"/>
          <w:highlight w:val="none"/>
        </w:rPr>
        <w:br/>
      </w:r>
      <w:r>
        <w:rPr>
          <w:rFonts w:hint="eastAsia" w:ascii="宋体" w:hAnsi="宋体"/>
          <w:color w:val="auto"/>
          <w:szCs w:val="21"/>
          <w:highlight w:val="none"/>
        </w:rPr>
        <w:t xml:space="preserve">13.2报价应包含完成本服务项目发生的所有含税费用、支付给员工的工资和国家强制缴纳的各种社会保障资金，招标代理费（按照</w:t>
      </w:r>
      <w:r>
        <w:rPr>
          <w:rFonts w:hint="eastAsia" w:ascii="宋体" w:hAnsi="宋体"/>
          <w:color w:val="auto"/>
          <w:szCs w:val="21"/>
          <w:highlight w:val="none"/>
          <w:lang w:val="en-US"/>
        </w:rPr>
        <w:t xml:space="preserve">中华人民共和国国家发展计划委员会计价格〔2002〕1980号文件和发改价格[2011]534号文件</w:t>
      </w:r>
      <w:r>
        <w:rPr>
          <w:rFonts w:hint="eastAsia" w:ascii="宋体" w:hAnsi="宋体"/>
          <w:color w:val="auto"/>
          <w:szCs w:val="21"/>
          <w:highlight w:val="none"/>
        </w:rPr>
        <w:t xml:space="preserve">收取），以及供应商认为需要的其他费用等。</w:t>
      </w:r>
      <w:r>
        <w:rPr>
          <w:rFonts w:hint="eastAsia" w:ascii="宋体" w:hAnsi="宋体"/>
          <w:color w:val="auto"/>
          <w:szCs w:val="21"/>
          <w:highlight w:val="none"/>
        </w:rPr>
        <w:br/>
      </w:r>
      <w:r>
        <w:rPr>
          <w:rFonts w:hint="eastAsia" w:ascii="宋体" w:hAnsi="宋体"/>
          <w:color w:val="auto"/>
          <w:szCs w:val="21"/>
          <w:highlight w:val="none"/>
        </w:rPr>
        <w:t xml:space="preserve">13.3供应商的任何错漏、优惠、竞争性报价不得作为减轻责任、减少服务、增加收费、降低质量的理由。供应商应充分考虑到市场价格变动，以及项目实施过程中的不可预见因素，一旦</w:t>
      </w:r>
      <w:r>
        <w:rPr>
          <w:rFonts w:hint="eastAsia" w:ascii="宋体" w:hAnsi="宋体"/>
          <w:color w:val="auto"/>
          <w:szCs w:val="21"/>
          <w:highlight w:val="none"/>
          <w:lang w:eastAsia="zh-CN"/>
        </w:rPr>
        <w:t xml:space="preserve">中标</w:t>
      </w:r>
      <w:r>
        <w:rPr>
          <w:rFonts w:hint="eastAsia" w:ascii="宋体" w:hAnsi="宋体"/>
          <w:color w:val="auto"/>
          <w:szCs w:val="21"/>
          <w:highlight w:val="none"/>
        </w:rPr>
        <w:t xml:space="preserve">，价格不变。如果有漏项，视同让利。</w:t>
      </w:r>
      <w:r/>
    </w:p>
    <w:p>
      <w:pPr>
        <w:spacing w:line="360" w:lineRule="auto"/>
        <w:widowControl/>
        <w:rPr>
          <w:rFonts w:ascii="宋体" w:hAnsi="宋体"/>
          <w:color w:val="auto"/>
          <w:szCs w:val="21"/>
          <w:highlight w:val="none"/>
        </w:rPr>
        <w:outlineLvl w:val="9"/>
      </w:pPr>
      <w:r>
        <w:rPr>
          <w:rFonts w:hint="eastAsia" w:ascii="宋体" w:hAnsi="宋体"/>
          <w:color w:val="auto"/>
          <w:szCs w:val="21"/>
          <w:highlight w:val="none"/>
        </w:rPr>
        <w:t xml:space="preserve">13.4供应商应在《开标一览表》、《分项报价表》等标明提供的单价、总价以及分项报价。供应商系小企业（含小型、微型企业）或监狱和戒毒企业或残疾人福利性单位的，并提供本企业制造的货物、承担的工程或者服务，或者提供其他小企业、残疾人福利性单位、监狱企业制造的货物和服务的，须在《分项报价表》中注明，如无法划分计算的，将不予认可。供应商应当如实申报,否则评标委员会有权取消其小微企业、监狱和戒毒企业、残疾人福利单位政策。</w:t>
      </w:r>
      <w:r/>
    </w:p>
    <w:p>
      <w:pPr>
        <w:jc w:val="left"/>
        <w:spacing w:line="360" w:lineRule="auto"/>
        <w:rPr>
          <w:rFonts w:ascii="宋体" w:hAnsi="宋体"/>
          <w:color w:val="auto"/>
          <w:szCs w:val="21"/>
          <w:highlight w:val="none"/>
        </w:rPr>
        <w:outlineLvl w:val="9"/>
      </w:pPr>
      <w:r>
        <w:rPr>
          <w:rFonts w:hint="eastAsia" w:ascii="宋体" w:hAnsi="宋体"/>
          <w:b/>
          <w:color w:val="auto"/>
          <w:szCs w:val="21"/>
          <w:highlight w:val="none"/>
        </w:rPr>
        <w:t xml:space="preserve">14、投标文件的其他部分：</w:t>
      </w:r>
      <w:r>
        <w:rPr>
          <w:rFonts w:hint="eastAsia" w:ascii="宋体" w:hAnsi="宋体"/>
          <w:color w:val="auto"/>
          <w:szCs w:val="21"/>
          <w:highlight w:val="none"/>
        </w:rPr>
        <w:t xml:space="preserve">供应商编制投标文件需要提供的其他相关文件。</w:t>
      </w:r>
      <w:r>
        <w:rPr>
          <w:rFonts w:hint="eastAsia" w:ascii="宋体" w:hAnsi="宋体"/>
          <w:color w:val="auto"/>
          <w:szCs w:val="21"/>
          <w:highlight w:val="none"/>
        </w:rPr>
        <w:br/>
      </w:r>
      <w:r>
        <w:rPr>
          <w:rFonts w:hint="eastAsia" w:ascii="宋体" w:hAnsi="宋体"/>
          <w:b/>
          <w:color w:val="auto"/>
          <w:szCs w:val="21"/>
          <w:highlight w:val="none"/>
        </w:rPr>
        <w:t xml:space="preserve">15、投标保证金：</w:t>
      </w:r>
      <w:r>
        <w:rPr>
          <w:rFonts w:hint="eastAsia" w:ascii="宋体" w:hAnsi="宋体"/>
          <w:color w:val="auto"/>
          <w:szCs w:val="21"/>
          <w:highlight w:val="none"/>
        </w:rPr>
        <w:t xml:space="preserve">本项目不收取保证金。</w:t>
      </w:r>
      <w:r/>
    </w:p>
    <w:p>
      <w:pPr>
        <w:jc w:val="left"/>
        <w:spacing w:line="360" w:lineRule="auto"/>
        <w:rPr>
          <w:rFonts w:ascii="宋体" w:hAnsi="宋体"/>
          <w:color w:val="auto"/>
          <w:szCs w:val="21"/>
          <w:highlight w:val="none"/>
        </w:rPr>
        <w:outlineLvl w:val="9"/>
      </w:pPr>
      <w:r>
        <w:rPr>
          <w:rFonts w:hint="eastAsia" w:ascii="宋体" w:hAnsi="宋体"/>
          <w:b/>
          <w:color w:val="auto"/>
          <w:szCs w:val="21"/>
          <w:highlight w:val="none"/>
        </w:rPr>
        <w:t xml:space="preserve">16、投标有效期</w:t>
      </w:r>
      <w:r>
        <w:rPr>
          <w:rFonts w:hint="eastAsia" w:ascii="宋体" w:hAnsi="宋体"/>
          <w:color w:val="auto"/>
          <w:szCs w:val="21"/>
          <w:highlight w:val="none"/>
        </w:rPr>
        <w:br/>
      </w: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6</w:t>
      </w:r>
      <w:r>
        <w:rPr>
          <w:rFonts w:hint="eastAsia" w:ascii="宋体" w:hAnsi="宋体"/>
          <w:color w:val="auto"/>
          <w:szCs w:val="21"/>
          <w:highlight w:val="none"/>
          <w:lang w:val="zh-CN"/>
        </w:rPr>
        <w:t xml:space="preserve">.1自开标之日起</w:t>
      </w:r>
      <w:r>
        <w:rPr>
          <w:rFonts w:hint="eastAsia" w:ascii="宋体" w:hAnsi="宋体"/>
          <w:color w:val="auto"/>
          <w:szCs w:val="21"/>
          <w:highlight w:val="none"/>
        </w:rPr>
        <w:t xml:space="preserve">六十日内</w:t>
      </w:r>
      <w:r>
        <w:rPr>
          <w:rFonts w:hint="eastAsia" w:ascii="宋体" w:hAnsi="宋体"/>
          <w:color w:val="auto"/>
          <w:szCs w:val="21"/>
          <w:highlight w:val="none"/>
          <w:lang w:val="zh-CN"/>
        </w:rPr>
        <w:t xml:space="preserve">投标有效。</w:t>
      </w:r>
      <w:r>
        <w:rPr>
          <w:rFonts w:hint="eastAsia" w:ascii="宋体" w:hAnsi="宋体"/>
          <w:color w:val="auto"/>
          <w:szCs w:val="21"/>
          <w:highlight w:val="none"/>
          <w:lang w:val="zh-CN"/>
        </w:rPr>
        <w:br/>
      </w: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6</w:t>
      </w:r>
      <w:r>
        <w:rPr>
          <w:rFonts w:hint="eastAsia" w:ascii="宋体" w:hAnsi="宋体"/>
          <w:color w:val="auto"/>
          <w:szCs w:val="21"/>
          <w:highlight w:val="none"/>
          <w:lang w:val="zh-CN"/>
        </w:rPr>
        <w:t xml:space="preserve">.2在特殊情况下，</w:t>
      </w:r>
      <w:r>
        <w:rPr>
          <w:rFonts w:hint="eastAsia" w:ascii="宋体" w:hAnsi="宋体"/>
          <w:color w:val="auto"/>
          <w:szCs w:val="21"/>
          <w:highlight w:val="none"/>
          <w:lang w:val="en-US" w:eastAsia="zh-CN"/>
        </w:rPr>
        <w:t xml:space="preserve">采购人或代理公司</w:t>
      </w:r>
      <w:r>
        <w:rPr>
          <w:rFonts w:hint="eastAsia" w:ascii="宋体" w:hAnsi="宋体"/>
          <w:color w:val="auto"/>
          <w:szCs w:val="21"/>
          <w:highlight w:val="none"/>
          <w:lang w:val="zh-CN"/>
        </w:rPr>
        <w:t xml:space="preserve">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p>
    <w:p>
      <w:pPr>
        <w:spacing w:line="360" w:lineRule="auto"/>
        <w:rPr>
          <w:rFonts w:ascii="宋体" w:hAnsi="宋体"/>
          <w:b/>
          <w:bCs/>
          <w:color w:val="auto"/>
          <w:szCs w:val="21"/>
          <w:highlight w:val="none"/>
        </w:rPr>
        <w:outlineLvl w:val="9"/>
      </w:pPr>
      <w:r>
        <w:rPr>
          <w:rFonts w:ascii="宋体" w:hAnsi="宋体"/>
          <w:b/>
          <w:bCs/>
          <w:color w:val="auto"/>
          <w:szCs w:val="21"/>
          <w:highlight w:val="none"/>
        </w:rPr>
        <w:t xml:space="preserve">1</w:t>
      </w:r>
      <w:r>
        <w:rPr>
          <w:rFonts w:hint="eastAsia" w:ascii="宋体" w:hAnsi="宋体"/>
          <w:b/>
          <w:bCs/>
          <w:color w:val="auto"/>
          <w:szCs w:val="21"/>
          <w:highlight w:val="none"/>
        </w:rPr>
        <w:t xml:space="preserve">7、投标文件的递交</w:t>
      </w:r>
      <w:r/>
    </w:p>
    <w:p>
      <w:pPr>
        <w:spacing w:line="360" w:lineRule="auto"/>
        <w:rPr>
          <w:rFonts w:ascii="宋体" w:hAnsi="宋体"/>
          <w:bCs/>
          <w:color w:val="auto"/>
          <w:szCs w:val="21"/>
          <w:highlight w:val="none"/>
        </w:rPr>
        <w:outlineLvl w:val="9"/>
      </w:pPr>
      <w:r>
        <w:rPr>
          <w:rFonts w:hint="eastAsia" w:ascii="宋体" w:hAnsi="宋体"/>
          <w:bCs/>
          <w:color w:val="auto"/>
          <w:szCs w:val="21"/>
          <w:highlight w:val="none"/>
        </w:rPr>
        <w:t xml:space="preserve">17.1供应商应当按照《操作手册》规定，在提交投标文件截止时间前制作并上传电子投标文件。</w:t>
      </w:r>
      <w:r/>
    </w:p>
    <w:p>
      <w:pPr>
        <w:spacing w:line="360" w:lineRule="auto"/>
        <w:rPr>
          <w:color w:val="auto"/>
          <w:highlight w:val="none"/>
        </w:rPr>
        <w:outlineLvl w:val="9"/>
      </w:pPr>
      <w:r>
        <w:rPr>
          <w:rFonts w:hint="eastAsia" w:ascii="宋体" w:hAnsi="宋体"/>
          <w:bCs/>
          <w:color w:val="auto"/>
          <w:szCs w:val="21"/>
          <w:highlight w:val="none"/>
        </w:rPr>
        <w:t xml:space="preserve">17.2供应商应充分考虑网络环境、网络</w:t>
      </w:r>
      <w:r>
        <w:rPr>
          <w:rFonts w:hint="eastAsia" w:ascii="宋体" w:hAnsi="宋体"/>
          <w:bCs/>
          <w:color w:val="auto"/>
          <w:szCs w:val="21"/>
          <w:highlight w:val="none"/>
          <w:lang w:val="en-US" w:eastAsia="zh-CN"/>
        </w:rPr>
        <w:t xml:space="preserve">宽带</w:t>
      </w:r>
      <w:r>
        <w:rPr>
          <w:rFonts w:hint="eastAsia" w:ascii="宋体" w:hAnsi="宋体"/>
          <w:bCs/>
          <w:color w:val="auto"/>
          <w:szCs w:val="21"/>
          <w:highlight w:val="none"/>
        </w:rPr>
        <w:t xml:space="preserve">等因素可能对投标产生的影响，如因供应商自身原因造成的电子投标文件上传不成功的，按照本招标文件第二章第21</w:t>
      </w:r>
      <w:r>
        <w:rPr>
          <w:rFonts w:ascii="宋体" w:hAnsi="宋体"/>
          <w:bCs/>
          <w:color w:val="auto"/>
          <w:szCs w:val="21"/>
          <w:highlight w:val="none"/>
        </w:rPr>
        <w:t xml:space="preserve">.2.2.4</w:t>
      </w:r>
      <w:r>
        <w:rPr>
          <w:rFonts w:hint="eastAsia" w:ascii="宋体" w:hAnsi="宋体"/>
          <w:bCs/>
          <w:color w:val="auto"/>
          <w:szCs w:val="21"/>
          <w:highlight w:val="none"/>
        </w:rPr>
        <w:t xml:space="preserve">条规定做无效投标处理。</w:t>
      </w:r>
      <w:r/>
    </w:p>
    <w:p>
      <w:pPr>
        <w:spacing w:line="360" w:lineRule="auto"/>
        <w:rPr>
          <w:rFonts w:ascii="宋体" w:hAnsi="宋体"/>
          <w:b/>
          <w:bCs/>
          <w:color w:val="auto"/>
          <w:szCs w:val="21"/>
          <w:highlight w:val="none"/>
        </w:rPr>
        <w:outlineLvl w:val="9"/>
      </w:pPr>
      <w:r>
        <w:rPr>
          <w:rFonts w:hint="eastAsia" w:ascii="宋体" w:hAnsi="宋体"/>
          <w:b/>
          <w:bCs/>
          <w:color w:val="auto"/>
          <w:szCs w:val="21"/>
          <w:highlight w:val="none"/>
        </w:rPr>
        <w:t xml:space="preserve">18、有下列情形的投标文件将拒收：</w:t>
      </w:r>
      <w:r/>
    </w:p>
    <w:p>
      <w:pPr>
        <w:spacing w:line="360" w:lineRule="auto"/>
        <w:rPr>
          <w:rFonts w:ascii="宋体" w:hAnsi="宋体"/>
          <w:bCs/>
          <w:color w:val="auto"/>
          <w:szCs w:val="21"/>
          <w:highlight w:val="none"/>
        </w:rPr>
        <w:outlineLvl w:val="9"/>
      </w:pPr>
      <w:r>
        <w:rPr>
          <w:rFonts w:ascii="宋体" w:hAnsi="宋体"/>
          <w:bCs/>
          <w:color w:val="auto"/>
          <w:szCs w:val="21"/>
          <w:highlight w:val="none"/>
        </w:rPr>
        <w:t xml:space="preserve">1</w:t>
      </w:r>
      <w:r>
        <w:rPr>
          <w:rFonts w:hint="eastAsia" w:ascii="宋体" w:hAnsi="宋体"/>
          <w:bCs/>
          <w:color w:val="auto"/>
          <w:szCs w:val="21"/>
          <w:highlight w:val="none"/>
        </w:rPr>
        <w:t xml:space="preserve">8</w:t>
      </w:r>
      <w:r>
        <w:rPr>
          <w:rFonts w:ascii="宋体" w:hAnsi="宋体"/>
          <w:bCs/>
          <w:color w:val="auto"/>
          <w:szCs w:val="21"/>
          <w:highlight w:val="none"/>
        </w:rPr>
        <w:t xml:space="preserve">.</w:t>
      </w:r>
      <w:r>
        <w:rPr>
          <w:rFonts w:hint="eastAsia" w:ascii="宋体" w:hAnsi="宋体"/>
          <w:bCs/>
          <w:color w:val="auto"/>
          <w:szCs w:val="21"/>
          <w:highlight w:val="none"/>
        </w:rPr>
        <w:t xml:space="preserve">1在招标文件要求提交投标文件的截止时间之后上传的任何电子投标文件。</w:t>
      </w:r>
      <w:r/>
    </w:p>
    <w:p>
      <w:pPr>
        <w:spacing w:line="360" w:lineRule="auto"/>
        <w:rPr>
          <w:rFonts w:ascii="宋体" w:hAnsi="宋体"/>
          <w:b/>
          <w:bCs/>
          <w:color w:val="auto"/>
          <w:szCs w:val="21"/>
          <w:highlight w:val="none"/>
          <w:lang w:val="zh-CN"/>
        </w:rPr>
        <w:outlineLvl w:val="9"/>
      </w:pPr>
      <w:r>
        <w:rPr>
          <w:rFonts w:hint="eastAsia" w:ascii="宋体" w:hAnsi="宋体"/>
          <w:b/>
          <w:bCs/>
          <w:color w:val="auto"/>
          <w:szCs w:val="21"/>
          <w:highlight w:val="none"/>
        </w:rPr>
        <w:t xml:space="preserve">19</w:t>
      </w:r>
      <w:r>
        <w:rPr>
          <w:rFonts w:hint="eastAsia" w:ascii="宋体" w:hAnsi="宋体"/>
          <w:b/>
          <w:bCs/>
          <w:color w:val="auto"/>
          <w:szCs w:val="21"/>
          <w:highlight w:val="none"/>
          <w:lang w:val="zh-CN"/>
        </w:rPr>
        <w:t xml:space="preserve">、投标文件的修改和撤回</w:t>
      </w:r>
      <w:r/>
    </w:p>
    <w:p>
      <w:pPr>
        <w:spacing w:line="360" w:lineRule="auto"/>
        <w:rPr>
          <w:rFonts w:ascii="宋体" w:hAnsi="宋体"/>
          <w:color w:val="auto"/>
          <w:szCs w:val="21"/>
          <w:highlight w:val="none"/>
          <w:lang w:val="zh-CN"/>
        </w:rPr>
        <w:outlineLvl w:val="9"/>
      </w:pPr>
      <w:r>
        <w:rPr>
          <w:rFonts w:hint="eastAsia" w:ascii="宋体" w:hAnsi="宋体"/>
          <w:color w:val="auto"/>
          <w:szCs w:val="21"/>
          <w:highlight w:val="none"/>
        </w:rPr>
        <w:t xml:space="preserve">19</w:t>
      </w: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投标人可在投标截止时间前撤回其电子投标文件，具体操作方法见《操作手册》。投标人撤回电子投标文件，则认为其不再参与本项目投标活动。投标人可在投标截止时间前对其电子投标文件进行修改，具体操作方法见《操作手册》</w:t>
      </w:r>
      <w:r/>
    </w:p>
    <w:p>
      <w:pPr>
        <w:spacing w:line="360" w:lineRule="auto"/>
        <w:rPr>
          <w:rFonts w:hint="eastAsia" w:ascii="宋体" w:hAnsi="宋体"/>
          <w:color w:val="auto"/>
          <w:szCs w:val="21"/>
          <w:highlight w:val="none"/>
          <w:lang w:val="zh-CN"/>
        </w:rPr>
        <w:outlineLvl w:val="9"/>
      </w:pPr>
      <w:r>
        <w:rPr>
          <w:rFonts w:hint="eastAsia" w:ascii="宋体" w:hAnsi="宋体"/>
          <w:color w:val="auto"/>
          <w:szCs w:val="21"/>
          <w:highlight w:val="none"/>
        </w:rPr>
        <w:t xml:space="preserve">19</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2投标截止时间之后，投标人不得对其电子投标文件作任何修改。</w:t>
      </w:r>
      <w:r/>
    </w:p>
    <w:p>
      <w:pPr>
        <w:spacing w:line="360" w:lineRule="auto"/>
        <w:rPr>
          <w:rFonts w:ascii="宋体" w:hAnsi="宋体"/>
          <w:color w:val="auto"/>
          <w:szCs w:val="21"/>
          <w:highlight w:val="none"/>
          <w:lang w:val="zh-CN"/>
        </w:rPr>
        <w:outlineLvl w:val="9"/>
      </w:pPr>
      <w:r>
        <w:rPr>
          <w:rFonts w:hint="eastAsia" w:ascii="宋体" w:hAnsi="宋体"/>
          <w:color w:val="auto"/>
          <w:szCs w:val="21"/>
          <w:highlight w:val="none"/>
          <w:lang w:val="en-US" w:eastAsia="zh-CN"/>
        </w:rPr>
        <w:t xml:space="preserve">19.3</w:t>
      </w:r>
      <w:r>
        <w:rPr>
          <w:rFonts w:hint="eastAsia" w:ascii="宋体" w:hAnsi="宋体"/>
          <w:color w:val="auto"/>
          <w:szCs w:val="21"/>
          <w:highlight w:val="none"/>
          <w:lang w:val="zh-CN"/>
        </w:rPr>
        <w:t xml:space="preserve">在投标截止时间至招标文件中规定的投标有效期满之间的这段时间内，投标人不得撤回其投标。</w:t>
      </w:r>
      <w:r/>
    </w:p>
    <w:p>
      <w:pPr>
        <w:spacing w:line="360" w:lineRule="auto"/>
        <w:rPr>
          <w:rFonts w:ascii="宋体" w:hAnsi="宋体"/>
          <w:b/>
          <w:bCs/>
          <w:color w:val="auto"/>
          <w:szCs w:val="21"/>
          <w:highlight w:val="none"/>
          <w:lang w:val="zh-CN"/>
        </w:rPr>
        <w:outlineLvl w:val="1"/>
      </w:pPr>
      <w:r>
        <w:rPr>
          <w:rFonts w:hint="eastAsia" w:ascii="宋体" w:hAnsi="宋体"/>
          <w:b/>
          <w:bCs/>
          <w:color w:val="auto"/>
          <w:szCs w:val="21"/>
          <w:highlight w:val="none"/>
          <w:lang w:val="zh-CN"/>
        </w:rPr>
        <w:t xml:space="preserve">四、开标、评标与确定中标供应商</w:t>
      </w:r>
      <w:r/>
    </w:p>
    <w:p>
      <w:pPr>
        <w:spacing w:line="360" w:lineRule="auto"/>
        <w:rPr>
          <w:rFonts w:ascii="宋体" w:hAnsi="宋体"/>
          <w:b/>
          <w:bCs/>
          <w:color w:val="auto"/>
          <w:szCs w:val="21"/>
          <w:highlight w:val="none"/>
          <w:lang w:val="zh-CN"/>
        </w:rPr>
        <w:outlineLvl w:val="9"/>
      </w:pPr>
      <w:r>
        <w:rPr>
          <w:rFonts w:hint="eastAsia" w:ascii="宋体" w:hAnsi="宋体"/>
          <w:b/>
          <w:bCs/>
          <w:color w:val="auto"/>
          <w:szCs w:val="21"/>
          <w:highlight w:val="none"/>
        </w:rPr>
        <w:t xml:space="preserve">20</w:t>
      </w:r>
      <w:r>
        <w:rPr>
          <w:rFonts w:hint="eastAsia" w:ascii="宋体" w:hAnsi="宋体"/>
          <w:b/>
          <w:bCs/>
          <w:color w:val="auto"/>
          <w:szCs w:val="21"/>
          <w:highlight w:val="none"/>
          <w:lang w:val="zh-CN"/>
        </w:rPr>
        <w:t xml:space="preserve">、开标</w:t>
      </w:r>
      <w:r/>
    </w:p>
    <w:p>
      <w:pPr>
        <w:spacing w:line="360" w:lineRule="auto"/>
        <w:rPr>
          <w:rFonts w:ascii="宋体" w:hAnsi="宋体"/>
          <w:color w:val="auto"/>
          <w:szCs w:val="21"/>
          <w:highlight w:val="none"/>
          <w:lang w:val="zh-CN"/>
        </w:rPr>
        <w:outlineLvl w:val="9"/>
      </w:pPr>
      <w:r>
        <w:rPr>
          <w:rFonts w:hint="eastAsia" w:ascii="宋体" w:hAnsi="宋体"/>
          <w:color w:val="auto"/>
          <w:szCs w:val="21"/>
          <w:highlight w:val="none"/>
        </w:rPr>
        <w:t xml:space="preserve">20</w:t>
      </w:r>
      <w:r>
        <w:rPr>
          <w:rFonts w:ascii="宋体" w:hAnsi="宋体"/>
          <w:color w:val="auto"/>
          <w:szCs w:val="21"/>
          <w:highlight w:val="none"/>
          <w:lang w:val="zh-CN"/>
        </w:rPr>
        <w:t xml:space="preserve">.1采购代理机构</w:t>
      </w:r>
      <w:r>
        <w:rPr>
          <w:color w:val="auto"/>
          <w:highlight w:val="none"/>
        </w:rPr>
        <w:t xml:space="preserve">将在招标公告中规定的时间和地点组织公开开标。投标人应当按照《操作手册》规定，参加开标活动并在苏采云系统规定的时间内对投标文件进行解密。</w:t>
      </w:r>
      <w:r/>
    </w:p>
    <w:p>
      <w:pPr>
        <w:spacing w:line="360" w:lineRule="auto"/>
        <w:rPr>
          <w:rFonts w:ascii="宋体" w:hAnsi="宋体"/>
          <w:color w:val="auto"/>
          <w:szCs w:val="21"/>
          <w:highlight w:val="none"/>
          <w:lang w:val="zh-CN"/>
        </w:rPr>
        <w:outlineLvl w:val="9"/>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ascii="宋体" w:hAnsi="宋体"/>
          <w:color w:val="auto"/>
          <w:szCs w:val="21"/>
          <w:highlight w:val="none"/>
          <w:lang w:val="zh-CN"/>
        </w:rPr>
        <w:t xml:space="preserve">.2</w:t>
      </w:r>
      <w:r>
        <w:rPr>
          <w:color w:val="auto"/>
          <w:highlight w:val="none"/>
        </w:rPr>
        <w:t xml:space="preserve">开标仪式由</w:t>
      </w:r>
      <w:r>
        <w:rPr>
          <w:rFonts w:ascii="宋体" w:hAnsi="宋体"/>
          <w:color w:val="auto"/>
          <w:szCs w:val="21"/>
          <w:highlight w:val="none"/>
          <w:lang w:val="zh-CN"/>
        </w:rPr>
        <w:t xml:space="preserve">采购代理机构</w:t>
      </w:r>
      <w:r>
        <w:rPr>
          <w:color w:val="auto"/>
          <w:highlight w:val="none"/>
        </w:rPr>
        <w:t xml:space="preserve">组织。苏采云系统将自动对项目进行开标，并公布各投标人名称和投标价格。</w:t>
      </w:r>
      <w:r/>
    </w:p>
    <w:p>
      <w:pPr>
        <w:spacing w:line="360" w:lineRule="auto"/>
        <w:rPr>
          <w:rFonts w:ascii="宋体" w:hAnsi="宋体"/>
          <w:color w:val="auto"/>
          <w:szCs w:val="21"/>
          <w:highlight w:val="none"/>
          <w:lang w:val="zh-CN"/>
        </w:rPr>
        <w:outlineLvl w:val="9"/>
      </w:pPr>
      <w:r>
        <w:rPr>
          <w:rFonts w:hint="eastAsia" w:ascii="宋体" w:hAnsi="宋体"/>
          <w:color w:val="auto"/>
          <w:szCs w:val="21"/>
          <w:highlight w:val="none"/>
        </w:rPr>
        <w:t xml:space="preserve">20</w:t>
      </w:r>
      <w:r>
        <w:rPr>
          <w:rFonts w:ascii="宋体" w:hAnsi="宋体"/>
          <w:color w:val="auto"/>
          <w:szCs w:val="21"/>
          <w:highlight w:val="none"/>
          <w:lang w:val="zh-CN"/>
        </w:rPr>
        <w:t xml:space="preserve">.3</w:t>
      </w:r>
      <w:r>
        <w:rPr>
          <w:color w:val="auto"/>
          <w:highlight w:val="none"/>
        </w:rPr>
        <w:t xml:space="preserve">投标人在开标过程中涉及到的投标文件解密、开标结果确认等工作，应按照《操作手册》规定执行。</w:t>
      </w:r>
      <w:r/>
    </w:p>
    <w:p>
      <w:pPr>
        <w:spacing w:line="360" w:lineRule="auto"/>
        <w:rPr>
          <w:rFonts w:ascii="宋体" w:hAnsi="宋体"/>
          <w:color w:val="auto"/>
          <w:szCs w:val="21"/>
          <w:highlight w:val="none"/>
          <w:lang w:val="zh-CN"/>
        </w:rPr>
        <w:outlineLvl w:val="9"/>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ascii="宋体" w:hAnsi="宋体"/>
          <w:color w:val="auto"/>
          <w:szCs w:val="21"/>
          <w:highlight w:val="none"/>
          <w:lang w:val="zh-CN"/>
        </w:rPr>
        <w:t xml:space="preserve">.4</w:t>
      </w:r>
      <w:r>
        <w:rPr>
          <w:color w:val="auto"/>
          <w:highlight w:val="none"/>
        </w:rPr>
        <w:t xml:space="preserve">投标人如果对开标过程和开标记录有疑义，应当根据《操作手册》规定提出，如苏采云系统中《开标记录表》公布后5分钟内未提出的，视同认可开标结果。</w:t>
      </w:r>
      <w:r/>
    </w:p>
    <w:p>
      <w:pPr>
        <w:jc w:val="left"/>
        <w:spacing w:line="360" w:lineRule="auto"/>
        <w:rPr>
          <w:rFonts w:ascii="宋体" w:hAnsi="宋体"/>
          <w:color w:val="auto"/>
          <w:szCs w:val="21"/>
          <w:highlight w:val="none"/>
        </w:rPr>
        <w:outlineLvl w:val="9"/>
      </w:pPr>
      <w:r>
        <w:rPr>
          <w:rFonts w:hint="eastAsia" w:ascii="宋体" w:hAnsi="宋体"/>
          <w:b/>
          <w:color w:val="auto"/>
          <w:szCs w:val="21"/>
          <w:highlight w:val="none"/>
        </w:rPr>
        <w:t xml:space="preserve">21、评标</w:t>
      </w:r>
      <w:r>
        <w:rPr>
          <w:rFonts w:hint="eastAsia" w:ascii="宋体" w:hAnsi="宋体"/>
          <w:color w:val="auto"/>
          <w:szCs w:val="21"/>
          <w:highlight w:val="none"/>
        </w:rPr>
        <w:br/>
      </w:r>
      <w:r>
        <w:rPr>
          <w:rFonts w:hint="eastAsia" w:ascii="宋体" w:hAnsi="宋体"/>
          <w:color w:val="auto"/>
          <w:szCs w:val="21"/>
          <w:highlight w:val="none"/>
        </w:rPr>
        <w:t xml:space="preserve">21.1评标组织</w:t>
      </w:r>
      <w:r>
        <w:rPr>
          <w:rFonts w:hint="eastAsia" w:ascii="宋体" w:hAnsi="宋体"/>
          <w:color w:val="auto"/>
          <w:szCs w:val="21"/>
          <w:highlight w:val="none"/>
        </w:rPr>
        <w:br/>
      </w:r>
      <w:r>
        <w:rPr>
          <w:rFonts w:hint="eastAsia" w:ascii="宋体" w:hAnsi="宋体"/>
          <w:color w:val="auto"/>
          <w:szCs w:val="21"/>
          <w:highlight w:val="none"/>
        </w:rPr>
        <w:t xml:space="preserve">21.1.1评标工作由采购代理机构负责组织，具体评标事务由依法组建的评标委员会负责，并独立履行下列职责：</w:t>
      </w:r>
      <w:r>
        <w:rPr>
          <w:rFonts w:hint="eastAsia" w:ascii="宋体" w:hAnsi="宋体"/>
          <w:color w:val="auto"/>
          <w:szCs w:val="21"/>
          <w:highlight w:val="none"/>
        </w:rPr>
        <w:br/>
      </w:r>
      <w:r>
        <w:rPr>
          <w:rFonts w:hint="eastAsia" w:ascii="宋体" w:hAnsi="宋体"/>
          <w:color w:val="auto"/>
          <w:szCs w:val="21"/>
          <w:highlight w:val="none"/>
        </w:rPr>
        <w:t xml:space="preserve">（1）审查、评价投标文件是否符合招标文件的商务、技术等实质性要求；</w:t>
      </w:r>
      <w:r>
        <w:rPr>
          <w:rFonts w:hint="eastAsia" w:ascii="宋体" w:hAnsi="宋体"/>
          <w:color w:val="auto"/>
          <w:szCs w:val="21"/>
          <w:highlight w:val="none"/>
        </w:rPr>
        <w:br/>
      </w:r>
      <w:r>
        <w:rPr>
          <w:rFonts w:hint="eastAsia" w:ascii="宋体" w:hAnsi="宋体"/>
          <w:color w:val="auto"/>
          <w:szCs w:val="21"/>
          <w:highlight w:val="none"/>
        </w:rPr>
        <w:t xml:space="preserve">（2）要求投标人对投标文件有关事项作出澄清或者说明；</w:t>
      </w:r>
      <w:r>
        <w:rPr>
          <w:rFonts w:hint="eastAsia" w:ascii="宋体" w:hAnsi="宋体"/>
          <w:color w:val="auto"/>
          <w:szCs w:val="21"/>
          <w:highlight w:val="none"/>
        </w:rPr>
        <w:br/>
      </w:r>
      <w:r>
        <w:rPr>
          <w:rFonts w:hint="eastAsia" w:ascii="宋体" w:hAnsi="宋体"/>
          <w:color w:val="auto"/>
          <w:szCs w:val="21"/>
          <w:highlight w:val="none"/>
        </w:rPr>
        <w:t xml:space="preserve">（3）对投标文件进行比较和评价；</w:t>
      </w:r>
      <w:r>
        <w:rPr>
          <w:rFonts w:hint="eastAsia" w:ascii="宋体" w:hAnsi="宋体"/>
          <w:color w:val="auto"/>
          <w:szCs w:val="21"/>
          <w:highlight w:val="none"/>
        </w:rPr>
        <w:br/>
      </w:r>
      <w:r>
        <w:rPr>
          <w:rFonts w:hint="eastAsia" w:ascii="宋体" w:hAnsi="宋体"/>
          <w:color w:val="auto"/>
          <w:szCs w:val="21"/>
          <w:highlight w:val="none"/>
        </w:rPr>
        <w:t xml:space="preserve">（4）推荐中标候选人或根据采购人委托直接确定中标供应商；</w:t>
      </w:r>
      <w:r>
        <w:rPr>
          <w:rFonts w:hint="eastAsia" w:ascii="宋体" w:hAnsi="宋体"/>
          <w:color w:val="auto"/>
          <w:szCs w:val="21"/>
          <w:highlight w:val="none"/>
        </w:rPr>
        <w:br/>
      </w:r>
      <w:r>
        <w:rPr>
          <w:rFonts w:hint="eastAsia" w:ascii="宋体" w:hAnsi="宋体"/>
          <w:color w:val="auto"/>
          <w:szCs w:val="21"/>
          <w:highlight w:val="none"/>
        </w:rPr>
        <w:t xml:space="preserve">（5）向采购人、财政部门报告评标中发现的违法行为。</w:t>
      </w:r>
      <w:r>
        <w:rPr>
          <w:rFonts w:hint="eastAsia" w:ascii="宋体" w:hAnsi="宋体"/>
          <w:color w:val="auto"/>
          <w:szCs w:val="21"/>
          <w:highlight w:val="none"/>
        </w:rPr>
        <w:br/>
      </w:r>
      <w:r>
        <w:rPr>
          <w:rFonts w:hint="eastAsia" w:ascii="宋体" w:hAnsi="宋体"/>
          <w:color w:val="auto"/>
          <w:szCs w:val="21"/>
          <w:highlight w:val="none"/>
        </w:rPr>
        <w:t xml:space="preserve">21.1.2评标委员会由采购人代表和有关技术、经济等方面的专家组成，独立开展评审工作。</w:t>
      </w:r>
      <w:r>
        <w:rPr>
          <w:rFonts w:hint="eastAsia" w:ascii="宋体" w:hAnsi="宋体"/>
          <w:color w:val="auto"/>
          <w:szCs w:val="21"/>
          <w:highlight w:val="none"/>
        </w:rPr>
        <w:br/>
      </w:r>
      <w:r>
        <w:rPr>
          <w:rFonts w:hint="eastAsia" w:ascii="宋体" w:hAnsi="宋体"/>
          <w:color w:val="auto"/>
          <w:szCs w:val="21"/>
          <w:highlight w:val="none"/>
        </w:rPr>
        <w:t xml:space="preserve">21.2评标程序</w:t>
      </w:r>
      <w:r>
        <w:rPr>
          <w:rFonts w:hint="eastAsia" w:ascii="宋体" w:hAnsi="宋体"/>
          <w:color w:val="auto"/>
          <w:szCs w:val="21"/>
          <w:highlight w:val="none"/>
        </w:rPr>
        <w:br/>
      </w:r>
      <w:r>
        <w:rPr>
          <w:rFonts w:hint="eastAsia" w:ascii="宋体" w:hAnsi="宋体"/>
          <w:color w:val="auto"/>
          <w:szCs w:val="21"/>
          <w:highlight w:val="none"/>
        </w:rPr>
        <w:t xml:space="preserve">21.2.1投标文件的资格审查。</w:t>
      </w:r>
      <w:r>
        <w:rPr>
          <w:rFonts w:hint="eastAsia" w:ascii="宋体" w:hAnsi="宋体"/>
          <w:color w:val="auto"/>
          <w:szCs w:val="21"/>
          <w:highlight w:val="none"/>
        </w:rPr>
        <w:br/>
      </w:r>
      <w:r>
        <w:rPr>
          <w:rFonts w:hint="eastAsia" w:ascii="宋体" w:hAnsi="宋体"/>
          <w:color w:val="auto"/>
          <w:szCs w:val="21"/>
          <w:highlight w:val="none"/>
        </w:rPr>
        <w:t xml:space="preserve">21.2.1.1采购人代表将依法对投标人的资格进行审查。</w:t>
      </w:r>
      <w:r>
        <w:rPr>
          <w:rFonts w:hint="eastAsia" w:ascii="宋体" w:hAnsi="宋体"/>
          <w:color w:val="auto"/>
          <w:szCs w:val="21"/>
          <w:highlight w:val="none"/>
        </w:rPr>
        <w:br/>
      </w:r>
      <w:r>
        <w:rPr>
          <w:rFonts w:hint="eastAsia" w:ascii="宋体" w:hAnsi="宋体"/>
          <w:color w:val="auto"/>
          <w:szCs w:val="21"/>
          <w:highlight w:val="none"/>
        </w:rPr>
        <w:t xml:space="preserve">21.2.1.2资格性审查：依据法律法规和招标文件的规定，对投标文件中的资格证明文件、《南京市政府采购供应商信用记录表暨信用承诺书》等进行审查，以确定投标供应商是否具备投标资格。</w:t>
      </w:r>
      <w:r>
        <w:rPr>
          <w:rFonts w:hint="eastAsia" w:ascii="宋体" w:hAnsi="宋体"/>
          <w:color w:val="auto"/>
          <w:szCs w:val="21"/>
          <w:highlight w:val="none"/>
        </w:rPr>
        <w:br/>
      </w:r>
      <w:r>
        <w:rPr>
          <w:rFonts w:hint="eastAsia" w:ascii="宋体" w:hAnsi="宋体"/>
          <w:color w:val="auto"/>
          <w:szCs w:val="21"/>
          <w:highlight w:val="none"/>
        </w:rPr>
        <w:t xml:space="preserve">21.2.1.3在进行资格性审查的同时，将在“信用中国”网站（www.creditchina.gov.cn）、“中国政府采购网”(www.ccgp.gov.cn)等渠道对投标人是否被列入失信被执行人、重大税收违法案件当事人名单、政府采购严重违法失信行为记录名单的情况进行查询，以确定投标供应商是否具备投标资格。</w:t>
      </w:r>
      <w:r/>
    </w:p>
    <w:p>
      <w:pPr>
        <w:jc w:val="left"/>
        <w:spacing w:line="360" w:lineRule="auto"/>
        <w:rPr>
          <w:rFonts w:ascii="宋体" w:hAnsi="宋体" w:cs="宋体"/>
          <w:color w:val="auto"/>
          <w:szCs w:val="21"/>
          <w:highlight w:val="none"/>
          <w:lang w:val="zh-CN"/>
        </w:rPr>
        <w:outlineLvl w:val="9"/>
      </w:pPr>
      <w:r>
        <w:rPr>
          <w:rFonts w:hint="eastAsia" w:ascii="宋体" w:hAnsi="宋体"/>
          <w:b/>
          <w:color w:val="auto"/>
          <w:szCs w:val="21"/>
          <w:highlight w:val="none"/>
        </w:rPr>
        <w:t xml:space="preserve">21.2.1.4投标文件有下列情况之一的，在资格性审查时按照无效投标处理：</w:t>
      </w:r>
      <w:r>
        <w:rPr>
          <w:rFonts w:hint="eastAsia" w:ascii="宋体" w:hAnsi="宋体"/>
          <w:b/>
          <w:color w:val="auto"/>
          <w:szCs w:val="21"/>
          <w:highlight w:val="none"/>
        </w:rPr>
        <w:br/>
      </w:r>
      <w:r>
        <w:rPr>
          <w:rFonts w:hint="eastAsia" w:ascii="宋体" w:hAnsi="宋体"/>
          <w:b/>
          <w:color w:val="auto"/>
          <w:szCs w:val="21"/>
          <w:highlight w:val="none"/>
        </w:rPr>
        <w:t xml:space="preserve">（1）不具备招标文件中规定资格条件的；</w:t>
      </w:r>
      <w:r>
        <w:rPr>
          <w:rFonts w:hint="eastAsia" w:ascii="宋体" w:hAnsi="宋体"/>
          <w:b/>
          <w:color w:val="auto"/>
          <w:szCs w:val="21"/>
          <w:highlight w:val="none"/>
        </w:rPr>
        <w:br/>
      </w:r>
      <w:r>
        <w:rPr>
          <w:rFonts w:hint="eastAsia" w:ascii="宋体" w:hAnsi="宋体"/>
          <w:b/>
          <w:color w:val="auto"/>
          <w:szCs w:val="21"/>
          <w:highlight w:val="none"/>
        </w:rPr>
        <w:t xml:space="preserve">（2）供应商被“信用中国”网站（www.creditchina.gov.cn）、“中国政府采购网</w:t>
      </w:r>
      <w:r>
        <w:rPr>
          <w:rFonts w:hint="eastAsia" w:ascii="宋体" w:hAnsi="宋体"/>
          <w:b/>
          <w:color w:val="auto"/>
          <w:szCs w:val="21"/>
          <w:highlight w:val="none"/>
          <w:lang w:eastAsia="zh-CN"/>
        </w:rPr>
        <w:t xml:space="preserve">”</w:t>
      </w:r>
      <w:r>
        <w:rPr>
          <w:rFonts w:hint="eastAsia" w:ascii="宋体" w:hAnsi="宋体" w:eastAsia="宋体" w:cs="Times New Roman"/>
          <w:b/>
          <w:color w:val="auto"/>
          <w:szCs w:val="21"/>
          <w:highlight w:val="none"/>
        </w:rPr>
        <w:t xml:space="preserve">(www.ccgp.gov.cn)</w:t>
      </w:r>
      <w:r>
        <w:rPr>
          <w:rFonts w:hint="eastAsia" w:ascii="宋体" w:hAnsi="宋体"/>
          <w:b/>
          <w:color w:val="auto"/>
          <w:szCs w:val="21"/>
          <w:highlight w:val="none"/>
        </w:rPr>
        <w:t xml:space="preserve">等渠道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
          <w:color w:val="auto"/>
          <w:szCs w:val="21"/>
          <w:highlight w:val="none"/>
        </w:rPr>
        <w:br/>
      </w:r>
      <w:r>
        <w:rPr>
          <w:rFonts w:hint="eastAsia" w:ascii="宋体" w:hAnsi="宋体"/>
          <w:b/>
          <w:color w:val="auto"/>
          <w:szCs w:val="21"/>
          <w:highlight w:val="none"/>
        </w:rPr>
        <w:t xml:space="preserve">（3）未提供《南京市政府采购供应商信用记录表暨信用承诺书》或提供的《南京市政府采购供应商信用记录表暨信用承诺书》不符合招标文件要求。</w:t>
      </w:r>
      <w:r>
        <w:rPr>
          <w:rFonts w:hint="eastAsia" w:ascii="宋体" w:hAnsi="宋体"/>
          <w:color w:val="auto"/>
          <w:szCs w:val="21"/>
          <w:highlight w:val="none"/>
        </w:rPr>
        <w:br/>
      </w:r>
      <w:r>
        <w:rPr>
          <w:rFonts w:hint="eastAsia" w:ascii="宋体" w:hAnsi="宋体"/>
          <w:color w:val="auto"/>
          <w:szCs w:val="21"/>
          <w:highlight w:val="none"/>
        </w:rPr>
        <w:t xml:space="preserve">21.2.2投标文件的符合性检查。</w:t>
      </w:r>
      <w:r>
        <w:rPr>
          <w:rFonts w:hint="eastAsia" w:ascii="宋体" w:hAnsi="宋体"/>
          <w:color w:val="auto"/>
          <w:szCs w:val="21"/>
          <w:highlight w:val="none"/>
        </w:rPr>
        <w:br/>
      </w: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.2.2.1</w:t>
      </w:r>
      <w:r>
        <w:rPr>
          <w:rFonts w:hint="eastAsia" w:ascii="宋体" w:hAnsi="宋体"/>
          <w:color w:val="auto"/>
          <w:szCs w:val="21"/>
          <w:highlight w:val="none"/>
        </w:rPr>
        <w:t xml:space="preserve">评标委员会将依据法律法规和招标文件的规定，对投标文件的有效性、完整性和对招标文件的响应程度进行审查，以确定是否对招标文件的实质性要求作出响应。</w:t>
      </w:r>
      <w:r>
        <w:rPr>
          <w:rFonts w:hint="eastAsia" w:ascii="宋体" w:hAnsi="宋体"/>
          <w:color w:val="auto"/>
          <w:szCs w:val="21"/>
          <w:highlight w:val="none"/>
        </w:rPr>
        <w:br/>
      </w: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.2.2.2实质性要求是指本招标文件中用带星号（“★”）的商务和服务要求或文件中作出特别说明的其他要求。</w:t>
      </w:r>
      <w:r/>
    </w:p>
    <w:p>
      <w:pPr>
        <w:spacing w:line="360" w:lineRule="auto"/>
        <w:rPr>
          <w:rFonts w:ascii="宋体" w:hAnsi="宋体" w:cs="宋体"/>
          <w:bCs/>
          <w:color w:val="auto"/>
          <w:szCs w:val="21"/>
          <w:highlight w:val="none"/>
        </w:rPr>
        <w:outlineLvl w:val="9"/>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.2.2.3如果投标文件实质上没有响应招标文件的要求，评标委员会将予以拒绝，</w:t>
      </w:r>
      <w:r>
        <w:rPr>
          <w:rFonts w:hint="eastAsia" w:ascii="宋体" w:hAnsi="宋体" w:cs="宋体"/>
          <w:bCs/>
          <w:color w:val="auto"/>
          <w:szCs w:val="21"/>
          <w:highlight w:val="none"/>
        </w:rPr>
        <w:t xml:space="preserve">投标人不得通过修改或撤销不合要求的偏离或保留而使其投标成为实质性响应的投标。</w:t>
      </w:r>
      <w:r/>
    </w:p>
    <w:p>
      <w:pPr>
        <w:jc w:val="left"/>
        <w:spacing w:line="360" w:lineRule="auto"/>
        <w:rPr>
          <w:rFonts w:hint="default" w:ascii="宋体" w:hAnsi="宋体" w:eastAsia="宋体"/>
          <w:b/>
          <w:color w:val="auto"/>
          <w:szCs w:val="21"/>
          <w:highlight w:val="none"/>
          <w:lang w:val="en-US" w:eastAsia="zh-CN"/>
        </w:rPr>
        <w:outlineLvl w:val="9"/>
      </w:pPr>
      <w:r>
        <w:rPr>
          <w:rFonts w:hint="eastAsia" w:ascii="宋体" w:hAnsi="宋体"/>
          <w:b/>
          <w:color w:val="auto"/>
          <w:szCs w:val="21"/>
          <w:highlight w:val="none"/>
        </w:rPr>
        <w:t xml:space="preserve">21.2.2.4投标文件属下列情形之一的，在符合性审查时按照无效投标处理：</w:t>
      </w:r>
      <w:r/>
    </w:p>
    <w:p>
      <w:pPr>
        <w:jc w:val="left"/>
        <w:spacing w:line="360" w:lineRule="auto"/>
        <w:rPr>
          <w:rFonts w:hint="eastAsia" w:ascii="宋体" w:hAnsi="宋体"/>
          <w:b/>
          <w:color w:val="auto"/>
          <w:szCs w:val="21"/>
          <w:highlight w:val="none"/>
        </w:rPr>
        <w:outlineLvl w:val="9"/>
      </w:pPr>
      <w:r>
        <w:rPr>
          <w:rFonts w:hint="eastAsia" w:ascii="宋体" w:hAnsi="宋体"/>
          <w:b/>
          <w:color w:val="auto"/>
          <w:szCs w:val="21"/>
          <w:highlight w:val="none"/>
        </w:rPr>
        <w:t xml:space="preserve">（1）投标人在苏采云系统规定的时间内未成功解密电子投标文件的；</w:t>
      </w:r>
      <w:r/>
    </w:p>
    <w:p>
      <w:pPr>
        <w:jc w:val="left"/>
        <w:spacing w:line="360" w:lineRule="auto"/>
        <w:rPr>
          <w:rFonts w:ascii="宋体" w:hAnsi="宋体"/>
          <w:b/>
          <w:color w:val="auto"/>
          <w:szCs w:val="21"/>
          <w:highlight w:val="none"/>
        </w:rPr>
        <w:outlineLvl w:val="9"/>
      </w:pP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2</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zh-CN"/>
        </w:rPr>
        <w:t xml:space="preserve">投标人未按照招标文件要求上传电子投标文件的；</w:t>
      </w:r>
      <w:r/>
    </w:p>
    <w:p>
      <w:pPr>
        <w:spacing w:line="360" w:lineRule="auto"/>
        <w:rPr>
          <w:rFonts w:ascii="宋体" w:hAnsi="宋体"/>
          <w:b/>
          <w:color w:val="auto"/>
          <w:szCs w:val="21"/>
          <w:highlight w:val="none"/>
        </w:rPr>
        <w:outlineLvl w:val="9"/>
      </w:pPr>
      <w:r>
        <w:rPr>
          <w:rFonts w:hint="eastAsia" w:ascii="宋体" w:hAnsi="宋体"/>
          <w:b/>
          <w:color w:val="auto"/>
          <w:szCs w:val="21"/>
          <w:highlight w:val="none"/>
        </w:rPr>
        <w:t xml:space="preserve">（</w:t>
      </w:r>
      <w:r>
        <w:rPr>
          <w:rFonts w:hint="eastAsia" w:ascii="宋体" w:hAnsi="宋体"/>
          <w:b/>
          <w:color w:val="auto"/>
          <w:szCs w:val="21"/>
          <w:highlight w:val="none"/>
          <w:lang w:val="en-US" w:eastAsia="zh-CN"/>
        </w:rPr>
        <w:t xml:space="preserve">3</w:t>
      </w:r>
      <w:r>
        <w:rPr>
          <w:rFonts w:hint="eastAsia" w:ascii="宋体" w:hAnsi="宋体"/>
          <w:b/>
          <w:color w:val="auto"/>
          <w:szCs w:val="21"/>
          <w:highlight w:val="none"/>
        </w:rPr>
        <w:t xml:space="preserve">）</w:t>
      </w:r>
      <w:r>
        <w:rPr>
          <w:rStyle w:val="1261"/>
          <w:b/>
          <w:bCs/>
          <w:color w:val="auto"/>
          <w:szCs w:val="21"/>
          <w:highlight w:val="none"/>
        </w:rPr>
        <w:t xml:space="preserve">投标文件未按采购文件要求制作电子投标文件及签章的</w:t>
      </w:r>
      <w:r>
        <w:rPr>
          <w:rFonts w:hint="eastAsia" w:ascii="宋体" w:hAnsi="宋体"/>
          <w:b/>
          <w:color w:val="auto"/>
          <w:szCs w:val="21"/>
          <w:highlight w:val="none"/>
        </w:rPr>
        <w:t xml:space="preserve">；</w:t>
      </w:r>
      <w:r/>
    </w:p>
    <w:p>
      <w:pPr>
        <w:spacing w:line="360" w:lineRule="auto"/>
        <w:rPr>
          <w:rFonts w:ascii="宋体" w:hAnsi="宋体"/>
          <w:b/>
          <w:color w:val="auto"/>
          <w:szCs w:val="21"/>
          <w:highlight w:val="none"/>
        </w:rPr>
        <w:outlineLvl w:val="9"/>
      </w:pPr>
      <w:r>
        <w:rPr>
          <w:rFonts w:hint="eastAsia" w:ascii="宋体" w:hAnsi="宋体"/>
          <w:b/>
          <w:color w:val="auto"/>
          <w:szCs w:val="21"/>
          <w:highlight w:val="none"/>
        </w:rPr>
        <w:t xml:space="preserve">（</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）投标总价超出采购预算金额或者最高限价的；</w:t>
      </w:r>
      <w:r/>
    </w:p>
    <w:p>
      <w:pPr>
        <w:spacing w:line="360" w:lineRule="auto"/>
        <w:rPr>
          <w:rFonts w:ascii="宋体" w:hAnsi="宋体"/>
          <w:b/>
          <w:color w:val="auto"/>
          <w:szCs w:val="21"/>
          <w:highlight w:val="none"/>
        </w:rPr>
        <w:outlineLvl w:val="9"/>
      </w:pPr>
      <w:r>
        <w:rPr>
          <w:rFonts w:hint="eastAsia" w:ascii="宋体" w:hAnsi="宋体"/>
          <w:b/>
          <w:color w:val="auto"/>
          <w:szCs w:val="21"/>
          <w:highlight w:val="none"/>
        </w:rPr>
        <w:t xml:space="preserve">（</w:t>
      </w:r>
      <w:r>
        <w:rPr>
          <w:rFonts w:hint="eastAsia" w:ascii="宋体" w:hAnsi="宋体"/>
          <w:b/>
          <w:color w:val="auto"/>
          <w:szCs w:val="21"/>
          <w:highlight w:val="none"/>
          <w:lang w:val="en-US" w:eastAsia="zh-CN"/>
        </w:rPr>
        <w:t xml:space="preserve">5</w:t>
      </w:r>
      <w:r>
        <w:rPr>
          <w:rFonts w:hint="eastAsia" w:ascii="宋体" w:hAnsi="宋体"/>
          <w:b/>
          <w:color w:val="auto"/>
          <w:szCs w:val="21"/>
          <w:highlight w:val="none"/>
        </w:rPr>
        <w:t xml:space="preserve">）不同投标人委托同一单位或者个人办理投标事宜；</w:t>
      </w:r>
      <w:r/>
    </w:p>
    <w:p>
      <w:pPr>
        <w:spacing w:line="360" w:lineRule="auto"/>
        <w:rPr>
          <w:rFonts w:ascii="宋体" w:hAnsi="宋体"/>
          <w:b/>
          <w:color w:val="auto"/>
          <w:szCs w:val="21"/>
          <w:highlight w:val="none"/>
        </w:rPr>
        <w:outlineLvl w:val="9"/>
      </w:pPr>
      <w:r>
        <w:rPr>
          <w:rFonts w:hint="eastAsia" w:ascii="宋体" w:hAnsi="宋体"/>
          <w:b/>
          <w:color w:val="auto"/>
          <w:szCs w:val="21"/>
          <w:highlight w:val="none"/>
        </w:rPr>
        <w:t xml:space="preserve">（</w:t>
      </w:r>
      <w:r>
        <w:rPr>
          <w:rFonts w:hint="eastAsia" w:ascii="宋体" w:hAnsi="宋体"/>
          <w:b/>
          <w:color w:val="auto"/>
          <w:szCs w:val="21"/>
          <w:highlight w:val="none"/>
          <w:lang w:val="en-US" w:eastAsia="zh-CN"/>
        </w:rPr>
        <w:t xml:space="preserve">6</w:t>
      </w:r>
      <w:r>
        <w:rPr>
          <w:rFonts w:hint="eastAsia" w:ascii="宋体" w:hAnsi="宋体"/>
          <w:b/>
          <w:color w:val="auto"/>
          <w:szCs w:val="21"/>
          <w:highlight w:val="none"/>
        </w:rPr>
        <w:t xml:space="preserve">）不同投标人的投标文件载明的项目管理成员为同一人；</w:t>
      </w:r>
      <w:r/>
    </w:p>
    <w:p>
      <w:pPr>
        <w:spacing w:line="360" w:lineRule="auto"/>
        <w:rPr>
          <w:rFonts w:ascii="宋体" w:hAnsi="宋体"/>
          <w:b/>
          <w:color w:val="auto"/>
          <w:szCs w:val="21"/>
          <w:highlight w:val="none"/>
        </w:rPr>
        <w:outlineLvl w:val="9"/>
      </w:pPr>
      <w:r>
        <w:rPr>
          <w:rFonts w:hint="eastAsia" w:ascii="宋体" w:hAnsi="宋体"/>
          <w:b/>
          <w:color w:val="auto"/>
          <w:szCs w:val="21"/>
          <w:highlight w:val="none"/>
        </w:rPr>
        <w:t xml:space="preserve">（</w:t>
      </w:r>
      <w:r>
        <w:rPr>
          <w:rFonts w:hint="eastAsia" w:ascii="宋体" w:hAnsi="宋体"/>
          <w:b/>
          <w:color w:val="auto"/>
          <w:szCs w:val="21"/>
          <w:highlight w:val="none"/>
          <w:lang w:val="en-US" w:eastAsia="zh-CN"/>
        </w:rPr>
        <w:t xml:space="preserve">7</w:t>
      </w:r>
      <w:r>
        <w:rPr>
          <w:rFonts w:hint="eastAsia" w:ascii="宋体" w:hAnsi="宋体"/>
          <w:b/>
          <w:color w:val="auto"/>
          <w:szCs w:val="21"/>
          <w:highlight w:val="none"/>
        </w:rPr>
        <w:t xml:space="preserve">）不同投标人的投标文件异常一致或者投标报价呈规律性差异；</w:t>
      </w:r>
      <w:r/>
    </w:p>
    <w:p>
      <w:pPr>
        <w:spacing w:line="360" w:lineRule="auto"/>
        <w:rPr>
          <w:rFonts w:ascii="宋体" w:hAnsi="宋体"/>
          <w:b/>
          <w:color w:val="auto"/>
          <w:szCs w:val="21"/>
          <w:highlight w:val="none"/>
        </w:rPr>
        <w:outlineLvl w:val="9"/>
      </w:pPr>
      <w:r>
        <w:rPr>
          <w:rFonts w:hint="eastAsia" w:ascii="宋体" w:hAnsi="宋体"/>
          <w:b/>
          <w:color w:val="auto"/>
          <w:szCs w:val="21"/>
          <w:highlight w:val="none"/>
        </w:rPr>
        <w:t xml:space="preserve">（</w:t>
      </w:r>
      <w:r>
        <w:rPr>
          <w:rFonts w:hint="eastAsia" w:ascii="宋体" w:hAnsi="宋体"/>
          <w:b/>
          <w:color w:val="auto"/>
          <w:szCs w:val="21"/>
          <w:highlight w:val="none"/>
          <w:lang w:val="en-US" w:eastAsia="zh-CN"/>
        </w:rPr>
        <w:t xml:space="preserve">8</w:t>
      </w:r>
      <w:r>
        <w:rPr>
          <w:rFonts w:hint="eastAsia" w:ascii="宋体" w:hAnsi="宋体"/>
          <w:b/>
          <w:color w:val="auto"/>
          <w:szCs w:val="21"/>
          <w:highlight w:val="none"/>
        </w:rPr>
        <w:t xml:space="preserve">）不同投标人的电子投标文件制作机器码一致；</w:t>
      </w:r>
      <w:r/>
    </w:p>
    <w:p>
      <w:pPr>
        <w:spacing w:line="360" w:lineRule="auto"/>
        <w:rPr>
          <w:rFonts w:ascii="宋体" w:hAnsi="宋体"/>
          <w:b/>
          <w:color w:val="auto"/>
          <w:szCs w:val="21"/>
          <w:highlight w:val="none"/>
        </w:rPr>
        <w:outlineLvl w:val="9"/>
      </w:pPr>
      <w:r>
        <w:rPr>
          <w:rFonts w:hint="eastAsia" w:ascii="宋体" w:hAnsi="宋体"/>
          <w:b/>
          <w:color w:val="auto"/>
          <w:szCs w:val="21"/>
          <w:highlight w:val="none"/>
        </w:rPr>
        <w:t xml:space="preserve">（</w:t>
      </w:r>
      <w:r>
        <w:rPr>
          <w:rFonts w:hint="eastAsia" w:ascii="宋体" w:hAnsi="宋体"/>
          <w:b/>
          <w:color w:val="auto"/>
          <w:szCs w:val="21"/>
          <w:highlight w:val="none"/>
          <w:lang w:val="en-US" w:eastAsia="zh-CN"/>
        </w:rPr>
        <w:t xml:space="preserve">9</w:t>
      </w:r>
      <w:r>
        <w:rPr>
          <w:rFonts w:hint="eastAsia" w:ascii="宋体" w:hAnsi="宋体"/>
          <w:b/>
          <w:color w:val="auto"/>
          <w:szCs w:val="21"/>
          <w:highlight w:val="none"/>
        </w:rPr>
        <w:t xml:space="preserve">）不同投标人的法定代表人或委托代理人有夫妻、直系血亲关系的；</w:t>
      </w:r>
      <w:r/>
    </w:p>
    <w:p>
      <w:pPr>
        <w:spacing w:line="360" w:lineRule="auto"/>
        <w:rPr>
          <w:rFonts w:ascii="宋体" w:hAnsi="宋体"/>
          <w:b/>
          <w:color w:val="auto"/>
          <w:szCs w:val="21"/>
          <w:highlight w:val="none"/>
        </w:rPr>
        <w:outlineLvl w:val="9"/>
      </w:pPr>
      <w:r>
        <w:rPr>
          <w:rFonts w:hint="eastAsia" w:ascii="宋体" w:hAnsi="宋体"/>
          <w:b/>
          <w:color w:val="auto"/>
          <w:szCs w:val="21"/>
          <w:highlight w:val="none"/>
        </w:rPr>
        <w:t xml:space="preserve">（</w:t>
      </w:r>
      <w:r>
        <w:rPr>
          <w:rFonts w:hint="eastAsia" w:ascii="宋体" w:hAnsi="宋体"/>
          <w:b/>
          <w:color w:val="auto"/>
          <w:szCs w:val="21"/>
          <w:highlight w:val="none"/>
          <w:lang w:val="en-US" w:eastAsia="zh-CN"/>
        </w:rPr>
        <w:t xml:space="preserve">10</w:t>
      </w:r>
      <w:r>
        <w:rPr>
          <w:rFonts w:hint="eastAsia" w:ascii="宋体" w:hAnsi="宋体"/>
          <w:b/>
          <w:color w:val="auto"/>
          <w:szCs w:val="21"/>
          <w:highlight w:val="none"/>
        </w:rPr>
        <w:t xml:space="preserve">）不同投标人的负责人为同一人或者存在控股、管理关系的；</w:t>
      </w:r>
      <w:r/>
    </w:p>
    <w:p>
      <w:pPr>
        <w:spacing w:line="360" w:lineRule="auto"/>
        <w:rPr>
          <w:rFonts w:ascii="宋体" w:hAnsi="宋体"/>
          <w:b/>
          <w:color w:val="auto"/>
          <w:szCs w:val="21"/>
          <w:highlight w:val="none"/>
        </w:rPr>
        <w:outlineLvl w:val="9"/>
      </w:pPr>
      <w:r>
        <w:rPr>
          <w:rFonts w:hint="eastAsia" w:ascii="宋体" w:hAnsi="宋体"/>
          <w:b/>
          <w:color w:val="auto"/>
          <w:szCs w:val="21"/>
          <w:highlight w:val="none"/>
        </w:rPr>
        <w:t xml:space="preserve">（1</w:t>
      </w:r>
      <w:r>
        <w:rPr>
          <w:rFonts w:hint="eastAsia" w:ascii="宋体" w:hAnsi="宋体"/>
          <w:b/>
          <w:color w:val="auto"/>
          <w:szCs w:val="21"/>
          <w:highlight w:val="none"/>
          <w:lang w:val="en-US" w:eastAsia="zh-CN"/>
        </w:rPr>
        <w:t xml:space="preserve">1</w:t>
      </w:r>
      <w:r>
        <w:rPr>
          <w:rFonts w:hint="eastAsia" w:ascii="宋体" w:hAnsi="宋体"/>
          <w:b/>
          <w:color w:val="auto"/>
          <w:szCs w:val="21"/>
          <w:highlight w:val="none"/>
        </w:rPr>
        <w:t xml:space="preserve">）没有逐一说明投标产品品牌、型号、产地、性能参数，而是直接拷贝招标文件技术要求的；</w:t>
      </w:r>
      <w:r/>
    </w:p>
    <w:p>
      <w:pPr>
        <w:spacing w:line="360" w:lineRule="auto"/>
        <w:rPr>
          <w:rFonts w:ascii="宋体" w:hAnsi="宋体"/>
          <w:b/>
          <w:color w:val="auto"/>
          <w:szCs w:val="21"/>
          <w:highlight w:val="none"/>
        </w:rPr>
        <w:outlineLvl w:val="9"/>
      </w:pPr>
      <w:r>
        <w:rPr>
          <w:rFonts w:hint="eastAsia" w:ascii="宋体" w:hAnsi="宋体"/>
          <w:b/>
          <w:color w:val="auto"/>
          <w:szCs w:val="21"/>
          <w:highlight w:val="none"/>
        </w:rPr>
        <w:t xml:space="preserve">（1</w:t>
      </w:r>
      <w:r>
        <w:rPr>
          <w:rFonts w:hint="eastAsia" w:ascii="宋体" w:hAnsi="宋体"/>
          <w:b/>
          <w:color w:val="auto"/>
          <w:szCs w:val="21"/>
          <w:highlight w:val="none"/>
          <w:lang w:val="en-US" w:eastAsia="zh-CN"/>
        </w:rPr>
        <w:t xml:space="preserve">2</w:t>
      </w:r>
      <w:r>
        <w:rPr>
          <w:rFonts w:hint="eastAsia" w:ascii="宋体" w:hAnsi="宋体"/>
          <w:b/>
          <w:color w:val="auto"/>
          <w:szCs w:val="21"/>
          <w:highlight w:val="none"/>
        </w:rPr>
        <w:t xml:space="preserve">）不同投标人的委托代理人(或法定代表人、项目经理、项目总监、项目负责人等)在招标文件发布日上月至投标截止日当月在同一单位缴纳社会保险的；</w:t>
      </w:r>
      <w:r/>
    </w:p>
    <w:p>
      <w:pPr>
        <w:spacing w:line="360" w:lineRule="auto"/>
        <w:rPr>
          <w:rFonts w:ascii="宋体" w:hAnsi="宋体"/>
          <w:b/>
          <w:color w:val="auto"/>
          <w:szCs w:val="21"/>
          <w:highlight w:val="none"/>
        </w:rPr>
        <w:outlineLvl w:val="9"/>
      </w:pPr>
      <w:r>
        <w:rPr>
          <w:rFonts w:hint="eastAsia" w:ascii="宋体" w:hAnsi="宋体"/>
          <w:b/>
          <w:color w:val="auto"/>
          <w:szCs w:val="21"/>
          <w:highlight w:val="none"/>
        </w:rPr>
        <w:t xml:space="preserve">（1</w:t>
      </w:r>
      <w:r>
        <w:rPr>
          <w:rFonts w:hint="eastAsia" w:ascii="宋体" w:hAnsi="宋体"/>
          <w:b/>
          <w:color w:val="auto"/>
          <w:szCs w:val="21"/>
          <w:highlight w:val="none"/>
          <w:lang w:val="en-US" w:eastAsia="zh-CN"/>
        </w:rPr>
        <w:t xml:space="preserve">3</w:t>
      </w:r>
      <w:r>
        <w:rPr>
          <w:rFonts w:hint="eastAsia" w:ascii="宋体" w:hAnsi="宋体"/>
          <w:b/>
          <w:color w:val="auto"/>
          <w:szCs w:val="21"/>
          <w:highlight w:val="none"/>
        </w:rPr>
        <w:t xml:space="preserve">）属于投标邀请中拒绝参加本次采购活动供应商的；</w:t>
      </w:r>
      <w:r/>
    </w:p>
    <w:p>
      <w:pPr>
        <w:spacing w:line="360" w:lineRule="auto"/>
        <w:rPr>
          <w:rFonts w:ascii="宋体" w:hAnsi="宋体"/>
          <w:b/>
          <w:color w:val="auto"/>
          <w:szCs w:val="21"/>
          <w:highlight w:val="none"/>
        </w:rPr>
        <w:outlineLvl w:val="9"/>
      </w:pPr>
      <w:r>
        <w:rPr>
          <w:rFonts w:hint="eastAsia" w:ascii="宋体" w:hAnsi="宋体"/>
          <w:b/>
          <w:color w:val="auto"/>
          <w:szCs w:val="21"/>
          <w:highlight w:val="none"/>
        </w:rPr>
        <w:t xml:space="preserve">（1</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）投标文件含有采购人不能接受的附加条件的；</w:t>
      </w:r>
      <w:r/>
    </w:p>
    <w:p>
      <w:pPr>
        <w:spacing w:line="360" w:lineRule="auto"/>
        <w:rPr>
          <w:b/>
          <w:color w:val="auto"/>
          <w:highlight w:val="none"/>
        </w:rPr>
        <w:outlineLvl w:val="9"/>
      </w:pPr>
      <w:r>
        <w:rPr>
          <w:rFonts w:hint="eastAsia" w:ascii="宋体" w:hAnsi="宋体"/>
          <w:b/>
          <w:color w:val="auto"/>
          <w:szCs w:val="21"/>
          <w:highlight w:val="none"/>
        </w:rPr>
        <w:t xml:space="preserve">（1</w:t>
      </w:r>
      <w:r>
        <w:rPr>
          <w:rFonts w:hint="eastAsia" w:ascii="宋体" w:hAnsi="宋体"/>
          <w:b/>
          <w:color w:val="auto"/>
          <w:szCs w:val="21"/>
          <w:highlight w:val="none"/>
          <w:lang w:val="en-US" w:eastAsia="zh-CN"/>
        </w:rPr>
        <w:t xml:space="preserve">5</w:t>
      </w:r>
      <w:r>
        <w:rPr>
          <w:rFonts w:hint="eastAsia" w:ascii="宋体" w:hAnsi="宋体"/>
          <w:b/>
          <w:color w:val="auto"/>
          <w:szCs w:val="21"/>
          <w:highlight w:val="none"/>
        </w:rPr>
        <w:t xml:space="preserve">）评标委员会认为投标人的报价低于完成本项目发生的所有含税费用、支付给员工的工资（不得低于供应商所在地最低工资标准）和国家强制缴纳的各种社会保障资金、公积金，以及供应商认为需要的其他费用等。或投标人的报价明显低于其他通过符合性审查投标人的报价，有可能影响服务质量或者不能诚信履约的，未在评标现场合理的时间内提供书面说明或相关证明材料，不能证明其报价合理的；</w:t>
      </w:r>
      <w:r/>
    </w:p>
    <w:p>
      <w:pPr>
        <w:jc w:val="left"/>
        <w:spacing w:line="360" w:lineRule="auto"/>
        <w:rPr>
          <w:rFonts w:hint="eastAsia" w:ascii="宋体" w:hAnsi="宋体" w:eastAsia="宋体" w:cs="Times New Roman"/>
          <w:b/>
          <w:bCs/>
          <w:color w:val="auto"/>
          <w:szCs w:val="21"/>
          <w:highlight w:val="none"/>
          <w:lang w:eastAsia="zh-CN"/>
        </w:rPr>
        <w:outlineLvl w:val="9"/>
      </w:pPr>
      <w:r>
        <w:rPr>
          <w:rFonts w:hint="eastAsia" w:ascii="宋体" w:hAnsi="宋体"/>
          <w:b/>
          <w:color w:val="auto"/>
          <w:szCs w:val="21"/>
          <w:highlight w:val="none"/>
        </w:rPr>
        <w:t xml:space="preserve">（1</w:t>
      </w:r>
      <w:r>
        <w:rPr>
          <w:rFonts w:hint="eastAsia" w:ascii="宋体" w:hAnsi="宋体"/>
          <w:b/>
          <w:color w:val="auto"/>
          <w:szCs w:val="21"/>
          <w:highlight w:val="none"/>
          <w:lang w:val="en-US" w:eastAsia="zh-CN"/>
        </w:rPr>
        <w:t xml:space="preserve">6</w:t>
      </w:r>
      <w:r>
        <w:rPr>
          <w:rFonts w:hint="eastAsia" w:ascii="宋体" w:hAnsi="宋体"/>
          <w:b/>
          <w:color w:val="auto"/>
          <w:szCs w:val="21"/>
          <w:highlight w:val="none"/>
        </w:rPr>
        <w:t xml:space="preserve">）不符合法律、法规和招标文件规定的其他无效情形。</w:t>
      </w:r>
      <w:r>
        <w:rPr>
          <w:rFonts w:hint="eastAsia" w:ascii="宋体" w:hAnsi="宋体"/>
          <w:b/>
          <w:color w:val="auto"/>
          <w:szCs w:val="21"/>
          <w:highlight w:val="none"/>
          <w:lang w:val="zh-CN"/>
        </w:rPr>
        <w:t xml:space="preserve">（本招标文件中打“</w:t>
      </w:r>
      <w:r>
        <w:rPr>
          <w:rFonts w:hint="eastAsia" w:ascii="宋体" w:hAnsi="宋体"/>
          <w:b/>
          <w:color w:val="auto"/>
          <w:szCs w:val="21"/>
          <w:highlight w:val="none"/>
        </w:rPr>
        <w:t xml:space="preserve">★</w:t>
      </w:r>
      <w:r>
        <w:rPr>
          <w:rFonts w:hint="eastAsia" w:ascii="宋体" w:hAnsi="宋体"/>
          <w:b/>
          <w:color w:val="auto"/>
          <w:szCs w:val="21"/>
          <w:highlight w:val="none"/>
          <w:lang w:val="zh-CN"/>
        </w:rPr>
        <w:t xml:space="preserve">”内容为实质性要求和条件）</w:t>
      </w:r>
      <w:r>
        <w:rPr>
          <w:rFonts w:hint="eastAsia" w:ascii="宋体" w:hAnsi="宋体"/>
          <w:color w:val="auto"/>
          <w:szCs w:val="21"/>
          <w:highlight w:val="none"/>
        </w:rPr>
        <w:br/>
      </w:r>
      <w:r>
        <w:rPr>
          <w:rFonts w:hint="eastAsia" w:ascii="宋体" w:hAnsi="宋体"/>
          <w:b/>
          <w:bCs/>
          <w:color w:val="auto"/>
          <w:szCs w:val="21"/>
          <w:highlight w:val="none"/>
        </w:rPr>
        <w:t xml:space="preserve">21.2.2.5有下列情形之一的予以废标，同时将废标理由通知所有供应商：</w:t>
      </w:r>
      <w:r>
        <w:rPr>
          <w:rFonts w:hint="eastAsia" w:ascii="宋体" w:hAnsi="宋体"/>
          <w:b/>
          <w:bCs/>
          <w:color w:val="auto"/>
          <w:szCs w:val="21"/>
          <w:highlight w:val="none"/>
        </w:rPr>
        <w:br/>
      </w:r>
      <w:r>
        <w:rPr>
          <w:rFonts w:hint="eastAsia" w:ascii="宋体" w:hAnsi="宋体"/>
          <w:b/>
          <w:bCs/>
          <w:color w:val="auto"/>
          <w:szCs w:val="21"/>
          <w:highlight w:val="none"/>
        </w:rPr>
        <w:t xml:space="preserve">（1）符合专业条件的供应商或者对招标文件作实质性响应的供应商不足三家的；</w:t>
      </w:r>
      <w:r>
        <w:rPr>
          <w:rFonts w:hint="eastAsia" w:ascii="宋体" w:hAnsi="宋体"/>
          <w:b/>
          <w:bCs/>
          <w:color w:val="auto"/>
          <w:szCs w:val="21"/>
          <w:highlight w:val="none"/>
        </w:rPr>
        <w:br/>
      </w:r>
      <w:r>
        <w:rPr>
          <w:rFonts w:hint="eastAsia" w:ascii="宋体" w:hAnsi="宋体"/>
          <w:b/>
          <w:bCs/>
          <w:color w:val="auto"/>
          <w:szCs w:val="21"/>
          <w:highlight w:val="none"/>
        </w:rPr>
        <w:t xml:space="preserve">（2）出现影响采购公正的违法、违规行为的；</w:t>
      </w:r>
      <w:r>
        <w:rPr>
          <w:rFonts w:hint="eastAsia" w:ascii="宋体" w:hAnsi="宋体"/>
          <w:b/>
          <w:bCs/>
          <w:color w:val="auto"/>
          <w:szCs w:val="21"/>
          <w:highlight w:val="none"/>
        </w:rPr>
        <w:br/>
      </w:r>
      <w:r>
        <w:rPr>
          <w:rFonts w:hint="eastAsia" w:ascii="宋体" w:hAnsi="宋体"/>
          <w:b/>
          <w:bCs/>
          <w:color w:val="auto"/>
          <w:szCs w:val="21"/>
          <w:highlight w:val="none"/>
        </w:rPr>
        <w:t xml:space="preserve">（3）供应商的报</w:t>
      </w:r>
      <w:r>
        <w:rPr>
          <w:rFonts w:hint="eastAsia" w:ascii="宋体" w:hAnsi="宋体" w:eastAsia="宋体" w:cs="Times New Roman"/>
          <w:b/>
          <w:bCs/>
          <w:color w:val="auto"/>
          <w:szCs w:val="21"/>
          <w:highlight w:val="none"/>
        </w:rPr>
        <w:t xml:space="preserve">价均超过了采购预算或者最高限价的，采购人不能支付的；</w:t>
      </w:r>
      <w:r>
        <w:rPr>
          <w:rFonts w:hint="eastAsia" w:ascii="宋体" w:hAnsi="宋体" w:eastAsia="宋体" w:cs="Times New Roman"/>
          <w:b/>
          <w:bCs/>
          <w:color w:val="auto"/>
          <w:szCs w:val="21"/>
          <w:highlight w:val="none"/>
        </w:rPr>
        <w:br/>
      </w:r>
      <w:r>
        <w:rPr>
          <w:rFonts w:hint="eastAsia" w:ascii="宋体" w:hAnsi="宋体" w:eastAsia="宋体" w:cs="Times New Roman"/>
          <w:b/>
          <w:bCs/>
          <w:color w:val="auto"/>
          <w:szCs w:val="21"/>
          <w:highlight w:val="none"/>
        </w:rPr>
        <w:t xml:space="preserve">（</w:t>
      </w:r>
      <w:r>
        <w:rPr>
          <w:rFonts w:hint="eastAsia" w:ascii="宋体" w:hAnsi="宋体" w:eastAsia="宋体" w:cs="Times New Roman"/>
          <w:b/>
          <w:bCs/>
          <w:color w:val="auto"/>
          <w:szCs w:val="21"/>
          <w:highlight w:val="none"/>
          <w:lang w:eastAsia="zh-CN"/>
        </w:rPr>
        <w:t xml:space="preserve">4）因重大变故，采购任务取消的；</w:t>
      </w:r>
      <w:r/>
    </w:p>
    <w:p>
      <w:pPr>
        <w:jc w:val="left"/>
        <w:spacing w:line="360" w:lineRule="auto"/>
        <w:rPr>
          <w:rFonts w:hint="eastAsia" w:ascii="宋体" w:hAnsi="宋体" w:eastAsia="宋体" w:cs="Times New Roman"/>
          <w:b/>
          <w:bCs/>
          <w:color w:val="auto"/>
          <w:szCs w:val="21"/>
          <w:highlight w:val="none"/>
          <w:lang w:val="zh-CN" w:eastAsia="zh-CN"/>
        </w:rPr>
        <w:outlineLvl w:val="9"/>
      </w:pPr>
      <w:r>
        <w:rPr>
          <w:rFonts w:hint="eastAsia" w:ascii="宋体" w:hAnsi="宋体" w:eastAsia="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lang w:val="en-US" w:eastAsia="zh-CN"/>
        </w:rPr>
        <w:t xml:space="preserve">5</w:t>
      </w:r>
      <w:r>
        <w:rPr>
          <w:rFonts w:hint="eastAsia" w:ascii="宋体" w:hAnsi="宋体" w:eastAsia="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lang w:val="zh-CN" w:eastAsia="zh-CN"/>
        </w:rPr>
        <w:t xml:space="preserve">评委会认定招标文件存在歧义、重大缺陷导致评审工作无法进行的；</w:t>
      </w:r>
      <w:r/>
    </w:p>
    <w:p>
      <w:pPr>
        <w:jc w:val="left"/>
        <w:spacing w:line="360" w:lineRule="auto"/>
        <w:rPr>
          <w:rFonts w:hint="eastAsia" w:ascii="宋体" w:hAnsi="宋体" w:eastAsia="宋体" w:cs="Times New Roman"/>
          <w:b/>
          <w:bCs/>
          <w:color w:val="auto"/>
          <w:szCs w:val="21"/>
          <w:highlight w:val="none"/>
          <w:lang w:val="zh-CN" w:eastAsia="zh-CN"/>
        </w:rPr>
        <w:outlineLvl w:val="9"/>
      </w:pPr>
      <w:r>
        <w:rPr>
          <w:rFonts w:hint="eastAsia" w:ascii="宋体" w:hAnsi="宋体" w:eastAsia="宋体" w:cs="Times New Roman"/>
          <w:b/>
          <w:bCs/>
          <w:color w:val="auto"/>
          <w:szCs w:val="21"/>
          <w:highlight w:val="none"/>
          <w:lang w:val="zh-CN" w:eastAsia="zh-CN"/>
        </w:rPr>
        <w:t xml:space="preserve">（</w:t>
      </w:r>
      <w:r>
        <w:rPr>
          <w:rFonts w:hint="eastAsia" w:ascii="宋体" w:hAnsi="宋体" w:eastAsia="宋体" w:cs="Times New Roman"/>
          <w:b/>
          <w:bCs/>
          <w:color w:val="auto"/>
          <w:szCs w:val="21"/>
          <w:highlight w:val="none"/>
          <w:lang w:val="en-US" w:eastAsia="zh-CN"/>
        </w:rPr>
        <w:t xml:space="preserve">6</w:t>
      </w:r>
      <w:r>
        <w:rPr>
          <w:rFonts w:hint="eastAsia" w:ascii="宋体" w:hAnsi="宋体" w:eastAsia="宋体" w:cs="Times New Roman"/>
          <w:b/>
          <w:bCs/>
          <w:color w:val="auto"/>
          <w:szCs w:val="21"/>
          <w:highlight w:val="none"/>
          <w:lang w:val="zh-CN" w:eastAsia="zh-CN"/>
        </w:rPr>
        <w:t xml:space="preserve">）因苏采云系统故障造成开标不成功的；</w:t>
      </w:r>
      <w:r/>
    </w:p>
    <w:p>
      <w:pPr>
        <w:spacing w:line="360" w:lineRule="auto"/>
        <w:rPr>
          <w:rFonts w:ascii="宋体" w:hAnsi="宋体"/>
          <w:color w:val="auto"/>
          <w:szCs w:val="21"/>
          <w:highlight w:val="none"/>
          <w:lang w:val="zh-CN"/>
        </w:rPr>
        <w:outlineLvl w:val="9"/>
      </w:pPr>
      <w:r>
        <w:rPr>
          <w:rFonts w:hint="eastAsia" w:ascii="宋体" w:hAnsi="宋体"/>
          <w:color w:val="auto"/>
          <w:szCs w:val="21"/>
          <w:highlight w:val="none"/>
        </w:rPr>
        <w:t xml:space="preserve">21.2.2.6</w:t>
      </w:r>
      <w:r>
        <w:rPr>
          <w:rFonts w:hint="eastAsia" w:ascii="宋体" w:hAnsi="宋体"/>
          <w:color w:val="auto"/>
          <w:szCs w:val="21"/>
          <w:highlight w:val="none"/>
          <w:lang w:val="zh-CN"/>
        </w:rPr>
        <w:t xml:space="preserve">如出现投标截止时间后参加投标的供应商或者对招标文件作出实质</w:t>
      </w:r>
      <w:r>
        <w:rPr>
          <w:rFonts w:hint="eastAsia" w:ascii="宋体" w:hAnsi="宋体"/>
          <w:color w:val="auto"/>
          <w:szCs w:val="21"/>
          <w:highlight w:val="none"/>
        </w:rPr>
        <w:t xml:space="preserve">性</w:t>
      </w:r>
      <w:r>
        <w:rPr>
          <w:rFonts w:hint="eastAsia" w:ascii="宋体" w:hAnsi="宋体"/>
          <w:color w:val="auto"/>
          <w:szCs w:val="21"/>
          <w:highlight w:val="none"/>
          <w:lang w:val="zh-CN"/>
        </w:rPr>
        <w:t xml:space="preserve">响应的供应商不足三家</w:t>
      </w:r>
      <w:r>
        <w:rPr>
          <w:rFonts w:hint="eastAsia" w:ascii="宋体" w:hAnsi="宋体"/>
          <w:color w:val="auto"/>
          <w:szCs w:val="21"/>
          <w:highlight w:val="none"/>
        </w:rPr>
        <w:t xml:space="preserve">的</w:t>
      </w:r>
      <w:r>
        <w:rPr>
          <w:rFonts w:hint="eastAsia" w:ascii="宋体" w:hAnsi="宋体"/>
          <w:color w:val="auto"/>
          <w:szCs w:val="21"/>
          <w:highlight w:val="none"/>
          <w:lang w:val="zh-CN"/>
        </w:rPr>
        <w:t xml:space="preserve">情况，按政府采购相关规定执行。</w:t>
      </w:r>
      <w:r/>
    </w:p>
    <w:p>
      <w:pPr>
        <w:spacing w:line="360" w:lineRule="auto"/>
        <w:rPr>
          <w:rFonts w:ascii="宋体"/>
          <w:b/>
          <w:color w:val="auto"/>
          <w:szCs w:val="21"/>
          <w:highlight w:val="none"/>
          <w:lang w:val="zh-CN"/>
        </w:rPr>
        <w:outlineLvl w:val="9"/>
      </w:pPr>
      <w:r>
        <w:rPr>
          <w:rFonts w:hint="eastAsia" w:ascii="宋体"/>
          <w:b/>
          <w:color w:val="auto"/>
          <w:szCs w:val="21"/>
          <w:highlight w:val="none"/>
          <w:lang w:val="zh-CN"/>
        </w:rPr>
        <w:t xml:space="preserve">2</w:t>
      </w:r>
      <w:r>
        <w:rPr>
          <w:rFonts w:hint="eastAsia" w:ascii="宋体"/>
          <w:b/>
          <w:color w:val="auto"/>
          <w:szCs w:val="21"/>
          <w:highlight w:val="none"/>
        </w:rPr>
        <w:t xml:space="preserve">1</w:t>
      </w:r>
      <w:r>
        <w:rPr>
          <w:rFonts w:hint="eastAsia" w:ascii="宋体"/>
          <w:b/>
          <w:color w:val="auto"/>
          <w:szCs w:val="21"/>
          <w:highlight w:val="none"/>
          <w:lang w:val="zh-CN"/>
        </w:rPr>
        <w:t xml:space="preserve">.2.3投标文件的进一步评审。</w:t>
      </w:r>
      <w:r/>
    </w:p>
    <w:p>
      <w:pPr>
        <w:spacing w:line="360" w:lineRule="auto"/>
        <w:rPr>
          <w:rFonts w:ascii="宋体" w:hAnsi="宋体"/>
          <w:bCs/>
          <w:color w:val="auto"/>
          <w:highlight w:val="none"/>
        </w:rPr>
        <w:outlineLvl w:val="9"/>
      </w:pPr>
      <w:r>
        <w:rPr>
          <w:rFonts w:hint="eastAsia" w:ascii="宋体"/>
          <w:color w:val="auto"/>
          <w:szCs w:val="21"/>
          <w:highlight w:val="none"/>
          <w:lang w:val="zh-CN"/>
        </w:rPr>
        <w:t xml:space="preserve">2</w:t>
      </w:r>
      <w:r>
        <w:rPr>
          <w:rFonts w:hint="eastAsia" w:ascii="宋体"/>
          <w:color w:val="auto"/>
          <w:szCs w:val="21"/>
          <w:highlight w:val="none"/>
        </w:rPr>
        <w:t xml:space="preserve">1</w:t>
      </w:r>
      <w:r>
        <w:rPr>
          <w:rFonts w:hint="eastAsia" w:ascii="宋体"/>
          <w:color w:val="auto"/>
          <w:szCs w:val="21"/>
          <w:highlight w:val="none"/>
          <w:lang w:val="zh-CN"/>
        </w:rPr>
        <w:t xml:space="preserve">.2.3.1</w:t>
      </w:r>
      <w:r>
        <w:rPr>
          <w:rFonts w:hint="eastAsia" w:ascii="宋体" w:hAnsi="宋体"/>
          <w:bCs/>
          <w:color w:val="auto"/>
          <w:highlight w:val="none"/>
        </w:rPr>
        <w:t xml:space="preserve">评标委员会将对确定为实质性响应的投标文件进行进一步评审，看其是否有计算上或累加上的算术错误，修正错误的原则如下：</w:t>
      </w:r>
      <w:r/>
    </w:p>
    <w:p>
      <w:pPr>
        <w:spacing w:line="360" w:lineRule="auto"/>
        <w:rPr>
          <w:rFonts w:ascii="宋体" w:hAnsi="宋体"/>
          <w:color w:val="auto"/>
          <w:szCs w:val="21"/>
          <w:highlight w:val="none"/>
          <w:lang w:val="zh-CN"/>
        </w:rPr>
        <w:outlineLvl w:val="9"/>
      </w:pPr>
      <w:r>
        <w:rPr>
          <w:rFonts w:hint="eastAsia" w:ascii="宋体" w:hAnsi="宋体"/>
          <w:color w:val="auto"/>
          <w:szCs w:val="21"/>
          <w:highlight w:val="none"/>
          <w:lang w:val="zh-CN"/>
        </w:rPr>
        <w:t xml:space="preserve">（1）投标文件中开标一览表内容与投标文件中相应内容不一致的，以开标一览表为准。</w:t>
      </w:r>
      <w:r/>
    </w:p>
    <w:p>
      <w:pPr>
        <w:spacing w:line="360" w:lineRule="auto"/>
        <w:rPr>
          <w:rFonts w:ascii="宋体" w:hAnsi="宋体"/>
          <w:color w:val="auto"/>
          <w:szCs w:val="21"/>
          <w:highlight w:val="none"/>
          <w:lang w:val="zh-CN"/>
        </w:rPr>
        <w:outlineLvl w:val="9"/>
      </w:pPr>
      <w:r>
        <w:rPr>
          <w:rFonts w:hint="eastAsia" w:ascii="宋体" w:hAnsi="宋体"/>
          <w:color w:val="auto"/>
          <w:szCs w:val="21"/>
          <w:highlight w:val="none"/>
          <w:lang w:val="zh-CN"/>
        </w:rPr>
        <w:t xml:space="preserve">（2）大写金额和小写金额不一致的，以大写金额为准。</w:t>
      </w:r>
      <w:r/>
    </w:p>
    <w:p>
      <w:pPr>
        <w:spacing w:line="360" w:lineRule="auto"/>
        <w:rPr>
          <w:rFonts w:ascii="宋体" w:hAnsi="宋体"/>
          <w:color w:val="auto"/>
          <w:szCs w:val="21"/>
          <w:highlight w:val="none"/>
          <w:lang w:val="zh-CN"/>
        </w:rPr>
        <w:outlineLvl w:val="9"/>
      </w:pPr>
      <w:r>
        <w:rPr>
          <w:rFonts w:hint="eastAsia" w:ascii="宋体" w:hAnsi="宋体"/>
          <w:color w:val="auto"/>
          <w:szCs w:val="21"/>
          <w:highlight w:val="none"/>
          <w:lang w:val="zh-CN"/>
        </w:rPr>
        <w:t xml:space="preserve">（3）单价金额小数点或者百分比有明显错位的，以开标一览表的总价为准，并修改单价。</w:t>
      </w:r>
      <w:r/>
    </w:p>
    <w:p>
      <w:pPr>
        <w:spacing w:line="360" w:lineRule="auto"/>
        <w:rPr>
          <w:rFonts w:ascii="宋体" w:hAnsi="宋体"/>
          <w:color w:val="auto"/>
          <w:szCs w:val="21"/>
          <w:highlight w:val="none"/>
          <w:lang w:val="zh-CN"/>
        </w:rPr>
        <w:outlineLvl w:val="9"/>
      </w:pPr>
      <w:r>
        <w:rPr>
          <w:rFonts w:hint="eastAsia" w:ascii="宋体" w:hAnsi="宋体"/>
          <w:color w:val="auto"/>
          <w:szCs w:val="21"/>
          <w:highlight w:val="none"/>
          <w:lang w:val="zh-CN"/>
        </w:rPr>
        <w:t xml:space="preserve">（4）总价金额与按单价汇总金额不一致的，以单价金额计算结果为准。</w:t>
      </w:r>
      <w:r/>
    </w:p>
    <w:p>
      <w:pPr>
        <w:spacing w:line="360" w:lineRule="auto"/>
        <w:rPr>
          <w:rFonts w:ascii="宋体" w:hAnsi="宋体"/>
          <w:bCs/>
          <w:color w:val="auto"/>
          <w:highlight w:val="none"/>
        </w:rPr>
        <w:outlineLvl w:val="9"/>
      </w:pPr>
      <w:r>
        <w:rPr>
          <w:rFonts w:hint="eastAsia" w:ascii="宋体" w:hAnsi="宋体"/>
          <w:color w:val="auto"/>
          <w:szCs w:val="21"/>
          <w:highlight w:val="none"/>
          <w:lang w:val="zh-CN"/>
        </w:rPr>
        <w:t xml:space="preserve">同时出现两种以上错误的，按照前款规定的顺序修正。</w:t>
      </w:r>
      <w:r/>
    </w:p>
    <w:p>
      <w:pPr>
        <w:spacing w:line="360" w:lineRule="auto"/>
        <w:rPr>
          <w:rFonts w:ascii="宋体" w:hAnsi="宋体"/>
          <w:bCs/>
          <w:color w:val="auto"/>
          <w:highlight w:val="none"/>
        </w:rPr>
        <w:outlineLvl w:val="9"/>
      </w:pPr>
      <w:r>
        <w:rPr>
          <w:rFonts w:hint="eastAsia" w:ascii="宋体" w:hAnsi="宋体"/>
          <w:color w:val="auto"/>
          <w:highlight w:val="none"/>
        </w:rPr>
        <w:t xml:space="preserve">21.2.3.2</w:t>
      </w:r>
      <w:r>
        <w:rPr>
          <w:rFonts w:hint="eastAsia" w:ascii="宋体" w:hAnsi="宋体"/>
          <w:bCs/>
          <w:color w:val="auto"/>
          <w:highlight w:val="none"/>
        </w:rPr>
        <w:t xml:space="preserve">评标委员会将按上述修正错误的方法调整投标文件中的投标价，调整后的价格应对投标人具有约束力。如果投标人不接受修正后的价格，则其投标将被拒绝。</w:t>
      </w:r>
      <w:r/>
    </w:p>
    <w:p>
      <w:pPr>
        <w:spacing w:line="360" w:lineRule="auto"/>
        <w:rPr>
          <w:rFonts w:ascii="宋体" w:hAnsi="宋体"/>
          <w:bCs/>
          <w:color w:val="auto"/>
          <w:highlight w:val="none"/>
        </w:rPr>
        <w:outlineLvl w:val="9"/>
      </w:pPr>
      <w:r>
        <w:rPr>
          <w:rFonts w:hint="eastAsia" w:ascii="宋体" w:hAnsi="宋体"/>
          <w:color w:val="auto"/>
          <w:highlight w:val="none"/>
        </w:rPr>
        <w:t xml:space="preserve">21.2.3.3</w:t>
      </w:r>
      <w:r>
        <w:rPr>
          <w:rFonts w:hint="eastAsia" w:ascii="宋体" w:hAnsi="宋体"/>
          <w:bCs/>
          <w:color w:val="auto"/>
          <w:highlight w:val="none"/>
        </w:rPr>
        <w:t xml:space="preserve">评标委员会将允许修正投标文件中不构成重大偏离的、微小的、非正规的、不一致的或不规则的地方，但这些修改不能影响任何投标人相应的名次排列。</w:t>
      </w:r>
      <w:r/>
    </w:p>
    <w:p>
      <w:pPr>
        <w:spacing w:line="360" w:lineRule="auto"/>
        <w:rPr>
          <w:rFonts w:ascii="宋体" w:hAnsi="宋体" w:cs="宋体"/>
          <w:color w:val="auto"/>
          <w:szCs w:val="21"/>
          <w:highlight w:val="none"/>
          <w:lang w:val="zh-CN"/>
        </w:rPr>
        <w:outlineLvl w:val="9"/>
      </w:pPr>
      <w:r>
        <w:rPr>
          <w:rFonts w:hint="eastAsia" w:ascii="宋体" w:hAnsi="宋体"/>
          <w:color w:val="auto"/>
          <w:highlight w:val="none"/>
        </w:rPr>
        <w:t xml:space="preserve">21.2.3.4</w:t>
      </w:r>
      <w:r>
        <w:rPr>
          <w:color w:val="auto"/>
          <w:highlight w:val="none"/>
        </w:rPr>
        <w:t xml:space="preserve">投标人在开、评标全过程中应保持通讯畅通，及时登录苏采云系统查阅、答复相关信息，并安排专人与采购代理机构及评标委员会联系。</w:t>
      </w:r>
      <w:r/>
    </w:p>
    <w:p>
      <w:pPr>
        <w:spacing w:line="360" w:lineRule="auto"/>
        <w:rPr>
          <w:rFonts w:ascii="宋体" w:hAnsi="宋体"/>
          <w:color w:val="auto"/>
          <w:szCs w:val="21"/>
          <w:highlight w:val="none"/>
        </w:rPr>
        <w:outlineLvl w:val="9"/>
      </w:pPr>
      <w:r>
        <w:rPr>
          <w:rFonts w:hint="eastAsia" w:ascii="宋体" w:hAnsi="宋体"/>
          <w:color w:val="auto"/>
          <w:highlight w:val="none"/>
        </w:rPr>
        <w:t xml:space="preserve">21.2.3.5</w:t>
      </w:r>
      <w:r>
        <w:rPr>
          <w:rFonts w:hint="eastAsia" w:ascii="宋体" w:hAnsi="宋体"/>
          <w:color w:val="auto"/>
          <w:szCs w:val="21"/>
          <w:highlight w:val="none"/>
        </w:rPr>
        <w:t xml:space="preserve">比较与评价。按照招标文件中规定的评标方法和标准，对资格性检查和符合性检查合格的投标文件进行商务和技术评估，综合比较与评价。</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21.2.3.6相同品牌产品投标要求</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1）采用综合评分法的采购项目：提供相同品牌产品且通过资格性审查、符合性审查的不同投标人参加本项目投标的，按一家投标人计算，评审后得分最高的同品牌投标人获得中标人推荐资格；评审得分相同的，由采购人或者采购人委托评标委员会按照随机抽取的方式确定中标人推荐资格，其他同品牌投标人不作为中标候选人；</w:t>
      </w:r>
      <w:r/>
    </w:p>
    <w:p>
      <w:pPr>
        <w:spacing w:line="360" w:lineRule="auto"/>
        <w:rPr>
          <w:rFonts w:hint="eastAsia" w:ascii="宋体" w:hAnsi="宋体" w:eastAsia="宋体"/>
          <w:color w:val="auto"/>
          <w:szCs w:val="21"/>
          <w:highlight w:val="none"/>
          <w:lang w:eastAsia="zh-CN"/>
        </w:rPr>
        <w:outlineLvl w:val="9"/>
      </w:pPr>
      <w:r>
        <w:rPr>
          <w:rFonts w:hint="eastAsia" w:ascii="宋体" w:hAnsi="宋体"/>
          <w:color w:val="auto"/>
          <w:szCs w:val="21"/>
          <w:highlight w:val="none"/>
        </w:rPr>
        <w:t xml:space="preserve">（2）采用最低评标价法的采购项目：提供相同品牌产品的不同投标人参加本项目投标的，以其中通过资格审查、符合性审查且报价最低的参加评标；报价相同的，由采购人或者采购人委托评标委员会按照随机抽取的方式确定一个参加评标的投标人，其他投标无效；</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（3）非单一产品采购项目，以提供的核心产品品牌为准，核心产品详见第四章招标项目的技术规格、要求和数量等。多家投标人提供的核心产品品牌相同的，按前两款规定处理；</w:t>
      </w:r>
      <w:r/>
    </w:p>
    <w:p>
      <w:pPr>
        <w:jc w:val="left"/>
        <w:spacing w:line="360" w:lineRule="auto"/>
        <w:rPr>
          <w:rFonts w:ascii="宋体" w:hAnsi="宋体"/>
          <w:color w:val="auto"/>
          <w:szCs w:val="21"/>
          <w:highlight w:val="none"/>
        </w:rPr>
        <w:outlineLvl w:val="9"/>
      </w:pPr>
      <w:r>
        <w:rPr>
          <w:rFonts w:hint="eastAsia" w:ascii="宋体" w:hAnsi="宋体"/>
          <w:color w:val="auto"/>
          <w:szCs w:val="21"/>
          <w:highlight w:val="none"/>
        </w:rPr>
        <w:t xml:space="preserve">（4）如有四家通过资格性审查、符合性审查的不同投标人参与投标，有三家投标人所投产品（核心产品）均为同一品牌的，则实际投标产品品牌仅有两个，故有效投标人仅有两家，即实质性响应招标文件的投标人不足三家，项目废标。</w:t>
      </w:r>
      <w:r>
        <w:rPr>
          <w:rFonts w:hint="eastAsia" w:ascii="宋体" w:hAnsi="宋体"/>
          <w:color w:val="auto"/>
          <w:szCs w:val="21"/>
          <w:highlight w:val="none"/>
        </w:rPr>
        <w:br/>
      </w:r>
      <w:r>
        <w:rPr>
          <w:rFonts w:hint="eastAsia" w:ascii="宋体" w:hAnsi="宋体"/>
          <w:b/>
          <w:color w:val="auto"/>
          <w:szCs w:val="21"/>
          <w:highlight w:val="none"/>
        </w:rPr>
        <w:t xml:space="preserve">21.3评标方法和标准（详见第三章）</w:t>
      </w:r>
      <w:r>
        <w:rPr>
          <w:rFonts w:hint="eastAsia" w:ascii="宋体" w:hAnsi="宋体"/>
          <w:color w:val="auto"/>
          <w:szCs w:val="21"/>
          <w:highlight w:val="none"/>
        </w:rPr>
        <w:br/>
      </w:r>
      <w:r>
        <w:rPr>
          <w:rFonts w:hint="eastAsia" w:ascii="宋体" w:hAnsi="宋体"/>
          <w:color w:val="auto"/>
          <w:szCs w:val="21"/>
          <w:highlight w:val="none"/>
        </w:rPr>
        <w:t xml:space="preserve">21.3.1采用综合评分法。即在最大限度地满足招标文件实质性要求前提下，按照招标文件中规定的各项因素及诚信记录进行综合评审后，以评审总得分最高的供应商作为中标候选供应商或者中标供应商的评审方法。</w:t>
      </w:r>
      <w:r/>
    </w:p>
    <w:p>
      <w:pPr>
        <w:jc w:val="left"/>
        <w:spacing w:line="360" w:lineRule="auto"/>
        <w:rPr>
          <w:rFonts w:ascii="宋体" w:hAnsi="宋体"/>
          <w:color w:val="auto"/>
          <w:szCs w:val="21"/>
          <w:highlight w:val="none"/>
        </w:rPr>
        <w:outlineLvl w:val="9"/>
      </w:pPr>
      <w:r>
        <w:rPr>
          <w:rFonts w:hint="eastAsia" w:ascii="宋体" w:hAnsi="宋体"/>
          <w:color w:val="auto"/>
          <w:szCs w:val="21"/>
          <w:highlight w:val="none"/>
        </w:rPr>
        <w:t xml:space="preserve">21.3.2综合评分的主要因素是：价格、技术、服务、</w:t>
      </w:r>
      <w:r>
        <w:rPr>
          <w:rFonts w:hint="eastAsia" w:ascii="宋体" w:hAnsi="宋体"/>
          <w:color w:val="auto"/>
          <w:szCs w:val="21"/>
          <w:highlight w:val="none"/>
          <w:lang w:eastAsia="zh-CN"/>
        </w:rPr>
        <w:t xml:space="preserve">供应商</w:t>
      </w:r>
      <w:r>
        <w:rPr>
          <w:rFonts w:hint="eastAsia" w:ascii="宋体" w:hAnsi="宋体"/>
          <w:color w:val="auto"/>
          <w:szCs w:val="21"/>
          <w:highlight w:val="none"/>
        </w:rPr>
        <w:t xml:space="preserve">履约能力等。</w:t>
      </w:r>
      <w:r>
        <w:rPr>
          <w:rFonts w:hint="eastAsia" w:ascii="宋体" w:hAnsi="宋体"/>
          <w:color w:val="auto"/>
          <w:szCs w:val="21"/>
          <w:highlight w:val="none"/>
        </w:rPr>
        <w:br/>
      </w:r>
      <w:r>
        <w:rPr>
          <w:rFonts w:hint="eastAsia" w:ascii="宋体" w:hAnsi="宋体"/>
          <w:b/>
          <w:bCs/>
          <w:color w:val="auto"/>
          <w:szCs w:val="21"/>
          <w:highlight w:val="none"/>
        </w:rPr>
        <w:t xml:space="preserve">22、确定中标供应商</w:t>
      </w:r>
      <w:r>
        <w:rPr>
          <w:rFonts w:hint="eastAsia" w:ascii="宋体" w:hAnsi="宋体"/>
          <w:color w:val="auto"/>
          <w:szCs w:val="21"/>
          <w:highlight w:val="none"/>
        </w:rPr>
        <w:br/>
      </w:r>
      <w:r>
        <w:rPr>
          <w:rFonts w:hint="eastAsia" w:ascii="宋体" w:hAnsi="宋体"/>
          <w:color w:val="auto"/>
          <w:szCs w:val="21"/>
          <w:highlight w:val="none"/>
        </w:rPr>
        <w:t xml:space="preserve">22.1综合比较与评价后按照得分高低顺序对供应商进行排列。得分相同的，按投标报价由低到高顺序排列。得分且投标报价相同的，按“评标标准”说明中确定的评分因素优劣顺序排列。评标委员会根据排名确定3名中标候选人。</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22.2按以下第（1）种方式确定中标供应商</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（1）评标委员会直接确定排名第一的中标候选人为中标供应商；</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（2）采购人在评标委员会推荐的中标候选人中按顺序确定中标供应商。</w:t>
      </w:r>
      <w:r/>
    </w:p>
    <w:p>
      <w:pPr>
        <w:spacing w:line="360" w:lineRule="auto"/>
        <w:rPr>
          <w:color w:val="auto"/>
          <w:highlight w:val="none"/>
        </w:rPr>
        <w:outlineLvl w:val="9"/>
      </w:pPr>
      <w:r>
        <w:rPr>
          <w:rFonts w:hint="eastAsia" w:ascii="宋体" w:hAnsi="宋体"/>
          <w:color w:val="auto"/>
          <w:szCs w:val="21"/>
          <w:highlight w:val="none"/>
        </w:rPr>
        <w:t xml:space="preserve">按第二种方式确定中标供应商的，采购代理机构自评审结束之日起两个工作日内将评审报告送交采购人，采购人应当自收到评审报告之日起五个工作日内，在评审报告推荐的中标候选人中按顺序确定中标供应商。</w:t>
      </w:r>
      <w:r/>
    </w:p>
    <w:p>
      <w:pPr>
        <w:jc w:val="left"/>
        <w:spacing w:line="360" w:lineRule="auto"/>
        <w:rPr>
          <w:rFonts w:ascii="宋体" w:hAnsi="宋体"/>
          <w:color w:val="auto"/>
          <w:szCs w:val="21"/>
          <w:highlight w:val="none"/>
        </w:rPr>
        <w:outlineLvl w:val="9"/>
      </w:pPr>
      <w:r>
        <w:rPr>
          <w:rFonts w:hint="eastAsia" w:ascii="宋体" w:hAnsi="宋体"/>
          <w:color w:val="auto"/>
          <w:szCs w:val="21"/>
          <w:highlight w:val="none"/>
        </w:rPr>
        <w:t xml:space="preserve">22.3中标供应商确定之日起2个工作日内，将在财政部门指定的政府采购信息发布媒体上公告，中标供应商及时到采购代理机构领取《中标通知书》。</w:t>
      </w:r>
      <w:r>
        <w:rPr>
          <w:rFonts w:hint="eastAsia" w:ascii="宋体" w:hAnsi="宋体"/>
          <w:b/>
          <w:bCs/>
          <w:color w:val="auto"/>
          <w:szCs w:val="21"/>
          <w:highlight w:val="none"/>
        </w:rPr>
        <w:t xml:space="preserve">中标供应商领取中标通知书时提供</w:t>
      </w: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rPr>
        <w:t xml:space="preserve">份纸质版投标文件（与系统中提交的电子投标文件一致并胶装）。</w:t>
      </w:r>
      <w:r>
        <w:rPr>
          <w:rFonts w:hint="eastAsia" w:ascii="宋体" w:hAnsi="宋体"/>
          <w:color w:val="auto"/>
          <w:szCs w:val="21"/>
          <w:highlight w:val="none"/>
        </w:rPr>
        <w:br/>
      </w:r>
      <w:r>
        <w:rPr>
          <w:rFonts w:hint="eastAsia" w:ascii="宋体" w:hAnsi="宋体"/>
          <w:color w:val="auto"/>
          <w:szCs w:val="21"/>
          <w:highlight w:val="none"/>
        </w:rPr>
        <w:t xml:space="preserve">22.4中标通知书对采购人和中标供应商具有同等法律效力。</w:t>
      </w:r>
      <w:r>
        <w:rPr>
          <w:rFonts w:hint="eastAsia" w:ascii="宋体" w:hAnsi="宋体"/>
          <w:color w:val="auto"/>
          <w:szCs w:val="21"/>
          <w:highlight w:val="none"/>
        </w:rPr>
        <w:br/>
      </w:r>
      <w:r>
        <w:rPr>
          <w:rFonts w:hint="eastAsia" w:ascii="宋体" w:hAnsi="宋体"/>
          <w:color w:val="auto"/>
          <w:szCs w:val="21"/>
          <w:highlight w:val="none"/>
        </w:rPr>
        <w:t xml:space="preserve">22.5中标通知书发出后，中标供应商无正当理由不与采购人签订合同的，情节严重的，由财政部门将其列入不良行为记录名单，在一至三年内禁止参加南京市政府采购活动，并予以通报。</w:t>
      </w:r>
      <w:r>
        <w:rPr>
          <w:rFonts w:hint="eastAsia" w:ascii="宋体" w:hAnsi="宋体"/>
          <w:color w:val="auto"/>
          <w:szCs w:val="21"/>
          <w:highlight w:val="none"/>
        </w:rPr>
        <w:br/>
      </w:r>
      <w:r>
        <w:rPr>
          <w:rFonts w:hint="eastAsia" w:ascii="宋体" w:hAnsi="宋体"/>
          <w:color w:val="auto"/>
          <w:szCs w:val="21"/>
          <w:highlight w:val="none"/>
        </w:rPr>
        <w:t xml:space="preserve">22.6对未通过资格审查的投标人，告知其未通过的原因；采用综合评分法评审的，告知未中标人本人的评审得分与排序。采购人、采购代理机构和评标委员会</w:t>
      </w:r>
      <w:r>
        <w:rPr>
          <w:rFonts w:ascii="宋体" w:hAnsi="宋体"/>
          <w:color w:val="auto"/>
          <w:szCs w:val="21"/>
          <w:highlight w:val="none"/>
        </w:rPr>
        <w:t xml:space="preserve">对未中标的供应商不作未中标原因的解释。</w:t>
      </w:r>
      <w:r/>
    </w:p>
    <w:p>
      <w:pPr>
        <w:jc w:val="left"/>
        <w:spacing w:line="360" w:lineRule="auto"/>
        <w:rPr>
          <w:rFonts w:ascii="宋体" w:hAnsi="宋体"/>
          <w:color w:val="auto"/>
          <w:szCs w:val="21"/>
          <w:highlight w:val="none"/>
        </w:rPr>
        <w:outlineLvl w:val="9"/>
      </w:pPr>
      <w:r>
        <w:rPr>
          <w:rFonts w:hint="eastAsia" w:ascii="宋体" w:hAnsi="宋体"/>
          <w:b/>
          <w:color w:val="auto"/>
          <w:szCs w:val="21"/>
          <w:highlight w:val="none"/>
        </w:rPr>
        <w:t xml:space="preserve">23、编写评标报告</w:t>
      </w:r>
      <w:r>
        <w:rPr>
          <w:rFonts w:hint="eastAsia" w:ascii="宋体" w:hAnsi="宋体"/>
          <w:color w:val="auto"/>
          <w:szCs w:val="21"/>
          <w:highlight w:val="none"/>
        </w:rPr>
        <w:br/>
      </w:r>
      <w:r>
        <w:rPr>
          <w:rFonts w:hint="eastAsia" w:ascii="宋体" w:hAnsi="宋体"/>
          <w:color w:val="auto"/>
          <w:szCs w:val="21"/>
          <w:highlight w:val="none"/>
        </w:rPr>
        <w:t xml:space="preserve">23.1评标委员会根据全体评标成员签字的原始评标记录和评标结果编写评标报告。</w:t>
      </w:r>
      <w:r>
        <w:rPr>
          <w:rFonts w:hint="eastAsia" w:ascii="宋体" w:hAnsi="宋体"/>
          <w:color w:val="auto"/>
          <w:szCs w:val="21"/>
          <w:highlight w:val="none"/>
        </w:rPr>
        <w:br/>
      </w:r>
      <w:r>
        <w:rPr>
          <w:rFonts w:hint="eastAsia" w:ascii="宋体" w:hAnsi="宋体"/>
          <w:b/>
          <w:color w:val="auto"/>
          <w:szCs w:val="21"/>
          <w:highlight w:val="none"/>
        </w:rPr>
        <w:t xml:space="preserve">24、评标过程的保密性</w:t>
      </w:r>
      <w:r>
        <w:rPr>
          <w:rFonts w:hint="eastAsia" w:ascii="宋体" w:hAnsi="宋体"/>
          <w:color w:val="auto"/>
          <w:szCs w:val="21"/>
          <w:highlight w:val="none"/>
        </w:rPr>
        <w:br/>
      </w:r>
      <w:r>
        <w:rPr>
          <w:rFonts w:hint="eastAsia" w:ascii="宋体" w:hAnsi="宋体"/>
          <w:color w:val="auto"/>
          <w:szCs w:val="21"/>
          <w:highlight w:val="none"/>
        </w:rPr>
        <w:t xml:space="preserve">24.1采购代理机构将采取必要措施，保证评标在严格保密的情况下进行。</w:t>
      </w:r>
      <w:r>
        <w:rPr>
          <w:rFonts w:hint="eastAsia" w:ascii="宋体" w:hAnsi="宋体"/>
          <w:color w:val="auto"/>
          <w:szCs w:val="21"/>
          <w:highlight w:val="none"/>
        </w:rPr>
        <w:br/>
      </w:r>
      <w:r>
        <w:rPr>
          <w:rFonts w:hint="eastAsia" w:ascii="宋体" w:hAnsi="宋体"/>
          <w:color w:val="auto"/>
          <w:szCs w:val="21"/>
          <w:highlight w:val="none"/>
        </w:rPr>
        <w:t xml:space="preserve">24.2任何单位和个人不得非法干预、影响评标办法的确定，以及评标过程和结果。</w:t>
      </w:r>
      <w:r>
        <w:rPr>
          <w:rFonts w:hint="eastAsia" w:ascii="宋体" w:hAnsi="宋体"/>
          <w:color w:val="auto"/>
          <w:szCs w:val="21"/>
          <w:highlight w:val="none"/>
        </w:rPr>
        <w:br/>
      </w:r>
      <w:r>
        <w:rPr>
          <w:rFonts w:hint="eastAsia" w:ascii="宋体" w:hAnsi="宋体"/>
          <w:color w:val="auto"/>
          <w:szCs w:val="21"/>
          <w:highlight w:val="none"/>
        </w:rPr>
        <w:t xml:space="preserve">24.3凡是与审查、澄清、评价和比较投标的有关资料等，均不向供应商及与评标无关的其他人员透露。</w:t>
      </w:r>
      <w:r>
        <w:rPr>
          <w:rFonts w:hint="eastAsia" w:ascii="宋体" w:hAnsi="宋体"/>
          <w:color w:val="auto"/>
          <w:szCs w:val="21"/>
          <w:highlight w:val="none"/>
        </w:rPr>
        <w:br/>
      </w:r>
      <w:r>
        <w:rPr>
          <w:rFonts w:hint="eastAsia" w:ascii="宋体" w:hAnsi="宋体"/>
          <w:b/>
          <w:color w:val="auto"/>
          <w:szCs w:val="21"/>
          <w:highlight w:val="none"/>
        </w:rPr>
        <w:t xml:space="preserve">25、签订合同</w:t>
      </w:r>
      <w:r>
        <w:rPr>
          <w:rFonts w:hint="eastAsia" w:ascii="宋体" w:hAnsi="宋体"/>
          <w:color w:val="auto"/>
          <w:szCs w:val="21"/>
          <w:highlight w:val="none"/>
        </w:rPr>
        <w:br/>
      </w:r>
      <w:r>
        <w:rPr>
          <w:rFonts w:hint="eastAsia" w:ascii="宋体" w:hAnsi="宋体"/>
          <w:color w:val="auto"/>
          <w:szCs w:val="21"/>
          <w:highlight w:val="none"/>
        </w:rPr>
        <w:t xml:space="preserve">25.1中标供应商应当自中标通知书发出之日起三十日内，按照招标文件和中标供应商投标文件的约定与采购人签订采购合同，所签订的合同不得对招标文件和中标供应商投标文件作实质性修改。</w:t>
      </w:r>
      <w:r>
        <w:rPr>
          <w:rFonts w:hint="eastAsia" w:ascii="宋体" w:hAnsi="宋体"/>
          <w:color w:val="auto"/>
          <w:szCs w:val="21"/>
          <w:highlight w:val="none"/>
        </w:rPr>
        <w:br/>
      </w:r>
      <w:r>
        <w:rPr>
          <w:rFonts w:hint="eastAsia" w:ascii="宋体" w:hAnsi="宋体"/>
          <w:color w:val="auto"/>
          <w:szCs w:val="21"/>
          <w:highlight w:val="none"/>
        </w:rPr>
        <w:t xml:space="preserve">25.2采购人不得向中标供应商提出任何不合理的要求作为签订合同的条件，不得与中标供应商私下订立背离合同实质性内容的协议。</w:t>
      </w:r>
      <w:r/>
    </w:p>
    <w:p>
      <w:pPr>
        <w:jc w:val="left"/>
        <w:spacing w:line="360" w:lineRule="auto"/>
        <w:rPr>
          <w:rFonts w:ascii="宋体" w:hAnsi="宋体"/>
          <w:color w:val="auto"/>
          <w:szCs w:val="21"/>
          <w:highlight w:val="none"/>
        </w:rPr>
        <w:outlineLvl w:val="9"/>
      </w:pPr>
      <w:r>
        <w:rPr>
          <w:rFonts w:hint="eastAsia" w:ascii="宋体" w:hAnsi="宋体"/>
          <w:color w:val="auto"/>
          <w:szCs w:val="21"/>
          <w:highlight w:val="none"/>
        </w:rPr>
        <w:t xml:space="preserve">25.3中标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宋体" w:hAnsi="宋体"/>
          <w:color w:val="auto"/>
          <w:szCs w:val="21"/>
          <w:highlight w:val="none"/>
        </w:rPr>
        <w:br/>
      </w:r>
      <w:r>
        <w:rPr>
          <w:rFonts w:hint="eastAsia" w:ascii="宋体" w:hAnsi="宋体"/>
          <w:color w:val="auto"/>
          <w:szCs w:val="21"/>
          <w:highlight w:val="none"/>
        </w:rPr>
        <w:t xml:space="preserve">25.4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rFonts w:hint="eastAsia" w:ascii="宋体" w:hAnsi="宋体"/>
          <w:color w:val="auto"/>
          <w:szCs w:val="21"/>
          <w:highlight w:val="none"/>
        </w:rPr>
        <w:br/>
      </w:r>
      <w:r>
        <w:rPr>
          <w:rFonts w:hint="eastAsia" w:ascii="宋体" w:hAnsi="宋体"/>
          <w:color w:val="auto"/>
          <w:szCs w:val="21"/>
          <w:highlight w:val="none"/>
        </w:rPr>
        <w:t xml:space="preserve">25.5采购合同履行中，采购人需追加与合同标的相同货物</w:t>
      </w:r>
      <w:r>
        <w:rPr>
          <w:rFonts w:hint="eastAsia" w:ascii="宋体" w:hAnsi="宋体"/>
          <w:color w:val="auto"/>
          <w:szCs w:val="21"/>
          <w:highlight w:val="none"/>
          <w:lang w:val="en-US" w:eastAsia="zh-CN"/>
        </w:rPr>
        <w:t xml:space="preserve">或服务</w:t>
      </w:r>
      <w:r>
        <w:rPr>
          <w:rFonts w:hint="eastAsia" w:ascii="宋体" w:hAnsi="宋体"/>
          <w:color w:val="auto"/>
          <w:szCs w:val="21"/>
          <w:highlight w:val="none"/>
        </w:rPr>
        <w:t xml:space="preserve">的，在不改变合同其他条款的前提下，可以与供应商协商签订补充合同，但所有补充合同的采购金额不得超过原合同采购金额的百分之十。</w:t>
      </w:r>
      <w:r/>
    </w:p>
    <w:p>
      <w:pPr>
        <w:jc w:val="left"/>
        <w:spacing w:line="360" w:lineRule="auto"/>
        <w:rPr>
          <w:rFonts w:hint="eastAsia" w:ascii="宋体" w:hAnsi="宋体"/>
          <w:b/>
          <w:bCs/>
          <w:color w:val="auto"/>
          <w:szCs w:val="21"/>
          <w:highlight w:val="none"/>
          <w:lang w:val="zh-CN"/>
        </w:rPr>
        <w:outlineLvl w:val="1"/>
      </w:pPr>
      <w:r>
        <w:rPr>
          <w:rFonts w:hint="eastAsia" w:ascii="宋体" w:hAnsi="宋体"/>
          <w:b/>
          <w:bCs/>
          <w:color w:val="auto"/>
          <w:szCs w:val="21"/>
          <w:highlight w:val="none"/>
          <w:lang w:val="en-US" w:eastAsia="zh-CN"/>
        </w:rPr>
        <w:t xml:space="preserve">五</w:t>
      </w:r>
      <w:r>
        <w:rPr>
          <w:rFonts w:hint="eastAsia" w:ascii="宋体" w:hAnsi="宋体"/>
          <w:b/>
          <w:bCs/>
          <w:color w:val="auto"/>
          <w:szCs w:val="21"/>
          <w:highlight w:val="none"/>
          <w:lang w:val="zh-CN"/>
        </w:rPr>
        <w:t xml:space="preserve">、询问、质疑、投诉和诚实信用</w:t>
      </w:r>
      <w:r/>
    </w:p>
    <w:p>
      <w:pPr>
        <w:jc w:val="left"/>
        <w:spacing w:line="360" w:lineRule="auto"/>
        <w:rPr>
          <w:rFonts w:ascii="宋体" w:hAnsi="宋体"/>
          <w:color w:val="auto"/>
          <w:szCs w:val="21"/>
          <w:highlight w:val="none"/>
        </w:rPr>
        <w:outlineLvl w:val="9"/>
      </w:pPr>
      <w:r>
        <w:rPr>
          <w:rFonts w:hint="eastAsia" w:ascii="宋体" w:hAnsi="宋体"/>
          <w:b/>
          <w:color w:val="auto"/>
          <w:szCs w:val="21"/>
          <w:highlight w:val="none"/>
        </w:rPr>
        <w:t xml:space="preserve">26、询问</w:t>
      </w:r>
      <w:r>
        <w:rPr>
          <w:rFonts w:hint="eastAsia" w:ascii="宋体" w:hAnsi="宋体"/>
          <w:color w:val="auto"/>
          <w:szCs w:val="21"/>
          <w:highlight w:val="none"/>
        </w:rPr>
        <w:br/>
      </w:r>
      <w:r>
        <w:rPr>
          <w:rFonts w:hint="eastAsia" w:ascii="宋体" w:hAnsi="宋体"/>
          <w:color w:val="auto"/>
          <w:szCs w:val="21"/>
          <w:highlight w:val="none"/>
        </w:rPr>
        <w:t xml:space="preserve">26.1供应商对招标活动事项有疑问的，可以向采购人或采购代理机构提出询问，采购人或采购代理机构将在三个工作日内作出答复，但答复的内容不涉及商业秘密。</w:t>
      </w:r>
      <w:r>
        <w:rPr>
          <w:rFonts w:hint="eastAsia" w:ascii="宋体" w:hAnsi="宋体"/>
          <w:color w:val="auto"/>
          <w:szCs w:val="21"/>
          <w:highlight w:val="none"/>
        </w:rPr>
        <w:br/>
      </w:r>
      <w:r>
        <w:rPr>
          <w:rFonts w:hint="eastAsia" w:ascii="宋体" w:hAnsi="宋体"/>
          <w:b/>
          <w:color w:val="auto"/>
          <w:szCs w:val="21"/>
          <w:highlight w:val="none"/>
        </w:rPr>
        <w:t xml:space="preserve">27、质疑</w:t>
      </w:r>
      <w:r>
        <w:rPr>
          <w:rFonts w:hint="eastAsia" w:ascii="宋体" w:hAnsi="宋体"/>
          <w:color w:val="auto"/>
          <w:szCs w:val="21"/>
          <w:highlight w:val="none"/>
        </w:rPr>
        <w:br/>
      </w:r>
      <w:r>
        <w:rPr>
          <w:rFonts w:hint="eastAsia" w:ascii="宋体" w:hAnsi="宋体"/>
          <w:color w:val="auto"/>
          <w:szCs w:val="21"/>
          <w:highlight w:val="none"/>
        </w:rPr>
        <w:t xml:space="preserve">27.1供应商认为采购文件、采购过程或者中标结果使自己的权益受到损害的，可以在知道或者应当知道其权益受到损害之日起七个工作日内，以书面形式（质疑函原件）向采购人或采购代理机构提出质疑。通过现场提出的，提出时间以采购代理机构收到时间为准；通过邮寄、快递方式提出的，提出时间以邮寄件上的寄出邮戳时间、快递件上签注的寄出时间为准。</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27.2提出质疑的供应商应当是参与所质疑项目采购活动的供应商。潜在供应商已依法获取其可质疑的采购文件的，可以对该文件提出质疑。</w:t>
      </w:r>
      <w:r/>
    </w:p>
    <w:p>
      <w:pPr>
        <w:jc w:val="left"/>
        <w:spacing w:line="360" w:lineRule="auto"/>
        <w:rPr>
          <w:rFonts w:ascii="宋体" w:hAnsi="宋体"/>
          <w:color w:val="auto"/>
          <w:szCs w:val="21"/>
          <w:highlight w:val="none"/>
        </w:rPr>
        <w:outlineLvl w:val="9"/>
      </w:pPr>
      <w:r>
        <w:rPr>
          <w:rFonts w:hint="eastAsia" w:ascii="宋体" w:hAnsi="宋体"/>
          <w:color w:val="auto"/>
          <w:szCs w:val="21"/>
          <w:highlight w:val="none"/>
        </w:rPr>
        <w:t xml:space="preserve">27.3上述应知其权益受到损害之日是指：</w:t>
      </w:r>
      <w:r>
        <w:rPr>
          <w:rFonts w:hint="eastAsia" w:ascii="宋体" w:hAnsi="宋体"/>
          <w:color w:val="auto"/>
          <w:szCs w:val="21"/>
          <w:highlight w:val="none"/>
        </w:rPr>
        <w:br/>
      </w:r>
      <w:r>
        <w:rPr>
          <w:rFonts w:hint="eastAsia" w:ascii="宋体" w:hAnsi="宋体"/>
          <w:color w:val="auto"/>
          <w:szCs w:val="21"/>
          <w:highlight w:val="none"/>
        </w:rPr>
        <w:t xml:space="preserve">（1）对采购文件提出质疑的，为收到采购文件之日或者采购文件公告期限届满之日起计算；</w:t>
      </w:r>
      <w:r>
        <w:rPr>
          <w:rFonts w:hint="eastAsia" w:ascii="宋体" w:hAnsi="宋体"/>
          <w:color w:val="auto"/>
          <w:szCs w:val="21"/>
          <w:highlight w:val="none"/>
        </w:rPr>
        <w:br/>
      </w:r>
      <w:r>
        <w:rPr>
          <w:rFonts w:hint="eastAsia" w:ascii="宋体" w:hAnsi="宋体"/>
          <w:color w:val="auto"/>
          <w:szCs w:val="21"/>
          <w:highlight w:val="none"/>
        </w:rPr>
        <w:t xml:space="preserve">（2）对采购过程提出质疑的，自采购程序环节结束之日起计算；</w:t>
      </w:r>
      <w:r>
        <w:rPr>
          <w:rFonts w:hint="eastAsia" w:ascii="宋体" w:hAnsi="宋体"/>
          <w:color w:val="auto"/>
          <w:szCs w:val="21"/>
          <w:highlight w:val="none"/>
        </w:rPr>
        <w:br/>
      </w:r>
      <w:r>
        <w:rPr>
          <w:rFonts w:hint="eastAsia" w:ascii="宋体" w:hAnsi="宋体"/>
          <w:color w:val="auto"/>
          <w:szCs w:val="21"/>
          <w:highlight w:val="none"/>
        </w:rPr>
        <w:t xml:space="preserve">（3）对中标结果提出质疑的，自中标结果公告期限届满之日起计算。</w:t>
      </w:r>
      <w:r>
        <w:rPr>
          <w:rFonts w:hint="eastAsia" w:ascii="宋体" w:hAnsi="宋体"/>
          <w:color w:val="auto"/>
          <w:szCs w:val="21"/>
          <w:highlight w:val="none"/>
        </w:rPr>
        <w:br/>
      </w:r>
      <w:r>
        <w:rPr>
          <w:rFonts w:hint="eastAsia" w:ascii="宋体" w:hAnsi="宋体"/>
          <w:color w:val="auto"/>
          <w:szCs w:val="21"/>
          <w:highlight w:val="none"/>
        </w:rPr>
        <w:t xml:space="preserve">27.4在法定质疑期内，针对同一采购程序环节的质疑供应商应当一次性提出。对一个项目的不同包提出质疑的，应当将各包质疑事项集中在一份质疑函中提出。质疑供应商需要修改、补充质疑函的，应当在法定质疑有效期内提交修改或补充材料。</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27.5提出质疑的供应商应当是参与所质疑项目采购活动的供应商。供应商提出质疑应当提交质疑函和必要的证明材料。关于质疑函，供应商为自然人的，</w:t>
      </w:r>
      <w:r>
        <w:rPr>
          <w:rFonts w:hint="eastAsia" w:ascii="宋体" w:hAnsi="宋体"/>
          <w:color w:val="auto"/>
          <w:szCs w:val="21"/>
          <w:highlight w:val="none"/>
        </w:rPr>
        <w:t xml:space="preserve">应当由本人签字；供应商为法人或者其他组织的，应当由法定代表人、主要负责人，或者其授权代表签字或者盖章，并加盖公章。供应商委托代理人进行质疑时，应当提交质疑供应商的授权委托书，授权委托书应当载明代理人的姓名或者名称、代理事项、具体权限、期限和相关事项。供应商为自然人的，应当由本人签字；供应商为法人或者其他组织的，应当由法定代表人、主要负责人签字或者盖章，并加盖公章。质疑函通过现场提交至采购代理机构联系人处的，提交时应出示有效身份证明。以联合体形式参加政府采购活动的，其投诉应当由组成联合体的所有供应商共同提出。</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27.6采购代理机构将在一定范围内公开质疑人的名称、质疑事项、质疑处理结果，供有关采购人、财政部门、行业协会查询。</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27.7质疑函存在以下情形的，代理机构不予受理：</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（一）质疑主体不满足《政府采购质疑和投诉办法》第十一条规定的；</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（二）供应商超过法定质疑期提出质疑的；</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（三）其它不符合受理条件情形的。</w:t>
      </w:r>
      <w:r/>
    </w:p>
    <w:p>
      <w:pPr>
        <w:spacing w:line="360" w:lineRule="auto"/>
        <w:rPr>
          <w:rFonts w:ascii="宋体" w:hAnsi="宋体"/>
          <w:color w:val="auto"/>
          <w:szCs w:val="21"/>
          <w:highlight w:val="none"/>
        </w:rPr>
        <w:outlineLvl w:val="9"/>
      </w:pPr>
      <w:r>
        <w:rPr>
          <w:rFonts w:hint="eastAsia" w:ascii="宋体" w:hAnsi="宋体"/>
          <w:color w:val="auto"/>
          <w:szCs w:val="21"/>
          <w:highlight w:val="none"/>
        </w:rPr>
        <w:t xml:space="preserve">27.8供应商以质疑函形式递交，但无具体、明确质疑事项，实质内容为询问的，代理机构可视为书面询问受理，后续事宜按照询问答复流程办理。</w:t>
      </w:r>
      <w:r/>
    </w:p>
    <w:p>
      <w:pPr>
        <w:spacing w:line="360" w:lineRule="auto"/>
        <w:rPr>
          <w:rFonts w:ascii="宋体" w:hAnsi="宋体"/>
          <w:color w:val="auto"/>
          <w:szCs w:val="21"/>
          <w:highlight w:val="none"/>
          <w:lang w:val="zh-CN"/>
        </w:rPr>
        <w:outlineLvl w:val="9"/>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质疑文件应包括以下主要内容，并附上相关证明材料：</w:t>
      </w:r>
      <w:r/>
    </w:p>
    <w:p>
      <w:pPr>
        <w:spacing w:line="360" w:lineRule="auto"/>
        <w:rPr>
          <w:rFonts w:ascii="宋体" w:hAnsi="宋体"/>
          <w:color w:val="auto"/>
          <w:szCs w:val="21"/>
          <w:highlight w:val="none"/>
          <w:lang w:val="zh-CN"/>
        </w:rPr>
        <w:outlineLvl w:val="9"/>
      </w:pPr>
      <w:r>
        <w:rPr>
          <w:rFonts w:hint="eastAsia" w:ascii="宋体" w:hAnsi="宋体"/>
          <w:color w:val="auto"/>
          <w:szCs w:val="21"/>
          <w:highlight w:val="none"/>
          <w:lang w:val="zh-CN"/>
        </w:rPr>
        <w:t xml:space="preserve">（1）质疑供应商姓名或名称、地址、邮编、联系人及联系电话；</w:t>
      </w:r>
      <w:r/>
    </w:p>
    <w:p>
      <w:pPr>
        <w:spacing w:line="360" w:lineRule="auto"/>
        <w:rPr>
          <w:rFonts w:ascii="宋体" w:hAnsi="宋体"/>
          <w:color w:val="auto"/>
          <w:szCs w:val="21"/>
          <w:highlight w:val="none"/>
          <w:lang w:val="zh-CN"/>
        </w:rPr>
        <w:outlineLvl w:val="9"/>
      </w:pPr>
      <w:r>
        <w:rPr>
          <w:rFonts w:hint="eastAsia" w:ascii="宋体" w:hAnsi="宋体"/>
          <w:color w:val="auto"/>
          <w:szCs w:val="21"/>
          <w:highlight w:val="none"/>
          <w:lang w:val="zh-CN"/>
        </w:rPr>
        <w:t xml:space="preserve">（2）质疑项目名称、项目编号；</w:t>
      </w:r>
      <w:r/>
    </w:p>
    <w:p>
      <w:pPr>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（3）具体、明确的质疑事项和与质疑事项相关的请求；</w:t>
      </w:r>
      <w:r/>
    </w:p>
    <w:p>
      <w:pPr>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（4）事实依据；</w:t>
      </w:r>
      <w:r/>
    </w:p>
    <w:p>
      <w:pPr>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（5）必要的法律依据；</w:t>
      </w:r>
      <w:r/>
    </w:p>
    <w:p>
      <w:pPr>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（6）提出质疑的日期。</w:t>
      </w:r>
      <w:r/>
    </w:p>
    <w:p>
      <w:pPr>
        <w:spacing w:line="360" w:lineRule="auto"/>
        <w:rPr>
          <w:rFonts w:ascii="宋体" w:hAnsi="宋体"/>
          <w:color w:val="auto"/>
          <w:szCs w:val="21"/>
          <w:highlight w:val="none"/>
        </w:rPr>
      </w:pPr>
      <w:r>
        <w:rPr>
          <w:rFonts w:hint="eastAsia" w:ascii="宋体" w:hAnsi="宋体"/>
          <w:color w:val="auto"/>
          <w:szCs w:val="21"/>
          <w:highlight w:val="none"/>
        </w:rPr>
        <w:t xml:space="preserve">27.10采购人或采购代理机构在收到供应商的书面质疑后，采购代理机构将及时配合采购人进行调查核实，在七个工作日内作出答复，并以书面形式通知质疑供应商和其他有关供应商，答复的内容不涉及商业秘密。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27.11采购人或采购代理机构遵循“谁过错谁负担”的原则，有过错的一方承担调查论证费用。违规质疑或多次质疑不成立的，将报财政部门记入供应商诚信档案或列入不良行为记录名单。</w:t>
      </w:r>
      <w:r/>
    </w:p>
    <w:p>
      <w:pPr>
        <w:jc w:val="left"/>
        <w:spacing w:line="360" w:lineRule="auto"/>
        <w:rPr>
          <w:rFonts w:ascii="黑体" w:eastAsia="黑体"/>
          <w:color w:val="auto"/>
          <w:sz w:val="36"/>
          <w:szCs w:val="36"/>
          <w:highlight w:val="none"/>
        </w:rPr>
        <w:outlineLvl w:val="9"/>
      </w:pPr>
      <w:r>
        <w:rPr>
          <w:rFonts w:hint="eastAsia" w:ascii="宋体" w:hAnsi="宋体"/>
          <w:b/>
          <w:color w:val="auto"/>
          <w:szCs w:val="21"/>
          <w:highlight w:val="none"/>
        </w:rPr>
        <w:t xml:space="preserve">28、投诉</w:t>
      </w:r>
      <w:r>
        <w:rPr>
          <w:rFonts w:hint="eastAsia" w:ascii="宋体" w:hAnsi="宋体"/>
          <w:color w:val="auto"/>
          <w:szCs w:val="21"/>
          <w:highlight w:val="none"/>
        </w:rPr>
        <w:br/>
      </w:r>
      <w:r>
        <w:rPr>
          <w:rFonts w:hint="eastAsia" w:ascii="宋体" w:hAnsi="宋体"/>
          <w:color w:val="auto"/>
          <w:szCs w:val="21"/>
          <w:highlight w:val="none"/>
        </w:rPr>
        <w:t xml:space="preserve">28.1质疑供应商对采购人或采购代理机构的答复不满意，或采购人或采购代理机构未在规定的时间内作出答复的，可以在答复期满后十五个工作日内向采购项目同级财政部门投诉。</w:t>
      </w:r>
      <w:r>
        <w:rPr>
          <w:rFonts w:hint="eastAsia" w:ascii="宋体" w:hAnsi="宋体"/>
          <w:color w:val="auto"/>
          <w:szCs w:val="21"/>
          <w:highlight w:val="none"/>
        </w:rPr>
        <w:br/>
      </w:r>
      <w:r>
        <w:rPr>
          <w:rFonts w:hint="eastAsia" w:ascii="宋体" w:hAnsi="宋体"/>
          <w:b/>
          <w:color w:val="auto"/>
          <w:szCs w:val="21"/>
          <w:highlight w:val="none"/>
        </w:rPr>
        <w:t xml:space="preserve">29、诚实信用</w:t>
      </w:r>
      <w:r>
        <w:rPr>
          <w:rFonts w:hint="eastAsia" w:ascii="宋体" w:hAnsi="宋体"/>
          <w:color w:val="auto"/>
          <w:szCs w:val="21"/>
          <w:highlight w:val="none"/>
        </w:rPr>
        <w:br/>
      </w:r>
      <w:r>
        <w:rPr>
          <w:rFonts w:hint="eastAsia" w:ascii="宋体" w:hAnsi="宋体"/>
          <w:color w:val="auto"/>
          <w:szCs w:val="21"/>
          <w:highlight w:val="none"/>
        </w:rPr>
        <w:t xml:space="preserve">29.1供应商之间不得相互串通投标报价，不得妨碍其他供应商的公平竞争，不得损害采购人和其他供应商的合法权益。</w:t>
      </w:r>
      <w:r>
        <w:rPr>
          <w:rFonts w:hint="eastAsia" w:ascii="宋体" w:hAnsi="宋体"/>
          <w:color w:val="auto"/>
          <w:szCs w:val="21"/>
          <w:highlight w:val="none"/>
        </w:rPr>
        <w:br/>
      </w:r>
      <w:r>
        <w:rPr>
          <w:rFonts w:hint="eastAsia" w:ascii="宋体" w:hAnsi="宋体"/>
          <w:color w:val="auto"/>
          <w:szCs w:val="21"/>
          <w:highlight w:val="none"/>
        </w:rPr>
        <w:t xml:space="preserve">29.2供应商不得以向采购代理机构工作人员、评标委员会成员行贿或者采取其他不正当手段谋取中标。经查实供应商有此行为的，政府采购管理部门将供应商列入不良行为记录名单，按照《政府采购法》有关规定处理。</w:t>
      </w:r>
      <w:r>
        <w:rPr>
          <w:rFonts w:hint="eastAsia" w:ascii="宋体" w:hAnsi="宋体"/>
          <w:color w:val="auto"/>
          <w:szCs w:val="21"/>
          <w:highlight w:val="none"/>
        </w:rPr>
        <w:br/>
      </w:r>
      <w:r>
        <w:rPr>
          <w:rFonts w:hint="eastAsia" w:ascii="宋体" w:hAnsi="宋体"/>
          <w:color w:val="auto"/>
          <w:szCs w:val="21"/>
          <w:highlight w:val="none"/>
        </w:rPr>
        <w:t xml:space="preserve">29.3供应商提出书面质疑必须有理、有据，不得虚假质疑和恶意质疑，并对质疑内容的真实性承担责任。一经查实，采购人有权依据政府采购的有关规定，报请政府采购监管部门对该投标人进行相应的行政处罚并予以公示。如果供应商或者其他利害关系人通过捏造事实、伪造证明材料等方式提出质疑，干扰政府采购活动正常进行的，属于严重不良行为，采购人将提请财政部门将其列入不良行为记录名单，并依法予以处罚。</w:t>
      </w:r>
      <w:r>
        <w:rPr>
          <w:rFonts w:hint="eastAsia" w:ascii="宋体" w:hAnsi="宋体"/>
          <w:color w:val="auto"/>
          <w:szCs w:val="21"/>
          <w:highlight w:val="none"/>
        </w:rPr>
        <w:br/>
      </w:r>
      <w:r>
        <w:rPr>
          <w:rFonts w:hint="eastAsia" w:ascii="宋体" w:hAnsi="宋体"/>
          <w:color w:val="auto"/>
          <w:szCs w:val="21"/>
          <w:highlight w:val="none"/>
        </w:rPr>
        <w:t xml:space="preserve">29.4供应商不得虚假承诺，否则，按照提供虚假材料谋取中标处理。</w:t>
      </w:r>
      <w:r>
        <w:rPr>
          <w:rFonts w:hint="eastAsia" w:ascii="宋体" w:hAnsi="宋体"/>
          <w:color w:val="auto"/>
          <w:szCs w:val="21"/>
          <w:highlight w:val="none"/>
        </w:rPr>
        <w:br/>
      </w:r>
      <w:r>
        <w:rPr>
          <w:rFonts w:hint="eastAsia" w:ascii="宋体" w:hAnsi="宋体"/>
          <w:color w:val="auto"/>
          <w:szCs w:val="21"/>
          <w:highlight w:val="none"/>
        </w:rPr>
        <w:t xml:space="preserve">29.5供应商应自觉遵守开标、评标纪律，扰乱开标评标现场秩序的，属于失信行为，根据《江苏省政府采购供应商监督管理暂行办法》，失信行为将被记入供应商诚信档案。</w:t>
      </w:r>
      <w:r/>
    </w:p>
    <w:p>
      <w:pPr>
        <w:jc w:val="left"/>
        <w:widowControl/>
        <w:rPr>
          <w:rFonts w:ascii="黑体" w:eastAsia="黑体"/>
          <w:color w:val="auto"/>
          <w:sz w:val="36"/>
          <w:szCs w:val="36"/>
          <w:highlight w:val="none"/>
        </w:rPr>
      </w:pPr>
      <w:r>
        <w:rPr>
          <w:rFonts w:ascii="黑体" w:eastAsia="黑体"/>
          <w:color w:val="auto"/>
          <w:sz w:val="36"/>
          <w:szCs w:val="36"/>
          <w:highlight w:val="none"/>
        </w:rPr>
        <w:br w:type="page" w:clear="all"/>
      </w:r>
      <w:r/>
    </w:p>
    <w:p>
      <w:pPr>
        <w:numPr>
          <w:ilvl w:val="0"/>
          <w:numId w:val="0"/>
        </w:numPr>
        <w:ind w:left="0" w:firstLine="0"/>
        <w:jc w:val="center"/>
        <w:spacing w:line="360" w:lineRule="auto"/>
        <w:rPr>
          <w:rFonts w:hint="eastAsia" w:ascii="黑体" w:eastAsia="黑体"/>
          <w:color w:val="auto"/>
          <w:sz w:val="36"/>
          <w:szCs w:val="36"/>
          <w:highlight w:val="none"/>
          <w:lang w:val="zh-CN"/>
        </w:rPr>
        <w:outlineLvl w:val="0"/>
      </w:pPr>
      <w:r>
        <w:rPr>
          <w:rFonts w:hint="eastAsia" w:ascii="黑体" w:hAnsi="Times New Roman" w:eastAsia="黑体" w:cs="Times New Roman"/>
          <w:color w:val="auto"/>
          <w:sz w:val="36"/>
          <w:szCs w:val="36"/>
          <w:highlight w:val="none"/>
          <w:lang w:val="zh-CN"/>
        </w:rPr>
        <w:t xml:space="preserve">第三章</w:t>
      </w:r>
      <w:r>
        <w:rPr>
          <w:rFonts w:hint="eastAsia" w:ascii="黑体" w:hAnsi="宋体" w:eastAsia="黑体"/>
          <w:color w:val="auto"/>
          <w:sz w:val="36"/>
          <w:highlight w:val="none"/>
        </w:rPr>
        <w:t xml:space="preserve">评标方法与评</w:t>
      </w:r>
      <w:r>
        <w:rPr>
          <w:rFonts w:hint="eastAsia" w:ascii="黑体" w:hAnsi="宋体" w:eastAsia="黑体"/>
          <w:color w:val="auto"/>
          <w:sz w:val="36"/>
          <w:highlight w:val="none"/>
          <w:lang w:val="en-US" w:eastAsia="zh-CN"/>
        </w:rPr>
        <w:t xml:space="preserve">分</w:t>
      </w:r>
      <w:r>
        <w:rPr>
          <w:rFonts w:hint="eastAsia" w:ascii="黑体" w:hAnsi="宋体" w:eastAsia="黑体"/>
          <w:color w:val="auto"/>
          <w:sz w:val="36"/>
          <w:highlight w:val="none"/>
        </w:rPr>
        <w:t xml:space="preserve">标准</w:t>
      </w:r>
      <w:r/>
    </w:p>
    <w:p>
      <w:pPr>
        <w:numPr>
          <w:ilvl w:val="0"/>
          <w:numId w:val="0"/>
        </w:numPr>
        <w:ind w:left="0" w:firstLine="422"/>
        <w:spacing w:line="360" w:lineRule="auto"/>
        <w:widowControl/>
        <w:rPr>
          <w:rFonts w:hint="eastAsia" w:ascii="宋体" w:hAnsi="宋体" w:cs="宋体"/>
          <w:b/>
          <w:bCs/>
          <w:color w:val="auto"/>
          <w:sz w:val="21"/>
          <w:szCs w:val="21"/>
          <w:highlight w:val="none"/>
          <w:lang w:eastAsia="zh-CN"/>
        </w:rPr>
        <w:outlineLvl w:val="1"/>
      </w:pPr>
      <w:r>
        <w:rPr>
          <w:rFonts w:hint="eastAsia" w:ascii="宋体" w:hAnsi="宋体" w:eastAsia="宋体" w:cs="宋体"/>
          <w:b/>
          <w:bCs/>
          <w:color w:val="auto"/>
          <w:sz w:val="21"/>
          <w:szCs w:val="21"/>
          <w:highlight w:val="none"/>
          <w:lang w:eastAsia="zh-CN"/>
        </w:rPr>
        <w:t xml:space="preserve">一、</w:t>
      </w:r>
      <w:r>
        <w:rPr>
          <w:rFonts w:hint="eastAsia" w:ascii="宋体" w:hAnsi="宋体" w:cs="宋体"/>
          <w:b/>
          <w:bCs/>
          <w:color w:val="auto"/>
          <w:sz w:val="21"/>
          <w:szCs w:val="21"/>
          <w:highlight w:val="none"/>
          <w:lang w:val="en-US" w:eastAsia="zh-CN"/>
        </w:rPr>
        <w:t xml:space="preserve">评标</w:t>
      </w:r>
      <w:r>
        <w:rPr>
          <w:rFonts w:hint="eastAsia" w:ascii="宋体" w:hAnsi="宋体" w:eastAsia="宋体" w:cs="宋体"/>
          <w:b/>
          <w:bCs/>
          <w:color w:val="auto"/>
          <w:sz w:val="21"/>
          <w:szCs w:val="21"/>
          <w:highlight w:val="none"/>
          <w:lang w:eastAsia="zh-CN"/>
        </w:rPr>
        <w:t xml:space="preserve">方法</w:t>
      </w:r>
      <w:r/>
    </w:p>
    <w:p>
      <w:pPr>
        <w:numPr>
          <w:ilvl w:val="0"/>
          <w:numId w:val="0"/>
        </w:numPr>
        <w:ind w:firstLine="420"/>
        <w:spacing w:line="360" w:lineRule="auto"/>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highlight w:val="none"/>
        </w:rPr>
        <w:t xml:space="preserve">本项目采用综合评分法</w:t>
      </w:r>
      <w:r>
        <w:rPr>
          <w:rFonts w:hint="eastAsia" w:ascii="宋体" w:hAnsi="宋体" w:eastAsia="宋体" w:cs="宋体"/>
          <w:b w:val="0"/>
          <w:bCs w:val="0"/>
          <w:color w:val="auto"/>
          <w:sz w:val="21"/>
          <w:szCs w:val="21"/>
          <w:highlight w:val="none"/>
        </w:rPr>
        <w:t xml:space="preserve">，总分为100分</w:t>
      </w:r>
      <w:r>
        <w:rPr>
          <w:rFonts w:hint="eastAsia" w:ascii="宋体" w:hAnsi="宋体" w:cs="宋体"/>
          <w:b w:val="0"/>
          <w:bCs w:val="0"/>
          <w:color w:val="auto"/>
          <w:sz w:val="21"/>
          <w:szCs w:val="21"/>
          <w:highlight w:val="none"/>
          <w:lang w:eastAsia="zh-CN"/>
        </w:rPr>
        <w:t xml:space="preserve">，</w:t>
      </w:r>
      <w:r>
        <w:rPr>
          <w:rFonts w:hint="eastAsia" w:ascii="宋体" w:hAnsi="宋体" w:cs="宋体"/>
          <w:color w:val="auto"/>
          <w:highlight w:val="none"/>
        </w:rPr>
        <w:t xml:space="preserve">评标结果按评审后得分由高到低顺序排列。得分相同的，按投标报价由低到高顺序排列。得分且投标报价相同的，</w:t>
      </w:r>
      <w:r>
        <w:rPr>
          <w:rFonts w:hint="eastAsia" w:ascii="宋体" w:hAnsi="宋体" w:cs="宋体"/>
          <w:color w:val="auto"/>
          <w:highlight w:val="none"/>
          <w:lang w:val="en-US" w:eastAsia="zh-CN"/>
        </w:rPr>
        <w:t xml:space="preserve">按照技术部分得分由高到低排序，得分、投标报价及技术部分得分都相同的，</w:t>
      </w:r>
      <w:r>
        <w:rPr>
          <w:rFonts w:hint="eastAsia" w:ascii="宋体" w:hAnsi="宋体" w:cs="宋体"/>
          <w:color w:val="auto"/>
          <w:highlight w:val="none"/>
        </w:rPr>
        <w:t xml:space="preserve">由评标委员会组织通过抽签的方式确定中标候选</w:t>
      </w:r>
      <w:r>
        <w:rPr>
          <w:rFonts w:hint="eastAsia" w:ascii="宋体" w:hAnsi="宋体" w:eastAsia="宋体" w:cs="宋体"/>
          <w:color w:val="auto"/>
          <w:highlight w:val="none"/>
        </w:rPr>
        <w:t xml:space="preserve">人的排序。投标文件满足招标文件全部实质性</w:t>
      </w:r>
      <w:r>
        <w:rPr>
          <w:rFonts w:hint="eastAsia" w:ascii="宋体" w:hAnsi="宋体" w:eastAsia="宋体" w:cs="宋体"/>
          <w:b w:val="0"/>
          <w:bCs w:val="0"/>
          <w:color w:val="auto"/>
          <w:sz w:val="21"/>
          <w:szCs w:val="21"/>
          <w:highlight w:val="none"/>
        </w:rPr>
        <w:t xml:space="preserve">要求，且按照评审因素的量化指标评审得分最高的</w:t>
      </w:r>
      <w:r>
        <w:rPr>
          <w:rFonts w:hint="eastAsia" w:ascii="宋体" w:hAnsi="宋体" w:cs="宋体"/>
          <w:b w:val="0"/>
          <w:bCs w:val="0"/>
          <w:color w:val="auto"/>
          <w:sz w:val="21"/>
          <w:szCs w:val="21"/>
          <w:highlight w:val="none"/>
          <w:lang w:eastAsia="zh-CN"/>
        </w:rPr>
        <w:t xml:space="preserve">投标人</w:t>
      </w:r>
      <w:r>
        <w:rPr>
          <w:rFonts w:hint="eastAsia" w:ascii="宋体" w:hAnsi="宋体" w:eastAsia="宋体" w:cs="宋体"/>
          <w:b w:val="0"/>
          <w:bCs w:val="0"/>
          <w:color w:val="auto"/>
          <w:sz w:val="21"/>
          <w:szCs w:val="21"/>
          <w:highlight w:val="none"/>
        </w:rPr>
        <w:t xml:space="preserve">为排名第一的中标候选人，本项目选取</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名中标候选人</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评标委员会直接确定排名第一的中标候选人为中标供应商。</w:t>
      </w:r>
      <w:r/>
    </w:p>
    <w:p>
      <w:pPr>
        <w:ind w:firstLine="42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排名第一的中标候选人放弃中标，或因不可抗力提出不能履行合同，或者被查实存在影响中标结果的违法行为等情形，不符合中标条件的，</w:t>
      </w:r>
      <w:r>
        <w:rPr>
          <w:rFonts w:hint="eastAsia" w:ascii="宋体" w:hAnsi="宋体" w:eastAsia="宋体" w:cs="宋体"/>
          <w:b w:val="0"/>
          <w:bCs w:val="0"/>
          <w:color w:val="auto"/>
          <w:sz w:val="21"/>
          <w:szCs w:val="21"/>
          <w:highlight w:val="none"/>
          <w:lang w:val="en-US" w:eastAsia="zh-CN"/>
        </w:rPr>
        <w:t xml:space="preserve">采购人可以按照评审报告推荐的中标候选人名单排序，确定下一候选人为中标供应商，也可以重新开展政府采购活动。</w:t>
      </w:r>
      <w:r/>
    </w:p>
    <w:p>
      <w:pPr>
        <w:ind w:firstLine="422"/>
        <w:spacing w:line="360" w:lineRule="auto"/>
        <w:widowControl/>
        <w:rPr>
          <w:rFonts w:hint="eastAsia" w:ascii="宋体" w:hAnsi="宋体" w:cs="宋体"/>
          <w:b/>
          <w:bCs/>
          <w:color w:val="auto"/>
          <w:highlight w:val="none"/>
          <w:lang w:val="en-US" w:eastAsia="zh-CN"/>
        </w:rPr>
        <w:outlineLvl w:val="1"/>
      </w:pPr>
      <w:r>
        <w:rPr>
          <w:rFonts w:hint="eastAsia" w:ascii="宋体" w:hAnsi="宋体" w:cs="宋体"/>
          <w:b/>
          <w:bCs/>
          <w:color w:val="auto"/>
          <w:highlight w:val="none"/>
          <w:lang w:val="en-US" w:eastAsia="zh-CN"/>
        </w:rPr>
        <w:t xml:space="preserve">二、政府采购政策功能落实</w:t>
      </w:r>
      <w:r/>
    </w:p>
    <w:p>
      <w:pPr>
        <w:ind w:firstLine="420"/>
        <w:spacing w:line="360" w:lineRule="auto"/>
        <w:widowControl/>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1.对小微企业提供的货物或服务给予投标价的10%价格扣除，用扣除后的价格参与评审。</w:t>
      </w:r>
      <w:r/>
    </w:p>
    <w:p>
      <w:pPr>
        <w:ind w:firstLine="420"/>
        <w:spacing w:line="360" w:lineRule="auto"/>
        <w:widowControl/>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小企业（含小型、微型企业）应当同时符合以下条件：</w:t>
      </w:r>
      <w:r/>
    </w:p>
    <w:p>
      <w:pPr>
        <w:ind w:firstLine="420"/>
        <w:spacing w:line="360" w:lineRule="auto"/>
        <w:widowControl/>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（1）供应商（制造商）为小企业，且符合中小企业划分标准；</w:t>
      </w:r>
      <w:r/>
    </w:p>
    <w:p>
      <w:pPr>
        <w:ind w:firstLine="420"/>
        <w:spacing w:line="360" w:lineRule="auto"/>
        <w:widowControl/>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（2）提供本企业制造的货物、承担的工程或者服务，或者提供其他小企业制造的货物。如果提供的货物为大中型企业注册商标的货物，视同大中型企业。</w:t>
      </w:r>
      <w:r/>
    </w:p>
    <w:p>
      <w:pPr>
        <w:ind w:firstLine="420"/>
        <w:spacing w:line="360" w:lineRule="auto"/>
        <w:widowControl/>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2.监狱和戒毒企业的价格扣除</w:t>
      </w:r>
      <w:r/>
    </w:p>
    <w:p>
      <w:pPr>
        <w:ind w:firstLine="420"/>
        <w:spacing w:line="360" w:lineRule="auto"/>
        <w:widowControl/>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（1）本项目对监狱和戒毒企业（简称监狱企业），给予10%的价格扣除，用扣除后的价格参与评审。</w:t>
      </w:r>
      <w:r/>
    </w:p>
    <w:p>
      <w:pPr>
        <w:ind w:firstLine="420"/>
        <w:spacing w:line="360" w:lineRule="auto"/>
        <w:widowControl/>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（2）监狱企业需提供由省级以上监狱管理局、戒毒管理局（含新疆生产建设兵团）出具的属于监狱企业的证明文件。</w:t>
      </w:r>
      <w:r/>
    </w:p>
    <w:p>
      <w:pPr>
        <w:ind w:firstLine="420"/>
        <w:spacing w:line="360" w:lineRule="auto"/>
        <w:widowControl/>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（3）监狱企业标准请参照《关于政府采购支持监狱企业发展有关问题的通知》（财库[2014]68号）。</w:t>
      </w:r>
      <w:r/>
    </w:p>
    <w:p>
      <w:pPr>
        <w:ind w:firstLine="420"/>
        <w:spacing w:line="360" w:lineRule="auto"/>
        <w:widowControl/>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3.残疾人福利性单位的价格扣除</w:t>
      </w:r>
      <w:r/>
    </w:p>
    <w:p>
      <w:pPr>
        <w:numPr>
          <w:ilvl w:val="0"/>
          <w:numId w:val="0"/>
        </w:numPr>
        <w:ind w:firstLine="42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highlight w:val="none"/>
          <w:lang w:val="en-US" w:eastAsia="zh-CN"/>
        </w:rPr>
        <w:t xml:space="preserve">（1）本项目对残疾人福利性单位，给予10%的价格扣除，用扣除后的</w:t>
      </w:r>
      <w:r>
        <w:rPr>
          <w:rFonts w:hint="eastAsia" w:ascii="宋体" w:hAnsi="宋体" w:eastAsia="宋体" w:cs="宋体"/>
          <w:b w:val="0"/>
          <w:bCs w:val="0"/>
          <w:color w:val="auto"/>
          <w:sz w:val="21"/>
          <w:szCs w:val="21"/>
          <w:highlight w:val="none"/>
          <w:lang w:val="en-US" w:eastAsia="zh-CN"/>
        </w:rPr>
        <w:t xml:space="preserve">价格参与评审。</w:t>
      </w:r>
      <w:r/>
    </w:p>
    <w:p>
      <w:pPr>
        <w:numPr>
          <w:ilvl w:val="0"/>
          <w:numId w:val="0"/>
        </w:numPr>
        <w:ind w:firstLine="42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（2）残疾人福利单位需按照采购文件的要求提供《残疾人福利性单位声明函》。</w:t>
      </w:r>
      <w:r/>
    </w:p>
    <w:p>
      <w:pPr>
        <w:numPr>
          <w:ilvl w:val="0"/>
          <w:numId w:val="0"/>
        </w:numPr>
        <w:ind w:firstLine="42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（3）残疾人福利单位标准请参照《关于促进残疾人就业政府采购政策的通知》（财库〔2017〕141号）。</w:t>
      </w:r>
      <w:r/>
    </w:p>
    <w:p>
      <w:pPr>
        <w:numPr>
          <w:ilvl w:val="0"/>
          <w:numId w:val="0"/>
        </w:numPr>
        <w:ind w:firstLine="42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备注：</w:t>
      </w:r>
      <w:r>
        <w:rPr>
          <w:rFonts w:hint="eastAsia" w:ascii="宋体" w:hAnsi="宋体" w:eastAsia="宋体" w:cs="宋体"/>
          <w:b/>
          <w:bCs/>
          <w:color w:val="auto"/>
          <w:sz w:val="21"/>
          <w:szCs w:val="21"/>
          <w:highlight w:val="none"/>
          <w:lang w:val="en-US" w:eastAsia="zh-CN"/>
        </w:rPr>
        <w:t xml:space="preserve">监狱企业、残疾人福利单位属于小型、微型企业的，不重复享受政策。上述价格扣除政策仅适用“不专门面向中小微企业采购项目”。</w:t>
      </w:r>
      <w:r/>
    </w:p>
    <w:p>
      <w:pPr>
        <w:ind w:firstLine="420"/>
        <w:spacing w:line="360" w:lineRule="auto"/>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4.对国家认定的节能产品和环保产品分别给予投标价的5%、5%价格扣除，用扣除后的价格参与评审（特别说明：节能、环保产品必须纳入“中国政府采购网http://www.ccgp.gov.cn”等官方网站“节能、环保产品查询系统”，且以提供的证书复印件加盖公章为准）。</w:t>
      </w:r>
      <w:r/>
    </w:p>
    <w:p>
      <w:pPr>
        <w:ind w:firstLine="420"/>
        <w:spacing w:line="360" w:lineRule="auto"/>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5.采购本国产品的支持政策</w:t>
      </w:r>
      <w:r/>
    </w:p>
    <w:p>
      <w:pPr>
        <w:ind w:firstLine="420"/>
        <w:spacing w:line="360" w:lineRule="auto"/>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（3）供应商需按照招标文件的要求提供《关于符合本国产品标准的声明函》（以下简称《声明函》），如不提供将不享受本国产品价格评审优惠。</w:t>
      </w:r>
      <w:r/>
    </w:p>
    <w:p>
      <w:pPr>
        <w:ind w:firstLine="420"/>
        <w:spacing w:line="360" w:lineRule="auto"/>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widowControl/>
        <w:rPr>
          <w:rFonts w:hint="eastAsia" w:ascii="宋体" w:hAnsi="宋体" w:eastAsia="宋体" w:cs="宋体"/>
          <w:b/>
          <w:bCs/>
          <w:color w:val="auto"/>
          <w:highlight w:val="none"/>
          <w:lang w:val="en-US" w:eastAsia="zh-CN"/>
        </w:rPr>
        <w:outlineLvl w:val="1"/>
      </w:pPr>
      <w:r>
        <w:rPr>
          <w:rFonts w:hint="eastAsia" w:ascii="宋体" w:hAnsi="宋体" w:eastAsia="宋体" w:cs="宋体"/>
          <w:b/>
          <w:bCs/>
          <w:color w:val="auto"/>
          <w:highlight w:val="none"/>
          <w:lang w:val="en-US" w:eastAsia="zh-CN"/>
        </w:rPr>
        <w:t xml:space="preserve">三、核心产品评审说明</w:t>
      </w:r>
      <w:r/>
    </w:p>
    <w:p>
      <w:pPr>
        <w:numPr>
          <w:ilvl w:val="0"/>
          <w:numId w:val="0"/>
        </w:numPr>
        <w:ind w:firstLine="42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根据</w:t>
      </w:r>
      <w:r>
        <w:rPr>
          <w:rFonts w:hint="eastAsia" w:ascii="宋体" w:hAnsi="宋体" w:eastAsia="宋体" w:cs="宋体"/>
          <w:b w:val="0"/>
          <w:bCs w:val="0"/>
          <w:color w:val="auto"/>
          <w:sz w:val="21"/>
          <w:szCs w:val="21"/>
          <w:highlight w:val="none"/>
          <w:lang w:val="en-US" w:eastAsia="zh-CN"/>
        </w:rPr>
        <w:t xml:space="preserve">《政府采购货物和服务招标投标管理办法》第三十一条</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使用综合评分法的采购项目，提供相同品牌产品且通过资格审查、符合性审查的不同</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lang w:val="en-US" w:eastAsia="zh-CN"/>
        </w:rPr>
        <w:t xml:space="preserve">参加同一合同项下投标的，按一家</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lang w:val="en-US" w:eastAsia="zh-CN"/>
        </w:rPr>
        <w:t xml:space="preserve">计算，评审后得分最高的同品牌</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lang w:val="en-US" w:eastAsia="zh-CN"/>
        </w:rPr>
        <w:t xml:space="preserve">获得中标人推荐资格；评审得分相同的，由采购人或者采购人委托评标委员会按照招标文件规定的方式确定一个</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lang w:val="en-US" w:eastAsia="zh-CN"/>
        </w:rPr>
        <w:t xml:space="preserve">获得中标人推荐资格，招标文件未规定的采取随机抽取方式确定，其他同品牌</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lang w:val="en-US" w:eastAsia="zh-CN"/>
        </w:rPr>
        <w:t xml:space="preserve">不作为中标候选人。</w:t>
      </w:r>
      <w:r/>
    </w:p>
    <w:p>
      <w:pPr>
        <w:pStyle w:val="684"/>
        <w:numPr>
          <w:ilvl w:val="0"/>
          <w:numId w:val="0"/>
        </w:numPr>
        <w:ind w:left="0" w:firstLine="422"/>
        <w:keepLines w:val="0"/>
        <w:keepNext w:val="0"/>
        <w:pageBreakBefore w:val="0"/>
        <w:spacing w:line="360" w:lineRule="auto"/>
        <w:rPr>
          <w:rFonts w:hint="eastAsia" w:ascii="宋体" w:hAnsi="宋体" w:eastAsia="宋体" w:cs="宋体"/>
          <w:b/>
          <w:bCs/>
          <w:color w:val="auto"/>
          <w:sz w:val="21"/>
          <w:szCs w:val="24"/>
          <w:highlight w:val="none"/>
          <w:lang w:val="en-US" w:eastAsia="zh-CN"/>
        </w:rPr>
        <w:outlineLvl w:val="1"/>
      </w:pPr>
      <w:r>
        <w:rPr>
          <w:rFonts w:hint="eastAsia" w:ascii="宋体" w:hAnsi="宋体" w:eastAsia="宋体" w:cs="宋体"/>
          <w:b/>
          <w:bCs/>
          <w:color w:val="auto"/>
          <w:sz w:val="21"/>
          <w:szCs w:val="24"/>
          <w:highlight w:val="none"/>
          <w:lang w:val="en-US" w:eastAsia="zh-CN"/>
        </w:rPr>
        <w:t xml:space="preserve">四、异常低价投标审查程序启动</w:t>
      </w:r>
      <w:r/>
    </w:p>
    <w:p>
      <w:pPr>
        <w:numPr>
          <w:ilvl w:val="0"/>
          <w:numId w:val="0"/>
        </w:numPr>
        <w:ind w:firstLine="420"/>
        <w:spacing w:line="360" w:lineRule="auto"/>
        <w:widowControl/>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评审过程中出现下列情形之一的，磋商小组启动异常低价响应审查程序：</w:t>
      </w:r>
      <w:r/>
    </w:p>
    <w:p>
      <w:pPr>
        <w:numPr>
          <w:ilvl w:val="0"/>
          <w:numId w:val="0"/>
        </w:numPr>
        <w:ind w:firstLine="420"/>
        <w:spacing w:line="360" w:lineRule="auto"/>
        <w:widowControl/>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①投标（响应）报价低于全部通过符合性审查供应商投标（响应）报价平均值50%的，即投标（响应）报价〈全部通过符合性审查供应商投标（响应）报价平均值×50%；</w:t>
      </w:r>
      <w:r/>
    </w:p>
    <w:p>
      <w:pPr>
        <w:numPr>
          <w:ilvl w:val="0"/>
          <w:numId w:val="0"/>
        </w:numPr>
        <w:ind w:firstLine="420"/>
        <w:spacing w:line="360" w:lineRule="auto"/>
        <w:widowControl/>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②投标（响应）报价低于通过符合性审查的次低报价供应商投标（响应）报价50%的，即投标（响应）报价〈通过符合性审查的次低报价供应商投标（响应）报价×50%；</w:t>
      </w:r>
      <w:r/>
    </w:p>
    <w:p>
      <w:pPr>
        <w:numPr>
          <w:ilvl w:val="0"/>
          <w:numId w:val="0"/>
        </w:numPr>
        <w:ind w:firstLine="420"/>
        <w:spacing w:line="360" w:lineRule="auto"/>
        <w:widowControl/>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③投标（响应）报价低于采购项目最高限价45%的，即投标（响应）报价〈采购项目最高限价×45%；</w:t>
      </w:r>
      <w:r/>
    </w:p>
    <w:p>
      <w:pPr>
        <w:numPr>
          <w:ilvl w:val="0"/>
          <w:numId w:val="0"/>
        </w:numPr>
        <w:ind w:firstLine="420"/>
        <w:spacing w:line="360" w:lineRule="auto"/>
        <w:widowControl/>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④评审委员会基于专业判断，认为供应商报价过低，有可能影响产品质量或者不能诚信履约的其他情形。</w:t>
      </w:r>
      <w:r/>
    </w:p>
    <w:p>
      <w:pPr>
        <w:numPr>
          <w:ilvl w:val="0"/>
          <w:numId w:val="0"/>
        </w:numPr>
        <w:ind w:firstLine="420"/>
        <w:spacing w:line="360" w:lineRule="auto"/>
        <w:widowControl/>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启动异常低价响应审查后，属于前述第①项至第④项情形的，磋商小组要求相关供应商在评标现场合理的时间内，提供项目具体成本测算等与报价合理性相关的书面说明及相关证明材料，包括但不限于原材料成本、人工成本、制造费用等，对响应价格作出解释。其中，属于第③项情形的，供应商可随投标（响应）文件一并提交相关书面说明及必要的证明材料。响应供应商不提供书面说明、证明材料，或者提供的书面说明、证明材料不能证明其报价合理性的，磋商小组应当将其作为无效响应处理。</w:t>
      </w:r>
      <w:r/>
    </w:p>
    <w:tbl>
      <w:tblPr>
        <w:tblStyle w:val="679"/>
        <w:tblpPr w:horzAnchor="page" w:tblpX="1415" w:vertAnchor="text" w:tblpY="146" w:leftFromText="180" w:topFromText="0" w:rightFromText="180" w:bottomFromText="0"/>
        <w:tblW w:w="930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91"/>
        <w:gridCol w:w="891"/>
        <w:gridCol w:w="6758"/>
        <w:gridCol w:w="765"/>
      </w:tblGrid>
      <w:tr>
        <w:trPr/>
        <w:tc>
          <w:tcPr>
            <w:tcW w:w="891"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序号</w:t>
            </w:r>
            <w:r/>
          </w:p>
        </w:tc>
        <w:tc>
          <w:tcPr>
            <w:tcW w:w="891"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评分项</w:t>
            </w:r>
            <w:r/>
          </w:p>
        </w:tc>
        <w:tc>
          <w:tcPr>
            <w:tcW w:w="6758" w:type="dxa"/>
            <w:vAlign w:val="center"/>
            <w:textDirection w:val="lrTb"/>
            <w:noWrap w:val="false"/>
          </w:tcPr>
          <w:p>
            <w:pPr>
              <w:jc w:val="center"/>
              <w:spacing w:line="360" w:lineRule="auto"/>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评分细则</w:t>
            </w:r>
            <w:r/>
          </w:p>
        </w:tc>
        <w:tc>
          <w:tcPr>
            <w:tcW w:w="765"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分值</w:t>
            </w:r>
            <w:r/>
          </w:p>
        </w:tc>
      </w:tr>
      <w:tr>
        <w:trPr/>
        <w:tc>
          <w:tcPr>
            <w:tcW w:w="891" w:type="dxa"/>
            <w:vAlign w:val="center"/>
            <w:textDirection w:val="lrTb"/>
            <w:noWrap w:val="false"/>
          </w:tcPr>
          <w:p>
            <w:pPr>
              <w:jc w:val="center"/>
              <w:spacing w:line="360" w:lineRule="auto"/>
              <w:widowControl/>
              <w:rPr>
                <w:rFonts w:hint="default"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一</w:t>
            </w:r>
            <w:r/>
          </w:p>
        </w:tc>
        <w:tc>
          <w:tcPr>
            <w:gridSpan w:val="3"/>
            <w:tcW w:w="8414" w:type="dxa"/>
            <w:vAlign w:val="center"/>
            <w:textDirection w:val="lrTb"/>
            <w:noWrap w:val="false"/>
          </w:tcPr>
          <w:p>
            <w:pPr>
              <w:jc w:val="center"/>
              <w:widowControl/>
              <w:rPr>
                <w:rFonts w:hint="default"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价格部分</w:t>
            </w:r>
            <w:r/>
          </w:p>
        </w:tc>
      </w:tr>
      <w:tr>
        <w:trPr/>
        <w:tc>
          <w:tcPr>
            <w:tcW w:w="891"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1</w:t>
            </w:r>
            <w:r/>
          </w:p>
        </w:tc>
        <w:tc>
          <w:tcPr>
            <w:tcW w:w="891" w:type="dxa"/>
            <w:vAlign w:val="center"/>
            <w:textDirection w:val="lrTb"/>
            <w:noWrap w:val="false"/>
          </w:tcPr>
          <w:p>
            <w:pPr>
              <w:jc w:val="center"/>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jc w:val="center"/>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价格</w:t>
            </w:r>
            <w:r/>
          </w:p>
        </w:tc>
        <w:tc>
          <w:tcPr>
            <w:tcW w:w="6758" w:type="dxa"/>
            <w:vAlign w:val="center"/>
            <w:textDirection w:val="lrTb"/>
            <w:noWrap w:val="false"/>
          </w:tcPr>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满足采购文件要求且投标价格最低的投标报价为评标基准价，其价格分为满分。其他投标方的价格分统一按照下列公式计算：</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投标报价得分=(评标基准价／投标报价)×50，结果保留两位小数。</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报价超过采购预算的，其投标作无效投标处理。（评标委员会认为供应商的报价明显低于其他通过审查供应商的报价，有可能影响服务质量或者不能诚信履约的，应当要求其在开标现场合理的时间内提供书面说明，必要时提交相关证明材料；供应商不能证明其报价合理性的，评标委员会应当将其作为无效投标处理。）</w:t>
            </w:r>
            <w:r/>
          </w:p>
        </w:tc>
        <w:tc>
          <w:tcPr>
            <w:tcW w:w="765" w:type="dxa"/>
            <w:vAlign w:val="center"/>
            <w:textDirection w:val="lrTb"/>
            <w:noWrap w:val="false"/>
          </w:tcPr>
          <w:p>
            <w:pPr>
              <w:jc w:val="center"/>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50分</w:t>
            </w:r>
            <w:r/>
          </w:p>
        </w:tc>
      </w:tr>
      <w:tr>
        <w:trPr/>
        <w:tc>
          <w:tcPr>
            <w:tcW w:w="891" w:type="dxa"/>
            <w:vAlign w:val="center"/>
            <w:textDirection w:val="lrTb"/>
            <w:noWrap w:val="false"/>
          </w:tcPr>
          <w:p>
            <w:pPr>
              <w:jc w:val="center"/>
              <w:spacing w:line="360" w:lineRule="auto"/>
              <w:widowControl/>
              <w:rPr>
                <w:rFonts w:hint="default"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二</w:t>
            </w:r>
            <w:r/>
          </w:p>
        </w:tc>
        <w:tc>
          <w:tcPr>
            <w:gridSpan w:val="3"/>
            <w:tcW w:w="8414" w:type="dxa"/>
            <w:vAlign w:val="center"/>
            <w:textDirection w:val="lrTb"/>
            <w:noWrap w:val="false"/>
          </w:tcPr>
          <w:p>
            <w:pPr>
              <w:jc w:val="center"/>
              <w:widowControl/>
              <w:rPr>
                <w:rFonts w:hint="default"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商务部分</w:t>
            </w:r>
            <w:r/>
          </w:p>
        </w:tc>
      </w:tr>
      <w:tr>
        <w:trPr>
          <w:trHeight w:val="871"/>
        </w:trPr>
        <w:tc>
          <w:tcPr>
            <w:tcBorders>
              <w:bottom w:val="single" w:color="auto" w:sz="4" w:space="0"/>
            </w:tcBorders>
            <w:tcW w:w="891"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2</w:t>
            </w:r>
            <w:r/>
          </w:p>
        </w:tc>
        <w:tc>
          <w:tcPr>
            <w:tcBorders>
              <w:bottom w:val="single" w:color="auto" w:sz="4" w:space="0"/>
            </w:tcBorders>
            <w:tcW w:w="891" w:type="dxa"/>
            <w:vAlign w:val="center"/>
            <w:textDirection w:val="lrTb"/>
            <w:noWrap w:val="false"/>
          </w:tcPr>
          <w:p>
            <w:pPr>
              <w:jc w:val="center"/>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产品技术参数</w:t>
            </w:r>
            <w:r/>
          </w:p>
        </w:tc>
        <w:tc>
          <w:tcPr>
            <w:tcBorders>
              <w:bottom w:val="single" w:color="auto" w:sz="4" w:space="0"/>
            </w:tcBorders>
            <w:tcW w:w="6758" w:type="dxa"/>
            <w:vAlign w:val="center"/>
            <w:textDirection w:val="lrTb"/>
            <w:noWrap w:val="false"/>
          </w:tcPr>
          <w:p>
            <w:pPr>
              <w:jc w:val="both"/>
              <w:spacing w:line="360" w:lineRule="auto"/>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产品技术参数全部满足招标要求的得满分，打★指标为必须满足项，如有负偏离将作为无效投标，打▲指标为重要指标，有1项负偏离扣1分，其余指标有1项负偏离扣0.5分，扣完为止。</w:t>
            </w:r>
            <w:r/>
          </w:p>
          <w:p>
            <w:pPr>
              <w:jc w:val="both"/>
              <w:spacing w:line="360" w:lineRule="auto"/>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对标注“★”和“▲”项的技术要求必须在投标文件中提供第三方机构出具的检验报告或原厂的产品说明书或产品彩页或技术白皮书或可查询的产品制造商官网截图(附官网链接)等佐证材料(如为复印件需加盖投标人公章),未提供佐证资料的，评标时不予认可。</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(2)其他非重要参数则以技术规格偏离表中应答为准。</w:t>
            </w:r>
            <w:r/>
          </w:p>
        </w:tc>
        <w:tc>
          <w:tcPr>
            <w:tcBorders>
              <w:bottom w:val="single" w:color="auto" w:sz="4" w:space="0"/>
            </w:tcBorders>
            <w:tcW w:w="765" w:type="dxa"/>
            <w:vAlign w:val="center"/>
            <w:textDirection w:val="lrTb"/>
            <w:noWrap w:val="false"/>
          </w:tcPr>
          <w:p>
            <w:pPr>
              <w:jc w:val="center"/>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10分</w:t>
            </w:r>
            <w:r/>
          </w:p>
        </w:tc>
      </w:tr>
      <w:tr>
        <w:trPr>
          <w:trHeight w:val="1172"/>
        </w:trPr>
        <w:tc>
          <w:tcPr>
            <w:tcBorders>
              <w:top w:val="single" w:color="auto" w:sz="4" w:space="0"/>
            </w:tcBorders>
            <w:tcW w:w="891"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3</w:t>
            </w:r>
            <w:r/>
          </w:p>
        </w:tc>
        <w:tc>
          <w:tcPr>
            <w:tcBorders>
              <w:top w:val="single" w:color="auto" w:sz="4" w:space="0"/>
            </w:tcBorders>
            <w:tcW w:w="891" w:type="dxa"/>
            <w:vAlign w:val="center"/>
            <w:textDirection w:val="lrTb"/>
            <w:noWrap w:val="false"/>
          </w:tcPr>
          <w:p>
            <w:pPr>
              <w:jc w:val="center"/>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企业业绩</w:t>
            </w:r>
            <w:r/>
          </w:p>
        </w:tc>
        <w:tc>
          <w:tcPr>
            <w:tcBorders>
              <w:top w:val="single" w:color="auto" w:sz="4" w:space="0"/>
            </w:tcBorders>
            <w:tcW w:w="6758" w:type="dxa"/>
            <w:vAlign w:val="center"/>
            <w:textDirection w:val="lrTb"/>
            <w:noWrap w:val="false"/>
          </w:tcPr>
          <w:p>
            <w:pPr>
              <w:jc w:val="both"/>
              <w:spacing w:line="360" w:lineRule="auto"/>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提供自2023年1月至今的类似项目业绩，每提供一份业绩的得3分，最高得9分。（提供</w:t>
            </w:r>
            <w:r>
              <w:rPr>
                <w:rFonts w:hint="eastAsia" w:ascii="宋体" w:hAnsi="宋体" w:cs="宋体"/>
                <w:color w:val="000000"/>
                <w:szCs w:val="21"/>
                <w:highlight w:val="none"/>
                <w:lang w:eastAsia="zh-CN"/>
              </w:rPr>
              <w:t xml:space="preserve">中标通知书、</w:t>
            </w:r>
            <w:r>
              <w:rPr>
                <w:rFonts w:hint="eastAsia" w:ascii="宋体" w:hAnsi="宋体" w:cs="宋体"/>
                <w:color w:val="000000"/>
                <w:szCs w:val="21"/>
                <w:highlight w:val="none"/>
              </w:rPr>
              <w:t xml:space="preserve">合同及验收报告（或验收单）复印件并加盖投标供应商公章，以上内容缺一不可，时间以合同签订时间为准，分包合同业绩不得分）。</w:t>
            </w:r>
            <w:r/>
          </w:p>
        </w:tc>
        <w:tc>
          <w:tcPr>
            <w:tcBorders>
              <w:top w:val="single" w:color="auto" w:sz="4" w:space="0"/>
            </w:tcBorders>
            <w:tcW w:w="765" w:type="dxa"/>
            <w:vAlign w:val="center"/>
            <w:textDirection w:val="lrTb"/>
            <w:noWrap w:val="false"/>
          </w:tcPr>
          <w:p>
            <w:pPr>
              <w:jc w:val="center"/>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9分</w:t>
            </w:r>
            <w:r/>
          </w:p>
        </w:tc>
      </w:tr>
      <w:tr>
        <w:trPr/>
        <w:tc>
          <w:tcPr>
            <w:tcW w:w="891"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4</w:t>
            </w:r>
            <w:r/>
          </w:p>
        </w:tc>
        <w:tc>
          <w:tcPr>
            <w:tcW w:w="891" w:type="dxa"/>
            <w:vAlign w:val="center"/>
            <w:textDirection w:val="lrTb"/>
            <w:noWrap w:val="false"/>
          </w:tcPr>
          <w:p>
            <w:pPr>
              <w:jc w:val="center"/>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技术负责人</w:t>
            </w:r>
            <w:r/>
          </w:p>
        </w:tc>
        <w:tc>
          <w:tcPr>
            <w:tcW w:w="6758" w:type="dxa"/>
            <w:vAlign w:val="center"/>
            <w:textDirection w:val="lrTb"/>
            <w:noWrap w:val="false"/>
          </w:tcPr>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拟投入本项目的技术负责人具有中级及以上职称（专业：机电工程或电气专业）的，得3分。</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（提供参加本次采购活动近六个月（202</w:t>
            </w:r>
            <w:r>
              <w:rPr>
                <w:rFonts w:hint="eastAsia" w:ascii="宋体" w:hAnsi="宋体" w:cs="宋体"/>
                <w:color w:val="000000"/>
                <w:szCs w:val="21"/>
                <w:highlight w:val="none"/>
              </w:rPr>
              <w:t xml:space="preserve">6</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月-2026年</w:t>
            </w:r>
            <w:r>
              <w:rPr>
                <w:rFonts w:hint="eastAsia" w:ascii="宋体" w:hAnsi="宋体" w:cs="宋体"/>
                <w:color w:val="000000"/>
                <w:szCs w:val="21"/>
                <w:highlight w:val="none"/>
              </w:rPr>
              <w:t xml:space="preserve">6</w:t>
            </w:r>
            <w:r>
              <w:rPr>
                <w:rFonts w:hint="eastAsia" w:ascii="宋体" w:hAnsi="宋体" w:cs="宋体"/>
                <w:color w:val="000000"/>
                <w:szCs w:val="21"/>
                <w:highlight w:val="none"/>
              </w:rPr>
              <w:t xml:space="preserve">月）投标申请人为其缴纳的社保缴费证明【加盖社保公章或具有可验证的二维码（或验证码）】。</w:t>
            </w:r>
            <w:r/>
          </w:p>
        </w:tc>
        <w:tc>
          <w:tcPr>
            <w:tcW w:w="765" w:type="dxa"/>
            <w:vAlign w:val="center"/>
            <w:textDirection w:val="lrTb"/>
            <w:noWrap w:val="false"/>
          </w:tcPr>
          <w:p>
            <w:pPr>
              <w:jc w:val="center"/>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3分</w:t>
            </w:r>
            <w:r/>
          </w:p>
        </w:tc>
      </w:tr>
      <w:tr>
        <w:trPr/>
        <w:tc>
          <w:tcPr>
            <w:tcW w:w="891"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5</w:t>
            </w:r>
            <w:r/>
          </w:p>
        </w:tc>
        <w:tc>
          <w:tcPr>
            <w:tcW w:w="891" w:type="dxa"/>
            <w:vAlign w:val="center"/>
            <w:textDirection w:val="lrTb"/>
            <w:noWrap w:val="false"/>
          </w:tcPr>
          <w:p>
            <w:pPr>
              <w:jc w:val="center"/>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质保期</w:t>
            </w:r>
            <w:r/>
          </w:p>
        </w:tc>
        <w:tc>
          <w:tcPr>
            <w:tcW w:w="6758" w:type="dxa"/>
            <w:vAlign w:val="center"/>
            <w:textDirection w:val="lrTb"/>
            <w:noWrap w:val="false"/>
          </w:tcPr>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变压器、高压柜、低压柜免费质保期为2年，投标供应商承诺在此基础上，每增加1年质保加1分，最多加3分。（提供承诺书原件并加盖投标供应商公章，承诺书须体现以上内容）</w:t>
            </w:r>
            <w:r/>
          </w:p>
        </w:tc>
        <w:tc>
          <w:tcPr>
            <w:tcW w:w="765" w:type="dxa"/>
            <w:vAlign w:val="center"/>
            <w:textDirection w:val="lrTb"/>
            <w:noWrap w:val="false"/>
          </w:tcPr>
          <w:p>
            <w:pPr>
              <w:jc w:val="center"/>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3分</w:t>
            </w:r>
            <w:r/>
          </w:p>
        </w:tc>
      </w:tr>
      <w:tr>
        <w:trPr/>
        <w:tc>
          <w:tcPr>
            <w:tcW w:w="891" w:type="dxa"/>
            <w:vAlign w:val="center"/>
            <w:textDirection w:val="lrTb"/>
            <w:noWrap w:val="false"/>
          </w:tcPr>
          <w:p>
            <w:pPr>
              <w:jc w:val="center"/>
              <w:spacing w:line="360" w:lineRule="auto"/>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三</w:t>
            </w:r>
            <w:r/>
          </w:p>
        </w:tc>
        <w:tc>
          <w:tcPr>
            <w:gridSpan w:val="3"/>
            <w:tcW w:w="8414" w:type="dxa"/>
            <w:vAlign w:val="center"/>
            <w:textDirection w:val="lrTb"/>
            <w:noWrap w:val="false"/>
          </w:tcPr>
          <w:p>
            <w:pPr>
              <w:jc w:val="center"/>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技术部分</w:t>
            </w:r>
            <w:r/>
          </w:p>
        </w:tc>
      </w:tr>
      <w:tr>
        <w:trPr/>
        <w:tc>
          <w:tcPr>
            <w:tcW w:w="891"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6</w:t>
            </w:r>
            <w:r/>
          </w:p>
        </w:tc>
        <w:tc>
          <w:tcPr>
            <w:tcW w:w="891" w:type="dxa"/>
            <w:vAlign w:val="center"/>
            <w:textDirection w:val="lrTb"/>
            <w:noWrap w:val="false"/>
          </w:tcPr>
          <w:p>
            <w:pPr>
              <w:jc w:val="center"/>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组织实施方案</w:t>
            </w:r>
            <w:r/>
          </w:p>
        </w:tc>
        <w:tc>
          <w:tcPr>
            <w:tcW w:w="6758" w:type="dxa"/>
            <w:vAlign w:val="center"/>
            <w:textDirection w:val="lrTb"/>
            <w:noWrap w:val="false"/>
          </w:tcPr>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评委根据投标供应商提供的组织实施方案(包含时间进度安排、技术控制措施、档案管理措施等施工方案和验收方案内容)进行综合比较评分：</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1.货物配送、安装调试方案完整、进度合理、保障措施切实可行、有详细预案和措施的得5分；</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2.货物配送、安装调试方案较完整、进度较合理、保障措施较可行、工有较详细预案和措施的得3分；</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3.货物配送、安装调试方案具备基本内容、进度基本合理、保障措施基本可行的得1分；</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4.货物配送、安装调试方案缺失严重、进度不合理、保障措施不可行或未提供方案的不得分。</w:t>
            </w:r>
            <w:r/>
          </w:p>
        </w:tc>
        <w:tc>
          <w:tcPr>
            <w:tcW w:w="765" w:type="dxa"/>
            <w:vAlign w:val="center"/>
            <w:textDirection w:val="lrTb"/>
            <w:noWrap w:val="false"/>
          </w:tcPr>
          <w:p>
            <w:pPr>
              <w:jc w:val="center"/>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5分</w:t>
            </w:r>
            <w:r/>
          </w:p>
        </w:tc>
      </w:tr>
      <w:tr>
        <w:trPr/>
        <w:tc>
          <w:tcPr>
            <w:tcW w:w="891"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7</w:t>
            </w:r>
            <w:r/>
          </w:p>
        </w:tc>
        <w:tc>
          <w:tcPr>
            <w:tcW w:w="891" w:type="dxa"/>
            <w:vAlign w:val="center"/>
            <w:textDirection w:val="lrTb"/>
            <w:noWrap w:val="false"/>
          </w:tcPr>
          <w:p>
            <w:pPr>
              <w:jc w:val="center"/>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质量保证措施</w:t>
            </w:r>
            <w:r/>
          </w:p>
        </w:tc>
        <w:tc>
          <w:tcPr>
            <w:tcW w:w="6758" w:type="dxa"/>
            <w:vAlign w:val="center"/>
            <w:textDirection w:val="lrTb"/>
            <w:noWrap w:val="false"/>
          </w:tcPr>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评委根据投标供应商提供的质量控制措施、质量保证体系及安装过程质量控制的科学性、合理性、全面性、可行性、有效性等进行评分；</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1.方案内容科学、合理、全面、可行、有效且可靠的得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2.方案内容普通、施工质量保证措施有但缺少针对性的得3分；</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3.方案简陋、施工质量保证措施欠全面、内容简单的得1分；</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4.未提供的不得分。</w:t>
            </w:r>
            <w:r/>
          </w:p>
        </w:tc>
        <w:tc>
          <w:tcPr>
            <w:tcW w:w="765" w:type="dxa"/>
            <w:vAlign w:val="center"/>
            <w:textDirection w:val="lrTb"/>
            <w:noWrap w:val="false"/>
          </w:tcPr>
          <w:p>
            <w:pPr>
              <w:jc w:val="center"/>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5分</w:t>
            </w:r>
            <w:r/>
          </w:p>
        </w:tc>
      </w:tr>
      <w:tr>
        <w:trPr>
          <w:trHeight w:val="639"/>
        </w:trPr>
        <w:tc>
          <w:tcPr>
            <w:tcW w:w="891"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8</w:t>
            </w:r>
            <w:r/>
          </w:p>
        </w:tc>
        <w:tc>
          <w:tcPr>
            <w:tcW w:w="891" w:type="dxa"/>
            <w:vAlign w:val="center"/>
            <w:textDirection w:val="lrTb"/>
            <w:noWrap w:val="false"/>
          </w:tcPr>
          <w:p>
            <w:pPr>
              <w:jc w:val="center"/>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拟投入的劳动力计划</w:t>
            </w:r>
            <w:r/>
          </w:p>
        </w:tc>
        <w:tc>
          <w:tcPr>
            <w:tcW w:w="6758" w:type="dxa"/>
            <w:vAlign w:val="center"/>
            <w:textDirection w:val="lrTb"/>
            <w:noWrap w:val="false"/>
          </w:tcPr>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评委根据投标供应商提供的人员配备、项目实施培训、操作人员安全措施等方面进行综合评分（包括但不限于：劳动力班组类别、数量和衔接性，各专业劳动力的分配，综合考虑项目实施地点难易程度如何协调稳步推进项目安装施工进度等内容，投标供应商须提供人员配备一览表，格式自拟）：</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1.劳动力投入保障措施充分有效，劳动力班组和各专业安排合理科学，人员安装作业采取的安全措施规范、全面及操作规程科学的，得5分；</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2.劳动力投入保障措施较为有效，人员安装作业有一定的安全措施，基本满足采购需求的，得3分；</w:t>
            </w:r>
            <w:r/>
          </w:p>
          <w:p>
            <w:pPr>
              <w:jc w:val="both"/>
              <w:spacing w:line="360" w:lineRule="auto"/>
              <w:widowControl/>
              <w:tabs>
                <w:tab w:val="left" w:pos="6300" w:leader="none"/>
              </w:tabs>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3.劳动力班组和各专业安排欠缺，但基本能实现工作目标的得1分；</w:t>
            </w:r>
            <w:r/>
          </w:p>
          <w:p>
            <w:pPr>
              <w:jc w:val="both"/>
              <w:spacing w:line="360" w:lineRule="auto"/>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4.未提供人员配备一览表或无此项内容的不得分。</w:t>
            </w:r>
            <w:r/>
          </w:p>
        </w:tc>
        <w:tc>
          <w:tcPr>
            <w:tcW w:w="765" w:type="dxa"/>
            <w:vAlign w:val="center"/>
            <w:textDirection w:val="lrTb"/>
            <w:noWrap w:val="false"/>
          </w:tcPr>
          <w:p>
            <w:pPr>
              <w:jc w:val="center"/>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5分</w:t>
            </w:r>
            <w:r/>
          </w:p>
        </w:tc>
      </w:tr>
      <w:tr>
        <w:trPr/>
        <w:tc>
          <w:tcPr>
            <w:tcW w:w="891"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9</w:t>
            </w:r>
            <w:r/>
          </w:p>
        </w:tc>
        <w:tc>
          <w:tcPr>
            <w:tcW w:w="891" w:type="dxa"/>
            <w:vAlign w:val="center"/>
            <w:textDirection w:val="lrTb"/>
            <w:noWrap w:val="false"/>
          </w:tcPr>
          <w:p>
            <w:pPr>
              <w:jc w:val="center"/>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安全文明措施</w:t>
            </w:r>
            <w:r/>
          </w:p>
        </w:tc>
        <w:tc>
          <w:tcPr>
            <w:tcW w:w="6758" w:type="dxa"/>
            <w:vAlign w:val="center"/>
            <w:textDirection w:val="lrTb"/>
            <w:noWrap w:val="false"/>
          </w:tcPr>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评委根据供应商提供的安全文明保护措施（包含但不限于：现场安全标识、警告标志、防护设施，人员操作规程，相关安全责任承诺书，环境保护等内容）进行评审：</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1.各项内容充分体现且能最大限度保障项目有效实施、可操作性强的得5分；</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2.各项保障措施内容基本完整，阐述较为详细，有一定操作性的得3分；</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3.保障措施内容简单，阐述不细致的，得1分；</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4.未提供的不得分。</w:t>
            </w:r>
            <w:r/>
          </w:p>
        </w:tc>
        <w:tc>
          <w:tcPr>
            <w:tcW w:w="765" w:type="dxa"/>
            <w:vAlign w:val="center"/>
            <w:textDirection w:val="lrTb"/>
            <w:noWrap w:val="false"/>
          </w:tcPr>
          <w:p>
            <w:pPr>
              <w:jc w:val="center"/>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5分</w:t>
            </w:r>
            <w:r/>
          </w:p>
        </w:tc>
      </w:tr>
      <w:tr>
        <w:trPr/>
        <w:tc>
          <w:tcPr>
            <w:tcW w:w="891" w:type="dxa"/>
            <w:vAlign w:val="center"/>
            <w:textDirection w:val="lrTb"/>
            <w:noWrap w:val="false"/>
          </w:tcPr>
          <w:p>
            <w:pPr>
              <w:jc w:val="center"/>
              <w:widowControl/>
              <w:rPr>
                <w:rFonts w:hint="default"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10</w:t>
            </w:r>
            <w:r/>
          </w:p>
        </w:tc>
        <w:tc>
          <w:tcPr>
            <w:tcW w:w="891" w:type="dxa"/>
            <w:vAlign w:val="center"/>
            <w:textDirection w:val="lrTb"/>
            <w:noWrap w:val="false"/>
          </w:tcPr>
          <w:p>
            <w:pPr>
              <w:jc w:val="center"/>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售后服务方案</w:t>
            </w:r>
            <w:r/>
          </w:p>
        </w:tc>
        <w:tc>
          <w:tcPr>
            <w:tcW w:w="6758" w:type="dxa"/>
            <w:vAlign w:val="center"/>
            <w:textDirection w:val="lrTb"/>
            <w:noWrap w:val="false"/>
          </w:tcPr>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评委根据投标供应商提供的售后服务方案(包括但不限于服务体系、服务内容、故障解决方案、专业技术人员保障及服务电话等)进行综合比较评分：</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1.售后服务方案完整，服务承诺细致，服务响应速度快，能够及时与其他单位综合协调，各项内容充分体现且能最大限度保障项目有效实施、可操作性强的得5分；</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2.售后服务方案较完整，服务承诺较细致，服务响应较快，综合协调及技术培训方案较完整的得3分；</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3.售后服务方案简单，服务响应速度一般，综合协调及技术培训方案完整不细致的得1分；</w:t>
            </w:r>
            <w:r/>
          </w:p>
          <w:p>
            <w:pPr>
              <w:jc w:val="both"/>
              <w:spacing w:line="360" w:lineRule="auto"/>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4.售后服务方案不科学、故障解决方案不可行或未提供方案的不得分。</w:t>
            </w:r>
            <w:r/>
          </w:p>
        </w:tc>
        <w:tc>
          <w:tcPr>
            <w:tcW w:w="765" w:type="dxa"/>
            <w:vAlign w:val="center"/>
            <w:textDirection w:val="lrTb"/>
            <w:noWrap w:val="false"/>
          </w:tcPr>
          <w:p>
            <w:pPr>
              <w:jc w:val="center"/>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5分</w:t>
            </w:r>
            <w:r/>
          </w:p>
        </w:tc>
      </w:tr>
      <w:tr>
        <w:trPr/>
        <w:tc>
          <w:tcPr>
            <w:tcW w:w="891" w:type="dxa"/>
            <w:vAlign w:val="center"/>
            <w:textDirection w:val="lrTb"/>
            <w:noWrap w:val="false"/>
          </w:tcPr>
          <w:p>
            <w:pPr>
              <w:jc w:val="center"/>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四</w:t>
            </w:r>
            <w:r/>
          </w:p>
        </w:tc>
        <w:tc>
          <w:tcPr>
            <w:gridSpan w:val="3"/>
            <w:tcW w:w="8414" w:type="dxa"/>
            <w:vAlign w:val="center"/>
            <w:textDirection w:val="lrTb"/>
            <w:noWrap w:val="false"/>
          </w:tcPr>
          <w:p>
            <w:pPr>
              <w:jc w:val="center"/>
              <w:widowControl/>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合计：100分</w:t>
            </w:r>
            <w:r/>
          </w:p>
        </w:tc>
      </w:tr>
    </w:tbl>
    <w:p>
      <w:pPr>
        <w:rPr>
          <w:highlight w:val="none"/>
        </w:rPr>
        <w:sectPr>
          <w:headerReference w:type="default" r:id="rId9"/>
          <w:footerReference w:type="default" r:id="rId10"/>
          <w:footnotePr/>
          <w:endnotePr/>
          <w:type w:val="nextPage"/>
          <w:pgSz w:w="11906" w:h="16838" w:orient="portrait"/>
          <w:pgMar w:top="1400" w:right="1247" w:bottom="1123" w:left="1247" w:header="851" w:footer="992" w:gutter="0"/>
          <w:cols w:num="1" w:sep="0" w:space="720" w:equalWidth="1"/>
          <w:docGrid w:linePitch="360"/>
        </w:sectPr>
        <w:outlineLvl w:val="9"/>
      </w:pPr>
      <w:r>
        <w:rPr>
          <w:highlight w:val="none"/>
        </w:rPr>
      </w:r>
      <w:r/>
    </w:p>
    <w:p>
      <w:pPr>
        <w:jc w:val="center"/>
        <w:spacing w:line="360" w:lineRule="auto"/>
        <w:rPr>
          <w:rFonts w:hint="eastAsia" w:ascii="黑体" w:eastAsia="黑体"/>
          <w:color w:val="auto"/>
          <w:sz w:val="36"/>
          <w:szCs w:val="36"/>
          <w:highlight w:val="none"/>
          <w:lang w:eastAsia="zh-CN"/>
        </w:rPr>
        <w:outlineLvl w:val="0"/>
      </w:pPr>
      <w:r>
        <w:rPr>
          <w:rFonts w:ascii="黑体" w:eastAsia="黑体"/>
          <w:color w:val="auto"/>
          <w:sz w:val="36"/>
          <w:szCs w:val="36"/>
          <w:highlight w:val="none"/>
        </w:rPr>
        <w:t xml:space="preserve">第四章</w:t>
      </w:r>
      <w:r>
        <w:rPr>
          <w:rFonts w:hint="eastAsia" w:ascii="黑体" w:eastAsia="黑体"/>
          <w:color w:val="auto"/>
          <w:sz w:val="36"/>
          <w:szCs w:val="36"/>
          <w:highlight w:val="none"/>
          <w:lang w:val="en-US" w:eastAsia="zh-CN"/>
        </w:rPr>
        <w:t xml:space="preserve">采购需求</w:t>
      </w:r>
      <w:r/>
    </w:p>
    <w:p>
      <w:pPr>
        <w:spacing w:line="360" w:lineRule="auto"/>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一、项目概况</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电房接入材料、设备采购及安装项目随设备提供的备品配件、专用工具、各种安装辅材等，运抵甲方工地现场，并负责吊装卸货、二次搬运、安装、接线、调试，直至验收合格，包括但不限于本项目货物安装、以及有关的土建设施、外线电缆铺设等。具备交付甲方送电使用条件。具体内容包括按招标图纸要求和设计院出具的设计图纸安装，所有设备安装、调试必须通过供电部门验收合格，确保能满足正式通电要求，办理供电部门相关手续及其他一切协调事宜。</w:t>
      </w:r>
      <w:r/>
    </w:p>
    <w:p>
      <w:pPr>
        <w:spacing w:line="360" w:lineRule="auto"/>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二、招标货物清单</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（一）采购清单</w:t>
      </w:r>
      <w:r/>
    </w:p>
    <w:tbl>
      <w:tblPr>
        <w:tblStyle w:val="679"/>
        <w:tblW w:w="9397" w:type="dxa"/>
        <w:tblInd w:w="127" w:type="dxa"/>
        <w:tblLayout w:type="fixed"/>
        <w:tblCellMar>
          <w:left w:w="108" w:type="dxa"/>
          <w:top w:w="0" w:type="dxa"/>
          <w:right w:w="108" w:type="dxa"/>
          <w:bottom w:w="0" w:type="dxa"/>
        </w:tblCellMar>
        <w:tblLook w:val="04A0" w:firstRow="1" w:lastRow="0" w:firstColumn="1" w:lastColumn="0" w:noHBand="0" w:noVBand="1"/>
      </w:tblPr>
      <w:tblGrid>
        <w:gridCol w:w="645"/>
        <w:gridCol w:w="2340"/>
        <w:gridCol w:w="5085"/>
        <w:gridCol w:w="675"/>
        <w:gridCol w:w="652"/>
      </w:tblGrid>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tcPr>
          <w:p>
            <w:pPr>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数量</w:t>
            </w:r>
            <w:r/>
          </w:p>
        </w:tc>
      </w:tr>
      <w:tr>
        <w:trPr>
          <w:trHeight w:val="209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10kV预制舱式配电房</w:t>
            </w:r>
            <w:r>
              <w:rPr>
                <w:rFonts w:hint="eastAsia" w:ascii="宋体" w:hAnsi="宋体" w:cs="宋体"/>
                <w:b/>
                <w:bCs/>
                <w:color w:val="000000"/>
                <w:sz w:val="20"/>
                <w:szCs w:val="20"/>
                <w:highlight w:val="none"/>
                <w:lang w:val="en-US" w:eastAsia="zh-CN"/>
              </w:rPr>
              <w:t xml:space="preserve">（此项为核心产品，</w:t>
            </w:r>
            <w:r>
              <w:rPr>
                <w:rFonts w:hint="eastAsia" w:ascii="宋体" w:hAnsi="宋体" w:cs="宋体"/>
                <w:b/>
                <w:bCs/>
                <w:color w:val="000000"/>
                <w:sz w:val="20"/>
                <w:szCs w:val="20"/>
                <w:highlight w:val="none"/>
                <w:lang w:val="en-US"/>
              </w:rPr>
              <w:t xml:space="preserve">核心产品评审说明：多家投标人提供的核心产品品牌相同的，按一家投标人计算，评审后得分最高的同品牌投标人与其他品牌的投标人进行比较与评价。</w:t>
            </w:r>
            <w:r>
              <w:rPr>
                <w:rFonts w:hint="eastAsia" w:ascii="宋体" w:hAnsi="宋体" w:cs="宋体"/>
                <w:b/>
                <w:bCs/>
                <w:color w:val="000000"/>
                <w:sz w:val="20"/>
                <w:szCs w:val="20"/>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1.名称：预制舱式配电房</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lang w:val="en-US" w:eastAsia="zh-CN"/>
              </w:rPr>
              <w:t xml:space="preserve">干式变压器2台，</w:t>
            </w:r>
            <w:r>
              <w:rPr>
                <w:rFonts w:hint="eastAsia" w:ascii="宋体" w:hAnsi="宋体" w:cs="宋体"/>
                <w:color w:val="000000"/>
                <w:sz w:val="20"/>
                <w:szCs w:val="20"/>
                <w:highlight w:val="none"/>
              </w:rPr>
              <w:t xml:space="preserve">型号</w:t>
            </w:r>
            <w:r>
              <w:rPr>
                <w:rFonts w:hint="eastAsia" w:ascii="宋体" w:hAnsi="宋体" w:cs="宋体"/>
                <w:color w:val="000000"/>
                <w:sz w:val="20"/>
                <w:szCs w:val="20"/>
                <w:highlight w:val="none"/>
                <w:lang w:eastAsia="zh-CN"/>
              </w:rPr>
              <w:t xml:space="preserve">：</w:t>
            </w:r>
            <w:r>
              <w:rPr>
                <w:rFonts w:hint="eastAsia" w:ascii="宋体" w:hAnsi="宋体" w:cs="宋体"/>
                <w:color w:val="000000"/>
                <w:sz w:val="20"/>
                <w:szCs w:val="20"/>
                <w:highlight w:val="none"/>
              </w:rPr>
              <w:t xml:space="preserve">SCB14-630kVA</w:t>
            </w:r>
            <w:r>
              <w:rPr>
                <w:rFonts w:hint="eastAsia" w:ascii="宋体" w:hAnsi="宋体" w:cs="宋体"/>
                <w:color w:val="000000"/>
                <w:sz w:val="20"/>
                <w:szCs w:val="20"/>
                <w:highlight w:val="none"/>
                <w:lang w:eastAsia="zh-CN"/>
              </w:rPr>
              <w:t xml:space="preserve">；</w:t>
            </w:r>
            <w:r>
              <w:rPr>
                <w:rFonts w:hint="eastAsia" w:ascii="宋体" w:hAnsi="宋体" w:cs="宋体"/>
                <w:color w:val="000000"/>
                <w:sz w:val="20"/>
                <w:szCs w:val="20"/>
                <w:highlight w:val="none"/>
              </w:rPr>
              <w:t xml:space="preserve">电压：10kV</w:t>
            </w:r>
            <w:r>
              <w:rPr>
                <w:rFonts w:hint="eastAsia" w:ascii="宋体" w:hAnsi="宋体" w:cs="宋体"/>
                <w:color w:val="000000"/>
                <w:sz w:val="20"/>
                <w:szCs w:val="20"/>
                <w:highlight w:val="none"/>
              </w:rPr>
              <w:br/>
            </w:r>
            <w:r>
              <w:rPr>
                <w:rFonts w:hint="eastAsia" w:ascii="宋体" w:hAnsi="宋体" w:cs="宋体"/>
                <w:color w:val="000000"/>
                <w:sz w:val="20"/>
                <w:szCs w:val="20"/>
                <w:highlight w:val="none"/>
                <w:lang w:val="en-US" w:eastAsia="zh-CN"/>
              </w:rPr>
              <w:t xml:space="preserve">3</w:t>
            </w:r>
            <w:r>
              <w:rPr>
                <w:rFonts w:hint="eastAsia" w:ascii="宋体" w:hAnsi="宋体" w:cs="宋体"/>
                <w:color w:val="000000"/>
                <w:sz w:val="20"/>
                <w:szCs w:val="20"/>
                <w:highlight w:val="none"/>
              </w:rPr>
              <w:t xml:space="preserve">.含高压设备：高压进线柜、高压计量柜、高压出线柜</w:t>
            </w:r>
            <w:r>
              <w:rPr>
                <w:rFonts w:hint="eastAsia" w:ascii="宋体" w:hAnsi="宋体" w:cs="宋体"/>
                <w:color w:val="000000"/>
                <w:sz w:val="20"/>
                <w:szCs w:val="20"/>
                <w:highlight w:val="none"/>
              </w:rPr>
              <w:br/>
            </w:r>
            <w:r>
              <w:rPr>
                <w:rFonts w:hint="eastAsia" w:ascii="宋体" w:hAnsi="宋体" w:cs="宋体"/>
                <w:color w:val="000000"/>
                <w:sz w:val="20"/>
                <w:szCs w:val="20"/>
                <w:highlight w:val="none"/>
                <w:lang w:val="en-US" w:eastAsia="zh-CN"/>
              </w:rPr>
              <w:t xml:space="preserve">4</w:t>
            </w:r>
            <w:r>
              <w:rPr>
                <w:rFonts w:hint="eastAsia" w:ascii="宋体" w:hAnsi="宋体" w:cs="宋体"/>
                <w:color w:val="000000"/>
                <w:sz w:val="20"/>
                <w:szCs w:val="20"/>
                <w:highlight w:val="none"/>
              </w:rPr>
              <w:t xml:space="preserve">.含低压设备：低压进线柜、低压电容器柜、低压馈线柜、低压分段柜</w:t>
            </w:r>
            <w:r>
              <w:rPr>
                <w:rFonts w:hint="eastAsia" w:ascii="宋体" w:hAnsi="宋体" w:cs="宋体"/>
                <w:color w:val="000000"/>
                <w:sz w:val="20"/>
                <w:szCs w:val="20"/>
                <w:highlight w:val="none"/>
              </w:rPr>
              <w:br/>
            </w:r>
            <w:r>
              <w:rPr>
                <w:rFonts w:hint="eastAsia" w:ascii="宋体" w:hAnsi="宋体" w:cs="宋体"/>
                <w:color w:val="000000"/>
                <w:sz w:val="20"/>
                <w:szCs w:val="20"/>
                <w:highlight w:val="none"/>
                <w:lang w:val="en-US" w:eastAsia="zh-CN"/>
              </w:rPr>
              <w:t xml:space="preserve">5</w:t>
            </w:r>
            <w:r>
              <w:rPr>
                <w:rFonts w:hint="eastAsia" w:ascii="宋体" w:hAnsi="宋体" w:cs="宋体"/>
                <w:color w:val="000000"/>
                <w:sz w:val="20"/>
                <w:szCs w:val="20"/>
                <w:highlight w:val="none"/>
              </w:rPr>
              <w:t xml:space="preserve">.含其他设备：直流屏、负控柜</w:t>
            </w:r>
            <w:r>
              <w:rPr>
                <w:rFonts w:hint="eastAsia" w:ascii="宋体" w:hAnsi="宋体" w:cs="宋体"/>
                <w:color w:val="000000"/>
                <w:sz w:val="20"/>
                <w:szCs w:val="20"/>
                <w:highlight w:val="none"/>
                <w:lang w:eastAsia="zh-CN"/>
              </w:rPr>
              <w:t xml:space="preserve">，</w:t>
            </w:r>
            <w:r>
              <w:rPr>
                <w:rFonts w:hint="eastAsia" w:ascii="宋体" w:hAnsi="宋体" w:cs="宋体"/>
                <w:color w:val="000000"/>
                <w:sz w:val="20"/>
                <w:szCs w:val="20"/>
                <w:highlight w:val="none"/>
                <w:lang w:val="en-US" w:eastAsia="zh-CN"/>
              </w:rPr>
              <w:t xml:space="preserve">3P空调2台</w:t>
            </w:r>
            <w:r>
              <w:rPr>
                <w:rFonts w:hint="eastAsia" w:ascii="宋体" w:hAnsi="宋体" w:cs="宋体"/>
                <w:color w:val="000000"/>
                <w:sz w:val="20"/>
                <w:szCs w:val="20"/>
                <w:highlight w:val="none"/>
              </w:rPr>
              <w:br/>
            </w:r>
            <w:r>
              <w:rPr>
                <w:rFonts w:hint="eastAsia" w:ascii="宋体" w:hAnsi="宋体" w:cs="宋体"/>
                <w:color w:val="000000"/>
                <w:sz w:val="20"/>
                <w:szCs w:val="20"/>
                <w:highlight w:val="none"/>
                <w:lang w:val="en-US" w:eastAsia="zh-CN"/>
              </w:rPr>
              <w:t xml:space="preserve">6</w:t>
            </w:r>
            <w:r>
              <w:rPr>
                <w:rFonts w:hint="eastAsia" w:ascii="宋体" w:hAnsi="宋体" w:cs="宋体"/>
                <w:color w:val="000000"/>
                <w:sz w:val="20"/>
                <w:szCs w:val="20"/>
                <w:highlight w:val="none"/>
              </w:rPr>
              <w:t xml:space="preserve">.其他未述事项及配置详见图纸</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1.名称:基础槽钢制作安装</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2.材质:热镀锌槽钢</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3.规格:10#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4.备注:含刷漆、补漆</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30</w:t>
            </w:r>
            <w:r/>
          </w:p>
        </w:tc>
      </w:tr>
      <w:tr>
        <w:trPr>
          <w:trHeight w:val="633"/>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扁钢</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1.名称:接地母线</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2.材质:热镀锌扁钢</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3.规格:-50*6</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150</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1.名称:接地极</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2.材质:热镀锌角钢</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3.规格:∠50×5×2500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10</w:t>
            </w:r>
            <w:r/>
          </w:p>
        </w:tc>
      </w:tr>
      <w:tr>
        <w:trPr>
          <w:trHeight w:val="586"/>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防火堵料</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1.名称:防火堵料</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2.类型:有机</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100</w:t>
            </w:r>
            <w:r/>
          </w:p>
        </w:tc>
      </w:tr>
      <w:tr>
        <w:trPr>
          <w:trHeight w:val="683"/>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标志</w:t>
            </w:r>
            <w:r>
              <w:rPr>
                <w:rFonts w:hint="eastAsia" w:ascii="宋体" w:hAnsi="宋体" w:cs="宋体"/>
                <w:color w:val="000000"/>
                <w:sz w:val="20"/>
                <w:szCs w:val="20"/>
                <w:highlight w:val="none"/>
                <w:lang w:val="en-US" w:eastAsia="zh-CN"/>
              </w:rPr>
              <w:t xml:space="preserve">铭</w:t>
            </w:r>
            <w:r>
              <w:rPr>
                <w:rFonts w:hint="eastAsia" w:ascii="宋体" w:hAnsi="宋体" w:cs="宋体"/>
                <w:color w:val="000000"/>
                <w:sz w:val="20"/>
                <w:szCs w:val="20"/>
                <w:highlight w:val="none"/>
              </w:rPr>
              <w:t xml:space="preserve">牌</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1.名称:标识</w:t>
            </w:r>
            <w:r>
              <w:rPr>
                <w:rFonts w:hint="eastAsia" w:ascii="宋体" w:hAnsi="宋体" w:cs="宋体"/>
                <w:color w:val="000000"/>
                <w:sz w:val="20"/>
                <w:szCs w:val="20"/>
                <w:highlight w:val="none"/>
                <w:lang w:val="en-US" w:eastAsia="zh-CN"/>
              </w:rPr>
              <w:t xml:space="preserve">铭</w:t>
            </w:r>
            <w:r>
              <w:rPr>
                <w:rFonts w:hint="eastAsia" w:ascii="宋体" w:hAnsi="宋体" w:cs="宋体"/>
                <w:color w:val="000000"/>
                <w:sz w:val="20"/>
                <w:szCs w:val="20"/>
                <w:highlight w:val="none"/>
              </w:rPr>
              <w:t xml:space="preserve">牌</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2.材质:PVC</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3.规格:300×200</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3131"/>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智能运维平台</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1.名称：电力运维平台</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2.系统结构：现场仪表计量、智能辅助、数据采集、平台系统监视、系统软件调试</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3.配套设备：电脑主机、显示器、打印机、网络交换机、光口交换机、智能门锁、网络摄像头、ABOX数据融合终端、6点无线测温，自动灭火装置、操作台、桌椅等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4.其他要求：屏蔽双绞线、五类八芯网线、四芯单模光纤及配套管盒提供及安装，接入微机保护、门禁系统、高清摄像头、变压器温控、多功能仪表、无功补偿控制器、无线测温、灭火装置等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5.满足设计对电力监控管理验收的标准要求</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6.其他未述事项需满足设计图纸要求及相应规范、验收标准</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757"/>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1.名称:电力电缆</w:t>
            </w:r>
            <w:r>
              <w:rPr>
                <w:rFonts w:hint="eastAsia" w:ascii="宋体" w:hAnsi="宋体" w:cs="宋体"/>
                <w:color w:val="000000"/>
                <w:sz w:val="18"/>
                <w:szCs w:val="18"/>
                <w:highlight w:val="none"/>
              </w:rPr>
              <w:br/>
            </w:r>
            <w:r>
              <w:rPr>
                <w:rFonts w:hint="eastAsia" w:ascii="宋体" w:hAnsi="宋体" w:cs="宋体"/>
                <w:color w:val="000000"/>
                <w:sz w:val="18"/>
                <w:szCs w:val="18"/>
                <w:highlight w:val="none"/>
              </w:rPr>
              <w:t xml:space="preserve">2.型号、规格:ZC-YJV22-8.7/15-3*95</w:t>
            </w:r>
            <w:r>
              <w:rPr>
                <w:rFonts w:hint="eastAsia" w:ascii="宋体" w:hAnsi="宋体" w:cs="宋体"/>
                <w:color w:val="000000"/>
                <w:sz w:val="18"/>
                <w:szCs w:val="18"/>
                <w:highlight w:val="none"/>
              </w:rPr>
              <w:br/>
            </w:r>
            <w:r>
              <w:rPr>
                <w:rFonts w:hint="eastAsia" w:ascii="宋体" w:hAnsi="宋体" w:cs="宋体"/>
                <w:color w:val="000000"/>
                <w:sz w:val="18"/>
                <w:szCs w:val="18"/>
                <w:highlight w:val="none"/>
              </w:rPr>
              <w:t xml:space="preserve">3.材质:铜芯</w:t>
            </w:r>
            <w:r>
              <w:rPr>
                <w:rFonts w:hint="eastAsia" w:ascii="宋体" w:hAnsi="宋体" w:cs="宋体"/>
                <w:color w:val="000000"/>
                <w:sz w:val="18"/>
                <w:szCs w:val="18"/>
                <w:highlight w:val="none"/>
              </w:rPr>
              <w:br/>
            </w:r>
            <w:r>
              <w:rPr>
                <w:rFonts w:hint="eastAsia" w:ascii="宋体" w:hAnsi="宋体" w:cs="宋体"/>
                <w:color w:val="000000"/>
                <w:sz w:val="18"/>
                <w:szCs w:val="18"/>
                <w:highlight w:val="none"/>
              </w:rPr>
              <w:t xml:space="preserve">4.电压等级（kV）:10kV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60</w:t>
            </w:r>
            <w:r/>
          </w:p>
        </w:tc>
      </w:tr>
      <w:tr>
        <w:trPr>
          <w:trHeight w:val="633"/>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电缆终端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1.名称:电缆附件</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2.型号、规格:电缆终端头3×95户内冷缩</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3.电压等级（kV）:10kV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633"/>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电缆终端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1.名称:电缆附件</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2.型号、规格:电缆终端头3×95户外冷缩</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3.电压等级（kV）:10kV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633"/>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1.名称:低压电力电缆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2.型号、规格:ZC-YJV22-0.6/1.0-4*150+1*95</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10</w:t>
            </w:r>
            <w:r/>
          </w:p>
        </w:tc>
      </w:tr>
      <w:tr>
        <w:trPr>
          <w:trHeight w:val="841"/>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电缆终端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1.名称:电缆附件</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2.型号、规格:4*150+1*95，户内终端，热缩，铜</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907"/>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中间接头</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1.名称:电缆中间接头</w:t>
            </w:r>
            <w:r>
              <w:rPr>
                <w:rFonts w:hint="eastAsia" w:ascii="宋体" w:hAnsi="宋体" w:cs="宋体"/>
                <w:color w:val="000000"/>
                <w:sz w:val="18"/>
                <w:szCs w:val="18"/>
                <w:highlight w:val="none"/>
              </w:rPr>
              <w:br/>
            </w:r>
            <w:r>
              <w:rPr>
                <w:rFonts w:hint="eastAsia" w:ascii="宋体" w:hAnsi="宋体" w:cs="宋体"/>
                <w:color w:val="000000"/>
                <w:sz w:val="18"/>
                <w:szCs w:val="18"/>
                <w:highlight w:val="none"/>
              </w:rPr>
              <w:t xml:space="preserve">2.型号、规格:AC1kV,4*150+1*95,类型:直通接头,种类:绕包,材质:铜</w:t>
            </w:r>
            <w:r>
              <w:rPr>
                <w:rFonts w:hint="eastAsia" w:ascii="宋体" w:hAnsi="宋体" w:cs="宋体"/>
                <w:color w:val="000000"/>
                <w:sz w:val="18"/>
                <w:szCs w:val="18"/>
                <w:highlight w:val="none"/>
              </w:rPr>
              <w:br/>
            </w:r>
            <w:r>
              <w:rPr>
                <w:rFonts w:hint="eastAsia" w:ascii="宋体" w:hAnsi="宋体" w:cs="宋体"/>
                <w:color w:val="000000"/>
                <w:sz w:val="18"/>
                <w:szCs w:val="18"/>
                <w:highlight w:val="none"/>
              </w:rPr>
              <w:t xml:space="preserve">3.电压等级（kV）:1kV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1.名称:低压电力电缆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2.型号、规格:ZC-YJV22-0.6/1.0-4*120+1*70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30</w:t>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电缆终端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1.名称:电缆附件</w:t>
            </w:r>
            <w:r>
              <w:rPr>
                <w:rFonts w:hint="eastAsia" w:ascii="宋体" w:hAnsi="宋体" w:cs="宋体"/>
                <w:color w:val="000000"/>
                <w:sz w:val="18"/>
                <w:szCs w:val="18"/>
                <w:highlight w:val="none"/>
              </w:rPr>
              <w:br/>
            </w:r>
            <w:r>
              <w:rPr>
                <w:rFonts w:hint="eastAsia" w:ascii="宋体" w:hAnsi="宋体" w:cs="宋体"/>
                <w:color w:val="000000"/>
                <w:sz w:val="18"/>
                <w:szCs w:val="18"/>
                <w:highlight w:val="none"/>
              </w:rPr>
              <w:t xml:space="preserve">2.型号、规格:4*120+1*70，户内终端，热缩，铜</w:t>
            </w:r>
            <w:r>
              <w:rPr>
                <w:rFonts w:hint="eastAsia" w:ascii="宋体" w:hAnsi="宋体" w:cs="宋体"/>
                <w:color w:val="000000"/>
                <w:sz w:val="18"/>
                <w:szCs w:val="18"/>
                <w:highlight w:val="none"/>
              </w:rPr>
              <w:br/>
            </w:r>
            <w:r>
              <w:rPr>
                <w:rFonts w:hint="eastAsia" w:ascii="宋体" w:hAnsi="宋体" w:cs="宋体"/>
                <w:color w:val="000000"/>
                <w:sz w:val="18"/>
                <w:szCs w:val="18"/>
                <w:highlight w:val="none"/>
              </w:rPr>
              <w:t xml:space="preserve">3.电压等级（kV）:1kV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r>
      <w:tr>
        <w:trPr>
          <w:trHeight w:val="924"/>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中间接头</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1.名称:电缆中间接头</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2.型号、规格:AC1kV,4*120+1*70,类型:直通接头,种类:绕包,材质:铜</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1.名称:低压电力电缆</w:t>
            </w:r>
            <w:r>
              <w:rPr>
                <w:rFonts w:hint="eastAsia" w:ascii="宋体" w:hAnsi="宋体" w:cs="宋体"/>
                <w:color w:val="000000"/>
                <w:sz w:val="18"/>
                <w:szCs w:val="18"/>
                <w:highlight w:val="none"/>
              </w:rPr>
              <w:br/>
            </w:r>
            <w:r>
              <w:rPr>
                <w:rFonts w:hint="eastAsia" w:ascii="宋体" w:hAnsi="宋体" w:cs="宋体"/>
                <w:color w:val="000000"/>
                <w:sz w:val="18"/>
                <w:szCs w:val="18"/>
                <w:highlight w:val="none"/>
              </w:rPr>
              <w:t xml:space="preserve">2.型号、规格:ZC-YJV22-0.6/1.0-4*95+1*50</w:t>
            </w:r>
            <w:r>
              <w:rPr>
                <w:rFonts w:hint="eastAsia" w:ascii="宋体" w:hAnsi="宋体" w:cs="宋体"/>
                <w:color w:val="000000"/>
                <w:sz w:val="18"/>
                <w:szCs w:val="18"/>
                <w:highlight w:val="none"/>
              </w:rPr>
              <w:br/>
            </w:r>
            <w:r>
              <w:rPr>
                <w:rFonts w:hint="eastAsia" w:ascii="宋体" w:hAnsi="宋体" w:cs="宋体"/>
                <w:color w:val="000000"/>
                <w:sz w:val="18"/>
                <w:szCs w:val="18"/>
                <w:highlight w:val="none"/>
              </w:rPr>
              <w:t xml:space="preserve">3.电压等级（kV）:1kV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10</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电缆终端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1.名称:电缆附件</w:t>
            </w:r>
            <w:r>
              <w:rPr>
                <w:rFonts w:hint="eastAsia" w:ascii="宋体" w:hAnsi="宋体" w:cs="宋体"/>
                <w:color w:val="000000"/>
                <w:sz w:val="18"/>
                <w:szCs w:val="18"/>
                <w:highlight w:val="none"/>
              </w:rPr>
              <w:br/>
            </w:r>
            <w:r>
              <w:rPr>
                <w:rFonts w:hint="eastAsia" w:ascii="宋体" w:hAnsi="宋体" w:cs="宋体"/>
                <w:color w:val="000000"/>
                <w:sz w:val="18"/>
                <w:szCs w:val="18"/>
                <w:highlight w:val="none"/>
              </w:rPr>
              <w:t xml:space="preserve">2.型号、规格:4*95+1*50，户内终端，热缩，铜</w:t>
            </w:r>
            <w:r>
              <w:rPr>
                <w:rFonts w:hint="eastAsia" w:ascii="宋体" w:hAnsi="宋体" w:cs="宋体"/>
                <w:color w:val="000000"/>
                <w:sz w:val="18"/>
                <w:szCs w:val="18"/>
                <w:highlight w:val="none"/>
              </w:rPr>
              <w:br/>
            </w:r>
            <w:r>
              <w:rPr>
                <w:rFonts w:hint="eastAsia" w:ascii="宋体" w:hAnsi="宋体" w:cs="宋体"/>
                <w:color w:val="000000"/>
                <w:sz w:val="18"/>
                <w:szCs w:val="18"/>
                <w:highlight w:val="none"/>
              </w:rPr>
              <w:t xml:space="preserve">3.电压等级（kV）:1kV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841"/>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中间接头</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1.名称:电缆中间接头</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2.型号、规格:AC1kV,4*95+1*50,类型:直通接头,种类:绕包,材质:铜</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1.名称:低压电力电缆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2.型号、规格:ZC-YJV22-0.6/1.0-4*70+1*35</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30</w:t>
            </w:r>
            <w:r/>
          </w:p>
        </w:tc>
      </w:tr>
      <w:tr>
        <w:trPr>
          <w:trHeight w:val="633"/>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电缆终端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1.名称:电缆附件</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2.型号、规格:4*70+1*35，户内终端，热缩，铜</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r>
      <w:tr>
        <w:trPr>
          <w:trHeight w:val="841"/>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中间接头</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1.名称:电缆中间接头</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2.型号、规格:AC1kV,4*70+1*35,类型:直通接头,种类:绕包,材质:铜</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r>
      <w:tr>
        <w:trPr>
          <w:trHeight w:val="633"/>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1.名称:低压电力电缆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2.型号、规格:ZC-YJV22-0.6/1.0-4*35+1*16</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10</w:t>
            </w:r>
            <w:r/>
          </w:p>
        </w:tc>
      </w:tr>
      <w:tr>
        <w:trPr>
          <w:trHeight w:val="811"/>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电缆终端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1.名称:电缆附件</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2.型号、规格:4*35+1*16，户内终端，热缩，铜</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988"/>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中间接头</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1.名称:电缆中间接头</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2.型号、规格:AC1kV,4*35+1*16,类型:直通接头,种类:绕包,材质:铜</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3.电压等级（kV）:1kV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1257"/>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电缆上杆</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1.电缆上杆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2.电缆保护管固定抱箍和电缆固定抱箍与15m水泥杆配套</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3.φ150镀锌钢管</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4.钢管壁厚1.5mm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5.钢管长度：3m/根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426"/>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电缆试验</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1.名称:电缆试验</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2.电压（KV）:10kV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电缆试验</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1.名称:电缆试验</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2.电压（KV）:1kV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9</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电力变压器系统调试</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1.名称:2000kVA电力变压器系统调试</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2.容量(kV·A):10kV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506"/>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送配电装置调试</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1.名称:送配电装置系统调试</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2.电压（KV）:10kV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送配电装置调试</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1.名称:送配电装置系统调试</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2.电压（KV）:1kV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506"/>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母线系统调试</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1.名称:母线系统调试</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2.电压（kV）:10kV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44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母线系统调试</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1.名称:母线系统调试</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2.电压（kV）:1kV</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接地装置调试</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1.名称:接地网系统装置调试</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预制舱基础</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1、预制舱式配电房基础</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2、基坑开挖原土夯实</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3、垫层：100厚C15砼</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4、底板：250厚C30砼</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5、侧壁：300厚C30砼，GZ配筋4根∅14，箍筋∅8@200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6、圈梁：300厚C30砼，圈梁配筋纵筋4根∅14，箍筋∅8@200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7、排气窗：2mm厚钢板冲压百叶窗</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8、30个M1预埋件200*200*10mm及铁脚</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9、原状土回填，夯填密实，达到设计要求</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10、填方来源、运距自行考虑</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11、其他未述事项详见图纸</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1229"/>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设备运输通道</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1.路床整形，压实系数≥92%</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2.级配碎石垫层，厚度15CM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3.C20商品混凝土垫层，厚度15cm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4.C30商品混凝土路面，厚度24cm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5.其他未述事项详见图纸</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50</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电缆标志桩</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rPr>
              <w:t xml:space="preserve">1.名称:电缆标志桩</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209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电缆排管4*PE∅150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1.新建电缆排管4*PE∅150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2.沟槽开挖原土夯实</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3.100mm厚C15砼管道基础垫层</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4.550mm厚C25砼包封</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5.φ12现浇砼包封钢筋</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6.4φ150PE管</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7.φ150壁厚8</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8.原状土回填，夯填密实，达到设计要求</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9.填方来源、运距自行考虑</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10.其他未述事项详见图纸</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9</w:t>
            </w:r>
            <w:r/>
          </w:p>
        </w:tc>
      </w:tr>
      <w:tr>
        <w:trPr>
          <w:trHeight w:val="2714"/>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电缆工作井</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1、盖板开启式手孔井</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2、基坑开挖原土夯实</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2、垫层采用100厚C15砼混凝土垫层</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3、底板采用200厚C30砼混凝土底板，底板配筋双层双向φ14@200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4、侧壁采用C30混凝土，尺寸1400*1400*1320，沟壁配筋纵筋∅8@200，箍筋∅14@200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5、盖板采用C30混凝土，尺寸1200*500*120，盖板配16根∅8纵筋，14根∅14箍筋</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6、原状土回填，夯填密实，达到设计要求</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7、填方来源、运距自行考虑</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8、其他未述事项详见图纸</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主要内容包含原800kVA箱变拆除、原箱变基础拆除、原箱变护栏拆除，原箱变基础低于地坪面0.5m需回填至地坪面，3m*2m*0.2m墙体拆除，低压配电箱拆除及移位，其他未述事项详见图纸。箱变根据甲方要求放入指定位置。</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hint="default"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hint="default"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食堂线路整理</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hint="default"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根据甲方要求整理食堂线路</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hint="eastAsia"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hint="eastAsia"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1</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hint="eastAsia"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rPr>
              <w:t xml:space="preserve">4</w:t>
            </w:r>
            <w:r>
              <w:rPr>
                <w:rFonts w:hint="eastAsia" w:ascii="宋体" w:hAnsi="宋体" w:cs="宋体"/>
                <w:color w:val="000000"/>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rPr>
              <w:t xml:space="preserve">暂列金额为50000.00元，</w:t>
            </w:r>
            <w:r>
              <w:rPr>
                <w:rFonts w:hint="eastAsia" w:ascii="宋体" w:hAnsi="宋体" w:cs="宋体"/>
                <w:color w:val="000000"/>
                <w:sz w:val="20"/>
                <w:szCs w:val="20"/>
                <w:highlight w:val="none"/>
              </w:rPr>
              <w:t xml:space="preserve">此项费用为不可预见、不可竞争费用，</w:t>
            </w:r>
            <w:r>
              <w:rPr>
                <w:rFonts w:hint="eastAsia" w:ascii="宋体" w:hAnsi="宋体" w:cs="宋体"/>
                <w:color w:val="000000"/>
                <w:sz w:val="20"/>
                <w:szCs w:val="20"/>
                <w:highlight w:val="none"/>
                <w:lang w:val="en-US" w:eastAsia="zh-CN"/>
              </w:rPr>
              <w:t xml:space="preserve">供应商报价时按50000.00元计入总报价。</w:t>
            </w:r>
            <w:r>
              <w:rPr>
                <w:rFonts w:hint="eastAsia" w:ascii="宋体" w:hAnsi="宋体" w:cs="宋体"/>
                <w:color w:val="000000"/>
                <w:sz w:val="20"/>
                <w:szCs w:val="20"/>
                <w:highlight w:val="none"/>
              </w:rPr>
              <w:t xml:space="preserve">归甲方使用</w:t>
            </w:r>
            <w:r>
              <w:rPr>
                <w:rFonts w:hint="eastAsia" w:ascii="宋体" w:hAnsi="宋体" w:cs="宋体"/>
                <w:color w:val="000000"/>
                <w:sz w:val="20"/>
                <w:szCs w:val="20"/>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p>
        </w:tc>
      </w:tr>
    </w:tbl>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（二）材料及品牌要求</w:t>
      </w:r>
      <w:r/>
    </w:p>
    <w:p>
      <w:pPr>
        <w:ind w:firstLine="420"/>
        <w:jc w:val="left"/>
        <w:spacing w:line="360" w:lineRule="auto"/>
        <w:tabs>
          <w:tab w:val="left" w:pos="2310" w:leader="none"/>
        </w:tabs>
        <w:rPr>
          <w:color w:val="auto"/>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本项目部分材料提出了品牌上的要求</w:t>
      </w:r>
      <w:r>
        <w:rPr>
          <w:rFonts w:hint="eastAsia" w:ascii="宋体" w:hAnsi="宋体"/>
          <w:color w:val="auto"/>
          <w:szCs w:val="21"/>
          <w:highlight w:val="none"/>
          <w:lang w:eastAsia="zh-CN"/>
        </w:rPr>
        <w:t xml:space="preserve">，</w:t>
      </w:r>
      <w:r>
        <w:rPr>
          <w:rFonts w:hint="eastAsia"/>
          <w:color w:val="auto"/>
          <w:highlight w:val="none"/>
        </w:rPr>
        <w:t xml:space="preserve">主要材料设备品牌推荐表中推荐的品牌及型号只是列出基本的要求，</w:t>
      </w:r>
      <w:r>
        <w:rPr>
          <w:rFonts w:hint="eastAsia"/>
          <w:color w:val="auto"/>
          <w:highlight w:val="none"/>
          <w:lang w:val="en-US" w:eastAsia="zh-CN"/>
        </w:rPr>
        <w:t xml:space="preserve">供应商</w:t>
      </w:r>
      <w:r>
        <w:rPr>
          <w:rFonts w:hint="eastAsia" w:ascii="宋体" w:hAnsi="宋体"/>
          <w:color w:val="auto"/>
          <w:szCs w:val="21"/>
          <w:highlight w:val="none"/>
        </w:rPr>
        <w:t xml:space="preserve">均要求</w:t>
      </w:r>
      <w:r>
        <w:rPr>
          <w:rFonts w:hint="eastAsia" w:ascii="宋体" w:hAnsi="宋体"/>
          <w:color w:val="auto"/>
          <w:szCs w:val="21"/>
          <w:highlight w:val="none"/>
          <w:lang w:val="en-US" w:eastAsia="zh-CN"/>
        </w:rPr>
        <w:t xml:space="preserve">提供</w:t>
      </w:r>
      <w:r>
        <w:rPr>
          <w:rFonts w:hint="eastAsia" w:ascii="宋体" w:hAnsi="宋体"/>
          <w:color w:val="auto"/>
          <w:szCs w:val="21"/>
          <w:highlight w:val="none"/>
        </w:rPr>
        <w:t xml:space="preserve">同等及以上品牌</w:t>
      </w:r>
      <w:r>
        <w:rPr>
          <w:rFonts w:hint="eastAsia" w:ascii="宋体" w:hAnsi="宋体"/>
          <w:color w:val="auto"/>
          <w:szCs w:val="21"/>
          <w:highlight w:val="none"/>
          <w:lang w:eastAsia="zh-CN"/>
        </w:rPr>
        <w:t xml:space="preserve">。</w:t>
      </w:r>
      <w:r>
        <w:rPr>
          <w:rFonts w:hint="eastAsia"/>
          <w:color w:val="auto"/>
          <w:highlight w:val="none"/>
          <w:lang w:eastAsia="zh-CN"/>
        </w:rPr>
        <w:t xml:space="preserve">供应商</w:t>
      </w:r>
      <w:r>
        <w:rPr>
          <w:rFonts w:hint="eastAsia"/>
          <w:color w:val="auto"/>
          <w:highlight w:val="none"/>
        </w:rPr>
        <w:t xml:space="preserve">选用的设备、元器件材料的品牌（见下表）、型号的性能参数必须满足或优于</w:t>
      </w:r>
      <w:r>
        <w:rPr>
          <w:rFonts w:hint="eastAsia"/>
          <w:color w:val="auto"/>
          <w:highlight w:val="none"/>
          <w:lang w:val="en-US" w:eastAsia="zh-CN"/>
        </w:rPr>
        <w:t xml:space="preserve">文件</w:t>
      </w:r>
      <w:r>
        <w:rPr>
          <w:rFonts w:hint="eastAsia"/>
          <w:color w:val="auto"/>
          <w:highlight w:val="none"/>
        </w:rPr>
        <w:t xml:space="preserve">要求。</w:t>
      </w:r>
      <w:r>
        <w:rPr>
          <w:rFonts w:hint="eastAsia" w:ascii="Times New Roman" w:hAnsi="Times New Roman" w:eastAsia="宋体" w:cs="Times New Roman"/>
          <w:color w:val="auto"/>
          <w:highlight w:val="none"/>
          <w:lang w:val="en-US" w:eastAsia="zh-CN"/>
        </w:rPr>
        <w:t xml:space="preserve">其他</w:t>
      </w:r>
      <w:r>
        <w:rPr>
          <w:rFonts w:hint="eastAsia" w:ascii="Times New Roman" w:hAnsi="Times New Roman" w:eastAsia="宋体" w:cs="Times New Roman"/>
          <w:color w:val="auto"/>
          <w:highlight w:val="none"/>
        </w:rPr>
        <w:t xml:space="preserve">材料</w:t>
      </w:r>
      <w:r>
        <w:rPr>
          <w:rFonts w:hint="eastAsia" w:ascii="Times New Roman" w:hAnsi="Times New Roman" w:eastAsia="宋体" w:cs="Times New Roman"/>
          <w:color w:val="auto"/>
          <w:highlight w:val="none"/>
          <w:lang w:val="en-US" w:eastAsia="zh-CN"/>
        </w:rPr>
        <w:t xml:space="preserve">须</w:t>
      </w:r>
      <w:r>
        <w:rPr>
          <w:rFonts w:hint="eastAsia" w:ascii="Times New Roman" w:hAnsi="Times New Roman" w:eastAsia="宋体" w:cs="Times New Roman"/>
          <w:color w:val="auto"/>
          <w:highlight w:val="none"/>
        </w:rPr>
        <w:t xml:space="preserve">满足</w:t>
      </w:r>
      <w:r>
        <w:rPr>
          <w:rFonts w:hint="eastAsia" w:ascii="Times New Roman" w:hAnsi="Times New Roman" w:eastAsia="宋体" w:cs="Times New Roman"/>
          <w:color w:val="auto"/>
          <w:highlight w:val="none"/>
          <w:lang w:val="en-US" w:eastAsia="zh-CN"/>
        </w:rPr>
        <w:t xml:space="preserve">采购人</w:t>
      </w:r>
      <w:r>
        <w:rPr>
          <w:rFonts w:hint="eastAsia" w:ascii="Times New Roman" w:hAnsi="Times New Roman" w:eastAsia="宋体" w:cs="Times New Roman"/>
          <w:color w:val="auto"/>
          <w:highlight w:val="none"/>
        </w:rPr>
        <w:t xml:space="preserve">的要求，并为正规厂家合格产品。</w:t>
      </w:r>
      <w:r>
        <w:rPr>
          <w:rFonts w:hint="eastAsia" w:ascii="Times New Roman" w:hAnsi="Times New Roman" w:eastAsia="宋体" w:cs="Times New Roman"/>
          <w:color w:val="auto"/>
          <w:highlight w:val="none"/>
          <w:lang w:eastAsia="zh-CN"/>
        </w:rPr>
        <w:t xml:space="preserve">供应商</w:t>
      </w:r>
      <w:r>
        <w:rPr>
          <w:rFonts w:hint="eastAsia" w:ascii="Times New Roman" w:hAnsi="Times New Roman" w:eastAsia="宋体" w:cs="Times New Roman"/>
          <w:color w:val="auto"/>
          <w:highlight w:val="none"/>
        </w:rPr>
        <w:t xml:space="preserve">自选的材料，投标报价时须在《</w:t>
      </w:r>
      <w:r>
        <w:rPr>
          <w:rFonts w:hint="eastAsia" w:ascii="Times New Roman" w:hAnsi="Times New Roman" w:eastAsia="宋体" w:cs="Times New Roman"/>
          <w:color w:val="auto"/>
          <w:highlight w:val="none"/>
          <w:lang w:val="zh-CN" w:eastAsia="zh-CN"/>
        </w:rPr>
        <w:t xml:space="preserve">供货一览表</w:t>
      </w:r>
      <w:r>
        <w:rPr>
          <w:rFonts w:hint="eastAsia" w:ascii="Times New Roman" w:hAnsi="Times New Roman" w:eastAsia="宋体" w:cs="Times New Roman"/>
          <w:color w:val="auto"/>
          <w:highlight w:val="none"/>
        </w:rPr>
        <w:t xml:space="preserve">》中注明品牌、厂家、型号及规格，一旦中标后，严格按照本表所注明的材料进行供货</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但质量</w:t>
      </w:r>
      <w:r>
        <w:rPr>
          <w:rFonts w:hint="eastAsia" w:ascii="Times New Roman" w:hAnsi="Times New Roman" w:eastAsia="宋体" w:cs="Times New Roman"/>
          <w:color w:val="auto"/>
          <w:highlight w:val="none"/>
          <w:lang w:val="en-US" w:eastAsia="zh-CN"/>
        </w:rPr>
        <w:t xml:space="preserve">或档次</w:t>
      </w:r>
      <w:r>
        <w:rPr>
          <w:rFonts w:hint="eastAsia" w:ascii="Times New Roman" w:hAnsi="Times New Roman" w:eastAsia="宋体" w:cs="Times New Roman"/>
          <w:color w:val="auto"/>
          <w:highlight w:val="none"/>
        </w:rPr>
        <w:t xml:space="preserve">低于推荐品牌档次的，</w:t>
      </w:r>
      <w:r>
        <w:rPr>
          <w:rFonts w:hint="eastAsia" w:ascii="Times New Roman" w:hAnsi="Times New Roman" w:eastAsia="宋体" w:cs="Times New Roman"/>
          <w:color w:val="auto"/>
          <w:highlight w:val="none"/>
          <w:lang w:eastAsia="zh-CN"/>
        </w:rPr>
        <w:t xml:space="preserve">采购人</w:t>
      </w:r>
      <w:r>
        <w:rPr>
          <w:rFonts w:hint="eastAsia" w:ascii="Times New Roman" w:hAnsi="Times New Roman" w:eastAsia="宋体" w:cs="Times New Roman"/>
          <w:color w:val="auto"/>
          <w:highlight w:val="none"/>
        </w:rPr>
        <w:t xml:space="preserve">有权拒绝使用。投标时未注明品牌、厂家、型号及规格的材料，</w:t>
      </w:r>
      <w:r>
        <w:rPr>
          <w:rFonts w:hint="eastAsia" w:ascii="Times New Roman" w:hAnsi="Times New Roman" w:eastAsia="宋体" w:cs="Times New Roman"/>
          <w:color w:val="auto"/>
          <w:highlight w:val="none"/>
          <w:lang w:eastAsia="zh-CN"/>
        </w:rPr>
        <w:t xml:space="preserve">采购人</w:t>
      </w:r>
      <w:r>
        <w:rPr>
          <w:rFonts w:hint="eastAsia" w:ascii="Times New Roman" w:hAnsi="Times New Roman" w:eastAsia="宋体" w:cs="Times New Roman"/>
          <w:color w:val="auto"/>
          <w:highlight w:val="none"/>
        </w:rPr>
        <w:t xml:space="preserve">有权在推荐品牌或</w:t>
      </w:r>
      <w:r>
        <w:rPr>
          <w:rFonts w:hint="eastAsia" w:ascii="Times New Roman" w:hAnsi="Times New Roman" w:eastAsia="宋体" w:cs="Times New Roman"/>
          <w:color w:val="auto"/>
          <w:highlight w:val="none"/>
          <w:lang w:eastAsia="zh-CN"/>
        </w:rPr>
        <w:t xml:space="preserve">采购人</w:t>
      </w:r>
      <w:r>
        <w:rPr>
          <w:rFonts w:hint="eastAsia" w:ascii="Times New Roman" w:hAnsi="Times New Roman" w:eastAsia="宋体" w:cs="Times New Roman"/>
          <w:color w:val="auto"/>
          <w:highlight w:val="none"/>
        </w:rPr>
        <w:t xml:space="preserve">认定的同等档次品牌中进行指定，供应商按指定品牌采购，产生的差价及发生的相关费用概不调整。供应商拟采用其他品牌时，必须向采购人提出具体品牌，采购人给予答复。供应商应在投标时明确所选品牌，否则采购人有权在所列品牌范围内任选一个品牌进行施工。</w:t>
      </w:r>
      <w:r/>
    </w:p>
    <w:p>
      <w:pPr>
        <w:pStyle w:val="1274"/>
        <w:ind w:firstLine="422"/>
        <w:rPr>
          <w:b/>
          <w:color w:val="auto"/>
          <w:highlight w:val="none"/>
        </w:rPr>
      </w:pPr>
      <w:r>
        <w:rPr>
          <w:rFonts w:hint="eastAsia"/>
          <w:b/>
          <w:color w:val="auto"/>
          <w:highlight w:val="none"/>
        </w:rPr>
        <w:t xml:space="preserve">所有设备、元器件等货物均需具备出厂合格证等其他必备手续，进场后均需经采购人及采购人委托的第三方监理单位认可，否则不予签收。</w:t>
      </w:r>
      <w:r/>
    </w:p>
    <w:p>
      <w:pPr>
        <w:ind w:firstLine="422"/>
        <w:jc w:val="left"/>
        <w:spacing w:line="360" w:lineRule="auto"/>
        <w:tabs>
          <w:tab w:val="left" w:pos="2310" w:leader="none"/>
        </w:tabs>
        <w:rPr>
          <w:rFonts w:hint="eastAsia" w:ascii="宋体" w:hAnsi="宋体" w:eastAsia="宋体"/>
          <w:b/>
          <w:bCs/>
          <w:color w:val="auto"/>
          <w:szCs w:val="21"/>
          <w:highlight w:val="none"/>
          <w:lang w:eastAsia="zh-CN"/>
        </w:rPr>
      </w:pPr>
      <w:r>
        <w:rPr>
          <w:rFonts w:hint="eastAsia" w:ascii="宋体" w:hAnsi="宋体"/>
          <w:b/>
          <w:bCs/>
          <w:color w:val="auto"/>
          <w:szCs w:val="21"/>
          <w:highlight w:val="none"/>
        </w:rPr>
        <w:t xml:space="preserve">塑壳断路器及框架断路器需同一品牌</w:t>
      </w:r>
      <w:r>
        <w:rPr>
          <w:rFonts w:hint="eastAsia" w:ascii="宋体" w:hAnsi="宋体"/>
          <w:b/>
          <w:bCs/>
          <w:color w:val="auto"/>
          <w:szCs w:val="21"/>
          <w:highlight w:val="none"/>
          <w:lang w:eastAsia="zh-CN"/>
        </w:rPr>
        <w:t xml:space="preserve">。</w:t>
      </w:r>
      <w:r/>
    </w:p>
    <w:p>
      <w:pPr>
        <w:ind w:firstLine="420"/>
        <w:jc w:val="left"/>
        <w:spacing w:line="360" w:lineRule="auto"/>
        <w:tabs>
          <w:tab w:val="left" w:pos="2310" w:leader="none"/>
        </w:tabs>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供应商</w:t>
      </w:r>
      <w:r>
        <w:rPr>
          <w:rFonts w:hint="eastAsia" w:ascii="宋体" w:hAnsi="宋体"/>
          <w:color w:val="auto"/>
          <w:szCs w:val="21"/>
          <w:highlight w:val="none"/>
        </w:rPr>
        <w:t xml:space="preserve">所投的高低压变配电成套设备中凡列入《中国强制性产品认证目录》的</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开箱验收是采购人有权要求供应商提供</w:t>
      </w:r>
      <w:r>
        <w:rPr>
          <w:rFonts w:hint="eastAsia" w:ascii="宋体" w:hAnsi="宋体"/>
          <w:color w:val="auto"/>
          <w:szCs w:val="21"/>
          <w:highlight w:val="none"/>
        </w:rPr>
        <w:t xml:space="preserve">具有中国质量认证中心颁发的中国国家强制性产品（CCC）认证证书及其它需要出具的国家强制性产品认证报告或证书，高压环网柜</w:t>
      </w:r>
      <w:r>
        <w:rPr>
          <w:rFonts w:hint="eastAsia" w:ascii="宋体" w:hAnsi="宋体"/>
          <w:color w:val="auto"/>
          <w:szCs w:val="21"/>
          <w:highlight w:val="none"/>
          <w:lang w:val="en-US" w:eastAsia="zh-CN"/>
        </w:rPr>
        <w:t xml:space="preserve">须</w:t>
      </w:r>
      <w:r>
        <w:rPr>
          <w:rFonts w:hint="eastAsia" w:ascii="宋体" w:hAnsi="宋体"/>
          <w:color w:val="auto"/>
          <w:szCs w:val="21"/>
          <w:highlight w:val="none"/>
        </w:rPr>
        <w:t xml:space="preserve">具有国家规定的认证机构出具的设备型式试验报告及其它需要提供国家强制性产品认证报告或证书</w:t>
      </w:r>
      <w:r>
        <w:rPr>
          <w:rFonts w:hint="eastAsia" w:ascii="宋体" w:hAnsi="宋体"/>
          <w:color w:val="auto"/>
          <w:szCs w:val="21"/>
          <w:highlight w:val="none"/>
          <w:lang w:eastAsia="zh-CN"/>
        </w:rPr>
        <w:t xml:space="preserve">。</w:t>
      </w:r>
      <w:r/>
    </w:p>
    <w:tbl>
      <w:tblPr>
        <w:tblStyle w:val="679"/>
        <w:tblW w:w="962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3420"/>
        <w:gridCol w:w="5436"/>
      </w:tblGrid>
      <w:tr>
        <w:trPr>
          <w:jc w:val="center"/>
          <w:trHeight w:val="0"/>
          <w:tblHeader/>
        </w:trPr>
        <w:tc>
          <w:tcPr>
            <w:gridSpan w:val="3"/>
            <w:tcBorders>
              <w:top w:val="single" w:color="auto" w:sz="12" w:space="0"/>
              <w:left w:val="single" w:color="auto" w:sz="12" w:space="0"/>
              <w:bottom w:val="none" w:color="000000" w:sz="4" w:space="0"/>
              <w:right w:val="single" w:color="auto" w:sz="12" w:space="0"/>
            </w:tcBorders>
            <w:tcMar>
              <w:left w:w="-1" w:type="dxa"/>
              <w:top w:w="-1" w:type="dxa"/>
              <w:right w:w="-1" w:type="dxa"/>
              <w:bottom w:w="-1" w:type="dxa"/>
            </w:tcMar>
            <w:tcW w:w="9628" w:type="dxa"/>
            <w:vAlign w:val="center"/>
            <w:textDirection w:val="lrTb"/>
            <w:noWrap w:val="false"/>
          </w:tcPr>
          <w:p>
            <w:pPr>
              <w:ind w:left="0" w:right="0" w:firstLine="0"/>
              <w:jc w:val="center"/>
              <w:spacing w:line="240" w:lineRule="auto"/>
              <w:tabs>
                <w:tab w:val="left" w:pos="2310" w:leader="none"/>
              </w:tabs>
              <w:rPr>
                <w:rFonts w:ascii="宋体" w:hAnsi="宋体"/>
                <w:color w:val="000000"/>
                <w:szCs w:val="21"/>
                <w:highlight w:val="none"/>
              </w:rPr>
            </w:pPr>
            <w:r>
              <w:rPr>
                <w:rFonts w:hint="eastAsia" w:ascii="宋体" w:hAnsi="宋体"/>
                <w:color w:val="000000"/>
                <w:sz w:val="28"/>
                <w:szCs w:val="28"/>
                <w:highlight w:val="none"/>
              </w:rPr>
              <w:t xml:space="preserve">推荐选用的设备、元器件材料表</w:t>
            </w:r>
            <w:r/>
          </w:p>
        </w:tc>
      </w:tr>
      <w:tr>
        <w:trPr>
          <w:jc w:val="center"/>
          <w:trHeight w:val="0"/>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72" w:type="dxa"/>
            <w:vAlign w:val="center"/>
            <w:textDirection w:val="lrTb"/>
            <w:noWrap w:val="false"/>
          </w:tcPr>
          <w:p>
            <w:pPr>
              <w:ind w:left="0" w:right="0" w:firstLine="0"/>
              <w:jc w:val="center"/>
              <w:widowControl/>
              <w:rPr>
                <w:rFonts w:ascii="宋体" w:hAnsi="宋体"/>
                <w:color w:val="000000"/>
                <w:szCs w:val="21"/>
                <w:highlight w:val="none"/>
              </w:rPr>
            </w:pPr>
            <w:r>
              <w:rPr>
                <w:rFonts w:hint="eastAsia" w:ascii="宋体" w:hAnsi="宋体" w:cs="宋体"/>
                <w:color w:val="000000"/>
                <w:sz w:val="22"/>
                <w:szCs w:val="22"/>
                <w:highlight w:val="none"/>
              </w:rPr>
              <w:t xml:space="preserve">序号</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20" w:type="dxa"/>
            <w:vAlign w:val="center"/>
            <w:textDirection w:val="lrTb"/>
            <w:noWrap w:val="false"/>
          </w:tcPr>
          <w:p>
            <w:pPr>
              <w:ind w:left="0" w:right="0" w:firstLine="0"/>
              <w:jc w:val="center"/>
              <w:widowControl/>
              <w:rPr>
                <w:rFonts w:ascii="宋体" w:hAnsi="宋体"/>
                <w:color w:val="000000"/>
                <w:szCs w:val="21"/>
                <w:highlight w:val="none"/>
              </w:rPr>
            </w:pPr>
            <w:r>
              <w:rPr>
                <w:rFonts w:hint="eastAsia" w:ascii="宋体" w:hAnsi="宋体" w:cs="宋体"/>
                <w:color w:val="000000"/>
                <w:sz w:val="22"/>
                <w:szCs w:val="22"/>
                <w:highlight w:val="none"/>
              </w:rPr>
              <w:t xml:space="preserve">主要设备</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36" w:type="dxa"/>
            <w:vAlign w:val="center"/>
            <w:textDirection w:val="lrTb"/>
            <w:noWrap w:val="false"/>
          </w:tcPr>
          <w:p>
            <w:pPr>
              <w:ind w:left="0" w:right="0" w:firstLine="0"/>
              <w:jc w:val="center"/>
              <w:widowControl/>
              <w:rPr>
                <w:rFonts w:ascii="宋体" w:hAnsi="宋体"/>
                <w:color w:val="000000"/>
                <w:szCs w:val="21"/>
                <w:highlight w:val="none"/>
              </w:rPr>
            </w:pPr>
            <w:r>
              <w:rPr>
                <w:rFonts w:hint="eastAsia" w:ascii="宋体" w:hAnsi="宋体" w:cs="宋体"/>
                <w:color w:val="000000"/>
                <w:sz w:val="22"/>
                <w:szCs w:val="22"/>
                <w:highlight w:val="none"/>
              </w:rPr>
              <w:t xml:space="preserve">参考品牌</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72" w:type="dxa"/>
            <w:vAlign w:val="center"/>
            <w:textDirection w:val="lrTb"/>
            <w:noWrap w:val="false"/>
          </w:tcPr>
          <w:p>
            <w:pPr>
              <w:ind w:left="0" w:right="0" w:firstLine="0"/>
              <w:jc w:val="center"/>
              <w:spacing w:line="240" w:lineRule="auto"/>
              <w:tabs>
                <w:tab w:val="left" w:pos="2310" w:leader="none"/>
              </w:tabs>
              <w:rPr>
                <w:rFonts w:ascii="宋体" w:hAnsi="宋体" w:eastAsia="宋体"/>
                <w:color w:val="000000"/>
                <w:sz w:val="22"/>
                <w:szCs w:val="21"/>
                <w:highlight w:val="none"/>
              </w:rPr>
            </w:pPr>
            <w:r>
              <w:rPr>
                <w:rFonts w:hint="eastAsia" w:ascii="宋体" w:hAnsi="宋体" w:eastAsia="宋体"/>
                <w:color w:val="000000"/>
                <w:sz w:val="22"/>
                <w:szCs w:val="21"/>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20" w:type="dxa"/>
            <w:vAlign w:val="center"/>
            <w:textDirection w:val="lrTb"/>
            <w:noWrap w:val="false"/>
          </w:tcPr>
          <w:p>
            <w:pPr>
              <w:ind w:left="0" w:right="0" w:firstLine="0"/>
              <w:jc w:val="left"/>
              <w:widowControl/>
              <w:rPr>
                <w:rFonts w:ascii="宋体" w:hAnsi="宋体" w:eastAsia="宋体"/>
                <w:color w:val="000000"/>
                <w:sz w:val="22"/>
                <w:szCs w:val="21"/>
                <w:highlight w:val="none"/>
              </w:rPr>
            </w:pPr>
            <w:r>
              <w:rPr>
                <w:rFonts w:hint="eastAsia" w:ascii="宋体" w:hAnsi="宋体" w:eastAsia="宋体" w:cs="宋体"/>
                <w:color w:val="000000"/>
                <w:sz w:val="22"/>
                <w:szCs w:val="22"/>
                <w:highlight w:val="none"/>
              </w:rPr>
              <w:t xml:space="preserve">干式变压器</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36" w:type="dxa"/>
            <w:vAlign w:val="center"/>
            <w:textDirection w:val="lrTb"/>
            <w:noWrap w:val="false"/>
          </w:tcPr>
          <w:p>
            <w:pPr>
              <w:ind w:left="0" w:right="0" w:firstLine="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海南金盘、江苏华鹏、江苏源通或同等及以上档次品牌</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72" w:type="dxa"/>
            <w:vAlign w:val="center"/>
            <w:textDirection w:val="lrTb"/>
            <w:noWrap w:val="false"/>
          </w:tcPr>
          <w:p>
            <w:pPr>
              <w:ind w:left="0" w:right="0" w:firstLine="0"/>
              <w:jc w:val="center"/>
              <w:spacing w:line="240" w:lineRule="auto"/>
              <w:tabs>
                <w:tab w:val="left" w:pos="2310" w:leader="none"/>
              </w:tabs>
              <w:rPr>
                <w:rFonts w:ascii="宋体" w:hAnsi="宋体" w:eastAsia="宋体"/>
                <w:color w:val="000000"/>
                <w:sz w:val="22"/>
                <w:szCs w:val="21"/>
                <w:highlight w:val="none"/>
              </w:rPr>
            </w:pPr>
            <w:r>
              <w:rPr>
                <w:rFonts w:ascii="宋体" w:hAnsi="宋体" w:eastAsia="宋体"/>
                <w:color w:val="000000"/>
                <w:sz w:val="22"/>
                <w:szCs w:val="21"/>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20" w:type="dxa"/>
            <w:vAlign w:val="center"/>
            <w:textDirection w:val="lrTb"/>
            <w:noWrap w:val="false"/>
          </w:tcPr>
          <w:p>
            <w:pPr>
              <w:ind w:left="0" w:right="0" w:firstLine="0"/>
              <w:jc w:val="left"/>
              <w:widowControl/>
              <w:rPr>
                <w:rFonts w:ascii="宋体" w:hAnsi="宋体" w:eastAsia="宋体"/>
                <w:color w:val="000000"/>
                <w:sz w:val="22"/>
                <w:szCs w:val="21"/>
                <w:highlight w:val="none"/>
              </w:rPr>
            </w:pPr>
            <w:r>
              <w:rPr>
                <w:rFonts w:hint="eastAsia" w:ascii="宋体" w:hAnsi="宋体" w:eastAsia="宋体" w:cs="宋体"/>
                <w:color w:val="000000"/>
                <w:sz w:val="22"/>
                <w:szCs w:val="22"/>
                <w:highlight w:val="none"/>
              </w:rPr>
              <w:t xml:space="preserve">塑壳断路器/框架断路器/真空断路器</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36" w:type="dxa"/>
            <w:vAlign w:val="center"/>
            <w:textDirection w:val="lrTb"/>
            <w:noWrap w:val="false"/>
          </w:tcPr>
          <w:p>
            <w:pPr>
              <w:ind w:left="0" w:right="0" w:firstLine="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常熟开关、上海人民、无锡罗格朗或同等及以上档次品牌</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72" w:type="dxa"/>
            <w:vAlign w:val="center"/>
            <w:textDirection w:val="lrTb"/>
            <w:noWrap w:val="false"/>
          </w:tcPr>
          <w:p>
            <w:pPr>
              <w:ind w:left="0" w:right="0" w:firstLine="0"/>
              <w:jc w:val="center"/>
              <w:spacing w:line="240" w:lineRule="auto"/>
              <w:tabs>
                <w:tab w:val="left" w:pos="2310" w:leader="none"/>
              </w:tabs>
              <w:rPr>
                <w:rFonts w:ascii="宋体" w:hAnsi="宋体" w:eastAsia="宋体"/>
                <w:color w:val="000000"/>
                <w:sz w:val="22"/>
                <w:szCs w:val="21"/>
                <w:highlight w:val="none"/>
              </w:rPr>
            </w:pPr>
            <w:r>
              <w:rPr>
                <w:rFonts w:ascii="宋体" w:hAnsi="宋体" w:eastAsia="宋体"/>
                <w:color w:val="000000"/>
                <w:sz w:val="22"/>
                <w:szCs w:val="21"/>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20" w:type="dxa"/>
            <w:vAlign w:val="center"/>
            <w:textDirection w:val="lrTb"/>
            <w:noWrap w:val="false"/>
          </w:tcPr>
          <w:p>
            <w:pPr>
              <w:ind w:left="0" w:right="0" w:firstLine="0"/>
              <w:jc w:val="left"/>
              <w:widowControl/>
              <w:rPr>
                <w:rFonts w:ascii="宋体" w:hAnsi="宋体" w:eastAsia="宋体"/>
                <w:color w:val="000000"/>
                <w:sz w:val="22"/>
                <w:szCs w:val="21"/>
                <w:highlight w:val="none"/>
              </w:rPr>
            </w:pPr>
            <w:r>
              <w:rPr>
                <w:rFonts w:hint="eastAsia" w:ascii="宋体" w:hAnsi="宋体" w:eastAsia="宋体" w:cs="宋体"/>
                <w:color w:val="000000"/>
                <w:sz w:val="22"/>
                <w:szCs w:val="22"/>
                <w:highlight w:val="none"/>
              </w:rPr>
              <w:t xml:space="preserve">多功能仪表</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36" w:type="dxa"/>
            <w:vAlign w:val="center"/>
            <w:textDirection w:val="lrTb"/>
            <w:noWrap w:val="false"/>
          </w:tcPr>
          <w:p>
            <w:pPr>
              <w:ind w:left="0" w:right="0" w:firstLine="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江苏能呈、安科瑞、南京振瑞或同等及以上档次品牌</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772" w:type="dxa"/>
            <w:vAlign w:val="center"/>
            <w:textDirection w:val="lrTb"/>
            <w:noWrap w:val="false"/>
          </w:tcPr>
          <w:p>
            <w:pPr>
              <w:ind w:left="0" w:right="0" w:firstLine="0"/>
              <w:jc w:val="center"/>
              <w:spacing w:line="240" w:lineRule="auto"/>
              <w:tabs>
                <w:tab w:val="left" w:pos="2310" w:leader="none"/>
              </w:tabs>
              <w:rPr>
                <w:rFonts w:ascii="宋体" w:hAnsi="宋体" w:eastAsia="宋体"/>
                <w:color w:val="000000"/>
                <w:sz w:val="22"/>
                <w:szCs w:val="21"/>
                <w:highlight w:val="none"/>
              </w:rPr>
            </w:pPr>
            <w:r>
              <w:rPr>
                <w:rFonts w:ascii="宋体" w:hAnsi="宋体" w:eastAsia="宋体"/>
                <w:color w:val="000000"/>
                <w:sz w:val="22"/>
                <w:szCs w:val="21"/>
                <w:highlight w:val="none"/>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20" w:type="dxa"/>
            <w:vAlign w:val="center"/>
            <w:textDirection w:val="lrTb"/>
            <w:noWrap w:val="false"/>
          </w:tcPr>
          <w:p>
            <w:pPr>
              <w:ind w:left="0" w:right="0" w:firstLine="0"/>
              <w:jc w:val="left"/>
              <w:widowControl/>
              <w:rPr>
                <w:rFonts w:ascii="宋体" w:hAnsi="宋体" w:eastAsia="宋体"/>
                <w:color w:val="000000"/>
                <w:sz w:val="22"/>
                <w:szCs w:val="21"/>
                <w:highlight w:val="none"/>
              </w:rPr>
            </w:pPr>
            <w:r>
              <w:rPr>
                <w:rFonts w:hint="eastAsia" w:ascii="宋体" w:hAnsi="宋体" w:eastAsia="宋体" w:cs="宋体"/>
                <w:color w:val="000000"/>
                <w:sz w:val="22"/>
                <w:szCs w:val="22"/>
                <w:highlight w:val="none"/>
              </w:rPr>
              <w:t xml:space="preserve">电容</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36" w:type="dxa"/>
            <w:vAlign w:val="center"/>
            <w:textDirection w:val="lrTb"/>
            <w:noWrap w:val="false"/>
          </w:tcPr>
          <w:p>
            <w:pPr>
              <w:ind w:left="0" w:right="0" w:firstLine="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江苏能呈、德克萨斯，拉塞瑞或同等及以上档次品牌</w:t>
            </w:r>
            <w:r/>
          </w:p>
        </w:tc>
      </w:tr>
      <w:tr>
        <w:trPr>
          <w:jc w:val="center"/>
          <w:trHeight w:val="0"/>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772" w:type="dxa"/>
            <w:vAlign w:val="center"/>
            <w:textDirection w:val="lrTb"/>
            <w:noWrap w:val="false"/>
          </w:tcPr>
          <w:p>
            <w:pPr>
              <w:ind w:left="0" w:right="0" w:firstLine="0"/>
              <w:jc w:val="center"/>
              <w:spacing w:line="240" w:lineRule="auto"/>
              <w:tabs>
                <w:tab w:val="left" w:pos="2310" w:leader="none"/>
              </w:tabs>
              <w:rPr>
                <w:rFonts w:ascii="宋体" w:hAnsi="宋体" w:eastAsia="宋体"/>
                <w:color w:val="000000"/>
                <w:sz w:val="22"/>
                <w:szCs w:val="21"/>
                <w:highlight w:val="none"/>
              </w:rPr>
            </w:pPr>
            <w:r>
              <w:rPr>
                <w:rFonts w:ascii="宋体" w:hAnsi="宋体" w:eastAsia="宋体"/>
                <w:color w:val="000000"/>
                <w:sz w:val="22"/>
                <w:szCs w:val="21"/>
                <w:highlight w:val="none"/>
              </w:rPr>
              <w:t xml:space="preserve">5</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3420" w:type="dxa"/>
            <w:vAlign w:val="center"/>
            <w:textDirection w:val="lrTb"/>
            <w:noWrap w:val="false"/>
          </w:tcPr>
          <w:p>
            <w:pPr>
              <w:ind w:left="0" w:right="0" w:firstLine="0"/>
              <w:jc w:val="left"/>
              <w:widowControl/>
              <w:rPr>
                <w:rFonts w:ascii="宋体" w:hAnsi="宋体" w:eastAsia="宋体"/>
                <w:color w:val="000000"/>
                <w:sz w:val="22"/>
                <w:szCs w:val="21"/>
                <w:highlight w:val="none"/>
              </w:rPr>
            </w:pPr>
            <w:r>
              <w:rPr>
                <w:rFonts w:hint="eastAsia" w:ascii="宋体" w:hAnsi="宋体" w:eastAsia="宋体" w:cs="宋体"/>
                <w:color w:val="000000"/>
                <w:sz w:val="22"/>
                <w:szCs w:val="22"/>
                <w:highlight w:val="none"/>
              </w:rPr>
              <w:t xml:space="preserve">电力电缆</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5436" w:type="dxa"/>
            <w:vAlign w:val="center"/>
            <w:textDirection w:val="lrTb"/>
            <w:noWrap w:val="false"/>
          </w:tcPr>
          <w:p>
            <w:pPr>
              <w:ind w:left="0" w:right="0" w:firstLine="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江南、远</w:t>
            </w:r>
            <w:r>
              <w:rPr>
                <w:rFonts w:hint="eastAsia" w:ascii="宋体" w:hAnsi="宋体" w:eastAsia="宋体" w:cs="宋体"/>
                <w:color w:val="000000"/>
                <w:sz w:val="22"/>
                <w:szCs w:val="22"/>
                <w:highlight w:val="none"/>
              </w:rPr>
              <w:t xml:space="preserve">东、</w:t>
            </w:r>
            <w:r>
              <w:rPr>
                <w:rFonts w:hint="eastAsia" w:ascii="宋体" w:hAnsi="宋体" w:cs="宋体"/>
                <w:color w:val="000000"/>
                <w:sz w:val="22"/>
                <w:szCs w:val="22"/>
                <w:highlight w:val="none"/>
                <w:lang w:val="en-US" w:eastAsia="zh-CN"/>
              </w:rPr>
              <w:t xml:space="preserve">金陵</w:t>
            </w:r>
            <w:r>
              <w:rPr>
                <w:rFonts w:hint="eastAsia" w:ascii="宋体" w:hAnsi="宋体" w:eastAsia="宋体" w:cs="宋体"/>
                <w:color w:val="000000"/>
                <w:sz w:val="22"/>
                <w:szCs w:val="22"/>
                <w:highlight w:val="none"/>
              </w:rPr>
              <w:t xml:space="preserve">或同等</w:t>
            </w:r>
            <w:r>
              <w:rPr>
                <w:rFonts w:hint="eastAsia" w:ascii="宋体" w:hAnsi="宋体" w:eastAsia="宋体" w:cs="宋体"/>
                <w:color w:val="000000"/>
                <w:sz w:val="22"/>
                <w:szCs w:val="22"/>
                <w:highlight w:val="none"/>
              </w:rPr>
              <w:t xml:space="preserve">及以上档次品牌</w:t>
            </w:r>
            <w:r/>
          </w:p>
        </w:tc>
      </w:tr>
    </w:tbl>
    <w:p>
      <w:pPr>
        <w:spacing w:line="300" w:lineRule="auto"/>
        <w:rPr>
          <w:rFonts w:hint="eastAsia" w:ascii="宋体" w:hAnsi="宋体" w:eastAsia="宋体"/>
          <w:b/>
          <w:color w:val="auto"/>
          <w:szCs w:val="24"/>
          <w:highlight w:val="none"/>
          <w:lang w:val="en-US" w:eastAsia="zh-CN"/>
        </w:rPr>
      </w:pPr>
      <w:r>
        <w:rPr>
          <w:rFonts w:hint="eastAsia" w:ascii="宋体" w:hAnsi="宋体" w:eastAsia="宋体"/>
          <w:b/>
          <w:color w:val="auto"/>
          <w:szCs w:val="24"/>
          <w:highlight w:val="none"/>
          <w:lang w:val="en-US" w:eastAsia="zh-CN"/>
        </w:rPr>
      </w:r>
      <w:r/>
    </w:p>
    <w:p>
      <w:pPr>
        <w:spacing w:line="300" w:lineRule="auto"/>
        <w:rPr>
          <w:rFonts w:hint="default" w:ascii="宋体" w:hAnsi="宋体" w:eastAsia="宋体"/>
          <w:b/>
          <w:color w:val="auto"/>
          <w:szCs w:val="24"/>
          <w:highlight w:val="none"/>
          <w:lang w:val="en-US" w:eastAsia="zh-CN"/>
        </w:rPr>
        <w:outlineLvl w:val="1"/>
      </w:pPr>
      <w:r>
        <w:rPr>
          <w:rFonts w:hint="eastAsia" w:ascii="宋体" w:hAnsi="宋体" w:eastAsia="宋体"/>
          <w:b/>
          <w:color w:val="auto"/>
          <w:szCs w:val="24"/>
          <w:highlight w:val="none"/>
          <w:lang w:val="en-US" w:eastAsia="zh-CN"/>
        </w:rPr>
        <w:t xml:space="preserve">三</w:t>
      </w:r>
      <w:r>
        <w:rPr>
          <w:rFonts w:hint="eastAsia" w:ascii="宋体" w:hAnsi="宋体" w:eastAsia="宋体" w:cs="宋体"/>
          <w:b/>
          <w:bCs/>
          <w:color w:val="auto"/>
          <w:sz w:val="21"/>
          <w:szCs w:val="21"/>
          <w:highlight w:val="none"/>
          <w:lang w:val="en-US" w:eastAsia="zh-CN"/>
        </w:rPr>
        <w:t xml:space="preserve">、主要产品技术要求</w:t>
      </w:r>
      <w:r/>
    </w:p>
    <w:tbl>
      <w:tblPr>
        <w:tblStyle w:val="722"/>
        <w:tblpPr w:horzAnchor="margin" w:tblpX="113" w:vertAnchor="text" w:tblpY="350" w:leftFromText="180" w:topFromText="0" w:rightFromText="180" w:bottomFromText="0"/>
        <w:tblW w:w="93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140"/>
        <w:gridCol w:w="6805"/>
        <w:gridCol w:w="705"/>
      </w:tblGrid>
      <w:tr>
        <w:trPr/>
        <w:tc>
          <w:tcPr>
            <w:shd w:val="clear" w:color="auto" w:fill="auto"/>
            <w:tcW w:w="740" w:type="dxa"/>
            <w:textDirection w:val="lrTb"/>
            <w:noWrap w:val="false"/>
          </w:tcPr>
          <w:p>
            <w:pPr>
              <w:jc w:val="center"/>
              <w:rPr>
                <w:rFonts w:ascii="宋体" w:hAnsi="宋体" w:cs="宋体"/>
                <w:b/>
                <w:color w:val="000000"/>
                <w:sz w:val="22"/>
                <w:highlight w:val="none"/>
              </w:rPr>
            </w:pPr>
            <w:r>
              <w:rPr>
                <w:rFonts w:hint="eastAsia" w:ascii="宋体" w:hAnsi="宋体" w:cs="宋体"/>
                <w:b/>
                <w:color w:val="000000"/>
                <w:sz w:val="22"/>
                <w:highlight w:val="none"/>
              </w:rPr>
              <w:t xml:space="preserve">序号</w:t>
            </w:r>
            <w:r/>
          </w:p>
        </w:tc>
        <w:tc>
          <w:tcPr>
            <w:shd w:val="clear" w:color="auto" w:fill="auto"/>
            <w:tcW w:w="1140" w:type="dxa"/>
            <w:textDirection w:val="lrTb"/>
            <w:noWrap w:val="false"/>
          </w:tcPr>
          <w:p>
            <w:pPr>
              <w:jc w:val="center"/>
              <w:rPr>
                <w:rFonts w:ascii="宋体" w:hAnsi="宋体" w:cs="宋体"/>
                <w:b/>
                <w:color w:val="000000"/>
                <w:sz w:val="22"/>
                <w:highlight w:val="none"/>
              </w:rPr>
            </w:pPr>
            <w:r>
              <w:rPr>
                <w:rFonts w:hint="eastAsia" w:ascii="宋体" w:hAnsi="宋体" w:cs="宋体"/>
                <w:b/>
                <w:color w:val="000000"/>
                <w:sz w:val="22"/>
                <w:highlight w:val="none"/>
              </w:rPr>
              <w:t xml:space="preserve">设备名称</w:t>
            </w:r>
            <w:r/>
          </w:p>
        </w:tc>
        <w:tc>
          <w:tcPr>
            <w:shd w:val="clear" w:color="auto" w:fill="auto"/>
            <w:tcW w:w="6805" w:type="dxa"/>
            <w:textDirection w:val="lrTb"/>
            <w:noWrap w:val="false"/>
          </w:tcPr>
          <w:p>
            <w:pPr>
              <w:jc w:val="center"/>
              <w:rPr>
                <w:rFonts w:ascii="宋体" w:hAnsi="宋体" w:cs="宋体"/>
                <w:b/>
                <w:color w:val="000000"/>
                <w:sz w:val="22"/>
                <w:highlight w:val="none"/>
              </w:rPr>
            </w:pPr>
            <w:r>
              <w:rPr>
                <w:rFonts w:hint="eastAsia" w:ascii="宋体" w:hAnsi="宋体" w:cs="宋体"/>
                <w:b/>
                <w:color w:val="000000"/>
                <w:sz w:val="22"/>
                <w:highlight w:val="none"/>
              </w:rPr>
              <w:t xml:space="preserve">技术参数及要求</w:t>
            </w:r>
            <w:r/>
          </w:p>
        </w:tc>
        <w:tc>
          <w:tcPr>
            <w:tcW w:w="705" w:type="dxa"/>
            <w:textDirection w:val="lrTb"/>
            <w:noWrap w:val="false"/>
          </w:tcPr>
          <w:p>
            <w:pPr>
              <w:jc w:val="center"/>
              <w:rPr>
                <w:rFonts w:ascii="宋体" w:hAnsi="宋体" w:cs="宋体"/>
                <w:b/>
                <w:color w:val="000000"/>
                <w:sz w:val="22"/>
                <w:highlight w:val="none"/>
              </w:rPr>
            </w:pPr>
            <w:r>
              <w:rPr>
                <w:rFonts w:hint="eastAsia" w:ascii="宋体" w:hAnsi="宋体" w:cs="宋体"/>
                <w:b/>
                <w:color w:val="000000"/>
                <w:sz w:val="22"/>
                <w:highlight w:val="none"/>
              </w:rPr>
              <w:t xml:space="preserve">备注</w:t>
            </w:r>
            <w:r/>
          </w:p>
        </w:tc>
      </w:tr>
      <w:tr>
        <w:trPr/>
        <w:tc>
          <w:tcPr>
            <w:gridSpan w:val="4"/>
            <w:shd w:val="clear" w:color="auto" w:fill="auto"/>
            <w:tcW w:w="9390" w:type="dxa"/>
            <w:textDirection w:val="lrTb"/>
            <w:noWrap w:val="false"/>
          </w:tcPr>
          <w:p>
            <w:pPr>
              <w:jc w:val="left"/>
              <w:rPr>
                <w:rFonts w:ascii="宋体" w:hAnsi="宋体" w:cs="宋体"/>
                <w:b/>
                <w:color w:val="000000"/>
                <w:sz w:val="22"/>
                <w:highlight w:val="none"/>
              </w:rPr>
            </w:pPr>
            <w:r>
              <w:rPr>
                <w:rFonts w:hint="eastAsia" w:ascii="宋体" w:hAnsi="宋体" w:cs="宋体"/>
                <w:b/>
                <w:color w:val="000000"/>
                <w:sz w:val="22"/>
                <w:highlight w:val="none"/>
              </w:rPr>
              <w:t xml:space="preserve">一、预制舱舱体</w:t>
            </w:r>
            <w:r/>
          </w:p>
        </w:tc>
      </w:tr>
      <w:tr>
        <w:trPr/>
        <w:tc>
          <w:tcPr>
            <w:gridSpan w:val="2"/>
            <w:shd w:val="clear" w:color="auto" w:fill="auto"/>
            <w:tcW w:w="1880" w:type="dxa"/>
            <w:vAlign w:val="center"/>
            <w:textDirection w:val="lrTb"/>
            <w:noWrap w:val="false"/>
          </w:tcPr>
          <w:p>
            <w:pPr>
              <w:jc w:val="center"/>
              <w:rPr>
                <w:rFonts w:ascii="宋体" w:hAnsi="宋体" w:cs="宋体"/>
                <w:bCs/>
                <w:color w:val="000000"/>
                <w:sz w:val="22"/>
                <w:highlight w:val="none"/>
              </w:rPr>
            </w:pPr>
            <w:r>
              <w:rPr>
                <w:rFonts w:hint="eastAsia" w:ascii="宋体" w:hAnsi="宋体" w:cs="宋体"/>
                <w:bCs/>
                <w:sz w:val="22"/>
                <w:highlight w:val="none"/>
              </w:rPr>
              <w:t xml:space="preserve">★实质</w:t>
            </w:r>
            <w:r>
              <w:rPr>
                <w:rFonts w:hint="eastAsia" w:ascii="宋体" w:hAnsi="宋体" w:cs="宋体"/>
                <w:bCs/>
                <w:spacing w:val="1"/>
                <w:sz w:val="22"/>
                <w:highlight w:val="none"/>
              </w:rPr>
              <w:t xml:space="preserve">性</w:t>
            </w:r>
            <w:r>
              <w:rPr>
                <w:rFonts w:hint="eastAsia" w:ascii="宋体" w:hAnsi="宋体" w:cs="宋体"/>
                <w:bCs/>
                <w:sz w:val="22"/>
                <w:highlight w:val="none"/>
              </w:rPr>
              <w:t xml:space="preserve">要求</w:t>
            </w:r>
            <w:r/>
          </w:p>
        </w:tc>
        <w:tc>
          <w:tcPr>
            <w:shd w:val="clear" w:color="auto" w:fill="auto"/>
            <w:tcW w:w="6805" w:type="dxa"/>
            <w:textDirection w:val="lrTb"/>
            <w:noWrap w:val="false"/>
          </w:tcPr>
          <w:p>
            <w:pPr>
              <w:rPr>
                <w:rFonts w:hint="default" w:ascii="宋体" w:hAnsi="宋体" w:eastAsia="宋体" w:cs="宋体"/>
                <w:bCs/>
                <w:sz w:val="22"/>
                <w:highlight w:val="none"/>
                <w:lang w:val="en-US" w:eastAsia="zh-CN"/>
              </w:rPr>
            </w:pPr>
            <w:r>
              <w:rPr>
                <w:rFonts w:hint="eastAsia" w:ascii="宋体" w:hAnsi="宋体" w:cs="宋体"/>
                <w:bCs/>
                <w:sz w:val="22"/>
                <w:highlight w:val="none"/>
                <w:lang w:val="en-US" w:eastAsia="zh-CN"/>
              </w:rPr>
              <w:t xml:space="preserve">具有国家认可的第三方检测机构出具的预制舱配电设备</w:t>
            </w:r>
            <w:r>
              <w:rPr>
                <w:rFonts w:hint="eastAsia" w:ascii="宋体" w:hAnsi="宋体" w:cs="宋体"/>
                <w:bCs/>
                <w:sz w:val="22"/>
                <w:highlight w:val="none"/>
                <w:lang w:val="en-US" w:eastAsia="zh-CN"/>
              </w:rPr>
              <w:t xml:space="preserve">型式检验报告</w:t>
            </w:r>
            <w:r/>
          </w:p>
        </w:tc>
        <w:tc>
          <w:tcPr>
            <w:tcW w:w="705" w:type="dxa"/>
            <w:textDirection w:val="lrTb"/>
            <w:noWrap w:val="false"/>
          </w:tcPr>
          <w:p>
            <w:pPr>
              <w:jc w:val="center"/>
              <w:rPr>
                <w:rFonts w:ascii="宋体" w:hAnsi="宋体" w:cs="宋体"/>
                <w:b/>
                <w:color w:val="000000"/>
                <w:sz w:val="22"/>
                <w:highlight w:val="none"/>
              </w:rPr>
            </w:pPr>
            <w:r>
              <w:rPr>
                <w:rFonts w:ascii="宋体" w:hAnsi="宋体" w:cs="宋体"/>
                <w:b/>
                <w:color w:val="000000"/>
                <w:sz w:val="22"/>
                <w:highlight w:val="none"/>
              </w:rPr>
            </w:r>
            <w:r/>
          </w:p>
        </w:tc>
      </w:tr>
      <w:tr>
        <w:trPr/>
        <w:tc>
          <w:tcPr>
            <w:gridSpan w:val="2"/>
            <w:shd w:val="clear" w:color="auto" w:fill="auto"/>
            <w:tcW w:w="1880" w:type="dxa"/>
            <w:vAlign w:val="center"/>
            <w:textDirection w:val="lrTb"/>
            <w:noWrap w:val="false"/>
          </w:tcPr>
          <w:p>
            <w:pPr>
              <w:jc w:val="center"/>
              <w:rPr>
                <w:rFonts w:ascii="宋体" w:hAnsi="宋体" w:cs="宋体"/>
                <w:bCs/>
                <w:color w:val="000000"/>
                <w:sz w:val="22"/>
                <w:highlight w:val="none"/>
              </w:rPr>
            </w:pPr>
            <w:r>
              <w:rPr>
                <w:rFonts w:hint="eastAsia" w:ascii="宋体" w:hAnsi="宋体" w:cs="宋体"/>
                <w:bCs/>
                <w:sz w:val="22"/>
                <w:highlight w:val="none"/>
              </w:rPr>
              <w:t xml:space="preserve">非实</w:t>
            </w:r>
            <w:r>
              <w:rPr>
                <w:rFonts w:hint="eastAsia" w:ascii="宋体" w:hAnsi="宋体" w:cs="宋体"/>
                <w:bCs/>
                <w:spacing w:val="1"/>
                <w:sz w:val="22"/>
                <w:highlight w:val="none"/>
              </w:rPr>
              <w:t xml:space="preserve">质</w:t>
            </w:r>
            <w:r>
              <w:rPr>
                <w:rFonts w:hint="eastAsia" w:ascii="宋体" w:hAnsi="宋体" w:cs="宋体"/>
                <w:bCs/>
                <w:sz w:val="22"/>
                <w:highlight w:val="none"/>
              </w:rPr>
              <w:t xml:space="preserve">性要求</w:t>
            </w:r>
            <w:r/>
          </w:p>
        </w:tc>
        <w:tc>
          <w:tcPr>
            <w:shd w:val="clear" w:color="auto" w:fill="auto"/>
            <w:tcW w:w="6805" w:type="dxa"/>
            <w:textDirection w:val="lrTb"/>
            <w:noWrap w:val="false"/>
          </w:tcPr>
          <w:p>
            <w:pPr>
              <w:rPr>
                <w:rFonts w:ascii="宋体" w:hAnsi="宋体" w:cs="宋体"/>
                <w:bCs/>
                <w:sz w:val="22"/>
                <w:highlight w:val="none"/>
              </w:rPr>
            </w:pPr>
            <w:r>
              <w:rPr>
                <w:rFonts w:hint="eastAsia" w:ascii="宋体" w:hAnsi="宋体" w:cs="宋体"/>
                <w:bCs/>
                <w:sz w:val="22"/>
                <w:highlight w:val="none"/>
              </w:rPr>
              <w:t xml:space="preserve">▲1、预制舱外壳防护等级不低于IP54</w:t>
            </w:r>
            <w:r/>
          </w:p>
          <w:p>
            <w:pPr>
              <w:rPr>
                <w:rFonts w:ascii="宋体" w:hAnsi="宋体" w:cs="宋体"/>
                <w:bCs/>
                <w:sz w:val="22"/>
                <w:highlight w:val="none"/>
              </w:rPr>
            </w:pPr>
            <w:r>
              <w:rPr>
                <w:rFonts w:hint="eastAsia" w:ascii="宋体" w:hAnsi="宋体" w:cs="宋体"/>
                <w:bCs/>
                <w:sz w:val="22"/>
                <w:highlight w:val="none"/>
              </w:rPr>
              <w:t xml:space="preserve">2、外壳耐受机械碰撞试验报告</w:t>
            </w:r>
            <w:r/>
          </w:p>
          <w:p>
            <w:pPr>
              <w:rPr>
                <w:rFonts w:ascii="宋体" w:hAnsi="宋体" w:cs="宋体"/>
                <w:bCs/>
                <w:sz w:val="22"/>
                <w:highlight w:val="none"/>
              </w:rPr>
            </w:pPr>
            <w:r>
              <w:rPr>
                <w:rFonts w:hint="eastAsia" w:ascii="宋体" w:hAnsi="宋体" w:cs="宋体"/>
                <w:bCs/>
                <w:sz w:val="22"/>
                <w:highlight w:val="none"/>
              </w:rPr>
              <w:t xml:space="preserve">▲3、盐雾试验不低于90小时</w:t>
            </w:r>
            <w:r/>
          </w:p>
        </w:tc>
        <w:tc>
          <w:tcPr>
            <w:tcW w:w="705" w:type="dxa"/>
            <w:textDirection w:val="lrTb"/>
            <w:noWrap w:val="false"/>
          </w:tcPr>
          <w:p>
            <w:pPr>
              <w:jc w:val="center"/>
              <w:rPr>
                <w:rFonts w:ascii="宋体" w:hAnsi="宋体" w:cs="宋体"/>
                <w:b/>
                <w:color w:val="000000"/>
                <w:sz w:val="22"/>
                <w:highlight w:val="none"/>
              </w:rPr>
            </w:pPr>
            <w:r>
              <w:rPr>
                <w:rFonts w:ascii="宋体" w:hAnsi="宋体" w:cs="宋体"/>
                <w:b/>
                <w:color w:val="000000"/>
                <w:sz w:val="22"/>
                <w:highlight w:val="none"/>
              </w:rPr>
            </w:r>
            <w:r/>
          </w:p>
        </w:tc>
      </w:tr>
      <w:tr>
        <w:trPr/>
        <w:tc>
          <w:tcPr>
            <w:gridSpan w:val="4"/>
            <w:tcW w:w="9390" w:type="dxa"/>
            <w:textDirection w:val="lrTb"/>
            <w:noWrap w:val="false"/>
          </w:tcPr>
          <w:p>
            <w:pPr>
              <w:rPr>
                <w:rFonts w:ascii="宋体" w:hAnsi="宋体" w:cs="宋体"/>
                <w:b/>
                <w:color w:val="000000"/>
                <w:sz w:val="22"/>
                <w:highlight w:val="none"/>
              </w:rPr>
            </w:pPr>
            <w:r>
              <w:rPr>
                <w:rFonts w:hint="eastAsia" w:ascii="宋体" w:hAnsi="宋体" w:cs="宋体"/>
                <w:b/>
                <w:color w:val="000000"/>
                <w:sz w:val="22"/>
                <w:highlight w:val="none"/>
              </w:rPr>
              <w:t xml:space="preserve">二、高压开关柜</w:t>
            </w:r>
            <w:r/>
          </w:p>
        </w:tc>
      </w:tr>
      <w:tr>
        <w:trPr>
          <w:trHeight w:val="425"/>
        </w:trPr>
        <w:tc>
          <w:tcPr>
            <w:gridSpan w:val="2"/>
            <w:shd w:val="clear" w:color="auto" w:fill="auto"/>
            <w:tcW w:w="1880" w:type="dxa"/>
            <w:vAlign w:val="center"/>
            <w:textDirection w:val="lrTb"/>
            <w:noWrap w:val="false"/>
          </w:tcPr>
          <w:p>
            <w:pPr>
              <w:jc w:val="center"/>
              <w:rPr>
                <w:rFonts w:ascii="宋体" w:hAnsi="宋体" w:cs="宋体"/>
                <w:bCs/>
                <w:color w:val="000000"/>
                <w:sz w:val="22"/>
                <w:highlight w:val="none"/>
              </w:rPr>
            </w:pPr>
            <w:r>
              <w:rPr>
                <w:rFonts w:hint="eastAsia" w:ascii="宋体" w:hAnsi="宋体" w:cs="宋体"/>
                <w:bCs/>
                <w:sz w:val="22"/>
                <w:highlight w:val="none"/>
              </w:rPr>
              <w:t xml:space="preserve">★实质</w:t>
            </w:r>
            <w:r>
              <w:rPr>
                <w:rFonts w:hint="eastAsia" w:ascii="宋体" w:hAnsi="宋体" w:cs="宋体"/>
                <w:bCs/>
                <w:spacing w:val="1"/>
                <w:sz w:val="22"/>
                <w:highlight w:val="none"/>
              </w:rPr>
              <w:t xml:space="preserve">性</w:t>
            </w:r>
            <w:r>
              <w:rPr>
                <w:rFonts w:hint="eastAsia" w:ascii="宋体" w:hAnsi="宋体" w:cs="宋体"/>
                <w:bCs/>
                <w:sz w:val="22"/>
                <w:highlight w:val="none"/>
              </w:rPr>
              <w:t xml:space="preserve">要求</w:t>
            </w:r>
            <w:r/>
          </w:p>
        </w:tc>
        <w:tc>
          <w:tcPr>
            <w:tcW w:w="6805" w:type="dxa"/>
            <w:textDirection w:val="lrTb"/>
            <w:noWrap w:val="false"/>
          </w:tcPr>
          <w:p>
            <w:pPr>
              <w:rPr>
                <w:rFonts w:ascii="宋体" w:hAnsi="宋体" w:cs="宋体"/>
                <w:bCs/>
                <w:sz w:val="22"/>
                <w:highlight w:val="none"/>
              </w:rPr>
            </w:pPr>
            <w:r>
              <w:rPr>
                <w:rFonts w:hint="eastAsia" w:ascii="宋体" w:hAnsi="宋体" w:cs="宋体"/>
                <w:bCs/>
                <w:sz w:val="22"/>
                <w:highlight w:val="none"/>
                <w:lang w:val="en-US" w:eastAsia="zh-CN"/>
              </w:rPr>
              <w:t xml:space="preserve">具有国家认可的第三方检测机构出具的</w:t>
            </w:r>
            <w:r>
              <w:rPr>
                <w:rFonts w:hint="eastAsia" w:ascii="宋体" w:hAnsi="宋体" w:cs="宋体"/>
                <w:bCs/>
                <w:sz w:val="22"/>
                <w:highlight w:val="none"/>
              </w:rPr>
              <w:t xml:space="preserve">10</w:t>
            </w:r>
            <w:r>
              <w:rPr>
                <w:rFonts w:hint="eastAsia" w:ascii="宋体" w:hAnsi="宋体" w:cs="宋体"/>
                <w:bCs/>
                <w:sz w:val="22"/>
                <w:highlight w:val="none"/>
                <w:lang w:val="en-US" w:eastAsia="zh-CN"/>
              </w:rPr>
              <w:t xml:space="preserve">k</w:t>
            </w:r>
            <w:r>
              <w:rPr>
                <w:rFonts w:hint="eastAsia" w:ascii="宋体" w:hAnsi="宋体" w:cs="宋体"/>
                <w:bCs/>
                <w:sz w:val="22"/>
                <w:highlight w:val="none"/>
              </w:rPr>
              <w:t xml:space="preserve">V</w:t>
            </w:r>
            <w:r>
              <w:rPr>
                <w:rFonts w:hint="eastAsia" w:ascii="宋体" w:hAnsi="宋体" w:cs="宋体"/>
                <w:bCs/>
                <w:sz w:val="22"/>
                <w:highlight w:val="none"/>
                <w:lang w:val="en-US" w:eastAsia="zh-CN"/>
              </w:rPr>
              <w:t xml:space="preserve">气体</w:t>
            </w:r>
            <w:r>
              <w:rPr>
                <w:rFonts w:hint="eastAsia" w:ascii="宋体" w:hAnsi="宋体" w:cs="宋体"/>
                <w:bCs/>
                <w:sz w:val="22"/>
                <w:highlight w:val="none"/>
              </w:rPr>
              <w:t xml:space="preserve">绝缘</w:t>
            </w:r>
            <w:r>
              <w:rPr>
                <w:rFonts w:hint="eastAsia" w:ascii="宋体" w:hAnsi="宋体" w:cs="宋体"/>
                <w:bCs/>
                <w:sz w:val="22"/>
                <w:highlight w:val="none"/>
                <w:lang w:val="en-US" w:eastAsia="zh-CN"/>
              </w:rPr>
              <w:t xml:space="preserve">封闭开关设备</w:t>
            </w:r>
            <w:r>
              <w:rPr>
                <w:rFonts w:hint="eastAsia" w:ascii="宋体" w:hAnsi="宋体" w:cs="宋体"/>
                <w:bCs/>
                <w:sz w:val="22"/>
                <w:highlight w:val="none"/>
                <w:lang w:val="en-US" w:eastAsia="zh-CN"/>
              </w:rPr>
              <w:t xml:space="preserve">型式</w:t>
            </w:r>
            <w:r>
              <w:rPr>
                <w:rFonts w:hint="eastAsia" w:ascii="宋体" w:hAnsi="宋体" w:cs="宋体"/>
                <w:bCs/>
                <w:sz w:val="22"/>
                <w:highlight w:val="none"/>
              </w:rPr>
              <w:t xml:space="preserve">试验报告</w:t>
            </w:r>
            <w:r/>
          </w:p>
        </w:tc>
        <w:tc>
          <w:tcPr>
            <w:tcW w:w="705" w:type="dxa"/>
            <w:textDirection w:val="lrTb"/>
            <w:noWrap w:val="false"/>
          </w:tcPr>
          <w:p>
            <w:pPr>
              <w:rPr>
                <w:rFonts w:ascii="宋体" w:hAnsi="宋体" w:cs="宋体"/>
                <w:b/>
                <w:color w:val="000000"/>
                <w:sz w:val="22"/>
                <w:highlight w:val="none"/>
              </w:rPr>
            </w:pPr>
            <w:r>
              <w:rPr>
                <w:rFonts w:ascii="宋体" w:hAnsi="宋体" w:cs="宋体"/>
                <w:b/>
                <w:color w:val="000000"/>
                <w:sz w:val="22"/>
                <w:highlight w:val="none"/>
              </w:rPr>
            </w:r>
            <w:r/>
          </w:p>
        </w:tc>
      </w:tr>
      <w:tr>
        <w:trPr>
          <w:trHeight w:val="4175"/>
        </w:trPr>
        <w:tc>
          <w:tcPr>
            <w:gridSpan w:val="2"/>
            <w:shd w:val="clear" w:color="auto" w:fill="auto"/>
            <w:tcW w:w="1880" w:type="dxa"/>
            <w:vAlign w:val="center"/>
            <w:textDirection w:val="lrTb"/>
            <w:noWrap w:val="false"/>
          </w:tcPr>
          <w:p>
            <w:pPr>
              <w:jc w:val="center"/>
              <w:rPr>
                <w:rFonts w:ascii="宋体" w:hAnsi="宋体" w:cs="宋体"/>
                <w:bCs/>
                <w:color w:val="000000"/>
                <w:sz w:val="22"/>
                <w:highlight w:val="none"/>
              </w:rPr>
            </w:pPr>
            <w:r>
              <w:rPr>
                <w:rFonts w:hint="eastAsia" w:ascii="宋体" w:hAnsi="宋体" w:cs="宋体"/>
                <w:bCs/>
                <w:sz w:val="22"/>
                <w:highlight w:val="none"/>
              </w:rPr>
              <w:t xml:space="preserve">非实</w:t>
            </w:r>
            <w:r>
              <w:rPr>
                <w:rFonts w:hint="eastAsia" w:ascii="宋体" w:hAnsi="宋体" w:cs="宋体"/>
                <w:bCs/>
                <w:spacing w:val="1"/>
                <w:sz w:val="22"/>
                <w:highlight w:val="none"/>
              </w:rPr>
              <w:t xml:space="preserve">质</w:t>
            </w:r>
            <w:r>
              <w:rPr>
                <w:rFonts w:hint="eastAsia" w:ascii="宋体" w:hAnsi="宋体" w:cs="宋体"/>
                <w:bCs/>
                <w:sz w:val="22"/>
                <w:highlight w:val="none"/>
              </w:rPr>
              <w:t xml:space="preserve">性要求</w:t>
            </w:r>
            <w:r/>
          </w:p>
        </w:tc>
        <w:tc>
          <w:tcPr>
            <w:tcW w:w="6805" w:type="dxa"/>
            <w:textDirection w:val="lrTb"/>
            <w:noWrap w:val="false"/>
          </w:tcPr>
          <w:p>
            <w:pPr>
              <w:rPr>
                <w:rFonts w:ascii="宋体" w:hAnsi="宋体" w:cs="宋体"/>
                <w:bCs/>
                <w:sz w:val="22"/>
                <w:highlight w:val="none"/>
              </w:rPr>
            </w:pPr>
            <w:r>
              <w:rPr>
                <w:rFonts w:hint="eastAsia" w:ascii="宋体" w:hAnsi="宋体" w:cs="宋体"/>
                <w:bCs/>
                <w:sz w:val="22"/>
                <w:highlight w:val="none"/>
              </w:rPr>
              <w:t xml:space="preserve">1、绝缘试验；</w:t>
            </w:r>
            <w:r/>
          </w:p>
          <w:p>
            <w:pPr>
              <w:rPr>
                <w:rFonts w:ascii="宋体" w:hAnsi="宋体" w:cs="宋体"/>
                <w:bCs/>
                <w:sz w:val="22"/>
                <w:highlight w:val="none"/>
              </w:rPr>
            </w:pPr>
            <w:r>
              <w:rPr>
                <w:rFonts w:hint="eastAsia" w:ascii="宋体" w:hAnsi="宋体" w:cs="宋体"/>
                <w:bCs/>
                <w:sz w:val="22"/>
                <w:highlight w:val="none"/>
              </w:rPr>
              <w:t xml:space="preserve">▲2、局部放电试验：1.1</w:t>
            </w:r>
            <w:r>
              <w:rPr>
                <w:rFonts w:ascii="宋体" w:hAnsi="宋体" w:cs="宋体"/>
                <w:bCs/>
                <w:sz w:val="22"/>
                <w:highlight w:val="none"/>
              </w:rPr>
              <w:t xml:space="preserve">U</w:t>
            </w:r>
            <w:r>
              <w:rPr>
                <w:rFonts w:hint="eastAsia" w:ascii="宋体" w:hAnsi="宋体" w:cs="宋体"/>
                <w:bCs/>
                <w:sz w:val="22"/>
                <w:highlight w:val="none"/>
              </w:rPr>
              <w:t xml:space="preserve">r，局部放电量≤20</w:t>
            </w:r>
            <w:r>
              <w:rPr>
                <w:rFonts w:ascii="宋体" w:hAnsi="宋体" w:cs="宋体"/>
                <w:bCs/>
                <w:sz w:val="22"/>
                <w:highlight w:val="none"/>
              </w:rPr>
              <w:t xml:space="preserve">PC</w:t>
            </w:r>
            <w:r>
              <w:rPr>
                <w:rFonts w:hint="eastAsia" w:ascii="宋体" w:hAnsi="宋体" w:cs="宋体"/>
                <w:bCs/>
                <w:sz w:val="22"/>
                <w:highlight w:val="none"/>
              </w:rPr>
              <w:t xml:space="preserve">；</w:t>
            </w:r>
            <w:r/>
          </w:p>
          <w:p>
            <w:pPr>
              <w:rPr>
                <w:rFonts w:ascii="宋体" w:hAnsi="宋体" w:cs="宋体"/>
                <w:bCs/>
                <w:sz w:val="22"/>
                <w:highlight w:val="none"/>
              </w:rPr>
            </w:pPr>
            <w:r>
              <w:rPr>
                <w:rFonts w:hint="eastAsia" w:ascii="宋体" w:hAnsi="宋体" w:cs="宋体"/>
                <w:bCs/>
                <w:sz w:val="22"/>
                <w:highlight w:val="none"/>
              </w:rPr>
              <w:t xml:space="preserve">▲3、内部电弧实验报告；</w:t>
            </w:r>
            <w:r/>
          </w:p>
          <w:p>
            <w:pPr>
              <w:rPr>
                <w:rFonts w:ascii="宋体" w:hAnsi="宋体" w:cs="宋体"/>
                <w:bCs/>
                <w:sz w:val="22"/>
                <w:highlight w:val="none"/>
              </w:rPr>
            </w:pPr>
            <w:r>
              <w:rPr>
                <w:rFonts w:hint="eastAsia" w:ascii="宋体" w:hAnsi="宋体" w:cs="宋体"/>
                <w:bCs/>
                <w:sz w:val="22"/>
                <w:highlight w:val="none"/>
              </w:rPr>
              <w:t xml:space="preserve">▲4、耐腐蚀（盐雾）试验：盐雾试验持续时间≥168小时；</w:t>
            </w:r>
            <w:r/>
          </w:p>
          <w:p>
            <w:pPr>
              <w:rPr>
                <w:rFonts w:ascii="宋体" w:hAnsi="宋体" w:cs="宋体"/>
                <w:bCs/>
                <w:sz w:val="22"/>
                <w:highlight w:val="none"/>
              </w:rPr>
            </w:pPr>
            <w:r>
              <w:rPr>
                <w:rFonts w:hint="eastAsia" w:ascii="宋体" w:hAnsi="宋体" w:cs="宋体"/>
                <w:bCs/>
                <w:sz w:val="22"/>
                <w:highlight w:val="none"/>
              </w:rPr>
              <w:t xml:space="preserve">▲5、电磁兼容性测试（E</w:t>
            </w:r>
            <w:r>
              <w:rPr>
                <w:rFonts w:ascii="宋体" w:hAnsi="宋体" w:cs="宋体"/>
                <w:bCs/>
                <w:sz w:val="22"/>
                <w:highlight w:val="none"/>
              </w:rPr>
              <w:t xml:space="preserve">MC</w:t>
            </w:r>
            <w:r>
              <w:rPr>
                <w:rFonts w:hint="eastAsia" w:ascii="宋体" w:hAnsi="宋体" w:cs="宋体"/>
                <w:bCs/>
                <w:sz w:val="22"/>
                <w:highlight w:val="none"/>
              </w:rPr>
              <w:t xml:space="preserve">）；①电快速瞬变脉冲群抗扰度试验；②阻尼振荡波抗扰度试验；③辅助和控制回路发射试验；④短时中断试验；</w:t>
            </w:r>
            <w:r/>
          </w:p>
          <w:p>
            <w:pPr>
              <w:rPr>
                <w:rFonts w:ascii="宋体" w:hAnsi="宋体" w:cs="宋体"/>
                <w:bCs/>
                <w:sz w:val="22"/>
                <w:highlight w:val="none"/>
              </w:rPr>
            </w:pPr>
            <w:r>
              <w:rPr>
                <w:rFonts w:hint="eastAsia" w:ascii="宋体" w:hAnsi="宋体" w:cs="宋体"/>
                <w:bCs/>
                <w:sz w:val="22"/>
                <w:highlight w:val="none"/>
              </w:rPr>
              <w:t xml:space="preserve">▲6、防护等级检验；外壳不小于I</w:t>
            </w:r>
            <w:r>
              <w:rPr>
                <w:rFonts w:ascii="宋体" w:hAnsi="宋体" w:cs="宋体"/>
                <w:bCs/>
                <w:sz w:val="22"/>
                <w:highlight w:val="none"/>
              </w:rPr>
              <w:t xml:space="preserve">P</w:t>
            </w:r>
            <w:r>
              <w:rPr>
                <w:rFonts w:hint="eastAsia" w:ascii="宋体" w:hAnsi="宋体" w:cs="宋体"/>
                <w:bCs/>
                <w:sz w:val="22"/>
                <w:highlight w:val="none"/>
              </w:rPr>
              <w:t xml:space="preserve">41，隔板不小于</w:t>
            </w:r>
            <w:r>
              <w:rPr>
                <w:rFonts w:ascii="宋体" w:hAnsi="宋体" w:cs="宋体"/>
                <w:bCs/>
                <w:sz w:val="22"/>
                <w:highlight w:val="none"/>
              </w:rPr>
              <w:t xml:space="preserve">IP</w:t>
            </w:r>
            <w:r>
              <w:rPr>
                <w:rFonts w:hint="eastAsia" w:ascii="宋体" w:hAnsi="宋体" w:cs="宋体"/>
                <w:bCs/>
                <w:sz w:val="22"/>
                <w:highlight w:val="none"/>
              </w:rPr>
              <w:t xml:space="preserve">2</w:t>
            </w:r>
            <w:r>
              <w:rPr>
                <w:rFonts w:ascii="宋体" w:hAnsi="宋体" w:cs="宋体"/>
                <w:bCs/>
                <w:sz w:val="22"/>
                <w:highlight w:val="none"/>
              </w:rPr>
              <w:t xml:space="preserve">X</w:t>
            </w:r>
            <w:r>
              <w:rPr>
                <w:rFonts w:hint="eastAsia" w:ascii="宋体" w:hAnsi="宋体" w:cs="宋体"/>
                <w:bCs/>
                <w:sz w:val="22"/>
                <w:highlight w:val="none"/>
              </w:rPr>
              <w:t xml:space="preserve">，充气柜隔室不小于I</w:t>
            </w:r>
            <w:r>
              <w:rPr>
                <w:rFonts w:ascii="宋体" w:hAnsi="宋体" w:cs="宋体"/>
                <w:bCs/>
                <w:sz w:val="22"/>
                <w:highlight w:val="none"/>
              </w:rPr>
              <w:t xml:space="preserve">P</w:t>
            </w:r>
            <w:r>
              <w:rPr>
                <w:rFonts w:hint="eastAsia" w:ascii="宋体" w:hAnsi="宋体" w:cs="宋体"/>
                <w:bCs/>
                <w:sz w:val="22"/>
                <w:highlight w:val="none"/>
              </w:rPr>
              <w:t xml:space="preserve">67，外壳机械撞击试验不小于</w:t>
            </w:r>
            <w:r>
              <w:rPr>
                <w:rFonts w:ascii="宋体" w:hAnsi="宋体" w:cs="宋体"/>
                <w:bCs/>
                <w:sz w:val="22"/>
                <w:highlight w:val="none"/>
              </w:rPr>
              <w:t xml:space="preserve">IK</w:t>
            </w:r>
            <w:r>
              <w:rPr>
                <w:rFonts w:hint="eastAsia" w:ascii="宋体" w:hAnsi="宋体" w:cs="宋体"/>
                <w:bCs/>
                <w:sz w:val="22"/>
                <w:highlight w:val="none"/>
              </w:rPr>
              <w:t xml:space="preserve">10；</w:t>
            </w:r>
            <w:r/>
          </w:p>
          <w:p>
            <w:pPr>
              <w:rPr>
                <w:rFonts w:ascii="宋体" w:hAnsi="宋体" w:cs="宋体"/>
                <w:bCs/>
                <w:sz w:val="22"/>
                <w:highlight w:val="none"/>
              </w:rPr>
            </w:pPr>
            <w:r>
              <w:rPr>
                <w:rFonts w:hint="eastAsia" w:ascii="宋体" w:hAnsi="宋体" w:cs="宋体"/>
                <w:bCs/>
                <w:sz w:val="22"/>
                <w:highlight w:val="none"/>
              </w:rPr>
              <w:t xml:space="preserve">▲7、密封试验：气体年漏气率≤0.02‰；</w:t>
            </w:r>
            <w:r/>
          </w:p>
          <w:p>
            <w:pPr>
              <w:rPr>
                <w:rFonts w:ascii="宋体" w:hAnsi="宋体" w:cs="宋体"/>
                <w:bCs/>
                <w:sz w:val="22"/>
                <w:highlight w:val="none"/>
              </w:rPr>
            </w:pPr>
            <w:r>
              <w:rPr>
                <w:rFonts w:hint="eastAsia" w:ascii="宋体" w:hAnsi="宋体" w:cs="宋体"/>
                <w:bCs/>
                <w:sz w:val="22"/>
                <w:highlight w:val="none"/>
              </w:rPr>
              <w:t xml:space="preserve">▲8、机械操作和机械特性试验（机械寿命）：</w:t>
            </w:r>
            <w:r>
              <w:rPr>
                <w:rFonts w:ascii="宋体" w:hAnsi="宋体" w:cs="宋体"/>
                <w:bCs/>
                <w:sz w:val="22"/>
                <w:highlight w:val="none"/>
              </w:rPr>
              <w:t xml:space="preserve">①</w:t>
            </w:r>
            <w:r>
              <w:rPr>
                <w:rFonts w:hint="eastAsia" w:ascii="宋体" w:hAnsi="宋体" w:cs="宋体"/>
                <w:bCs/>
                <w:sz w:val="22"/>
                <w:highlight w:val="none"/>
              </w:rPr>
              <w:t xml:space="preserve">开关装置机械试验：断路器≥6000次；</w:t>
            </w:r>
            <w:r>
              <w:rPr>
                <w:rFonts w:ascii="宋体" w:hAnsi="宋体" w:cs="宋体"/>
                <w:bCs/>
                <w:sz w:val="22"/>
                <w:highlight w:val="none"/>
              </w:rPr>
              <w:t xml:space="preserve">②</w:t>
            </w:r>
            <w:r>
              <w:rPr>
                <w:rFonts w:hint="eastAsia" w:ascii="宋体" w:hAnsi="宋体" w:cs="宋体"/>
                <w:bCs/>
                <w:sz w:val="22"/>
                <w:highlight w:val="none"/>
              </w:rPr>
              <w:t xml:space="preserve">三工位隔离开关≥3000次；</w:t>
            </w:r>
            <w:r>
              <w:rPr>
                <w:rFonts w:ascii="宋体" w:hAnsi="宋体" w:cs="宋体"/>
                <w:bCs/>
                <w:sz w:val="22"/>
                <w:highlight w:val="none"/>
              </w:rPr>
              <w:t xml:space="preserve">③</w:t>
            </w:r>
            <w:r>
              <w:rPr>
                <w:rFonts w:hint="eastAsia" w:ascii="宋体" w:hAnsi="宋体" w:cs="宋体"/>
                <w:bCs/>
                <w:sz w:val="22"/>
                <w:highlight w:val="none"/>
              </w:rPr>
              <w:t xml:space="preserve">接地工位≥3000次；</w:t>
            </w:r>
            <w:r/>
          </w:p>
          <w:p>
            <w:pPr>
              <w:rPr>
                <w:rFonts w:ascii="宋体" w:hAnsi="宋体" w:cs="宋体"/>
                <w:bCs/>
                <w:color w:val="000000"/>
                <w:sz w:val="22"/>
                <w:highlight w:val="none"/>
              </w:rPr>
            </w:pPr>
            <w:r>
              <w:rPr>
                <w:rFonts w:hint="eastAsia" w:ascii="宋体" w:hAnsi="宋体" w:cs="宋体"/>
                <w:bCs/>
                <w:sz w:val="22"/>
                <w:highlight w:val="none"/>
              </w:rPr>
              <w:t xml:space="preserve">▲9、进线端子机械强度试验：施加垂直力3000</w:t>
            </w:r>
            <w:r>
              <w:rPr>
                <w:rFonts w:ascii="宋体" w:hAnsi="宋体" w:cs="宋体"/>
                <w:bCs/>
                <w:sz w:val="22"/>
                <w:highlight w:val="none"/>
              </w:rPr>
              <w:t xml:space="preserve">N</w:t>
            </w:r>
            <w:r>
              <w:rPr>
                <w:rFonts w:hint="eastAsia" w:ascii="宋体" w:hAnsi="宋体" w:cs="宋体"/>
                <w:bCs/>
                <w:sz w:val="22"/>
                <w:highlight w:val="none"/>
              </w:rPr>
              <w:t xml:space="preserve">，保持1小时或25次拉力试验。</w:t>
            </w:r>
            <w:r/>
          </w:p>
        </w:tc>
        <w:tc>
          <w:tcPr>
            <w:tcW w:w="705" w:type="dxa"/>
            <w:textDirection w:val="lrTb"/>
            <w:noWrap w:val="false"/>
          </w:tcPr>
          <w:p>
            <w:pPr>
              <w:rPr>
                <w:rFonts w:ascii="宋体" w:hAnsi="宋体" w:cs="宋体"/>
                <w:b/>
                <w:color w:val="000000"/>
                <w:sz w:val="22"/>
                <w:highlight w:val="none"/>
              </w:rPr>
            </w:pPr>
            <w:r>
              <w:rPr>
                <w:rFonts w:ascii="宋体" w:hAnsi="宋体" w:cs="宋体"/>
                <w:b/>
                <w:color w:val="000000"/>
                <w:sz w:val="22"/>
                <w:highlight w:val="none"/>
              </w:rPr>
            </w:r>
            <w:r/>
          </w:p>
        </w:tc>
      </w:tr>
      <w:tr>
        <w:trPr>
          <w:trHeight w:val="509"/>
        </w:trPr>
        <w:tc>
          <w:tcPr>
            <w:gridSpan w:val="4"/>
            <w:shd w:val="clear" w:color="auto" w:fill="auto"/>
            <w:tcW w:w="9390" w:type="dxa"/>
            <w:vAlign w:val="center"/>
            <w:textDirection w:val="lrTb"/>
            <w:noWrap w:val="false"/>
          </w:tcPr>
          <w:p>
            <w:pPr>
              <w:rPr>
                <w:rFonts w:ascii="宋体" w:hAnsi="宋体" w:cs="宋体"/>
                <w:b/>
                <w:color w:val="000000"/>
                <w:sz w:val="22"/>
                <w:highlight w:val="none"/>
              </w:rPr>
            </w:pPr>
            <w:r>
              <w:rPr>
                <w:rFonts w:hint="eastAsia" w:ascii="宋体" w:hAnsi="宋体" w:cs="宋体"/>
                <w:b/>
                <w:color w:val="000000"/>
                <w:sz w:val="22"/>
                <w:highlight w:val="none"/>
              </w:rPr>
              <w:t xml:space="preserve">三、低压开关柜</w:t>
            </w:r>
            <w:r/>
          </w:p>
        </w:tc>
      </w:tr>
      <w:tr>
        <w:trPr>
          <w:trHeight w:val="819"/>
        </w:trPr>
        <w:tc>
          <w:tcPr>
            <w:gridSpan w:val="2"/>
            <w:shd w:val="clear" w:color="auto" w:fill="auto"/>
            <w:tcW w:w="1880" w:type="dxa"/>
            <w:vAlign w:val="center"/>
            <w:textDirection w:val="lrTb"/>
            <w:noWrap w:val="false"/>
          </w:tcPr>
          <w:p>
            <w:pPr>
              <w:jc w:val="center"/>
              <w:rPr>
                <w:rFonts w:ascii="宋体" w:hAnsi="宋体" w:cs="宋体"/>
                <w:bCs/>
                <w:color w:val="000000"/>
                <w:sz w:val="22"/>
                <w:highlight w:val="none"/>
              </w:rPr>
            </w:pPr>
            <w:r>
              <w:rPr>
                <w:rFonts w:hint="eastAsia" w:ascii="宋体" w:hAnsi="宋体" w:cs="宋体"/>
                <w:bCs/>
                <w:sz w:val="22"/>
                <w:highlight w:val="none"/>
              </w:rPr>
              <w:t xml:space="preserve">★实质</w:t>
            </w:r>
            <w:r>
              <w:rPr>
                <w:rFonts w:hint="eastAsia" w:ascii="宋体" w:hAnsi="宋体" w:cs="宋体"/>
                <w:bCs/>
                <w:spacing w:val="1"/>
                <w:sz w:val="22"/>
                <w:highlight w:val="none"/>
              </w:rPr>
              <w:t xml:space="preserve">性</w:t>
            </w:r>
            <w:r>
              <w:rPr>
                <w:rFonts w:hint="eastAsia" w:ascii="宋体" w:hAnsi="宋体" w:cs="宋体"/>
                <w:bCs/>
                <w:sz w:val="22"/>
                <w:highlight w:val="none"/>
              </w:rPr>
              <w:t xml:space="preserve">要求</w:t>
            </w:r>
            <w:r/>
          </w:p>
        </w:tc>
        <w:tc>
          <w:tcPr>
            <w:tcW w:w="6805" w:type="dxa"/>
            <w:vAlign w:val="center"/>
            <w:textDirection w:val="lrTb"/>
            <w:noWrap w:val="false"/>
          </w:tcPr>
          <w:p>
            <w:pPr>
              <w:rPr>
                <w:rFonts w:hint="eastAsia" w:ascii="宋体" w:hAnsi="宋体" w:eastAsia="宋体" w:cs="宋体"/>
                <w:bCs/>
                <w:sz w:val="22"/>
                <w:highlight w:val="none"/>
                <w:lang w:eastAsia="zh-CN"/>
              </w:rPr>
            </w:pPr>
            <w:r>
              <w:rPr>
                <w:rFonts w:hint="eastAsia" w:ascii="宋体" w:hAnsi="宋体" w:cs="宋体"/>
                <w:bCs/>
                <w:sz w:val="22"/>
                <w:highlight w:val="none"/>
              </w:rPr>
              <w:t xml:space="preserve">主母线额定电流：1600</w:t>
            </w:r>
            <w:r>
              <w:rPr>
                <w:rFonts w:ascii="宋体" w:hAnsi="宋体" w:cs="宋体"/>
                <w:bCs/>
                <w:sz w:val="22"/>
                <w:highlight w:val="none"/>
              </w:rPr>
              <w:t xml:space="preserve">A</w:t>
            </w:r>
            <w:r>
              <w:rPr>
                <w:rFonts w:hint="eastAsia" w:ascii="宋体" w:hAnsi="宋体" w:cs="宋体"/>
                <w:bCs/>
                <w:sz w:val="22"/>
                <w:highlight w:val="none"/>
              </w:rPr>
              <w:t xml:space="preserve">-400</w:t>
            </w:r>
            <w:r>
              <w:rPr>
                <w:rFonts w:ascii="宋体" w:hAnsi="宋体" w:cs="宋体"/>
                <w:bCs/>
                <w:sz w:val="22"/>
                <w:highlight w:val="none"/>
              </w:rPr>
              <w:t xml:space="preserve">A</w:t>
            </w:r>
            <w:r>
              <w:rPr>
                <w:rFonts w:hint="eastAsia" w:ascii="宋体" w:hAnsi="宋体" w:cs="宋体"/>
                <w:bCs/>
                <w:sz w:val="22"/>
                <w:highlight w:val="none"/>
                <w:lang w:eastAsia="zh-CN"/>
              </w:rPr>
              <w:t xml:space="preserve">（</w:t>
            </w:r>
            <w:r>
              <w:rPr>
                <w:rFonts w:hint="eastAsia" w:ascii="宋体" w:hAnsi="宋体" w:cs="宋体"/>
                <w:bCs/>
                <w:sz w:val="22"/>
                <w:highlight w:val="none"/>
                <w:lang w:val="en-US" w:eastAsia="zh-CN"/>
              </w:rPr>
              <w:t xml:space="preserve">提供国家认可的第三方检测机构出具的</w:t>
            </w:r>
            <w:r>
              <w:rPr>
                <w:rFonts w:hint="eastAsia" w:ascii="宋体" w:hAnsi="宋体" w:cs="宋体"/>
                <w:bCs/>
                <w:sz w:val="22"/>
                <w:highlight w:val="none"/>
              </w:rPr>
              <w:t xml:space="preserve">试验报告</w:t>
            </w:r>
            <w:r>
              <w:rPr>
                <w:rFonts w:hint="eastAsia" w:ascii="宋体" w:hAnsi="宋体" w:cs="宋体"/>
                <w:bCs/>
                <w:sz w:val="22"/>
                <w:highlight w:val="none"/>
                <w:lang w:eastAsia="zh-CN"/>
              </w:rPr>
              <w:t xml:space="preserve">）</w:t>
            </w:r>
            <w:r/>
          </w:p>
        </w:tc>
        <w:tc>
          <w:tcPr>
            <w:tcW w:w="705" w:type="dxa"/>
            <w:textDirection w:val="lrTb"/>
            <w:noWrap w:val="false"/>
          </w:tcPr>
          <w:p>
            <w:pPr>
              <w:rPr>
                <w:rFonts w:ascii="宋体" w:hAnsi="宋体" w:cs="宋体"/>
                <w:b/>
                <w:color w:val="000000"/>
                <w:sz w:val="22"/>
                <w:highlight w:val="none"/>
              </w:rPr>
            </w:pPr>
            <w:r>
              <w:rPr>
                <w:rFonts w:ascii="宋体" w:hAnsi="宋体" w:cs="宋体"/>
                <w:b/>
                <w:color w:val="000000"/>
                <w:sz w:val="22"/>
                <w:highlight w:val="none"/>
              </w:rPr>
            </w:r>
            <w:r/>
          </w:p>
        </w:tc>
      </w:tr>
      <w:tr>
        <w:trPr>
          <w:trHeight w:val="1221"/>
        </w:trPr>
        <w:tc>
          <w:tcPr>
            <w:gridSpan w:val="2"/>
            <w:shd w:val="clear" w:color="auto" w:fill="auto"/>
            <w:tcW w:w="1880" w:type="dxa"/>
            <w:vAlign w:val="center"/>
            <w:textDirection w:val="lrTb"/>
            <w:noWrap w:val="false"/>
          </w:tcPr>
          <w:p>
            <w:pPr>
              <w:jc w:val="center"/>
              <w:rPr>
                <w:rFonts w:ascii="宋体" w:hAnsi="宋体" w:cs="宋体"/>
                <w:bCs/>
                <w:color w:val="000000"/>
                <w:sz w:val="22"/>
                <w:highlight w:val="none"/>
              </w:rPr>
            </w:pPr>
            <w:r>
              <w:rPr>
                <w:rFonts w:hint="eastAsia" w:ascii="宋体" w:hAnsi="宋体" w:cs="宋体"/>
                <w:bCs/>
                <w:sz w:val="22"/>
                <w:highlight w:val="none"/>
              </w:rPr>
              <w:t xml:space="preserve">非实</w:t>
            </w:r>
            <w:r>
              <w:rPr>
                <w:rFonts w:hint="eastAsia" w:ascii="宋体" w:hAnsi="宋体" w:cs="宋体"/>
                <w:bCs/>
                <w:spacing w:val="1"/>
                <w:sz w:val="22"/>
                <w:highlight w:val="none"/>
              </w:rPr>
              <w:t xml:space="preserve">质</w:t>
            </w:r>
            <w:r>
              <w:rPr>
                <w:rFonts w:hint="eastAsia" w:ascii="宋体" w:hAnsi="宋体" w:cs="宋体"/>
                <w:bCs/>
                <w:sz w:val="22"/>
                <w:highlight w:val="none"/>
              </w:rPr>
              <w:t xml:space="preserve">性要求</w:t>
            </w:r>
            <w:r/>
          </w:p>
        </w:tc>
        <w:tc>
          <w:tcPr>
            <w:tcW w:w="6805" w:type="dxa"/>
            <w:textDirection w:val="lrTb"/>
            <w:noWrap w:val="false"/>
          </w:tcPr>
          <w:p>
            <w:pPr>
              <w:rPr>
                <w:rFonts w:ascii="宋体" w:hAnsi="宋体" w:cs="宋体"/>
                <w:bCs/>
                <w:sz w:val="22"/>
                <w:highlight w:val="none"/>
              </w:rPr>
            </w:pPr>
            <w:r>
              <w:rPr>
                <w:rFonts w:hint="eastAsia" w:ascii="宋体" w:hAnsi="宋体" w:cs="宋体"/>
                <w:bCs/>
                <w:sz w:val="22"/>
                <w:highlight w:val="none"/>
              </w:rPr>
              <w:t xml:space="preserve">1、额定电压：380</w:t>
            </w:r>
            <w:r>
              <w:rPr>
                <w:rFonts w:ascii="宋体" w:hAnsi="宋体" w:cs="宋体"/>
                <w:bCs/>
                <w:sz w:val="22"/>
                <w:highlight w:val="none"/>
              </w:rPr>
              <w:t xml:space="preserve">V</w:t>
            </w:r>
            <w:r>
              <w:rPr>
                <w:rFonts w:hint="eastAsia" w:ascii="宋体" w:hAnsi="宋体" w:cs="宋体"/>
                <w:bCs/>
                <w:sz w:val="22"/>
                <w:highlight w:val="none"/>
              </w:rPr>
              <w:t xml:space="preserve">；</w:t>
            </w:r>
            <w:r/>
          </w:p>
          <w:p>
            <w:pPr>
              <w:rPr>
                <w:rFonts w:ascii="宋体" w:hAnsi="宋体" w:cs="宋体"/>
                <w:bCs/>
                <w:sz w:val="22"/>
                <w:highlight w:val="none"/>
              </w:rPr>
            </w:pPr>
            <w:r>
              <w:rPr>
                <w:rFonts w:hint="eastAsia" w:ascii="宋体" w:hAnsi="宋体" w:cs="宋体"/>
                <w:bCs/>
                <w:sz w:val="22"/>
                <w:highlight w:val="none"/>
              </w:rPr>
              <w:t xml:space="preserve">2、额定绝缘电压：660</w:t>
            </w:r>
            <w:r>
              <w:rPr>
                <w:rFonts w:ascii="宋体" w:hAnsi="宋体" w:cs="宋体"/>
                <w:bCs/>
                <w:sz w:val="22"/>
                <w:highlight w:val="none"/>
              </w:rPr>
              <w:t xml:space="preserve">V</w:t>
            </w:r>
            <w:r>
              <w:rPr>
                <w:rFonts w:hint="eastAsia" w:ascii="宋体" w:hAnsi="宋体" w:cs="宋体"/>
                <w:bCs/>
                <w:sz w:val="22"/>
                <w:highlight w:val="none"/>
              </w:rPr>
              <w:t xml:space="preserve">；</w:t>
            </w:r>
            <w:r/>
          </w:p>
          <w:p>
            <w:pPr>
              <w:rPr>
                <w:rFonts w:ascii="宋体" w:hAnsi="宋体" w:cs="宋体"/>
                <w:bCs/>
                <w:sz w:val="22"/>
                <w:highlight w:val="none"/>
              </w:rPr>
            </w:pPr>
            <w:r>
              <w:rPr>
                <w:rFonts w:hint="eastAsia" w:ascii="宋体" w:hAnsi="宋体" w:cs="宋体"/>
                <w:bCs/>
                <w:sz w:val="22"/>
                <w:highlight w:val="none"/>
              </w:rPr>
              <w:t xml:space="preserve">3、额定频率：50</w:t>
            </w:r>
            <w:r>
              <w:rPr>
                <w:rFonts w:ascii="宋体" w:hAnsi="宋体" w:cs="宋体"/>
                <w:bCs/>
                <w:sz w:val="22"/>
                <w:highlight w:val="none"/>
              </w:rPr>
              <w:t xml:space="preserve">H</w:t>
            </w:r>
            <w:r>
              <w:rPr>
                <w:rFonts w:hint="eastAsia" w:ascii="宋体" w:hAnsi="宋体" w:cs="宋体"/>
                <w:bCs/>
                <w:sz w:val="22"/>
                <w:highlight w:val="none"/>
              </w:rPr>
              <w:t xml:space="preserve">z；</w:t>
            </w:r>
            <w:r/>
          </w:p>
          <w:p>
            <w:pPr>
              <w:rPr>
                <w:rFonts w:ascii="宋体" w:hAnsi="宋体" w:cs="宋体"/>
                <w:bCs/>
                <w:color w:val="000000"/>
                <w:sz w:val="22"/>
                <w:highlight w:val="none"/>
              </w:rPr>
            </w:pPr>
            <w:r>
              <w:rPr>
                <w:rFonts w:hint="eastAsia" w:ascii="宋体" w:hAnsi="宋体" w:cs="宋体"/>
                <w:bCs/>
                <w:sz w:val="22"/>
                <w:highlight w:val="none"/>
              </w:rPr>
              <w:t xml:space="preserve">4、具备低压开关柜（MNS</w:t>
            </w:r>
            <w:r>
              <w:rPr>
                <w:rFonts w:ascii="宋体" w:hAnsi="宋体" w:cs="宋体"/>
                <w:bCs/>
                <w:sz w:val="22"/>
                <w:highlight w:val="none"/>
              </w:rPr>
              <w:t xml:space="preserve">）</w:t>
            </w:r>
            <w:r>
              <w:rPr>
                <w:rFonts w:hint="eastAsia" w:ascii="宋体" w:hAnsi="宋体" w:cs="宋体"/>
                <w:bCs/>
                <w:sz w:val="22"/>
                <w:highlight w:val="none"/>
              </w:rPr>
              <w:t xml:space="preserve">试验报告；</w:t>
            </w:r>
            <w:r/>
          </w:p>
        </w:tc>
        <w:tc>
          <w:tcPr>
            <w:tcW w:w="705" w:type="dxa"/>
            <w:textDirection w:val="lrTb"/>
            <w:noWrap w:val="false"/>
          </w:tcPr>
          <w:p>
            <w:pPr>
              <w:rPr>
                <w:rFonts w:ascii="宋体" w:hAnsi="宋体" w:cs="宋体"/>
                <w:b/>
                <w:color w:val="000000"/>
                <w:sz w:val="22"/>
                <w:highlight w:val="none"/>
              </w:rPr>
            </w:pPr>
            <w:r>
              <w:rPr>
                <w:rFonts w:ascii="宋体" w:hAnsi="宋体" w:cs="宋体"/>
                <w:b/>
                <w:color w:val="000000"/>
                <w:sz w:val="22"/>
                <w:highlight w:val="none"/>
              </w:rPr>
            </w:r>
            <w:r/>
          </w:p>
        </w:tc>
      </w:tr>
      <w:tr>
        <w:trPr>
          <w:trHeight w:val="415"/>
        </w:trPr>
        <w:tc>
          <w:tcPr>
            <w:gridSpan w:val="4"/>
            <w:shd w:val="clear" w:color="auto" w:fill="auto"/>
            <w:tcW w:w="9390" w:type="dxa"/>
            <w:vAlign w:val="center"/>
            <w:textDirection w:val="lrTb"/>
            <w:noWrap w:val="false"/>
          </w:tcPr>
          <w:p>
            <w:pPr>
              <w:rPr>
                <w:rFonts w:ascii="宋体" w:hAnsi="宋体" w:cs="宋体"/>
                <w:b/>
                <w:color w:val="000000"/>
                <w:sz w:val="22"/>
                <w:highlight w:val="none"/>
              </w:rPr>
            </w:pPr>
            <w:r>
              <w:rPr>
                <w:rFonts w:hint="eastAsia" w:ascii="宋体" w:hAnsi="宋体" w:cs="宋体"/>
                <w:b/>
                <w:color w:val="000000"/>
                <w:sz w:val="22"/>
                <w:highlight w:val="none"/>
              </w:rPr>
              <w:t xml:space="preserve">四、</w:t>
            </w:r>
            <w:r>
              <w:rPr>
                <w:rFonts w:ascii="宋体" w:hAnsi="宋体" w:cs="宋体"/>
                <w:b/>
                <w:bCs/>
                <w:color w:val="000000"/>
                <w:sz w:val="22"/>
                <w:highlight w:val="none"/>
              </w:rPr>
              <w:t xml:space="preserve">低压</w:t>
            </w:r>
            <w:r>
              <w:rPr>
                <w:rFonts w:hint="eastAsia" w:ascii="宋体" w:hAnsi="宋体" w:cs="宋体"/>
                <w:b/>
                <w:bCs/>
                <w:color w:val="000000"/>
                <w:sz w:val="22"/>
                <w:highlight w:val="none"/>
              </w:rPr>
              <w:t xml:space="preserve">无功功率补偿</w:t>
            </w:r>
            <w:r>
              <w:rPr>
                <w:rFonts w:ascii="宋体" w:hAnsi="宋体" w:cs="宋体"/>
                <w:b/>
                <w:bCs/>
                <w:color w:val="000000"/>
                <w:sz w:val="22"/>
                <w:highlight w:val="none"/>
              </w:rPr>
              <w:t xml:space="preserve">柜</w:t>
            </w:r>
            <w:r/>
          </w:p>
        </w:tc>
      </w:tr>
      <w:tr>
        <w:trPr>
          <w:trHeight w:val="410"/>
        </w:trPr>
        <w:tc>
          <w:tcPr>
            <w:gridSpan w:val="2"/>
            <w:shd w:val="clear" w:color="auto" w:fill="auto"/>
            <w:tcW w:w="1880" w:type="dxa"/>
            <w:vAlign w:val="center"/>
            <w:textDirection w:val="lrTb"/>
            <w:noWrap w:val="false"/>
          </w:tcPr>
          <w:p>
            <w:pPr>
              <w:jc w:val="center"/>
              <w:rPr>
                <w:rFonts w:ascii="宋体" w:hAnsi="宋体" w:cs="宋体"/>
                <w:bCs/>
                <w:color w:val="000000"/>
                <w:sz w:val="22"/>
                <w:highlight w:val="none"/>
              </w:rPr>
            </w:pPr>
            <w:r>
              <w:rPr>
                <w:rFonts w:hint="eastAsia" w:ascii="宋体" w:hAnsi="宋体" w:cs="宋体"/>
                <w:bCs/>
                <w:sz w:val="22"/>
                <w:highlight w:val="none"/>
              </w:rPr>
              <w:t xml:space="preserve">★实质</w:t>
            </w:r>
            <w:r>
              <w:rPr>
                <w:rFonts w:hint="eastAsia" w:ascii="宋体" w:hAnsi="宋体" w:cs="宋体"/>
                <w:bCs/>
                <w:spacing w:val="1"/>
                <w:sz w:val="22"/>
                <w:highlight w:val="none"/>
              </w:rPr>
              <w:t xml:space="preserve">性</w:t>
            </w:r>
            <w:r>
              <w:rPr>
                <w:rFonts w:hint="eastAsia" w:ascii="宋体" w:hAnsi="宋体" w:cs="宋体"/>
                <w:bCs/>
                <w:sz w:val="22"/>
                <w:highlight w:val="none"/>
              </w:rPr>
              <w:t xml:space="preserve">要求</w:t>
            </w:r>
            <w:r/>
          </w:p>
        </w:tc>
        <w:tc>
          <w:tcPr>
            <w:tcW w:w="6805" w:type="dxa"/>
            <w:textDirection w:val="lrTb"/>
            <w:noWrap w:val="false"/>
          </w:tcPr>
          <w:p>
            <w:pPr>
              <w:rPr>
                <w:rFonts w:ascii="宋体" w:hAnsi="宋体" w:cs="宋体"/>
                <w:bCs/>
                <w:color w:val="000000"/>
                <w:sz w:val="22"/>
                <w:highlight w:val="none"/>
              </w:rPr>
            </w:pPr>
            <w:r>
              <w:rPr>
                <w:rFonts w:hint="eastAsia" w:ascii="宋体" w:hAnsi="宋体" w:cs="宋体"/>
                <w:bCs/>
                <w:color w:val="000000"/>
                <w:sz w:val="22"/>
                <w:highlight w:val="none"/>
              </w:rPr>
              <w:t xml:space="preserve">具有抑制谐波功能</w:t>
            </w:r>
            <w:r>
              <w:rPr>
                <w:rFonts w:hint="eastAsia" w:ascii="宋体" w:hAnsi="宋体" w:cs="宋体"/>
                <w:bCs/>
                <w:sz w:val="22"/>
                <w:highlight w:val="none"/>
                <w:lang w:eastAsia="zh-CN"/>
              </w:rPr>
              <w:t xml:space="preserve">（</w:t>
            </w:r>
            <w:r>
              <w:rPr>
                <w:rFonts w:hint="eastAsia" w:ascii="宋体" w:hAnsi="宋体" w:cs="宋体"/>
                <w:bCs/>
                <w:sz w:val="22"/>
                <w:highlight w:val="none"/>
                <w:lang w:val="en-US" w:eastAsia="zh-CN"/>
              </w:rPr>
              <w:t xml:space="preserve">提供国家认可的第三方检测机构出具的</w:t>
            </w:r>
            <w:r>
              <w:rPr>
                <w:rFonts w:hint="eastAsia" w:ascii="宋体" w:hAnsi="宋体" w:cs="宋体"/>
                <w:bCs/>
                <w:sz w:val="22"/>
                <w:highlight w:val="none"/>
              </w:rPr>
              <w:t xml:space="preserve">试验报告</w:t>
            </w:r>
            <w:r>
              <w:rPr>
                <w:rFonts w:hint="eastAsia" w:ascii="宋体" w:hAnsi="宋体" w:cs="宋体"/>
                <w:bCs/>
                <w:sz w:val="22"/>
                <w:highlight w:val="none"/>
                <w:lang w:eastAsia="zh-CN"/>
              </w:rPr>
              <w:t xml:space="preserve">）</w:t>
            </w:r>
            <w:r/>
          </w:p>
        </w:tc>
        <w:tc>
          <w:tcPr>
            <w:tcW w:w="705" w:type="dxa"/>
            <w:textDirection w:val="lrTb"/>
            <w:noWrap w:val="false"/>
          </w:tcPr>
          <w:p>
            <w:pPr>
              <w:rPr>
                <w:rFonts w:ascii="宋体" w:hAnsi="宋体" w:cs="宋体"/>
                <w:b/>
                <w:color w:val="000000"/>
                <w:sz w:val="22"/>
                <w:highlight w:val="none"/>
              </w:rPr>
            </w:pPr>
            <w:r>
              <w:rPr>
                <w:rFonts w:ascii="宋体" w:hAnsi="宋体" w:cs="宋体"/>
                <w:b/>
                <w:color w:val="000000"/>
                <w:sz w:val="22"/>
                <w:highlight w:val="none"/>
              </w:rPr>
            </w:r>
            <w:r/>
          </w:p>
        </w:tc>
      </w:tr>
      <w:tr>
        <w:trPr/>
        <w:tc>
          <w:tcPr>
            <w:gridSpan w:val="2"/>
            <w:shd w:val="clear" w:color="auto" w:fill="auto"/>
            <w:tcW w:w="1880" w:type="dxa"/>
            <w:vAlign w:val="center"/>
            <w:textDirection w:val="lrTb"/>
            <w:noWrap w:val="false"/>
          </w:tcPr>
          <w:p>
            <w:pPr>
              <w:jc w:val="center"/>
              <w:rPr>
                <w:rFonts w:ascii="宋体" w:hAnsi="宋体" w:cs="宋体"/>
                <w:bCs/>
                <w:color w:val="000000"/>
                <w:sz w:val="22"/>
                <w:highlight w:val="none"/>
              </w:rPr>
            </w:pPr>
            <w:r>
              <w:rPr>
                <w:rFonts w:hint="eastAsia" w:ascii="宋体" w:hAnsi="宋体" w:cs="宋体"/>
                <w:bCs/>
                <w:sz w:val="22"/>
                <w:highlight w:val="none"/>
              </w:rPr>
              <w:t xml:space="preserve">非实</w:t>
            </w:r>
            <w:r>
              <w:rPr>
                <w:rFonts w:hint="eastAsia" w:ascii="宋体" w:hAnsi="宋体" w:cs="宋体"/>
                <w:bCs/>
                <w:spacing w:val="1"/>
                <w:sz w:val="22"/>
                <w:highlight w:val="none"/>
              </w:rPr>
              <w:t xml:space="preserve">质</w:t>
            </w:r>
            <w:r>
              <w:rPr>
                <w:rFonts w:hint="eastAsia" w:ascii="宋体" w:hAnsi="宋体" w:cs="宋体"/>
                <w:bCs/>
                <w:sz w:val="22"/>
                <w:highlight w:val="none"/>
              </w:rPr>
              <w:t xml:space="preserve">性要求</w:t>
            </w:r>
            <w:r/>
          </w:p>
        </w:tc>
        <w:tc>
          <w:tcPr>
            <w:tcW w:w="6805" w:type="dxa"/>
            <w:textDirection w:val="lrTb"/>
            <w:noWrap w:val="false"/>
          </w:tcPr>
          <w:p>
            <w:pPr>
              <w:rPr>
                <w:rFonts w:ascii="宋体" w:hAnsi="宋体" w:cs="宋体"/>
                <w:bCs/>
                <w:sz w:val="22"/>
                <w:highlight w:val="none"/>
              </w:rPr>
            </w:pPr>
            <w:r>
              <w:rPr>
                <w:rFonts w:hint="eastAsia" w:ascii="宋体" w:hAnsi="宋体" w:cs="宋体"/>
                <w:bCs/>
                <w:sz w:val="22"/>
                <w:highlight w:val="none"/>
              </w:rPr>
              <w:t xml:space="preserve">1、额定电压：</w:t>
            </w:r>
            <w:r>
              <w:rPr>
                <w:rFonts w:ascii="宋体" w:hAnsi="宋体" w:cs="宋体"/>
                <w:bCs/>
                <w:sz w:val="22"/>
                <w:highlight w:val="none"/>
              </w:rPr>
              <w:t xml:space="preserve">400V</w:t>
            </w:r>
            <w:r>
              <w:rPr>
                <w:rFonts w:hint="eastAsia" w:ascii="宋体" w:hAnsi="宋体" w:cs="宋体"/>
                <w:bCs/>
                <w:sz w:val="22"/>
                <w:highlight w:val="none"/>
              </w:rPr>
              <w:t xml:space="preserve">；</w:t>
            </w:r>
            <w:r/>
          </w:p>
          <w:p>
            <w:pPr>
              <w:rPr>
                <w:rFonts w:ascii="宋体" w:hAnsi="宋体" w:cs="宋体"/>
                <w:bCs/>
                <w:sz w:val="22"/>
                <w:highlight w:val="none"/>
              </w:rPr>
            </w:pPr>
            <w:r>
              <w:rPr>
                <w:rFonts w:hint="eastAsia" w:ascii="宋体" w:hAnsi="宋体" w:cs="宋体"/>
                <w:bCs/>
                <w:sz w:val="22"/>
                <w:highlight w:val="none"/>
              </w:rPr>
              <w:t xml:space="preserve">2、额定绝缘电压（</w:t>
            </w:r>
            <w:r>
              <w:rPr>
                <w:rFonts w:ascii="宋体" w:hAnsi="宋体" w:cs="宋体"/>
                <w:bCs/>
                <w:sz w:val="22"/>
                <w:highlight w:val="none"/>
              </w:rPr>
              <w:t xml:space="preserve">U</w:t>
            </w:r>
            <w:r>
              <w:rPr>
                <w:rFonts w:hint="eastAsia" w:ascii="宋体" w:hAnsi="宋体" w:cs="宋体"/>
                <w:bCs/>
                <w:sz w:val="22"/>
                <w:highlight w:val="none"/>
              </w:rPr>
              <w:t xml:space="preserve">i）：6</w:t>
            </w:r>
            <w:r>
              <w:rPr>
                <w:rFonts w:ascii="宋体" w:hAnsi="宋体" w:cs="宋体"/>
                <w:bCs/>
                <w:sz w:val="22"/>
                <w:highlight w:val="none"/>
              </w:rPr>
              <w:t xml:space="preserve">9</w:t>
            </w:r>
            <w:r>
              <w:rPr>
                <w:rFonts w:hint="eastAsia" w:ascii="宋体" w:hAnsi="宋体" w:cs="宋体"/>
                <w:bCs/>
                <w:sz w:val="22"/>
                <w:highlight w:val="none"/>
              </w:rPr>
              <w:t xml:space="preserve">0</w:t>
            </w:r>
            <w:r>
              <w:rPr>
                <w:rFonts w:ascii="宋体" w:hAnsi="宋体" w:cs="宋体"/>
                <w:bCs/>
                <w:sz w:val="22"/>
                <w:highlight w:val="none"/>
              </w:rPr>
              <w:t xml:space="preserve">V</w:t>
            </w:r>
            <w:r>
              <w:rPr>
                <w:rFonts w:hint="eastAsia" w:ascii="宋体" w:hAnsi="宋体" w:cs="宋体"/>
                <w:bCs/>
                <w:sz w:val="22"/>
                <w:highlight w:val="none"/>
              </w:rPr>
              <w:t xml:space="preserve">；</w:t>
            </w:r>
            <w:r/>
          </w:p>
          <w:p>
            <w:pPr>
              <w:rPr>
                <w:rFonts w:ascii="宋体" w:hAnsi="宋体" w:cs="宋体"/>
                <w:bCs/>
                <w:sz w:val="22"/>
                <w:highlight w:val="none"/>
              </w:rPr>
            </w:pPr>
            <w:r>
              <w:rPr>
                <w:rFonts w:hint="eastAsia" w:ascii="宋体" w:hAnsi="宋体" w:cs="宋体"/>
                <w:bCs/>
                <w:sz w:val="22"/>
                <w:highlight w:val="none"/>
              </w:rPr>
              <w:t xml:space="preserve">3、额定频率（fn）：50</w:t>
            </w:r>
            <w:r>
              <w:rPr>
                <w:rFonts w:ascii="宋体" w:hAnsi="宋体" w:cs="宋体"/>
                <w:bCs/>
                <w:sz w:val="22"/>
                <w:highlight w:val="none"/>
              </w:rPr>
              <w:t xml:space="preserve">H</w:t>
            </w:r>
            <w:r>
              <w:rPr>
                <w:rFonts w:hint="eastAsia" w:ascii="宋体" w:hAnsi="宋体" w:cs="宋体"/>
                <w:bCs/>
                <w:sz w:val="22"/>
                <w:highlight w:val="none"/>
              </w:rPr>
              <w:t xml:space="preserve">z；</w:t>
            </w:r>
            <w:r/>
          </w:p>
          <w:p>
            <w:pPr>
              <w:rPr>
                <w:rFonts w:ascii="宋体" w:hAnsi="宋体" w:cs="宋体"/>
                <w:bCs/>
                <w:sz w:val="22"/>
                <w:highlight w:val="none"/>
              </w:rPr>
            </w:pPr>
            <w:r>
              <w:rPr>
                <w:rFonts w:hint="eastAsia" w:ascii="宋体" w:hAnsi="宋体" w:cs="宋体"/>
                <w:bCs/>
                <w:sz w:val="22"/>
                <w:highlight w:val="none"/>
              </w:rPr>
              <w:t xml:space="preserve">4、主母线额定电流（In</w:t>
            </w:r>
            <w:r>
              <w:rPr>
                <w:rFonts w:ascii="宋体" w:hAnsi="宋体" w:cs="宋体"/>
                <w:bCs/>
                <w:sz w:val="22"/>
                <w:highlight w:val="none"/>
              </w:rPr>
              <w:t xml:space="preserve">A</w:t>
            </w:r>
            <w:r>
              <w:rPr>
                <w:rFonts w:hint="eastAsia" w:ascii="宋体" w:hAnsi="宋体" w:cs="宋体"/>
                <w:bCs/>
                <w:sz w:val="22"/>
                <w:highlight w:val="none"/>
              </w:rPr>
              <w:t xml:space="preserve">）：</w:t>
            </w:r>
            <w:r>
              <w:rPr>
                <w:rFonts w:ascii="宋体" w:hAnsi="宋体" w:cs="宋体"/>
                <w:bCs/>
                <w:sz w:val="22"/>
                <w:highlight w:val="none"/>
              </w:rPr>
              <w:t xml:space="preserve">452A</w:t>
            </w:r>
            <w:r>
              <w:rPr>
                <w:rFonts w:hint="eastAsia" w:ascii="宋体" w:hAnsi="宋体" w:cs="宋体"/>
                <w:bCs/>
                <w:sz w:val="22"/>
                <w:highlight w:val="none"/>
              </w:rPr>
              <w:t xml:space="preserve">-</w:t>
            </w:r>
            <w:r>
              <w:rPr>
                <w:rFonts w:ascii="宋体" w:hAnsi="宋体" w:cs="宋体"/>
                <w:bCs/>
                <w:sz w:val="22"/>
                <w:highlight w:val="none"/>
              </w:rPr>
              <w:t xml:space="preserve">60.6A</w:t>
            </w:r>
            <w:r>
              <w:rPr>
                <w:rFonts w:hint="eastAsia" w:ascii="宋体" w:hAnsi="宋体" w:cs="宋体"/>
                <w:bCs/>
                <w:sz w:val="22"/>
                <w:highlight w:val="none"/>
              </w:rPr>
              <w:t xml:space="preserve">；</w:t>
            </w:r>
            <w:r/>
          </w:p>
          <w:p>
            <w:pPr>
              <w:rPr>
                <w:rFonts w:ascii="宋体" w:hAnsi="宋体" w:cs="宋体"/>
                <w:bCs/>
                <w:color w:val="000000"/>
                <w:sz w:val="22"/>
                <w:highlight w:val="none"/>
              </w:rPr>
            </w:pPr>
            <w:r>
              <w:rPr>
                <w:rFonts w:hint="eastAsia" w:ascii="宋体" w:hAnsi="宋体" w:cs="宋体"/>
                <w:bCs/>
                <w:color w:val="000000"/>
                <w:sz w:val="22"/>
                <w:highlight w:val="none"/>
              </w:rPr>
              <w:t xml:space="preserve">5、额定总容量：420kvar-60kvar；</w:t>
            </w:r>
            <w:r/>
          </w:p>
          <w:p>
            <w:pPr>
              <w:rPr>
                <w:rFonts w:ascii="宋体" w:hAnsi="宋体" w:cs="宋体"/>
                <w:bCs/>
                <w:color w:val="000000"/>
                <w:sz w:val="22"/>
                <w:highlight w:val="none"/>
              </w:rPr>
            </w:pPr>
            <w:r>
              <w:rPr>
                <w:rFonts w:hint="eastAsia" w:ascii="宋体" w:hAnsi="宋体" w:cs="宋体"/>
                <w:bCs/>
                <w:color w:val="000000"/>
                <w:sz w:val="22"/>
                <w:highlight w:val="none"/>
              </w:rPr>
              <w:t xml:space="preserve">6、补偿相数：三相补偿和单项补偿相结合；</w:t>
            </w:r>
            <w:r/>
          </w:p>
          <w:p>
            <w:pPr>
              <w:rPr>
                <w:rFonts w:ascii="宋体" w:hAnsi="宋体" w:cs="宋体"/>
                <w:bCs/>
                <w:sz w:val="22"/>
                <w:highlight w:val="none"/>
              </w:rPr>
            </w:pPr>
            <w:r>
              <w:rPr>
                <w:rFonts w:hint="eastAsia" w:ascii="宋体" w:hAnsi="宋体" w:cs="宋体"/>
                <w:bCs/>
                <w:color w:val="000000"/>
                <w:sz w:val="22"/>
                <w:highlight w:val="none"/>
              </w:rPr>
              <w:t xml:space="preserve">7、外壳防护等级：I</w:t>
            </w:r>
            <w:r>
              <w:rPr>
                <w:rFonts w:ascii="宋体" w:hAnsi="宋体" w:cs="宋体"/>
                <w:bCs/>
                <w:color w:val="000000"/>
                <w:sz w:val="22"/>
                <w:highlight w:val="none"/>
              </w:rPr>
              <w:t xml:space="preserve">P</w:t>
            </w:r>
            <w:r>
              <w:rPr>
                <w:rFonts w:hint="eastAsia" w:ascii="宋体" w:hAnsi="宋体" w:cs="宋体"/>
                <w:bCs/>
                <w:color w:val="000000"/>
                <w:sz w:val="22"/>
                <w:highlight w:val="none"/>
              </w:rPr>
              <w:t xml:space="preserve">30</w:t>
            </w:r>
            <w:r>
              <w:rPr>
                <w:rFonts w:hint="eastAsia" w:ascii="宋体" w:hAnsi="宋体" w:cs="宋体"/>
                <w:bCs/>
                <w:sz w:val="22"/>
                <w:highlight w:val="none"/>
              </w:rPr>
              <w:t xml:space="preserve">；</w:t>
            </w:r>
            <w:r/>
          </w:p>
          <w:p>
            <w:pPr>
              <w:rPr>
                <w:rFonts w:ascii="宋体" w:hAnsi="宋体" w:cs="宋体"/>
                <w:bCs/>
                <w:sz w:val="22"/>
                <w:highlight w:val="none"/>
              </w:rPr>
            </w:pPr>
            <w:r>
              <w:rPr>
                <w:rFonts w:hint="eastAsia" w:ascii="宋体" w:hAnsi="宋体" w:cs="宋体"/>
                <w:bCs/>
                <w:color w:val="000000"/>
                <w:sz w:val="22"/>
                <w:highlight w:val="none"/>
              </w:rPr>
              <w:t xml:space="preserve">8、</w:t>
            </w:r>
            <w:r>
              <w:rPr>
                <w:rFonts w:hint="eastAsia" w:ascii="宋体" w:hAnsi="宋体" w:cs="宋体"/>
                <w:bCs/>
                <w:sz w:val="22"/>
                <w:highlight w:val="none"/>
              </w:rPr>
              <w:t xml:space="preserve">具备</w:t>
            </w:r>
            <w:r>
              <w:rPr>
                <w:rFonts w:ascii="宋体" w:hAnsi="宋体" w:cs="宋体"/>
                <w:bCs/>
                <w:sz w:val="22"/>
                <w:highlight w:val="none"/>
              </w:rPr>
              <w:t xml:space="preserve">低压</w:t>
            </w:r>
            <w:r>
              <w:rPr>
                <w:rFonts w:hint="eastAsia" w:ascii="宋体" w:hAnsi="宋体" w:cs="宋体"/>
                <w:bCs/>
                <w:sz w:val="22"/>
                <w:highlight w:val="none"/>
              </w:rPr>
              <w:t xml:space="preserve">无功功率补偿</w:t>
            </w:r>
            <w:r>
              <w:rPr>
                <w:rFonts w:ascii="宋体" w:hAnsi="宋体" w:cs="宋体"/>
                <w:bCs/>
                <w:sz w:val="22"/>
                <w:highlight w:val="none"/>
              </w:rPr>
              <w:t xml:space="preserve">柜</w:t>
            </w:r>
            <w:r>
              <w:rPr>
                <w:rFonts w:hint="eastAsia" w:ascii="宋体" w:hAnsi="宋体" w:cs="宋体"/>
                <w:bCs/>
                <w:sz w:val="22"/>
                <w:highlight w:val="none"/>
              </w:rPr>
              <w:t xml:space="preserve">（</w:t>
            </w:r>
            <w:r>
              <w:rPr>
                <w:rFonts w:hint="eastAsia" w:ascii="宋体" w:hAnsi="宋体" w:cs="宋体"/>
                <w:bCs/>
                <w:sz w:val="22"/>
                <w:highlight w:val="none"/>
                <w:lang w:val="en-US" w:eastAsia="zh-CN"/>
              </w:rPr>
              <w:t xml:space="preserve">MNS</w:t>
            </w:r>
            <w:r>
              <w:rPr>
                <w:rFonts w:ascii="宋体" w:hAnsi="宋体" w:cs="宋体"/>
                <w:bCs/>
                <w:sz w:val="22"/>
                <w:highlight w:val="none"/>
              </w:rPr>
              <w:t xml:space="preserve">）</w:t>
            </w:r>
            <w:r>
              <w:rPr>
                <w:rFonts w:hint="eastAsia" w:ascii="宋体" w:hAnsi="宋体" w:cs="宋体"/>
                <w:bCs/>
                <w:sz w:val="22"/>
                <w:highlight w:val="none"/>
              </w:rPr>
              <w:t xml:space="preserve">试验报告</w:t>
            </w:r>
            <w:r>
              <w:rPr>
                <w:rFonts w:hint="eastAsia" w:ascii="宋体" w:hAnsi="宋体" w:cs="宋体"/>
                <w:bCs/>
                <w:color w:val="000000"/>
                <w:sz w:val="22"/>
                <w:highlight w:val="none"/>
              </w:rPr>
              <w:t xml:space="preserve">。</w:t>
            </w:r>
            <w:r/>
          </w:p>
        </w:tc>
        <w:tc>
          <w:tcPr>
            <w:tcW w:w="705" w:type="dxa"/>
            <w:textDirection w:val="lrTb"/>
            <w:noWrap w:val="false"/>
          </w:tcPr>
          <w:p>
            <w:pPr>
              <w:rPr>
                <w:rFonts w:ascii="宋体" w:hAnsi="宋体" w:cs="宋体"/>
                <w:b/>
                <w:color w:val="000000"/>
                <w:sz w:val="22"/>
                <w:highlight w:val="none"/>
              </w:rPr>
            </w:pPr>
            <w:r>
              <w:rPr>
                <w:rFonts w:ascii="宋体" w:hAnsi="宋体" w:cs="宋体"/>
                <w:b/>
                <w:color w:val="000000"/>
                <w:sz w:val="22"/>
                <w:highlight w:val="none"/>
              </w:rPr>
            </w:r>
            <w:r/>
          </w:p>
        </w:tc>
      </w:tr>
      <w:tr>
        <w:trPr/>
        <w:tc>
          <w:tcPr>
            <w:gridSpan w:val="4"/>
            <w:shd w:val="clear" w:color="auto" w:fill="auto"/>
            <w:tcW w:w="9390" w:type="dxa"/>
            <w:vAlign w:val="center"/>
            <w:textDirection w:val="lrTb"/>
            <w:noWrap w:val="false"/>
          </w:tcPr>
          <w:p>
            <w:pPr>
              <w:rPr>
                <w:rFonts w:ascii="宋体" w:hAnsi="宋体" w:cs="宋体"/>
                <w:b/>
                <w:color w:val="000000"/>
                <w:sz w:val="22"/>
                <w:highlight w:val="none"/>
              </w:rPr>
            </w:pPr>
            <w:r>
              <w:rPr>
                <w:rFonts w:hint="eastAsia" w:ascii="宋体" w:hAnsi="宋体" w:cs="宋体"/>
                <w:b/>
                <w:color w:val="000000"/>
                <w:sz w:val="22"/>
                <w:highlight w:val="none"/>
              </w:rPr>
              <w:t xml:space="preserve">五、</w:t>
            </w:r>
            <w:r>
              <w:rPr>
                <w:rFonts w:hint="eastAsia" w:ascii="宋体" w:hAnsi="宋体" w:cs="宋体"/>
                <w:b/>
                <w:bCs/>
                <w:color w:val="000000"/>
                <w:sz w:val="22"/>
                <w:highlight w:val="none"/>
              </w:rPr>
              <w:t xml:space="preserve">干式变压器</w:t>
            </w:r>
            <w:r/>
          </w:p>
        </w:tc>
      </w:tr>
      <w:tr>
        <w:trPr/>
        <w:tc>
          <w:tcPr>
            <w:gridSpan w:val="2"/>
            <w:shd w:val="clear" w:color="auto" w:fill="auto"/>
            <w:tcW w:w="1880" w:type="dxa"/>
            <w:vAlign w:val="center"/>
            <w:textDirection w:val="lrTb"/>
            <w:noWrap w:val="false"/>
          </w:tcPr>
          <w:p>
            <w:pPr>
              <w:jc w:val="center"/>
              <w:rPr>
                <w:rFonts w:ascii="宋体" w:hAnsi="宋体" w:cs="宋体"/>
                <w:bCs/>
                <w:color w:val="000000"/>
                <w:sz w:val="22"/>
                <w:highlight w:val="none"/>
              </w:rPr>
            </w:pPr>
            <w:r>
              <w:rPr>
                <w:rFonts w:hint="eastAsia" w:ascii="宋体" w:hAnsi="宋体" w:cs="宋体"/>
                <w:bCs/>
                <w:sz w:val="22"/>
                <w:highlight w:val="none"/>
              </w:rPr>
              <w:t xml:space="preserve">★实质</w:t>
            </w:r>
            <w:r>
              <w:rPr>
                <w:rFonts w:hint="eastAsia" w:ascii="宋体" w:hAnsi="宋体" w:cs="宋体"/>
                <w:bCs/>
                <w:spacing w:val="1"/>
                <w:sz w:val="22"/>
                <w:highlight w:val="none"/>
              </w:rPr>
              <w:t xml:space="preserve">性</w:t>
            </w:r>
            <w:r>
              <w:rPr>
                <w:rFonts w:hint="eastAsia" w:ascii="宋体" w:hAnsi="宋体" w:cs="宋体"/>
                <w:bCs/>
                <w:sz w:val="22"/>
                <w:highlight w:val="none"/>
              </w:rPr>
              <w:t xml:space="preserve">要求</w:t>
            </w:r>
            <w:r/>
          </w:p>
        </w:tc>
        <w:tc>
          <w:tcPr>
            <w:shd w:val="clear" w:color="auto" w:fill="auto"/>
            <w:tcW w:w="6805" w:type="dxa"/>
            <w:textDirection w:val="lrTb"/>
            <w:noWrap w:val="false"/>
          </w:tcPr>
          <w:p>
            <w:pPr>
              <w:rPr>
                <w:rFonts w:ascii="宋体" w:hAnsi="宋体" w:cs="宋体"/>
                <w:bCs/>
                <w:color w:val="000000"/>
                <w:sz w:val="22"/>
                <w:highlight w:val="none"/>
              </w:rPr>
            </w:pPr>
            <w:r>
              <w:rPr>
                <w:rFonts w:hint="eastAsia" w:ascii="宋体" w:hAnsi="宋体" w:cs="宋体"/>
                <w:bCs/>
                <w:color w:val="000000"/>
                <w:sz w:val="22"/>
                <w:highlight w:val="none"/>
              </w:rPr>
              <w:t xml:space="preserve">满足GB20052-2024标准的能源效率检测报告</w:t>
            </w:r>
            <w:r>
              <w:rPr>
                <w:rFonts w:hint="eastAsia" w:ascii="宋体" w:hAnsi="宋体" w:cs="宋体"/>
                <w:bCs/>
                <w:sz w:val="22"/>
                <w:highlight w:val="none"/>
                <w:lang w:eastAsia="zh-CN"/>
              </w:rPr>
              <w:t xml:space="preserve">（</w:t>
            </w:r>
            <w:r>
              <w:rPr>
                <w:rFonts w:hint="eastAsia" w:ascii="宋体" w:hAnsi="宋体" w:cs="宋体"/>
                <w:bCs/>
                <w:sz w:val="22"/>
                <w:highlight w:val="none"/>
                <w:lang w:val="en-US" w:eastAsia="zh-CN"/>
              </w:rPr>
              <w:t xml:space="preserve">提供国家认可的第三方检测机构出具的</w:t>
            </w:r>
            <w:r>
              <w:rPr>
                <w:rFonts w:hint="eastAsia" w:ascii="宋体" w:hAnsi="宋体" w:cs="宋体"/>
                <w:bCs/>
                <w:sz w:val="22"/>
                <w:highlight w:val="none"/>
              </w:rPr>
              <w:t xml:space="preserve">试验报告</w:t>
            </w:r>
            <w:r>
              <w:rPr>
                <w:rFonts w:hint="eastAsia" w:ascii="宋体" w:hAnsi="宋体" w:cs="宋体"/>
                <w:bCs/>
                <w:sz w:val="22"/>
                <w:highlight w:val="none"/>
                <w:lang w:eastAsia="zh-CN"/>
              </w:rPr>
              <w:t xml:space="preserve">）</w:t>
            </w:r>
            <w:r/>
          </w:p>
        </w:tc>
        <w:tc>
          <w:tcPr>
            <w:tcW w:w="705" w:type="dxa"/>
            <w:textDirection w:val="lrTb"/>
            <w:noWrap w:val="false"/>
          </w:tcPr>
          <w:p>
            <w:pPr>
              <w:rPr>
                <w:rFonts w:ascii="宋体" w:hAnsi="宋体" w:cs="宋体"/>
                <w:b/>
                <w:color w:val="000000"/>
                <w:sz w:val="22"/>
                <w:highlight w:val="none"/>
              </w:rPr>
            </w:pPr>
            <w:r>
              <w:rPr>
                <w:rFonts w:ascii="宋体" w:hAnsi="宋体" w:cs="宋体"/>
                <w:b/>
                <w:color w:val="000000"/>
                <w:sz w:val="22"/>
                <w:highlight w:val="none"/>
              </w:rPr>
            </w:r>
            <w:r/>
          </w:p>
        </w:tc>
      </w:tr>
      <w:tr>
        <w:trPr/>
        <w:tc>
          <w:tcPr>
            <w:gridSpan w:val="2"/>
            <w:shd w:val="clear" w:color="auto" w:fill="auto"/>
            <w:tcW w:w="1880" w:type="dxa"/>
            <w:vAlign w:val="center"/>
            <w:textDirection w:val="lrTb"/>
            <w:noWrap w:val="false"/>
          </w:tcPr>
          <w:p>
            <w:pPr>
              <w:jc w:val="center"/>
              <w:rPr>
                <w:rFonts w:ascii="宋体" w:hAnsi="宋体" w:cs="宋体"/>
                <w:bCs/>
                <w:color w:val="000000"/>
                <w:sz w:val="22"/>
                <w:highlight w:val="none"/>
              </w:rPr>
            </w:pPr>
            <w:r>
              <w:rPr>
                <w:rFonts w:hint="eastAsia" w:ascii="宋体" w:hAnsi="宋体" w:cs="宋体"/>
                <w:bCs/>
                <w:sz w:val="22"/>
                <w:highlight w:val="none"/>
              </w:rPr>
              <w:t xml:space="preserve">非实</w:t>
            </w:r>
            <w:r>
              <w:rPr>
                <w:rFonts w:hint="eastAsia" w:ascii="宋体" w:hAnsi="宋体" w:cs="宋体"/>
                <w:bCs/>
                <w:spacing w:val="1"/>
                <w:sz w:val="22"/>
                <w:highlight w:val="none"/>
              </w:rPr>
              <w:t xml:space="preserve">质</w:t>
            </w:r>
            <w:r>
              <w:rPr>
                <w:rFonts w:hint="eastAsia" w:ascii="宋体" w:hAnsi="宋体" w:cs="宋体"/>
                <w:bCs/>
                <w:sz w:val="22"/>
                <w:highlight w:val="none"/>
              </w:rPr>
              <w:t xml:space="preserve">性要求</w:t>
            </w:r>
            <w:r/>
          </w:p>
        </w:tc>
        <w:tc>
          <w:tcPr>
            <w:shd w:val="clear" w:color="auto" w:fill="auto"/>
            <w:tcW w:w="6805" w:type="dxa"/>
            <w:textDirection w:val="lrTb"/>
            <w:noWrap w:val="false"/>
          </w:tcPr>
          <w:p>
            <w:pPr>
              <w:rPr>
                <w:rFonts w:ascii="宋体" w:hAnsi="宋体" w:cs="宋体"/>
                <w:bCs/>
                <w:color w:val="000000"/>
                <w:sz w:val="22"/>
                <w:highlight w:val="none"/>
              </w:rPr>
            </w:pPr>
            <w:r>
              <w:rPr>
                <w:rFonts w:hint="eastAsia" w:ascii="宋体" w:hAnsi="宋体" w:cs="宋体"/>
                <w:bCs/>
                <w:color w:val="000000"/>
                <w:sz w:val="22"/>
                <w:highlight w:val="none"/>
              </w:rPr>
              <w:t xml:space="preserve">1、绝缘耐热等级：H级</w:t>
            </w:r>
            <w:r/>
          </w:p>
          <w:p>
            <w:pPr>
              <w:rPr>
                <w:rFonts w:ascii="宋体" w:hAnsi="宋体" w:cs="宋体"/>
                <w:bCs/>
                <w:color w:val="000000"/>
                <w:sz w:val="22"/>
                <w:highlight w:val="none"/>
              </w:rPr>
            </w:pPr>
            <w:r>
              <w:rPr>
                <w:rFonts w:hint="eastAsia" w:ascii="宋体" w:hAnsi="宋体" w:cs="宋体"/>
                <w:bCs/>
                <w:color w:val="000000"/>
                <w:sz w:val="22"/>
                <w:highlight w:val="none"/>
              </w:rPr>
              <w:t xml:space="preserve">2、温升：&lt;125K</w:t>
            </w:r>
            <w:r/>
          </w:p>
          <w:p>
            <w:pPr>
              <w:rPr>
                <w:rFonts w:ascii="宋体" w:hAnsi="宋体" w:cs="宋体"/>
                <w:bCs/>
                <w:color w:val="000000"/>
                <w:sz w:val="22"/>
                <w:highlight w:val="none"/>
              </w:rPr>
            </w:pPr>
            <w:r>
              <w:rPr>
                <w:rFonts w:hint="eastAsia" w:ascii="宋体" w:hAnsi="宋体" w:cs="宋体"/>
                <w:bCs/>
                <w:color w:val="000000"/>
                <w:sz w:val="22"/>
                <w:highlight w:val="none"/>
              </w:rPr>
              <w:t xml:space="preserve">3、空载损耗：&lt;0.885KW</w:t>
            </w:r>
            <w:r/>
          </w:p>
          <w:p>
            <w:pPr>
              <w:rPr>
                <w:rFonts w:ascii="宋体" w:hAnsi="宋体" w:cs="宋体"/>
                <w:bCs/>
                <w:color w:val="000000"/>
                <w:sz w:val="22"/>
                <w:highlight w:val="none"/>
              </w:rPr>
            </w:pPr>
            <w:r>
              <w:rPr>
                <w:rFonts w:hint="eastAsia" w:ascii="宋体" w:hAnsi="宋体" w:cs="宋体"/>
                <w:bCs/>
                <w:color w:val="000000"/>
                <w:sz w:val="22"/>
                <w:highlight w:val="none"/>
              </w:rPr>
              <w:t xml:space="preserve">4、负载损耗(145℃)：&lt;5.76KW</w:t>
            </w:r>
            <w:r/>
          </w:p>
          <w:p>
            <w:pPr>
              <w:rPr>
                <w:rFonts w:ascii="宋体" w:hAnsi="宋体" w:cs="宋体"/>
                <w:bCs/>
                <w:color w:val="000000"/>
                <w:sz w:val="22"/>
                <w:highlight w:val="none"/>
              </w:rPr>
            </w:pPr>
            <w:r>
              <w:rPr>
                <w:rFonts w:hint="eastAsia" w:ascii="宋体" w:hAnsi="宋体" w:cs="宋体"/>
                <w:bCs/>
                <w:color w:val="000000"/>
                <w:sz w:val="22"/>
                <w:highlight w:val="none"/>
              </w:rPr>
              <w:t xml:space="preserve">5、局部放电水平：&lt;10pC</w:t>
            </w:r>
            <w:r/>
          </w:p>
          <w:p>
            <w:pPr>
              <w:rPr>
                <w:rFonts w:ascii="宋体" w:hAnsi="宋体" w:cs="宋体"/>
                <w:bCs/>
                <w:color w:val="000000"/>
                <w:sz w:val="22"/>
                <w:highlight w:val="none"/>
              </w:rPr>
            </w:pPr>
            <w:r>
              <w:rPr>
                <w:rFonts w:hint="eastAsia" w:ascii="宋体" w:hAnsi="宋体" w:cs="宋体"/>
                <w:bCs/>
                <w:color w:val="000000"/>
                <w:sz w:val="22"/>
                <w:highlight w:val="none"/>
              </w:rPr>
              <w:t xml:space="preserve">6、具备SCB14-630/10试验报告；</w:t>
            </w:r>
            <w:r/>
          </w:p>
        </w:tc>
        <w:tc>
          <w:tcPr>
            <w:tcW w:w="705" w:type="dxa"/>
            <w:textDirection w:val="lrTb"/>
            <w:noWrap w:val="false"/>
          </w:tcPr>
          <w:p>
            <w:pPr>
              <w:rPr>
                <w:rFonts w:ascii="宋体" w:hAnsi="宋体" w:cs="宋体"/>
                <w:b/>
                <w:color w:val="000000"/>
                <w:sz w:val="22"/>
                <w:highlight w:val="none"/>
              </w:rPr>
            </w:pPr>
            <w:r>
              <w:rPr>
                <w:rFonts w:ascii="宋体" w:hAnsi="宋体" w:cs="宋体"/>
                <w:b/>
                <w:color w:val="000000"/>
                <w:sz w:val="22"/>
                <w:highlight w:val="none"/>
              </w:rPr>
            </w:r>
            <w:r/>
          </w:p>
        </w:tc>
      </w:tr>
    </w:tbl>
    <w:p>
      <w:pPr>
        <w:ind w:firstLine="422"/>
        <w:jc w:val="left"/>
        <w:spacing w:line="360" w:lineRule="auto"/>
        <w:tabs>
          <w:tab w:val="left" w:pos="2310" w:leader="none"/>
        </w:tabs>
        <w:rPr>
          <w:rFonts w:ascii="宋体" w:hAnsi="宋体"/>
          <w:b/>
          <w:bCs/>
          <w:color w:val="auto"/>
          <w:szCs w:val="21"/>
          <w:highlight w:val="none"/>
        </w:rPr>
        <w:outlineLvl w:val="1"/>
      </w:pPr>
      <w:r>
        <w:rPr>
          <w:rFonts w:hint="eastAsia" w:ascii="宋体" w:hAnsi="宋体"/>
          <w:b/>
          <w:bCs/>
          <w:color w:val="auto"/>
          <w:szCs w:val="21"/>
          <w:highlight w:val="none"/>
          <w:lang w:val="en-US" w:eastAsia="zh-CN"/>
        </w:rPr>
        <w:t xml:space="preserve">四</w:t>
      </w:r>
      <w:r>
        <w:rPr>
          <w:rFonts w:hint="eastAsia" w:ascii="宋体" w:hAnsi="宋体"/>
          <w:b/>
          <w:bCs/>
          <w:color w:val="auto"/>
          <w:szCs w:val="21"/>
          <w:highlight w:val="none"/>
        </w:rPr>
        <w:t xml:space="preserve">、</w:t>
      </w:r>
      <w:r>
        <w:rPr>
          <w:rFonts w:hint="eastAsia" w:ascii="宋体" w:hAnsi="宋体"/>
          <w:b/>
          <w:bCs/>
          <w:color w:val="auto"/>
          <w:szCs w:val="21"/>
          <w:highlight w:val="none"/>
          <w:lang w:val="en-US" w:eastAsia="zh-CN"/>
        </w:rPr>
        <w:t xml:space="preserve">报价</w:t>
      </w:r>
      <w:r>
        <w:rPr>
          <w:rFonts w:hint="eastAsia" w:ascii="宋体" w:hAnsi="宋体"/>
          <w:b/>
          <w:bCs/>
          <w:color w:val="auto"/>
          <w:szCs w:val="21"/>
          <w:highlight w:val="none"/>
        </w:rPr>
        <w:t xml:space="preserve">说明</w:t>
      </w:r>
      <w:r/>
    </w:p>
    <w:p>
      <w:pPr>
        <w:ind w:firstLine="420"/>
        <w:jc w:val="left"/>
        <w:spacing w:line="360" w:lineRule="auto"/>
        <w:tabs>
          <w:tab w:val="left" w:pos="2310" w:leader="none"/>
        </w:tabs>
        <w:rPr>
          <w:rFonts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投标报价应包括全部设备、材料价格、包装费、运杂费及运输保险费、安装费、调试费、维护人员培训费等投标人认为需要的其他费用，全部包含在投标总价中。在安装、调试、验收过程中，如发现有漏项、缺件，乙方应无条件、无偿补齐，所发生的一切费用，视为己包含在乙方投标时的投标报价之中，且并不因此而影响交付甲方使用的时间。</w:t>
      </w:r>
      <w:r/>
    </w:p>
    <w:p>
      <w:pPr>
        <w:ind w:firstLine="422"/>
        <w:jc w:val="left"/>
        <w:spacing w:line="360" w:lineRule="auto"/>
        <w:tabs>
          <w:tab w:val="left" w:pos="2310" w:leader="none"/>
        </w:tabs>
        <w:rPr>
          <w:rFonts w:ascii="宋体" w:hAnsi="宋体"/>
          <w:b/>
          <w:color w:val="auto"/>
          <w:szCs w:val="21"/>
          <w:highlight w:val="none"/>
        </w:rPr>
      </w:pPr>
      <w:r>
        <w:rPr>
          <w:rFonts w:hint="eastAsia" w:ascii="宋体" w:hAnsi="宋体"/>
          <w:b/>
          <w:color w:val="auto"/>
          <w:szCs w:val="21"/>
          <w:highlight w:val="none"/>
          <w:lang w:val="en-US" w:eastAsia="zh-CN"/>
        </w:rPr>
        <w:t xml:space="preserve">2、</w:t>
      </w:r>
      <w:r>
        <w:rPr>
          <w:rFonts w:hint="eastAsia" w:ascii="宋体" w:hAnsi="宋体"/>
          <w:b/>
          <w:color w:val="auto"/>
          <w:szCs w:val="21"/>
          <w:highlight w:val="none"/>
        </w:rPr>
        <w:t xml:space="preserve">投标报价要按照</w:t>
      </w:r>
      <w:r>
        <w:rPr>
          <w:rFonts w:hint="eastAsia" w:ascii="宋体" w:hAnsi="宋体"/>
          <w:b/>
          <w:color w:val="auto"/>
          <w:szCs w:val="21"/>
          <w:highlight w:val="none"/>
          <w:lang w:val="en-US" w:eastAsia="zh-CN"/>
        </w:rPr>
        <w:t xml:space="preserve">采购</w:t>
      </w:r>
      <w:r>
        <w:rPr>
          <w:rFonts w:hint="eastAsia" w:ascii="宋体" w:hAnsi="宋体"/>
          <w:b/>
          <w:color w:val="auto"/>
          <w:szCs w:val="21"/>
          <w:highlight w:val="none"/>
        </w:rPr>
        <w:t xml:space="preserve">清单进行报价，招标文件与</w:t>
      </w:r>
      <w:r>
        <w:rPr>
          <w:rFonts w:hint="eastAsia" w:ascii="宋体" w:hAnsi="宋体"/>
          <w:b/>
          <w:color w:val="auto"/>
          <w:szCs w:val="21"/>
          <w:highlight w:val="none"/>
          <w:lang w:val="en-US" w:eastAsia="zh-CN"/>
        </w:rPr>
        <w:t xml:space="preserve">采购</w:t>
      </w:r>
      <w:r>
        <w:rPr>
          <w:rFonts w:hint="eastAsia" w:ascii="宋体" w:hAnsi="宋体"/>
          <w:b/>
          <w:color w:val="auto"/>
          <w:szCs w:val="21"/>
          <w:highlight w:val="none"/>
        </w:rPr>
        <w:t xml:space="preserve">清单不一致时以</w:t>
      </w:r>
      <w:r>
        <w:rPr>
          <w:rFonts w:hint="eastAsia" w:ascii="宋体" w:hAnsi="宋体"/>
          <w:b/>
          <w:color w:val="auto"/>
          <w:szCs w:val="21"/>
          <w:highlight w:val="none"/>
          <w:lang w:val="en-US" w:eastAsia="zh-CN"/>
        </w:rPr>
        <w:t xml:space="preserve">采购</w:t>
      </w:r>
      <w:r>
        <w:rPr>
          <w:rFonts w:hint="eastAsia" w:ascii="宋体" w:hAnsi="宋体"/>
          <w:b/>
          <w:color w:val="auto"/>
          <w:szCs w:val="21"/>
          <w:highlight w:val="none"/>
        </w:rPr>
        <w:t xml:space="preserve">清单为准，</w:t>
      </w:r>
      <w:r>
        <w:rPr>
          <w:rFonts w:hint="eastAsia" w:ascii="宋体" w:hAnsi="宋体"/>
          <w:b/>
          <w:color w:val="auto"/>
          <w:szCs w:val="21"/>
          <w:highlight w:val="none"/>
          <w:lang w:val="en-US" w:eastAsia="zh-CN"/>
        </w:rPr>
        <w:t xml:space="preserve">采购</w:t>
      </w:r>
      <w:r>
        <w:rPr>
          <w:rFonts w:hint="eastAsia" w:ascii="宋体" w:hAnsi="宋体"/>
          <w:b/>
          <w:color w:val="auto"/>
          <w:szCs w:val="21"/>
          <w:highlight w:val="none"/>
        </w:rPr>
        <w:t xml:space="preserve">清单要求与图纸技术要求不一致时以图纸为准。</w:t>
      </w:r>
      <w:r/>
    </w:p>
    <w:p>
      <w:pPr>
        <w:pStyle w:val="1275"/>
        <w:ind w:firstLine="422"/>
        <w:spacing w:line="360" w:lineRule="auto"/>
        <w:rPr>
          <w:rFonts w:ascii="宋体" w:hAnsi="宋体"/>
          <w:b/>
          <w:color w:val="auto"/>
          <w:szCs w:val="21"/>
          <w:highlight w:val="none"/>
        </w:rPr>
      </w:pPr>
      <w:r>
        <w:rPr>
          <w:rFonts w:hint="eastAsia" w:ascii="宋体" w:hAnsi="宋体"/>
          <w:b/>
          <w:color w:val="auto"/>
          <w:szCs w:val="21"/>
          <w:highlight w:val="none"/>
          <w:lang w:val="en-US" w:eastAsia="zh-CN"/>
        </w:rPr>
        <w:t xml:space="preserve">3</w:t>
      </w:r>
      <w:r>
        <w:rPr>
          <w:rFonts w:hint="eastAsia" w:ascii="宋体" w:hAnsi="宋体"/>
          <w:b/>
          <w:color w:val="auto"/>
          <w:szCs w:val="21"/>
          <w:highlight w:val="none"/>
        </w:rPr>
        <w:t xml:space="preserve">、在安装、负责调试过程中，乙方在甲方工地现场人员的安全、保险、食宿、交通，由乙方负责。</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五、安全要求</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中标供应商须按照《中华人民共和国劳动法》规范用工，并加强施工人员安全教育，加强施工现场安全保护，杜绝安全事故发生。如施工过程中发生安全事故，中标供应商须承担一切责任，采购人及使用学校免责；如设备安装过程中，对学校的场地、设备造成损坏或对人员造成伤害，须承担一切责任，并进行相应赔偿。</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六、质保要求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除文件中另有说明外，本项目所有产品免费质保期为2年(含)以上（质保费用包含在投标总价中，自验收报告签字确认日起进入质保期）。</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七、验收要求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b w:val="0"/>
          <w:bCs/>
          <w:color w:val="auto"/>
          <w:szCs w:val="21"/>
          <w:highlight w:val="none"/>
          <w:lang w:val="en-US" w:eastAsia="zh-CN"/>
        </w:rPr>
        <w:t xml:space="preserve">供应商</w:t>
      </w:r>
      <w:r>
        <w:rPr>
          <w:rFonts w:hint="eastAsia" w:ascii="宋体" w:hAnsi="宋体"/>
          <w:b w:val="0"/>
          <w:bCs/>
          <w:color w:val="auto"/>
          <w:szCs w:val="21"/>
          <w:highlight w:val="none"/>
        </w:rPr>
        <w:t xml:space="preserve">须确保本项目</w:t>
      </w:r>
      <w:r>
        <w:rPr>
          <w:rFonts w:hint="eastAsia" w:ascii="宋体" w:hAnsi="宋体"/>
          <w:b w:val="0"/>
          <w:bCs/>
          <w:color w:val="auto"/>
          <w:szCs w:val="21"/>
          <w:highlight w:val="none"/>
          <w:lang w:val="en-US" w:eastAsia="zh-CN"/>
        </w:rPr>
        <w:t xml:space="preserve">安装</w:t>
      </w:r>
      <w:r>
        <w:rPr>
          <w:rFonts w:hint="eastAsia" w:ascii="宋体" w:hAnsi="宋体"/>
          <w:b w:val="0"/>
          <w:bCs/>
          <w:color w:val="auto"/>
          <w:szCs w:val="21"/>
          <w:highlight w:val="none"/>
        </w:rPr>
        <w:t xml:space="preserve">完成后所有设备、调试必须通过供电部门验收合格，确保能满足正式通电要求，办理供电部门相关手续及其他一切协调事宜，若无法通过供电部门验收，甲方有权扣除本项目合同款项的20%作为违约金，并督促乙方配合完成供电部门验收，若乙方仍然无法完成供电部门验收，甲方有权单方面解除合同，并责令乙方进行相应赔偿。</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2、验收申请：中标供应商须在“南京教育装备项目管理平台”线申请验收；验收中相关纸质文档(分校逐项验收表、分校验收清单、项目总验收单)必须经由项目管理平台打印。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3、验收流程：按“学校验收——区级验收”顺序进行验收。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4、验收结果：验收不合格须立即整改，整改后验收仍不合格的，采购人依据法律追究合同责任方的责任或终止合同。</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5、竣工验收由施工、学校、监理、设计4方共同参与，电力设备正常无故障运行一个月后，为验收合格。</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八、履约要求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按《溧水区教育技术装备项目履约验收操作规程》履约，并在项目结束后，根据采购人要求将履约资料装订成册交采购人。竣工交付资料包括但不限于：每所学校广播系统深化设计图、广播系统部署图、广播系统点位图等竣工材料，需提供过程性、最终实际部署的设计图纸；安装过程性的开工报告、隐蔽部位现场见证单、变更签证单、分校货物清单及验收资料等；使用说明文档、培训资料及其他资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2、中标供应商必须承诺接受“南京教育装备项目管理平台”的信息化过程管理，录入项目资料，打印二维码并将其贴在产品指定位置。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3、中标供应商有义务配合区及使用学校在南京市教育系统固定资产平台进行资产录入。</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九、考核要求</w:t>
      </w:r>
      <w:r/>
    </w:p>
    <w:p>
      <w:pPr>
        <w:ind w:firstLine="420"/>
        <w:keepLines w:val="0"/>
        <w:keepNext w:val="0"/>
        <w:pageBreakBefore w:val="0"/>
        <w:spacing w:line="360" w:lineRule="auto"/>
        <w:widowControl w:val="off"/>
        <w:rPr>
          <w:rFonts w:hint="default" w:ascii="宋体" w:hAnsi="宋体" w:cs="宋体"/>
          <w:b/>
          <w:bCs/>
          <w:color w:val="auto"/>
          <w:sz w:val="21"/>
          <w:szCs w:val="21"/>
          <w:highlight w:val="none"/>
          <w:lang w:val="en-US" w:eastAsia="zh-CN"/>
        </w:rPr>
      </w:pPr>
      <w:r>
        <w:rPr>
          <w:rFonts w:hint="default" w:ascii="宋体" w:hAnsi="宋体" w:cs="宋体"/>
          <w:b w:val="0"/>
          <w:bCs w:val="0"/>
          <w:color w:val="auto"/>
          <w:sz w:val="21"/>
          <w:szCs w:val="21"/>
          <w:highlight w:val="none"/>
          <w:lang w:val="en-US" w:eastAsia="zh-CN"/>
        </w:rPr>
        <w:t xml:space="preserve">本项目委托工程监理进行项目实施过程中的具体监管；委托审计单位进行项目审计。</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十、其他要求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供应商应根据自己对采购人业务需求的理解和自己以往的建设经验提供完整的实施方案。如果是实现系统功能必需的内容，但中标供应商没有在投标清单列出，将视为漏项，采购人有权要求中标供应商无偿补足，包括但不限于设备、运输、保管、调试、培训、相关部门验收、保修期内的维护保养及相关服务费用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在项目实施期间，中标供应商承诺的项目经理和项目技术负责人未经采购人同意不得随意调整，中标供应商如中途更换项目经理，须征得采购人同意。中标供应商须无条件接受采购人的监督检查，并承担人员不足、不到位所导致的相关质量、进度等违约责任,采购人不支付项目经理等人的人工费等一切费用，由中标供应商自行承担。</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3、根据采购管理的相关要求，质保期内中标人维修；特种设备，每年高考电力公司专项检查。按要求进行切换电实验。</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十</w:t>
      </w:r>
      <w:r>
        <w:rPr>
          <w:rFonts w:hint="eastAsia" w:ascii="宋体" w:hAnsi="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val="en-US" w:eastAsia="zh-CN"/>
        </w:rPr>
        <w:t xml:space="preserve">、付款条件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付款比例：安装完成</w:t>
      </w:r>
      <w:r>
        <w:rPr>
          <w:rFonts w:hint="eastAsia" w:ascii="宋体" w:hAnsi="宋体" w:cs="宋体"/>
          <w:color w:val="auto"/>
          <w:sz w:val="21"/>
          <w:szCs w:val="21"/>
          <w:highlight w:val="none"/>
          <w:lang w:val="en-US" w:eastAsia="zh-CN"/>
        </w:rPr>
        <w:t xml:space="preserve">且</w:t>
      </w:r>
      <w:r>
        <w:rPr>
          <w:rFonts w:hint="eastAsia" w:ascii="宋体" w:hAnsi="宋体" w:eastAsia="宋体" w:cs="宋体"/>
          <w:color w:val="auto"/>
          <w:sz w:val="21"/>
          <w:szCs w:val="21"/>
          <w:highlight w:val="none"/>
          <w:lang w:val="en-US" w:eastAsia="zh-CN"/>
        </w:rPr>
        <w:t xml:space="preserve">验收合格后，付</w:t>
      </w:r>
      <w:r>
        <w:rPr>
          <w:rFonts w:hint="eastAsia" w:ascii="宋体" w:hAnsi="宋体" w:cs="宋体"/>
          <w:color w:val="auto"/>
          <w:sz w:val="21"/>
          <w:szCs w:val="21"/>
          <w:highlight w:val="none"/>
          <w:lang w:val="en-US" w:eastAsia="zh-CN"/>
        </w:rPr>
        <w:t xml:space="preserve">至合同价</w:t>
      </w:r>
      <w:r>
        <w:rPr>
          <w:rFonts w:hint="eastAsia" w:ascii="宋体" w:hAnsi="宋体" w:eastAsia="宋体" w:cs="宋体"/>
          <w:color w:val="auto"/>
          <w:sz w:val="21"/>
          <w:szCs w:val="21"/>
          <w:highlight w:val="none"/>
          <w:lang w:val="en-US" w:eastAsia="zh-CN"/>
        </w:rPr>
        <w:t xml:space="preserve">款</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50%，其余款</w:t>
      </w:r>
      <w:r>
        <w:rPr>
          <w:rFonts w:hint="eastAsia" w:ascii="宋体" w:hAnsi="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lang w:val="en-US" w:eastAsia="zh-CN"/>
        </w:rPr>
        <w:t xml:space="preserve">待审计完成后，按审计金额分两年付清。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进度安排：审计结束后支付</w:t>
      </w:r>
      <w:r>
        <w:rPr>
          <w:rFonts w:hint="eastAsia" w:ascii="宋体" w:hAnsi="宋体" w:cs="宋体"/>
          <w:color w:val="auto"/>
          <w:sz w:val="21"/>
          <w:szCs w:val="21"/>
          <w:highlight w:val="none"/>
          <w:lang w:val="en-US" w:eastAsia="zh-CN"/>
        </w:rPr>
        <w:t xml:space="preserve">至</w:t>
      </w:r>
      <w:r>
        <w:rPr>
          <w:rFonts w:hint="eastAsia" w:ascii="宋体" w:hAnsi="宋体" w:eastAsia="宋体" w:cs="宋体"/>
          <w:color w:val="auto"/>
          <w:sz w:val="21"/>
          <w:szCs w:val="21"/>
          <w:highlight w:val="none"/>
          <w:lang w:val="en-US" w:eastAsia="zh-CN"/>
        </w:rPr>
        <w:t xml:space="preserve">审定价的70%；第二年支付</w:t>
      </w:r>
      <w:r>
        <w:rPr>
          <w:rFonts w:hint="eastAsia" w:ascii="宋体" w:hAnsi="宋体" w:cs="宋体"/>
          <w:color w:val="auto"/>
          <w:sz w:val="21"/>
          <w:szCs w:val="21"/>
          <w:highlight w:val="none"/>
          <w:lang w:val="en-US" w:eastAsia="zh-CN"/>
        </w:rPr>
        <w:t xml:space="preserve">剩余价</w:t>
      </w:r>
      <w:r>
        <w:rPr>
          <w:rFonts w:hint="eastAsia" w:ascii="宋体" w:hAnsi="宋体" w:eastAsia="宋体" w:cs="宋体"/>
          <w:color w:val="auto"/>
          <w:sz w:val="21"/>
          <w:szCs w:val="21"/>
          <w:highlight w:val="none"/>
          <w:lang w:val="en-US" w:eastAsia="zh-CN"/>
        </w:rPr>
        <w:t xml:space="preserve">款（包括3%的质量保证金）。</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十</w:t>
      </w:r>
      <w:r>
        <w:rPr>
          <w:rFonts w:hint="eastAsia" w:ascii="宋体" w:hAnsi="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val="en-US" w:eastAsia="zh-CN"/>
        </w:rPr>
        <w:t xml:space="preserve">、交货时间、地点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1、交货时间：</w:t>
      </w:r>
      <w:r>
        <w:rPr>
          <w:rFonts w:hint="eastAsia" w:ascii="宋体" w:hAnsi="宋体" w:eastAsia="宋体" w:cs="Times New Roman"/>
          <w:color w:val="auto"/>
          <w:szCs w:val="21"/>
          <w:highlight w:val="none"/>
          <w:lang w:val="zh-CN"/>
        </w:rPr>
        <w:t xml:space="preserve">自合同签订之日起</w:t>
      </w:r>
      <w:r>
        <w:rPr>
          <w:rFonts w:hint="eastAsia" w:ascii="宋体" w:hAnsi="宋体" w:cs="Times New Roman"/>
          <w:color w:val="auto"/>
          <w:szCs w:val="21"/>
          <w:highlight w:val="none"/>
          <w:lang w:val="en-US" w:eastAsia="zh-CN"/>
        </w:rPr>
        <w:t xml:space="preserve">至</w:t>
      </w:r>
      <w:r>
        <w:rPr>
          <w:rFonts w:hint="eastAsia" w:ascii="宋体" w:hAnsi="宋体" w:eastAsia="宋体" w:cs="Times New Roman"/>
          <w:color w:val="auto"/>
          <w:szCs w:val="21"/>
          <w:highlight w:val="none"/>
          <w:lang w:val="zh-CN"/>
        </w:rPr>
        <w:t xml:space="preserve">2026年</w:t>
      </w:r>
      <w:r>
        <w:rPr>
          <w:rFonts w:hint="eastAsia" w:ascii="宋体" w:hAnsi="宋体" w:eastAsia="宋体" w:cs="Times New Roman"/>
          <w:color w:val="auto"/>
          <w:szCs w:val="21"/>
          <w:highlight w:val="none"/>
          <w:lang w:val="zh-CN" w:eastAsia="zh-CN"/>
        </w:rPr>
        <w:t xml:space="preserve">8</w:t>
      </w:r>
      <w:r>
        <w:rPr>
          <w:rFonts w:hint="eastAsia" w:ascii="宋体" w:hAnsi="宋体" w:eastAsia="宋体" w:cs="Times New Roman"/>
          <w:color w:val="auto"/>
          <w:szCs w:val="21"/>
          <w:highlight w:val="none"/>
          <w:lang w:val="zh-CN"/>
        </w:rPr>
        <w:t xml:space="preserve">月</w:t>
      </w:r>
      <w:r>
        <w:rPr>
          <w:rFonts w:hint="eastAsia" w:ascii="宋体" w:hAnsi="宋体" w:eastAsia="宋体" w:cs="Times New Roman"/>
          <w:color w:val="auto"/>
          <w:szCs w:val="21"/>
          <w:highlight w:val="none"/>
          <w:lang w:val="zh-CN" w:eastAsia="zh-CN"/>
        </w:rPr>
        <w:t xml:space="preserve">15日</w:t>
      </w:r>
      <w:r>
        <w:rPr>
          <w:rFonts w:hint="eastAsia" w:ascii="宋体" w:hAnsi="宋体" w:cs="Times New Roman"/>
          <w:color w:val="auto"/>
          <w:szCs w:val="21"/>
          <w:highlight w:val="none"/>
          <w:lang w:val="en-US" w:eastAsia="zh-CN"/>
        </w:rPr>
        <w:t xml:space="preserve">前</w:t>
      </w:r>
      <w:r>
        <w:rPr>
          <w:rFonts w:hint="eastAsia" w:ascii="宋体" w:hAnsi="宋体" w:eastAsia="宋体" w:cs="Times New Roman"/>
          <w:color w:val="auto"/>
          <w:szCs w:val="21"/>
          <w:highlight w:val="none"/>
          <w:lang w:val="zh-CN"/>
        </w:rPr>
        <w:t xml:space="preserve">所有产品全部配货到位并安装调试完成</w:t>
      </w:r>
      <w:r>
        <w:rPr>
          <w:rFonts w:hint="eastAsia" w:ascii="宋体" w:hAnsi="宋体" w:eastAsia="宋体" w:cs="宋体"/>
          <w:color w:val="auto"/>
          <w:sz w:val="21"/>
          <w:szCs w:val="21"/>
          <w:highlight w:val="none"/>
          <w:lang w:val="en-US" w:eastAsia="zh-CN"/>
        </w:rPr>
        <w:t xml:space="preserve">。</w:t>
      </w:r>
      <w:r/>
    </w:p>
    <w:p>
      <w:pPr>
        <w:ind w:firstLine="411"/>
        <w:spacing w:line="360" w:lineRule="auto"/>
        <w:rPr>
          <w:rFonts w:hint="eastAsia" w:ascii="宋体" w:hAnsi="宋体" w:eastAsia="宋体" w:cs="宋体"/>
          <w:bCs/>
          <w:color w:val="auto"/>
          <w:szCs w:val="21"/>
          <w:highlight w:val="none"/>
        </w:rPr>
      </w:pPr>
      <w:r>
        <w:rPr>
          <w:rFonts w:hint="eastAsia" w:ascii="宋体" w:hAnsi="宋体" w:eastAsia="宋体" w:cs="宋体"/>
          <w:color w:val="auto"/>
          <w:sz w:val="21"/>
          <w:szCs w:val="21"/>
          <w:highlight w:val="none"/>
          <w:lang w:val="en-US" w:eastAsia="zh-CN"/>
        </w:rPr>
        <w:t xml:space="preserve">2、送货地点：供应商负责将货物运到采购人指定地点。由供应商负责办理运输和装卸、安装等，费用由供应商负责。由采购人组织验收，检验不合格或不符合质量要求，供应商除无条件退货、返工外，还应承担采购人的一切损失。</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黑体" w:eastAsia="宋体"/>
          <w:color w:val="auto"/>
          <w:sz w:val="36"/>
          <w:szCs w:val="36"/>
          <w:highlight w:val="none"/>
          <w:lang w:val="zh-CN" w:eastAsia="zh-CN"/>
        </w:rPr>
      </w:pPr>
      <w:r>
        <w:rPr>
          <w:rFonts w:hint="eastAsia" w:ascii="宋体" w:hAnsi="宋体" w:cs="宋体"/>
          <w:b/>
          <w:color w:val="auto"/>
          <w:sz w:val="32"/>
          <w:szCs w:val="32"/>
          <w:highlight w:val="none"/>
        </w:rPr>
        <w:t xml:space="preserve">说明：本章打“★”的</w:t>
      </w:r>
      <w:r>
        <w:rPr>
          <w:rFonts w:hint="eastAsia" w:ascii="宋体" w:hAnsi="宋体" w:cs="宋体"/>
          <w:b/>
          <w:color w:val="auto"/>
          <w:sz w:val="32"/>
          <w:szCs w:val="32"/>
          <w:highlight w:val="none"/>
          <w:lang w:val="en-US" w:eastAsia="zh-CN"/>
        </w:rPr>
        <w:t xml:space="preserve">技术</w:t>
      </w:r>
      <w:r>
        <w:rPr>
          <w:rFonts w:hint="eastAsia"/>
          <w:b/>
          <w:color w:val="auto"/>
          <w:sz w:val="32"/>
          <w:szCs w:val="32"/>
          <w:highlight w:val="none"/>
          <w:lang w:val="zh-CN"/>
        </w:rPr>
        <w:t xml:space="preserve">要求</w:t>
      </w:r>
      <w:r>
        <w:rPr>
          <w:rFonts w:hint="eastAsia"/>
          <w:b/>
          <w:color w:val="auto"/>
          <w:sz w:val="32"/>
          <w:szCs w:val="32"/>
          <w:highlight w:val="none"/>
          <w:lang w:val="en-US" w:eastAsia="zh-CN"/>
        </w:rPr>
        <w:t xml:space="preserve">均</w:t>
      </w:r>
      <w:r>
        <w:rPr>
          <w:rFonts w:hint="eastAsia" w:ascii="宋体" w:hAnsi="宋体" w:cs="宋体"/>
          <w:b/>
          <w:color w:val="auto"/>
          <w:sz w:val="32"/>
          <w:szCs w:val="32"/>
          <w:highlight w:val="none"/>
        </w:rPr>
        <w:t xml:space="preserve">为实质性要求，不允许负偏离，否则作为无效文件</w:t>
      </w:r>
      <w:r>
        <w:rPr>
          <w:rFonts w:hint="eastAsia" w:ascii="宋体" w:hAnsi="宋体" w:cs="宋体"/>
          <w:b/>
          <w:color w:val="auto"/>
          <w:sz w:val="32"/>
          <w:szCs w:val="32"/>
          <w:highlight w:val="none"/>
          <w:lang w:eastAsia="zh-CN"/>
        </w:rPr>
        <w:t xml:space="preserve">，</w:t>
      </w:r>
      <w:r>
        <w:rPr>
          <w:rFonts w:hint="eastAsia"/>
          <w:b/>
          <w:color w:val="auto"/>
          <w:sz w:val="32"/>
          <w:szCs w:val="32"/>
          <w:highlight w:val="none"/>
          <w:lang w:val="en-US" w:eastAsia="zh-CN"/>
        </w:rPr>
        <w:t xml:space="preserve">供应商应</w:t>
      </w:r>
      <w:r>
        <w:rPr>
          <w:rFonts w:hint="eastAsia"/>
          <w:b/>
          <w:bCs/>
          <w:color w:val="auto"/>
          <w:sz w:val="30"/>
          <w:szCs w:val="30"/>
          <w:highlight w:val="none"/>
        </w:rPr>
        <w:t xml:space="preserve">根据</w:t>
      </w:r>
      <w:r>
        <w:rPr>
          <w:rFonts w:hint="eastAsia"/>
          <w:b/>
          <w:bCs/>
          <w:color w:val="auto"/>
          <w:sz w:val="30"/>
          <w:szCs w:val="30"/>
          <w:highlight w:val="none"/>
          <w:lang w:val="en-US" w:eastAsia="zh-CN"/>
        </w:rPr>
        <w:t xml:space="preserve">招标文件</w:t>
      </w:r>
      <w:r>
        <w:rPr>
          <w:rFonts w:hint="eastAsia"/>
          <w:b/>
          <w:bCs/>
          <w:color w:val="auto"/>
          <w:sz w:val="30"/>
          <w:szCs w:val="30"/>
          <w:highlight w:val="none"/>
        </w:rPr>
        <w:t xml:space="preserve">编制《</w:t>
      </w:r>
      <w:r>
        <w:rPr>
          <w:rFonts w:hint="eastAsia"/>
          <w:b/>
          <w:bCs/>
          <w:color w:val="auto"/>
          <w:sz w:val="30"/>
          <w:szCs w:val="30"/>
          <w:highlight w:val="none"/>
          <w:lang w:val="zh-CN"/>
        </w:rPr>
        <w:t xml:space="preserve">技术条款偏离表</w:t>
      </w:r>
      <w:r>
        <w:rPr>
          <w:rFonts w:hint="eastAsia"/>
          <w:b/>
          <w:bCs/>
          <w:color w:val="auto"/>
          <w:sz w:val="30"/>
          <w:szCs w:val="30"/>
          <w:highlight w:val="none"/>
        </w:rPr>
        <w:t xml:space="preserve">》</w:t>
      </w:r>
      <w:r>
        <w:rPr>
          <w:rFonts w:hint="eastAsia"/>
          <w:b/>
          <w:bCs/>
          <w:color w:val="auto"/>
          <w:sz w:val="30"/>
          <w:szCs w:val="30"/>
          <w:highlight w:val="none"/>
          <w:lang w:eastAsia="zh-CN"/>
        </w:rPr>
        <w:t xml:space="preserve">。</w:t>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br w:type="page" w:clear="all"/>
      </w:r>
      <w:r/>
    </w:p>
    <w:p>
      <w:pPr>
        <w:jc w:val="center"/>
        <w:rPr>
          <w:rFonts w:ascii="黑体" w:hAnsi="Arial" w:eastAsia="黑体" w:cs="Arial"/>
          <w:color w:val="auto"/>
          <w:sz w:val="36"/>
          <w:szCs w:val="36"/>
          <w:highlight w:val="none"/>
          <w:lang w:val="zh-CN"/>
        </w:rPr>
        <w:outlineLvl w:val="0"/>
      </w:pPr>
      <w:r>
        <w:rPr>
          <w:rFonts w:hint="eastAsia" w:ascii="黑体" w:eastAsia="黑体"/>
          <w:color w:val="auto"/>
          <w:sz w:val="36"/>
          <w:szCs w:val="36"/>
          <w:highlight w:val="none"/>
          <w:lang w:val="zh-CN"/>
        </w:rPr>
        <w:t xml:space="preserve">第五章拟签订的合同条款</w:t>
      </w:r>
      <w:r/>
    </w:p>
    <w:p>
      <w:pPr>
        <w:jc w:val="center"/>
        <w:rPr>
          <w:rFonts w:hint="eastAsia" w:ascii="黑体" w:hAnsi="Arial" w:eastAsia="黑体" w:cs="Arial"/>
          <w:color w:val="auto"/>
          <w:sz w:val="36"/>
          <w:szCs w:val="36"/>
          <w:highlight w:val="none"/>
          <w:lang w:val="zh-CN"/>
        </w:rPr>
      </w:pPr>
      <w:r>
        <w:rPr>
          <w:rFonts w:hint="eastAsia" w:ascii="黑体" w:hAnsi="Arial" w:eastAsia="黑体" w:cs="Arial"/>
          <w:color w:val="auto"/>
          <w:sz w:val="36"/>
          <w:szCs w:val="36"/>
          <w:highlight w:val="none"/>
          <w:lang w:val="zh-CN"/>
        </w:rPr>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合同编号：</w:t>
      </w:r>
      <w:r/>
    </w:p>
    <w:p>
      <w:pPr>
        <w:ind w:firstLine="42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zh-CN"/>
        </w:rPr>
        <w:t xml:space="preserve">项目名称：</w:t>
      </w:r>
      <w:r/>
    </w:p>
    <w:p>
      <w:pPr>
        <w:ind w:firstLine="420"/>
        <w:jc w:val="left"/>
        <w:spacing w:line="360" w:lineRule="auto"/>
        <w:rPr>
          <w:rFonts w:hint="eastAsia" w:ascii="宋体" w:hAnsi="宋体" w:eastAsia="宋体" w:cs="宋体"/>
          <w:szCs w:val="21"/>
          <w:highlight w:val="none"/>
          <w:lang w:val="zh-CN" w:eastAsia="zh-CN"/>
        </w:rPr>
      </w:pPr>
      <w:r>
        <w:rPr>
          <w:rFonts w:hint="eastAsia" w:ascii="宋体" w:hAnsi="宋体" w:cs="宋体"/>
          <w:szCs w:val="21"/>
          <w:highlight w:val="none"/>
          <w:lang w:val="zh-CN"/>
        </w:rPr>
        <w:t xml:space="preserve">项目编号：</w:t>
      </w:r>
      <w:r/>
    </w:p>
    <w:p>
      <w:pPr>
        <w:ind w:firstLine="420"/>
        <w:spacing w:line="360" w:lineRule="auto"/>
        <w:rPr>
          <w:rFonts w:hint="eastAsia" w:ascii="宋体" w:hAnsi="宋体" w:eastAsia="宋体" w:cs="宋体"/>
          <w:szCs w:val="21"/>
          <w:highlight w:val="none"/>
          <w:lang w:val="zh-CN" w:eastAsia="zh-CN"/>
        </w:rPr>
      </w:pPr>
      <w:r>
        <w:rPr>
          <w:rFonts w:hint="eastAsia" w:ascii="宋体" w:hAnsi="宋体" w:cs="宋体"/>
          <w:szCs w:val="21"/>
          <w:highlight w:val="none"/>
          <w:lang w:val="zh-CN"/>
        </w:rPr>
        <w:t xml:space="preserve">甲方：（买方）</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乙方：（卖方）</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甲、乙双方根据</w:t>
      </w:r>
      <w:r>
        <w:rPr>
          <w:rFonts w:hint="eastAsia" w:ascii="宋体" w:hAnsi="宋体" w:cs="宋体"/>
          <w:szCs w:val="21"/>
          <w:highlight w:val="none"/>
          <w:lang w:val="en-US" w:eastAsia="zh-CN"/>
        </w:rPr>
        <w:t xml:space="preserve">采购</w:t>
      </w:r>
      <w:r>
        <w:rPr>
          <w:rFonts w:hint="eastAsia" w:ascii="宋体" w:hAnsi="宋体" w:cs="宋体"/>
          <w:szCs w:val="21"/>
          <w:highlight w:val="none"/>
          <w:lang w:val="zh-CN"/>
        </w:rPr>
        <w:t xml:space="preserve">结果，签署本合同。</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一、合同内容</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1.1标的名称：</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1.2标的质量：按</w:t>
      </w:r>
      <w:r>
        <w:rPr>
          <w:rFonts w:hint="eastAsia" w:ascii="宋体" w:hAnsi="宋体" w:cs="宋体"/>
          <w:szCs w:val="21"/>
          <w:highlight w:val="none"/>
          <w:lang w:val="en-US" w:eastAsia="zh-CN"/>
        </w:rPr>
        <w:t xml:space="preserve">采购</w:t>
      </w:r>
      <w:r>
        <w:rPr>
          <w:rFonts w:hint="eastAsia" w:ascii="宋体" w:hAnsi="宋体" w:cs="宋体"/>
          <w:szCs w:val="21"/>
          <w:highlight w:val="none"/>
          <w:lang w:val="zh-CN"/>
        </w:rPr>
        <w:t xml:space="preserve">文件及响应文件执行。</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1.3标的数量（规模）：按</w:t>
      </w:r>
      <w:r>
        <w:rPr>
          <w:rFonts w:hint="eastAsia" w:ascii="宋体" w:hAnsi="宋体" w:cs="宋体"/>
          <w:szCs w:val="21"/>
          <w:highlight w:val="none"/>
          <w:lang w:val="en-US" w:eastAsia="zh-CN"/>
        </w:rPr>
        <w:t xml:space="preserve">采购</w:t>
      </w:r>
      <w:r>
        <w:rPr>
          <w:rFonts w:hint="eastAsia" w:ascii="宋体" w:hAnsi="宋体" w:cs="宋体"/>
          <w:szCs w:val="21"/>
          <w:highlight w:val="none"/>
          <w:lang w:val="zh-CN"/>
        </w:rPr>
        <w:t xml:space="preserve">文件及响应文件执行。</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1.4履行时间（期限）：</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1.5履行地点：</w:t>
      </w:r>
      <w:r>
        <w:rPr>
          <w:rFonts w:hint="eastAsia" w:ascii="宋体" w:hAnsi="宋体" w:cs="宋体"/>
          <w:szCs w:val="21"/>
          <w:highlight w:val="none"/>
        </w:rPr>
        <w:t xml:space="preserve">甲方</w:t>
      </w:r>
      <w:r>
        <w:rPr>
          <w:rFonts w:hint="eastAsia" w:ascii="宋体" w:hAnsi="宋体" w:cs="宋体"/>
          <w:szCs w:val="21"/>
          <w:highlight w:val="none"/>
          <w:lang w:val="zh-CN"/>
        </w:rPr>
        <w:t xml:space="preserve">指定地点。</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1.6履行方式：按</w:t>
      </w:r>
      <w:r>
        <w:rPr>
          <w:rFonts w:hint="eastAsia" w:ascii="宋体" w:hAnsi="宋体" w:cs="宋体"/>
          <w:szCs w:val="21"/>
          <w:highlight w:val="none"/>
          <w:lang w:val="en-US" w:eastAsia="zh-CN"/>
        </w:rPr>
        <w:t xml:space="preserve">采购</w:t>
      </w:r>
      <w:r>
        <w:rPr>
          <w:rFonts w:hint="eastAsia" w:ascii="宋体" w:hAnsi="宋体" w:cs="宋体"/>
          <w:szCs w:val="21"/>
          <w:highlight w:val="none"/>
          <w:lang w:val="zh-CN"/>
        </w:rPr>
        <w:t xml:space="preserve">文件及响应文件执行。</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1.7包装方式：按</w:t>
      </w:r>
      <w:r>
        <w:rPr>
          <w:rFonts w:hint="eastAsia" w:ascii="宋体" w:hAnsi="宋体" w:cs="宋体"/>
          <w:szCs w:val="21"/>
          <w:highlight w:val="none"/>
          <w:lang w:val="en-US" w:eastAsia="zh-CN"/>
        </w:rPr>
        <w:t xml:space="preserve">采购</w:t>
      </w:r>
      <w:r>
        <w:rPr>
          <w:rFonts w:hint="eastAsia" w:ascii="宋体" w:hAnsi="宋体" w:cs="宋体"/>
          <w:szCs w:val="21"/>
          <w:highlight w:val="none"/>
          <w:lang w:val="zh-CN"/>
        </w:rPr>
        <w:t xml:space="preserve">文件及响应文件执行。</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二、合同金额</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2.1本合同</w:t>
      </w:r>
      <w:r>
        <w:rPr>
          <w:rFonts w:hint="eastAsia" w:ascii="宋体" w:hAnsi="宋体" w:cs="宋体"/>
          <w:szCs w:val="21"/>
          <w:highlight w:val="none"/>
        </w:rPr>
        <w:t xml:space="preserve">总价</w:t>
      </w:r>
      <w:r>
        <w:rPr>
          <w:rFonts w:hint="eastAsia" w:ascii="宋体" w:hAnsi="宋体" w:cs="宋体"/>
          <w:szCs w:val="21"/>
          <w:highlight w:val="none"/>
          <w:lang w:val="zh-CN"/>
        </w:rPr>
        <w:t xml:space="preserve">为（大写）：____________________圆（____________________元</w:t>
      </w:r>
      <w:r>
        <w:rPr>
          <w:rFonts w:hint="eastAsia" w:ascii="宋体" w:hAnsi="宋体" w:cs="宋体"/>
          <w:szCs w:val="21"/>
          <w:highlight w:val="none"/>
        </w:rPr>
        <w:t xml:space="preserve">/年</w:t>
      </w:r>
      <w:r>
        <w:rPr>
          <w:rFonts w:hint="eastAsia" w:ascii="宋体" w:hAnsi="宋体" w:cs="宋体"/>
          <w:szCs w:val="21"/>
          <w:highlight w:val="none"/>
          <w:lang w:val="zh-CN"/>
        </w:rPr>
        <w:t xml:space="preserve">）人民币。</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2.2分项报价：</w:t>
      </w:r>
      <w:r>
        <w:rPr>
          <w:rFonts w:hint="eastAsia" w:ascii="宋体" w:hAnsi="宋体" w:cs="宋体"/>
          <w:szCs w:val="21"/>
          <w:highlight w:val="none"/>
          <w:lang w:val="zh-CN"/>
        </w:rPr>
        <w:t xml:space="preserve">按</w:t>
      </w:r>
      <w:r>
        <w:rPr>
          <w:rFonts w:hint="eastAsia" w:ascii="宋体" w:hAnsi="宋体" w:cs="宋体"/>
          <w:szCs w:val="21"/>
          <w:highlight w:val="none"/>
          <w:lang w:val="en-US" w:eastAsia="zh-CN"/>
        </w:rPr>
        <w:t xml:space="preserve">采购</w:t>
      </w:r>
      <w:r>
        <w:rPr>
          <w:rFonts w:hint="eastAsia" w:ascii="宋体" w:hAnsi="宋体" w:cs="宋体"/>
          <w:szCs w:val="21"/>
          <w:highlight w:val="none"/>
          <w:lang w:val="zh-CN"/>
        </w:rPr>
        <w:t xml:space="preserve">文件及响应文件执行。</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三、技术资料</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3.1乙方应按</w:t>
      </w:r>
      <w:r>
        <w:rPr>
          <w:rFonts w:hint="eastAsia" w:ascii="宋体" w:hAnsi="宋体" w:cs="宋体"/>
          <w:szCs w:val="21"/>
          <w:highlight w:val="none"/>
          <w:lang w:val="en-US" w:eastAsia="zh-CN"/>
        </w:rPr>
        <w:t xml:space="preserve">采购</w:t>
      </w:r>
      <w:r>
        <w:rPr>
          <w:rFonts w:hint="eastAsia" w:ascii="宋体" w:hAnsi="宋体" w:cs="宋体"/>
          <w:szCs w:val="21"/>
          <w:highlight w:val="none"/>
          <w:lang w:val="zh-CN"/>
        </w:rPr>
        <w:t xml:space="preserve">文件规定的时间向甲方提供服务（包含与服务相关的货物）的有关技术资料。</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四、知识产权</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五、产权担保</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5.1乙方保证所交付的服务（包含与服务相关的货物）的所有权完全属于乙方且无任何抵押、查封等产权瑕疵。</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六、履约保证金</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6.1本项目乙方无需缴纳履约保证金。</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七、合同转包或分包</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7.1乙方不得将合同标的转包给他人履行。</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7.2除磋商文件接受分包并经甲方同意，乙方可按分包意向协议分包情况外，乙方不得将合同标的分包给他人履行。</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7.3乙方如有转包或未经甲方同意的分包行为，甲方有权</w:t>
      </w:r>
      <w:r>
        <w:rPr>
          <w:rFonts w:hint="eastAsia" w:ascii="宋体" w:hAnsi="宋体" w:cs="宋体"/>
          <w:szCs w:val="21"/>
          <w:highlight w:val="none"/>
        </w:rPr>
        <w:t xml:space="preserve">解除</w:t>
      </w:r>
      <w:r>
        <w:rPr>
          <w:rFonts w:hint="eastAsia" w:ascii="宋体" w:hAnsi="宋体" w:cs="宋体"/>
          <w:szCs w:val="21"/>
          <w:highlight w:val="none"/>
          <w:lang w:val="zh-CN"/>
        </w:rPr>
        <w:t xml:space="preserve">合同。</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八、合同款项支付</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8.1合同款项的支付方式及时间</w:t>
      </w:r>
      <w:r/>
    </w:p>
    <w:p>
      <w:pPr>
        <w:pStyle w:val="684"/>
        <w:spacing w:line="360" w:lineRule="auto"/>
        <w:tabs>
          <w:tab w:val="left" w:pos="2923" w:leader="none"/>
        </w:tabs>
        <w:rPr>
          <w:rFonts w:hint="eastAsia" w:asciiTheme="majorEastAsia" w:hAnsiTheme="majorEastAsia" w:eastAsiaTheme="majorEastAsia"/>
          <w:szCs w:val="24"/>
          <w:highlight w:val="none"/>
          <w:lang w:val="zh-CN"/>
        </w:rPr>
      </w:pPr>
      <w:r>
        <w:rPr>
          <w:rFonts w:hint="eastAsia" w:asciiTheme="majorEastAsia" w:hAnsiTheme="majorEastAsia" w:eastAsiaTheme="majorEastAsia"/>
          <w:szCs w:val="24"/>
          <w:highlight w:val="none"/>
          <w:lang w:val="zh-CN"/>
        </w:rPr>
        <w:t xml:space="preserve">付款比例：工程安装完成，验收合格后，付款50%，其余款待审计完成后，按审计金额分两年付清。</w:t>
      </w:r>
      <w:r/>
    </w:p>
    <w:p>
      <w:pPr>
        <w:pStyle w:val="684"/>
        <w:spacing w:line="360" w:lineRule="auto"/>
        <w:tabs>
          <w:tab w:val="left" w:pos="2923" w:leader="none"/>
        </w:tabs>
        <w:rPr>
          <w:rFonts w:hint="eastAsia" w:asciiTheme="majorEastAsia" w:hAnsiTheme="majorEastAsia" w:eastAsiaTheme="majorEastAsia"/>
          <w:szCs w:val="24"/>
          <w:highlight w:val="none"/>
          <w:lang w:val="zh-CN"/>
        </w:rPr>
      </w:pPr>
      <w:r>
        <w:rPr>
          <w:rFonts w:hint="eastAsia" w:asciiTheme="majorEastAsia" w:hAnsiTheme="majorEastAsia" w:eastAsiaTheme="majorEastAsia"/>
          <w:szCs w:val="24"/>
          <w:highlight w:val="none"/>
          <w:lang w:val="zh-CN"/>
        </w:rPr>
        <w:t xml:space="preserve">进度安排：</w:t>
      </w:r>
      <w:r/>
    </w:p>
    <w:p>
      <w:pPr>
        <w:pStyle w:val="684"/>
        <w:spacing w:line="360" w:lineRule="auto"/>
        <w:tabs>
          <w:tab w:val="left" w:pos="2923" w:leader="none"/>
        </w:tabs>
        <w:rPr>
          <w:rFonts w:hint="eastAsia" w:asciiTheme="majorEastAsia" w:hAnsiTheme="majorEastAsia" w:eastAsiaTheme="majorEastAsia"/>
          <w:szCs w:val="24"/>
          <w:highlight w:val="none"/>
          <w:lang w:val="zh-CN"/>
        </w:rPr>
      </w:pPr>
      <w:r>
        <w:rPr>
          <w:rFonts w:hint="eastAsia" w:asciiTheme="majorEastAsia" w:hAnsiTheme="majorEastAsia" w:eastAsiaTheme="majorEastAsia"/>
          <w:szCs w:val="24"/>
          <w:highlight w:val="none"/>
          <w:lang w:val="zh-CN"/>
        </w:rPr>
        <w:t xml:space="preserve">审计结束后支付审定价的70%；</w:t>
      </w:r>
      <w:r/>
    </w:p>
    <w:p>
      <w:pPr>
        <w:pStyle w:val="684"/>
        <w:spacing w:line="360" w:lineRule="auto"/>
        <w:tabs>
          <w:tab w:val="left" w:pos="2923" w:leader="none"/>
        </w:tabs>
        <w:rPr>
          <w:rFonts w:hint="eastAsia" w:asciiTheme="majorEastAsia" w:hAnsiTheme="majorEastAsia" w:eastAsiaTheme="majorEastAsia"/>
          <w:szCs w:val="24"/>
          <w:highlight w:val="none"/>
          <w:lang w:val="zh-CN" w:eastAsia="zh-CN"/>
        </w:rPr>
      </w:pPr>
      <w:r>
        <w:rPr>
          <w:rFonts w:hint="eastAsia" w:asciiTheme="majorEastAsia" w:hAnsiTheme="majorEastAsia" w:eastAsiaTheme="majorEastAsia"/>
          <w:szCs w:val="24"/>
          <w:highlight w:val="none"/>
          <w:lang w:val="zh-CN"/>
        </w:rPr>
        <w:t xml:space="preserve">第二年支付余款（包括3%的质量保证金）。</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九、税费</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9.1本合同执行中的相关税费均由乙方负担。</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十、项目验收</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10.1甲方依法组织履约验收工作。</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10.2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10.3对于实际使用人和甲方分离的项目，甲方邀请实际使用人参与验收。</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10.4如有必要，甲方可邀请参加本项目投标的其他供应商或第三方专业机构及专家参与验收，相关意见将作为验收结论的参考。</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10.5甲方成立验收小组，按照采购合同约定对乙方的履约情况进行验收。验收时间、验收标准见</w:t>
      </w:r>
      <w:r>
        <w:rPr>
          <w:rFonts w:hint="eastAsia" w:ascii="宋体" w:hAnsi="宋体" w:cs="宋体"/>
          <w:szCs w:val="21"/>
          <w:highlight w:val="none"/>
          <w:lang w:val="en-US" w:eastAsia="zh-CN"/>
        </w:rPr>
        <w:t xml:space="preserve">采购</w:t>
      </w:r>
      <w:r>
        <w:rPr>
          <w:rFonts w:hint="eastAsia" w:ascii="宋体" w:hAnsi="宋体" w:cs="宋体"/>
          <w:szCs w:val="21"/>
          <w:highlight w:val="none"/>
          <w:lang w:val="zh-CN"/>
        </w:rPr>
        <w:t xml:space="preserve">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10.6验收合格的项目，甲方根据采购合同的约定及时向乙方支付合同款项、退还履约保证金。验收不合格的项目，甲方依法及时处理。乙方在履约过程中有政府采购法律法规规定的违法违规情形的，甲方将及时报告本级财政部门。</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十一、违约责任</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11.1甲方无正当理由拒绝接受乙方提供服务的，应向乙方偿付拒绝接受服务合同总额</w:t>
      </w:r>
      <w:r>
        <w:rPr>
          <w:rFonts w:hint="eastAsia" w:ascii="宋体" w:hAnsi="宋体" w:cs="宋体"/>
          <w:szCs w:val="21"/>
          <w:highlight w:val="none"/>
        </w:rPr>
        <w:t xml:space="preserve">5%</w:t>
      </w:r>
      <w:r>
        <w:rPr>
          <w:rFonts w:hint="eastAsia" w:ascii="宋体" w:hAnsi="宋体" w:cs="宋体"/>
          <w:szCs w:val="21"/>
          <w:highlight w:val="none"/>
          <w:lang w:val="zh-CN"/>
        </w:rPr>
        <w:t xml:space="preserve">的违约金。</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11.2甲方无故逾期验收和办理支付手续的，应按逾期付款总额每日</w:t>
      </w:r>
      <w:r>
        <w:rPr>
          <w:rFonts w:hint="eastAsia" w:ascii="宋体" w:hAnsi="宋体" w:cs="宋体"/>
          <w:szCs w:val="21"/>
          <w:highlight w:val="none"/>
        </w:rPr>
        <w:t xml:space="preserve">0.5‰</w:t>
      </w:r>
      <w:r>
        <w:rPr>
          <w:rFonts w:hint="eastAsia" w:ascii="宋体" w:hAnsi="宋体" w:cs="宋体"/>
          <w:szCs w:val="21"/>
          <w:highlight w:val="none"/>
          <w:lang w:val="zh-CN"/>
        </w:rPr>
        <w:t xml:space="preserve">向乙方支付违约金。</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11.3乙方逾期提供服务的，应按逾期提供服务合同总额每日</w:t>
      </w:r>
      <w:r>
        <w:rPr>
          <w:rFonts w:hint="eastAsia" w:ascii="宋体" w:hAnsi="宋体" w:cs="宋体"/>
          <w:szCs w:val="21"/>
          <w:highlight w:val="none"/>
        </w:rPr>
        <w:t xml:space="preserve">0.5‰</w:t>
      </w:r>
      <w:r>
        <w:rPr>
          <w:rFonts w:hint="eastAsia" w:ascii="宋体" w:hAnsi="宋体" w:cs="宋体"/>
          <w:szCs w:val="21"/>
          <w:highlight w:val="none"/>
          <w:lang w:val="zh-CN"/>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宋体"/>
          <w:szCs w:val="21"/>
          <w:highlight w:val="none"/>
        </w:rPr>
        <w:t xml:space="preserve">30%</w:t>
      </w:r>
      <w:r>
        <w:rPr>
          <w:rFonts w:hint="eastAsia" w:ascii="宋体" w:hAnsi="宋体" w:cs="宋体"/>
          <w:szCs w:val="21"/>
          <w:highlight w:val="none"/>
          <w:lang w:val="zh-CN"/>
        </w:rPr>
        <w:t xml:space="preserve">的违约金。</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11.4乙方所提供服务的标准不符合合同规定及磋商文件规定标准的，甲方有权拒绝接受服务不支付乙方任何款项，并可单方面解除合同。</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rPr>
        <w:t xml:space="preserve">1</w:t>
      </w:r>
      <w:r>
        <w:rPr>
          <w:rFonts w:hint="eastAsia" w:ascii="宋体" w:hAnsi="宋体" w:cs="宋体"/>
          <w:szCs w:val="21"/>
          <w:highlight w:val="none"/>
          <w:lang w:val="zh-CN"/>
        </w:rPr>
        <w:t xml:space="preserve">.5乙方转包或分包本合同义务的，甲方有权解除本合同，乙方应承担合同总额30%的违约金。</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11.</w:t>
      </w:r>
      <w:r>
        <w:rPr>
          <w:rFonts w:hint="eastAsia" w:ascii="宋体" w:hAnsi="宋体" w:cs="宋体"/>
          <w:szCs w:val="21"/>
          <w:highlight w:val="none"/>
        </w:rPr>
        <w:t xml:space="preserve">6</w:t>
      </w:r>
      <w:r>
        <w:rPr>
          <w:rFonts w:hint="eastAsia" w:ascii="宋体" w:hAnsi="宋体" w:cs="宋体"/>
          <w:szCs w:val="21"/>
          <w:highlight w:val="none"/>
          <w:lang w:val="zh-CN"/>
        </w:rPr>
        <w:t xml:space="preserve">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十二、不可抗力事件处理</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12.1在合同有效期内，任何一方因不可抗力事件导致不能履行合同，则合同履行期可延长，其延长期与不可抗力影响期相同。</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12.2不可抗力事件发生后，应立即通知对方并寄送有关权威机构出具的证明。</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12.3不可抗力事件延续120天以上，双方应通过友好协商，确定是否继续履行合同。</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十三、解决争议的方法</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13.1双方在签订、履行合同中所发生的一切争议，应通过友好协商解决。如协商不成的由甲方住所地人民法院管辖。</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rPr>
        <w:t xml:space="preserve">3</w:t>
      </w:r>
      <w:r>
        <w:rPr>
          <w:rFonts w:hint="eastAsia" w:ascii="宋体" w:hAnsi="宋体" w:cs="宋体"/>
          <w:szCs w:val="21"/>
          <w:highlight w:val="none"/>
          <w:lang w:val="zh-CN"/>
        </w:rPr>
        <w:t xml:space="preserve">.2本协议所需通知或争议解决机构、司法机关送达有关文件，均以本协议载明的通知或通讯地址传递即视为已送达。任何一方变更本协议载明的通知或通讯地址，在变更后十日内应将新的地址书面通知另一方，否则，造成通知或通信无法送达的，其后果自负。双方确认，本条款在争议解决期间仍有效，双方应遵照执行；本条款适用于诉讼程序中所有文件的送达。</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十四、合同生效及其它</w:t>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14.1</w:t>
      </w:r>
      <w:r>
        <w:rPr>
          <w:rFonts w:hint="eastAsia" w:ascii="宋体" w:hAnsi="宋体" w:cs="宋体"/>
          <w:szCs w:val="21"/>
          <w:highlight w:val="none"/>
        </w:rPr>
        <w:t xml:space="preserve">本合同自甲乙及使用方签字盖章后生效。</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14.2本合同未尽事宜，遵照《中华人民共和国民法典》《中华人民共和国政府采购法》有关条文执行。</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14.3本合同正本一式两份，具有同等法律效力，甲方、乙方各执一份。</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甲方：（公章）乙方：（公章）</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地址：地址：</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法定代表人或授权代表：法定代表人或授权代表：</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联系电话：联系电话：</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签订日期：</w:t>
      </w:r>
      <w:r/>
    </w:p>
    <w:p>
      <w:pPr>
        <w:ind w:firstLine="420"/>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《*******合同》补充协议（合同附件）</w:t>
      </w:r>
      <w:r/>
    </w:p>
    <w:p>
      <w:pPr>
        <w:ind w:firstLine="420"/>
        <w:jc w:val="center"/>
        <w:spacing w:line="360" w:lineRule="auto"/>
        <w:rPr>
          <w:rFonts w:ascii="宋体" w:hAnsi="宋体" w:cs="宋体"/>
          <w:color w:val="auto"/>
          <w:szCs w:val="21"/>
          <w:highlight w:val="none"/>
        </w:rPr>
      </w:pPr>
      <w:r>
        <w:rPr>
          <w:rFonts w:hint="eastAsia" w:ascii="宋体" w:hAnsi="宋体" w:cs="宋体"/>
          <w:szCs w:val="21"/>
          <w:highlight w:val="none"/>
          <w:lang w:val="zh-CN"/>
        </w:rPr>
        <w:t xml:space="preserve">如遇</w:t>
      </w:r>
      <w:r>
        <w:rPr>
          <w:rFonts w:hint="eastAsia" w:ascii="宋体" w:hAnsi="宋体" w:cs="宋体"/>
          <w:szCs w:val="21"/>
          <w:highlight w:val="none"/>
          <w:lang w:val="en-US" w:eastAsia="zh-CN"/>
        </w:rPr>
        <w:t xml:space="preserve">采购</w:t>
      </w:r>
      <w:r>
        <w:rPr>
          <w:rFonts w:hint="eastAsia" w:ascii="宋体" w:hAnsi="宋体" w:cs="宋体"/>
          <w:szCs w:val="21"/>
          <w:highlight w:val="none"/>
          <w:lang w:val="zh-CN"/>
        </w:rPr>
        <w:t xml:space="preserve">文件及合同未约定事项，双方可友好协商签订补充协议。</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pP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outlineLvl w:val="0"/>
      </w:pPr>
      <w:r>
        <w:rPr>
          <w:rFonts w:hint="eastAsia" w:ascii="黑体" w:eastAsia="黑体"/>
          <w:color w:val="auto"/>
          <w:sz w:val="36"/>
          <w:szCs w:val="36"/>
          <w:highlight w:val="none"/>
          <w:lang w:val="zh-CN"/>
        </w:rPr>
        <w:t xml:space="preserve">第六章投标文件参考格式及附件</w:t>
      </w:r>
      <w:r>
        <w:rPr>
          <w:rFonts w:hint="eastAsia" w:ascii="黑体" w:eastAsia="黑体"/>
          <w:color w:val="auto"/>
          <w:sz w:val="36"/>
          <w:szCs w:val="36"/>
          <w:highlight w:val="none"/>
          <w:lang w:val="zh-CN"/>
        </w:rPr>
      </w:r>
      <w:r/>
    </w:p>
    <w:p>
      <w:pPr>
        <w:jc w:val="center"/>
        <w:spacing w:line="360" w:lineRule="auto"/>
        <w:rPr>
          <w:rFonts w:hint="eastAsia" w:ascii="黑体" w:eastAsia="黑体"/>
          <w:color w:val="auto"/>
          <w:sz w:val="36"/>
          <w:szCs w:val="36"/>
          <w:highlight w:val="none"/>
          <w:lang w:val="zh-CN"/>
        </w:rPr>
        <w:outlineLvl w:val="0"/>
      </w:pPr>
      <w:r>
        <w:rPr>
          <w:rFonts w:ascii="黑体" w:eastAsia="黑体"/>
          <w:b/>
          <w:bCs/>
          <w:color w:val="auto"/>
          <w:sz w:val="36"/>
          <w:szCs w:val="36"/>
          <w:highlight w:val="none"/>
          <w:lang w:val="zh-CN"/>
        </w:rPr>
      </w:r>
      <w:r>
        <w:rPr>
          <w:rFonts w:ascii="黑体" w:eastAsia="黑体"/>
          <w:b/>
          <w:bCs/>
          <w:color w:val="auto"/>
          <w:sz w:val="36"/>
          <w:szCs w:val="36"/>
          <w:highlight w:val="none"/>
          <w:lang w:val="zh-CN"/>
        </w:rPr>
      </w:r>
      <w:r/>
    </w:p>
    <w:p>
      <w:pPr>
        <w:jc w:val="center"/>
        <w:spacing w:line="360" w:lineRule="auto"/>
        <w:rPr>
          <w:rFonts w:ascii="黑体" w:eastAsia="黑体"/>
          <w:b/>
          <w:bCs/>
          <w:color w:val="auto"/>
          <w:sz w:val="36"/>
          <w:szCs w:val="36"/>
          <w:highlight w:val="none"/>
          <w:lang w:val="zh-CN"/>
        </w:rPr>
        <w:outlineLvl w:val="0"/>
      </w:pPr>
      <w:r>
        <w:rPr>
          <w:rFonts w:hint="eastAsia" w:ascii="黑体" w:eastAsia="黑体"/>
          <w:color w:val="auto"/>
          <w:sz w:val="36"/>
          <w:szCs w:val="36"/>
          <w:highlight w:val="none"/>
          <w:lang w:val="zh-CN"/>
        </w:rPr>
      </w:r>
      <w:r>
        <w:rPr>
          <w:rFonts w:ascii="黑体" w:eastAsia="黑体"/>
          <w:b/>
          <w:bCs/>
          <w:color w:val="auto"/>
          <w:sz w:val="36"/>
          <w:szCs w:val="36"/>
          <w:highlight w:val="none"/>
          <w:lang w:val="zh-CN"/>
        </w:rPr>
        <w:t xml:space="preserve">详见电子投标（响应）文件格式</w:t>
      </w:r>
      <w:r>
        <w:rPr>
          <w:rFonts w:ascii="黑体" w:eastAsia="黑体"/>
          <w:b/>
          <w:bCs/>
          <w:color w:val="auto"/>
          <w:sz w:val="36"/>
          <w:szCs w:val="36"/>
          <w:highlight w:val="none"/>
          <w:lang w:val="zh-CN"/>
        </w:rPr>
      </w:r>
      <w:r/>
    </w:p>
    <w:sectPr>
      <w:footnotePr/>
      <w:endnotePr/>
      <w:type w:val="nextPage"/>
      <w:pgSz w:w="11906" w:h="16838" w:orient="portrait"/>
      <w:pgMar w:top="1400" w:right="1247" w:bottom="1123"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KNLe">
    <w:panose1 w:val="020B0503020202020204"/>
  </w:font>
  <w:font w:name="Wingdings">
    <w:panose1 w:val="05000000000000000000"/>
  </w:font>
  <w:font w:name="华文楷体">
    <w:panose1 w:val="02010600040101010101"/>
  </w:font>
  <w:font w:name="华文细黑">
    <w:panose1 w:val="02010600040101010101"/>
  </w:font>
  <w:font w:name="方正小标宋_GBK">
    <w:panose1 w:val="020B0503020202020204"/>
  </w:font>
  <w:font w:name="方正仿宋简体">
    <w:panose1 w:val="020B0503020202020204"/>
  </w:font>
  <w:font w:name="Tahoma">
    <w:panose1 w:val="020B0604030504040204"/>
  </w:font>
  <w:font w:name="楷体_GB2312">
    <w:panose1 w:val="02010609060101010101"/>
  </w:font>
  <w:font w:name="方正大黑简体">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Georgia">
    <w:panose1 w:val="02040502050405020303"/>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737"/>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uiPriority w:val="0"/>
    <w:qFormat/>
    <w:pPr>
      <w:jc w:val="both"/>
      <w:widowControl w:val="off"/>
    </w:pPr>
    <w:rPr>
      <w:rFonts w:hint="default" w:ascii="Times New Roman" w:hAnsi="Times New Roman" w:eastAsia="宋体" w:cs="Times New Roman"/>
      <w:sz w:val="21"/>
      <w:szCs w:val="24"/>
    </w:rPr>
  </w:style>
  <w:style w:type="paragraph" w:styleId="669">
    <w:name w:val="Heading 1"/>
    <w:basedOn w:val="668"/>
    <w:next w:val="668"/>
    <w:link w:val="885"/>
    <w:uiPriority w:val="0"/>
    <w:qFormat/>
    <w:pPr>
      <w:keepLines/>
      <w:keepNext/>
      <w:spacing w:before="340" w:after="330" w:line="576" w:lineRule="auto"/>
      <w:outlineLvl w:val="0"/>
    </w:pPr>
    <w:rPr>
      <w:b/>
      <w:bCs/>
      <w:sz w:val="44"/>
      <w:szCs w:val="44"/>
    </w:rPr>
  </w:style>
  <w:style w:type="paragraph" w:styleId="670">
    <w:name w:val="Heading 2"/>
    <w:basedOn w:val="668"/>
    <w:next w:val="668"/>
    <w:link w:val="886"/>
    <w:uiPriority w:val="0"/>
    <w:qFormat/>
    <w:pPr>
      <w:keepLines/>
      <w:keepNext/>
      <w:spacing w:before="260" w:after="260" w:line="413" w:lineRule="auto"/>
      <w:outlineLvl w:val="1"/>
    </w:pPr>
    <w:rPr>
      <w:rFonts w:ascii="Arial" w:hAnsi="Arial" w:eastAsia="黑体"/>
      <w:b/>
      <w:bCs/>
      <w:sz w:val="32"/>
      <w:szCs w:val="32"/>
    </w:rPr>
  </w:style>
  <w:style w:type="paragraph" w:styleId="671">
    <w:name w:val="Heading 3"/>
    <w:basedOn w:val="668"/>
    <w:next w:val="668"/>
    <w:link w:val="887"/>
    <w:uiPriority w:val="0"/>
    <w:qFormat/>
    <w:pPr>
      <w:keepLines/>
      <w:keepNext/>
      <w:spacing w:before="260" w:after="260" w:line="413" w:lineRule="auto"/>
      <w:outlineLvl w:val="2"/>
    </w:pPr>
    <w:rPr>
      <w:b/>
      <w:bCs/>
      <w:sz w:val="32"/>
      <w:szCs w:val="32"/>
    </w:rPr>
  </w:style>
  <w:style w:type="paragraph" w:styleId="672">
    <w:name w:val="Heading 4"/>
    <w:basedOn w:val="668"/>
    <w:next w:val="668"/>
    <w:link w:val="888"/>
    <w:uiPriority w:val="9"/>
    <w:qFormat/>
    <w:pPr>
      <w:keepLines/>
      <w:keepNext/>
      <w:spacing w:before="120" w:after="120"/>
      <w:outlineLvl w:val="3"/>
    </w:pPr>
    <w:rPr>
      <w:rFonts w:ascii="Arial" w:hAnsi="Arial" w:eastAsia="黑体"/>
      <w:b/>
      <w:sz w:val="20"/>
      <w:szCs w:val="20"/>
    </w:rPr>
  </w:style>
  <w:style w:type="paragraph" w:styleId="673">
    <w:name w:val="Heading 5"/>
    <w:basedOn w:val="668"/>
    <w:next w:val="668"/>
    <w:link w:val="889"/>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674">
    <w:name w:val="Heading 6"/>
    <w:basedOn w:val="668"/>
    <w:next w:val="668"/>
    <w:link w:val="890"/>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675">
    <w:name w:val="Heading 7"/>
    <w:basedOn w:val="668"/>
    <w:next w:val="668"/>
    <w:link w:val="891"/>
    <w:uiPriority w:val="0"/>
    <w:qFormat/>
    <w:pPr>
      <w:ind w:left="1296" w:hanging="1296"/>
      <w:keepLines/>
      <w:keepNext/>
      <w:spacing w:before="240" w:after="64" w:line="317" w:lineRule="auto"/>
      <w:tabs>
        <w:tab w:val="left" w:pos="1296" w:leader="none"/>
      </w:tabs>
      <w:outlineLvl w:val="6"/>
    </w:pPr>
    <w:rPr>
      <w:b/>
      <w:bCs/>
      <w:sz w:val="24"/>
    </w:rPr>
  </w:style>
  <w:style w:type="paragraph" w:styleId="676">
    <w:name w:val="Heading 8"/>
    <w:basedOn w:val="668"/>
    <w:next w:val="668"/>
    <w:link w:val="892"/>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677">
    <w:name w:val="Heading 9"/>
    <w:basedOn w:val="668"/>
    <w:next w:val="668"/>
    <w:link w:val="893"/>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List 3"/>
    <w:basedOn w:val="668"/>
    <w:uiPriority w:val="0"/>
    <w:qFormat/>
    <w:pPr>
      <w:ind w:left="1260" w:hanging="420"/>
    </w:pPr>
    <w:rPr>
      <w:szCs w:val="20"/>
    </w:rPr>
  </w:style>
  <w:style w:type="paragraph" w:styleId="681">
    <w:name w:val="toc 7"/>
    <w:basedOn w:val="668"/>
    <w:next w:val="668"/>
    <w:uiPriority w:val="39"/>
    <w:unhideWhenUsed/>
    <w:qFormat/>
    <w:pPr>
      <w:ind w:left="1701" w:right="0" w:firstLine="0"/>
      <w:spacing w:after="57"/>
    </w:pPr>
  </w:style>
  <w:style w:type="paragraph" w:styleId="682">
    <w:name w:val="List Number 2"/>
    <w:basedOn w:val="668"/>
    <w:uiPriority w:val="0"/>
    <w:qFormat/>
    <w:pPr>
      <w:ind w:left="1440" w:hanging="1440"/>
      <w:spacing w:line="360" w:lineRule="auto"/>
      <w:tabs>
        <w:tab w:val="left" w:pos="1440" w:leader="none"/>
      </w:tabs>
    </w:pPr>
    <w:rPr>
      <w:sz w:val="24"/>
    </w:rPr>
  </w:style>
  <w:style w:type="paragraph" w:styleId="683">
    <w:name w:val="List Number"/>
    <w:basedOn w:val="668"/>
    <w:uiPriority w:val="0"/>
    <w:qFormat/>
    <w:pPr>
      <w:ind w:left="2952" w:hanging="432"/>
      <w:tabs>
        <w:tab w:val="left" w:pos="2952" w:leader="none"/>
      </w:tabs>
    </w:pPr>
  </w:style>
  <w:style w:type="paragraph" w:styleId="684">
    <w:name w:val="Normal Indent"/>
    <w:basedOn w:val="668"/>
    <w:next w:val="685"/>
    <w:uiPriority w:val="0"/>
    <w:qFormat/>
    <w:pPr>
      <w:ind w:firstLine="420"/>
    </w:pPr>
    <w:rPr>
      <w:szCs w:val="20"/>
    </w:rPr>
  </w:style>
  <w:style w:type="paragraph" w:styleId="685">
    <w:name w:val="index 6"/>
    <w:basedOn w:val="668"/>
    <w:next w:val="668"/>
    <w:uiPriority w:val="0"/>
    <w:qFormat/>
    <w:pPr>
      <w:ind w:left="1000"/>
    </w:pPr>
  </w:style>
  <w:style w:type="paragraph" w:styleId="686">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7">
    <w:name w:val="Document Map"/>
    <w:basedOn w:val="668"/>
    <w:link w:val="895"/>
    <w:uiPriority w:val="0"/>
    <w:semiHidden/>
    <w:qFormat/>
    <w:pPr>
      <w:shd w:val="clear" w:color="auto" w:fill="000080"/>
    </w:pPr>
    <w:rPr>
      <w:sz w:val="24"/>
      <w:shd w:val="clear" w:color="auto" w:fill="000080"/>
    </w:rPr>
  </w:style>
  <w:style w:type="paragraph" w:styleId="688">
    <w:name w:val="annotation text"/>
    <w:basedOn w:val="668"/>
    <w:link w:val="896"/>
    <w:uiPriority w:val="0"/>
    <w:qFormat/>
    <w:pPr>
      <w:jc w:val="left"/>
    </w:pPr>
    <w:rPr>
      <w:sz w:val="20"/>
      <w:szCs w:val="20"/>
    </w:rPr>
  </w:style>
  <w:style w:type="paragraph" w:styleId="689">
    <w:name w:val="Salutation"/>
    <w:basedOn w:val="668"/>
    <w:next w:val="668"/>
    <w:link w:val="897"/>
    <w:uiPriority w:val="0"/>
    <w:qFormat/>
    <w:rPr>
      <w:rFonts w:ascii="仿宋_GB2312" w:eastAsia="仿宋_GB2312"/>
      <w:sz w:val="20"/>
      <w:szCs w:val="20"/>
    </w:rPr>
  </w:style>
  <w:style w:type="paragraph" w:styleId="690">
    <w:name w:val="Body Text 3"/>
    <w:basedOn w:val="668"/>
    <w:link w:val="898"/>
    <w:uiPriority w:val="0"/>
    <w:qFormat/>
    <w:pPr>
      <w:spacing w:after="120"/>
    </w:pPr>
    <w:rPr>
      <w:sz w:val="16"/>
      <w:szCs w:val="16"/>
    </w:rPr>
  </w:style>
  <w:style w:type="paragraph" w:styleId="691">
    <w:name w:val="Body Text"/>
    <w:basedOn w:val="668"/>
    <w:next w:val="692"/>
    <w:link w:val="899"/>
    <w:uiPriority w:val="0"/>
    <w:unhideWhenUsed/>
    <w:qFormat/>
    <w:pPr>
      <w:spacing w:after="120"/>
    </w:pPr>
    <w:rPr>
      <w:sz w:val="24"/>
    </w:rPr>
  </w:style>
  <w:style w:type="paragraph" w:styleId="692">
    <w:name w:val="Body Text First Indent"/>
    <w:basedOn w:val="691"/>
    <w:link w:val="912"/>
    <w:uiPriority w:val="0"/>
    <w:qFormat/>
    <w:pPr>
      <w:ind w:firstLine="420"/>
    </w:pPr>
  </w:style>
  <w:style w:type="paragraph" w:styleId="693">
    <w:name w:val="Body Text Indent"/>
    <w:basedOn w:val="668"/>
    <w:next w:val="684"/>
    <w:link w:val="894"/>
    <w:uiPriority w:val="0"/>
    <w:qFormat/>
    <w:pPr>
      <w:ind w:left="420"/>
      <w:spacing w:after="120"/>
    </w:pPr>
    <w:rPr>
      <w:sz w:val="24"/>
    </w:rPr>
  </w:style>
  <w:style w:type="paragraph" w:styleId="694">
    <w:name w:val="List 2"/>
    <w:basedOn w:val="668"/>
    <w:uiPriority w:val="0"/>
    <w:qFormat/>
    <w:pPr>
      <w:ind w:left="100" w:hanging="200"/>
    </w:pPr>
    <w:rPr>
      <w:szCs w:val="21"/>
    </w:rPr>
  </w:style>
  <w:style w:type="paragraph" w:styleId="695">
    <w:name w:val="toc 5"/>
    <w:basedOn w:val="668"/>
    <w:next w:val="668"/>
    <w:uiPriority w:val="39"/>
    <w:unhideWhenUsed/>
    <w:qFormat/>
    <w:pPr>
      <w:ind w:left="1134" w:right="0" w:firstLine="0"/>
      <w:spacing w:after="57"/>
    </w:pPr>
  </w:style>
  <w:style w:type="paragraph" w:styleId="696">
    <w:name w:val="toc 3"/>
    <w:basedOn w:val="668"/>
    <w:next w:val="668"/>
    <w:uiPriority w:val="39"/>
    <w:unhideWhenUsed/>
    <w:qFormat/>
    <w:pPr>
      <w:ind w:left="567" w:right="0" w:firstLine="0"/>
      <w:spacing w:after="57"/>
    </w:pPr>
  </w:style>
  <w:style w:type="paragraph" w:styleId="697">
    <w:name w:val="Plain Text"/>
    <w:basedOn w:val="668"/>
    <w:link w:val="900"/>
    <w:uiPriority w:val="0"/>
    <w:qFormat/>
    <w:rPr>
      <w:rFonts w:ascii="宋体" w:hAnsi="Courier New"/>
      <w:szCs w:val="21"/>
    </w:rPr>
  </w:style>
  <w:style w:type="paragraph" w:styleId="698">
    <w:name w:val="toc 8"/>
    <w:basedOn w:val="668"/>
    <w:next w:val="668"/>
    <w:uiPriority w:val="39"/>
    <w:unhideWhenUsed/>
    <w:qFormat/>
    <w:pPr>
      <w:ind w:left="1984" w:right="0" w:firstLine="0"/>
      <w:spacing w:after="57"/>
    </w:pPr>
  </w:style>
  <w:style w:type="paragraph" w:styleId="699">
    <w:name w:val="Date"/>
    <w:basedOn w:val="668"/>
    <w:next w:val="668"/>
    <w:link w:val="901"/>
    <w:uiPriority w:val="0"/>
    <w:qFormat/>
    <w:pPr>
      <w:ind w:left="100"/>
    </w:pPr>
    <w:rPr>
      <w:sz w:val="20"/>
      <w:szCs w:val="20"/>
    </w:rPr>
  </w:style>
  <w:style w:type="paragraph" w:styleId="700">
    <w:name w:val="Body Text Indent 2"/>
    <w:basedOn w:val="668"/>
    <w:link w:val="902"/>
    <w:uiPriority w:val="0"/>
    <w:qFormat/>
    <w:pPr>
      <w:ind w:firstLine="480"/>
      <w:spacing w:line="400" w:lineRule="exact"/>
    </w:pPr>
    <w:rPr>
      <w:rFonts w:ascii="宋体" w:hAnsi="宋体"/>
      <w:sz w:val="24"/>
    </w:rPr>
  </w:style>
  <w:style w:type="paragraph" w:styleId="701">
    <w:name w:val="endnote text"/>
    <w:basedOn w:val="668"/>
    <w:link w:val="903"/>
    <w:uiPriority w:val="0"/>
    <w:semiHidden/>
    <w:qFormat/>
    <w:pPr>
      <w:jc w:val="left"/>
    </w:pPr>
    <w:rPr>
      <w:sz w:val="24"/>
    </w:rPr>
  </w:style>
  <w:style w:type="paragraph" w:styleId="702">
    <w:name w:val="Balloon Text"/>
    <w:basedOn w:val="668"/>
    <w:link w:val="904"/>
    <w:uiPriority w:val="0"/>
    <w:qFormat/>
    <w:rPr>
      <w:sz w:val="18"/>
      <w:szCs w:val="18"/>
    </w:rPr>
  </w:style>
  <w:style w:type="paragraph" w:styleId="703">
    <w:name w:val="Footer"/>
    <w:basedOn w:val="668"/>
    <w:link w:val="884"/>
    <w:uiPriority w:val="99"/>
    <w:unhideWhenUsed/>
    <w:qFormat/>
    <w:pPr>
      <w:jc w:val="left"/>
      <w:tabs>
        <w:tab w:val="center" w:pos="4153" w:leader="none"/>
        <w:tab w:val="right" w:pos="8306" w:leader="none"/>
      </w:tabs>
    </w:pPr>
    <w:rPr>
      <w:sz w:val="18"/>
      <w:szCs w:val="18"/>
    </w:rPr>
  </w:style>
  <w:style w:type="paragraph" w:styleId="704">
    <w:name w:val="Header"/>
    <w:basedOn w:val="668"/>
    <w:link w:val="88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05">
    <w:name w:val="Signature"/>
    <w:basedOn w:val="668"/>
    <w:link w:val="905"/>
    <w:uiPriority w:val="0"/>
    <w:qFormat/>
    <w:pPr>
      <w:jc w:val="center"/>
      <w:spacing w:after="600" w:line="312" w:lineRule="atLeast"/>
    </w:pPr>
    <w:rPr>
      <w:rFonts w:eastAsia="仿宋_GB2312"/>
      <w:sz w:val="20"/>
      <w:szCs w:val="20"/>
    </w:rPr>
  </w:style>
  <w:style w:type="paragraph" w:styleId="706">
    <w:name w:val="toc 1"/>
    <w:basedOn w:val="668"/>
    <w:next w:val="668"/>
    <w:uiPriority w:val="39"/>
    <w:unhideWhenUsed/>
    <w:qFormat/>
    <w:pPr>
      <w:ind w:left="0" w:right="0" w:firstLine="0"/>
      <w:spacing w:after="57"/>
    </w:pPr>
  </w:style>
  <w:style w:type="paragraph" w:styleId="707">
    <w:name w:val="toc 4"/>
    <w:basedOn w:val="668"/>
    <w:next w:val="668"/>
    <w:uiPriority w:val="39"/>
    <w:unhideWhenUsed/>
    <w:qFormat/>
    <w:pPr>
      <w:ind w:left="850" w:right="0" w:firstLine="0"/>
      <w:spacing w:after="57"/>
    </w:pPr>
  </w:style>
  <w:style w:type="paragraph" w:styleId="708">
    <w:name w:val="Subtitle"/>
    <w:basedOn w:val="668"/>
    <w:next w:val="668"/>
    <w:link w:val="906"/>
    <w:uiPriority w:val="0"/>
    <w:qFormat/>
    <w:pPr>
      <w:jc w:val="left"/>
      <w:spacing w:after="600" w:line="276" w:lineRule="auto"/>
      <w:widowControl/>
    </w:pPr>
    <w:rPr>
      <w:rFonts w:ascii="Cambria" w:hAnsi="Cambria"/>
      <w:i/>
      <w:iCs/>
      <w:spacing w:val="13"/>
      <w:sz w:val="24"/>
      <w:lang w:eastAsia="en-US"/>
    </w:rPr>
  </w:style>
  <w:style w:type="paragraph" w:styleId="709">
    <w:name w:val="List"/>
    <w:basedOn w:val="668"/>
    <w:uiPriority w:val="0"/>
    <w:qFormat/>
    <w:pPr>
      <w:ind w:left="200" w:hanging="200"/>
    </w:pPr>
    <w:rPr>
      <w:szCs w:val="21"/>
    </w:rPr>
  </w:style>
  <w:style w:type="paragraph" w:styleId="710">
    <w:name w:val="footnote text"/>
    <w:basedOn w:val="668"/>
    <w:link w:val="736"/>
    <w:uiPriority w:val="0"/>
    <w:semiHidden/>
    <w:qFormat/>
    <w:pPr>
      <w:jc w:val="left"/>
    </w:pPr>
    <w:rPr>
      <w:sz w:val="18"/>
      <w:szCs w:val="18"/>
    </w:rPr>
  </w:style>
  <w:style w:type="paragraph" w:styleId="711">
    <w:name w:val="toc 6"/>
    <w:basedOn w:val="668"/>
    <w:next w:val="668"/>
    <w:uiPriority w:val="39"/>
    <w:unhideWhenUsed/>
    <w:qFormat/>
    <w:pPr>
      <w:ind w:left="1417" w:right="0" w:firstLine="0"/>
      <w:spacing w:after="57"/>
    </w:pPr>
  </w:style>
  <w:style w:type="paragraph" w:styleId="712">
    <w:name w:val="Body Text Indent 3"/>
    <w:basedOn w:val="668"/>
    <w:link w:val="907"/>
    <w:uiPriority w:val="0"/>
    <w:qFormat/>
    <w:pPr>
      <w:ind w:left="480"/>
      <w:spacing w:before="120" w:after="120" w:line="264" w:lineRule="auto"/>
    </w:pPr>
    <w:rPr>
      <w:b/>
      <w:bCs/>
      <w:sz w:val="20"/>
      <w:szCs w:val="20"/>
    </w:rPr>
  </w:style>
  <w:style w:type="paragraph" w:styleId="713">
    <w:name w:val="table of figures"/>
    <w:basedOn w:val="668"/>
    <w:next w:val="668"/>
    <w:uiPriority w:val="99"/>
    <w:unhideWhenUsed/>
    <w:qFormat/>
    <w:pPr>
      <w:spacing w:after="0" w:afterAutospacing="0"/>
    </w:pPr>
  </w:style>
  <w:style w:type="paragraph" w:styleId="714">
    <w:name w:val="toc 2"/>
    <w:basedOn w:val="668"/>
    <w:next w:val="668"/>
    <w:uiPriority w:val="39"/>
    <w:unhideWhenUsed/>
    <w:qFormat/>
    <w:pPr>
      <w:ind w:left="283" w:right="0" w:firstLine="0"/>
      <w:spacing w:after="57"/>
    </w:pPr>
  </w:style>
  <w:style w:type="paragraph" w:styleId="715">
    <w:name w:val="toc 9"/>
    <w:basedOn w:val="668"/>
    <w:next w:val="668"/>
    <w:uiPriority w:val="39"/>
    <w:unhideWhenUsed/>
    <w:qFormat/>
    <w:pPr>
      <w:ind w:left="2268" w:right="0" w:firstLine="0"/>
      <w:spacing w:after="57"/>
    </w:pPr>
  </w:style>
  <w:style w:type="paragraph" w:styleId="716">
    <w:name w:val="Body Text 2"/>
    <w:basedOn w:val="668"/>
    <w:link w:val="908"/>
    <w:uiPriority w:val="0"/>
    <w:qFormat/>
    <w:pPr>
      <w:jc w:val="center"/>
    </w:pPr>
    <w:rPr>
      <w:b/>
      <w:bCs/>
      <w:sz w:val="20"/>
      <w:szCs w:val="20"/>
    </w:rPr>
  </w:style>
  <w:style w:type="paragraph" w:styleId="717">
    <w:name w:val="HTML Preformatted"/>
    <w:basedOn w:val="668"/>
    <w:link w:val="90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18">
    <w:name w:val="Normal (Web)"/>
    <w:basedOn w:val="668"/>
    <w:uiPriority w:val="0"/>
    <w:qFormat/>
    <w:pPr>
      <w:jc w:val="left"/>
      <w:spacing w:before="100" w:beforeAutospacing="1" w:after="100" w:afterAutospacing="1"/>
      <w:widowControl/>
    </w:pPr>
    <w:rPr>
      <w:rFonts w:ascii="宋体" w:hAnsi="宋体" w:cs="宋体"/>
      <w:sz w:val="24"/>
    </w:rPr>
  </w:style>
  <w:style w:type="paragraph" w:styleId="719">
    <w:name w:val="Title"/>
    <w:basedOn w:val="668"/>
    <w:next w:val="668"/>
    <w:link w:val="910"/>
    <w:uiPriority w:val="0"/>
    <w:qFormat/>
    <w:pPr>
      <w:jc w:val="center"/>
      <w:spacing w:line="420" w:lineRule="exact"/>
      <w:widowControl/>
    </w:pPr>
    <w:rPr>
      <w:rFonts w:eastAsia="黑体"/>
      <w:b/>
      <w:sz w:val="20"/>
      <w:szCs w:val="20"/>
      <w:lang w:val="en-GB"/>
    </w:rPr>
  </w:style>
  <w:style w:type="paragraph" w:styleId="720">
    <w:name w:val="annotation subject"/>
    <w:basedOn w:val="688"/>
    <w:next w:val="688"/>
    <w:link w:val="911"/>
    <w:uiPriority w:val="0"/>
    <w:semiHidden/>
    <w:qFormat/>
    <w:rPr>
      <w:b/>
      <w:bCs/>
      <w:sz w:val="24"/>
      <w:szCs w:val="24"/>
    </w:rPr>
  </w:style>
  <w:style w:type="paragraph" w:styleId="721">
    <w:name w:val="Body Text First Indent 2"/>
    <w:basedOn w:val="693"/>
    <w:next w:val="668"/>
    <w:link w:val="913"/>
    <w:uiPriority w:val="0"/>
    <w:qFormat/>
    <w:pPr>
      <w:ind w:left="0" w:firstLine="420"/>
      <w:spacing w:after="0" w:line="360" w:lineRule="auto"/>
    </w:pPr>
    <w:rPr>
      <w:rFonts w:ascii="宋体" w:hAnsi="宋体"/>
      <w:sz w:val="20"/>
      <w:szCs w:val="20"/>
    </w:rPr>
  </w:style>
  <w:style w:type="table" w:styleId="722">
    <w:name w:val="Table Grid"/>
    <w:basedOn w:val="679"/>
    <w:uiPriority w:val="0"/>
    <w:qFormat/>
    <w:pPr>
      <w:jc w:val="both"/>
      <w:widowControl w:val="off"/>
    </w:pPr>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Strong"/>
    <w:uiPriority w:val="0"/>
    <w:qFormat/>
    <w:rPr>
      <w:b/>
    </w:rPr>
  </w:style>
  <w:style w:type="character" w:styleId="724">
    <w:name w:val="endnote reference"/>
    <w:basedOn w:val="678"/>
    <w:uiPriority w:val="99"/>
    <w:semiHidden/>
    <w:unhideWhenUsed/>
    <w:qFormat/>
    <w:rPr>
      <w:vertAlign w:val="superscript"/>
    </w:rPr>
  </w:style>
  <w:style w:type="character" w:styleId="725">
    <w:name w:val="page number"/>
    <w:uiPriority w:val="0"/>
    <w:qFormat/>
    <w:rPr>
      <w:rFonts w:cs="Times New Roman"/>
    </w:rPr>
  </w:style>
  <w:style w:type="character" w:styleId="726">
    <w:name w:val="FollowedHyperlink"/>
    <w:uiPriority w:val="99"/>
    <w:qFormat/>
    <w:rPr>
      <w:color w:val="800080"/>
      <w:u w:val="single"/>
    </w:rPr>
  </w:style>
  <w:style w:type="character" w:styleId="727">
    <w:name w:val="Emphasis"/>
    <w:uiPriority w:val="0"/>
    <w:qFormat/>
    <w:rPr>
      <w:b/>
      <w:i/>
      <w:spacing w:val="10"/>
      <w:shd w:val="clear" w:color="auto" w:fill="auto"/>
    </w:rPr>
  </w:style>
  <w:style w:type="character" w:styleId="728">
    <w:name w:val="line number"/>
    <w:uiPriority w:val="0"/>
    <w:qFormat/>
    <w:rPr>
      <w:rFonts w:cs="Times New Roman"/>
    </w:rPr>
  </w:style>
  <w:style w:type="character" w:styleId="729">
    <w:name w:val="HTML Typewriter"/>
    <w:uiPriority w:val="0"/>
    <w:qFormat/>
    <w:rPr>
      <w:rFonts w:ascii="宋体" w:hAnsi="宋体" w:eastAsia="宋体"/>
      <w:sz w:val="24"/>
    </w:rPr>
  </w:style>
  <w:style w:type="character" w:styleId="730">
    <w:name w:val="Hyperlink"/>
    <w:uiPriority w:val="99"/>
    <w:qFormat/>
    <w:rPr>
      <w:color w:val="0000ff"/>
      <w:u w:val="single"/>
    </w:rPr>
  </w:style>
  <w:style w:type="character" w:styleId="731">
    <w:name w:val="annotation reference"/>
    <w:uiPriority w:val="0"/>
    <w:qFormat/>
    <w:rPr>
      <w:sz w:val="21"/>
    </w:rPr>
  </w:style>
  <w:style w:type="character" w:styleId="732">
    <w:name w:val="footnote reference"/>
    <w:basedOn w:val="678"/>
    <w:uiPriority w:val="99"/>
    <w:unhideWhenUsed/>
    <w:qFormat/>
    <w:rPr>
      <w:vertAlign w:val="superscript"/>
    </w:rPr>
  </w:style>
  <w:style w:type="character" w:styleId="733">
    <w:name w:val="HTML Sample"/>
    <w:uiPriority w:val="0"/>
    <w:qFormat/>
    <w:rPr>
      <w:rFonts w:ascii="Courier New" w:hAnsi="宋体" w:eastAsia="宋体"/>
    </w:rPr>
  </w:style>
  <w:style w:type="paragraph" w:styleId="734" w:customStyle="1">
    <w:name w:val="首行缩进"/>
    <w:basedOn w:val="668"/>
    <w:uiPriority w:val="0"/>
    <w:qFormat/>
    <w:pPr>
      <w:ind w:firstLine="480"/>
    </w:pPr>
    <w:rPr>
      <w:rFonts w:ascii="Calibri" w:hAnsi="Calibri" w:eastAsia="楷体_GB2312"/>
      <w:sz w:val="26"/>
      <w:lang w:val="zh-CN"/>
    </w:rPr>
  </w:style>
  <w:style w:type="paragraph" w:styleId="735">
    <w:name w:val="List Paragraph"/>
    <w:basedOn w:val="668"/>
    <w:uiPriority w:val="34"/>
    <w:qFormat/>
    <w:pPr>
      <w:ind w:firstLine="420"/>
      <w:spacing w:line="360" w:lineRule="auto"/>
    </w:pPr>
    <w:rPr>
      <w:sz w:val="28"/>
    </w:rPr>
  </w:style>
  <w:style w:type="character" w:styleId="736" w:customStyle="1">
    <w:name w:val="脚注文本 Char"/>
    <w:basedOn w:val="678"/>
    <w:link w:val="710"/>
    <w:uiPriority w:val="0"/>
    <w:semiHidden/>
    <w:qFormat/>
    <w:rPr>
      <w:rFonts w:ascii="Times New Roman" w:hAnsi="Times New Roman" w:eastAsia="宋体" w:cs="Times New Roman"/>
      <w:sz w:val="18"/>
      <w:szCs w:val="18"/>
    </w:rPr>
  </w:style>
  <w:style w:type="paragraph" w:styleId="737" w:customStyle="1">
    <w:name w:val="标题 41"/>
    <w:basedOn w:val="668"/>
    <w:next w:val="668"/>
    <w:uiPriority w:val="0"/>
    <w:qFormat/>
    <w:pPr>
      <w:numPr>
        <w:ilvl w:val="3"/>
        <w:numId w:val="1"/>
      </w:numPr>
      <w:keepLines/>
      <w:keepNext/>
      <w:spacing w:before="280" w:after="290" w:line="376" w:lineRule="auto"/>
      <w:outlineLvl w:val="3"/>
    </w:pPr>
    <w:rPr>
      <w:rFonts w:ascii="Arial" w:hAnsi="Arial" w:eastAsia="黑体"/>
      <w:b/>
      <w:bCs/>
      <w:sz w:val="28"/>
      <w:szCs w:val="28"/>
    </w:rPr>
  </w:style>
  <w:style w:type="paragraph" w:styleId="738" w:customStyle="1">
    <w:name w:val="索引 41"/>
    <w:basedOn w:val="668"/>
    <w:next w:val="668"/>
    <w:uiPriority w:val="0"/>
    <w:semiHidden/>
    <w:qFormat/>
    <w:pPr>
      <w:ind w:left="1260"/>
    </w:pPr>
    <w:rPr>
      <w:rFonts w:ascii="Calibri" w:hAnsi="Calibri" w:eastAsia="Calibri" w:cs="宋体"/>
      <w:sz w:val="20"/>
      <w:lang w:val="zh-CN"/>
    </w:rPr>
  </w:style>
  <w:style w:type="character" w:styleId="739" w:customStyle="1">
    <w:name w:val="Heading 1 Char"/>
    <w:basedOn w:val="678"/>
    <w:uiPriority w:val="9"/>
    <w:qFormat/>
    <w:rPr>
      <w:rFonts w:ascii="Arial" w:hAnsi="Arial" w:eastAsia="Arial" w:cs="Arial"/>
      <w:sz w:val="40"/>
      <w:szCs w:val="40"/>
    </w:rPr>
  </w:style>
  <w:style w:type="character" w:styleId="740" w:customStyle="1">
    <w:name w:val="Heading 2 Char"/>
    <w:basedOn w:val="678"/>
    <w:uiPriority w:val="9"/>
    <w:qFormat/>
    <w:rPr>
      <w:rFonts w:ascii="Arial" w:hAnsi="Arial" w:eastAsia="Arial" w:cs="Arial"/>
      <w:sz w:val="34"/>
    </w:rPr>
  </w:style>
  <w:style w:type="character" w:styleId="741" w:customStyle="1">
    <w:name w:val="Heading 3 Char"/>
    <w:basedOn w:val="678"/>
    <w:uiPriority w:val="9"/>
    <w:qFormat/>
    <w:rPr>
      <w:rFonts w:ascii="Arial" w:hAnsi="Arial" w:eastAsia="Arial" w:cs="Arial"/>
      <w:sz w:val="30"/>
      <w:szCs w:val="30"/>
    </w:rPr>
  </w:style>
  <w:style w:type="character" w:styleId="742" w:customStyle="1">
    <w:name w:val="Heading 4 Char"/>
    <w:basedOn w:val="678"/>
    <w:uiPriority w:val="9"/>
    <w:qFormat/>
    <w:rPr>
      <w:rFonts w:ascii="Arial" w:hAnsi="Arial" w:eastAsia="Arial" w:cs="Arial"/>
      <w:b/>
      <w:bCs/>
      <w:sz w:val="26"/>
      <w:szCs w:val="26"/>
    </w:rPr>
  </w:style>
  <w:style w:type="character" w:styleId="743" w:customStyle="1">
    <w:name w:val="Heading 5 Char"/>
    <w:basedOn w:val="678"/>
    <w:uiPriority w:val="9"/>
    <w:qFormat/>
    <w:rPr>
      <w:rFonts w:ascii="Arial" w:hAnsi="Arial" w:eastAsia="Arial" w:cs="Arial"/>
      <w:b/>
      <w:bCs/>
      <w:sz w:val="24"/>
      <w:szCs w:val="24"/>
    </w:rPr>
  </w:style>
  <w:style w:type="character" w:styleId="744" w:customStyle="1">
    <w:name w:val="Heading 6 Char"/>
    <w:basedOn w:val="678"/>
    <w:uiPriority w:val="9"/>
    <w:qFormat/>
    <w:rPr>
      <w:rFonts w:ascii="Arial" w:hAnsi="Arial" w:eastAsia="Arial" w:cs="Arial"/>
      <w:b/>
      <w:bCs/>
      <w:sz w:val="22"/>
      <w:szCs w:val="22"/>
    </w:rPr>
  </w:style>
  <w:style w:type="character" w:styleId="745" w:customStyle="1">
    <w:name w:val="Heading 7 Char"/>
    <w:basedOn w:val="678"/>
    <w:uiPriority w:val="9"/>
    <w:qFormat/>
    <w:rPr>
      <w:rFonts w:ascii="Arial" w:hAnsi="Arial" w:eastAsia="Arial" w:cs="Arial"/>
      <w:b/>
      <w:bCs/>
      <w:i/>
      <w:iCs/>
      <w:sz w:val="22"/>
      <w:szCs w:val="22"/>
    </w:rPr>
  </w:style>
  <w:style w:type="character" w:styleId="746" w:customStyle="1">
    <w:name w:val="Heading 8 Char"/>
    <w:basedOn w:val="678"/>
    <w:uiPriority w:val="9"/>
    <w:qFormat/>
    <w:rPr>
      <w:rFonts w:ascii="Arial" w:hAnsi="Arial" w:eastAsia="Arial" w:cs="Arial"/>
      <w:i/>
      <w:iCs/>
      <w:sz w:val="22"/>
      <w:szCs w:val="22"/>
    </w:rPr>
  </w:style>
  <w:style w:type="character" w:styleId="747" w:customStyle="1">
    <w:name w:val="Heading 9 Char"/>
    <w:basedOn w:val="678"/>
    <w:uiPriority w:val="9"/>
    <w:qFormat/>
    <w:rPr>
      <w:rFonts w:ascii="Arial" w:hAnsi="Arial" w:eastAsia="Arial" w:cs="Arial"/>
      <w:i/>
      <w:iCs/>
      <w:sz w:val="21"/>
      <w:szCs w:val="21"/>
    </w:rPr>
  </w:style>
  <w:style w:type="character" w:styleId="748" w:customStyle="1">
    <w:name w:val="Title Char"/>
    <w:basedOn w:val="678"/>
    <w:uiPriority w:val="10"/>
    <w:qFormat/>
    <w:rPr>
      <w:sz w:val="48"/>
      <w:szCs w:val="48"/>
    </w:rPr>
  </w:style>
  <w:style w:type="character" w:styleId="749" w:customStyle="1">
    <w:name w:val="Subtitle Char"/>
    <w:basedOn w:val="678"/>
    <w:uiPriority w:val="11"/>
    <w:qFormat/>
    <w:rPr>
      <w:sz w:val="24"/>
      <w:szCs w:val="24"/>
    </w:rPr>
  </w:style>
  <w:style w:type="paragraph" w:styleId="750">
    <w:name w:val="Quote"/>
    <w:basedOn w:val="668"/>
    <w:next w:val="668"/>
    <w:uiPriority w:val="29"/>
    <w:qFormat/>
    <w:pPr>
      <w:ind w:left="720" w:right="720"/>
    </w:pPr>
    <w:rPr>
      <w:i/>
    </w:rPr>
  </w:style>
  <w:style w:type="paragraph" w:styleId="751">
    <w:name w:val="Intense Quote"/>
    <w:basedOn w:val="668"/>
    <w:next w:val="6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Header Char"/>
    <w:basedOn w:val="678"/>
    <w:uiPriority w:val="99"/>
    <w:qFormat/>
  </w:style>
  <w:style w:type="character" w:styleId="753" w:customStyle="1">
    <w:name w:val="Footer Char"/>
    <w:basedOn w:val="678"/>
    <w:uiPriority w:val="99"/>
    <w:qFormat/>
  </w:style>
  <w:style w:type="character" w:styleId="754" w:customStyle="1">
    <w:name w:val="Caption Char"/>
    <w:uiPriority w:val="99"/>
    <w:qFormat/>
  </w:style>
  <w:style w:type="table" w:styleId="755" w:customStyle="1">
    <w:name w:val="Table Grid Light"/>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6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6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basedOn w:val="6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basedOn w:val="6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basedOn w:val="6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basedOn w:val="6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basedOn w:val="6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basedOn w:val="6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basedOn w:val="6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basedOn w:val="6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basedOn w:val="6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basedOn w:val="6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basedOn w:val="6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basedOn w:val="6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basedOn w:val="6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basedOn w:val="6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basedOn w:val="6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basedOn w:val="6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basedOn w:val="6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basedOn w:val="6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basedOn w:val="6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basedOn w:val="67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basedOn w:val="67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basedOn w:val="67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basedOn w:val="67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basedOn w:val="67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basedOn w:val="67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basedOn w:val="679"/>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AEACE" w:themeColor="light1" w:sz="4" w:space="0"/>
        </w:tcBorders>
      </w:tcPr>
    </w:tblStylePr>
  </w:style>
  <w:style w:type="table" w:styleId="790" w:customStyle="1">
    <w:name w:val="Grid Table 5 Dark- Accent 1"/>
    <w:basedOn w:val="679"/>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AEACE" w:themeColor="light1" w:sz="4" w:space="0"/>
        </w:tcBorders>
      </w:tcPr>
    </w:tblStylePr>
  </w:style>
  <w:style w:type="table" w:styleId="791" w:customStyle="1">
    <w:name w:val="Grid Table 5 Dark - Accent 2"/>
    <w:basedOn w:val="679"/>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AEACE" w:themeColor="light1" w:sz="4" w:space="0"/>
        </w:tcBorders>
      </w:tcPr>
    </w:tblStylePr>
  </w:style>
  <w:style w:type="table" w:styleId="792" w:customStyle="1">
    <w:name w:val="Grid Table 5 Dark - Accent 3"/>
    <w:basedOn w:val="679"/>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AEACE" w:themeColor="light1" w:sz="4" w:space="0"/>
        </w:tcBorders>
      </w:tcPr>
    </w:tblStylePr>
  </w:style>
  <w:style w:type="table" w:styleId="793" w:customStyle="1">
    <w:name w:val="Grid Table 5 Dark- Accent 4"/>
    <w:basedOn w:val="679"/>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AEACE" w:themeColor="light1" w:sz="4" w:space="0"/>
        </w:tcBorders>
      </w:tcPr>
    </w:tblStylePr>
  </w:style>
  <w:style w:type="table" w:styleId="794" w:customStyle="1">
    <w:name w:val="Grid Table 5 Dark - Accent 5"/>
    <w:basedOn w:val="679"/>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AEACE" w:themeColor="light1" w:sz="4" w:space="0"/>
        </w:tcBorders>
      </w:tcPr>
    </w:tblStylePr>
  </w:style>
  <w:style w:type="table" w:styleId="795" w:customStyle="1">
    <w:name w:val="Grid Table 5 Dark - Accent 6"/>
    <w:basedOn w:val="679"/>
    <w:uiPriority w:val="99"/>
    <w:qFormat/>
    <w:pPr>
      <w:spacing w:after="0" w:line="240" w:lineRule="auto"/>
    </w:pPr>
    <w:tblPr>
      <w:tblBorders>
        <w:top w:val="single" w:color="CAEACE" w:themeColor="light1" w:sz="4" w:space="0"/>
        <w:left w:val="single" w:color="CAEACE" w:themeColor="light1" w:sz="4" w:space="0"/>
        <w:bottom w:val="single" w:color="CAEACE" w:themeColor="light1" w:sz="4" w:space="0"/>
        <w:right w:val="single" w:color="CAEACE" w:themeColor="light1" w:sz="4" w:space="0"/>
        <w:insideH w:val="single" w:color="CAEACE" w:themeColor="light1" w:sz="4" w:space="0"/>
        <w:insideV w:val="single" w:color="CAEACE"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AEACE" w:themeColor="light1" w:sz="4" w:space="0"/>
        </w:tcBorders>
      </w:tcPr>
    </w:tblStylePr>
  </w:style>
  <w:style w:type="table" w:styleId="796" w:customStyle="1">
    <w:name w:val="Grid Table 6 Colorful"/>
    <w:basedOn w:val="6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basedOn w:val="67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8" w:customStyle="1">
    <w:name w:val="Grid Table 6 Colorful - Accent 2"/>
    <w:basedOn w:val="6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9" w:customStyle="1">
    <w:name w:val="Grid Table 6 Colorful - Accent 3"/>
    <w:basedOn w:val="67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0" w:customStyle="1">
    <w:name w:val="Grid Table 6 Colorful - Accent 4"/>
    <w:basedOn w:val="6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1" w:customStyle="1">
    <w:name w:val="Grid Table 6 Colorful - Accent 5"/>
    <w:basedOn w:val="67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6 Colorful - Accent 6"/>
    <w:basedOn w:val="67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7 Colorful"/>
    <w:basedOn w:val="6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aeace" w:themeColor="light1" w:fill="caeace"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aeace" w:themeColor="light1" w:fill="caeace"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basedOn w:val="67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caeace" w:themeColor="light1" w:fill="caeace"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caeace" w:themeColor="light1" w:fill="caeace"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basedOn w:val="67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caeace" w:themeColor="light1" w:fill="caeace"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caeace" w:themeColor="light1" w:fill="caeace"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basedOn w:val="67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caeace" w:themeColor="light1" w:fill="caeace"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caeace" w:themeColor="light1" w:fill="caeace"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basedOn w:val="67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caeace" w:themeColor="light1" w:fill="caeace"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basedOn w:val="67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caeace" w:themeColor="light1" w:fill="caeace"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caeace" w:themeColor="light1" w:fill="caeace"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basedOn w:val="67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caeace" w:themeColor="light1" w:fill="caeace"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caeace" w:themeColor="light1" w:fill="caeace"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basedOn w:val="6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basedOn w:val="67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basedOn w:val="67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basedOn w:val="67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basedOn w:val="67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basedOn w:val="67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basedOn w:val="67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basedOn w:val="6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basedOn w:val="67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basedOn w:val="67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basedOn w:val="67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basedOn w:val="67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basedOn w:val="67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basedOn w:val="67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basedOn w:val="67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basedOn w:val="6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basedOn w:val="67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basedOn w:val="6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basedOn w:val="67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basedOn w:val="67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basedOn w:val="67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basedOn w:val="67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basedOn w:val="67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basedOn w:val="67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basedOn w:val="67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basedOn w:val="67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basedOn w:val="6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AEACE" w:themeColor="light1" w:sz="4" w:space="0"/>
          <w:bottom w:val="single" w:color="CAEACE" w:themeColor="light1" w:sz="4" w:space="0"/>
        </w:tcBorders>
      </w:tcPr>
    </w:tblStylePr>
    <w:tblStylePr w:type="band1Vert">
      <w:tcPr>
        <w:shd w:val="clear" w:color="7e7e7e" w:themeColor="text1" w:themeTint="80" w:fill="7e7e7e" w:themeFill="text1" w:themeFillTint="80"/>
        <w:tcBorders>
          <w:left w:val="single" w:color="CAEACE" w:themeColor="light1" w:sz="4" w:space="0"/>
          <w:right w:val="single" w:color="CAEACE" w:themeColor="light1" w:sz="4" w:space="0"/>
        </w:tcBorders>
      </w:tcPr>
    </w:tblStylePr>
    <w:tblStylePr w:type="band2Horz">
      <w:tcPr>
        <w:shd w:val="clear" w:color="7e7e7e" w:themeColor="text1" w:themeTint="80" w:fill="7e7e7e" w:themeFill="text1" w:themeFillTint="80"/>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7E7E7E" w:themeColor="text1" w:themeTint="80"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AEACE" w:themeColor="light1" w:sz="12" w:space="0"/>
        </w:tcBorders>
      </w:tcPr>
    </w:tblStylePr>
    <w:tblStylePr w:type="lastCol">
      <w:tcPr>
        <w:tcBorders>
          <w:left w:val="single" w:color="CAEACE" w:themeColor="light1" w:sz="4" w:space="0"/>
          <w:right w:val="single" w:color="7E7E7E" w:themeColor="text1" w:themeTint="80" w:sz="32" w:space="0"/>
        </w:tcBorders>
      </w:tcPr>
    </w:tblStylePr>
    <w:tblStylePr w:type="lastRow">
      <w:rPr>
        <w:rFonts w:ascii="Arial" w:hAnsi="Arial"/>
        <w:b/>
        <w:color w:val="caeace" w:themeColor="light1"/>
        <w:sz w:val="22"/>
        <w14:textFill>
          <w14:solidFill>
            <w14:schemeClr w14:val="lt1"/>
          </w14:solidFill>
        </w14:textFill>
      </w:rPr>
    </w:tblStylePr>
  </w:style>
  <w:style w:type="table" w:styleId="839" w:customStyle="1">
    <w:name w:val="List Table 5 Dark - Accent 1"/>
    <w:basedOn w:val="67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CAEACE" w:themeColor="light1" w:sz="4" w:space="0"/>
          <w:bottom w:val="single" w:color="CAEACE" w:themeColor="light1" w:sz="4" w:space="0"/>
        </w:tcBorders>
      </w:tcPr>
    </w:tblStylePr>
    <w:tblStylePr w:type="band1Vert">
      <w:tcPr>
        <w:shd w:val="clear" w:color="4f81bd" w:themeColor="accent1" w:fill="4f81bd" w:themeFill="accent1"/>
        <w:tcBorders>
          <w:left w:val="single" w:color="CAEACE" w:themeColor="light1" w:sz="4" w:space="0"/>
          <w:right w:val="single" w:color="CAEACE" w:themeColor="light1" w:sz="4" w:space="0"/>
        </w:tcBorders>
      </w:tcPr>
    </w:tblStylePr>
    <w:tblStylePr w:type="band2Horz">
      <w:tcPr>
        <w:shd w:val="clear" w:color="4f81bd" w:themeColor="accent1" w:fill="4f81bd" w:themeFill="accent1"/>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4F81BD" w:themeColor="accent1"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CAEACE" w:themeColor="light1" w:sz="12" w:space="0"/>
        </w:tcBorders>
      </w:tcPr>
    </w:tblStylePr>
    <w:tblStylePr w:type="lastCol">
      <w:tcPr>
        <w:tcBorders>
          <w:left w:val="single" w:color="CAEACE" w:themeColor="light1" w:sz="4" w:space="0"/>
          <w:right w:val="single" w:color="4F81BD" w:themeColor="accent1" w:sz="32" w:space="0"/>
        </w:tcBorders>
      </w:tcPr>
    </w:tblStylePr>
    <w:tblStylePr w:type="lastRow">
      <w:rPr>
        <w:rFonts w:ascii="Arial" w:hAnsi="Arial"/>
        <w:b/>
        <w:color w:val="caeace" w:themeColor="light1"/>
        <w:sz w:val="22"/>
        <w14:textFill>
          <w14:solidFill>
            <w14:schemeClr w14:val="lt1"/>
          </w14:solidFill>
        </w14:textFill>
      </w:rPr>
    </w:tblStylePr>
  </w:style>
  <w:style w:type="table" w:styleId="840" w:customStyle="1">
    <w:name w:val="List Table 5 Dark - Accent 2"/>
    <w:basedOn w:val="67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CAEACE" w:themeColor="light1" w:sz="4" w:space="0"/>
          <w:bottom w:val="single" w:color="CAEACE" w:themeColor="light1" w:sz="4" w:space="0"/>
        </w:tcBorders>
      </w:tcPr>
    </w:tblStylePr>
    <w:tblStylePr w:type="band1Vert">
      <w:tcPr>
        <w:shd w:val="clear" w:color="d99795" w:themeColor="accent2" w:themeTint="97" w:fill="d99795" w:themeFill="accent2" w:themeFillTint="97"/>
        <w:tcBorders>
          <w:left w:val="single" w:color="CAEACE" w:themeColor="light1" w:sz="4" w:space="0"/>
          <w:right w:val="single" w:color="CAEACE" w:themeColor="light1" w:sz="4" w:space="0"/>
        </w:tcBorders>
      </w:tcPr>
    </w:tblStylePr>
    <w:tblStylePr w:type="band2Horz">
      <w:tcPr>
        <w:shd w:val="clear" w:color="d99795" w:themeColor="accent2" w:themeTint="97" w:fill="d99795" w:themeFill="accent2" w:themeFillTint="97"/>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D99795" w:themeColor="accent2" w:themeTint="97"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CAEACE" w:themeColor="light1" w:sz="12" w:space="0"/>
        </w:tcBorders>
      </w:tcPr>
    </w:tblStylePr>
    <w:tblStylePr w:type="lastCol">
      <w:tcPr>
        <w:tcBorders>
          <w:left w:val="single" w:color="CAEACE" w:themeColor="light1" w:sz="4" w:space="0"/>
          <w:right w:val="single" w:color="D99795" w:themeColor="accent2" w:themeTint="97" w:sz="32" w:space="0"/>
        </w:tcBorders>
      </w:tcPr>
    </w:tblStylePr>
    <w:tblStylePr w:type="lastRow">
      <w:rPr>
        <w:rFonts w:ascii="Arial" w:hAnsi="Arial"/>
        <w:b/>
        <w:color w:val="caeace" w:themeColor="light1"/>
        <w:sz w:val="22"/>
        <w14:textFill>
          <w14:solidFill>
            <w14:schemeClr w14:val="lt1"/>
          </w14:solidFill>
        </w14:textFill>
      </w:rPr>
    </w:tblStylePr>
  </w:style>
  <w:style w:type="table" w:styleId="841" w:customStyle="1">
    <w:name w:val="List Table 5 Dark - Accent 3"/>
    <w:basedOn w:val="67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CAEACE" w:themeColor="light1" w:sz="4" w:space="0"/>
          <w:bottom w:val="single" w:color="CAEACE" w:themeColor="light1" w:sz="4" w:space="0"/>
        </w:tcBorders>
      </w:tcPr>
    </w:tblStylePr>
    <w:tblStylePr w:type="band1Vert">
      <w:tcPr>
        <w:shd w:val="clear" w:color="c3d69c" w:themeColor="accent3" w:themeTint="98" w:fill="c3d69c" w:themeFill="accent3" w:themeFillTint="98"/>
        <w:tcBorders>
          <w:left w:val="single" w:color="CAEACE" w:themeColor="light1" w:sz="4" w:space="0"/>
          <w:right w:val="single" w:color="CAEACE" w:themeColor="light1" w:sz="4" w:space="0"/>
        </w:tcBorders>
      </w:tcPr>
    </w:tblStylePr>
    <w:tblStylePr w:type="band2Horz">
      <w:tcPr>
        <w:shd w:val="clear" w:color="c3d69c" w:themeColor="accent3" w:themeTint="98" w:fill="c3d69c" w:themeFill="accent3" w:themeFillTint="98"/>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C3D69C" w:themeColor="accent3" w:themeTint="98"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CAEACE" w:themeColor="light1" w:sz="12" w:space="0"/>
        </w:tcBorders>
      </w:tcPr>
    </w:tblStylePr>
    <w:tblStylePr w:type="lastCol">
      <w:tcPr>
        <w:tcBorders>
          <w:left w:val="single" w:color="CAEACE" w:themeColor="light1" w:sz="4" w:space="0"/>
          <w:right w:val="single" w:color="C3D69C" w:themeColor="accent3" w:themeTint="98" w:sz="32" w:space="0"/>
        </w:tcBorders>
      </w:tcPr>
    </w:tblStylePr>
    <w:tblStylePr w:type="lastRow">
      <w:rPr>
        <w:rFonts w:ascii="Arial" w:hAnsi="Arial"/>
        <w:b/>
        <w:color w:val="caeace" w:themeColor="light1"/>
        <w:sz w:val="22"/>
        <w14:textFill>
          <w14:solidFill>
            <w14:schemeClr w14:val="lt1"/>
          </w14:solidFill>
        </w14:textFill>
      </w:rPr>
    </w:tblStylePr>
  </w:style>
  <w:style w:type="table" w:styleId="842" w:customStyle="1">
    <w:name w:val="List Table 5 Dark - Accent 4"/>
    <w:basedOn w:val="67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CAEACE" w:themeColor="light1" w:sz="4" w:space="0"/>
          <w:bottom w:val="single" w:color="CAEACE" w:themeColor="light1" w:sz="4" w:space="0"/>
        </w:tcBorders>
      </w:tcPr>
    </w:tblStylePr>
    <w:tblStylePr w:type="band1Vert">
      <w:tcPr>
        <w:shd w:val="clear" w:color="b2a1c6" w:themeColor="accent4" w:themeTint="9A" w:fill="b2a1c6" w:themeFill="accent4" w:themeFillTint="9A"/>
        <w:tcBorders>
          <w:left w:val="single" w:color="CAEACE" w:themeColor="light1" w:sz="4" w:space="0"/>
          <w:right w:val="single" w:color="CAEACE" w:themeColor="light1" w:sz="4" w:space="0"/>
        </w:tcBorders>
      </w:tcPr>
    </w:tblStylePr>
    <w:tblStylePr w:type="band2Horz">
      <w:tcPr>
        <w:shd w:val="clear" w:color="b2a1c6" w:themeColor="accent4" w:themeTint="9A" w:fill="b2a1c6" w:themeFill="accent4" w:themeFillTint="9A"/>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B2A1C6" w:themeColor="accent4" w:themeTint="9A"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CAEACE" w:themeColor="light1" w:sz="12" w:space="0"/>
        </w:tcBorders>
      </w:tcPr>
    </w:tblStylePr>
    <w:tblStylePr w:type="lastCol">
      <w:tcPr>
        <w:tcBorders>
          <w:left w:val="single" w:color="CAEACE" w:themeColor="light1" w:sz="4" w:space="0"/>
          <w:right w:val="single" w:color="B2A1C6" w:themeColor="accent4" w:themeTint="9A" w:sz="32" w:space="0"/>
        </w:tcBorders>
      </w:tcPr>
    </w:tblStylePr>
    <w:tblStylePr w:type="lastRow">
      <w:rPr>
        <w:rFonts w:ascii="Arial" w:hAnsi="Arial"/>
        <w:b/>
        <w:color w:val="caeace" w:themeColor="light1"/>
        <w:sz w:val="22"/>
        <w14:textFill>
          <w14:solidFill>
            <w14:schemeClr w14:val="lt1"/>
          </w14:solidFill>
        </w14:textFill>
      </w:rPr>
    </w:tblStylePr>
  </w:style>
  <w:style w:type="table" w:styleId="843" w:customStyle="1">
    <w:name w:val="List Table 5 Dark - Accent 5"/>
    <w:basedOn w:val="67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CAEACE" w:themeColor="light1" w:sz="4" w:space="0"/>
          <w:bottom w:val="single" w:color="CAEACE" w:themeColor="light1" w:sz="4" w:space="0"/>
        </w:tcBorders>
      </w:tcPr>
    </w:tblStylePr>
    <w:tblStylePr w:type="band1Vert">
      <w:tcPr>
        <w:shd w:val="clear" w:color="92ccdc" w:themeColor="accent5" w:themeTint="9A" w:fill="92ccdc" w:themeFill="accent5" w:themeFillTint="9A"/>
        <w:tcBorders>
          <w:left w:val="single" w:color="CAEACE" w:themeColor="light1" w:sz="4" w:space="0"/>
          <w:right w:val="single" w:color="CAEACE" w:themeColor="light1" w:sz="4" w:space="0"/>
        </w:tcBorders>
      </w:tcPr>
    </w:tblStylePr>
    <w:tblStylePr w:type="band2Horz">
      <w:tcPr>
        <w:shd w:val="clear" w:color="92ccdc" w:themeColor="accent5" w:themeTint="9A" w:fill="92ccdc" w:themeFill="accent5" w:themeFillTint="9A"/>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92CCDC" w:themeColor="accent5" w:themeTint="9A"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CAEACE" w:themeColor="light1" w:sz="12" w:space="0"/>
        </w:tcBorders>
      </w:tcPr>
    </w:tblStylePr>
    <w:tblStylePr w:type="lastCol">
      <w:tcPr>
        <w:tcBorders>
          <w:left w:val="single" w:color="CAEACE" w:themeColor="light1" w:sz="4" w:space="0"/>
          <w:right w:val="single" w:color="92CCDC" w:themeColor="accent5" w:themeTint="9A" w:sz="32" w:space="0"/>
        </w:tcBorders>
      </w:tcPr>
    </w:tblStylePr>
    <w:tblStylePr w:type="lastRow">
      <w:rPr>
        <w:rFonts w:ascii="Arial" w:hAnsi="Arial"/>
        <w:b/>
        <w:color w:val="caeace" w:themeColor="light1"/>
        <w:sz w:val="22"/>
        <w14:textFill>
          <w14:solidFill>
            <w14:schemeClr w14:val="lt1"/>
          </w14:solidFill>
        </w14:textFill>
      </w:rPr>
    </w:tblStylePr>
  </w:style>
  <w:style w:type="table" w:styleId="844" w:customStyle="1">
    <w:name w:val="List Table 5 Dark - Accent 6"/>
    <w:basedOn w:val="67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CAEACE" w:themeColor="light1" w:sz="4" w:space="0"/>
          <w:bottom w:val="single" w:color="CAEACE" w:themeColor="light1" w:sz="4" w:space="0"/>
        </w:tcBorders>
      </w:tcPr>
    </w:tblStylePr>
    <w:tblStylePr w:type="band1Vert">
      <w:tcPr>
        <w:shd w:val="clear" w:color="fac090" w:themeColor="accent6" w:themeTint="98" w:fill="fac090" w:themeFill="accent6" w:themeFillTint="98"/>
        <w:tcBorders>
          <w:left w:val="single" w:color="CAEACE" w:themeColor="light1" w:sz="4" w:space="0"/>
          <w:right w:val="single" w:color="CAEACE" w:themeColor="light1" w:sz="4" w:space="0"/>
        </w:tcBorders>
      </w:tcPr>
    </w:tblStylePr>
    <w:tblStylePr w:type="band2Horz">
      <w:tcPr>
        <w:shd w:val="clear" w:color="fac090" w:themeColor="accent6" w:themeTint="98" w:fill="fac090" w:themeFill="accent6" w:themeFillTint="98"/>
        <w:tcBorders>
          <w:top w:val="single" w:color="CAEACE" w:themeColor="light1" w:sz="4" w:space="0"/>
          <w:bottom w:val="single" w:color="CAEACE" w:themeColor="light1" w:sz="4" w:space="0"/>
        </w:tcBorders>
      </w:tcPr>
    </w:tblStylePr>
    <w:tblStylePr w:type="band2Vert">
      <w:tcPr>
        <w:tcBorders>
          <w:left w:val="single" w:color="CAEACE" w:themeColor="light1" w:sz="4" w:space="0"/>
          <w:right w:val="single" w:color="CAEACE" w:themeColor="light1" w:sz="4" w:space="0"/>
        </w:tcBorders>
      </w:tcPr>
    </w:tblStylePr>
    <w:tblStylePr w:type="firstCol">
      <w:rPr>
        <w:rFonts w:ascii="Arial" w:hAnsi="Arial"/>
        <w:b/>
        <w:color w:val="caeace" w:themeColor="light1"/>
        <w:sz w:val="22"/>
        <w14:textFill>
          <w14:solidFill>
            <w14:schemeClr w14:val="lt1"/>
          </w14:solidFill>
        </w14:textFill>
      </w:rPr>
      <w:tcPr>
        <w:tcBorders>
          <w:left w:val="single" w:color="FAC090" w:themeColor="accent6" w:themeTint="98" w:sz="32" w:space="0"/>
          <w:right w:val="single" w:color="CAEACE" w:themeColor="light1" w:sz="4" w:space="0"/>
        </w:tcBorders>
      </w:tcPr>
    </w:tblStylePr>
    <w:tblStylePr w:type="firstRow">
      <w:rPr>
        <w:rFonts w:ascii="Arial" w:hAnsi="Arial"/>
        <w:b/>
        <w:color w:val="caeace"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CAEACE" w:themeColor="light1" w:sz="12" w:space="0"/>
        </w:tcBorders>
      </w:tcPr>
    </w:tblStylePr>
    <w:tblStylePr w:type="lastCol">
      <w:tcPr>
        <w:tcBorders>
          <w:left w:val="single" w:color="CAEACE" w:themeColor="light1" w:sz="4" w:space="0"/>
          <w:right w:val="single" w:color="FAC090" w:themeColor="accent6" w:themeTint="98" w:sz="32" w:space="0"/>
        </w:tcBorders>
      </w:tcPr>
    </w:tblStylePr>
    <w:tblStylePr w:type="lastRow">
      <w:rPr>
        <w:rFonts w:ascii="Arial" w:hAnsi="Arial"/>
        <w:b/>
        <w:color w:val="caeace" w:themeColor="light1"/>
        <w:sz w:val="22"/>
        <w14:textFill>
          <w14:solidFill>
            <w14:schemeClr w14:val="lt1"/>
          </w14:solidFill>
        </w14:textFill>
      </w:rPr>
    </w:tblStylePr>
  </w:style>
  <w:style w:type="table" w:styleId="845" w:customStyle="1">
    <w:name w:val="List Table 6 Colorful"/>
    <w:basedOn w:val="6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basedOn w:val="67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7" w:customStyle="1">
    <w:name w:val="List Table 6 Colorful - Accent 2"/>
    <w:basedOn w:val="67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8" w:customStyle="1">
    <w:name w:val="List Table 6 Colorful - Accent 3"/>
    <w:basedOn w:val="67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9" w:customStyle="1">
    <w:name w:val="List Table 6 Colorful - Accent 4"/>
    <w:basedOn w:val="67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0" w:customStyle="1">
    <w:name w:val="List Table 6 Colorful - Accent 5"/>
    <w:basedOn w:val="67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1" w:customStyle="1">
    <w:name w:val="List Table 6 Colorful - Accent 6"/>
    <w:basedOn w:val="67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2" w:customStyle="1">
    <w:name w:val="List Table 7 Colorful"/>
    <w:basedOn w:val="6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aeace" w:themeColor="light1" w:fill="caeace"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aeace" w:themeColor="light1" w:fill="caeace"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basedOn w:val="67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caeace" w:themeColor="light1" w:fill="caeace"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caeace" w:themeColor="light1" w:fill="caeace"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basedOn w:val="67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caeace" w:themeColor="light1" w:fill="caeace"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caeace" w:themeColor="light1" w:fill="caeace"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basedOn w:val="67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caeace" w:themeColor="light1" w:fill="caeace"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basedOn w:val="67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caeace" w:themeColor="light1" w:fill="caeace"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basedOn w:val="67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caeace" w:themeColor="light1" w:fill="caeace"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basedOn w:val="67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caeace" w:themeColor="light1" w:fill="caeace"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caeace" w:themeColor="light1" w:fill="caeace"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basedOn w:val="67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basedOn w:val="67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basedOn w:val="67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basedOn w:val="67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basedOn w:val="67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basedOn w:val="67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basedOn w:val="67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basedOn w:val="67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basedOn w:val="6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basedOn w:val="6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basedOn w:val="6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basedOn w:val="6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basedOn w:val="6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basedOn w:val="6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Footnote Text Char"/>
    <w:uiPriority w:val="99"/>
    <w:qFormat/>
    <w:rPr>
      <w:sz w:val="18"/>
    </w:rPr>
  </w:style>
  <w:style w:type="character" w:styleId="881" w:customStyle="1">
    <w:name w:val="Endnote Text Char"/>
    <w:uiPriority w:val="99"/>
    <w:qFormat/>
    <w:rPr>
      <w:sz w:val="20"/>
    </w:rPr>
  </w:style>
  <w:style w:type="paragraph" w:styleId="882" w:customStyle="1">
    <w:name w:val="TOC Heading"/>
    <w:uiPriority w:val="39"/>
    <w:unhideWhenUsed/>
    <w:qFormat/>
    <w:rPr>
      <w:rFonts w:hint="default" w:asciiTheme="minorHAnsi" w:hAnsiTheme="minorHAnsi" w:eastAsiaTheme="minorEastAsia" w:cstheme="minorBidi"/>
      <w:sz w:val="21"/>
      <w:szCs w:val="22"/>
    </w:rPr>
  </w:style>
  <w:style w:type="character" w:styleId="883" w:customStyle="1">
    <w:name w:val="页眉 Char"/>
    <w:basedOn w:val="678"/>
    <w:link w:val="704"/>
    <w:uiPriority w:val="0"/>
    <w:qFormat/>
    <w:rPr>
      <w:sz w:val="18"/>
      <w:szCs w:val="18"/>
    </w:rPr>
  </w:style>
  <w:style w:type="character" w:styleId="884" w:customStyle="1">
    <w:name w:val="页脚 Char"/>
    <w:basedOn w:val="678"/>
    <w:link w:val="703"/>
    <w:uiPriority w:val="99"/>
    <w:qFormat/>
    <w:rPr>
      <w:sz w:val="18"/>
      <w:szCs w:val="18"/>
    </w:rPr>
  </w:style>
  <w:style w:type="character" w:styleId="885" w:customStyle="1">
    <w:name w:val="标题 1 Char"/>
    <w:basedOn w:val="678"/>
    <w:link w:val="669"/>
    <w:uiPriority w:val="0"/>
    <w:qFormat/>
    <w:rPr>
      <w:rFonts w:ascii="Times New Roman" w:hAnsi="Times New Roman" w:eastAsia="宋体" w:cs="Times New Roman"/>
      <w:b/>
      <w:bCs/>
      <w:sz w:val="44"/>
      <w:szCs w:val="44"/>
    </w:rPr>
  </w:style>
  <w:style w:type="character" w:styleId="886" w:customStyle="1">
    <w:name w:val="标题 2 Char"/>
    <w:basedOn w:val="678"/>
    <w:link w:val="670"/>
    <w:uiPriority w:val="0"/>
    <w:qFormat/>
    <w:rPr>
      <w:rFonts w:ascii="Arial" w:hAnsi="Arial" w:eastAsia="黑体" w:cs="Times New Roman"/>
      <w:b/>
      <w:bCs/>
      <w:sz w:val="32"/>
      <w:szCs w:val="32"/>
    </w:rPr>
  </w:style>
  <w:style w:type="character" w:styleId="887" w:customStyle="1">
    <w:name w:val="标题 3 Char"/>
    <w:basedOn w:val="678"/>
    <w:link w:val="671"/>
    <w:uiPriority w:val="0"/>
    <w:qFormat/>
    <w:rPr>
      <w:rFonts w:ascii="Times New Roman" w:hAnsi="Times New Roman" w:eastAsia="宋体" w:cs="Times New Roman"/>
      <w:b/>
      <w:bCs/>
      <w:sz w:val="32"/>
      <w:szCs w:val="32"/>
    </w:rPr>
  </w:style>
  <w:style w:type="character" w:styleId="888" w:customStyle="1">
    <w:name w:val="标题 4 Char"/>
    <w:basedOn w:val="678"/>
    <w:link w:val="672"/>
    <w:uiPriority w:val="9"/>
    <w:qFormat/>
    <w:rPr>
      <w:rFonts w:ascii="Arial" w:hAnsi="Arial" w:eastAsia="黑体" w:cs="Times New Roman"/>
      <w:b/>
      <w:sz w:val="20"/>
      <w:szCs w:val="20"/>
    </w:rPr>
  </w:style>
  <w:style w:type="character" w:styleId="889" w:customStyle="1">
    <w:name w:val="标题 5 Char"/>
    <w:basedOn w:val="678"/>
    <w:link w:val="673"/>
    <w:uiPriority w:val="0"/>
    <w:qFormat/>
    <w:rPr>
      <w:rFonts w:ascii="Times New Roman" w:hAnsi="Times New Roman" w:eastAsia="宋体" w:cs="Times New Roman"/>
      <w:b/>
      <w:bCs/>
      <w:sz w:val="28"/>
      <w:szCs w:val="28"/>
    </w:rPr>
  </w:style>
  <w:style w:type="character" w:styleId="890" w:customStyle="1">
    <w:name w:val="标题 6 Char"/>
    <w:basedOn w:val="678"/>
    <w:link w:val="674"/>
    <w:uiPriority w:val="0"/>
    <w:qFormat/>
    <w:rPr>
      <w:rFonts w:ascii="Arial" w:hAnsi="Arial" w:eastAsia="黑体" w:cs="Times New Roman"/>
      <w:b/>
      <w:bCs/>
      <w:sz w:val="24"/>
      <w:szCs w:val="24"/>
    </w:rPr>
  </w:style>
  <w:style w:type="character" w:styleId="891" w:customStyle="1">
    <w:name w:val="标题 7 Char"/>
    <w:basedOn w:val="678"/>
    <w:link w:val="675"/>
    <w:uiPriority w:val="0"/>
    <w:qFormat/>
    <w:rPr>
      <w:rFonts w:ascii="Times New Roman" w:hAnsi="Times New Roman" w:eastAsia="宋体" w:cs="Times New Roman"/>
      <w:b/>
      <w:bCs/>
      <w:sz w:val="24"/>
      <w:szCs w:val="24"/>
    </w:rPr>
  </w:style>
  <w:style w:type="character" w:styleId="892" w:customStyle="1">
    <w:name w:val="标题 8 Char"/>
    <w:basedOn w:val="678"/>
    <w:link w:val="676"/>
    <w:uiPriority w:val="0"/>
    <w:qFormat/>
    <w:rPr>
      <w:rFonts w:ascii="Arial" w:hAnsi="Arial" w:eastAsia="黑体" w:cs="Times New Roman"/>
      <w:sz w:val="24"/>
      <w:szCs w:val="24"/>
    </w:rPr>
  </w:style>
  <w:style w:type="character" w:styleId="893" w:customStyle="1">
    <w:name w:val="标题 9 Char"/>
    <w:basedOn w:val="678"/>
    <w:link w:val="677"/>
    <w:uiPriority w:val="0"/>
    <w:qFormat/>
    <w:rPr>
      <w:rFonts w:ascii="Arial" w:hAnsi="Arial" w:eastAsia="黑体" w:cs="Times New Roman"/>
      <w:szCs w:val="21"/>
    </w:rPr>
  </w:style>
  <w:style w:type="character" w:styleId="894" w:customStyle="1">
    <w:name w:val="正文文本缩进 Char"/>
    <w:basedOn w:val="678"/>
    <w:link w:val="693"/>
    <w:uiPriority w:val="0"/>
    <w:qFormat/>
    <w:rPr>
      <w:rFonts w:ascii="Times New Roman" w:hAnsi="Times New Roman" w:eastAsia="宋体" w:cs="Times New Roman"/>
      <w:sz w:val="24"/>
      <w:szCs w:val="24"/>
    </w:rPr>
  </w:style>
  <w:style w:type="character" w:styleId="895" w:customStyle="1">
    <w:name w:val="文档结构图 Char"/>
    <w:basedOn w:val="678"/>
    <w:link w:val="687"/>
    <w:uiPriority w:val="0"/>
    <w:semiHidden/>
    <w:qFormat/>
    <w:rPr>
      <w:rFonts w:ascii="Times New Roman" w:hAnsi="Times New Roman" w:eastAsia="宋体" w:cs="Times New Roman"/>
      <w:sz w:val="24"/>
      <w:szCs w:val="24"/>
      <w:shd w:val="clear" w:color="auto" w:fill="000080"/>
    </w:rPr>
  </w:style>
  <w:style w:type="character" w:styleId="896" w:customStyle="1">
    <w:name w:val="批注文字 Char"/>
    <w:basedOn w:val="678"/>
    <w:link w:val="688"/>
    <w:uiPriority w:val="0"/>
    <w:qFormat/>
    <w:rPr>
      <w:rFonts w:ascii="Times New Roman" w:hAnsi="Times New Roman" w:eastAsia="宋体" w:cs="Times New Roman"/>
      <w:sz w:val="20"/>
      <w:szCs w:val="20"/>
    </w:rPr>
  </w:style>
  <w:style w:type="character" w:styleId="897" w:customStyle="1">
    <w:name w:val="称呼 Char"/>
    <w:basedOn w:val="678"/>
    <w:link w:val="689"/>
    <w:uiPriority w:val="0"/>
    <w:qFormat/>
    <w:rPr>
      <w:rFonts w:ascii="仿宋_GB2312" w:hAnsi="Times New Roman" w:eastAsia="仿宋_GB2312" w:cs="Times New Roman"/>
      <w:sz w:val="20"/>
      <w:szCs w:val="20"/>
    </w:rPr>
  </w:style>
  <w:style w:type="character" w:styleId="898" w:customStyle="1">
    <w:name w:val="正文文本 3 Char"/>
    <w:basedOn w:val="678"/>
    <w:link w:val="690"/>
    <w:uiPriority w:val="0"/>
    <w:qFormat/>
    <w:rPr>
      <w:rFonts w:ascii="Times New Roman" w:hAnsi="Times New Roman" w:eastAsia="宋体" w:cs="Times New Roman"/>
      <w:sz w:val="16"/>
      <w:szCs w:val="16"/>
    </w:rPr>
  </w:style>
  <w:style w:type="character" w:styleId="899" w:customStyle="1">
    <w:name w:val="正文文本 Char"/>
    <w:basedOn w:val="678"/>
    <w:link w:val="691"/>
    <w:uiPriority w:val="0"/>
    <w:qFormat/>
    <w:rPr>
      <w:rFonts w:ascii="Times New Roman" w:hAnsi="Times New Roman" w:eastAsia="宋体" w:cs="Times New Roman"/>
      <w:sz w:val="24"/>
      <w:szCs w:val="24"/>
    </w:rPr>
  </w:style>
  <w:style w:type="character" w:styleId="900" w:customStyle="1">
    <w:name w:val="纯文本 Char"/>
    <w:basedOn w:val="678"/>
    <w:link w:val="697"/>
    <w:uiPriority w:val="0"/>
    <w:qFormat/>
    <w:rPr>
      <w:rFonts w:ascii="宋体" w:hAnsi="Courier New" w:eastAsia="宋体" w:cs="Times New Roman"/>
      <w:szCs w:val="21"/>
    </w:rPr>
  </w:style>
  <w:style w:type="character" w:styleId="901" w:customStyle="1">
    <w:name w:val="日期 Char"/>
    <w:basedOn w:val="678"/>
    <w:link w:val="699"/>
    <w:uiPriority w:val="0"/>
    <w:qFormat/>
    <w:rPr>
      <w:rFonts w:ascii="Times New Roman" w:hAnsi="Times New Roman" w:eastAsia="宋体" w:cs="Times New Roman"/>
      <w:sz w:val="20"/>
      <w:szCs w:val="20"/>
    </w:rPr>
  </w:style>
  <w:style w:type="character" w:styleId="902" w:customStyle="1">
    <w:name w:val="正文文本缩进 2 Char"/>
    <w:basedOn w:val="678"/>
    <w:link w:val="700"/>
    <w:uiPriority w:val="0"/>
    <w:qFormat/>
    <w:rPr>
      <w:rFonts w:ascii="宋体" w:hAnsi="宋体" w:eastAsia="宋体" w:cs="Times New Roman"/>
      <w:sz w:val="24"/>
      <w:szCs w:val="24"/>
    </w:rPr>
  </w:style>
  <w:style w:type="character" w:styleId="903" w:customStyle="1">
    <w:name w:val="尾注文本 Char"/>
    <w:basedOn w:val="678"/>
    <w:link w:val="701"/>
    <w:uiPriority w:val="0"/>
    <w:semiHidden/>
    <w:qFormat/>
    <w:rPr>
      <w:rFonts w:ascii="Times New Roman" w:hAnsi="Times New Roman" w:eastAsia="宋体" w:cs="Times New Roman"/>
      <w:sz w:val="24"/>
      <w:szCs w:val="24"/>
    </w:rPr>
  </w:style>
  <w:style w:type="character" w:styleId="904" w:customStyle="1">
    <w:name w:val="批注框文本 Char"/>
    <w:basedOn w:val="678"/>
    <w:link w:val="702"/>
    <w:uiPriority w:val="0"/>
    <w:qFormat/>
    <w:rPr>
      <w:rFonts w:ascii="Times New Roman" w:hAnsi="Times New Roman" w:eastAsia="宋体" w:cs="Times New Roman"/>
      <w:sz w:val="18"/>
      <w:szCs w:val="18"/>
    </w:rPr>
  </w:style>
  <w:style w:type="character" w:styleId="905" w:customStyle="1">
    <w:name w:val="签名 Char"/>
    <w:basedOn w:val="678"/>
    <w:link w:val="705"/>
    <w:uiPriority w:val="0"/>
    <w:qFormat/>
    <w:rPr>
      <w:rFonts w:ascii="Times New Roman" w:hAnsi="Times New Roman" w:eastAsia="仿宋_GB2312" w:cs="Times New Roman"/>
      <w:sz w:val="20"/>
      <w:szCs w:val="20"/>
    </w:rPr>
  </w:style>
  <w:style w:type="character" w:styleId="906" w:customStyle="1">
    <w:name w:val="副标题 Char"/>
    <w:basedOn w:val="678"/>
    <w:link w:val="708"/>
    <w:uiPriority w:val="0"/>
    <w:qFormat/>
    <w:rPr>
      <w:rFonts w:ascii="Cambria" w:hAnsi="Cambria" w:eastAsia="宋体" w:cs="Times New Roman"/>
      <w:i/>
      <w:iCs/>
      <w:spacing w:val="13"/>
      <w:sz w:val="24"/>
      <w:szCs w:val="24"/>
      <w:lang w:eastAsia="en-US"/>
    </w:rPr>
  </w:style>
  <w:style w:type="character" w:styleId="907" w:customStyle="1">
    <w:name w:val="正文文本缩进 3 Char"/>
    <w:basedOn w:val="678"/>
    <w:link w:val="712"/>
    <w:uiPriority w:val="0"/>
    <w:qFormat/>
    <w:rPr>
      <w:rFonts w:ascii="Times New Roman" w:hAnsi="Times New Roman" w:eastAsia="宋体" w:cs="Times New Roman"/>
      <w:b/>
      <w:bCs/>
      <w:sz w:val="20"/>
      <w:szCs w:val="20"/>
    </w:rPr>
  </w:style>
  <w:style w:type="character" w:styleId="908" w:customStyle="1">
    <w:name w:val="正文文本 2 Char"/>
    <w:basedOn w:val="678"/>
    <w:link w:val="716"/>
    <w:uiPriority w:val="0"/>
    <w:qFormat/>
    <w:rPr>
      <w:rFonts w:ascii="Times New Roman" w:hAnsi="Times New Roman" w:eastAsia="宋体" w:cs="Times New Roman"/>
      <w:b/>
      <w:bCs/>
      <w:sz w:val="20"/>
      <w:szCs w:val="20"/>
    </w:rPr>
  </w:style>
  <w:style w:type="character" w:styleId="909" w:customStyle="1">
    <w:name w:val="HTML 预设格式 Char"/>
    <w:basedOn w:val="678"/>
    <w:link w:val="717"/>
    <w:uiPriority w:val="0"/>
    <w:qFormat/>
    <w:rPr>
      <w:rFonts w:ascii="宋体" w:hAnsi="宋体" w:eastAsia="宋体" w:cs="Times New Roman"/>
      <w:sz w:val="24"/>
      <w:szCs w:val="24"/>
    </w:rPr>
  </w:style>
  <w:style w:type="character" w:styleId="910" w:customStyle="1">
    <w:name w:val="标题 Char"/>
    <w:basedOn w:val="678"/>
    <w:link w:val="719"/>
    <w:uiPriority w:val="0"/>
    <w:qFormat/>
    <w:rPr>
      <w:rFonts w:ascii="Times New Roman" w:hAnsi="Times New Roman" w:eastAsia="黑体" w:cs="Times New Roman"/>
      <w:b/>
      <w:sz w:val="20"/>
      <w:szCs w:val="20"/>
      <w:lang w:val="en-GB"/>
    </w:rPr>
  </w:style>
  <w:style w:type="character" w:styleId="911" w:customStyle="1">
    <w:name w:val="批注主题 Char"/>
    <w:basedOn w:val="896"/>
    <w:link w:val="720"/>
    <w:uiPriority w:val="0"/>
    <w:semiHidden/>
    <w:qFormat/>
    <w:rPr>
      <w:b/>
      <w:bCs/>
      <w:sz w:val="24"/>
      <w:szCs w:val="24"/>
    </w:rPr>
  </w:style>
  <w:style w:type="character" w:styleId="912" w:customStyle="1">
    <w:name w:val="正文首行缩进 Char"/>
    <w:basedOn w:val="899"/>
    <w:link w:val="692"/>
    <w:uiPriority w:val="0"/>
    <w:qFormat/>
  </w:style>
  <w:style w:type="character" w:styleId="913" w:customStyle="1">
    <w:name w:val="正文首行缩进 2 Char"/>
    <w:basedOn w:val="894"/>
    <w:link w:val="721"/>
    <w:uiPriority w:val="0"/>
    <w:qFormat/>
    <w:rPr>
      <w:rFonts w:ascii="宋体" w:hAnsi="宋体"/>
      <w:sz w:val="20"/>
      <w:szCs w:val="20"/>
    </w:rPr>
  </w:style>
  <w:style w:type="paragraph" w:styleId="914" w:customStyle="1">
    <w:name w:val="正文1"/>
    <w:basedOn w:val="668"/>
    <w:next w:val="668"/>
    <w:uiPriority w:val="0"/>
    <w:qFormat/>
    <w:pPr>
      <w:ind w:firstLine="510"/>
      <w:spacing w:before="156" w:line="360" w:lineRule="auto"/>
    </w:pPr>
    <w:rPr>
      <w:sz w:val="24"/>
      <w:szCs w:val="20"/>
    </w:rPr>
  </w:style>
  <w:style w:type="character" w:styleId="915" w:customStyle="1">
    <w:name w:val="标准小四 Char"/>
    <w:uiPriority w:val="0"/>
    <w:qFormat/>
    <w:rPr>
      <w:rFonts w:ascii="Arial" w:hAnsi="Arial" w:eastAsia="宋体"/>
      <w:sz w:val="21"/>
      <w:lang w:val="en-US" w:eastAsia="zh-CN"/>
    </w:rPr>
  </w:style>
  <w:style w:type="character" w:styleId="916" w:customStyle="1">
    <w:name w:val="Char Char15"/>
    <w:uiPriority w:val="0"/>
    <w:qFormat/>
    <w:rPr>
      <w:rFonts w:ascii="Arial" w:hAnsi="Arial" w:eastAsia="黑体"/>
      <w:sz w:val="21"/>
      <w:lang w:val="en-US" w:eastAsia="zh-CN"/>
    </w:rPr>
  </w:style>
  <w:style w:type="character" w:styleId="917" w:customStyle="1">
    <w:name w:val="Char Char14"/>
    <w:uiPriority w:val="0"/>
    <w:qFormat/>
    <w:rPr>
      <w:rFonts w:eastAsia="黑体"/>
      <w:b/>
      <w:sz w:val="28"/>
      <w:lang w:val="en-GB" w:eastAsia="zh-CN"/>
    </w:rPr>
  </w:style>
  <w:style w:type="character" w:styleId="918" w:customStyle="1">
    <w:name w:val="Char Char28"/>
    <w:uiPriority w:val="0"/>
    <w:qFormat/>
    <w:rPr>
      <w:rFonts w:ascii="Arial" w:hAnsi="Arial" w:eastAsia="黑体"/>
      <w:b/>
      <w:sz w:val="32"/>
    </w:rPr>
  </w:style>
  <w:style w:type="character" w:styleId="919" w:customStyle="1">
    <w:name w:val="t1"/>
    <w:uiPriority w:val="0"/>
    <w:qFormat/>
  </w:style>
  <w:style w:type="character" w:styleId="920" w:customStyle="1">
    <w:name w:val="无间隔 Char"/>
    <w:uiPriority w:val="0"/>
    <w:qFormat/>
    <w:rPr>
      <w:rFonts w:ascii="Calibri" w:hAnsi="Calibri" w:eastAsia="微软雅黑"/>
      <w:sz w:val="22"/>
      <w:lang w:val="en-US" w:eastAsia="zh-CN"/>
    </w:rPr>
  </w:style>
  <w:style w:type="character" w:styleId="921" w:customStyle="1">
    <w:name w:val="111111 Char Char"/>
    <w:uiPriority w:val="0"/>
    <w:qFormat/>
    <w:rPr>
      <w:rFonts w:ascii="宋体" w:hAnsi="宋体" w:eastAsia="黑体"/>
      <w:b/>
      <w:sz w:val="21"/>
      <w:lang w:val="en-US" w:eastAsia="zh-CN"/>
    </w:rPr>
  </w:style>
  <w:style w:type="character" w:styleId="922" w:customStyle="1">
    <w:name w:val="Char Char4"/>
    <w:uiPriority w:val="0"/>
    <w:qFormat/>
    <w:rPr>
      <w:rFonts w:ascii="方正大黑简体" w:eastAsia="方正大黑简体"/>
      <w:position w:val="6"/>
      <w:sz w:val="30"/>
      <w:lang w:val="en-US" w:eastAsia="zh-CN"/>
    </w:rPr>
  </w:style>
  <w:style w:type="character" w:styleId="923" w:customStyle="1">
    <w:name w:val="Char Char30"/>
    <w:uiPriority w:val="0"/>
    <w:qFormat/>
    <w:rPr>
      <w:rFonts w:eastAsia="宋体"/>
      <w:b/>
      <w:sz w:val="28"/>
      <w:lang w:val="en-US" w:eastAsia="zh-CN"/>
    </w:rPr>
  </w:style>
  <w:style w:type="character" w:styleId="924" w:customStyle="1">
    <w:name w:val="3zw"/>
    <w:uiPriority w:val="0"/>
    <w:qFormat/>
    <w:rPr>
      <w:rFonts w:cs="Times New Roman"/>
    </w:rPr>
  </w:style>
  <w:style w:type="character" w:styleId="925" w:customStyle="1">
    <w:name w:val="Char Char22"/>
    <w:uiPriority w:val="0"/>
    <w:qFormat/>
    <w:rPr>
      <w:b/>
      <w:sz w:val="24"/>
    </w:rPr>
  </w:style>
  <w:style w:type="character" w:styleId="926" w:customStyle="1">
    <w:name w:val="concon"/>
    <w:uiPriority w:val="0"/>
    <w:qFormat/>
  </w:style>
  <w:style w:type="character" w:styleId="927" w:customStyle="1">
    <w:name w:val="subtitle1"/>
    <w:uiPriority w:val="0"/>
    <w:qFormat/>
    <w:rPr>
      <w:rFonts w:ascii="Georgia" w:hAnsi="Georgia"/>
      <w:b/>
      <w:color w:val="666666"/>
      <w:sz w:val="18"/>
    </w:rPr>
  </w:style>
  <w:style w:type="character" w:styleId="928" w:customStyle="1">
    <w:name w:val="Char Char9"/>
    <w:uiPriority w:val="0"/>
    <w:qFormat/>
    <w:rPr>
      <w:rFonts w:eastAsia="宋体"/>
      <w:sz w:val="21"/>
      <w:lang w:val="en-US" w:eastAsia="zh-CN"/>
    </w:rPr>
  </w:style>
  <w:style w:type="character" w:styleId="929" w:customStyle="1">
    <w:name w:val="Char Char24"/>
    <w:uiPriority w:val="0"/>
    <w:qFormat/>
    <w:rPr>
      <w:b/>
      <w:sz w:val="28"/>
    </w:rPr>
  </w:style>
  <w:style w:type="character" w:styleId="930" w:customStyle="1">
    <w:name w:val="书籍标题1"/>
    <w:uiPriority w:val="0"/>
    <w:qFormat/>
    <w:rPr>
      <w:i/>
      <w:smallCaps/>
      <w:spacing w:val="5"/>
    </w:rPr>
  </w:style>
  <w:style w:type="character" w:styleId="931" w:customStyle="1">
    <w:name w:val="apple-style-span"/>
    <w:uiPriority w:val="0"/>
    <w:qFormat/>
    <w:rPr>
      <w:rFonts w:cs="Times New Roman"/>
    </w:rPr>
  </w:style>
  <w:style w:type="character" w:styleId="932" w:customStyle="1">
    <w:name w:val="Char Char10"/>
    <w:uiPriority w:val="0"/>
    <w:qFormat/>
    <w:rPr>
      <w:rFonts w:eastAsia="宋体"/>
      <w:b/>
      <w:sz w:val="24"/>
      <w:lang w:val="en-US" w:eastAsia="zh-CN"/>
    </w:rPr>
  </w:style>
  <w:style w:type="character" w:styleId="933" w:customStyle="1">
    <w:name w:val="正文缩进 Char1"/>
    <w:uiPriority w:val="0"/>
    <w:qFormat/>
    <w:rPr>
      <w:rFonts w:eastAsia="宋体"/>
    </w:rPr>
  </w:style>
  <w:style w:type="character" w:styleId="934" w:customStyle="1">
    <w:name w:val="标准文本 Char Char"/>
    <w:uiPriority w:val="0"/>
    <w:qFormat/>
    <w:rPr>
      <w:rFonts w:eastAsia="宋体"/>
      <w:sz w:val="24"/>
      <w:lang w:val="en-US" w:eastAsia="zh-CN"/>
    </w:rPr>
  </w:style>
  <w:style w:type="character" w:styleId="935" w:customStyle="1">
    <w:name w:val="正文2 Char"/>
    <w:link w:val="936"/>
    <w:uiPriority w:val="0"/>
    <w:qFormat/>
    <w:rPr>
      <w:sz w:val="24"/>
    </w:rPr>
  </w:style>
  <w:style w:type="paragraph" w:styleId="936" w:customStyle="1">
    <w:name w:val="正文2"/>
    <w:basedOn w:val="668"/>
    <w:link w:val="935"/>
    <w:uiPriority w:val="0"/>
    <w:qFormat/>
    <w:pPr>
      <w:ind w:firstLine="510"/>
      <w:spacing w:before="156" w:line="360" w:lineRule="auto"/>
    </w:pPr>
    <w:rPr>
      <w:rFonts w:asciiTheme="minorHAnsi" w:hAnsiTheme="minorHAnsi" w:eastAsiaTheme="minorEastAsia" w:cstheme="minorBidi"/>
      <w:sz w:val="24"/>
      <w:szCs w:val="22"/>
    </w:rPr>
  </w:style>
  <w:style w:type="character" w:styleId="937" w:customStyle="1">
    <w:name w:val="普通文字1 Char"/>
    <w:uiPriority w:val="0"/>
    <w:qFormat/>
    <w:rPr>
      <w:rFonts w:ascii="宋体" w:eastAsia="宋体"/>
      <w:sz w:val="21"/>
      <w:lang w:val="en-US" w:eastAsia="zh-CN"/>
    </w:rPr>
  </w:style>
  <w:style w:type="character" w:styleId="938" w:customStyle="1">
    <w:name w:val="Char Char29"/>
    <w:uiPriority w:val="0"/>
    <w:qFormat/>
    <w:rPr>
      <w:rFonts w:ascii="Times New Roman" w:hAnsi="Times New Roman" w:eastAsia="宋体"/>
      <w:b/>
      <w:sz w:val="44"/>
    </w:rPr>
  </w:style>
  <w:style w:type="character" w:styleId="939" w:customStyle="1">
    <w:name w:val="Char Char11"/>
    <w:uiPriority w:val="0"/>
    <w:qFormat/>
    <w:rPr>
      <w:rFonts w:ascii="宋体" w:hAnsi="宋体" w:eastAsia="宋体"/>
      <w:sz w:val="24"/>
      <w:lang w:val="en-US" w:eastAsia="zh-CN"/>
    </w:rPr>
  </w:style>
  <w:style w:type="character" w:styleId="940" w:customStyle="1">
    <w:name w:val="Char Char3"/>
    <w:uiPriority w:val="0"/>
    <w:qFormat/>
    <w:rPr>
      <w:rFonts w:eastAsia="宋体"/>
      <w:sz w:val="18"/>
      <w:lang w:val="en-US" w:eastAsia="zh-CN"/>
    </w:rPr>
  </w:style>
  <w:style w:type="character" w:styleId="941" w:customStyle="1">
    <w:name w:val="Char Char26"/>
    <w:uiPriority w:val="0"/>
    <w:qFormat/>
    <w:rPr>
      <w:b/>
      <w:sz w:val="32"/>
    </w:rPr>
  </w:style>
  <w:style w:type="character" w:styleId="942" w:customStyle="1">
    <w:name w:val="样式 首行缩进:  2 字符 Char"/>
    <w:uiPriority w:val="0"/>
    <w:qFormat/>
    <w:rPr>
      <w:rFonts w:eastAsia="宋体"/>
      <w:sz w:val="24"/>
      <w:lang w:val="en-US" w:eastAsia="zh-CN"/>
    </w:rPr>
  </w:style>
  <w:style w:type="character" w:styleId="943" w:customStyle="1">
    <w:name w:val="content_lineheight1"/>
    <w:uiPriority w:val="0"/>
    <w:qFormat/>
    <w:rPr>
      <w:rFonts w:cs="Times New Roman"/>
    </w:rPr>
  </w:style>
  <w:style w:type="character" w:styleId="944" w:customStyle="1">
    <w:name w:val="华宇段落1 Char Char Char"/>
    <w:uiPriority w:val="0"/>
    <w:qFormat/>
    <w:rPr>
      <w:rFonts w:eastAsia="宋体"/>
      <w:sz w:val="24"/>
      <w:lang w:val="en-US" w:eastAsia="zh-CN"/>
    </w:rPr>
  </w:style>
  <w:style w:type="character" w:styleId="945" w:customStyle="1">
    <w:name w:val="小四 段落 宋体 Char1"/>
    <w:uiPriority w:val="0"/>
    <w:qFormat/>
    <w:rPr>
      <w:rFonts w:eastAsia="宋体"/>
      <w:sz w:val="24"/>
      <w:lang w:val="en-US" w:eastAsia="zh-CN"/>
    </w:rPr>
  </w:style>
  <w:style w:type="character" w:styleId="946" w:customStyle="1">
    <w:name w:val="font5 Char Char"/>
    <w:uiPriority w:val="0"/>
    <w:qFormat/>
    <w:rPr>
      <w:rFonts w:ascii="宋体" w:hAnsi="宋体" w:eastAsia="宋体"/>
      <w:sz w:val="28"/>
      <w:lang w:val="en-US" w:eastAsia="zh-CN"/>
    </w:rPr>
  </w:style>
  <w:style w:type="character" w:styleId="947" w:customStyle="1">
    <w:name w:val="case31"/>
    <w:uiPriority w:val="0"/>
    <w:qFormat/>
    <w:rPr>
      <w:sz w:val="21"/>
    </w:rPr>
  </w:style>
  <w:style w:type="character" w:styleId="948" w:customStyle="1">
    <w:name w:val="Char Char6"/>
    <w:uiPriority w:val="0"/>
    <w:qFormat/>
    <w:rPr>
      <w:rFonts w:eastAsia="宋体"/>
      <w:sz w:val="24"/>
      <w:lang w:val="en-US" w:eastAsia="zh-CN"/>
    </w:rPr>
  </w:style>
  <w:style w:type="character" w:styleId="949" w:customStyle="1">
    <w:name w:val="Char Char8"/>
    <w:uiPriority w:val="0"/>
    <w:qFormat/>
    <w:rPr>
      <w:rFonts w:eastAsia="宋体"/>
      <w:sz w:val="18"/>
      <w:lang w:val="en-US" w:eastAsia="zh-CN"/>
    </w:rPr>
  </w:style>
  <w:style w:type="character" w:styleId="950" w:customStyle="1">
    <w:name w:val="Char Char20"/>
    <w:uiPriority w:val="0"/>
    <w:qFormat/>
    <w:rPr>
      <w:rFonts w:ascii="Arial" w:hAnsi="Arial" w:eastAsia="黑体"/>
      <w:sz w:val="21"/>
    </w:rPr>
  </w:style>
  <w:style w:type="character" w:styleId="951" w:customStyle="1">
    <w:name w:val="样式 宋体 小四"/>
    <w:uiPriority w:val="0"/>
    <w:qFormat/>
    <w:rPr>
      <w:rFonts w:ascii="宋体" w:eastAsia="宋体"/>
      <w:sz w:val="24"/>
    </w:rPr>
  </w:style>
  <w:style w:type="character" w:styleId="952" w:customStyle="1">
    <w:name w:val="Char Char33"/>
    <w:uiPriority w:val="0"/>
    <w:qFormat/>
    <w:rPr>
      <w:rFonts w:ascii="Arial" w:hAnsi="Arial" w:eastAsia="黑体"/>
      <w:b/>
      <w:sz w:val="32"/>
      <w:lang w:val="en-US" w:eastAsia="zh-CN"/>
    </w:rPr>
  </w:style>
  <w:style w:type="character" w:styleId="953" w:customStyle="1">
    <w:name w:val="样式 非加粗"/>
    <w:uiPriority w:val="0"/>
    <w:qFormat/>
    <w:rPr>
      <w:rFonts w:eastAsia="宋体"/>
      <w:sz w:val="28"/>
    </w:rPr>
  </w:style>
  <w:style w:type="character" w:styleId="954" w:customStyle="1">
    <w:name w:val="Char Char5"/>
    <w:uiPriority w:val="0"/>
    <w:qFormat/>
    <w:rPr>
      <w:rFonts w:eastAsia="宋体"/>
      <w:sz w:val="24"/>
      <w:lang w:val="en-US" w:eastAsia="zh-CN"/>
    </w:rPr>
  </w:style>
  <w:style w:type="character" w:styleId="95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956" w:customStyle="1">
    <w:name w:val="Char Char18"/>
    <w:uiPriority w:val="0"/>
    <w:qFormat/>
    <w:rPr>
      <w:rFonts w:eastAsia="宋体"/>
      <w:b/>
      <w:sz w:val="24"/>
      <w:lang w:val="en-US" w:eastAsia="zh-CN"/>
    </w:rPr>
  </w:style>
  <w:style w:type="character" w:styleId="957" w:customStyle="1">
    <w:name w:val="明显参考1"/>
    <w:uiPriority w:val="0"/>
    <w:qFormat/>
    <w:rPr>
      <w:smallCaps/>
      <w:spacing w:val="5"/>
      <w:u w:val="single"/>
    </w:rPr>
  </w:style>
  <w:style w:type="character" w:styleId="958" w:customStyle="1">
    <w:name w:val="纯文本 Char Char Char"/>
    <w:uiPriority w:val="0"/>
    <w:qFormat/>
    <w:rPr>
      <w:rFonts w:ascii="宋体" w:hAnsi="Courier New" w:eastAsia="宋体"/>
      <w:sz w:val="21"/>
      <w:lang w:val="en-US" w:eastAsia="zh-CN"/>
    </w:rPr>
  </w:style>
  <w:style w:type="character" w:styleId="959" w:customStyle="1">
    <w:name w:val="标准文本 Char"/>
    <w:uiPriority w:val="0"/>
    <w:qFormat/>
    <w:rPr>
      <w:rFonts w:eastAsia="宋体"/>
      <w:sz w:val="24"/>
      <w:lang w:val="en-US" w:eastAsia="zh-CN"/>
    </w:rPr>
  </w:style>
  <w:style w:type="character" w:styleId="960" w:customStyle="1">
    <w:name w:val="正文 + 宋体 Char"/>
    <w:uiPriority w:val="0"/>
    <w:qFormat/>
    <w:rPr>
      <w:rFonts w:eastAsia="宋体"/>
      <w:sz w:val="24"/>
      <w:lang w:val="en-US" w:eastAsia="zh-CN"/>
    </w:rPr>
  </w:style>
  <w:style w:type="character" w:styleId="961" w:customStyle="1">
    <w:name w:val="不明显参考1"/>
    <w:uiPriority w:val="0"/>
    <w:qFormat/>
    <w:rPr>
      <w:smallCaps/>
    </w:rPr>
  </w:style>
  <w:style w:type="character" w:styleId="962" w:customStyle="1">
    <w:name w:val="A2"/>
    <w:uiPriority w:val="0"/>
    <w:qFormat/>
    <w:rPr>
      <w:color w:val="000000"/>
      <w:sz w:val="18"/>
    </w:rPr>
  </w:style>
  <w:style w:type="character" w:styleId="963" w:customStyle="1">
    <w:name w:val="title_emph1"/>
    <w:uiPriority w:val="0"/>
    <w:qFormat/>
    <w:rPr>
      <w:rFonts w:ascii="Arial"/>
      <w:b/>
      <w:sz w:val="18"/>
    </w:rPr>
  </w:style>
  <w:style w:type="character" w:styleId="964" w:customStyle="1">
    <w:name w:val="Char Char13"/>
    <w:uiPriority w:val="0"/>
    <w:qFormat/>
    <w:rPr>
      <w:rFonts w:ascii="宋体" w:hAnsi="宋体" w:eastAsia="宋体"/>
      <w:sz w:val="24"/>
      <w:lang w:val="en-US" w:eastAsia="zh-CN"/>
    </w:rPr>
  </w:style>
  <w:style w:type="character" w:styleId="965" w:customStyle="1">
    <w:name w:val="listbenefit"/>
    <w:uiPriority w:val="0"/>
    <w:qFormat/>
  </w:style>
  <w:style w:type="character" w:styleId="966" w:customStyle="1">
    <w:name w:val="小四 段落 宋体 Char Char Char Char Char"/>
    <w:uiPriority w:val="0"/>
    <w:qFormat/>
    <w:rPr>
      <w:rFonts w:eastAsia="宋体"/>
      <w:sz w:val="24"/>
      <w:lang w:val="en-US" w:eastAsia="zh-CN"/>
    </w:rPr>
  </w:style>
  <w:style w:type="character" w:styleId="967" w:customStyle="1">
    <w:name w:val="标题 3 Char1"/>
    <w:uiPriority w:val="0"/>
    <w:qFormat/>
    <w:rPr>
      <w:rFonts w:eastAsia="宋体"/>
      <w:b/>
      <w:sz w:val="32"/>
      <w:lang w:val="en-US" w:eastAsia="zh-CN"/>
    </w:rPr>
  </w:style>
  <w:style w:type="character" w:styleId="968" w:customStyle="1">
    <w:name w:val="小四 段落 宋体 Char Char Char Char Char Char Char"/>
    <w:uiPriority w:val="0"/>
    <w:qFormat/>
    <w:rPr>
      <w:rFonts w:eastAsia="宋体"/>
      <w:sz w:val="24"/>
      <w:lang w:val="en-US" w:eastAsia="zh-CN"/>
    </w:rPr>
  </w:style>
  <w:style w:type="character" w:styleId="969" w:customStyle="1">
    <w:name w:val="样式 首行缩进:  2 字符 Char Char"/>
    <w:uiPriority w:val="0"/>
    <w:qFormat/>
    <w:rPr>
      <w:rFonts w:eastAsia="宋体"/>
      <w:sz w:val="24"/>
      <w:lang w:val="en-US" w:eastAsia="zh-CN"/>
    </w:rPr>
  </w:style>
  <w:style w:type="character" w:styleId="970" w:customStyle="1">
    <w:name w:val="方案文档 Char Char"/>
    <w:uiPriority w:val="0"/>
    <w:qFormat/>
    <w:rPr>
      <w:rFonts w:ascii="宋体" w:hAnsi="宋体" w:eastAsia="宋体"/>
      <w:sz w:val="24"/>
      <w:lang w:val="zh-CN" w:eastAsia="zh-CN"/>
    </w:rPr>
  </w:style>
  <w:style w:type="character" w:styleId="971" w:customStyle="1">
    <w:name w:val="纯文本 Char Char Char1"/>
    <w:uiPriority w:val="0"/>
    <w:qFormat/>
    <w:rPr>
      <w:rFonts w:ascii="宋体" w:hAnsi="Courier New" w:eastAsia="宋体"/>
      <w:sz w:val="21"/>
      <w:lang w:val="en-US" w:eastAsia="zh-CN"/>
    </w:rPr>
  </w:style>
  <w:style w:type="character" w:styleId="972" w:customStyle="1">
    <w:name w:val="Intense Quote Char"/>
    <w:link w:val="973"/>
    <w:uiPriority w:val="0"/>
    <w:qFormat/>
    <w:rPr>
      <w:rFonts w:ascii="Calibri" w:hAnsi="Calibri" w:eastAsia="宋体"/>
      <w:b/>
      <w:bCs/>
      <w:i/>
      <w:iCs/>
      <w:sz w:val="22"/>
      <w:lang w:eastAsia="en-US"/>
    </w:rPr>
  </w:style>
  <w:style w:type="paragraph" w:styleId="973" w:customStyle="1">
    <w:name w:val="明显引用1"/>
    <w:basedOn w:val="668"/>
    <w:next w:val="668"/>
    <w:link w:val="972"/>
    <w:uiPriority w:val="0"/>
    <w:qFormat/>
    <w:pPr>
      <w:ind w:left="1008" w:right="1152"/>
      <w:spacing w:before="200" w:after="280" w:line="276" w:lineRule="auto"/>
      <w:widowControl/>
      <w:pBdr>
        <w:bottom w:val="single" w:color="auto" w:sz="4" w:space="1"/>
      </w:pBdr>
    </w:pPr>
    <w:rPr>
      <w:rFonts w:ascii="Calibri" w:hAnsi="Calibri" w:cstheme="minorBidi"/>
      <w:b/>
      <w:bCs/>
      <w:i/>
      <w:iCs/>
      <w:sz w:val="22"/>
      <w:szCs w:val="22"/>
      <w:lang w:eastAsia="en-US"/>
    </w:rPr>
  </w:style>
  <w:style w:type="character" w:styleId="974" w:customStyle="1">
    <w:name w:val="content"/>
    <w:uiPriority w:val="0"/>
    <w:qFormat/>
    <w:rPr>
      <w:rFonts w:cs="Times New Roman"/>
    </w:rPr>
  </w:style>
  <w:style w:type="character" w:styleId="975" w:customStyle="1">
    <w:name w:val="标准文本 Char Char Char"/>
    <w:uiPriority w:val="0"/>
    <w:qFormat/>
    <w:rPr>
      <w:rFonts w:eastAsia="宋体"/>
      <w:sz w:val="24"/>
      <w:lang w:val="en-US" w:eastAsia="zh-CN"/>
    </w:rPr>
  </w:style>
  <w:style w:type="character" w:styleId="976" w:customStyle="1">
    <w:name w:val="纯文本 Char1"/>
    <w:uiPriority w:val="0"/>
    <w:qFormat/>
    <w:rPr>
      <w:rFonts w:ascii="宋体" w:hAnsi="Courier New"/>
      <w:sz w:val="21"/>
    </w:rPr>
  </w:style>
  <w:style w:type="character" w:styleId="977" w:customStyle="1">
    <w:name w:val="textcontents"/>
    <w:uiPriority w:val="0"/>
    <w:qFormat/>
    <w:rPr>
      <w:rFonts w:cs="Times New Roman"/>
    </w:rPr>
  </w:style>
  <w:style w:type="character" w:styleId="978" w:customStyle="1">
    <w:name w:val="明显引用 Char"/>
    <w:uiPriority w:val="0"/>
    <w:qFormat/>
    <w:rPr>
      <w:rFonts w:ascii="Calibri" w:hAnsi="Calibri" w:eastAsia="宋体"/>
      <w:b/>
      <w:i/>
      <w:sz w:val="22"/>
      <w:lang w:val="en-US" w:eastAsia="en-US"/>
    </w:rPr>
  </w:style>
  <w:style w:type="character" w:styleId="979" w:customStyle="1">
    <w:name w:val="普通文字 Char Char3"/>
    <w:uiPriority w:val="0"/>
    <w:qFormat/>
    <w:rPr>
      <w:rFonts w:ascii="宋体" w:hAnsi="Courier New" w:eastAsia="宋体"/>
      <w:sz w:val="21"/>
      <w:lang w:val="en-US" w:eastAsia="zh-CN"/>
    </w:rPr>
  </w:style>
  <w:style w:type="character" w:styleId="980" w:customStyle="1">
    <w:name w:val="ih151"/>
    <w:uiPriority w:val="0"/>
    <w:qFormat/>
    <w:rPr>
      <w:color w:val="666666"/>
      <w:sz w:val="18"/>
      <w:u w:val="none"/>
    </w:rPr>
  </w:style>
  <w:style w:type="character" w:styleId="981" w:customStyle="1">
    <w:name w:val="小四 段落 宋体 Char Char Char1"/>
    <w:uiPriority w:val="0"/>
    <w:qFormat/>
    <w:rPr>
      <w:rFonts w:ascii="宋体" w:hAnsi="宋体" w:eastAsia="宋体"/>
      <w:sz w:val="24"/>
      <w:lang w:val="en-US" w:eastAsia="zh-CN"/>
    </w:rPr>
  </w:style>
  <w:style w:type="character" w:styleId="982" w:customStyle="1">
    <w:name w:val="Quote Char"/>
    <w:link w:val="983"/>
    <w:uiPriority w:val="0"/>
    <w:qFormat/>
    <w:rPr>
      <w:rFonts w:ascii="Calibri" w:hAnsi="Calibri" w:eastAsia="宋体"/>
      <w:i/>
      <w:iCs/>
      <w:sz w:val="22"/>
      <w:lang w:eastAsia="en-US"/>
    </w:rPr>
  </w:style>
  <w:style w:type="paragraph" w:styleId="983" w:customStyle="1">
    <w:name w:val="引用1"/>
    <w:basedOn w:val="668"/>
    <w:next w:val="668"/>
    <w:link w:val="982"/>
    <w:uiPriority w:val="0"/>
    <w:qFormat/>
    <w:pPr>
      <w:ind w:left="360" w:right="360"/>
      <w:jc w:val="left"/>
      <w:spacing w:before="200" w:line="276" w:lineRule="auto"/>
      <w:widowControl/>
    </w:pPr>
    <w:rPr>
      <w:rFonts w:ascii="Calibri" w:hAnsi="Calibri" w:cstheme="minorBidi"/>
      <w:i/>
      <w:iCs/>
      <w:sz w:val="22"/>
      <w:szCs w:val="22"/>
      <w:lang w:eastAsia="en-US"/>
    </w:rPr>
  </w:style>
  <w:style w:type="character" w:styleId="984" w:customStyle="1">
    <w:name w:val="小四 段落 宋体 Char Char Char Char Char Char"/>
    <w:uiPriority w:val="0"/>
    <w:qFormat/>
    <w:rPr>
      <w:rFonts w:eastAsia="宋体"/>
      <w:sz w:val="24"/>
      <w:lang w:val="en-US" w:eastAsia="zh-CN"/>
    </w:rPr>
  </w:style>
  <w:style w:type="character" w:styleId="985" w:customStyle="1">
    <w:name w:val="样式 首行缩进:  2 字符 Char Char Char"/>
    <w:uiPriority w:val="0"/>
    <w:qFormat/>
    <w:rPr>
      <w:rFonts w:eastAsia="宋体"/>
      <w:sz w:val="24"/>
      <w:lang w:val="en-US" w:eastAsia="zh-CN"/>
    </w:rPr>
  </w:style>
  <w:style w:type="character" w:styleId="986" w:customStyle="1">
    <w:name w:val="明显强调1"/>
    <w:uiPriority w:val="0"/>
    <w:qFormat/>
    <w:rPr>
      <w:b/>
    </w:rPr>
  </w:style>
  <w:style w:type="character" w:styleId="987" w:customStyle="1">
    <w:name w:val="Char Char21"/>
    <w:uiPriority w:val="0"/>
    <w:qFormat/>
    <w:rPr>
      <w:rFonts w:ascii="Arial" w:hAnsi="Arial" w:eastAsia="黑体"/>
      <w:sz w:val="24"/>
    </w:rPr>
  </w:style>
  <w:style w:type="character" w:styleId="988" w:customStyle="1">
    <w:name w:val="Char Char31"/>
    <w:uiPriority w:val="0"/>
    <w:qFormat/>
    <w:rPr>
      <w:rFonts w:ascii="Arial" w:hAnsi="Arial" w:eastAsia="黑体"/>
      <w:b/>
      <w:sz w:val="28"/>
      <w:lang w:val="en-US" w:eastAsia="zh-CN"/>
    </w:rPr>
  </w:style>
  <w:style w:type="character" w:styleId="989" w:customStyle="1">
    <w:name w:val="Char Char12"/>
    <w:uiPriority w:val="0"/>
    <w:qFormat/>
    <w:rPr>
      <w:rFonts w:ascii="Arial" w:hAnsi="Arial" w:eastAsia="黑体"/>
      <w:sz w:val="21"/>
      <w:lang w:val="en-US" w:eastAsia="zh-CN"/>
    </w:rPr>
  </w:style>
  <w:style w:type="character" w:styleId="990" w:customStyle="1">
    <w:name w:val="标准小四 Char Char"/>
    <w:uiPriority w:val="0"/>
    <w:qFormat/>
    <w:rPr>
      <w:rFonts w:ascii="Arial" w:hAnsi="Arial" w:eastAsia="宋体"/>
      <w:sz w:val="21"/>
      <w:lang w:val="en-US" w:eastAsia="zh-CN"/>
    </w:rPr>
  </w:style>
  <w:style w:type="character" w:styleId="991" w:customStyle="1">
    <w:name w:val="Char Char2"/>
    <w:uiPriority w:val="0"/>
    <w:qFormat/>
    <w:rPr>
      <w:rFonts w:ascii="宋体" w:hAnsi="Courier New" w:eastAsia="宋体"/>
      <w:sz w:val="21"/>
      <w:lang w:val="en-US" w:eastAsia="zh-CN"/>
    </w:rPr>
  </w:style>
  <w:style w:type="character" w:styleId="992" w:customStyle="1">
    <w:name w:val="Char Char17"/>
    <w:uiPriority w:val="0"/>
    <w:qFormat/>
    <w:rPr>
      <w:rFonts w:ascii="宋体" w:hAnsi="Courier New"/>
      <w:sz w:val="21"/>
    </w:rPr>
  </w:style>
  <w:style w:type="character" w:styleId="993" w:customStyle="1">
    <w:name w:val="列出段落 Char"/>
    <w:link w:val="994"/>
    <w:uiPriority w:val="0"/>
    <w:qFormat/>
  </w:style>
  <w:style w:type="paragraph" w:styleId="994" w:customStyle="1">
    <w:name w:val="列出段落1"/>
    <w:basedOn w:val="668"/>
    <w:link w:val="993"/>
    <w:uiPriority w:val="0"/>
    <w:qFormat/>
    <w:pPr>
      <w:ind w:firstLine="200"/>
    </w:pPr>
    <w:rPr>
      <w:rFonts w:asciiTheme="minorHAnsi" w:hAnsiTheme="minorHAnsi" w:eastAsiaTheme="minorEastAsia" w:cstheme="minorBidi"/>
      <w:szCs w:val="22"/>
    </w:rPr>
  </w:style>
  <w:style w:type="character" w:styleId="995" w:customStyle="1">
    <w:name w:val="Char Char25"/>
    <w:uiPriority w:val="0"/>
    <w:qFormat/>
    <w:rPr>
      <w:rFonts w:ascii="Arial" w:hAnsi="Arial" w:eastAsia="黑体"/>
      <w:b/>
      <w:sz w:val="28"/>
    </w:rPr>
  </w:style>
  <w:style w:type="character" w:styleId="996" w:customStyle="1">
    <w:name w:val="标题 3 Char Char"/>
    <w:uiPriority w:val="0"/>
    <w:qFormat/>
    <w:rPr>
      <w:rFonts w:eastAsia="仿宋_GB2312"/>
      <w:b/>
      <w:sz w:val="32"/>
      <w:lang w:val="en-US" w:eastAsia="zh-CN"/>
    </w:rPr>
  </w:style>
  <w:style w:type="character" w:styleId="997" w:customStyle="1">
    <w:name w:val="medium_text1"/>
    <w:uiPriority w:val="0"/>
    <w:qFormat/>
    <w:rPr>
      <w:sz w:val="24"/>
    </w:rPr>
  </w:style>
  <w:style w:type="character" w:styleId="998" w:customStyle="1">
    <w:name w:val="Char Char7"/>
    <w:uiPriority w:val="0"/>
    <w:qFormat/>
    <w:rPr>
      <w:rFonts w:eastAsia="宋体"/>
      <w:b/>
      <w:sz w:val="24"/>
      <w:lang w:val="en-US" w:eastAsia="zh-CN"/>
    </w:rPr>
  </w:style>
  <w:style w:type="character" w:styleId="999" w:customStyle="1">
    <w:name w:val="小四 段落 宋体 Char Char Char Char1"/>
    <w:uiPriority w:val="0"/>
    <w:qFormat/>
    <w:rPr>
      <w:rFonts w:eastAsia="宋体"/>
      <w:sz w:val="24"/>
      <w:lang w:val="en-US" w:eastAsia="zh-CN"/>
    </w:rPr>
  </w:style>
  <w:style w:type="character" w:styleId="1000" w:customStyle="1">
    <w:name w:val="Char Char32"/>
    <w:uiPriority w:val="0"/>
    <w:qFormat/>
    <w:rPr>
      <w:rFonts w:eastAsia="宋体"/>
      <w:b/>
      <w:sz w:val="32"/>
      <w:lang w:val="en-US" w:eastAsia="zh-CN"/>
    </w:rPr>
  </w:style>
  <w:style w:type="character" w:styleId="1001" w:customStyle="1">
    <w:name w:val="纯文本 Char Char"/>
    <w:uiPriority w:val="0"/>
    <w:qFormat/>
    <w:rPr>
      <w:rFonts w:ascii="宋体" w:hAnsi="Courier New" w:eastAsia="宋体"/>
      <w:sz w:val="21"/>
      <w:lang w:val="en-US" w:eastAsia="zh-CN"/>
    </w:rPr>
  </w:style>
  <w:style w:type="character" w:styleId="1002" w:customStyle="1">
    <w:name w:val="标准小四 Char Char Char"/>
    <w:uiPriority w:val="0"/>
    <w:qFormat/>
    <w:rPr>
      <w:rFonts w:ascii="Arial" w:hAnsi="Arial" w:eastAsia="宋体"/>
      <w:sz w:val="21"/>
      <w:lang w:val="en-US" w:eastAsia="zh-CN"/>
    </w:rPr>
  </w:style>
  <w:style w:type="character" w:styleId="1003" w:customStyle="1">
    <w:name w:val="Char Char23"/>
    <w:uiPriority w:val="0"/>
    <w:qFormat/>
    <w:rPr>
      <w:rFonts w:ascii="Arial" w:hAnsi="Arial" w:eastAsia="黑体"/>
      <w:b/>
      <w:sz w:val="24"/>
    </w:rPr>
  </w:style>
  <w:style w:type="character" w:styleId="1004" w:customStyle="1">
    <w:name w:val="标题 Char1"/>
    <w:uiPriority w:val="0"/>
    <w:qFormat/>
    <w:rPr>
      <w:rFonts w:ascii="Cambria" w:eastAsia="宋体"/>
      <w:b/>
      <w:sz w:val="32"/>
    </w:rPr>
  </w:style>
  <w:style w:type="character" w:styleId="1005" w:customStyle="1">
    <w:name w:val="style131"/>
    <w:uiPriority w:val="0"/>
    <w:qFormat/>
    <w:rPr>
      <w:sz w:val="18"/>
    </w:rPr>
  </w:style>
  <w:style w:type="character" w:styleId="1006" w:customStyle="1">
    <w:name w:val="Char Char27"/>
    <w:uiPriority w:val="0"/>
    <w:qFormat/>
    <w:rPr>
      <w:b/>
      <w:sz w:val="44"/>
    </w:rPr>
  </w:style>
  <w:style w:type="character" w:styleId="1007" w:customStyle="1">
    <w:name w:val="纯文本 字符"/>
    <w:uiPriority w:val="99"/>
    <w:qFormat/>
    <w:rPr>
      <w:rFonts w:ascii="宋体" w:hAnsi="Courier New" w:cs="Courier New"/>
      <w:sz w:val="21"/>
      <w:szCs w:val="21"/>
    </w:rPr>
  </w:style>
  <w:style w:type="character" w:styleId="1008" w:customStyle="1">
    <w:name w:val="小四 段落 宋体 Char Char Char Char Char Char Char Char"/>
    <w:uiPriority w:val="0"/>
    <w:qFormat/>
    <w:rPr>
      <w:rFonts w:eastAsia="宋体"/>
      <w:sz w:val="24"/>
      <w:lang w:val="en-US" w:eastAsia="zh-CN"/>
    </w:rPr>
  </w:style>
  <w:style w:type="character" w:styleId="1009" w:customStyle="1">
    <w:name w:val="Title1 Char"/>
    <w:uiPriority w:val="0"/>
    <w:qFormat/>
    <w:rPr>
      <w:rFonts w:eastAsia="宋体"/>
      <w:b/>
      <w:sz w:val="44"/>
      <w:lang w:val="en-US" w:eastAsia="zh-CN"/>
    </w:rPr>
  </w:style>
  <w:style w:type="character" w:styleId="1010" w:customStyle="1">
    <w:name w:val="华宇段落1 Char Char"/>
    <w:uiPriority w:val="0"/>
    <w:qFormat/>
    <w:rPr>
      <w:rFonts w:eastAsia="宋体"/>
      <w:sz w:val="24"/>
      <w:lang w:val="en-US" w:eastAsia="zh-CN"/>
    </w:rPr>
  </w:style>
  <w:style w:type="character" w:styleId="1011" w:customStyle="1">
    <w:name w:val="apple-converted-space"/>
    <w:uiPriority w:val="0"/>
    <w:qFormat/>
    <w:rPr>
      <w:rFonts w:cs="Times New Roman"/>
    </w:rPr>
  </w:style>
  <w:style w:type="character" w:styleId="1012" w:customStyle="1">
    <w:name w:val="Char Char34"/>
    <w:uiPriority w:val="0"/>
    <w:qFormat/>
    <w:rPr>
      <w:rFonts w:eastAsia="宋体"/>
      <w:b/>
      <w:sz w:val="44"/>
      <w:lang w:val="en-US" w:eastAsia="zh-CN"/>
    </w:rPr>
  </w:style>
  <w:style w:type="character" w:styleId="1013" w:customStyle="1">
    <w:name w:val="2nd level Char"/>
    <w:uiPriority w:val="0"/>
    <w:qFormat/>
    <w:rPr>
      <w:rFonts w:ascii="Arial" w:hAnsi="Arial" w:eastAsia="黑体"/>
      <w:b/>
      <w:sz w:val="32"/>
      <w:lang w:val="en-US" w:eastAsia="zh-CN"/>
    </w:rPr>
  </w:style>
  <w:style w:type="character" w:styleId="1014" w:customStyle="1">
    <w:name w:val="特点 Char1"/>
    <w:uiPriority w:val="0"/>
    <w:qFormat/>
    <w:rPr>
      <w:rFonts w:eastAsia="宋体"/>
      <w:sz w:val="21"/>
      <w:lang w:val="en-US" w:eastAsia="zh-CN"/>
    </w:rPr>
  </w:style>
  <w:style w:type="character" w:styleId="1015" w:customStyle="1">
    <w:name w:val="h Char Char"/>
    <w:uiPriority w:val="0"/>
    <w:qFormat/>
    <w:rPr>
      <w:rFonts w:eastAsia="宋体"/>
      <w:sz w:val="18"/>
      <w:lang w:val="en-US" w:eastAsia="zh-CN"/>
    </w:rPr>
  </w:style>
  <w:style w:type="character" w:styleId="1016" w:customStyle="1">
    <w:name w:val="华宇段落1 Char Char Char Char"/>
    <w:uiPriority w:val="0"/>
    <w:qFormat/>
    <w:rPr>
      <w:rFonts w:eastAsia="宋体"/>
      <w:sz w:val="24"/>
      <w:lang w:val="en-US" w:eastAsia="zh-CN"/>
    </w:rPr>
  </w:style>
  <w:style w:type="character" w:styleId="1017" w:customStyle="1">
    <w:name w:val="Char Char16"/>
    <w:uiPriority w:val="0"/>
    <w:qFormat/>
    <w:rPr>
      <w:rFonts w:ascii="Arial" w:hAnsi="Arial" w:eastAsia="黑体"/>
      <w:sz w:val="24"/>
      <w:lang w:val="en-US" w:eastAsia="zh-CN"/>
    </w:rPr>
  </w:style>
  <w:style w:type="character" w:styleId="1018" w:customStyle="1">
    <w:name w:val="引用 Char"/>
    <w:uiPriority w:val="0"/>
    <w:qFormat/>
    <w:rPr>
      <w:rFonts w:ascii="Calibri" w:hAnsi="Calibri" w:eastAsia="宋体"/>
      <w:i/>
      <w:sz w:val="22"/>
      <w:lang w:val="en-US" w:eastAsia="en-US"/>
    </w:rPr>
  </w:style>
  <w:style w:type="character" w:styleId="1019" w:customStyle="1">
    <w:name w:val="Char Char19"/>
    <w:uiPriority w:val="0"/>
    <w:qFormat/>
    <w:rPr>
      <w:rFonts w:ascii="Arial" w:hAnsi="Arial" w:eastAsia="黑体"/>
      <w:b/>
      <w:sz w:val="24"/>
      <w:lang w:val="en-US" w:eastAsia="zh-CN"/>
    </w:rPr>
  </w:style>
  <w:style w:type="character" w:styleId="1020" w:customStyle="1">
    <w:name w:val="不明显强调1"/>
    <w:uiPriority w:val="0"/>
    <w:qFormat/>
    <w:rPr>
      <w:i/>
    </w:rPr>
  </w:style>
  <w:style w:type="character" w:styleId="1021" w:customStyle="1">
    <w:name w:val="normalfont1"/>
    <w:uiPriority w:val="0"/>
    <w:qFormat/>
    <w:rPr>
      <w:rFonts w:ascii="??" w:hAnsi="??"/>
      <w:sz w:val="18"/>
      <w:u w:val="none"/>
    </w:rPr>
  </w:style>
  <w:style w:type="character" w:styleId="1022" w:customStyle="1">
    <w:name w:val="已访问的超链接1"/>
    <w:uiPriority w:val="0"/>
    <w:qFormat/>
    <w:rPr>
      <w:color w:val="auto"/>
      <w:u w:val="none"/>
    </w:rPr>
  </w:style>
  <w:style w:type="paragraph" w:styleId="1023" w:customStyle="1">
    <w:name w:val="Pa6"/>
    <w:basedOn w:val="668"/>
    <w:next w:val="668"/>
    <w:uiPriority w:val="0"/>
    <w:qFormat/>
    <w:pPr>
      <w:jc w:val="left"/>
      <w:spacing w:line="241" w:lineRule="atLeast"/>
    </w:pPr>
    <w:rPr>
      <w:rFonts w:ascii="HYDaHeiJ" w:eastAsia="HYDaHeiJ"/>
      <w:sz w:val="24"/>
    </w:rPr>
  </w:style>
  <w:style w:type="paragraph" w:styleId="1024" w:customStyle="1">
    <w:name w:val="一级标题"/>
    <w:basedOn w:val="668"/>
    <w:uiPriority w:val="0"/>
    <w:qFormat/>
    <w:pPr>
      <w:ind w:left="900" w:hanging="420"/>
      <w:spacing w:line="360" w:lineRule="auto"/>
      <w:tabs>
        <w:tab w:val="left" w:pos="903" w:leader="none"/>
      </w:tabs>
    </w:pPr>
    <w:rPr>
      <w:rFonts w:ascii="Arial" w:hAnsi="Arial" w:cs="Arial"/>
      <w:sz w:val="24"/>
      <w:szCs w:val="20"/>
    </w:rPr>
  </w:style>
  <w:style w:type="paragraph" w:styleId="1025" w:customStyle="1">
    <w:name w:val="_Style 1"/>
    <w:basedOn w:val="668"/>
    <w:uiPriority w:val="0"/>
    <w:qFormat/>
    <w:pPr>
      <w:ind w:firstLine="420"/>
    </w:pPr>
    <w:rPr>
      <w:rFonts w:ascii="Tahoma" w:hAnsi="Tahoma"/>
      <w:szCs w:val="22"/>
    </w:rPr>
  </w:style>
  <w:style w:type="paragraph" w:styleId="1026"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szCs w:val="20"/>
    </w:rPr>
  </w:style>
  <w:style w:type="paragraph" w:styleId="1027" w:customStyle="1">
    <w:name w:val="样式 标题 2第一章 标题 2Heading 2 HiddenHeading 2 CCBSheading 2H2h2..."/>
    <w:basedOn w:val="670"/>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28" w:customStyle="1">
    <w:name w:val="xl54"/>
    <w:basedOn w:val="66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29" w:customStyle="1">
    <w:name w:val="段"/>
    <w:uiPriority w:val="0"/>
    <w:qFormat/>
    <w:pPr>
      <w:ind w:firstLine="200"/>
      <w:jc w:val="both"/>
    </w:pPr>
    <w:rPr>
      <w:rFonts w:hint="default" w:ascii="宋体" w:hAnsi="Times New Roman" w:eastAsia="宋体" w:cs="Times New Roman"/>
      <w:sz w:val="21"/>
      <w:szCs w:val="20"/>
    </w:rPr>
  </w:style>
  <w:style w:type="paragraph" w:styleId="1030" w:customStyle="1">
    <w:name w:val="丁华正文"/>
    <w:basedOn w:val="712"/>
    <w:uiPriority w:val="0"/>
    <w:qFormat/>
    <w:pPr>
      <w:ind w:left="0" w:firstLine="510"/>
      <w:spacing w:before="0" w:after="0" w:line="360" w:lineRule="auto"/>
    </w:pPr>
    <w:rPr>
      <w:rFonts w:ascii="宋体" w:hAnsi="Arial"/>
      <w:bCs w:val="0"/>
      <w:color w:val="000000"/>
      <w:szCs w:val="16"/>
    </w:rPr>
  </w:style>
  <w:style w:type="paragraph" w:styleId="1031" w:customStyle="1">
    <w:name w:val="正文 首行缩进:  2 字符 Char"/>
    <w:basedOn w:val="668"/>
    <w:uiPriority w:val="0"/>
    <w:qFormat/>
    <w:pPr>
      <w:ind w:firstLine="480"/>
      <w:spacing w:line="360" w:lineRule="auto"/>
    </w:pPr>
    <w:rPr>
      <w:rFonts w:cs="宋体"/>
      <w:sz w:val="24"/>
      <w:szCs w:val="20"/>
    </w:rPr>
  </w:style>
  <w:style w:type="paragraph" w:styleId="1032" w:customStyle="1">
    <w:name w:val="正文 + 宋体"/>
    <w:basedOn w:val="668"/>
    <w:uiPriority w:val="0"/>
    <w:qFormat/>
    <w:pPr>
      <w:ind w:firstLine="420"/>
      <w:spacing w:line="360" w:lineRule="auto"/>
    </w:pPr>
  </w:style>
  <w:style w:type="paragraph" w:styleId="1033" w:customStyle="1">
    <w:name w:val="Body Text 211"/>
    <w:basedOn w:val="668"/>
    <w:uiPriority w:val="0"/>
    <w:qFormat/>
    <w:pPr>
      <w:ind w:left="720" w:hanging="720"/>
      <w:widowControl/>
    </w:pPr>
    <w:rPr>
      <w:sz w:val="24"/>
      <w:szCs w:val="20"/>
      <w:lang w:val="en-GB"/>
    </w:rPr>
  </w:style>
  <w:style w:type="paragraph" w:styleId="1034" w:customStyle="1">
    <w:name w:val="xl52"/>
    <w:basedOn w:val="66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35" w:customStyle="1">
    <w:name w:val="批注主题1"/>
    <w:basedOn w:val="688"/>
    <w:next w:val="688"/>
    <w:uiPriority w:val="0"/>
    <w:qFormat/>
    <w:rPr>
      <w:b/>
      <w:bCs/>
      <w:szCs w:val="24"/>
    </w:rPr>
  </w:style>
  <w:style w:type="paragraph" w:styleId="1036" w:customStyle="1">
    <w:name w:val="Char Char"/>
    <w:basedOn w:val="668"/>
    <w:uiPriority w:val="0"/>
    <w:qFormat/>
    <w:rPr>
      <w:rFonts w:ascii="Tahoma" w:hAnsi="Tahoma"/>
      <w:sz w:val="24"/>
      <w:szCs w:val="20"/>
    </w:rPr>
  </w:style>
  <w:style w:type="paragraph" w:styleId="1037" w:customStyle="1">
    <w:name w:val="xl61"/>
    <w:basedOn w:val="66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38" w:customStyle="1">
    <w:name w:val="正文文本缩进1"/>
    <w:basedOn w:val="668"/>
    <w:next w:val="1039"/>
    <w:uiPriority w:val="0"/>
    <w:qFormat/>
    <w:pPr>
      <w:ind w:left="420"/>
      <w:spacing w:after="120"/>
    </w:pPr>
  </w:style>
  <w:style w:type="paragraph" w:styleId="1039" w:customStyle="1">
    <w:name w:val="正文文本首行缩进 2"/>
    <w:basedOn w:val="1038"/>
    <w:uiPriority w:val="0"/>
    <w:qFormat/>
    <w:pPr>
      <w:ind w:left="0" w:firstLine="420"/>
      <w:spacing w:after="0" w:line="360" w:lineRule="auto"/>
    </w:pPr>
    <w:rPr>
      <w:rFonts w:ascii="宋体" w:hAnsi="宋体" w:eastAsia="宋体" w:cs="Times New Roman"/>
      <w:szCs w:val="20"/>
    </w:rPr>
  </w:style>
  <w:style w:type="paragraph" w:styleId="1040" w:customStyle="1">
    <w:name w:val="4"/>
    <w:basedOn w:val="668"/>
    <w:next w:val="712"/>
    <w:uiPriority w:val="0"/>
    <w:qFormat/>
    <w:pPr>
      <w:ind w:firstLine="420"/>
      <w:spacing w:line="360" w:lineRule="auto"/>
    </w:pPr>
    <w:rPr>
      <w:color w:val="ff0000"/>
      <w:sz w:val="24"/>
    </w:rPr>
  </w:style>
  <w:style w:type="paragraph" w:styleId="1041" w:customStyle="1">
    <w:name w:val="xl38"/>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2" w:customStyle="1">
    <w:name w:val="Char Char Char1"/>
    <w:basedOn w:val="687"/>
    <w:uiPriority w:val="0"/>
    <w:qFormat/>
    <w:pPr>
      <w:spacing w:line="436" w:lineRule="exact"/>
    </w:pPr>
  </w:style>
  <w:style w:type="paragraph" w:styleId="1043" w:customStyle="1">
    <w:name w:val="二级条标题"/>
    <w:basedOn w:val="668"/>
    <w:next w:val="1029"/>
    <w:uiPriority w:val="0"/>
    <w:qFormat/>
    <w:pPr>
      <w:ind w:hanging="420"/>
      <w:widowControl/>
      <w:tabs>
        <w:tab w:val="left" w:pos="2240" w:leader="none"/>
      </w:tabs>
      <w:outlineLvl w:val="3"/>
    </w:pPr>
    <w:rPr>
      <w:rFonts w:eastAsia="黑体"/>
      <w:szCs w:val="20"/>
    </w:rPr>
  </w:style>
  <w:style w:type="paragraph" w:styleId="1044" w:customStyle="1">
    <w:name w:val="正文 + Arial Char"/>
    <w:basedOn w:val="668"/>
    <w:uiPriority w:val="0"/>
    <w:qFormat/>
    <w:pPr>
      <w:ind w:left="315" w:hanging="315"/>
      <w:spacing w:line="300" w:lineRule="auto"/>
      <w:widowControl/>
      <w:tabs>
        <w:tab w:val="left" w:pos="315" w:leader="none"/>
      </w:tabs>
    </w:pPr>
    <w:rPr>
      <w:rFonts w:ascii="Arial" w:hAnsi="Arial" w:cs="Arial"/>
      <w:b/>
      <w:color w:val="000000"/>
      <w:szCs w:val="20"/>
    </w:rPr>
  </w:style>
  <w:style w:type="paragraph" w:styleId="1045" w:customStyle="1">
    <w:name w:val="xl60"/>
    <w:basedOn w:val="66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46" w:customStyle="1">
    <w:name w:val="xl58"/>
    <w:basedOn w:val="668"/>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47" w:customStyle="1">
    <w:name w:val="Char Char1 Char Char2 Char Char"/>
    <w:basedOn w:val="668"/>
    <w:uiPriority w:val="0"/>
    <w:qFormat/>
    <w:pPr>
      <w:jc w:val="left"/>
      <w:spacing w:after="160" w:line="240" w:lineRule="exact"/>
      <w:widowControl/>
    </w:pPr>
  </w:style>
  <w:style w:type="paragraph" w:styleId="1048" w:customStyle="1">
    <w:name w:val="样式 样式 首行缩进:  2 字符 + 行距: 1.5 倍行距"/>
    <w:basedOn w:val="668"/>
    <w:uiPriority w:val="0"/>
    <w:qFormat/>
    <w:pPr>
      <w:ind w:firstLine="470"/>
      <w:spacing w:line="360" w:lineRule="auto"/>
    </w:pPr>
    <w:rPr>
      <w:sz w:val="24"/>
      <w:szCs w:val="20"/>
    </w:rPr>
  </w:style>
  <w:style w:type="paragraph" w:styleId="1049" w:customStyle="1">
    <w:name w:val="Char1 Char Char Char1"/>
    <w:basedOn w:val="668"/>
    <w:uiPriority w:val="0"/>
    <w:qFormat/>
    <w:rPr>
      <w:rFonts w:ascii="Tahoma" w:hAnsi="Tahoma"/>
      <w:sz w:val="24"/>
      <w:szCs w:val="20"/>
    </w:rPr>
  </w:style>
  <w:style w:type="paragraph" w:styleId="1050" w:customStyle="1">
    <w:name w:val="Char Char Char Char Char Char Char Char Char"/>
    <w:basedOn w:val="668"/>
    <w:uiPriority w:val="0"/>
    <w:qFormat/>
    <w:pPr>
      <w:ind w:left="200" w:hanging="200"/>
      <w:tabs>
        <w:tab w:val="left" w:pos="360" w:leader="none"/>
      </w:tabs>
    </w:pPr>
    <w:rPr>
      <w:sz w:val="24"/>
    </w:rPr>
  </w:style>
  <w:style w:type="paragraph" w:styleId="1051" w:customStyle="1">
    <w:name w:val="Char Char Char Char Char Char Char Char Char Char Char Char Char"/>
    <w:basedOn w:val="668"/>
    <w:uiPriority w:val="0"/>
    <w:qFormat/>
    <w:pPr>
      <w:jc w:val="left"/>
      <w:spacing w:after="160" w:line="240" w:lineRule="exact"/>
      <w:widowControl/>
    </w:pPr>
  </w:style>
  <w:style w:type="paragraph" w:styleId="1052" w:customStyle="1">
    <w:name w:val="正文--wdh"/>
    <w:basedOn w:val="668"/>
    <w:uiPriority w:val="0"/>
    <w:qFormat/>
    <w:pPr>
      <w:spacing w:line="360" w:lineRule="auto"/>
    </w:pPr>
    <w:rPr>
      <w:sz w:val="24"/>
    </w:rPr>
  </w:style>
  <w:style w:type="paragraph" w:styleId="1053" w:customStyle="1">
    <w:name w:val="Char2 Char Char Char Char Char Char1"/>
    <w:basedOn w:val="668"/>
    <w:uiPriority w:val="0"/>
    <w:qFormat/>
    <w:pPr>
      <w:ind w:hanging="425"/>
      <w:keepNext/>
      <w:spacing w:before="80" w:after="80"/>
      <w:widowControl/>
      <w:tabs>
        <w:tab w:val="left" w:pos="425" w:leader="none"/>
      </w:tabs>
    </w:pPr>
    <w:rPr>
      <w:rFonts w:ascii="Arial" w:hAnsi="Arial" w:cs="Arial"/>
      <w:sz w:val="20"/>
      <w:szCs w:val="20"/>
    </w:rPr>
  </w:style>
  <w:style w:type="paragraph" w:styleId="1054" w:customStyle="1">
    <w:name w:val="Char Char1 Char Char Char Char1 Char Char Char Char Char Char"/>
    <w:basedOn w:val="668"/>
    <w:uiPriority w:val="0"/>
    <w:qFormat/>
    <w:rPr>
      <w:rFonts w:ascii="Tahoma" w:hAnsi="Tahoma"/>
      <w:sz w:val="24"/>
      <w:szCs w:val="20"/>
    </w:rPr>
  </w:style>
  <w:style w:type="paragraph" w:styleId="1055" w:customStyle="1">
    <w:name w:val="我的正文"/>
    <w:basedOn w:val="668"/>
    <w:uiPriority w:val="0"/>
    <w:qFormat/>
    <w:pPr>
      <w:ind w:firstLine="420"/>
      <w:jc w:val="left"/>
      <w:spacing w:line="360" w:lineRule="auto"/>
      <w:widowControl/>
    </w:pPr>
    <w:rPr>
      <w:rFonts w:ascii="宋体" w:hAnsi="宋体" w:cs="宋体"/>
      <w:szCs w:val="21"/>
    </w:rPr>
  </w:style>
  <w:style w:type="paragraph" w:styleId="1056" w:customStyle="1">
    <w:name w:val="zw"/>
    <w:basedOn w:val="668"/>
    <w:uiPriority w:val="0"/>
    <w:qFormat/>
    <w:pPr>
      <w:ind w:firstLine="480"/>
      <w:jc w:val="left"/>
      <w:spacing w:line="360" w:lineRule="auto"/>
      <w:widowControl/>
    </w:pPr>
    <w:rPr>
      <w:rFonts w:ascii="宋体" w:hAnsi="宋体"/>
      <w:bCs/>
      <w:sz w:val="24"/>
      <w:szCs w:val="20"/>
    </w:rPr>
  </w:style>
  <w:style w:type="paragraph" w:styleId="1057" w:customStyle="1">
    <w:name w:val="正文--表格内正文"/>
    <w:basedOn w:val="668"/>
    <w:uiPriority w:val="0"/>
    <w:qFormat/>
    <w:pPr>
      <w:jc w:val="center"/>
      <w:spacing w:line="240" w:lineRule="atLeast"/>
    </w:pPr>
    <w:rPr>
      <w:rFonts w:ascii="宋体" w:hAnsi="宋体"/>
      <w:color w:val="000000"/>
      <w:sz w:val="24"/>
    </w:rPr>
  </w:style>
  <w:style w:type="paragraph" w:styleId="1058" w:customStyle="1">
    <w:name w:val="样式2"/>
    <w:basedOn w:val="668"/>
    <w:uiPriority w:val="0"/>
    <w:qFormat/>
    <w:pPr>
      <w:ind w:left="200"/>
      <w:spacing w:line="360" w:lineRule="auto"/>
    </w:pPr>
    <w:rPr>
      <w:rFonts w:ascii="宋体" w:hAnsi="宋体"/>
      <w:b/>
      <w:sz w:val="24"/>
    </w:rPr>
  </w:style>
  <w:style w:type="paragraph" w:styleId="1059" w:customStyle="1">
    <w:name w:val="图标"/>
    <w:basedOn w:val="668"/>
    <w:next w:val="6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0" w:customStyle="1">
    <w:name w:val="xl27"/>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61" w:customStyle="1">
    <w:name w:val="Char Char Char Char Char Char Char Char Char Char Char Char Char Char Char Char Char Char Char Char Char"/>
    <w:basedOn w:val="668"/>
    <w:uiPriority w:val="0"/>
    <w:qFormat/>
    <w:rPr>
      <w:rFonts w:ascii="Tahoma" w:hAnsi="Tahoma" w:cs="Tahoma"/>
      <w:sz w:val="24"/>
      <w:szCs w:val="20"/>
    </w:rPr>
  </w:style>
  <w:style w:type="paragraph" w:styleId="1062" w:customStyle="1">
    <w:name w:val="纯文本1"/>
    <w:basedOn w:val="668"/>
    <w:uiPriority w:val="0"/>
    <w:qFormat/>
    <w:rPr>
      <w:rFonts w:ascii="宋体" w:hAnsi="宋体" w:eastAsia="楷体_GB2312" w:cs="宋体"/>
      <w:sz w:val="28"/>
      <w:szCs w:val="20"/>
    </w:rPr>
  </w:style>
  <w:style w:type="paragraph" w:styleId="1063" w:customStyle="1">
    <w:name w:val="a0"/>
    <w:basedOn w:val="668"/>
    <w:uiPriority w:val="0"/>
    <w:qFormat/>
    <w:pPr>
      <w:spacing w:before="100" w:beforeAutospacing="1" w:after="100" w:afterAutospacing="1"/>
      <w:widowControl/>
    </w:pPr>
    <w:rPr>
      <w:rFonts w:ascii="宋体" w:hAnsi="宋体" w:cs="宋体"/>
      <w:sz w:val="24"/>
    </w:rPr>
  </w:style>
  <w:style w:type="paragraph" w:styleId="1064" w:customStyle="1">
    <w:name w:val="xl36"/>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5" w:customStyle="1">
    <w:name w:val="公文正文"/>
    <w:basedOn w:val="693"/>
    <w:uiPriority w:val="0"/>
    <w:qFormat/>
    <w:pPr>
      <w:ind w:left="0" w:firstLine="200"/>
      <w:spacing w:after="0"/>
    </w:pPr>
    <w:rPr>
      <w:rFonts w:ascii="仿宋_GB2312" w:hAnsi="宋体" w:eastAsia="仿宋_GB2312"/>
      <w:sz w:val="28"/>
    </w:rPr>
  </w:style>
  <w:style w:type="paragraph" w:styleId="1066" w:customStyle="1">
    <w:name w:val="xl43"/>
    <w:basedOn w:val="6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067" w:customStyle="1">
    <w:name w:val="正文 New New New New New"/>
    <w:uiPriority w:val="0"/>
    <w:qFormat/>
    <w:pPr>
      <w:jc w:val="both"/>
      <w:widowControl w:val="off"/>
    </w:pPr>
    <w:rPr>
      <w:rFonts w:hint="default" w:ascii="Times New Roman" w:hAnsi="Times New Roman" w:eastAsia="宋体" w:cs="Times New Roman"/>
      <w:sz w:val="21"/>
      <w:szCs w:val="24"/>
    </w:rPr>
  </w:style>
  <w:style w:type="paragraph" w:styleId="1068" w:customStyle="1">
    <w:name w:val="font9"/>
    <w:basedOn w:val="668"/>
    <w:uiPriority w:val="0"/>
    <w:qFormat/>
    <w:pPr>
      <w:jc w:val="left"/>
      <w:spacing w:before="100" w:beforeAutospacing="1" w:after="100" w:afterAutospacing="1"/>
      <w:widowControl/>
    </w:pPr>
    <w:rPr>
      <w:b/>
      <w:bCs/>
      <w:sz w:val="20"/>
      <w:szCs w:val="20"/>
    </w:rPr>
  </w:style>
  <w:style w:type="paragraph" w:styleId="1069" w:customStyle="1">
    <w:name w:val="xl35"/>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070" w:customStyle="1">
    <w:name w:val="公文标题 2"/>
    <w:basedOn w:val="668"/>
    <w:next w:val="1065"/>
    <w:uiPriority w:val="0"/>
    <w:qFormat/>
    <w:pPr>
      <w:outlineLvl w:val="1"/>
    </w:pPr>
    <w:rPr>
      <w:rFonts w:ascii="仿宋_GB2312" w:hAnsi="宋体" w:eastAsia="仿宋_GB2312"/>
      <w:sz w:val="28"/>
    </w:rPr>
  </w:style>
  <w:style w:type="paragraph" w:styleId="1071" w:customStyle="1">
    <w:name w:val="大标题"/>
    <w:basedOn w:val="668"/>
    <w:next w:val="668"/>
    <w:uiPriority w:val="0"/>
    <w:qFormat/>
    <w:pPr>
      <w:ind w:hanging="420"/>
      <w:pageBreakBefore/>
      <w:spacing w:line="360" w:lineRule="auto"/>
      <w:tabs>
        <w:tab w:val="left" w:pos="420" w:leader="none"/>
      </w:tabs>
      <w:outlineLvl w:val="0"/>
    </w:pPr>
    <w:rPr>
      <w:b/>
      <w:iCs/>
      <w:sz w:val="44"/>
    </w:rPr>
  </w:style>
  <w:style w:type="paragraph" w:styleId="1072" w:customStyle="1">
    <w:name w:val="段 Char"/>
    <w:uiPriority w:val="0"/>
    <w:qFormat/>
    <w:pPr>
      <w:ind w:firstLine="200"/>
      <w:jc w:val="both"/>
    </w:pPr>
    <w:rPr>
      <w:rFonts w:hint="default" w:ascii="宋体" w:hAnsi="Times New Roman" w:eastAsia="宋体" w:cs="Times New Roman"/>
      <w:sz w:val="21"/>
      <w:szCs w:val="20"/>
    </w:rPr>
  </w:style>
  <w:style w:type="paragraph" w:styleId="1073" w:customStyle="1">
    <w:name w:val="xl45"/>
    <w:basedOn w:val="66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074" w:customStyle="1">
    <w:name w:val="正文 New"/>
    <w:uiPriority w:val="0"/>
    <w:qFormat/>
    <w:pPr>
      <w:jc w:val="both"/>
      <w:widowControl w:val="off"/>
    </w:pPr>
    <w:rPr>
      <w:rFonts w:hint="default" w:ascii="Times New Roman" w:hAnsi="Times New Roman" w:eastAsia="宋体" w:cs="Times New Roman"/>
      <w:sz w:val="21"/>
      <w:szCs w:val="20"/>
    </w:rPr>
  </w:style>
  <w:style w:type="paragraph" w:styleId="1075" w:customStyle="1">
    <w:name w:val="正文格式"/>
    <w:basedOn w:val="668"/>
    <w:uiPriority w:val="0"/>
    <w:qFormat/>
    <w:pPr>
      <w:ind w:left="178" w:right="44" w:hanging="178"/>
      <w:jc w:val="left"/>
      <w:spacing w:line="360" w:lineRule="auto"/>
      <w:widowControl/>
    </w:pPr>
    <w:rPr>
      <w:rFonts w:ascii="宋体" w:hAnsi="宋体"/>
      <w:bCs/>
      <w:szCs w:val="21"/>
    </w:rPr>
  </w:style>
  <w:style w:type="paragraph" w:styleId="1076" w:customStyle="1">
    <w:name w:val="Char1"/>
    <w:basedOn w:val="668"/>
    <w:uiPriority w:val="0"/>
    <w:qFormat/>
    <w:rPr>
      <w:rFonts w:ascii="仿宋_GB2312" w:hAnsi="宋体" w:eastAsia="仿宋_GB2312" w:cs="宋体"/>
      <w:b/>
      <w:sz w:val="32"/>
      <w:szCs w:val="32"/>
    </w:rPr>
  </w:style>
  <w:style w:type="paragraph" w:styleId="1077" w:customStyle="1">
    <w:name w:val="Char Char Char Char Char Char Char Char Char Char Char"/>
    <w:basedOn w:val="668"/>
    <w:uiPriority w:val="0"/>
    <w:qFormat/>
    <w:rPr>
      <w:rFonts w:ascii="Tahoma" w:hAnsi="Tahoma"/>
      <w:sz w:val="24"/>
      <w:szCs w:val="20"/>
    </w:rPr>
  </w:style>
  <w:style w:type="paragraph" w:styleId="1078" w:customStyle="1">
    <w:name w:val="表头_5"/>
    <w:basedOn w:val="668"/>
    <w:uiPriority w:val="0"/>
    <w:qFormat/>
    <w:pPr>
      <w:spacing w:line="360" w:lineRule="auto"/>
    </w:pPr>
    <w:rPr>
      <w:b/>
      <w:bCs/>
      <w:sz w:val="28"/>
      <w:szCs w:val="21"/>
    </w:rPr>
  </w:style>
  <w:style w:type="paragraph" w:styleId="1079" w:customStyle="1">
    <w:name w:val="默认段落字体 Para Char"/>
    <w:basedOn w:val="668"/>
    <w:uiPriority w:val="0"/>
    <w:qFormat/>
    <w:pPr>
      <w:spacing w:line="360" w:lineRule="auto"/>
    </w:pPr>
    <w:rPr>
      <w:sz w:val="24"/>
    </w:rPr>
  </w:style>
  <w:style w:type="paragraph" w:styleId="1080" w:customStyle="1">
    <w:name w:val="xl59"/>
    <w:basedOn w:val="6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81" w:customStyle="1">
    <w:name w:val="正文 首行缩进:  2 字符 Char Char"/>
    <w:basedOn w:val="668"/>
    <w:uiPriority w:val="0"/>
    <w:qFormat/>
    <w:pPr>
      <w:ind w:firstLine="480"/>
      <w:spacing w:line="360" w:lineRule="auto"/>
    </w:pPr>
    <w:rPr>
      <w:rFonts w:ascii="楷体_GB2312" w:eastAsia="楷体_GB2312"/>
      <w:bCs/>
      <w:sz w:val="24"/>
    </w:rPr>
  </w:style>
  <w:style w:type="paragraph" w:styleId="1082" w:customStyle="1">
    <w:name w:val="table_lines"/>
    <w:basedOn w:val="668"/>
    <w:uiPriority w:val="0"/>
    <w:qFormat/>
    <w:pPr>
      <w:jc w:val="left"/>
      <w:widowControl/>
    </w:pPr>
    <w:rPr>
      <w:sz w:val="20"/>
      <w:szCs w:val="20"/>
      <w:lang w:val="de-DE" w:eastAsia="de-DE"/>
    </w:rPr>
  </w:style>
  <w:style w:type="paragraph" w:styleId="1083" w:customStyle="1">
    <w:name w:val="普通正文"/>
    <w:basedOn w:val="668"/>
    <w:uiPriority w:val="0"/>
    <w:qFormat/>
    <w:pPr>
      <w:ind w:firstLine="480"/>
      <w:jc w:val="left"/>
      <w:spacing w:before="120" w:after="120" w:line="360" w:lineRule="auto"/>
    </w:pPr>
    <w:rPr>
      <w:rFonts w:ascii="Arial" w:hAnsi="Arial"/>
      <w:sz w:val="24"/>
    </w:rPr>
  </w:style>
  <w:style w:type="paragraph" w:styleId="1084" w:customStyle="1">
    <w:name w:val="标题2，章节第二层"/>
    <w:basedOn w:val="668"/>
    <w:next w:val="1075"/>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85" w:customStyle="1">
    <w:name w:val="xl56"/>
    <w:basedOn w:val="66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86" w:customStyle="1">
    <w:name w:val="1"/>
    <w:basedOn w:val="668"/>
    <w:next w:val="716"/>
    <w:uiPriority w:val="0"/>
    <w:qFormat/>
    <w:pPr>
      <w:spacing w:line="360" w:lineRule="auto"/>
    </w:pPr>
    <w:rPr>
      <w:rFonts w:eastAsia="仿宋_GB2312"/>
      <w:sz w:val="24"/>
    </w:rPr>
  </w:style>
  <w:style w:type="paragraph" w:styleId="1087" w:customStyle="1">
    <w:name w:val="方案正文"/>
    <w:basedOn w:val="668"/>
    <w:uiPriority w:val="0"/>
    <w:qFormat/>
    <w:pPr>
      <w:ind w:firstLine="359"/>
      <w:jc w:val="left"/>
      <w:spacing w:before="156" w:line="360" w:lineRule="auto"/>
    </w:pPr>
    <w:rPr>
      <w:rFonts w:ascii="Arial" w:hAnsi="Arial" w:cs="宋体"/>
      <w:sz w:val="24"/>
      <w:szCs w:val="21"/>
    </w:rPr>
  </w:style>
  <w:style w:type="paragraph" w:styleId="1088" w:customStyle="1">
    <w:name w:val="标题3"/>
    <w:basedOn w:val="671"/>
    <w:uiPriority w:val="0"/>
    <w:qFormat/>
    <w:pPr>
      <w:keepLines w:val="0"/>
      <w:keepNext w:val="0"/>
      <w:spacing w:before="0" w:after="0" w:line="360" w:lineRule="auto"/>
    </w:pPr>
    <w:rPr>
      <w:rFonts w:eastAsia="仿宋_GB2312"/>
      <w:b w:val="0"/>
      <w:sz w:val="30"/>
    </w:rPr>
  </w:style>
  <w:style w:type="paragraph" w:styleId="1089" w:customStyle="1">
    <w:name w:val="项目符号，一级"/>
    <w:basedOn w:val="1075"/>
    <w:next w:val="1075"/>
    <w:uiPriority w:val="0"/>
    <w:qFormat/>
    <w:pPr>
      <w:ind w:left="376" w:firstLine="0"/>
      <w:spacing w:line="240" w:lineRule="atLeast"/>
      <w:tabs>
        <w:tab w:val="left" w:pos="1320" w:leader="none"/>
      </w:tabs>
    </w:pPr>
    <w:rPr>
      <w:bCs w:val="0"/>
      <w:color w:val="000000"/>
      <w:szCs w:val="24"/>
    </w:rPr>
  </w:style>
  <w:style w:type="paragraph" w:styleId="1090" w:customStyle="1">
    <w:name w:val="Char Char1 Char"/>
    <w:basedOn w:val="668"/>
    <w:uiPriority w:val="0"/>
    <w:qFormat/>
    <w:pPr>
      <w:jc w:val="left"/>
      <w:spacing w:after="160" w:line="240" w:lineRule="exact"/>
      <w:widowControl/>
    </w:pPr>
    <w:rPr>
      <w:rFonts w:ascii="Verdana" w:hAnsi="Verdana"/>
      <w:sz w:val="20"/>
      <w:szCs w:val="20"/>
      <w:lang w:eastAsia="en-US"/>
    </w:rPr>
  </w:style>
  <w:style w:type="paragraph" w:styleId="1091" w:customStyle="1">
    <w:name w:val="qw"/>
    <w:uiPriority w:val="0"/>
    <w:qFormat/>
    <w:pPr>
      <w:jc w:val="both"/>
      <w:spacing w:line="312" w:lineRule="atLeast"/>
      <w:widowControl w:val="off"/>
    </w:pPr>
    <w:rPr>
      <w:rFonts w:hint="default" w:ascii="宋体" w:hAnsi="Times New Roman" w:eastAsia="宋体" w:cs="Times New Roman"/>
      <w:sz w:val="24"/>
      <w:szCs w:val="20"/>
    </w:rPr>
  </w:style>
  <w:style w:type="paragraph" w:styleId="1092" w:customStyle="1">
    <w:name w:val="Test2"/>
    <w:basedOn w:val="670"/>
    <w:uiPriority w:val="0"/>
    <w:qFormat/>
    <w:pPr>
      <w:jc w:val="center"/>
      <w:spacing w:line="480" w:lineRule="exact"/>
      <w:widowControl/>
    </w:pPr>
    <w:rPr>
      <w:rFonts w:ascii="黑体"/>
      <w:sz w:val="24"/>
      <w:szCs w:val="24"/>
    </w:rPr>
  </w:style>
  <w:style w:type="paragraph" w:styleId="1093" w:customStyle="1">
    <w:name w:val="插图"/>
    <w:basedOn w:val="668"/>
    <w:uiPriority w:val="0"/>
    <w:qFormat/>
    <w:pPr>
      <w:jc w:val="center"/>
      <w:tabs>
        <w:tab w:val="left" w:pos="1620" w:leader="none"/>
      </w:tabs>
    </w:pPr>
    <w:rPr>
      <w:bCs/>
      <w:color w:val="000000"/>
      <w:szCs w:val="22"/>
    </w:rPr>
  </w:style>
  <w:style w:type="paragraph" w:styleId="1094" w:customStyle="1">
    <w:name w:val="content_lineheight"/>
    <w:basedOn w:val="668"/>
    <w:uiPriority w:val="0"/>
    <w:qFormat/>
    <w:pPr>
      <w:jc w:val="left"/>
      <w:spacing w:before="100" w:beforeAutospacing="1" w:after="100" w:afterAutospacing="1"/>
      <w:widowControl/>
    </w:pPr>
    <w:rPr>
      <w:rFonts w:ascii="宋体" w:hAnsi="宋体"/>
      <w:sz w:val="24"/>
    </w:rPr>
  </w:style>
  <w:style w:type="paragraph" w:styleId="1095" w:customStyle="1">
    <w:name w:val="普通 (Web)"/>
    <w:basedOn w:val="668"/>
    <w:uiPriority w:val="0"/>
    <w:qFormat/>
    <w:pPr>
      <w:jc w:val="left"/>
      <w:spacing w:before="100" w:beforeAutospacing="1" w:after="100" w:afterAutospacing="1"/>
      <w:widowControl/>
    </w:pPr>
    <w:rPr>
      <w:rFonts w:ascii="宋体" w:hAnsi="宋体"/>
      <w:sz w:val="24"/>
    </w:rPr>
  </w:style>
  <w:style w:type="paragraph" w:styleId="1096" w:customStyle="1">
    <w:name w:val="Body Text(ch)"/>
    <w:basedOn w:val="668"/>
    <w:next w:val="691"/>
    <w:uiPriority w:val="0"/>
    <w:qFormat/>
    <w:pPr>
      <w:spacing w:after="120"/>
    </w:pPr>
    <w:rPr>
      <w:rFonts w:ascii="宋体" w:hAnsi="Arial"/>
      <w:bCs/>
      <w:iCs/>
    </w:rPr>
  </w:style>
  <w:style w:type="paragraph" w:styleId="1097" w:customStyle="1">
    <w:name w:val="xl55"/>
    <w:basedOn w:val="66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098" w:customStyle="1">
    <w:name w:val="Char11"/>
    <w:basedOn w:val="668"/>
    <w:uiPriority w:val="0"/>
    <w:qFormat/>
    <w:rPr>
      <w:rFonts w:ascii="仿宋_GB2312" w:eastAsia="仿宋_GB2312"/>
      <w:b/>
      <w:sz w:val="32"/>
      <w:szCs w:val="32"/>
    </w:rPr>
  </w:style>
  <w:style w:type="paragraph" w:styleId="1099" w:customStyle="1">
    <w:name w:val="正文文本 21"/>
    <w:basedOn w:val="668"/>
    <w:uiPriority w:val="0"/>
    <w:qFormat/>
    <w:pPr>
      <w:ind w:left="720" w:hanging="720"/>
      <w:widowControl/>
    </w:pPr>
    <w:rPr>
      <w:sz w:val="24"/>
      <w:szCs w:val="20"/>
      <w:lang w:val="en-GB"/>
    </w:rPr>
  </w:style>
  <w:style w:type="paragraph" w:styleId="1100" w:customStyle="1">
    <w:name w:val="xl48"/>
    <w:basedOn w:val="66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101" w:customStyle="1">
    <w:name w:val="xl39"/>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2" w:customStyle="1">
    <w:name w:val="Char2"/>
    <w:basedOn w:val="687"/>
    <w:uiPriority w:val="0"/>
    <w:qFormat/>
    <w:rPr>
      <w:rFonts w:ascii="Tahoma" w:hAnsi="Tahoma"/>
    </w:rPr>
  </w:style>
  <w:style w:type="paragraph" w:styleId="1103" w:customStyle="1">
    <w:name w:val="xl26"/>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04" w:customStyle="1">
    <w:name w:val="小四 段落 宋体"/>
    <w:basedOn w:val="683"/>
    <w:uiPriority w:val="0"/>
    <w:qFormat/>
    <w:pPr>
      <w:ind w:left="113" w:right="113" w:firstLine="425"/>
      <w:jc w:val="left"/>
      <w:spacing w:line="360" w:lineRule="auto"/>
      <w:tabs>
        <w:tab w:val="clear" w:pos="2952" w:leader="none"/>
      </w:tabs>
    </w:pPr>
    <w:rPr>
      <w:sz w:val="24"/>
    </w:rPr>
  </w:style>
  <w:style w:type="paragraph" w:styleId="1105" w:customStyle="1">
    <w:name w:val="符号与编号"/>
    <w:basedOn w:val="668"/>
    <w:uiPriority w:val="0"/>
    <w:qFormat/>
    <w:pPr>
      <w:ind w:left="900" w:hanging="420"/>
      <w:spacing w:line="400" w:lineRule="atLeast"/>
      <w:tabs>
        <w:tab w:val="left" w:pos="900" w:leader="none"/>
      </w:tabs>
    </w:pPr>
    <w:rPr>
      <w:sz w:val="24"/>
    </w:rPr>
  </w:style>
  <w:style w:type="paragraph" w:styleId="1106" w:customStyle="1">
    <w:name w:val="表格内文字"/>
    <w:basedOn w:val="668"/>
    <w:uiPriority w:val="0"/>
    <w:qFormat/>
    <w:pPr>
      <w:spacing w:line="300" w:lineRule="atLeast"/>
    </w:pPr>
    <w:rPr>
      <w:sz w:val="18"/>
    </w:rPr>
  </w:style>
  <w:style w:type="paragraph" w:styleId="1107" w:customStyle="1">
    <w:name w:val="默认段落字体 Para Char Char Char Char Char Char Char"/>
    <w:basedOn w:val="668"/>
    <w:uiPriority w:val="0"/>
    <w:qFormat/>
    <w:rPr>
      <w:rFonts w:ascii="Tahoma" w:hAnsi="Tahoma"/>
      <w:sz w:val="24"/>
      <w:szCs w:val="20"/>
    </w:rPr>
  </w:style>
  <w:style w:type="paragraph" w:styleId="1108" w:customStyle="1">
    <w:name w:val="表格"/>
    <w:basedOn w:val="668"/>
    <w:uiPriority w:val="0"/>
    <w:qFormat/>
    <w:pPr>
      <w:ind w:firstLine="21"/>
    </w:pPr>
    <w:rPr>
      <w:rFonts w:ascii="宋体" w:hAnsi="宋体" w:cs="宋体"/>
      <w:sz w:val="20"/>
      <w:szCs w:val="20"/>
    </w:rPr>
  </w:style>
  <w:style w:type="paragraph" w:styleId="1109" w:customStyle="1">
    <w:name w:val="font11"/>
    <w:basedOn w:val="668"/>
    <w:uiPriority w:val="0"/>
    <w:qFormat/>
    <w:pPr>
      <w:jc w:val="left"/>
      <w:spacing w:before="100" w:beforeAutospacing="1" w:after="100" w:afterAutospacing="1"/>
      <w:widowControl/>
    </w:pPr>
    <w:rPr>
      <w:b/>
      <w:bCs/>
      <w:sz w:val="18"/>
      <w:szCs w:val="18"/>
    </w:rPr>
  </w:style>
  <w:style w:type="paragraph" w:styleId="1110" w:customStyle="1">
    <w:name w:val="章标题"/>
    <w:next w:val="1029"/>
    <w:uiPriority w:val="0"/>
    <w:qFormat/>
    <w:pPr>
      <w:jc w:val="both"/>
      <w:outlineLvl w:val="1"/>
    </w:pPr>
    <w:rPr>
      <w:rFonts w:hint="default" w:ascii="Times New Roman" w:hAnsi="Times New Roman" w:eastAsia="黑体" w:cs="Times New Roman"/>
      <w:sz w:val="21"/>
      <w:szCs w:val="20"/>
    </w:rPr>
  </w:style>
  <w:style w:type="paragraph" w:styleId="1111" w:customStyle="1">
    <w:name w:val="a"/>
    <w:basedOn w:val="668"/>
    <w:uiPriority w:val="0"/>
    <w:qFormat/>
    <w:pPr>
      <w:spacing w:before="100" w:beforeAutospacing="1" w:after="100" w:afterAutospacing="1"/>
      <w:widowControl/>
    </w:pPr>
    <w:rPr>
      <w:rFonts w:ascii="宋体" w:hAnsi="宋体" w:cs="宋体"/>
      <w:sz w:val="24"/>
    </w:rPr>
  </w:style>
  <w:style w:type="paragraph" w:styleId="1112" w:customStyle="1">
    <w:name w:val="样式 段后: 0.5 行 左  0.75 字符"/>
    <w:basedOn w:val="668"/>
    <w:uiPriority w:val="0"/>
    <w:qFormat/>
    <w:pPr>
      <w:ind w:firstLine="420"/>
      <w:spacing w:line="360" w:lineRule="auto"/>
      <w:widowControl/>
    </w:pPr>
    <w:rPr>
      <w:rFonts w:hAnsi="Arial" w:cs="Arial"/>
      <w:szCs w:val="21"/>
    </w:rPr>
  </w:style>
  <w:style w:type="paragraph" w:styleId="1113" w:customStyle="1">
    <w:name w:val="xl49"/>
    <w:basedOn w:val="668"/>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114" w:customStyle="1">
    <w:name w:val="列表内容"/>
    <w:basedOn w:val="668"/>
    <w:next w:val="668"/>
    <w:uiPriority w:val="0"/>
    <w:qFormat/>
    <w:pPr>
      <w:ind w:left="840" w:hanging="420"/>
      <w:jc w:val="left"/>
      <w:widowControl/>
      <w:tabs>
        <w:tab w:val="left" w:pos="840" w:leader="none"/>
      </w:tabs>
    </w:pPr>
    <w:rPr>
      <w:sz w:val="18"/>
    </w:rPr>
  </w:style>
  <w:style w:type="paragraph" w:styleId="1115" w:customStyle="1">
    <w:name w:val="Char Char Char Char Char Char Char Char Char Char Char Char Char Char1"/>
    <w:basedOn w:val="668"/>
    <w:uiPriority w:val="0"/>
    <w:qFormat/>
    <w:rPr>
      <w:rFonts w:ascii="Tahoma" w:hAnsi="Tahoma" w:cs="Tahoma"/>
      <w:sz w:val="24"/>
      <w:szCs w:val="20"/>
    </w:rPr>
  </w:style>
  <w:style w:type="paragraph" w:styleId="1116" w:customStyle="1">
    <w:name w:val="马刚标题3"/>
    <w:basedOn w:val="668"/>
    <w:next w:val="66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17" w:customStyle="1">
    <w:name w:val="font7"/>
    <w:basedOn w:val="668"/>
    <w:uiPriority w:val="0"/>
    <w:qFormat/>
    <w:pPr>
      <w:jc w:val="left"/>
      <w:spacing w:before="100" w:beforeAutospacing="1" w:after="100" w:afterAutospacing="1"/>
      <w:widowControl/>
    </w:pPr>
    <w:rPr>
      <w:rFonts w:ascii="宋体" w:hAnsi="宋体"/>
      <w:b/>
      <w:bCs/>
      <w:sz w:val="24"/>
    </w:rPr>
  </w:style>
  <w:style w:type="paragraph" w:styleId="1118" w:customStyle="1">
    <w:name w:val="font6"/>
    <w:basedOn w:val="668"/>
    <w:uiPriority w:val="0"/>
    <w:qFormat/>
    <w:pPr>
      <w:jc w:val="left"/>
      <w:spacing w:before="100" w:beforeAutospacing="1" w:after="100" w:afterAutospacing="1"/>
      <w:widowControl/>
    </w:pPr>
    <w:rPr>
      <w:rFonts w:ascii="宋体" w:hAnsi="宋体" w:cs="宋体"/>
      <w:b/>
      <w:bCs/>
      <w:sz w:val="20"/>
      <w:szCs w:val="20"/>
    </w:rPr>
  </w:style>
  <w:style w:type="paragraph" w:styleId="1119" w:customStyle="1">
    <w:name w:val="Char Char Char Char Char Char Char1"/>
    <w:basedOn w:val="668"/>
    <w:uiPriority w:val="0"/>
    <w:qFormat/>
    <w:rPr>
      <w:rFonts w:ascii="Tahoma" w:hAnsi="Tahoma"/>
      <w:sz w:val="24"/>
      <w:szCs w:val="20"/>
    </w:rPr>
  </w:style>
  <w:style w:type="paragraph" w:styleId="1120" w:customStyle="1">
    <w:name w:val="正文lzq"/>
    <w:basedOn w:val="668"/>
    <w:uiPriority w:val="0"/>
    <w:qFormat/>
    <w:pPr>
      <w:ind w:firstLine="480"/>
      <w:spacing w:line="360" w:lineRule="auto"/>
    </w:pPr>
    <w:rPr>
      <w:sz w:val="24"/>
      <w:szCs w:val="20"/>
    </w:rPr>
  </w:style>
  <w:style w:type="paragraph" w:styleId="1121" w:customStyle="1">
    <w:name w:val="标题1"/>
    <w:basedOn w:val="668"/>
    <w:next w:val="6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2" w:customStyle="1">
    <w:name w:val="Char Char Char Char Char Char Char Char Char1"/>
    <w:basedOn w:val="668"/>
    <w:uiPriority w:val="0"/>
    <w:qFormat/>
    <w:pPr>
      <w:ind w:left="360" w:hanging="360"/>
      <w:tabs>
        <w:tab w:val="left" w:pos="360" w:leader="none"/>
      </w:tabs>
    </w:pPr>
    <w:rPr>
      <w:sz w:val="24"/>
    </w:rPr>
  </w:style>
  <w:style w:type="paragraph" w:styleId="1123" w:customStyle="1">
    <w:name w:val="font14"/>
    <w:basedOn w:val="668"/>
    <w:uiPriority w:val="0"/>
    <w:qFormat/>
    <w:pPr>
      <w:jc w:val="left"/>
      <w:spacing w:before="100" w:beforeAutospacing="1" w:after="100" w:afterAutospacing="1"/>
      <w:widowControl/>
    </w:pPr>
    <w:rPr>
      <w:sz w:val="36"/>
      <w:szCs w:val="36"/>
    </w:rPr>
  </w:style>
  <w:style w:type="paragraph" w:styleId="1124" w:customStyle="1">
    <w:name w:val="xl34"/>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25" w:customStyle="1">
    <w:name w:val="Default Text"/>
    <w:basedOn w:val="668"/>
    <w:uiPriority w:val="0"/>
    <w:qFormat/>
    <w:pPr>
      <w:jc w:val="left"/>
      <w:widowControl/>
    </w:pPr>
    <w:rPr>
      <w:sz w:val="24"/>
      <w:szCs w:val="20"/>
      <w:lang w:eastAsia="en-US"/>
    </w:rPr>
  </w:style>
  <w:style w:type="paragraph" w:styleId="1126" w:customStyle="1">
    <w:name w:val="样式 标题 3H3sect1.2.3BOD 0Heading 3 - oldh3l3CTLevel 3 Head..."/>
    <w:basedOn w:val="671"/>
    <w:uiPriority w:val="0"/>
    <w:qFormat/>
    <w:pPr>
      <w:jc w:val="left"/>
      <w:spacing w:line="240" w:lineRule="auto"/>
    </w:pPr>
    <w:rPr>
      <w:rFonts w:cs="宋体"/>
      <w:sz w:val="30"/>
      <w:szCs w:val="20"/>
    </w:rPr>
  </w:style>
  <w:style w:type="paragraph" w:styleId="1127" w:customStyle="1">
    <w:name w:val="xl29"/>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28" w:customStyle="1">
    <w:name w:val="列出段落2"/>
    <w:basedOn w:val="668"/>
    <w:uiPriority w:val="0"/>
    <w:qFormat/>
    <w:pPr>
      <w:ind w:left="720"/>
      <w:jc w:val="left"/>
      <w:widowControl/>
    </w:pPr>
    <w:rPr>
      <w:rFonts w:ascii="Arial" w:hAnsi="Arial" w:eastAsia="黑体" w:cs="Arial"/>
      <w:sz w:val="24"/>
      <w:lang w:eastAsia="en-US"/>
    </w:rPr>
  </w:style>
  <w:style w:type="paragraph" w:styleId="1129" w:customStyle="1">
    <w:name w:val="项目符号，二级"/>
    <w:basedOn w:val="1075"/>
    <w:next w:val="1075"/>
    <w:uiPriority w:val="0"/>
    <w:qFormat/>
    <w:pPr>
      <w:ind w:left="1337" w:right="-27" w:firstLine="480"/>
      <w:tabs>
        <w:tab w:val="left" w:pos="1211" w:leader="none"/>
        <w:tab w:val="left" w:pos="1337" w:leader="none"/>
      </w:tabs>
    </w:pPr>
    <w:rPr>
      <w:bCs w:val="0"/>
      <w:color w:val="000000"/>
      <w:sz w:val="24"/>
      <w:szCs w:val="24"/>
    </w:rPr>
  </w:style>
  <w:style w:type="paragraph" w:styleId="1130" w:customStyle="1">
    <w:name w:val="Char Char Char Char"/>
    <w:basedOn w:val="687"/>
    <w:uiPriority w:val="0"/>
    <w:qFormat/>
    <w:pPr>
      <w:spacing w:line="360" w:lineRule="auto"/>
    </w:pPr>
    <w:rPr>
      <w:rFonts w:ascii="Tahoma" w:hAnsi="Tahoma"/>
    </w:rPr>
  </w:style>
  <w:style w:type="paragraph" w:styleId="1131" w:customStyle="1">
    <w:name w:val="xl44"/>
    <w:basedOn w:val="66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32" w:customStyle="1">
    <w:name w:val="正文缩进2字符"/>
    <w:basedOn w:val="668"/>
    <w:uiPriority w:val="0"/>
    <w:qFormat/>
    <w:pPr>
      <w:ind w:firstLine="200"/>
      <w:spacing w:line="300" w:lineRule="auto"/>
    </w:pPr>
    <w:rPr>
      <w:rFonts w:ascii="仿宋_GB2312" w:eastAsia="仿宋_GB2312"/>
      <w:sz w:val="32"/>
      <w:szCs w:val="32"/>
    </w:rPr>
  </w:style>
  <w:style w:type="paragraph" w:styleId="1133" w:customStyle="1">
    <w:name w:val="Pa5"/>
    <w:basedOn w:val="668"/>
    <w:next w:val="668"/>
    <w:uiPriority w:val="0"/>
    <w:qFormat/>
    <w:pPr>
      <w:jc w:val="left"/>
      <w:spacing w:line="241" w:lineRule="atLeast"/>
    </w:pPr>
    <w:rPr>
      <w:rFonts w:ascii="HYDaHeiJ" w:eastAsia="HYDaHeiJ"/>
      <w:sz w:val="24"/>
    </w:rPr>
  </w:style>
  <w:style w:type="paragraph" w:styleId="1134" w:customStyle="1">
    <w:name w:val="Char Char110"/>
    <w:basedOn w:val="668"/>
    <w:uiPriority w:val="0"/>
    <w:qFormat/>
    <w:rPr>
      <w:rFonts w:ascii="Tahoma" w:hAnsi="Tahoma" w:cs="Tahoma"/>
      <w:sz w:val="24"/>
      <w:szCs w:val="20"/>
    </w:rPr>
  </w:style>
  <w:style w:type="paragraph" w:styleId="1135" w:customStyle="1">
    <w:name w:val="标题 4宋体"/>
    <w:basedOn w:val="672"/>
    <w:uiPriority w:val="0"/>
    <w:qFormat/>
    <w:pPr>
      <w:jc w:val="left"/>
      <w:keepLines w:val="0"/>
      <w:spacing w:before="0" w:after="0" w:line="360" w:lineRule="auto"/>
    </w:pPr>
    <w:rPr>
      <w:rFonts w:ascii="宋体" w:hAnsi="宋体" w:eastAsia="宋体"/>
      <w:bCs/>
      <w:color w:val="000000"/>
      <w:sz w:val="24"/>
    </w:rPr>
  </w:style>
  <w:style w:type="paragraph" w:styleId="1136" w:customStyle="1">
    <w:name w:val="flType"/>
    <w:basedOn w:val="1137"/>
    <w:uiPriority w:val="0"/>
    <w:qFormat/>
    <w:pPr>
      <w:spacing w:after="284"/>
    </w:pPr>
    <w:rPr>
      <w:rFonts w:eastAsia="宋体"/>
      <w:b w:val="0"/>
    </w:rPr>
  </w:style>
  <w:style w:type="paragraph" w:styleId="1137" w:customStyle="1">
    <w:name w:val="flName"/>
    <w:basedOn w:val="1138"/>
    <w:uiPriority w:val="0"/>
    <w:qFormat/>
    <w:pPr>
      <w:spacing w:before="0" w:line="113" w:lineRule="atLeast"/>
    </w:pPr>
  </w:style>
  <w:style w:type="paragraph" w:styleId="1138" w:customStyle="1">
    <w:name w:val="flNote"/>
    <w:basedOn w:val="668"/>
    <w:uiPriority w:val="0"/>
    <w:qFormat/>
    <w:pPr>
      <w:jc w:val="center"/>
      <w:spacing w:before="567" w:line="360" w:lineRule="atLeast"/>
    </w:pPr>
    <w:rPr>
      <w:rFonts w:eastAsia="黑体"/>
      <w:b/>
      <w:sz w:val="24"/>
      <w:szCs w:val="20"/>
    </w:rPr>
  </w:style>
  <w:style w:type="paragraph" w:styleId="1139" w:customStyle="1">
    <w:name w:val="标题5，章节第五层"/>
    <w:basedOn w:val="668"/>
    <w:next w:val="668"/>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40" w:customStyle="1">
    <w:name w:val="样式 首行缩进:  2 字符"/>
    <w:basedOn w:val="668"/>
    <w:uiPriority w:val="0"/>
    <w:qFormat/>
    <w:pPr>
      <w:ind w:firstLine="480"/>
      <w:spacing w:line="360" w:lineRule="auto"/>
    </w:pPr>
    <w:rPr>
      <w:rFonts w:cs="宋体"/>
      <w:sz w:val="24"/>
      <w:szCs w:val="20"/>
    </w:rPr>
  </w:style>
  <w:style w:type="paragraph" w:styleId="1141" w:customStyle="1">
    <w:name w:val="Default"/>
    <w:uiPriority w:val="0"/>
    <w:qFormat/>
    <w:pPr>
      <w:widowControl w:val="off"/>
    </w:pPr>
    <w:rPr>
      <w:rFonts w:hint="default" w:ascii="宋体" w:hAnsi="Times New Roman" w:eastAsia="宋体" w:cs="宋体"/>
      <w:color w:val="000000"/>
      <w:sz w:val="24"/>
      <w:szCs w:val="24"/>
    </w:rPr>
  </w:style>
  <w:style w:type="paragraph" w:styleId="1142" w:customStyle="1">
    <w:name w:val="小四 段落 宋体 Char Char Char Char"/>
    <w:basedOn w:val="668"/>
    <w:uiPriority w:val="0"/>
    <w:qFormat/>
    <w:pPr>
      <w:ind w:right="-33" w:firstLine="480"/>
      <w:jc w:val="left"/>
      <w:spacing w:line="360" w:lineRule="auto"/>
    </w:pPr>
    <w:rPr>
      <w:sz w:val="24"/>
    </w:rPr>
  </w:style>
  <w:style w:type="paragraph" w:styleId="1143" w:customStyle="1">
    <w:name w:val="部分1"/>
    <w:basedOn w:val="668"/>
    <w:uiPriority w:val="0"/>
    <w:qFormat/>
    <w:pPr>
      <w:jc w:val="center"/>
      <w:keepNext/>
      <w:pageBreakBefore/>
      <w:spacing w:line="360" w:lineRule="auto"/>
      <w:tabs>
        <w:tab w:val="left" w:pos="360" w:leader="none"/>
      </w:tabs>
      <w:outlineLvl w:val="0"/>
    </w:pPr>
    <w:rPr>
      <w:rFonts w:eastAsia="黑体"/>
      <w:b/>
      <w:sz w:val="36"/>
      <w:szCs w:val="20"/>
    </w:rPr>
  </w:style>
  <w:style w:type="paragraph" w:styleId="1144" w:customStyle="1">
    <w:name w:val="xl30"/>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45" w:customStyle="1">
    <w:name w:val="Char Char Char"/>
    <w:basedOn w:val="668"/>
    <w:uiPriority w:val="0"/>
    <w:qFormat/>
    <w:rPr>
      <w:rFonts w:ascii="Tahoma" w:hAnsi="Tahoma"/>
      <w:sz w:val="24"/>
      <w:szCs w:val="20"/>
    </w:rPr>
  </w:style>
  <w:style w:type="paragraph" w:styleId="1146" w:customStyle="1">
    <w:name w:val="List Paragraph1"/>
    <w:basedOn w:val="668"/>
    <w:uiPriority w:val="0"/>
    <w:qFormat/>
    <w:pPr>
      <w:ind w:left="720"/>
      <w:jc w:val="left"/>
      <w:widowControl/>
    </w:pPr>
    <w:rPr>
      <w:rFonts w:ascii="Arial" w:hAnsi="Arial" w:eastAsia="黑体"/>
      <w:sz w:val="24"/>
      <w:lang w:eastAsia="en-US"/>
    </w:rPr>
  </w:style>
  <w:style w:type="paragraph" w:styleId="1147" w:customStyle="1">
    <w:name w:val="xl57"/>
    <w:basedOn w:val="66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48" w:customStyle="1">
    <w:name w:val="普通文字"/>
    <w:basedOn w:val="668"/>
    <w:next w:val="668"/>
    <w:uiPriority w:val="0"/>
    <w:qFormat/>
    <w:rPr>
      <w:rFonts w:ascii="宋体" w:hAnsi="宋体" w:cs="宋体"/>
      <w:sz w:val="24"/>
      <w:szCs w:val="20"/>
    </w:rPr>
  </w:style>
  <w:style w:type="paragraph" w:styleId="1149" w:customStyle="1">
    <w:name w:val="table_1stline"/>
    <w:basedOn w:val="668"/>
    <w:uiPriority w:val="0"/>
    <w:qFormat/>
    <w:pPr>
      <w:jc w:val="left"/>
      <w:spacing w:before="120"/>
      <w:widowControl/>
    </w:pPr>
    <w:rPr>
      <w:bCs/>
      <w:sz w:val="20"/>
      <w:szCs w:val="20"/>
      <w:lang w:val="de-DE" w:eastAsia="de-DE"/>
    </w:rPr>
  </w:style>
  <w:style w:type="paragraph" w:styleId="1150" w:customStyle="1">
    <w:name w:val="条1"/>
    <w:basedOn w:val="668"/>
    <w:uiPriority w:val="0"/>
    <w:qFormat/>
    <w:pPr>
      <w:ind w:left="780" w:hanging="360"/>
      <w:spacing w:before="156" w:line="360" w:lineRule="auto"/>
      <w:tabs>
        <w:tab w:val="left" w:pos="780" w:leader="none"/>
      </w:tabs>
    </w:pPr>
    <w:rPr>
      <w:rFonts w:eastAsia="黑体"/>
      <w:sz w:val="24"/>
      <w:szCs w:val="20"/>
    </w:rPr>
  </w:style>
  <w:style w:type="paragraph" w:styleId="1151" w:customStyle="1">
    <w:name w:val="马刚标题4"/>
    <w:basedOn w:val="1116"/>
    <w:next w:val="668"/>
    <w:uiPriority w:val="0"/>
    <w:qFormat/>
    <w:pPr>
      <w:spacing w:before="100" w:after="40"/>
      <w:tabs>
        <w:tab w:val="clear" w:pos="567" w:leader="none"/>
        <w:tab w:val="clear" w:pos="735" w:leader="none"/>
        <w:tab w:val="left" w:pos="1050" w:leader="none"/>
      </w:tabs>
      <w:outlineLvl w:val="3"/>
    </w:pPr>
    <w:rPr>
      <w:b w:val="0"/>
    </w:rPr>
  </w:style>
  <w:style w:type="paragraph" w:styleId="1152" w:customStyle="1">
    <w:name w:val="Item List Char Char"/>
    <w:uiPriority w:val="0"/>
    <w:qFormat/>
    <w:pPr>
      <w:jc w:val="both"/>
      <w:spacing w:line="288" w:lineRule="auto"/>
    </w:pPr>
    <w:rPr>
      <w:rFonts w:hint="default" w:ascii="Arial" w:hAnsi="Arial" w:eastAsia="宋体" w:cs="Arial"/>
      <w:b/>
      <w:bCs/>
      <w:sz w:val="21"/>
      <w:szCs w:val="28"/>
    </w:rPr>
  </w:style>
  <w:style w:type="paragraph" w:styleId="1153" w:customStyle="1">
    <w:name w:val="标题3，章节第三层"/>
    <w:basedOn w:val="668"/>
    <w:next w:val="1075"/>
    <w:uiPriority w:val="0"/>
    <w:qFormat/>
    <w:pPr>
      <w:spacing w:before="78" w:line="300" w:lineRule="auto"/>
      <w:outlineLvl w:val="2"/>
    </w:pPr>
    <w:rPr>
      <w:rFonts w:ascii="Arial" w:hAnsi="Arial" w:eastAsia="华文细黑"/>
      <w:sz w:val="30"/>
    </w:rPr>
  </w:style>
  <w:style w:type="paragraph" w:styleId="1154"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sz w:val="20"/>
      <w:szCs w:val="20"/>
    </w:rPr>
  </w:style>
  <w:style w:type="paragraph" w:styleId="1155" w:customStyle="1">
    <w:name w:val="Table Text Char"/>
    <w:uiPriority w:val="0"/>
    <w:qFormat/>
    <w:pPr>
      <w:spacing w:before="80" w:after="80"/>
    </w:pPr>
    <w:rPr>
      <w:rFonts w:hint="default" w:ascii="Arial" w:hAnsi="Arial" w:eastAsia="宋体" w:cs="Arial"/>
      <w:sz w:val="18"/>
      <w:szCs w:val="28"/>
    </w:rPr>
  </w:style>
  <w:style w:type="paragraph" w:styleId="1156" w:customStyle="1">
    <w:name w:val="xl42"/>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7" w:customStyle="1">
    <w:name w:val="样式3"/>
    <w:basedOn w:val="668"/>
    <w:next w:val="668"/>
    <w:uiPriority w:val="0"/>
    <w:qFormat/>
    <w:pPr>
      <w:spacing w:line="360" w:lineRule="auto"/>
    </w:pPr>
    <w:rPr>
      <w:szCs w:val="20"/>
    </w:rPr>
  </w:style>
  <w:style w:type="paragraph" w:styleId="1158" w:customStyle="1">
    <w:name w:val="项目符号：一级"/>
    <w:basedOn w:val="1075"/>
    <w:next w:val="1075"/>
    <w:uiPriority w:val="0"/>
    <w:qFormat/>
    <w:pPr>
      <w:ind w:right="-134"/>
    </w:pPr>
    <w:rPr>
      <w:bCs w:val="0"/>
    </w:rPr>
  </w:style>
  <w:style w:type="paragraph" w:styleId="1159" w:customStyle="1">
    <w:name w:val="正文文本 New New"/>
    <w:basedOn w:val="668"/>
    <w:uiPriority w:val="0"/>
    <w:qFormat/>
    <w:pPr>
      <w:ind w:firstLine="200"/>
      <w:spacing w:before="60" w:after="60" w:line="360" w:lineRule="auto"/>
      <w:widowControl/>
    </w:pPr>
    <w:rPr>
      <w:rFonts w:eastAsia="华文楷体"/>
      <w:sz w:val="24"/>
    </w:rPr>
  </w:style>
  <w:style w:type="paragraph" w:styleId="1160" w:customStyle="1">
    <w:name w:val="Normal Indent1"/>
    <w:basedOn w:val="668"/>
    <w:uiPriority w:val="0"/>
    <w:qFormat/>
    <w:pPr>
      <w:ind w:firstLine="420"/>
    </w:pPr>
    <w:rPr>
      <w:sz w:val="20"/>
      <w:szCs w:val="20"/>
    </w:rPr>
  </w:style>
  <w:style w:type="paragraph" w:styleId="1161" w:customStyle="1">
    <w:name w:val="font5"/>
    <w:basedOn w:val="668"/>
    <w:uiPriority w:val="0"/>
    <w:qFormat/>
    <w:pPr>
      <w:jc w:val="left"/>
      <w:spacing w:before="100" w:beforeAutospacing="1" w:after="100" w:afterAutospacing="1"/>
      <w:widowControl/>
    </w:pPr>
    <w:rPr>
      <w:rFonts w:ascii="宋体" w:hAnsi="宋体" w:cs="宋体"/>
      <w:sz w:val="18"/>
      <w:szCs w:val="18"/>
    </w:rPr>
  </w:style>
  <w:style w:type="paragraph" w:styleId="1162" w:customStyle="1">
    <w:name w:val="[Normal]"/>
    <w:uiPriority w:val="0"/>
    <w:qFormat/>
    <w:rPr>
      <w:rFonts w:hint="default" w:ascii="方正仿宋简体" w:hAnsi="方正仿宋简体" w:eastAsia="方正仿宋简体" w:cs="Courier New"/>
      <w:sz w:val="24"/>
      <w:szCs w:val="22"/>
      <w:lang w:val="zh-CN"/>
    </w:rPr>
  </w:style>
  <w:style w:type="paragraph" w:styleId="1163" w:customStyle="1">
    <w:name w:val="xl28"/>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64" w:customStyle="1">
    <w:name w:val="标题1，章节第一层"/>
    <w:basedOn w:val="1075"/>
    <w:next w:val="1075"/>
    <w:uiPriority w:val="0"/>
    <w:qFormat/>
    <w:pPr>
      <w:ind w:left="482"/>
      <w:tabs>
        <w:tab w:val="left" w:pos="693" w:leader="none"/>
      </w:tabs>
      <w:outlineLvl w:val="0"/>
    </w:pPr>
    <w:rPr>
      <w:color w:val="000000"/>
      <w:sz w:val="24"/>
      <w:szCs w:val="24"/>
    </w:rPr>
  </w:style>
  <w:style w:type="paragraph" w:styleId="1165" w:customStyle="1">
    <w:name w:val="xl40"/>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66" w:customStyle="1">
    <w:name w:val="Char Char1"/>
    <w:basedOn w:val="668"/>
    <w:uiPriority w:val="0"/>
    <w:qFormat/>
    <w:rPr>
      <w:rFonts w:ascii="Tahoma" w:hAnsi="Tahoma"/>
      <w:sz w:val="24"/>
      <w:szCs w:val="20"/>
    </w:rPr>
  </w:style>
  <w:style w:type="paragraph" w:styleId="1167" w:customStyle="1">
    <w:name w:val="表格内容"/>
    <w:basedOn w:val="668"/>
    <w:uiPriority w:val="0"/>
    <w:qFormat/>
    <w:pPr>
      <w:jc w:val="center"/>
      <w:spacing w:before="60" w:line="300" w:lineRule="auto"/>
      <w:widowControl/>
    </w:pPr>
    <w:rPr>
      <w:szCs w:val="20"/>
    </w:rPr>
  </w:style>
  <w:style w:type="paragraph" w:styleId="1168" w:customStyle="1">
    <w:name w:val="标准小四"/>
    <w:basedOn w:val="668"/>
    <w:uiPriority w:val="0"/>
    <w:qFormat/>
    <w:pPr>
      <w:ind w:firstLine="480"/>
      <w:spacing w:line="360" w:lineRule="auto"/>
    </w:pPr>
    <w:rPr>
      <w:rFonts w:ascii="Arial" w:hAnsi="Arial"/>
      <w:sz w:val="24"/>
      <w:szCs w:val="21"/>
    </w:rPr>
  </w:style>
  <w:style w:type="paragraph" w:styleId="1169" w:customStyle="1">
    <w:name w:val="Char Char1 Char Char Char Char"/>
    <w:basedOn w:val="687"/>
    <w:uiPriority w:val="0"/>
    <w:qFormat/>
    <w:pPr>
      <w:ind w:left="357"/>
      <w:jc w:val="left"/>
      <w:spacing w:line="436" w:lineRule="exact"/>
      <w:outlineLvl w:val="3"/>
    </w:pPr>
    <w:rPr>
      <w:rFonts w:ascii="Tahoma" w:hAnsi="Tahoma" w:cs="Tahoma"/>
      <w:b/>
    </w:rPr>
  </w:style>
  <w:style w:type="paragraph" w:styleId="1170" w:customStyle="1">
    <w:name w:val="列出段落3"/>
    <w:basedOn w:val="668"/>
    <w:uiPriority w:val="0"/>
    <w:qFormat/>
    <w:pPr>
      <w:ind w:firstLine="420"/>
    </w:pPr>
    <w:rPr>
      <w:rFonts w:ascii="Calibri" w:hAnsi="Calibri"/>
      <w:szCs w:val="22"/>
    </w:rPr>
  </w:style>
  <w:style w:type="paragraph" w:styleId="1171" w:customStyle="1">
    <w:name w:val="符号与编号 Char"/>
    <w:basedOn w:val="668"/>
    <w:uiPriority w:val="0"/>
    <w:qFormat/>
    <w:pPr>
      <w:ind w:left="720"/>
      <w:spacing w:line="400" w:lineRule="atLeast"/>
      <w:tabs>
        <w:tab w:val="left" w:pos="720" w:leader="none"/>
      </w:tabs>
    </w:pPr>
    <w:rPr>
      <w:sz w:val="24"/>
    </w:rPr>
  </w:style>
  <w:style w:type="paragraph" w:styleId="1172" w:customStyle="1">
    <w:name w:val="批注框文本1"/>
    <w:basedOn w:val="668"/>
    <w:uiPriority w:val="0"/>
    <w:qFormat/>
    <w:rPr>
      <w:sz w:val="18"/>
      <w:szCs w:val="18"/>
    </w:rPr>
  </w:style>
  <w:style w:type="paragraph" w:styleId="1173" w:customStyle="1">
    <w:name w:val="Char1 Char Char Char"/>
    <w:basedOn w:val="668"/>
    <w:uiPriority w:val="0"/>
    <w:qFormat/>
    <w:rPr>
      <w:rFonts w:ascii="Tahoma" w:hAnsi="Tahoma" w:cs="Tahoma"/>
      <w:sz w:val="24"/>
      <w:szCs w:val="20"/>
    </w:rPr>
  </w:style>
  <w:style w:type="paragraph" w:styleId="1174" w:customStyle="1">
    <w:name w:val="样式1"/>
    <w:basedOn w:val="668"/>
    <w:uiPriority w:val="0"/>
    <w:qFormat/>
    <w:pPr>
      <w:ind w:firstLine="480"/>
      <w:spacing w:line="300" w:lineRule="auto"/>
    </w:pPr>
    <w:rPr>
      <w:sz w:val="24"/>
    </w:rPr>
  </w:style>
  <w:style w:type="paragraph" w:styleId="1175" w:customStyle="1">
    <w:name w:val="华宇段落1 Char"/>
    <w:basedOn w:val="668"/>
    <w:uiPriority w:val="0"/>
    <w:qFormat/>
    <w:pPr>
      <w:ind w:firstLine="200"/>
      <w:spacing w:line="360" w:lineRule="auto"/>
    </w:pPr>
    <w:rPr>
      <w:bCs/>
      <w:sz w:val="24"/>
    </w:rPr>
  </w:style>
  <w:style w:type="paragraph" w:styleId="1176" w:customStyle="1">
    <w:name w:val="xl32"/>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77" w:customStyle="1">
    <w:name w:val="文档正文"/>
    <w:basedOn w:val="668"/>
    <w:uiPriority w:val="0"/>
    <w:qFormat/>
    <w:pPr>
      <w:spacing w:line="360" w:lineRule="auto"/>
    </w:pPr>
    <w:rPr>
      <w:rFonts w:ascii="宋体" w:hAnsi="宋体"/>
      <w:b/>
      <w:bCs/>
    </w:rPr>
  </w:style>
  <w:style w:type="paragraph" w:styleId="1178" w:customStyle="1">
    <w:name w:val="Char"/>
    <w:basedOn w:val="668"/>
    <w:uiPriority w:val="0"/>
    <w:qFormat/>
    <w:pPr>
      <w:spacing w:line="360" w:lineRule="auto"/>
    </w:pPr>
    <w:rPr>
      <w:rFonts w:ascii="Tahoma" w:hAnsi="Tahoma"/>
      <w:sz w:val="24"/>
      <w:szCs w:val="20"/>
    </w:rPr>
  </w:style>
  <w:style w:type="paragraph" w:styleId="1179" w:customStyle="1">
    <w:name w:val="Body Text 21"/>
    <w:basedOn w:val="668"/>
    <w:uiPriority w:val="0"/>
    <w:qFormat/>
    <w:pPr>
      <w:ind w:left="720" w:hanging="720"/>
      <w:widowControl/>
    </w:pPr>
    <w:rPr>
      <w:sz w:val="24"/>
      <w:szCs w:val="20"/>
      <w:lang w:val="en-GB"/>
    </w:rPr>
  </w:style>
  <w:style w:type="paragraph" w:styleId="1180" w:customStyle="1">
    <w:name w:val="Char Char Char Char Char Char Char Char Char Char Char Char Char Char"/>
    <w:basedOn w:val="668"/>
    <w:uiPriority w:val="0"/>
    <w:qFormat/>
    <w:rPr>
      <w:rFonts w:ascii="Tahoma" w:hAnsi="Tahoma"/>
      <w:sz w:val="24"/>
      <w:szCs w:val="20"/>
    </w:rPr>
  </w:style>
  <w:style w:type="paragraph" w:styleId="1181" w:customStyle="1">
    <w:name w:val="xl53"/>
    <w:basedOn w:val="66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82" w:customStyle="1">
    <w:name w:val="默认段落字体 Para Char Char Char Char Char Char Char Char Char1 Char Char Char Char Char Char Char"/>
    <w:basedOn w:val="687"/>
    <w:uiPriority w:val="0"/>
    <w:qFormat/>
    <w:rPr>
      <w:szCs w:val="20"/>
    </w:rPr>
  </w:style>
  <w:style w:type="paragraph" w:styleId="1183" w:customStyle="1">
    <w:name w:val="p0"/>
    <w:basedOn w:val="668"/>
    <w:uiPriority w:val="0"/>
    <w:qFormat/>
    <w:pPr>
      <w:jc w:val="left"/>
      <w:spacing w:before="100" w:beforeAutospacing="1" w:after="100" w:afterAutospacing="1"/>
      <w:widowControl/>
    </w:pPr>
    <w:rPr>
      <w:rFonts w:ascii="宋体" w:hAnsi="宋体" w:cs="宋体"/>
      <w:sz w:val="24"/>
    </w:rPr>
  </w:style>
  <w:style w:type="paragraph" w:styleId="1184" w:customStyle="1">
    <w:name w:val="font12"/>
    <w:basedOn w:val="668"/>
    <w:uiPriority w:val="0"/>
    <w:qFormat/>
    <w:pPr>
      <w:jc w:val="left"/>
      <w:spacing w:before="100" w:beforeAutospacing="1" w:after="100" w:afterAutospacing="1"/>
      <w:widowControl/>
    </w:pPr>
    <w:rPr>
      <w:rFonts w:ascii="宋体" w:hAnsi="宋体" w:cs="宋体"/>
      <w:sz w:val="36"/>
      <w:szCs w:val="36"/>
    </w:rPr>
  </w:style>
  <w:style w:type="paragraph" w:styleId="1185" w:customStyle="1">
    <w:name w:val="Char Char1 Char Char Char Char Char Char Char"/>
    <w:basedOn w:val="668"/>
    <w:uiPriority w:val="0"/>
    <w:qFormat/>
    <w:rPr>
      <w:rFonts w:ascii="Tahoma" w:hAnsi="Tahoma" w:cs="Tahoma"/>
      <w:sz w:val="24"/>
      <w:szCs w:val="20"/>
    </w:rPr>
  </w:style>
  <w:style w:type="paragraph" w:styleId="1186" w:customStyle="1">
    <w:name w:val="表蕊"/>
    <w:basedOn w:val="668"/>
    <w:uiPriority w:val="0"/>
    <w:qFormat/>
    <w:pPr>
      <w:jc w:val="left"/>
      <w:spacing w:line="320" w:lineRule="atLeast"/>
    </w:pPr>
    <w:rPr>
      <w:rFonts w:eastAsia="楷体_GB2312"/>
      <w:spacing w:val="-10"/>
      <w:szCs w:val="20"/>
    </w:rPr>
  </w:style>
  <w:style w:type="paragraph" w:styleId="1187" w:customStyle="1">
    <w:name w:val="xl46"/>
    <w:basedOn w:val="66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88" w:customStyle="1">
    <w:name w:val="丁华标题2"/>
    <w:basedOn w:val="670"/>
    <w:next w:val="1030"/>
    <w:uiPriority w:val="0"/>
    <w:qFormat/>
    <w:pPr>
      <w:ind w:left="567" w:hanging="567"/>
      <w:jc w:val="left"/>
      <w:spacing w:before="120" w:after="120"/>
      <w:tabs>
        <w:tab w:val="left" w:pos="567" w:leader="none"/>
      </w:tabs>
    </w:pPr>
    <w:rPr>
      <w:color w:val="000000"/>
      <w:sz w:val="28"/>
      <w:szCs w:val="20"/>
    </w:rPr>
  </w:style>
  <w:style w:type="paragraph" w:styleId="1189" w:customStyle="1">
    <w:name w:val="正文 居中"/>
    <w:basedOn w:val="668"/>
    <w:uiPriority w:val="0"/>
    <w:qFormat/>
    <w:pPr>
      <w:jc w:val="center"/>
      <w:spacing w:line="360" w:lineRule="auto"/>
    </w:pPr>
    <w:rPr>
      <w:sz w:val="24"/>
      <w:szCs w:val="20"/>
    </w:rPr>
  </w:style>
  <w:style w:type="paragraph" w:styleId="1190" w:customStyle="1">
    <w:name w:val="Char Char1 Char1"/>
    <w:basedOn w:val="668"/>
    <w:uiPriority w:val="0"/>
    <w:qFormat/>
    <w:pPr>
      <w:jc w:val="left"/>
      <w:spacing w:after="160" w:line="240" w:lineRule="exact"/>
      <w:widowControl/>
    </w:pPr>
    <w:rPr>
      <w:rFonts w:ascii="Verdana" w:hAnsi="Verdana"/>
      <w:sz w:val="20"/>
      <w:szCs w:val="20"/>
      <w:lang w:eastAsia="en-US"/>
    </w:rPr>
  </w:style>
  <w:style w:type="paragraph" w:styleId="1191" w:customStyle="1">
    <w:name w:val="Char Char Char Char Char Char Char Char Char Char"/>
    <w:basedOn w:val="668"/>
    <w:uiPriority w:val="0"/>
    <w:qFormat/>
    <w:pPr>
      <w:spacing w:line="360" w:lineRule="auto"/>
    </w:pPr>
    <w:rPr>
      <w:sz w:val="24"/>
      <w:szCs w:val="20"/>
    </w:rPr>
  </w:style>
  <w:style w:type="paragraph" w:styleId="1192" w:customStyle="1">
    <w:name w:val="xl25"/>
    <w:basedOn w:val="668"/>
    <w:uiPriority w:val="0"/>
    <w:qFormat/>
    <w:pPr>
      <w:jc w:val="center"/>
      <w:spacing w:before="100" w:beforeAutospacing="1" w:after="100" w:afterAutospacing="1"/>
      <w:widowControl/>
      <w:pBdr>
        <w:right w:val="single" w:color="auto" w:sz="4" w:space="0"/>
      </w:pBdr>
    </w:pPr>
    <w:rPr>
      <w:szCs w:val="21"/>
    </w:rPr>
  </w:style>
  <w:style w:type="paragraph" w:styleId="1193" w:customStyle="1">
    <w:name w:val="xl24"/>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4" w:customStyle="1">
    <w:name w:val="Char Char Char Char1"/>
    <w:basedOn w:val="687"/>
    <w:uiPriority w:val="0"/>
    <w:qFormat/>
    <w:pPr>
      <w:spacing w:line="360" w:lineRule="auto"/>
    </w:pPr>
    <w:rPr>
      <w:rFonts w:ascii="Tahoma" w:hAnsi="Tahoma"/>
    </w:rPr>
  </w:style>
  <w:style w:type="paragraph" w:styleId="1195" w:customStyle="1">
    <w:name w:val="正文表标题"/>
    <w:next w:val="1029"/>
    <w:uiPriority w:val="0"/>
    <w:qFormat/>
    <w:pPr>
      <w:ind w:left="900" w:hanging="420"/>
      <w:jc w:val="center"/>
      <w:tabs>
        <w:tab w:val="left" w:pos="900" w:leader="none"/>
      </w:tabs>
    </w:pPr>
    <w:rPr>
      <w:rFonts w:hint="default" w:ascii="黑体" w:hAnsi="Times New Roman" w:eastAsia="黑体" w:cs="Times New Roman"/>
      <w:sz w:val="21"/>
      <w:szCs w:val="20"/>
    </w:rPr>
  </w:style>
  <w:style w:type="paragraph" w:styleId="1196" w:customStyle="1">
    <w:name w:val="Char Char Char Char Char"/>
    <w:basedOn w:val="668"/>
    <w:uiPriority w:val="0"/>
    <w:qFormat/>
    <w:rPr>
      <w:rFonts w:ascii="Tahoma" w:hAnsi="Tahoma"/>
      <w:sz w:val="24"/>
      <w:szCs w:val="20"/>
    </w:rPr>
  </w:style>
  <w:style w:type="paragraph" w:styleId="1197" w:customStyle="1">
    <w:name w:val="符号与编号 Char Char"/>
    <w:basedOn w:val="668"/>
    <w:uiPriority w:val="0"/>
    <w:qFormat/>
    <w:pPr>
      <w:ind w:left="839" w:hanging="419"/>
      <w:spacing w:line="400" w:lineRule="atLeast"/>
      <w:tabs>
        <w:tab w:val="left" w:pos="840" w:leader="none"/>
      </w:tabs>
    </w:pPr>
    <w:rPr>
      <w:sz w:val="24"/>
    </w:rPr>
  </w:style>
  <w:style w:type="paragraph" w:styleId="1198">
    <w:name w:val="No Spacing"/>
    <w:uiPriority w:val="0"/>
    <w:qFormat/>
    <w:rPr>
      <w:rFonts w:hint="default" w:ascii="Calibri" w:hAnsi="Calibri" w:eastAsia="宋体" w:cs="Times New Roman"/>
      <w:sz w:val="22"/>
      <w:szCs w:val="22"/>
    </w:rPr>
  </w:style>
  <w:style w:type="paragraph" w:styleId="1199" w:customStyle="1">
    <w:name w:val="Char Char Char Char Char Char Char1 Char"/>
    <w:basedOn w:val="668"/>
    <w:uiPriority w:val="0"/>
    <w:qFormat/>
    <w:rPr>
      <w:rFonts w:ascii="Tahoma" w:hAnsi="Tahoma" w:cs="Tahoma"/>
      <w:sz w:val="24"/>
      <w:szCs w:val="20"/>
    </w:rPr>
  </w:style>
  <w:style w:type="paragraph" w:styleId="1200" w:customStyle="1">
    <w:name w:val="retrait3"/>
    <w:basedOn w:val="668"/>
    <w:uiPriority w:val="0"/>
    <w:qFormat/>
    <w:pPr>
      <w:ind w:left="851"/>
      <w:jc w:val="left"/>
      <w:spacing w:before="20" w:after="20"/>
      <w:widowControl/>
    </w:pPr>
    <w:rPr>
      <w:rFonts w:ascii="Arial" w:hAnsi="Arial"/>
      <w:sz w:val="24"/>
      <w:szCs w:val="20"/>
      <w:lang w:val="en-GB"/>
    </w:rPr>
  </w:style>
  <w:style w:type="paragraph" w:styleId="1201" w:customStyle="1">
    <w:name w:val="font13"/>
    <w:basedOn w:val="668"/>
    <w:uiPriority w:val="0"/>
    <w:qFormat/>
    <w:pPr>
      <w:jc w:val="left"/>
      <w:spacing w:before="100" w:beforeAutospacing="1" w:after="100" w:afterAutospacing="1"/>
      <w:widowControl/>
    </w:pPr>
    <w:rPr>
      <w:i/>
      <w:iCs/>
      <w:sz w:val="36"/>
      <w:szCs w:val="36"/>
    </w:rPr>
  </w:style>
  <w:style w:type="paragraph" w:styleId="1202" w:customStyle="1">
    <w:name w:val="样式4 Char"/>
    <w:basedOn w:val="668"/>
    <w:uiPriority w:val="0"/>
    <w:qFormat/>
    <w:pPr>
      <w:ind w:firstLine="480"/>
      <w:jc w:val="left"/>
      <w:spacing w:line="360" w:lineRule="auto"/>
      <w:widowControl/>
    </w:pPr>
    <w:rPr>
      <w:rFonts w:cs="宋体"/>
      <w:color w:val="000000"/>
      <w:sz w:val="24"/>
    </w:rPr>
  </w:style>
  <w:style w:type="paragraph" w:styleId="1203" w:customStyle="1">
    <w:name w:val="font10"/>
    <w:basedOn w:val="668"/>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04" w:customStyle="1">
    <w:name w:val="Char Char Char Char Char Char Char Char Char Char Char Char Char Char Char Char Char Char Char Char Char Char Char"/>
    <w:basedOn w:val="668"/>
    <w:uiPriority w:val="0"/>
    <w:qFormat/>
    <w:rPr>
      <w:rFonts w:ascii="Tahoma" w:hAnsi="Tahoma"/>
      <w:sz w:val="24"/>
      <w:szCs w:val="20"/>
    </w:rPr>
  </w:style>
  <w:style w:type="paragraph" w:styleId="1205" w:customStyle="1">
    <w:name w:val="xl31"/>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206" w:customStyle="1">
    <w:name w:val="Char Char Char Char Char Char Char Char Char Char Char1 Char Char Char1"/>
    <w:basedOn w:val="668"/>
    <w:uiPriority w:val="0"/>
    <w:qFormat/>
    <w:pPr>
      <w:ind w:firstLine="200"/>
      <w:jc w:val="left"/>
    </w:pPr>
    <w:rPr>
      <w:rFonts w:ascii="Tahoma" w:hAnsi="Tahoma"/>
      <w:sz w:val="24"/>
    </w:rPr>
  </w:style>
  <w:style w:type="paragraph" w:styleId="1207" w:customStyle="1">
    <w:name w:val="标准文本"/>
    <w:basedOn w:val="668"/>
    <w:uiPriority w:val="0"/>
    <w:qFormat/>
    <w:pPr>
      <w:ind w:firstLine="480"/>
      <w:spacing w:line="360" w:lineRule="auto"/>
    </w:pPr>
    <w:rPr>
      <w:rFonts w:cs="宋体"/>
      <w:sz w:val="24"/>
    </w:rPr>
  </w:style>
  <w:style w:type="paragraph" w:styleId="1208" w:customStyle="1">
    <w:name w:val="xl63"/>
    <w:basedOn w:val="66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09" w:customStyle="1">
    <w:name w:val="小四 段落 宋体 Char Char Char"/>
    <w:basedOn w:val="683"/>
    <w:uiPriority w:val="0"/>
    <w:qFormat/>
    <w:pPr>
      <w:ind w:left="0" w:right="-33" w:firstLine="545"/>
      <w:jc w:val="left"/>
      <w:spacing w:line="360" w:lineRule="auto"/>
      <w:tabs>
        <w:tab w:val="clear" w:pos="2952" w:leader="none"/>
      </w:tabs>
    </w:pPr>
    <w:rPr>
      <w:sz w:val="24"/>
    </w:rPr>
  </w:style>
  <w:style w:type="paragraph" w:styleId="1210" w:customStyle="1">
    <w:name w:val="xl62"/>
    <w:basedOn w:val="66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11" w:customStyle="1">
    <w:name w:val="Char Char Char Char Char Char Char Char1"/>
    <w:basedOn w:val="668"/>
    <w:uiPriority w:val="0"/>
    <w:qFormat/>
    <w:pPr>
      <w:jc w:val="left"/>
      <w:spacing w:after="160" w:line="240" w:lineRule="exact"/>
      <w:widowControl/>
    </w:pPr>
    <w:rPr>
      <w:rFonts w:ascii="Verdana" w:hAnsi="Verdana"/>
      <w:sz w:val="20"/>
      <w:szCs w:val="20"/>
      <w:lang w:eastAsia="en-US"/>
    </w:rPr>
  </w:style>
  <w:style w:type="paragraph" w:styleId="1212" w:customStyle="1">
    <w:name w:val="标题4，章节第四层"/>
    <w:basedOn w:val="668"/>
    <w:next w:val="668"/>
    <w:uiPriority w:val="0"/>
    <w:qFormat/>
    <w:pPr>
      <w:spacing w:line="360" w:lineRule="auto"/>
      <w:tabs>
        <w:tab w:val="left" w:pos="0" w:leader="none"/>
      </w:tabs>
      <w:outlineLvl w:val="3"/>
    </w:pPr>
    <w:rPr>
      <w:rFonts w:ascii="宋体" w:hAnsi="宋体"/>
      <w:b/>
      <w:sz w:val="24"/>
    </w:rPr>
  </w:style>
  <w:style w:type="paragraph" w:styleId="1213" w:customStyle="1">
    <w:name w:val="小四 段落 宋体 Char Char"/>
    <w:basedOn w:val="668"/>
    <w:uiPriority w:val="0"/>
    <w:qFormat/>
    <w:pPr>
      <w:ind w:firstLine="480"/>
      <w:spacing w:line="360" w:lineRule="auto"/>
    </w:pPr>
    <w:rPr>
      <w:rFonts w:ascii="宋体" w:hAnsi="宋体"/>
      <w:sz w:val="24"/>
    </w:rPr>
  </w:style>
  <w:style w:type="paragraph" w:styleId="1214" w:customStyle="1">
    <w:name w:val="样式"/>
    <w:basedOn w:val="668"/>
    <w:uiPriority w:val="0"/>
    <w:qFormat/>
    <w:pPr>
      <w:spacing w:before="120" w:after="120" w:line="360" w:lineRule="auto"/>
    </w:pPr>
    <w:rPr>
      <w:rFonts w:ascii="宋体"/>
      <w:sz w:val="24"/>
      <w:szCs w:val="20"/>
    </w:rPr>
  </w:style>
  <w:style w:type="paragraph" w:styleId="1215" w:customStyle="1">
    <w:name w:val="xl50"/>
    <w:basedOn w:val="6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216" w:customStyle="1">
    <w:name w:val="tableau"/>
    <w:basedOn w:val="668"/>
    <w:uiPriority w:val="0"/>
    <w:qFormat/>
    <w:pPr>
      <w:jc w:val="center"/>
      <w:spacing w:before="20" w:after="20"/>
      <w:widowControl/>
    </w:pPr>
    <w:rPr>
      <w:rFonts w:ascii="Arial" w:hAnsi="Arial"/>
      <w:sz w:val="16"/>
      <w:szCs w:val="20"/>
      <w:lang w:val="en-GB" w:eastAsia="en-US"/>
    </w:rPr>
  </w:style>
  <w:style w:type="paragraph" w:styleId="1217"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rPr>
  </w:style>
  <w:style w:type="paragraph" w:styleId="1218" w:customStyle="1">
    <w:name w:val="Char Char Char Char Char Char Char Char Char Char Char Char Char Char Char Char Char Char Char Char Char1"/>
    <w:basedOn w:val="668"/>
    <w:uiPriority w:val="0"/>
    <w:qFormat/>
    <w:rPr>
      <w:rFonts w:ascii="Tahoma" w:hAnsi="Tahoma"/>
      <w:sz w:val="24"/>
      <w:szCs w:val="20"/>
    </w:rPr>
  </w:style>
  <w:style w:type="paragraph" w:styleId="1219" w:customStyle="1">
    <w:name w:val="样式 段后: 0.25 行"/>
    <w:basedOn w:val="668"/>
    <w:uiPriority w:val="0"/>
    <w:qFormat/>
    <w:pPr>
      <w:ind w:firstLine="420"/>
      <w:jc w:val="left"/>
      <w:spacing w:line="300" w:lineRule="auto"/>
      <w:widowControl/>
    </w:pPr>
    <w:rPr>
      <w:rFonts w:ascii="Arial" w:hAnsi="Arial" w:cs="宋体"/>
      <w:sz w:val="22"/>
      <w:szCs w:val="20"/>
      <w:lang w:eastAsia="en-US"/>
    </w:rPr>
  </w:style>
  <w:style w:type="paragraph" w:styleId="1220" w:customStyle="1">
    <w:name w:val="111111"/>
    <w:basedOn w:val="668"/>
    <w:uiPriority w:val="0"/>
    <w:qFormat/>
    <w:pPr>
      <w:jc w:val="center"/>
      <w:spacing w:before="120" w:after="120"/>
    </w:pPr>
    <w:rPr>
      <w:rFonts w:ascii="宋体" w:hAnsi="宋体" w:eastAsia="黑体" w:cs="宋体"/>
      <w:b/>
      <w:bCs/>
      <w:szCs w:val="21"/>
    </w:rPr>
  </w:style>
  <w:style w:type="paragraph" w:styleId="1221" w:customStyle="1">
    <w:name w:val="xl33"/>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22" w:customStyle="1">
    <w:name w:val="样式 加点正文 + 段前: 0.5 行 段后: 0.5 行1"/>
    <w:basedOn w:val="668"/>
    <w:uiPriority w:val="0"/>
    <w:qFormat/>
    <w:pPr>
      <w:ind w:left="1268" w:hanging="420"/>
      <w:spacing w:line="300" w:lineRule="auto"/>
      <w:tabs>
        <w:tab w:val="left" w:pos="1268" w:leader="none"/>
      </w:tabs>
    </w:pPr>
    <w:rPr>
      <w:sz w:val="24"/>
      <w:szCs w:val="20"/>
    </w:rPr>
  </w:style>
  <w:style w:type="paragraph" w:styleId="1223" w:customStyle="1">
    <w:name w:val="font8"/>
    <w:basedOn w:val="668"/>
    <w:uiPriority w:val="0"/>
    <w:qFormat/>
    <w:pPr>
      <w:jc w:val="left"/>
      <w:spacing w:before="100" w:beforeAutospacing="1" w:after="100" w:afterAutospacing="1"/>
      <w:widowControl/>
    </w:pPr>
    <w:rPr>
      <w:rFonts w:ascii="宋体" w:hAnsi="宋体" w:cs="宋体"/>
      <w:b/>
      <w:bCs/>
      <w:i/>
      <w:iCs/>
      <w:sz w:val="20"/>
      <w:szCs w:val="20"/>
    </w:rPr>
  </w:style>
  <w:style w:type="paragraph" w:styleId="1224" w:customStyle="1">
    <w:name w:val="Char Char Char Char Char Char Char Char Char Char Char Char Char Char Char Char Char Char Char Char Char Char Char1"/>
    <w:basedOn w:val="668"/>
    <w:uiPriority w:val="0"/>
    <w:qFormat/>
    <w:rPr>
      <w:rFonts w:ascii="Tahoma" w:hAnsi="Tahoma" w:cs="Tahoma"/>
      <w:sz w:val="24"/>
      <w:szCs w:val="20"/>
    </w:rPr>
  </w:style>
  <w:style w:type="paragraph" w:styleId="1225" w:customStyle="1">
    <w:name w:val="xl51"/>
    <w:basedOn w:val="66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26" w:customStyle="1">
    <w:name w:val="xl47"/>
    <w:basedOn w:val="6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27" w:customStyle="1">
    <w:name w:val="xl37"/>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28" w:customStyle="1">
    <w:name w:val="greytypebeni"/>
    <w:basedOn w:val="668"/>
    <w:uiPriority w:val="0"/>
    <w:qFormat/>
    <w:pPr>
      <w:jc w:val="left"/>
      <w:widowControl/>
    </w:pPr>
    <w:rPr>
      <w:rFonts w:ascii="宋体" w:hAnsi="宋体" w:cs="宋体"/>
      <w:sz w:val="24"/>
    </w:rPr>
  </w:style>
  <w:style w:type="paragraph" w:styleId="1229" w:customStyle="1">
    <w:name w:val="样式 标题 2H2h2sect 1.2Heading 2 HiddenHeading 2 CCBSheading 2..."/>
    <w:basedOn w:val="670"/>
    <w:uiPriority w:val="0"/>
    <w:qFormat/>
    <w:pPr>
      <w:ind w:left="576" w:hanging="36"/>
      <w:jc w:val="left"/>
      <w:spacing w:line="240" w:lineRule="auto"/>
      <w:tabs>
        <w:tab w:val="left" w:pos="576" w:leader="none"/>
      </w:tabs>
    </w:pPr>
    <w:rPr>
      <w:rFonts w:ascii="宋体" w:hAnsi="宋体" w:eastAsia="宋体"/>
      <w:sz w:val="28"/>
      <w:szCs w:val="20"/>
    </w:rPr>
  </w:style>
  <w:style w:type="paragraph" w:styleId="1230" w:customStyle="1">
    <w:name w:val="Char Char Char Char Char Char Char"/>
    <w:basedOn w:val="668"/>
    <w:uiPriority w:val="0"/>
    <w:qFormat/>
    <w:pPr>
      <w:jc w:val="left"/>
    </w:pPr>
    <w:rPr>
      <w:rFonts w:ascii="Tahoma" w:hAnsi="Tahoma"/>
      <w:sz w:val="24"/>
      <w:szCs w:val="20"/>
    </w:rPr>
  </w:style>
  <w:style w:type="paragraph" w:styleId="1231" w:customStyle="1">
    <w:name w:val="马刚标题1"/>
    <w:basedOn w:val="669"/>
    <w:next w:val="668"/>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32" w:customStyle="1">
    <w:name w:val="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1233" w:customStyle="1">
    <w:name w:val="小四 段落 宋体 Char"/>
    <w:basedOn w:val="683"/>
    <w:uiPriority w:val="0"/>
    <w:qFormat/>
    <w:pPr>
      <w:ind w:left="0" w:right="-33" w:firstLine="600"/>
      <w:jc w:val="left"/>
      <w:tabs>
        <w:tab w:val="clear" w:pos="2952" w:leader="none"/>
      </w:tabs>
    </w:pPr>
    <w:rPr>
      <w:rFonts w:ascii="仿宋_GB2312" w:eastAsia="仿宋_GB2312"/>
      <w:sz w:val="30"/>
      <w:szCs w:val="30"/>
    </w:rPr>
  </w:style>
  <w:style w:type="paragraph" w:styleId="1234" w:customStyle="1">
    <w:name w:val="样式 样式 标题 3H3sect1.2.3BOD 0Heading 3 - oldh3l3CTLevel 3 Head... +..."/>
    <w:basedOn w:val="668"/>
    <w:uiPriority w:val="0"/>
    <w:qFormat/>
    <w:pPr>
      <w:jc w:val="left"/>
      <w:keepLines/>
      <w:keepNext/>
      <w:outlineLvl w:val="2"/>
    </w:pPr>
    <w:rPr>
      <w:rFonts w:cs="宋体"/>
      <w:b/>
      <w:bCs/>
      <w:sz w:val="24"/>
      <w:szCs w:val="20"/>
    </w:rPr>
  </w:style>
  <w:style w:type="paragraph" w:styleId="1235" w:customStyle="1">
    <w:name w:val="xl41"/>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36" w:customStyle="1">
    <w:name w:val="Char Char Char Char Char Char Char Char Char Char Char1"/>
    <w:basedOn w:val="668"/>
    <w:uiPriority w:val="0"/>
    <w:qFormat/>
    <w:rPr>
      <w:rFonts w:ascii="Tahoma" w:hAnsi="Tahoma" w:cs="Tahoma"/>
      <w:sz w:val="24"/>
      <w:szCs w:val="20"/>
    </w:rPr>
  </w:style>
  <w:style w:type="paragraph" w:styleId="1237" w:customStyle="1">
    <w:name w:val="方案文档"/>
    <w:basedOn w:val="668"/>
    <w:uiPriority w:val="0"/>
    <w:qFormat/>
    <w:pPr>
      <w:jc w:val="center"/>
      <w:spacing w:before="60" w:after="60" w:line="360" w:lineRule="auto"/>
    </w:pPr>
    <w:rPr>
      <w:rFonts w:ascii="宋体" w:hAnsi="宋体"/>
      <w:sz w:val="24"/>
      <w:szCs w:val="20"/>
      <w:lang w:val="zh-CN"/>
    </w:rPr>
  </w:style>
  <w:style w:type="paragraph" w:styleId="1238" w:customStyle="1">
    <w:name w:val="7"/>
    <w:basedOn w:val="668"/>
    <w:next w:val="718"/>
    <w:uiPriority w:val="0"/>
    <w:qFormat/>
    <w:pPr>
      <w:jc w:val="left"/>
      <w:spacing w:before="100" w:beforeAutospacing="1" w:after="100" w:afterAutospacing="1"/>
      <w:widowControl/>
    </w:pPr>
    <w:rPr>
      <w:rFonts w:ascii="宋体" w:hAnsi="宋体"/>
      <w:sz w:val="24"/>
      <w:szCs w:val="20"/>
    </w:rPr>
  </w:style>
  <w:style w:type="paragraph" w:styleId="1239" w:customStyle="1">
    <w:name w:val="无间隔1"/>
    <w:uiPriority w:val="0"/>
    <w:qFormat/>
    <w:pPr>
      <w:jc w:val="both"/>
      <w:widowControl w:val="off"/>
    </w:pPr>
    <w:rPr>
      <w:rFonts w:hint="default" w:ascii="Calibri" w:hAnsi="Calibri" w:eastAsia="微软雅黑" w:cs="Times New Roman"/>
      <w:sz w:val="24"/>
      <w:szCs w:val="22"/>
    </w:rPr>
  </w:style>
  <w:style w:type="paragraph" w:styleId="1240" w:customStyle="1">
    <w:name w:val="样式 样式 首行缩进:  0.74 厘米 行距: 1.5 倍行距 + 段后: 0.5 行"/>
    <w:basedOn w:val="668"/>
    <w:uiPriority w:val="0"/>
    <w:qFormat/>
    <w:pPr>
      <w:ind w:firstLine="420"/>
      <w:spacing w:line="360" w:lineRule="auto"/>
    </w:pPr>
    <w:rPr>
      <w:rFonts w:ascii="楷体_GB2312" w:eastAsia="楷体_GB2312"/>
      <w:bCs/>
      <w:sz w:val="24"/>
      <w:szCs w:val="20"/>
    </w:rPr>
  </w:style>
  <w:style w:type="table" w:styleId="1241" w:customStyle="1">
    <w:name w:val="网格型3"/>
    <w:basedOn w:val="67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42" w:customStyle="1">
    <w:name w:val="网格型2"/>
    <w:basedOn w:val="67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43" w:customStyle="1">
    <w:name w:val="网格型1"/>
    <w:basedOn w:val="67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44" w:customStyle="1">
    <w:name w:val="列表段落1"/>
    <w:basedOn w:val="668"/>
    <w:uiPriority w:val="34"/>
    <w:qFormat/>
    <w:pPr>
      <w:ind w:firstLine="420"/>
    </w:pPr>
    <w:rPr>
      <w:rFonts w:ascii="Calibri" w:hAnsi="Calibri"/>
      <w:szCs w:val="22"/>
    </w:rPr>
  </w:style>
  <w:style w:type="paragraph" w:styleId="1245" w:customStyle="1">
    <w:name w:val="xl67"/>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6" w:customStyle="1">
    <w:name w:val="xl68"/>
    <w:basedOn w:val="668"/>
    <w:uiPriority w:val="0"/>
    <w:qFormat/>
    <w:pPr>
      <w:jc w:val="center"/>
      <w:spacing w:before="100" w:beforeAutospacing="1" w:after="100" w:afterAutospacing="1"/>
      <w:widowControl/>
    </w:pPr>
    <w:rPr>
      <w:rFonts w:ascii="宋体" w:hAnsi="宋体" w:cs="宋体"/>
      <w:sz w:val="24"/>
    </w:rPr>
  </w:style>
  <w:style w:type="paragraph" w:styleId="1247" w:customStyle="1">
    <w:name w:val="xl69"/>
    <w:basedOn w:val="668"/>
    <w:uiPriority w:val="0"/>
    <w:qFormat/>
    <w:pPr>
      <w:jc w:val="center"/>
      <w:spacing w:before="100" w:beforeAutospacing="1" w:after="100" w:afterAutospacing="1"/>
      <w:widowControl/>
    </w:pPr>
    <w:rPr>
      <w:rFonts w:ascii="宋体" w:hAnsi="宋体" w:cs="宋体"/>
      <w:sz w:val="24"/>
    </w:rPr>
  </w:style>
  <w:style w:type="paragraph" w:styleId="1248" w:customStyle="1">
    <w:name w:val="xl70"/>
    <w:basedOn w:val="668"/>
    <w:uiPriority w:val="0"/>
    <w:qFormat/>
    <w:pPr>
      <w:jc w:val="center"/>
      <w:spacing w:before="100" w:beforeAutospacing="1" w:after="100" w:afterAutospacing="1"/>
      <w:widowControl/>
    </w:pPr>
    <w:rPr>
      <w:rFonts w:ascii="宋体" w:hAnsi="宋体" w:cs="宋体"/>
      <w:sz w:val="24"/>
    </w:rPr>
  </w:style>
  <w:style w:type="paragraph" w:styleId="1249" w:customStyle="1">
    <w:name w:val="xl71"/>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0" w:customStyle="1">
    <w:name w:val="xl72"/>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1" w:customStyle="1">
    <w:name w:val="xl73"/>
    <w:basedOn w:val="668"/>
    <w:uiPriority w:val="0"/>
    <w:qFormat/>
    <w:pPr>
      <w:jc w:val="left"/>
      <w:spacing w:before="100" w:beforeAutospacing="1" w:after="100" w:afterAutospacing="1"/>
      <w:widowControl/>
    </w:pPr>
    <w:rPr>
      <w:rFonts w:ascii="宋体" w:hAnsi="宋体" w:cs="宋体"/>
      <w:sz w:val="24"/>
    </w:rPr>
  </w:style>
  <w:style w:type="paragraph" w:styleId="1252" w:customStyle="1">
    <w:name w:val="xl74"/>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3" w:customStyle="1">
    <w:name w:val="xl75"/>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4" w:customStyle="1">
    <w:name w:val="xl76"/>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5" w:customStyle="1">
    <w:name w:val="xl77"/>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6" w:customStyle="1">
    <w:name w:val="xl78"/>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7" w:customStyle="1">
    <w:name w:val="xl79"/>
    <w:basedOn w:val="6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8" w:customStyle="1">
    <w:name w:val="xl80"/>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9" w:customStyle="1">
    <w:name w:val="xl81"/>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0" w:customStyle="1">
    <w:name w:val="xl82"/>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character" w:styleId="1261" w:customStyle="1">
    <w:name w:val="qowt-font25"/>
    <w:basedOn w:val="678"/>
    <w:uiPriority w:val="0"/>
    <w:qFormat/>
  </w:style>
  <w:style w:type="character" w:styleId="1262" w:customStyle="1">
    <w:name w:val="qowt-font16"/>
    <w:basedOn w:val="678"/>
    <w:uiPriority w:val="0"/>
    <w:qFormat/>
  </w:style>
  <w:style w:type="character" w:styleId="1263" w:customStyle="1">
    <w:name w:val="qowt-font20"/>
    <w:basedOn w:val="678"/>
    <w:uiPriority w:val="0"/>
    <w:qFormat/>
  </w:style>
  <w:style w:type="paragraph" w:styleId="1264" w:customStyle="1">
    <w:name w:val="正文文本缩进11"/>
    <w:basedOn w:val="668"/>
    <w:next w:val="1039"/>
    <w:uiPriority w:val="0"/>
    <w:unhideWhenUsed/>
    <w:qFormat/>
    <w:pPr>
      <w:ind w:left="420"/>
      <w:spacing w:after="120"/>
    </w:pPr>
  </w:style>
  <w:style w:type="paragraph" w:styleId="1265" w:customStyle="1">
    <w:name w:val="纯文本11"/>
    <w:basedOn w:val="668"/>
    <w:uiPriority w:val="0"/>
    <w:qFormat/>
    <w:rPr>
      <w:rFonts w:ascii="宋体" w:hAnsi="Courier New" w:cs="Courier New"/>
    </w:rPr>
  </w:style>
  <w:style w:type="character" w:styleId="1266" w:customStyle="1">
    <w:name w:val="font31"/>
    <w:basedOn w:val="678"/>
    <w:uiPriority w:val="0"/>
    <w:qFormat/>
    <w:rPr>
      <w:rFonts w:hint="eastAsia" w:ascii="宋体" w:hAnsi="宋体" w:eastAsia="宋体" w:cs="宋体"/>
      <w:color w:val="000000"/>
      <w:sz w:val="21"/>
      <w:szCs w:val="21"/>
      <w:u w:val="none"/>
    </w:rPr>
  </w:style>
  <w:style w:type="character" w:styleId="1267" w:customStyle="1">
    <w:name w:val="font41"/>
    <w:basedOn w:val="678"/>
    <w:uiPriority w:val="0"/>
    <w:qFormat/>
    <w:rPr>
      <w:rFonts w:hint="default" w:ascii="Times New Roman" w:hAnsi="Times New Roman" w:cs="Times New Roman"/>
      <w:color w:val="000000"/>
      <w:sz w:val="21"/>
      <w:szCs w:val="21"/>
      <w:u w:val="none"/>
    </w:rPr>
  </w:style>
  <w:style w:type="paragraph" w:styleId="1268" w:customStyle="1">
    <w:name w:val="正文文本1"/>
    <w:basedOn w:val="668"/>
    <w:next w:val="668"/>
    <w:uiPriority w:val="0"/>
    <w:qFormat/>
    <w:rPr>
      <w:rFonts w:ascii="楷体_GB2312" w:hAnsi="Arial" w:eastAsia="楷体_GB2312" w:cs="Times New Roman"/>
      <w:sz w:val="28"/>
    </w:rPr>
  </w:style>
  <w:style w:type="table" w:styleId="1269" w:customStyle="1">
    <w:name w:val="普通表格1"/>
    <w:uiPriority w:val="0"/>
    <w:qFormat/>
    <w:rPr>
      <w:rFonts w:ascii="Times New Roman" w:hAnsi="Times New Roman" w:eastAsia="宋体" w:cs="Times New Roman"/>
    </w:rPr>
    <w:tblPr/>
  </w:style>
  <w:style w:type="paragraph" w:styleId="1270" w:customStyle="1">
    <w:name w:val="列出段落"/>
    <w:basedOn w:val="668"/>
    <w:uiPriority w:val="34"/>
    <w:qFormat/>
    <w:pPr>
      <w:ind w:firstLine="200"/>
      <w:jc w:val="both"/>
    </w:pPr>
    <w:rPr>
      <w:rFonts w:ascii="华文细黑" w:hAnsi="华文细黑" w:eastAsia="仿宋" w:cs="KNLe"/>
      <w:sz w:val="21"/>
      <w:lang w:val="en-US" w:bidi="ar-SA"/>
    </w:rPr>
  </w:style>
  <w:style w:type="paragraph" w:styleId="1271"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TableOfAuthoring"/>
    <w:basedOn w:val="668"/>
    <w:next w:val="668"/>
    <w:uiPriority w:val="0"/>
    <w:qFormat/>
    <w:pPr>
      <w:ind w:left="420"/>
      <w:jc w:val="both"/>
    </w:pPr>
  </w:style>
  <w:style w:type="paragraph" w:styleId="1274" w:customStyle="1">
    <w:name w:val="（RZM政采）正文-首行缩进2"/>
    <w:basedOn w:val="668"/>
    <w:uiPriority w:val="0"/>
    <w:qFormat/>
    <w:pPr>
      <w:ind w:firstLine="200"/>
      <w:spacing w:line="360" w:lineRule="auto"/>
    </w:pPr>
    <w:rPr>
      <w:rFonts w:ascii="宋体" w:hAnsi="宋体"/>
      <w:szCs w:val="21"/>
      <w:lang w:val="zh-CN"/>
    </w:rPr>
  </w:style>
  <w:style w:type="paragraph" w:styleId="1275" w:customStyle="1">
    <w:name w:val="RZM投标专用（正文缩进2字符）"/>
    <w:basedOn w:val="668"/>
    <w:next w:val="668"/>
    <w:uiPriority w:val="0"/>
    <w:qFormat/>
    <w:pPr>
      <w:ind w:firstLine="420"/>
    </w:pPr>
  </w:style>
  <w:style w:type="numbering" w:styleId="12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઀ჽ볐ᆕ鄠ჿჹ酐ჿǀᆗ醀ჿ䮀ᆧ醰ჿᲘჹ䳐ᆧ鍠ჿ妜ᆜռᆜ앰வᭈჹ</dc:creator>
  <cp:lastModifiedBy>李晓婉</cp:lastModifiedBy>
  <cp:revision>667</cp:revision>
  <dcterms:created xsi:type="dcterms:W3CDTF">2023-05-05T03:08:00Z</dcterms:created>
  <dcterms:modified xsi:type="dcterms:W3CDTF">2026-06-18T03:19:19Z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CDEFFD006EB14982AB27FA5B7B54FD08_13</vt:lpwstr>
  </property>
  <property fmtid="{D5CDD505-2E9C-101B-9397-08002B2CF9AE}" pid="4" name="KSOTemplateDocerSaveRecord">
    <vt:lpwstr>eyJoZGlkIjoiMTRmODhjNzJiYTE5ZDE2ZDc5ZTZhMDczZTFiY2EyZTciLCJ1c2VySWQiOiIxNDYyNzg4OTAxIn0=</vt:lpwstr>
  </property>
</Properties>
</file>