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ab/>
      </w:r>
      <w:r>
        <w:rPr>
          <w:rFonts w:hint="eastAsia" w:ascii="黑体" w:hAnsi="华文中宋" w:eastAsia="黑体"/>
          <w:bCs/>
          <w:color w:val="auto"/>
          <w:sz w:val="30"/>
          <w:szCs w:val="30"/>
          <w:highlight w:val="none"/>
        </w:rPr>
        <w:t xml:space="preserve">  采购项目编号：</w:t>
      </w:r>
      <w:bookmarkStart w:id="145" w:name="_GoBack"/>
      <w:r/>
      <w:bookmarkEnd w:id="145"/>
      <w:r>
        <w:rPr>
          <w:rFonts w:hint="eastAsia" w:ascii="黑体" w:hAnsi="华文中宋" w:eastAsia="黑体"/>
          <w:bCs/>
          <w:color w:val="auto"/>
          <w:sz w:val="30"/>
          <w:szCs w:val="30"/>
          <w:highlight w:val="none"/>
          <w:lang w:eastAsia="zh-CN"/>
        </w:rPr>
        <w:t xml:space="preserve">JSZC-320206-JZCG-G2026-0027</w:t>
      </w:r>
      <w:r/>
    </w:p>
    <w:p>
      <w:pPr>
        <w:ind w:left="4200" w:hanging="4200"/>
        <w:rPr>
          <w:rFonts w:hint="default" w:ascii="黑体" w:hAnsi="华文中宋" w:eastAsia="黑体"/>
          <w:bCs/>
          <w:color w:val="auto"/>
          <w:sz w:val="30"/>
          <w:szCs w:val="30"/>
          <w:highlight w:val="none"/>
          <w:lang w:val="en-US"/>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val="en-US" w:eastAsia="zh-CN"/>
        </w:rPr>
        <w:t xml:space="preserve">惠山区2026年度社会治安监控系统运维项目（硬件、线路）</w:t>
      </w:r>
      <w:r/>
    </w:p>
    <w:p>
      <w:pP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集中采购机构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五</w:t>
      </w:r>
      <w:r>
        <w:rPr>
          <w:rFonts w:hint="eastAsia" w:ascii="黑体" w:hAnsi="华文中宋" w:eastAsia="黑体"/>
          <w:bCs/>
          <w:color w:val="auto"/>
          <w:sz w:val="44"/>
          <w:szCs w:val="44"/>
          <w:highlight w:val="none"/>
        </w:rPr>
        <w:t xml:space="preserve">月</w:t>
      </w:r>
      <w:r/>
    </w:p>
    <w:p>
      <w:pPr>
        <w:jc w:val="center"/>
        <w:rPr>
          <w:rFonts w:ascii="黑体" w:eastAsia="黑体"/>
          <w:bCs/>
          <w:color w:val="auto"/>
          <w:sz w:val="44"/>
          <w:highlight w:val="none"/>
        </w:rPr>
      </w:pPr>
      <w:r>
        <w:rPr>
          <w:rFonts w:ascii="黑体" w:eastAsia="黑体"/>
          <w:bCs/>
          <w:color w:val="auto"/>
          <w:sz w:val="44"/>
          <w:highlight w:val="none"/>
        </w:rPr>
      </w:r>
      <w:r/>
    </w:p>
    <w:p>
      <w:pPr>
        <w:rPr>
          <w:rFonts w:ascii="华文新魏" w:eastAsia="华文新魏"/>
          <w:bCs/>
          <w:color w:val="auto"/>
          <w:sz w:val="44"/>
          <w:highlight w:val="none"/>
        </w:rPr>
      </w:pPr>
      <w:r>
        <w:rPr>
          <w:rFonts w:ascii="华文新魏" w:eastAsia="华文新魏"/>
          <w:bCs/>
          <w:color w:val="auto"/>
          <w:sz w:val="44"/>
          <w:highlight w:val="none"/>
        </w:rPr>
      </w:r>
      <w:r/>
    </w:p>
    <w:p>
      <w:pPr>
        <w:rPr>
          <w:rStyle w:val="730"/>
          <w:rFonts w:eastAsia="黑体"/>
          <w:bCs/>
          <w:color w:val="auto"/>
          <w:sz w:val="48"/>
          <w:highlight w:val="none"/>
        </w:rPr>
      </w:pPr>
      <w:r>
        <w:rPr>
          <w:rStyle w:val="730"/>
          <w:rFonts w:eastAsia="黑体"/>
          <w:bCs/>
          <w:color w:val="auto"/>
          <w:sz w:val="48"/>
          <w:highlight w:val="none"/>
        </w:rPr>
        <w:t xml:space="preserve"> </w:t>
      </w:r>
      <w:r/>
    </w:p>
    <w:p>
      <w:pPr>
        <w:jc w:val="center"/>
        <w:pageBreakBefore/>
        <w:rPr>
          <w:rStyle w:val="730"/>
          <w:rFonts w:eastAsia="黑体"/>
          <w:bCs/>
          <w:color w:val="auto"/>
          <w:sz w:val="48"/>
          <w:highlight w:val="none"/>
        </w:rPr>
      </w:pPr>
      <w:r>
        <w:rPr>
          <w:rStyle w:val="730"/>
          <w:rFonts w:hint="eastAsia" w:eastAsia="黑体"/>
          <w:bCs/>
          <w:color w:val="auto"/>
          <w:sz w:val="48"/>
          <w:highlight w:val="none"/>
        </w:rPr>
        <w:t xml:space="preserve">目</w:t>
      </w:r>
      <w:r>
        <w:rPr>
          <w:rStyle w:val="730"/>
          <w:rFonts w:eastAsia="黑体"/>
          <w:bCs/>
          <w:color w:val="auto"/>
          <w:sz w:val="48"/>
          <w:highlight w:val="none"/>
        </w:rPr>
        <w:t xml:space="preserve">     </w:t>
      </w:r>
      <w:r>
        <w:rPr>
          <w:rStyle w:val="730"/>
          <w:rFonts w:hint="eastAsia" w:eastAsia="黑体"/>
          <w:bCs/>
          <w:color w:val="auto"/>
          <w:sz w:val="48"/>
          <w:highlight w:val="none"/>
        </w:rPr>
        <w:t xml:space="preserve">录</w:t>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709"/>
        <w:ind w:firstLine="480"/>
        <w:spacing w:line="720" w:lineRule="auto"/>
        <w:tabs>
          <w:tab w:val="right" w:pos="9911" w:leader="dot"/>
        </w:tabs>
        <w:rPr>
          <w:rFonts w:ascii="宋体" w:hAnsi="宋体"/>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 TOC \o "1-1" \h \z \u </w:instrText>
      </w:r>
      <w:r>
        <w:rPr>
          <w:rFonts w:ascii="宋体" w:hAnsi="宋体"/>
          <w:bCs/>
          <w:color w:val="auto"/>
          <w:sz w:val="32"/>
          <w:szCs w:val="32"/>
          <w:highlight w:val="none"/>
        </w:rPr>
        <w:fldChar w:fldCharType="separate"/>
      </w:r>
      <w:r>
        <w:rPr>
          <w:rStyle w:val="732"/>
          <w:rFonts w:ascii="宋体" w:hAnsi="宋体"/>
          <w:color w:val="auto"/>
          <w:sz w:val="32"/>
          <w:szCs w:val="32"/>
          <w:highlight w:val="none"/>
        </w:rPr>
        <w:fldChar w:fldCharType="begin"/>
      </w:r>
      <w:r>
        <w:rPr>
          <w:rStyle w:val="732"/>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"_Toc61444671"</w:instrText>
      </w:r>
      <w:r>
        <w:rPr>
          <w:rStyle w:val="732"/>
          <w:rFonts w:ascii="宋体" w:hAnsi="宋体"/>
          <w:color w:val="auto"/>
          <w:sz w:val="32"/>
          <w:szCs w:val="32"/>
          <w:highlight w:val="none"/>
        </w:rPr>
        <w:instrText xml:space="preserve"> </w:instrText>
      </w:r>
      <w:r>
        <w:rPr>
          <w:rStyle w:val="732"/>
          <w:rFonts w:ascii="宋体" w:hAnsi="宋体"/>
          <w:color w:val="auto"/>
          <w:sz w:val="32"/>
          <w:szCs w:val="32"/>
          <w:highlight w:val="none"/>
        </w:rPr>
        <w:fldChar w:fldCharType="separate"/>
      </w:r>
      <w:r>
        <w:rPr>
          <w:rStyle w:val="732"/>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ascii="宋体" w:hAnsi="宋体"/>
          <w:color w:val="auto"/>
          <w:sz w:val="32"/>
          <w:szCs w:val="32"/>
          <w:highlight w:val="none"/>
        </w:rPr>
        <w:fldChar w:fldCharType="begin"/>
      </w:r>
      <w:r>
        <w:rPr>
          <w:rFonts w:ascii="宋体" w:hAnsi="宋体"/>
          <w:color w:val="auto"/>
          <w:sz w:val="32"/>
          <w:szCs w:val="32"/>
          <w:highlight w:val="none"/>
        </w:rPr>
        <w:instrText xml:space="preserve"> PAGEREF _Toc61444671 \h </w:instrText>
      </w:r>
      <w:r>
        <w:rPr>
          <w:rFonts w:ascii="宋体" w:hAnsi="宋体"/>
          <w:color w:val="auto"/>
          <w:sz w:val="32"/>
          <w:szCs w:val="32"/>
          <w:highlight w:val="none"/>
        </w:rPr>
        <w:fldChar w:fldCharType="separate"/>
      </w:r>
      <w:r>
        <w:rPr>
          <w:rFonts w:ascii="宋体" w:hAnsi="宋体"/>
          <w:color w:val="auto"/>
          <w:sz w:val="32"/>
          <w:szCs w:val="32"/>
          <w:highlight w:val="none"/>
        </w:rPr>
        <w:t xml:space="preserve">2</w:t>
      </w:r>
      <w:r>
        <w:rPr>
          <w:rFonts w:ascii="宋体" w:hAnsi="宋体"/>
          <w:color w:val="auto"/>
          <w:sz w:val="32"/>
          <w:szCs w:val="32"/>
          <w:highlight w:val="none"/>
        </w:rPr>
        <w:fldChar w:fldCharType="end"/>
      </w:r>
      <w:r>
        <w:rPr>
          <w:rStyle w:val="732"/>
          <w:rFonts w:ascii="宋体" w:hAnsi="宋体"/>
          <w:color w:val="auto"/>
          <w:sz w:val="32"/>
          <w:szCs w:val="32"/>
          <w:highlight w:val="none"/>
        </w:rPr>
        <w:fldChar w:fldCharType="end"/>
      </w:r>
      <w:r/>
    </w:p>
    <w:p>
      <w:pPr>
        <w:pStyle w:val="709"/>
        <w:ind w:firstLine="480"/>
        <w:spacing w:line="720" w:lineRule="auto"/>
        <w:tabs>
          <w:tab w:val="right" w:pos="9911" w:leader="dot"/>
        </w:tabs>
        <w:rPr>
          <w:rFonts w:ascii="宋体" w:hAnsi="宋体"/>
          <w:color w:val="auto"/>
          <w:sz w:val="32"/>
          <w:szCs w:val="32"/>
          <w:highlight w:val="none"/>
        </w:rPr>
      </w:pPr>
      <w:r>
        <w:rPr>
          <w:rStyle w:val="732"/>
          <w:rFonts w:ascii="宋体" w:hAnsi="宋体"/>
          <w:color w:val="auto"/>
          <w:sz w:val="32"/>
          <w:szCs w:val="32"/>
          <w:highlight w:val="none"/>
        </w:rPr>
        <w:fldChar w:fldCharType="begin"/>
      </w:r>
      <w:r>
        <w:rPr>
          <w:rStyle w:val="732"/>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"_Toc61444672"</w:instrText>
      </w:r>
      <w:r>
        <w:rPr>
          <w:rStyle w:val="732"/>
          <w:rFonts w:ascii="宋体" w:hAnsi="宋体"/>
          <w:color w:val="auto"/>
          <w:sz w:val="32"/>
          <w:szCs w:val="32"/>
          <w:highlight w:val="none"/>
        </w:rPr>
        <w:instrText xml:space="preserve"> </w:instrText>
      </w:r>
      <w:r>
        <w:rPr>
          <w:rStyle w:val="732"/>
          <w:rFonts w:ascii="宋体" w:hAnsi="宋体"/>
          <w:color w:val="auto"/>
          <w:sz w:val="32"/>
          <w:szCs w:val="32"/>
          <w:highlight w:val="none"/>
        </w:rPr>
        <w:fldChar w:fldCharType="separate"/>
      </w:r>
      <w:r>
        <w:rPr>
          <w:rStyle w:val="732"/>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rPr>
        <w:t xml:space="preserve">5</w:t>
      </w:r>
      <w:r>
        <w:rPr>
          <w:rStyle w:val="732"/>
          <w:rFonts w:ascii="宋体" w:hAnsi="宋体"/>
          <w:color w:val="auto"/>
          <w:sz w:val="32"/>
          <w:szCs w:val="32"/>
          <w:highlight w:val="none"/>
        </w:rPr>
        <w:fldChar w:fldCharType="end"/>
      </w:r>
      <w:r/>
    </w:p>
    <w:p>
      <w:pPr>
        <w:pStyle w:val="709"/>
        <w:ind w:firstLine="480"/>
        <w:spacing w:line="720" w:lineRule="auto"/>
        <w:tabs>
          <w:tab w:val="right" w:pos="9911" w:leader="dot"/>
        </w:tabs>
        <w:rPr>
          <w:rFonts w:ascii="宋体" w:hAnsi="宋体"/>
          <w:color w:val="auto"/>
          <w:sz w:val="32"/>
          <w:szCs w:val="32"/>
          <w:highlight w:val="none"/>
        </w:rPr>
      </w:pPr>
      <w:r>
        <w:rPr>
          <w:rStyle w:val="732"/>
          <w:rFonts w:ascii="宋体" w:hAnsi="宋体"/>
          <w:color w:val="auto"/>
          <w:sz w:val="32"/>
          <w:szCs w:val="32"/>
          <w:highlight w:val="none"/>
        </w:rPr>
        <w:fldChar w:fldCharType="begin"/>
      </w:r>
      <w:r>
        <w:rPr>
          <w:rStyle w:val="732"/>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"_Toc61444673"</w:instrText>
      </w:r>
      <w:r>
        <w:rPr>
          <w:rStyle w:val="732"/>
          <w:rFonts w:ascii="宋体" w:hAnsi="宋体"/>
          <w:color w:val="auto"/>
          <w:sz w:val="32"/>
          <w:szCs w:val="32"/>
          <w:highlight w:val="none"/>
        </w:rPr>
        <w:instrText xml:space="preserve"> </w:instrText>
      </w:r>
      <w:r>
        <w:rPr>
          <w:rStyle w:val="732"/>
          <w:rFonts w:ascii="宋体" w:hAnsi="宋体"/>
          <w:color w:val="auto"/>
          <w:sz w:val="32"/>
          <w:szCs w:val="32"/>
          <w:highlight w:val="none"/>
        </w:rPr>
        <w:fldChar w:fldCharType="separate"/>
      </w:r>
      <w:r>
        <w:rPr>
          <w:rStyle w:val="732"/>
          <w:rFonts w:hint="eastAsia" w:ascii="宋体" w:hAnsi="宋体"/>
          <w:color w:val="auto"/>
          <w:sz w:val="32"/>
          <w:szCs w:val="32"/>
          <w:highlight w:val="none"/>
        </w:rPr>
        <w:t xml:space="preserve">三．项目</w:t>
      </w:r>
      <w:r>
        <w:rPr>
          <w:rStyle w:val="732"/>
          <w:rFonts w:hint="eastAsia" w:ascii="宋体" w:hAnsi="宋体"/>
          <w:color w:val="auto"/>
          <w:sz w:val="32"/>
          <w:szCs w:val="32"/>
          <w:highlight w:val="none"/>
          <w:lang w:eastAsia="zh-CN"/>
        </w:rPr>
        <w:t xml:space="preserve">需求</w:t>
      </w:r>
      <w:r>
        <w:rPr>
          <w:rFonts w:ascii="宋体" w:hAnsi="宋体"/>
          <w:color w:val="auto"/>
          <w:sz w:val="32"/>
          <w:szCs w:val="32"/>
          <w:highlight w:val="none"/>
        </w:rPr>
        <w:tab/>
      </w:r>
      <w:r>
        <w:rPr>
          <w:rFonts w:hint="eastAsia" w:ascii="宋体" w:hAnsi="宋体"/>
          <w:color w:val="auto"/>
          <w:sz w:val="32"/>
          <w:szCs w:val="32"/>
          <w:highlight w:val="none"/>
        </w:rPr>
        <w:t xml:space="preserve">1</w:t>
      </w:r>
      <w:r>
        <w:rPr>
          <w:rFonts w:hint="eastAsia" w:ascii="宋体" w:hAnsi="宋体"/>
          <w:color w:val="auto"/>
          <w:sz w:val="32"/>
          <w:szCs w:val="32"/>
          <w:highlight w:val="none"/>
          <w:lang w:val="en-US" w:eastAsia="zh-CN"/>
        </w:rPr>
        <w:t xml:space="preserve">7</w:t>
      </w:r>
      <w:r>
        <w:rPr>
          <w:rStyle w:val="732"/>
          <w:rFonts w:ascii="宋体" w:hAnsi="宋体"/>
          <w:color w:val="auto"/>
          <w:sz w:val="32"/>
          <w:szCs w:val="32"/>
          <w:highlight w:val="none"/>
        </w:rPr>
        <w:fldChar w:fldCharType="end"/>
      </w:r>
      <w:r/>
    </w:p>
    <w:p>
      <w:pPr>
        <w:pStyle w:val="709"/>
        <w:ind w:firstLine="480"/>
        <w:spacing w:line="720" w:lineRule="auto"/>
        <w:tabs>
          <w:tab w:val="right" w:pos="9911" w:leader="dot"/>
        </w:tabs>
        <w:rPr>
          <w:rFonts w:hint="default" w:ascii="宋体" w:hAnsi="宋体" w:eastAsia="宋体"/>
          <w:color w:val="auto"/>
          <w:sz w:val="32"/>
          <w:szCs w:val="32"/>
          <w:highlight w:val="none"/>
          <w:lang w:val="en-US" w:eastAsia="zh-CN"/>
        </w:rPr>
      </w:pPr>
      <w:r>
        <w:rPr>
          <w:rStyle w:val="732"/>
          <w:rFonts w:ascii="宋体" w:hAnsi="宋体"/>
          <w:color w:val="auto"/>
          <w:sz w:val="32"/>
          <w:szCs w:val="32"/>
          <w:highlight w:val="none"/>
        </w:rPr>
        <w:fldChar w:fldCharType="begin"/>
      </w:r>
      <w:r>
        <w:rPr>
          <w:rStyle w:val="732"/>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"_Toc61444674"</w:instrText>
      </w:r>
      <w:r>
        <w:rPr>
          <w:rStyle w:val="732"/>
          <w:rFonts w:ascii="宋体" w:hAnsi="宋体"/>
          <w:color w:val="auto"/>
          <w:sz w:val="32"/>
          <w:szCs w:val="32"/>
          <w:highlight w:val="none"/>
        </w:rPr>
        <w:instrText xml:space="preserve"> </w:instrText>
      </w:r>
      <w:r>
        <w:rPr>
          <w:rStyle w:val="732"/>
          <w:rFonts w:ascii="宋体" w:hAnsi="宋体"/>
          <w:color w:val="auto"/>
          <w:sz w:val="32"/>
          <w:szCs w:val="32"/>
          <w:highlight w:val="none"/>
        </w:rPr>
        <w:fldChar w:fldCharType="separate"/>
      </w:r>
      <w:r>
        <w:rPr>
          <w:rStyle w:val="732"/>
          <w:rFonts w:hint="eastAsia" w:ascii="宋体" w:hAnsi="宋体"/>
          <w:color w:val="auto"/>
          <w:sz w:val="32"/>
          <w:szCs w:val="32"/>
          <w:highlight w:val="none"/>
        </w:rPr>
        <w:t xml:space="preserve">四．合同书（格式文本）</w:t>
      </w:r>
      <w:r>
        <w:rPr>
          <w:rFonts w:ascii="宋体" w:hAnsi="宋体"/>
          <w:color w:val="auto"/>
          <w:sz w:val="32"/>
          <w:szCs w:val="32"/>
          <w:highlight w:val="none"/>
        </w:rPr>
        <w:tab/>
      </w:r>
      <w:r>
        <w:rPr>
          <w:rStyle w:val="732"/>
          <w:rFonts w:ascii="宋体" w:hAnsi="宋体"/>
          <w:color w:val="auto"/>
          <w:sz w:val="32"/>
          <w:szCs w:val="32"/>
          <w:highlight w:val="none"/>
        </w:rPr>
        <w:fldChar w:fldCharType="end"/>
      </w:r>
      <w:r>
        <w:rPr>
          <w:rStyle w:val="732"/>
          <w:rFonts w:hint="eastAsia" w:ascii="宋体" w:hAnsi="宋体"/>
          <w:color w:val="auto"/>
          <w:sz w:val="32"/>
          <w:szCs w:val="32"/>
          <w:highlight w:val="none"/>
          <w:lang w:val="en-US" w:eastAsia="zh-CN"/>
        </w:rPr>
        <w:t xml:space="preserve">30</w:t>
      </w:r>
      <w:r/>
    </w:p>
    <w:p>
      <w:pPr>
        <w:pStyle w:val="709"/>
        <w:ind w:firstLine="480"/>
        <w:spacing w:line="720" w:lineRule="auto"/>
        <w:tabs>
          <w:tab w:val="right" w:pos="9911" w:leader="dot"/>
        </w:tabs>
        <w:rPr>
          <w:rFonts w:hint="eastAsia" w:ascii="宋体" w:hAnsi="宋体" w:eastAsia="宋体"/>
          <w:color w:val="auto"/>
          <w:sz w:val="32"/>
          <w:szCs w:val="32"/>
          <w:highlight w:val="none"/>
          <w:lang w:val="en-US" w:eastAsia="zh-CN"/>
        </w:rPr>
      </w:pPr>
      <w:r>
        <w:rPr>
          <w:rStyle w:val="732"/>
          <w:rFonts w:ascii="宋体" w:hAnsi="宋体"/>
          <w:color w:val="auto"/>
          <w:sz w:val="32"/>
          <w:szCs w:val="32"/>
          <w:highlight w:val="none"/>
        </w:rPr>
        <w:fldChar w:fldCharType="begin"/>
      </w:r>
      <w:r>
        <w:rPr>
          <w:rStyle w:val="732"/>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"_Toc61444675"</w:instrText>
      </w:r>
      <w:r>
        <w:rPr>
          <w:rStyle w:val="732"/>
          <w:rFonts w:ascii="宋体" w:hAnsi="宋体"/>
          <w:color w:val="auto"/>
          <w:sz w:val="32"/>
          <w:szCs w:val="32"/>
          <w:highlight w:val="none"/>
        </w:rPr>
        <w:instrText xml:space="preserve"> </w:instrText>
      </w:r>
      <w:r>
        <w:rPr>
          <w:rStyle w:val="732"/>
          <w:rFonts w:ascii="宋体" w:hAnsi="宋体"/>
          <w:color w:val="auto"/>
          <w:sz w:val="32"/>
          <w:szCs w:val="32"/>
          <w:highlight w:val="none"/>
        </w:rPr>
        <w:fldChar w:fldCharType="separate"/>
      </w:r>
      <w:r>
        <w:rPr>
          <w:rStyle w:val="732"/>
          <w:rFonts w:hint="eastAsia" w:ascii="宋体" w:hAnsi="宋体"/>
          <w:color w:val="auto"/>
          <w:sz w:val="32"/>
          <w:szCs w:val="32"/>
          <w:highlight w:val="none"/>
        </w:rPr>
        <w:t xml:space="preserve">五．</w:t>
      </w:r>
      <w:r>
        <w:rPr>
          <w:rStyle w:val="732"/>
          <w:rFonts w:hint="eastAsia" w:ascii="宋体" w:hAnsi="宋体"/>
          <w:color w:val="auto"/>
          <w:sz w:val="32"/>
          <w:szCs w:val="32"/>
          <w:highlight w:val="none"/>
          <w:lang w:eastAsia="zh-CN"/>
        </w:rPr>
        <w:t xml:space="preserve">评分方法与评分标准</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3</w:t>
      </w:r>
      <w:r>
        <w:rPr>
          <w:rStyle w:val="732"/>
          <w:rFonts w:ascii="宋体" w:hAnsi="宋体"/>
          <w:color w:val="auto"/>
          <w:sz w:val="32"/>
          <w:szCs w:val="32"/>
          <w:highlight w:val="none"/>
        </w:rPr>
        <w:fldChar w:fldCharType="end"/>
      </w:r>
      <w:r>
        <w:rPr>
          <w:rStyle w:val="732"/>
          <w:rFonts w:hint="eastAsia" w:ascii="宋体" w:hAnsi="宋体"/>
          <w:color w:val="auto"/>
          <w:sz w:val="32"/>
          <w:szCs w:val="32"/>
          <w:highlight w:val="none"/>
          <w:lang w:val="en-US" w:eastAsia="zh-CN"/>
        </w:rPr>
        <w:t xml:space="preserve">6</w:t>
      </w:r>
      <w:r/>
    </w:p>
    <w:p>
      <w:pPr>
        <w:pStyle w:val="709"/>
        <w:ind w:firstLine="480"/>
        <w:spacing w:line="720" w:lineRule="auto"/>
        <w:tabs>
          <w:tab w:val="right" w:pos="9911" w:leader="dot"/>
        </w:tabs>
        <w:rPr>
          <w:rFonts w:hint="eastAsia" w:ascii="宋体" w:hAnsi="宋体" w:eastAsia="宋体"/>
          <w:color w:val="auto"/>
          <w:sz w:val="32"/>
          <w:szCs w:val="32"/>
          <w:highlight w:val="none"/>
          <w:lang w:val="en-US" w:eastAsia="zh-CN"/>
        </w:rPr>
      </w:pPr>
      <w:r>
        <w:rPr>
          <w:rStyle w:val="732"/>
          <w:rFonts w:ascii="宋体" w:hAnsi="宋体"/>
          <w:color w:val="auto"/>
          <w:sz w:val="32"/>
          <w:szCs w:val="32"/>
          <w:highlight w:val="none"/>
        </w:rPr>
        <w:fldChar w:fldCharType="begin"/>
      </w:r>
      <w:r>
        <w:rPr>
          <w:rStyle w:val="732"/>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"_Toc61444676"</w:instrText>
      </w:r>
      <w:r>
        <w:rPr>
          <w:rStyle w:val="732"/>
          <w:rFonts w:ascii="宋体" w:hAnsi="宋体"/>
          <w:color w:val="auto"/>
          <w:sz w:val="32"/>
          <w:szCs w:val="32"/>
          <w:highlight w:val="none"/>
        </w:rPr>
        <w:instrText xml:space="preserve"> </w:instrText>
      </w:r>
      <w:r>
        <w:rPr>
          <w:rStyle w:val="732"/>
          <w:rFonts w:ascii="宋体" w:hAnsi="宋体"/>
          <w:color w:val="auto"/>
          <w:sz w:val="32"/>
          <w:szCs w:val="32"/>
          <w:highlight w:val="none"/>
        </w:rPr>
        <w:fldChar w:fldCharType="separate"/>
      </w:r>
      <w:r>
        <w:rPr>
          <w:rStyle w:val="732"/>
          <w:rFonts w:hint="eastAsia" w:ascii="宋体" w:hAnsi="宋体"/>
          <w:color w:val="auto"/>
          <w:sz w:val="32"/>
          <w:szCs w:val="32"/>
          <w:highlight w:val="none"/>
        </w:rPr>
        <w:t xml:space="preserve">六</w:t>
      </w:r>
      <w:r>
        <w:rPr>
          <w:rStyle w:val="732"/>
          <w:rFonts w:ascii="宋体" w:hAnsi="宋体"/>
          <w:color w:val="auto"/>
          <w:sz w:val="32"/>
          <w:szCs w:val="32"/>
          <w:highlight w:val="none"/>
        </w:rPr>
        <w:t xml:space="preserve">.</w:t>
      </w:r>
      <w:r>
        <w:rPr>
          <w:rStyle w:val="732"/>
          <w:rFonts w:hint="eastAsia" w:ascii="宋体" w:hAnsi="宋体"/>
          <w:color w:val="auto"/>
          <w:sz w:val="32"/>
          <w:szCs w:val="32"/>
          <w:highlight w:val="none"/>
          <w:lang w:val="en-US" w:eastAsia="zh-CN"/>
        </w:rPr>
        <w:t xml:space="preserve"> </w:t>
      </w:r>
      <w:r>
        <w:rPr>
          <w:rStyle w:val="732"/>
          <w:rFonts w:hint="eastAsia" w:ascii="宋体" w:hAnsi="宋体"/>
          <w:color w:val="auto"/>
          <w:sz w:val="32"/>
          <w:szCs w:val="32"/>
          <w:highlight w:val="none"/>
          <w:lang w:eastAsia="zh-CN"/>
        </w:rPr>
        <w:t xml:space="preserve">投标文件内容与格式</w:t>
      </w:r>
      <w:r>
        <w:rPr>
          <w:rFonts w:ascii="宋体" w:hAnsi="宋体"/>
          <w:color w:val="auto"/>
          <w:sz w:val="32"/>
          <w:szCs w:val="32"/>
          <w:highlight w:val="none"/>
        </w:rPr>
        <w:tab/>
      </w:r>
      <w:r>
        <w:rPr>
          <w:rStyle w:val="732"/>
          <w:rFonts w:ascii="宋体" w:hAnsi="宋体"/>
          <w:color w:val="auto"/>
          <w:sz w:val="32"/>
          <w:szCs w:val="32"/>
          <w:highlight w:val="none"/>
        </w:rPr>
        <w:fldChar w:fldCharType="end"/>
      </w:r>
      <w:r>
        <w:rPr>
          <w:rStyle w:val="732"/>
          <w:rFonts w:hint="eastAsia" w:ascii="宋体" w:hAnsi="宋体"/>
          <w:color w:val="auto"/>
          <w:sz w:val="32"/>
          <w:szCs w:val="32"/>
          <w:highlight w:val="none"/>
          <w:lang w:val="en-US" w:eastAsia="zh-CN"/>
        </w:rPr>
        <w:t xml:space="preserve">41</w:t>
      </w:r>
      <w:r/>
    </w:p>
    <w:p>
      <w:pPr>
        <w:ind w:firstLine="480"/>
        <w:jc w:val="left"/>
        <w:spacing w:line="720" w:lineRule="auto"/>
        <w:tabs>
          <w:tab w:val="center" w:pos="5200" w:leader="none"/>
          <w:tab w:val="left" w:pos="7980" w:leader="none"/>
        </w:tabs>
        <w:rPr>
          <w:rFonts w:ascii="宋体"/>
          <w:bCs/>
          <w:color w:val="auto"/>
          <w:sz w:val="28"/>
          <w:szCs w:val="28"/>
          <w:highlight w:val="none"/>
        </w:rPr>
      </w:pPr>
      <w:r>
        <w:rPr>
          <w:rFonts w:ascii="宋体" w:hAnsi="宋体"/>
          <w:bCs/>
          <w:color w:val="auto"/>
          <w:sz w:val="32"/>
          <w:szCs w:val="32"/>
          <w:highlight w:val="none"/>
        </w:rPr>
        <w:tab/>
      </w:r>
      <w:r>
        <w:rPr>
          <w:rFonts w:ascii="宋体" w:hAnsi="宋体"/>
          <w:bCs/>
          <w:color w:val="auto"/>
          <w:sz w:val="32"/>
          <w:szCs w:val="32"/>
          <w:highlight w:val="none"/>
        </w:rPr>
        <w:fldChar w:fldCharType="end"/>
      </w:r>
      <w:r>
        <w:rPr>
          <w:rFonts w:ascii="宋体"/>
          <w:bCs/>
          <w:color w:val="auto"/>
          <w:sz w:val="28"/>
          <w:szCs w:val="28"/>
          <w:highlight w:val="none"/>
        </w:rPr>
        <w:t xml:space="preserve"> </w:t>
      </w:r>
      <w:r>
        <w:rPr>
          <w:rFonts w:ascii="宋体"/>
          <w:bCs/>
          <w:color w:val="auto"/>
          <w:sz w:val="28"/>
          <w:szCs w:val="28"/>
          <w:highlight w:val="none"/>
        </w:rPr>
        <w:tab/>
      </w:r>
      <w:r/>
    </w:p>
    <w:p>
      <w:pPr>
        <w:spacing w:line="720" w:lineRule="auto"/>
        <w:tabs>
          <w:tab w:val="left" w:pos="1888" w:leader="none"/>
        </w:tabs>
        <w:rPr>
          <w:rFonts w:hint="eastAsia" w:ascii="宋体" w:eastAsia="宋体"/>
          <w:bCs/>
          <w:color w:val="auto"/>
          <w:sz w:val="30"/>
          <w:highlight w:val="none"/>
          <w:lang w:eastAsia="zh-CN"/>
        </w:rPr>
      </w:pPr>
      <w:r>
        <w:rPr>
          <w:rFonts w:hint="eastAsia" w:ascii="宋体"/>
          <w:bCs/>
          <w:color w:val="auto"/>
          <w:sz w:val="30"/>
          <w:highlight w:val="none"/>
          <w:lang w:eastAsia="zh-CN"/>
        </w:rPr>
        <w:tab/>
      </w:r>
      <w:r/>
    </w:p>
    <w:p>
      <w:pPr>
        <w:rPr>
          <w:rFonts w:hint="eastAsia" w:ascii="宋体"/>
          <w:bCs/>
          <w:color w:val="auto"/>
          <w:sz w:val="32"/>
          <w:highlight w:val="none"/>
        </w:rPr>
      </w:pPr>
      <w:r>
        <w:rPr>
          <w:rFonts w:hint="eastAsia" w:ascii="宋体"/>
          <w:bCs/>
          <w:color w:val="auto"/>
          <w:sz w:val="32"/>
          <w:highlight w:val="none"/>
        </w:rPr>
      </w:r>
      <w:r/>
    </w:p>
    <w:p>
      <w:pPr>
        <w:pStyle w:val="680"/>
        <w:pageBreakBefore/>
        <w:rPr>
          <w:rFonts w:ascii="黑体" w:hAnsi="黑体" w:eastAsia="黑体"/>
          <w:b w:val="0"/>
          <w:color w:val="auto"/>
          <w:sz w:val="32"/>
          <w:szCs w:val="32"/>
          <w:highlight w:val="none"/>
        </w:rPr>
      </w:pPr>
      <w:r/>
      <w:bookmarkStart w:id="0" w:name="报价方须知前附表"/>
      <w:r/>
      <w:bookmarkEnd w:id="0"/>
      <w:r/>
      <w:bookmarkStart w:id="1" w:name="_Toc61444671"/>
      <w:r>
        <w:rPr>
          <w:rFonts w:hint="eastAsia" w:ascii="黑体" w:hAnsi="黑体" w:eastAsia="黑体"/>
          <w:b w:val="0"/>
          <w:color w:val="auto"/>
          <w:sz w:val="32"/>
          <w:szCs w:val="32"/>
          <w:highlight w:val="none"/>
        </w:rPr>
        <w:t xml:space="preserve">一．投标邀请函</w:t>
      </w:r>
      <w:bookmarkEnd w:id="1"/>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bCs/>
          <w:color w:val="auto"/>
          <w:sz w:val="24"/>
          <w:szCs w:val="24"/>
          <w:highlight w:val="none"/>
          <w:lang w:eastAsia="zh-CN"/>
        </w:rPr>
        <w:t xml:space="preserve">无锡市公安局惠山分局</w:t>
      </w:r>
      <w:r>
        <w:rPr>
          <w:rFonts w:hint="eastAsia" w:ascii="宋体" w:hAnsi="宋体"/>
          <w:bCs/>
          <w:color w:val="auto"/>
          <w:sz w:val="24"/>
          <w:szCs w:val="24"/>
          <w:highlight w:val="none"/>
        </w:rPr>
        <w:t xml:space="preserve">的委托，对</w:t>
      </w:r>
      <w:r>
        <w:rPr>
          <w:rFonts w:hint="eastAsia" w:ascii="宋体" w:hAnsi="宋体" w:cs="宋体"/>
          <w:color w:val="auto"/>
          <w:sz w:val="24"/>
          <w:szCs w:val="24"/>
          <w:highlight w:val="none"/>
          <w:lang w:val="en-US" w:eastAsia="zh-CN"/>
        </w:rPr>
        <w:t xml:space="preserve">惠山区2026年度社会治安监控系统运维项目（硬件、线路）项目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0"/>
        </w:numPr>
        <w:ind w:left="0" w:firstLine="480"/>
        <w:keepLines w:val="0"/>
        <w:keepNext w:val="0"/>
        <w:pageBreakBefore w:val="0"/>
        <w:spacing w:line="360" w:lineRule="auto"/>
        <w:tabs>
          <w:tab w:val="left" w:pos="3920" w:leader="none"/>
        </w:tabs>
        <w:rPr>
          <w:rFonts w:hint="eastAsia" w:ascii="黑体" w:hAnsi="黑体" w:eastAsia="黑体"/>
          <w:bCs/>
          <w:color w:val="auto"/>
          <w:sz w:val="24"/>
          <w:szCs w:val="24"/>
          <w:highlight w:val="none"/>
          <w:lang w:eastAsia="zh-CN"/>
        </w:rPr>
      </w:pPr>
      <w:r>
        <w:rPr>
          <w:rFonts w:hint="eastAsia" w:ascii="黑体" w:hAnsi="黑体" w:eastAsia="黑体" w:cs="宋体"/>
          <w:color w:val="auto"/>
          <w:sz w:val="24"/>
          <w:szCs w:val="24"/>
          <w:highlight w:val="none"/>
          <w:lang w:eastAsia="zh-CN"/>
        </w:rPr>
        <w:t xml:space="preserve">（一）</w:t>
      </w:r>
      <w:r>
        <w:rPr>
          <w:rFonts w:hint="eastAsia" w:ascii="黑体" w:hAnsi="黑体" w:eastAsia="黑体" w:cs="宋体"/>
          <w:color w:val="auto"/>
          <w:sz w:val="24"/>
          <w:szCs w:val="24"/>
          <w:highlight w:val="none"/>
        </w:rPr>
        <w:t xml:space="preserve">招标项目信息</w:t>
      </w:r>
      <w:r>
        <w:rPr>
          <w:rFonts w:hint="eastAsia" w:ascii="黑体" w:hAnsi="黑体" w:eastAsia="黑体" w:cs="宋体"/>
          <w:color w:val="auto"/>
          <w:sz w:val="24"/>
          <w:szCs w:val="24"/>
          <w:highlight w:val="none"/>
          <w:lang w:eastAsia="zh-CN"/>
        </w:rPr>
        <w:tab/>
      </w:r>
      <w:r/>
    </w:p>
    <w:p>
      <w:pPr>
        <w:numPr>
          <w:ilvl w:val="0"/>
          <w:numId w:val="0"/>
        </w:numPr>
        <w:ind w:left="-360" w:firstLine="960"/>
        <w:jc w:val="left"/>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惠山区2026年度社会治安监控系统运维项目（硬件、线路）</w:t>
      </w:r>
      <w:r/>
    </w:p>
    <w:p>
      <w:pPr>
        <w:numPr>
          <w:ilvl w:val="0"/>
          <w:numId w:val="0"/>
        </w:numPr>
        <w:ind w:left="-360" w:firstLine="960"/>
        <w:jc w:val="left"/>
        <w:keepLines w:val="0"/>
        <w:keepNext w:val="0"/>
        <w:pageBreakBefore w:val="0"/>
        <w:spacing w:line="360" w:lineRule="auto"/>
        <w:shd w:val="clear" w:color="auto" w:fill="ffffff"/>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JSZC-320206-JZCG-G2026-0027</w:t>
      </w:r>
      <w:r/>
    </w:p>
    <w:p>
      <w:pPr>
        <w:numPr>
          <w:ilvl w:val="0"/>
          <w:numId w:val="0"/>
        </w:numPr>
        <w:ind w:left="-360" w:firstLine="960"/>
        <w:jc w:val="left"/>
        <w:keepLines w:val="0"/>
        <w:keepNext w:val="0"/>
        <w:pageBreakBefore w:val="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项目预算：560.81</w:t>
      </w:r>
      <w:r>
        <w:rPr>
          <w:rFonts w:hint="eastAsia" w:ascii="宋体" w:hAnsi="宋体"/>
          <w:bCs/>
          <w:color w:val="auto"/>
          <w:sz w:val="24"/>
          <w:szCs w:val="24"/>
          <w:highlight w:val="none"/>
        </w:rPr>
        <w:t xml:space="preserve">万元</w:t>
      </w:r>
      <w:r>
        <w:rPr>
          <w:rFonts w:hint="eastAsia" w:ascii="宋体" w:hAnsi="宋体"/>
          <w:bCs/>
          <w:color w:val="auto"/>
          <w:sz w:val="24"/>
          <w:szCs w:val="24"/>
          <w:highlight w:val="none"/>
          <w:lang w:val="en-US" w:eastAsia="zh-CN"/>
        </w:rPr>
        <w:t xml:space="preserve">   </w:t>
      </w:r>
      <w:r/>
    </w:p>
    <w:p>
      <w:pPr>
        <w:numPr>
          <w:ilvl w:val="0"/>
          <w:numId w:val="0"/>
        </w:numPr>
        <w:ind w:left="-360" w:firstLine="960"/>
        <w:jc w:val="left"/>
        <w:keepLines w:val="0"/>
        <w:keepNext w:val="0"/>
        <w:pageBreakBefore w:val="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采购方式：公开招标</w:t>
      </w:r>
      <w:r/>
    </w:p>
    <w:p>
      <w:pPr>
        <w:numPr>
          <w:ilvl w:val="0"/>
          <w:numId w:val="0"/>
        </w:numPr>
        <w:ind w:left="-360" w:firstLine="960"/>
        <w:jc w:val="left"/>
        <w:keepLines w:val="0"/>
        <w:keepNext w:val="0"/>
        <w:pageBreakBefore w:val="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采购人：</w:t>
      </w:r>
      <w:r>
        <w:rPr>
          <w:rFonts w:hint="eastAsia" w:ascii="宋体" w:hAnsi="宋体"/>
          <w:bCs/>
          <w:color w:val="auto"/>
          <w:sz w:val="24"/>
          <w:szCs w:val="24"/>
          <w:highlight w:val="none"/>
          <w:lang w:eastAsia="zh-CN"/>
        </w:rPr>
        <w:t xml:space="preserve">无锡市公安局惠山分局</w:t>
      </w:r>
      <w:r/>
    </w:p>
    <w:p>
      <w:pPr>
        <w:numPr>
          <w:ilvl w:val="0"/>
          <w:numId w:val="0"/>
        </w:numPr>
        <w:ind w:left="-360" w:firstLine="960"/>
        <w:jc w:val="left"/>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本项目标的所属行业：</w:t>
      </w:r>
      <w:r>
        <w:rPr>
          <w:rFonts w:hint="eastAsia" w:ascii="宋体" w:hAnsi="宋体"/>
          <w:bCs/>
          <w:color w:val="auto"/>
          <w:sz w:val="24"/>
          <w:szCs w:val="24"/>
          <w:highlight w:val="none"/>
          <w:lang w:eastAsia="zh-CN"/>
        </w:rPr>
        <w:t xml:space="preserve">软件和信息技术服务业</w:t>
      </w:r>
      <w:r/>
    </w:p>
    <w:p>
      <w:pPr>
        <w:numPr>
          <w:ilvl w:val="0"/>
          <w:numId w:val="0"/>
        </w:numPr>
        <w:ind w:left="-360" w:firstLine="96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本项目是否专门面向中小企业：</w:t>
      </w:r>
      <w:r>
        <w:rPr>
          <w:rFonts w:hint="eastAsia" w:ascii="宋体" w:hAnsi="宋体" w:cs="宋体"/>
          <w:color w:val="auto"/>
          <w:sz w:val="24"/>
          <w:szCs w:val="24"/>
          <w:highlight w:val="none"/>
          <w:lang w:eastAsia="zh-CN"/>
        </w:rPr>
        <w:t xml:space="preserve">否</w:t>
      </w:r>
      <w:r/>
    </w:p>
    <w:p>
      <w:pPr>
        <w:numPr>
          <w:ilvl w:val="0"/>
          <w:numId w:val="0"/>
        </w:numPr>
        <w:ind w:left="0" w:firstLine="480"/>
        <w:keepLines w:val="0"/>
        <w:keepNext w:val="0"/>
        <w:pageBreakBefore w:val="0"/>
        <w:spacing w:line="360" w:lineRule="auto"/>
        <w:tabs>
          <w:tab w:val="left" w:pos="3920" w:leader="none"/>
        </w:tabs>
        <w:rPr>
          <w:rFonts w:hint="eastAsia" w:ascii="黑体" w:hAnsi="黑体" w:eastAsia="黑体" w:cs="宋体"/>
          <w:color w:val="auto"/>
          <w:sz w:val="24"/>
          <w:szCs w:val="24"/>
          <w:highlight w:val="none"/>
          <w:lang w:eastAsia="zh-CN"/>
        </w:rPr>
      </w:pPr>
      <w:r>
        <w:rPr>
          <w:rFonts w:hint="eastAsia" w:ascii="黑体" w:hAnsi="黑体" w:eastAsia="黑体" w:cs="宋体"/>
          <w:color w:val="auto"/>
          <w:sz w:val="24"/>
          <w:szCs w:val="24"/>
          <w:highlight w:val="none"/>
          <w:lang w:eastAsia="zh-CN"/>
        </w:rPr>
        <w:t xml:space="preserve">（二）投标人资格要求</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具备《中华人民共和国政府采购法》第二十二条第一款规定的条件；</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未被“信用中国”网站（www.creditchina.gov.cn）、中国政府采购网(www.ccgp.gov.cn)列入失信被执行人、重大税收违法案件当事人名单、政府采购严重违法失信</w:t>
      </w:r>
      <w:r>
        <w:rPr>
          <w:rFonts w:hint="eastAsia" w:ascii="宋体" w:hAnsi="宋体" w:eastAsia="宋体" w:cs="Times New Roman"/>
          <w:bCs/>
          <w:color w:val="auto"/>
          <w:sz w:val="24"/>
          <w:szCs w:val="24"/>
          <w:highlight w:val="none"/>
        </w:rPr>
        <w:t xml:space="preserve">行为记录名单；</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具备采购人根据招标项目的特殊要求规定的以下特定资质：</w:t>
      </w:r>
      <w:r/>
    </w:p>
    <w:p>
      <w:pPr>
        <w:ind w:firstLine="480"/>
        <w:keepLines w:val="0"/>
        <w:keepNext w:val="0"/>
        <w:pageBreakBefore w:val="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（1）本项目接受联合体投标。（详见第六章 </w:t>
      </w:r>
      <w:r>
        <w:rPr>
          <w:rFonts w:hint="eastAsia" w:ascii="宋体" w:hAnsi="宋体" w:eastAsia="宋体" w:cs="Times New Roman"/>
          <w:bCs/>
          <w:color w:val="auto"/>
          <w:sz w:val="24"/>
          <w:szCs w:val="24"/>
          <w:highlight w:val="none"/>
        </w:rPr>
        <w:t xml:space="preserve">投标文件内容与格式</w:t>
      </w:r>
      <w:r>
        <w:rPr>
          <w:rFonts w:hint="eastAsia" w:ascii="宋体" w:hAnsi="宋体" w:eastAsia="宋体" w:cs="Times New Roman"/>
          <w:bCs/>
          <w:color w:val="auto"/>
          <w:sz w:val="24"/>
          <w:szCs w:val="24"/>
          <w:highlight w:val="none"/>
          <w:lang w:eastAsia="zh-CN"/>
        </w:rPr>
        <w:t xml:space="preserve">—第一部分投标文件内容—资格证明文件）</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投标人拥有中华人民共和国基础电信业务经营许可证（相关许可证及资格可为投标人自有或投标人总公司所有），或投标人具有项目所在地通信运营商（具有中华人民共和国基础电信业务经营许可证的）出具的电路服务授权书。</w:t>
      </w:r>
      <w:r/>
    </w:p>
    <w:p>
      <w:pPr>
        <w:numPr>
          <w:ilvl w:val="0"/>
          <w:numId w:val="0"/>
        </w:numPr>
        <w:ind w:left="0" w:firstLine="480"/>
        <w:keepLines w:val="0"/>
        <w:keepNext w:val="0"/>
        <w:pageBreakBefore w:val="0"/>
        <w:spacing w:line="360" w:lineRule="auto"/>
        <w:tabs>
          <w:tab w:val="left" w:pos="3920" w:leader="none"/>
        </w:tabs>
        <w:rPr>
          <w:rFonts w:hint="eastAsia" w:ascii="黑体" w:hAnsi="黑体" w:eastAsia="黑体" w:cs="宋体"/>
          <w:color w:val="auto"/>
          <w:sz w:val="24"/>
          <w:szCs w:val="24"/>
          <w:highlight w:val="none"/>
          <w:lang w:eastAsia="zh-CN"/>
        </w:rPr>
      </w:pPr>
      <w:r/>
      <w:bookmarkStart w:id="2" w:name="_Toc61444672"/>
      <w:r>
        <w:rPr>
          <w:rFonts w:hint="eastAsia" w:ascii="黑体" w:hAnsi="黑体" w:eastAsia="黑体" w:cs="宋体"/>
          <w:color w:val="auto"/>
          <w:sz w:val="24"/>
          <w:szCs w:val="24"/>
          <w:highlight w:val="none"/>
          <w:lang w:eastAsia="zh-CN"/>
        </w:rPr>
        <w:t xml:space="preserve">（三）获取招标文件</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1.时间：本招标文件有效获取期自招标文件公告发布之日起5个工作日，（有效获取期内的）每天上午00:00至12:00，下午12:00至23:59（北京时间，法定节假日除外）。</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2.地点：“江苏省政府采购（苏采云）平台”。</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方式：请有投标意向的供应商在招标文件有效获取期内及时至“江苏省政府采购（苏采云）平台”获取。在招标文件有效获取期限内，从“江苏省政府采购（苏采云）平台”获取的招标文件，视为依法获取的招标文件。</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4.售价：本项目招标文件免费。</w:t>
      </w:r>
      <w:r/>
    </w:p>
    <w:p>
      <w:pPr>
        <w:numPr>
          <w:ilvl w:val="0"/>
          <w:numId w:val="0"/>
        </w:numPr>
        <w:ind w:left="0" w:firstLine="480"/>
        <w:keepLines w:val="0"/>
        <w:keepNext w:val="0"/>
        <w:pageBreakBefore w:val="0"/>
        <w:spacing w:line="360" w:lineRule="auto"/>
        <w:tabs>
          <w:tab w:val="left" w:pos="3920" w:leader="none"/>
        </w:tabs>
        <w:rPr>
          <w:rFonts w:hint="eastAsia" w:ascii="黑体" w:hAnsi="黑体" w:eastAsia="黑体" w:cs="宋体"/>
          <w:color w:val="auto"/>
          <w:sz w:val="24"/>
          <w:szCs w:val="24"/>
          <w:highlight w:val="none"/>
          <w:lang w:eastAsia="zh-CN"/>
        </w:rPr>
      </w:pPr>
      <w:r>
        <w:rPr>
          <w:rFonts w:hint="eastAsia" w:ascii="黑体" w:hAnsi="黑体" w:eastAsia="黑体" w:cs="宋体"/>
          <w:color w:val="auto"/>
          <w:sz w:val="24"/>
          <w:szCs w:val="24"/>
          <w:highlight w:val="none"/>
          <w:lang w:eastAsia="zh-CN"/>
        </w:rPr>
        <w:t xml:space="preserve">（四）提交投标文件截止时间、开标时间和地点</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16</w:t>
      </w:r>
      <w:r>
        <w:rPr>
          <w:rFonts w:hint="eastAsia" w:ascii="宋体" w:hAnsi="宋体"/>
          <w:bCs/>
          <w:color w:val="auto"/>
          <w:sz w:val="24"/>
          <w:szCs w:val="24"/>
          <w:highlight w:val="none"/>
          <w:lang w:eastAsia="zh-CN"/>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lang w:eastAsia="zh-CN"/>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lang w:eastAsia="zh-CN"/>
        </w:rPr>
        <w:t xml:space="preserve">分（北京时间）</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2.地点：“江苏省政府采购（苏采云）平台”网上开标大厅。</w:t>
      </w:r>
      <w:r/>
    </w:p>
    <w:p>
      <w:pPr>
        <w:numPr>
          <w:ilvl w:val="0"/>
          <w:numId w:val="0"/>
        </w:numPr>
        <w:ind w:left="0" w:firstLine="480"/>
        <w:keepLines w:val="0"/>
        <w:keepNext w:val="0"/>
        <w:pageBreakBefore w:val="0"/>
        <w:spacing w:line="360" w:lineRule="auto"/>
        <w:tabs>
          <w:tab w:val="left" w:pos="3920" w:leader="none"/>
        </w:tabs>
        <w:rPr>
          <w:rFonts w:hint="eastAsia" w:ascii="黑体" w:hAnsi="黑体" w:eastAsia="黑体" w:cs="宋体"/>
          <w:color w:val="auto"/>
          <w:sz w:val="24"/>
          <w:szCs w:val="24"/>
          <w:highlight w:val="none"/>
          <w:lang w:eastAsia="zh-CN"/>
        </w:rPr>
      </w:pPr>
      <w:r>
        <w:rPr>
          <w:rFonts w:hint="eastAsia" w:ascii="黑体" w:hAnsi="黑体" w:eastAsia="黑体" w:cs="宋体"/>
          <w:color w:val="auto"/>
          <w:sz w:val="24"/>
          <w:szCs w:val="24"/>
          <w:highlight w:val="none"/>
          <w:lang w:eastAsia="zh-CN"/>
        </w:rPr>
        <w:t xml:space="preserve">（五）公告期限</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（招标公告及招标文件公告期限）自本公告发布之日起5个工作日。</w:t>
      </w:r>
      <w:r/>
    </w:p>
    <w:p>
      <w:pPr>
        <w:numPr>
          <w:ilvl w:val="0"/>
          <w:numId w:val="0"/>
        </w:num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rPr>
      </w:pPr>
      <w:r>
        <w:rPr>
          <w:rFonts w:hint="eastAsia" w:ascii="黑体" w:hAnsi="黑体" w:eastAsia="黑体" w:cs="宋体"/>
          <w:color w:val="auto"/>
          <w:sz w:val="24"/>
          <w:szCs w:val="24"/>
          <w:highlight w:val="none"/>
          <w:lang w:eastAsia="zh-CN"/>
        </w:rPr>
        <w:t xml:space="preserve">（六）本项目联系方式</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1.采购人信息</w:t>
      </w:r>
      <w:r/>
    </w:p>
    <w:p>
      <w:pPr>
        <w:ind w:firstLine="480"/>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 xml:space="preserve">名    称：无锡市公安局惠山分局</w:t>
      </w:r>
      <w:r/>
    </w:p>
    <w:p>
      <w:pPr>
        <w:ind w:firstLine="480"/>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 xml:space="preserve">地    址：</w:t>
      </w:r>
      <w:r>
        <w:rPr>
          <w:rFonts w:hint="eastAsia" w:ascii="宋体" w:hAnsi="宋体"/>
          <w:bCs/>
          <w:color w:val="auto"/>
          <w:sz w:val="24"/>
          <w:szCs w:val="24"/>
          <w:highlight w:val="none"/>
          <w:lang w:val="en-US" w:eastAsia="zh-CN"/>
        </w:rPr>
        <w:t xml:space="preserve">无锡市惠山区堰桥镇文惠路10号</w:t>
      </w:r>
      <w:r/>
    </w:p>
    <w:p>
      <w:pPr>
        <w:ind w:firstLine="480"/>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 xml:space="preserve">联</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系</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人：</w:t>
      </w:r>
      <w:r>
        <w:rPr>
          <w:rFonts w:hint="eastAsia" w:ascii="宋体" w:hAnsi="宋体"/>
          <w:bCs/>
          <w:color w:val="auto"/>
          <w:sz w:val="24"/>
          <w:szCs w:val="24"/>
          <w:highlight w:val="none"/>
          <w:lang w:val="en-US" w:eastAsia="zh-CN"/>
        </w:rPr>
        <w:t xml:space="preserve">冯家峰</w:t>
      </w:r>
      <w:r/>
    </w:p>
    <w:p>
      <w:pPr>
        <w:ind w:firstLine="480"/>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 xml:space="preserve">联系方式：</w:t>
      </w:r>
      <w:bookmarkStart w:id="3" w:name="_Toc28359009"/>
      <w:r/>
      <w:bookmarkStart w:id="4" w:name="_Toc28359086"/>
      <w:r>
        <w:rPr>
          <w:rFonts w:hint="eastAsia" w:ascii="宋体" w:hAnsi="宋体"/>
          <w:bCs/>
          <w:color w:val="auto"/>
          <w:sz w:val="24"/>
          <w:szCs w:val="24"/>
          <w:highlight w:val="none"/>
          <w:lang w:val="en-US" w:eastAsia="zh-CN"/>
        </w:rPr>
        <w:t xml:space="preserve">13921190578</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bookmarkEnd w:id="3"/>
      <w:r/>
      <w:bookmarkEnd w:id="4"/>
      <w:r>
        <w:rPr>
          <w:rFonts w:hint="eastAsia" w:ascii="宋体" w:hAnsi="宋体"/>
          <w:bCs/>
          <w:color w:val="auto"/>
          <w:sz w:val="24"/>
          <w:szCs w:val="24"/>
          <w:highlight w:val="none"/>
          <w:lang w:eastAsia="zh-CN"/>
        </w:rPr>
        <w:t xml:space="preserve">采购代理机构信息</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名    称：无锡市惠山区政府采购中心</w:t>
      </w:r>
      <w:r/>
    </w:p>
    <w:p>
      <w:pPr>
        <w:ind w:firstLine="480"/>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eastAsia="zh-CN"/>
        </w:rPr>
        <w:t xml:space="preserve">地    址：无锡市惠山区政和大道</w:t>
      </w:r>
      <w:r>
        <w:rPr>
          <w:rFonts w:hint="eastAsia" w:ascii="宋体" w:hAnsi="宋体"/>
          <w:bCs/>
          <w:color w:val="auto"/>
          <w:sz w:val="24"/>
          <w:szCs w:val="24"/>
          <w:highlight w:val="none"/>
          <w:lang w:val="en-US" w:eastAsia="zh-CN"/>
        </w:rPr>
        <w:t xml:space="preserve">209号</w:t>
      </w:r>
      <w:r/>
    </w:p>
    <w:p>
      <w:pPr>
        <w:ind w:firstLine="480"/>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 系 人：马胜</w:t>
      </w:r>
      <w:r/>
    </w:p>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bCs/>
          <w:color w:val="auto"/>
          <w:sz w:val="24"/>
          <w:szCs w:val="24"/>
          <w:highlight w:val="none"/>
          <w:lang w:eastAsia="zh-CN"/>
        </w:rPr>
        <w:t xml:space="preserve">联系方式：</w:t>
      </w:r>
      <w:r>
        <w:rPr>
          <w:rFonts w:hint="eastAsia" w:ascii="宋体" w:hAnsi="宋体"/>
          <w:bCs/>
          <w:color w:val="auto"/>
          <w:sz w:val="24"/>
          <w:szCs w:val="24"/>
          <w:highlight w:val="none"/>
          <w:lang w:val="en-US" w:eastAsia="zh-CN"/>
        </w:rPr>
        <w:t xml:space="preserve">0510-83596131</w:t>
      </w:r>
      <w:r/>
    </w:p>
    <w:p>
      <w:pPr>
        <w:numPr>
          <w:ilvl w:val="0"/>
          <w:numId w:val="0"/>
        </w:numPr>
        <w:ind w:left="-360" w:firstLine="960"/>
        <w:jc w:val="left"/>
        <w:keepLines w:val="0"/>
        <w:keepNext w:val="0"/>
        <w:pageBreakBefore w:val="0"/>
        <w:spacing w:line="360" w:lineRule="auto"/>
        <w:shd w:val="clear" w:color="auto" w:fill="ffffff"/>
        <w:widowControl/>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（七）其他</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（一）供应商“账号注册”及CA办理</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1.请有意参加本项目采购活动的供应商按以下流程进行操作：</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1）访问“无锡政府采购网”点击“江苏省政府采购（苏采云）平台”（以下简称“苏采云”系统）选择供应商板块，点击“用户注册”按钮，进行账号注册，注册完成后需在系统中填写资质信息并提交。也可以直接通过http://jszfcg.jsczt.cn/进入界面。</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（2）办理“意源”CA数字证书和“方正”电子签章（办理地址：无锡市滨湖区观山路199号12号楼二楼9号、10号窗口），办理指南链接：http://jsxcmm.com/help/help.html。</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（3）CA驱动下载：</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在“苏采云”系统账号登陆页面，点击“驱动下载”链接中的“政务CA、方正签章控件驱动安装包及安装说明”可以直接下载驱动安装包，安装包中附有驱动安装手册。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技术服务电话：0510-81827781（服务时间：工作日 9:00-11:30,13:00-17:00）</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2.完成“苏采云”系统账号注册的供应商方可在“苏采云”系统中进行CA绑定。登录“苏采云”系统，插入CA后，点击【账号设置】——【绑定CA】。</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3.供应商应按上述要求提供相关材料信息，所提供的材料应均是真实的、准确的，若有违背，供应商自行承担由此而产生的一切后果。</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auto"/>
          <w:sz w:val="24"/>
          <w:szCs w:val="24"/>
          <w:highlight w:val="none"/>
          <w:lang w:eastAsia="zh-CN"/>
        </w:rPr>
        <w:fldChar w:fldCharType="begin"/>
      </w:r>
      <w:r>
        <w:rPr>
          <w:rFonts w:hint="eastAsia" w:ascii="宋体" w:hAnsi="宋体"/>
          <w:bCs/>
          <w:color w:val="auto"/>
          <w:sz w:val="24"/>
          <w:szCs w:val="24"/>
          <w:highlight w:val="none"/>
          <w:lang w:eastAsia="zh-CN"/>
        </w:rPr>
        <w:instrText xml:space="preserve">HYPERLINK "http://cz.wuxi.gov.cn/doc/2023/10/11/4080287.shtml" \t "_blank" \o "\“苏采云\”系统供应商操作手册"</w:instrText>
      </w:r>
      <w:r>
        <w:rPr>
          <w:rFonts w:hint="eastAsia" w:ascii="宋体" w:hAnsi="宋体"/>
          <w:bCs/>
          <w:color w:val="auto"/>
          <w:sz w:val="24"/>
          <w:szCs w:val="24"/>
          <w:highlight w:val="none"/>
          <w:lang w:eastAsia="zh-CN"/>
        </w:rPr>
        <w:fldChar w:fldCharType="separate"/>
      </w:r>
      <w:r>
        <w:rPr>
          <w:rFonts w:hint="eastAsia" w:ascii="宋体" w:hAnsi="宋体"/>
          <w:bCs/>
          <w:color w:val="auto"/>
          <w:sz w:val="24"/>
          <w:szCs w:val="24"/>
          <w:highlight w:val="none"/>
          <w:lang w:eastAsia="zh-CN"/>
        </w:rPr>
        <w:t xml:space="preserve">“苏采云”系统供应商操作手册</w:t>
      </w:r>
      <w:r>
        <w:rPr>
          <w:rFonts w:hint="eastAsia" w:ascii="宋体" w:hAnsi="宋体"/>
          <w:bCs/>
          <w:color w:val="auto"/>
          <w:sz w:val="24"/>
          <w:szCs w:val="24"/>
          <w:highlight w:val="none"/>
          <w:lang w:eastAsia="zh-CN"/>
        </w:rPr>
        <w:fldChar w:fldCharType="end"/>
      </w:r>
      <w:r>
        <w:rPr>
          <w:rFonts w:hint="eastAsia" w:ascii="宋体" w:hAnsi="宋体"/>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技术支持QQ：孙先生：442456465；王先生：1476328133。</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（二）完成项目参与，获取招标文件</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供应商可在项目招标公告</w:t>
      </w:r>
      <w:r>
        <w:rPr>
          <w:rFonts w:hint="eastAsia" w:ascii="宋体" w:hAnsi="宋体"/>
          <w:bCs/>
          <w:color w:val="auto"/>
          <w:sz w:val="24"/>
          <w:szCs w:val="24"/>
          <w:highlight w:val="none"/>
          <w:lang w:eastAsia="zh-CN"/>
        </w:rPr>
        <w:t xml:space="preserve">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（三）有关本次采购的事项若存在变动或修改，敬请及时关注无锡市惠山区政府采购中心在“江苏政府采购网”发布的更正公告。</w:t>
      </w:r>
      <w:r/>
    </w:p>
    <w:p>
      <w:pPr>
        <w:ind w:firstLine="480"/>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（四）本次采购不收取投标保证金。</w:t>
      </w:r>
      <w:bookmarkEnd w:id="2"/>
      <w:r/>
      <w:r/>
    </w:p>
    <w:p>
      <w:pPr>
        <w:pStyle w:val="680"/>
        <w:pageBreakBefore/>
        <w:rPr>
          <w:rFonts w:ascii="黑体" w:eastAsia="黑体"/>
          <w:bCs w:val="0"/>
          <w:color w:val="auto"/>
          <w:sz w:val="28"/>
          <w:szCs w:val="28"/>
          <w:highlight w:val="none"/>
        </w:rPr>
      </w:pPr>
      <w:r/>
      <w:bookmarkStart w:id="5" w:name="_Toc61444836"/>
      <w:r>
        <w:rPr>
          <w:rFonts w:hint="eastAsia" w:ascii="黑体" w:hAnsi="黑体" w:eastAsia="黑体"/>
          <w:b w:val="0"/>
          <w:color w:val="auto"/>
          <w:sz w:val="32"/>
          <w:szCs w:val="32"/>
          <w:highlight w:val="none"/>
          <w:lang w:eastAsia="zh-CN"/>
        </w:rPr>
        <w:t xml:space="preserve">第二章</w:t>
      </w:r>
      <w:r>
        <w:rPr>
          <w:rFonts w:hint="eastAsia" w:ascii="黑体" w:hAnsi="黑体" w:eastAsia="黑体"/>
          <w:b w:val="0"/>
          <w:color w:val="auto"/>
          <w:sz w:val="32"/>
          <w:szCs w:val="32"/>
          <w:highlight w:val="none"/>
          <w:lang w:val="en-US" w:eastAsia="zh-CN"/>
        </w:rPr>
        <w:t xml:space="preserve">  </w:t>
      </w:r>
      <w:r>
        <w:rPr>
          <w:rFonts w:hint="eastAsia" w:ascii="黑体" w:hAnsi="黑体" w:eastAsia="黑体"/>
          <w:b w:val="0"/>
          <w:color w:val="auto"/>
          <w:sz w:val="32"/>
          <w:szCs w:val="32"/>
          <w:highlight w:val="none"/>
        </w:rPr>
        <w:t xml:space="preserve">投标人须知</w:t>
      </w:r>
      <w:bookmarkEnd w:id="5"/>
      <w:r/>
      <w:r/>
    </w:p>
    <w:p>
      <w:pPr>
        <w:pStyle w:val="1022"/>
        <w:ind w:left="834" w:hanging="454"/>
        <w:jc w:val="center"/>
        <w:keepLines w:val="0"/>
        <w:keepNext w:val="0"/>
        <w:spacing w:before="0" w:after="0" w:line="500" w:lineRule="exact"/>
        <w:rPr>
          <w:rFonts w:hint="eastAsia"/>
          <w:color w:val="auto"/>
          <w:sz w:val="32"/>
          <w:szCs w:val="32"/>
          <w:highlight w:val="none"/>
        </w:rPr>
      </w:pPr>
      <w:r/>
      <w:bookmarkStart w:id="6" w:name="_Toc20823275"/>
      <w:r/>
      <w:bookmarkStart w:id="7" w:name="_Toc120614214"/>
      <w:r/>
      <w:bookmarkStart w:id="8" w:name="_Toc16938519"/>
      <w:r/>
      <w:bookmarkStart w:id="9" w:name="_Toc513029203"/>
      <w:r>
        <w:rPr>
          <w:rFonts w:hint="eastAsia"/>
          <w:color w:val="auto"/>
          <w:sz w:val="32"/>
          <w:szCs w:val="32"/>
          <w:highlight w:val="none"/>
        </w:rPr>
        <w:t xml:space="preserve">一、总则</w:t>
      </w:r>
      <w:bookmarkEnd w:id="6"/>
      <w:r/>
      <w:bookmarkEnd w:id="7"/>
      <w:r/>
      <w:bookmarkEnd w:id="8"/>
      <w:r/>
      <w:bookmarkEnd w:id="9"/>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auto"/>
          <w:sz w:val="24"/>
          <w:szCs w:val="24"/>
          <w:highlight w:val="none"/>
        </w:rPr>
        <w:t xml:space="preserve">1.招标方式</w:t>
      </w:r>
      <w:bookmarkEnd w:id="11"/>
      <w:r/>
      <w:bookmarkEnd w:id="12"/>
      <w:r/>
      <w:bookmarkEnd w:id="13"/>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1.1本次招标采取公开招标方式，本招标文件仅适用于招标公告中所述项目。</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4" w:name="_Toc513029205"/>
      <w:r/>
      <w:bookmarkStart w:id="15" w:name="_Toc20823277"/>
      <w:r/>
      <w:bookmarkStart w:id="16" w:name="_Toc16938521"/>
      <w:r>
        <w:rPr>
          <w:rFonts w:hint="eastAsia" w:ascii="宋体" w:hAnsi="宋体" w:eastAsia="宋体"/>
          <w:bCs w:val="0"/>
          <w:color w:val="auto"/>
          <w:sz w:val="24"/>
          <w:szCs w:val="24"/>
          <w:highlight w:val="none"/>
        </w:rPr>
        <w:t xml:space="preserve">2.</w:t>
      </w:r>
      <w:bookmarkEnd w:id="14"/>
      <w:r/>
      <w:bookmarkEnd w:id="15"/>
      <w:r/>
      <w:bookmarkEnd w:id="16"/>
      <w:r>
        <w:rPr>
          <w:rFonts w:hint="eastAsia" w:ascii="宋体" w:hAnsi="宋体" w:eastAsia="宋体"/>
          <w:bCs w:val="0"/>
          <w:color w:val="auto"/>
          <w:sz w:val="24"/>
          <w:szCs w:val="24"/>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7" w:name="_Toc513029206"/>
      <w:r/>
      <w:bookmarkStart w:id="18" w:name="_Toc16938522"/>
      <w:r/>
      <w:bookmarkStart w:id="19" w:name="_Toc20823278"/>
      <w:r>
        <w:rPr>
          <w:rFonts w:hint="eastAsia" w:ascii="宋体" w:hAnsi="宋体" w:eastAsia="宋体"/>
          <w:bCs w:val="0"/>
          <w:color w:val="auto"/>
          <w:sz w:val="24"/>
          <w:szCs w:val="24"/>
          <w:highlight w:val="none"/>
        </w:rPr>
        <w:t xml:space="preserve">3.适用法律</w:t>
      </w:r>
      <w:bookmarkEnd w:id="17"/>
      <w:r/>
      <w:bookmarkEnd w:id="18"/>
      <w:r/>
      <w:bookmarkEnd w:id="19"/>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20" w:name="_Toc16938523"/>
      <w:r/>
      <w:bookmarkStart w:id="21" w:name="_Toc513029207"/>
      <w:r/>
      <w:bookmarkStart w:id="22" w:name="_Toc20823279"/>
      <w:r/>
      <w:bookmarkStart w:id="23" w:name="_Toc462564067"/>
      <w:r>
        <w:rPr>
          <w:rFonts w:hint="eastAsia" w:ascii="宋体" w:hAnsi="宋体" w:eastAsia="宋体"/>
          <w:bCs w:val="0"/>
          <w:color w:val="auto"/>
          <w:sz w:val="24"/>
          <w:szCs w:val="24"/>
          <w:highlight w:val="none"/>
        </w:rPr>
        <w:t xml:space="preserve">4.投标费用</w:t>
      </w:r>
      <w:bookmarkEnd w:id="20"/>
      <w:r/>
      <w:bookmarkEnd w:id="21"/>
      <w:r/>
      <w:bookmarkEnd w:id="22"/>
      <w:r/>
      <w:bookmarkEnd w:id="23"/>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投标人应自行承担所有与参加投标有关的费用，无论投标过程中的做法和结果如何，</w:t>
      </w:r>
      <w:r>
        <w:rPr>
          <w:rFonts w:hint="eastAsia" w:ascii="宋体" w:hAnsi="宋体"/>
          <w:color w:val="auto"/>
          <w:sz w:val="24"/>
          <w:szCs w:val="24"/>
          <w:highlight w:val="none"/>
          <w:lang w:eastAsia="zh-CN"/>
        </w:rPr>
        <w:t xml:space="preserve">无锡市惠山区政府采购中心</w:t>
      </w:r>
      <w:r>
        <w:rPr>
          <w:rFonts w:hint="eastAsia" w:ascii="宋体" w:hAnsi="宋体"/>
          <w:color w:val="auto"/>
          <w:sz w:val="24"/>
          <w:szCs w:val="24"/>
          <w:highlight w:val="none"/>
        </w:rPr>
        <w:t xml:space="preserve">（以下简称</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）在任何情况下均无义务和责任承担这些费用。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4.2本次招标标书工本费、中标服务费、招标文件均免费。</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22"/>
        <w:jc w:val="center"/>
        <w:keepLines w:val="0"/>
        <w:keepNext w:val="0"/>
        <w:spacing w:before="0" w:after="0" w:line="500" w:lineRule="exact"/>
        <w:rPr>
          <w:rFonts w:hint="eastAsia"/>
          <w:color w:val="auto"/>
          <w:sz w:val="32"/>
          <w:szCs w:val="32"/>
          <w:highlight w:val="none"/>
        </w:rPr>
      </w:pPr>
      <w:r/>
      <w:bookmarkStart w:id="24" w:name="_Toc20823281"/>
      <w:r/>
      <w:bookmarkStart w:id="25" w:name="_Toc120614215"/>
      <w:r/>
      <w:bookmarkStart w:id="26" w:name="_Toc513029209"/>
      <w:r/>
      <w:bookmarkStart w:id="27" w:name="_Toc16938525"/>
      <w:r>
        <w:rPr>
          <w:rFonts w:hint="eastAsia"/>
          <w:color w:val="auto"/>
          <w:sz w:val="32"/>
          <w:szCs w:val="32"/>
          <w:highlight w:val="none"/>
        </w:rPr>
        <w:t xml:space="preserve">二、招标文件</w:t>
      </w:r>
      <w:bookmarkEnd w:id="24"/>
      <w:r/>
      <w:bookmarkEnd w:id="25"/>
      <w:r/>
      <w:bookmarkEnd w:id="26"/>
      <w:r/>
      <w:bookmarkEnd w:id="27"/>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28" w:name="_Toc16938526"/>
      <w:r/>
      <w:bookmarkStart w:id="29" w:name="_Toc513029210"/>
      <w:r/>
      <w:bookmarkStart w:id="30" w:name="_Toc20823282"/>
      <w:r>
        <w:rPr>
          <w:rFonts w:hint="eastAsia" w:ascii="宋体" w:hAnsi="宋体" w:eastAsia="宋体"/>
          <w:bCs w:val="0"/>
          <w:color w:val="auto"/>
          <w:sz w:val="24"/>
          <w:szCs w:val="24"/>
          <w:highlight w:val="none"/>
        </w:rPr>
        <w:t xml:space="preserve">6.招标文件构成</w:t>
      </w:r>
      <w:bookmarkEnd w:id="28"/>
      <w:r/>
      <w:bookmarkEnd w:id="29"/>
      <w:r/>
      <w:bookmarkEnd w:id="30"/>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（4）合同文本</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联系解决。</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31" w:name="_Toc462564070"/>
      <w:r/>
      <w:bookmarkStart w:id="32" w:name="_Toc20823283"/>
      <w:r/>
      <w:bookmarkStart w:id="33" w:name="_Toc513029211"/>
      <w:r/>
      <w:bookmarkStart w:id="34" w:name="_Toc16938527"/>
      <w:r>
        <w:rPr>
          <w:rFonts w:hint="eastAsia" w:ascii="宋体" w:hAnsi="宋体" w:eastAsia="宋体"/>
          <w:bCs w:val="0"/>
          <w:color w:val="auto"/>
          <w:sz w:val="24"/>
          <w:szCs w:val="24"/>
          <w:highlight w:val="none"/>
        </w:rPr>
        <w:t xml:space="preserve">7.招标文件的澄清</w:t>
      </w:r>
      <w:bookmarkEnd w:id="31"/>
      <w:r/>
      <w:bookmarkEnd w:id="32"/>
      <w:r/>
      <w:bookmarkEnd w:id="33"/>
      <w:r/>
      <w:bookmarkEnd w:id="34"/>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35" w:name="_Toc20823284"/>
      <w:r/>
      <w:bookmarkStart w:id="36" w:name="_Toc16938528"/>
      <w:r/>
      <w:bookmarkStart w:id="37" w:name="_Toc513029212"/>
      <w:r/>
      <w:bookmarkStart w:id="38" w:name="_Toc462564071"/>
      <w:r>
        <w:rPr>
          <w:rFonts w:hint="eastAsia" w:ascii="宋体" w:hAnsi="宋体" w:eastAsia="宋体"/>
          <w:bCs w:val="0"/>
          <w:color w:val="auto"/>
          <w:sz w:val="24"/>
          <w:szCs w:val="24"/>
          <w:highlight w:val="none"/>
        </w:rPr>
        <w:t xml:space="preserve">8.招标文件的修改</w:t>
      </w:r>
      <w:bookmarkEnd w:id="35"/>
      <w:r/>
      <w:bookmarkEnd w:id="36"/>
      <w:r/>
      <w:bookmarkEnd w:id="37"/>
      <w:r/>
      <w:bookmarkEnd w:id="38"/>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22"/>
        <w:jc w:val="center"/>
        <w:keepLines w:val="0"/>
        <w:keepNext w:val="0"/>
        <w:spacing w:before="0" w:after="0" w:line="500" w:lineRule="exact"/>
        <w:rPr>
          <w:rFonts w:hint="eastAsia"/>
          <w:color w:val="auto"/>
          <w:sz w:val="32"/>
          <w:szCs w:val="32"/>
          <w:highlight w:val="none"/>
        </w:rPr>
      </w:pPr>
      <w:r/>
      <w:bookmarkStart w:id="39" w:name="_Toc20823285"/>
      <w:r/>
      <w:bookmarkStart w:id="40" w:name="_Toc513029213"/>
      <w:r/>
      <w:bookmarkStart w:id="41" w:name="_Toc462564072"/>
      <w:r/>
      <w:bookmarkStart w:id="42" w:name="_Toc16938529"/>
      <w:r/>
      <w:bookmarkStart w:id="43" w:name="_Toc120614216"/>
      <w:r>
        <w:rPr>
          <w:rFonts w:hint="eastAsia"/>
          <w:color w:val="auto"/>
          <w:sz w:val="32"/>
          <w:szCs w:val="32"/>
          <w:highlight w:val="none"/>
        </w:rPr>
        <w:t xml:space="preserve">三、投标文件的编制</w:t>
      </w:r>
      <w:bookmarkEnd w:id="39"/>
      <w:r/>
      <w:bookmarkEnd w:id="40"/>
      <w:r/>
      <w:bookmarkEnd w:id="41"/>
      <w:r/>
      <w:bookmarkEnd w:id="42"/>
      <w:r/>
      <w:bookmarkEnd w:id="43"/>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44" w:name="_Toc16938530"/>
      <w:r/>
      <w:bookmarkStart w:id="45" w:name="_Toc513029214"/>
      <w:r/>
      <w:bookmarkStart w:id="46" w:name="_Toc462564073"/>
      <w:r/>
      <w:bookmarkStart w:id="47" w:name="_Toc20823286"/>
      <w:r>
        <w:rPr>
          <w:rFonts w:hint="eastAsia" w:ascii="宋体" w:hAnsi="宋体" w:eastAsia="宋体"/>
          <w:bCs w:val="0"/>
          <w:color w:val="auto"/>
          <w:sz w:val="24"/>
          <w:szCs w:val="24"/>
          <w:highlight w:val="none"/>
        </w:rPr>
        <w:t xml:space="preserve">9.投标文件的语言及度量衡单位</w:t>
      </w:r>
      <w:bookmarkEnd w:id="44"/>
      <w:r/>
      <w:bookmarkEnd w:id="45"/>
      <w:r/>
      <w:bookmarkEnd w:id="46"/>
      <w:r/>
      <w:bookmarkEnd w:id="47"/>
      <w:r/>
      <w:r/>
    </w:p>
    <w:p>
      <w:pPr>
        <w:ind w:firstLine="480"/>
        <w:spacing w:line="500" w:lineRule="exact"/>
        <w:rPr>
          <w:rFonts w:hint="eastAsia" w:ascii="宋体" w:hAnsi="宋体"/>
          <w:bCs/>
          <w:color w:val="auto"/>
          <w:sz w:val="24"/>
          <w:szCs w:val="24"/>
          <w:highlight w:val="none"/>
        </w:rPr>
      </w:pPr>
      <w:r/>
      <w:bookmarkStart w:id="48" w:name="_Toc16938531"/>
      <w:r/>
      <w:bookmarkStart w:id="49" w:name="_Toc513029215"/>
      <w:r/>
      <w:bookmarkStart w:id="50" w:name="_Toc462564074"/>
      <w:r/>
      <w:bookmarkStart w:id="51" w:name="_Toc20823287"/>
      <w:r>
        <w:rPr>
          <w:rFonts w:hint="eastAsia" w:ascii="宋体" w:hAnsi="宋体"/>
          <w:bCs/>
          <w:color w:val="auto"/>
          <w:sz w:val="24"/>
          <w:szCs w:val="24"/>
          <w:highlight w:val="none"/>
        </w:rPr>
        <w:t xml:space="preserve">9.1投标人提交的投标文件以及投标人与</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spacing w:line="500" w:lineRule="exact"/>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9.8在评分标准中除了投标报价外，还须包含明标（</w:t>
      </w:r>
      <w:r>
        <w:rPr>
          <w:rFonts w:hint="eastAsia" w:ascii="宋体" w:hAnsi="宋体"/>
          <w:b/>
          <w:bCs w:val="0"/>
          <w:color w:val="auto"/>
          <w:sz w:val="24"/>
          <w:szCs w:val="24"/>
          <w:highlight w:val="none"/>
          <w:lang w:eastAsia="zh-CN"/>
        </w:rPr>
        <w:t xml:space="preserve">商务部分</w:t>
      </w:r>
      <w:r>
        <w:rPr>
          <w:rFonts w:hint="eastAsia" w:ascii="宋体" w:hAnsi="宋体"/>
          <w:b/>
          <w:bCs w:val="0"/>
          <w:color w:val="auto"/>
          <w:sz w:val="24"/>
          <w:szCs w:val="24"/>
          <w:highlight w:val="none"/>
        </w:rPr>
        <w:t xml:space="preserve">）和暗标（技术</w:t>
      </w:r>
      <w:r>
        <w:rPr>
          <w:rFonts w:hint="eastAsia" w:ascii="宋体" w:hAnsi="宋体"/>
          <w:b/>
          <w:bCs w:val="0"/>
          <w:color w:val="auto"/>
          <w:sz w:val="24"/>
          <w:szCs w:val="24"/>
          <w:highlight w:val="none"/>
          <w:lang w:eastAsia="zh-CN"/>
        </w:rPr>
        <w:t xml:space="preserve">部分</w:t>
      </w:r>
      <w:r>
        <w:rPr>
          <w:rFonts w:hint="eastAsia" w:ascii="宋体" w:hAnsi="宋体"/>
          <w:b/>
          <w:bCs w:val="0"/>
          <w:color w:val="auto"/>
          <w:sz w:val="24"/>
          <w:szCs w:val="24"/>
          <w:highlight w:val="none"/>
        </w:rPr>
        <w:t xml:space="preserve">）两大部分，其暗标编制要求如下：</w:t>
      </w:r>
      <w:r/>
    </w:p>
    <w:p>
      <w:pPr>
        <w:ind w:firstLine="480"/>
        <w:spacing w:line="500" w:lineRule="exact"/>
        <w:rPr>
          <w:rFonts w:hint="eastAsia"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技术部分不得更改，不得在其中涂改、标注或做任何可以辨认投标人及所属人员身份的名称、印章、商标等标记；</w:t>
      </w:r>
      <w:r/>
    </w:p>
    <w:p>
      <w:pPr>
        <w:ind w:firstLine="480"/>
        <w:spacing w:line="500" w:lineRule="exact"/>
        <w:rPr>
          <w:rFonts w:hint="eastAsia"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不得有其他体现投标人身份的内容。</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10.投标文件构成</w:t>
      </w:r>
      <w:bookmarkEnd w:id="48"/>
      <w:r/>
      <w:bookmarkEnd w:id="49"/>
      <w:r/>
      <w:bookmarkEnd w:id="50"/>
      <w:r/>
      <w:bookmarkEnd w:id="5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10.3如标书制作工具中格式和内容与招标文件不一致的，请以招标文件为准。</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52" w:name="_Hlt26954838"/>
      <w:r/>
      <w:bookmarkEnd w:id="52"/>
      <w:r/>
      <w:bookmarkStart w:id="53" w:name="_Hlt26670360"/>
      <w:r/>
      <w:bookmarkEnd w:id="53"/>
      <w:r/>
      <w:bookmarkStart w:id="54" w:name="_Hlt26668975"/>
      <w:r/>
      <w:bookmarkEnd w:id="54"/>
      <w:r/>
      <w:bookmarkStart w:id="55" w:name="_Toc49090507"/>
      <w:r/>
      <w:bookmarkStart w:id="56" w:name="_Toc513029219"/>
      <w:r/>
      <w:bookmarkStart w:id="57" w:name="_Toc49090509"/>
      <w:r/>
      <w:bookmarkStart w:id="58" w:name="_Toc14577357"/>
      <w:r/>
      <w:bookmarkStart w:id="59" w:name="_Toc14577354"/>
      <w:r/>
      <w:bookmarkStart w:id="60" w:name="_Toc513029216"/>
      <w:r>
        <w:rPr>
          <w:rFonts w:hint="eastAsia" w:ascii="宋体" w:hAnsi="宋体" w:eastAsia="宋体"/>
          <w:bCs w:val="0"/>
          <w:color w:val="auto"/>
          <w:sz w:val="24"/>
          <w:szCs w:val="24"/>
          <w:highlight w:val="none"/>
        </w:rPr>
        <w:t xml:space="preserve">11.证明投标人及投标标的符合招标文件规定的文件</w:t>
      </w:r>
      <w:bookmarkEnd w:id="55"/>
      <w:r/>
      <w:bookmarkEnd w:id="56"/>
      <w:r/>
      <w:bookmarkEnd w:id="57"/>
      <w:r/>
      <w:bookmarkEnd w:id="58"/>
      <w:r/>
      <w:bookmarkEnd w:id="59"/>
      <w:r/>
      <w:bookmarkEnd w:id="60"/>
      <w:r/>
      <w:r/>
    </w:p>
    <w:p>
      <w:pPr>
        <w:ind w:firstLine="480"/>
        <w:spacing w:line="500" w:lineRule="exact"/>
        <w:rPr>
          <w:rFonts w:hint="eastAsia" w:ascii="宋体" w:hAnsi="宋体"/>
          <w:bCs/>
          <w:color w:val="auto"/>
          <w:sz w:val="24"/>
          <w:szCs w:val="24"/>
          <w:highlight w:val="none"/>
        </w:rPr>
      </w:pPr>
      <w:r/>
      <w:bookmarkStart w:id="61" w:name="_Toc49090508"/>
      <w:r/>
      <w:bookmarkStart w:id="62" w:name="_Toc14577355"/>
      <w:r>
        <w:rPr>
          <w:rFonts w:hint="eastAsia" w:ascii="宋体" w:hAnsi="宋体"/>
          <w:bCs/>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63" w:name="_Toc14577359"/>
      <w:r/>
      <w:bookmarkStart w:id="64" w:name="_Toc49090510"/>
      <w:r>
        <w:rPr>
          <w:rFonts w:hint="eastAsia" w:ascii="宋体" w:hAnsi="宋体" w:eastAsia="宋体"/>
          <w:bCs w:val="0"/>
          <w:color w:val="auto"/>
          <w:sz w:val="24"/>
          <w:szCs w:val="24"/>
          <w:highlight w:val="none"/>
        </w:rPr>
        <w:t xml:space="preserve">12.投标函、承诺书和开标一览表</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13.</w:t>
      </w:r>
      <w:bookmarkEnd w:id="61"/>
      <w:r/>
      <w:bookmarkEnd w:id="62"/>
      <w:r>
        <w:rPr>
          <w:rFonts w:hint="eastAsia" w:ascii="宋体" w:hAnsi="宋体" w:eastAsia="宋体"/>
          <w:bCs w:val="0"/>
          <w:color w:val="auto"/>
          <w:sz w:val="24"/>
          <w:szCs w:val="24"/>
          <w:highlight w:val="none"/>
        </w:rPr>
        <w:t xml:space="preserve">分项报价表</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13.1</w:t>
      </w:r>
      <w:r>
        <w:rPr>
          <w:rFonts w:hint="eastAsia" w:ascii="宋体" w:hAnsi="宋体"/>
          <w:color w:val="auto"/>
          <w:sz w:val="24"/>
          <w:szCs w:val="24"/>
          <w:highlight w:val="none"/>
        </w:rPr>
        <w:t xml:space="preserve">投</w:t>
      </w:r>
      <w:bookmarkStart w:id="65" w:name="_Hlt26954840"/>
      <w:r/>
      <w:bookmarkEnd w:id="65"/>
      <w:r>
        <w:rPr>
          <w:rFonts w:hint="eastAsia" w:ascii="宋体" w:hAnsi="宋体"/>
          <w:color w:val="auto"/>
          <w:sz w:val="24"/>
          <w:szCs w:val="24"/>
          <w:highlight w:val="none"/>
        </w:rPr>
        <w:t xml:space="preserve">标人应按照招标文件规定格式填报</w:t>
      </w:r>
      <w:bookmarkStart w:id="66" w:name="_Hlt26670399"/>
      <w:r/>
      <w:bookmarkEnd w:id="66"/>
      <w:r>
        <w:rPr>
          <w:rFonts w:hint="eastAsia" w:ascii="宋体" w:hAnsi="宋体"/>
          <w:color w:val="auto"/>
          <w:sz w:val="24"/>
          <w:szCs w:val="24"/>
          <w:highlight w:val="none"/>
        </w:rPr>
        <w:t xml:space="preserve">分项报价表。</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13.2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67" w:name="_Hlt26954846"/>
      <w:r/>
      <w:bookmarkEnd w:id="67"/>
      <w:r/>
      <w:bookmarkStart w:id="68" w:name="_Hlt26954731"/>
      <w:r/>
      <w:bookmarkEnd w:id="68"/>
      <w:r/>
      <w:bookmarkStart w:id="69" w:name="_Hlt26670482"/>
      <w:r/>
      <w:bookmarkEnd w:id="69"/>
      <w:r/>
      <w:bookmarkStart w:id="70" w:name="_Hlt26670403"/>
      <w:r/>
      <w:bookmarkEnd w:id="70"/>
      <w:r/>
      <w:bookmarkStart w:id="71" w:name="_Hlt26954842"/>
      <w:r/>
      <w:bookmarkEnd w:id="71"/>
      <w:r/>
      <w:bookmarkStart w:id="72" w:name="_Hlt26954844"/>
      <w:r/>
      <w:bookmarkEnd w:id="72"/>
      <w:r/>
      <w:bookmarkStart w:id="73" w:name="_Hlt26670486"/>
      <w:r/>
      <w:bookmarkEnd w:id="73"/>
      <w:r/>
      <w:bookmarkStart w:id="74" w:name="_Hlt26670425"/>
      <w:r/>
      <w:bookmarkEnd w:id="74"/>
      <w:r/>
      <w:bookmarkStart w:id="75" w:name="_Hlt26668983"/>
      <w:r/>
      <w:bookmarkEnd w:id="75"/>
      <w:r/>
      <w:bookmarkStart w:id="76" w:name="_Hlt26954848"/>
      <w:r/>
      <w:bookmarkEnd w:id="76"/>
      <w:r>
        <w:rPr>
          <w:rFonts w:hint="eastAsia" w:ascii="宋体" w:hAnsi="宋体" w:eastAsia="宋体"/>
          <w:bCs w:val="0"/>
          <w:color w:val="auto"/>
          <w:sz w:val="24"/>
          <w:szCs w:val="24"/>
          <w:highlight w:val="none"/>
        </w:rPr>
        <w:t xml:space="preserve">14.投标偏离表</w:t>
      </w:r>
      <w:r/>
    </w:p>
    <w:p>
      <w:pPr>
        <w:ind w:firstLine="480"/>
        <w:spacing w:line="500" w:lineRule="exact"/>
        <w:tabs>
          <w:tab w:val="left" w:pos="1035" w:leader="none"/>
        </w:tabs>
        <w:rPr>
          <w:rFonts w:ascii="宋体" w:hAnsi="Arial" w:cs="宋体"/>
          <w:color w:val="auto"/>
          <w:sz w:val="24"/>
          <w:szCs w:val="24"/>
          <w:highlight w:val="none"/>
          <w:lang w:val="zh-CN"/>
        </w:rPr>
      </w:pPr>
      <w:r>
        <w:rPr>
          <w:rFonts w:hint="eastAsia" w:ascii="宋体" w:hAnsi="Arial" w:cs="宋体"/>
          <w:color w:val="auto"/>
          <w:sz w:val="24"/>
          <w:szCs w:val="24"/>
          <w:highlight w:val="none"/>
        </w:rPr>
        <w:t xml:space="preserve">14</w:t>
      </w:r>
      <w:r>
        <w:rPr>
          <w:rFonts w:hint="eastAsia" w:ascii="宋体" w:hAnsi="Arial" w:cs="宋体"/>
          <w:color w:val="auto"/>
          <w:sz w:val="24"/>
          <w:szCs w:val="24"/>
          <w:highlight w:val="none"/>
          <w:lang w:val="zh-CN"/>
        </w:rPr>
        <w:t xml:space="preserve">.</w:t>
      </w:r>
      <w:r>
        <w:rPr>
          <w:rFonts w:hint="eastAsia" w:ascii="宋体" w:hAnsi="Arial" w:cs="宋体"/>
          <w:color w:val="auto"/>
          <w:sz w:val="24"/>
          <w:szCs w:val="24"/>
          <w:highlight w:val="none"/>
        </w:rPr>
        <w:t xml:space="preserve">1</w:t>
      </w:r>
      <w:r>
        <w:rPr>
          <w:rFonts w:hint="eastAsia" w:ascii="宋体" w:hAnsi="Arial" w:cs="宋体"/>
          <w:color w:val="auto"/>
          <w:sz w:val="24"/>
          <w:szCs w:val="24"/>
          <w:highlight w:val="none"/>
          <w:lang w:val="zh-CN"/>
        </w:rPr>
        <w:t xml:space="preserve">投标人可在投标文件中提供认为需要的其他技术文件或说明。</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77" w:name="_Hlt26954850"/>
      <w:r/>
      <w:bookmarkEnd w:id="77"/>
      <w:r/>
      <w:bookmarkStart w:id="78" w:name="_Hlt26670489"/>
      <w:r/>
      <w:bookmarkEnd w:id="78"/>
      <w:r/>
      <w:bookmarkStart w:id="79" w:name="_Hlt26954734"/>
      <w:r/>
      <w:bookmarkEnd w:id="79"/>
      <w:r/>
      <w:bookmarkStart w:id="80" w:name="_Toc14577360"/>
      <w:r/>
      <w:bookmarkStart w:id="81" w:name="_Toc49090511"/>
      <w:r>
        <w:rPr>
          <w:rFonts w:hint="eastAsia" w:ascii="宋体" w:hAnsi="宋体" w:eastAsia="宋体"/>
          <w:bCs w:val="0"/>
          <w:color w:val="auto"/>
          <w:sz w:val="24"/>
          <w:szCs w:val="24"/>
          <w:highlight w:val="none"/>
        </w:rPr>
        <w:t xml:space="preserve">15.投标有效期</w:t>
      </w:r>
      <w:bookmarkEnd w:id="80"/>
      <w:r/>
      <w:bookmarkEnd w:id="81"/>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15.1</w:t>
      </w:r>
      <w:r>
        <w:rPr>
          <w:rFonts w:hint="eastAsia" w:ascii="宋体" w:hAnsi="宋体"/>
          <w:bCs/>
          <w:color w:val="auto"/>
          <w:sz w:val="24"/>
          <w:szCs w:val="24"/>
          <w:highlight w:val="none"/>
        </w:rPr>
        <w:t xml:space="preserve">投标有效期为招标文件规定的开标之日后</w:t>
      </w:r>
      <w:r>
        <w:rPr>
          <w:rFonts w:hint="eastAsia" w:ascii="宋体" w:hAnsi="宋体"/>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。投标有效期比规定短的将被视为未实质性响应招标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而予以拒绝。</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16.投标有效期的延长</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在特殊情况下，</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szCs w:val="24"/>
          <w:highlight w:val="none"/>
        </w:rPr>
        <w:t xml:space="preserve">。</w:t>
      </w:r>
      <w:r/>
    </w:p>
    <w:p>
      <w:pPr>
        <w:pStyle w:val="1022"/>
        <w:jc w:val="center"/>
        <w:keepLines w:val="0"/>
        <w:keepNext w:val="0"/>
        <w:spacing w:before="0" w:after="0" w:line="500" w:lineRule="exact"/>
        <w:rPr>
          <w:rFonts w:hint="eastAsia"/>
          <w:color w:val="auto"/>
          <w:sz w:val="32"/>
          <w:szCs w:val="32"/>
          <w:highlight w:val="none"/>
        </w:rPr>
      </w:pPr>
      <w:r/>
      <w:bookmarkStart w:id="82" w:name="_Hlt26954852"/>
      <w:r/>
      <w:bookmarkEnd w:id="82"/>
      <w:r/>
      <w:bookmarkStart w:id="83" w:name="_Hlt26954739"/>
      <w:r/>
      <w:bookmarkEnd w:id="83"/>
      <w:r/>
      <w:bookmarkStart w:id="84" w:name="_Toc20823296"/>
      <w:r/>
      <w:bookmarkStart w:id="85" w:name="_Toc513029224"/>
      <w:r/>
      <w:bookmarkStart w:id="86" w:name="_Toc120614217"/>
      <w:r/>
      <w:bookmarkStart w:id="87" w:name="_Toc16938540"/>
      <w:r>
        <w:rPr>
          <w:rFonts w:hint="eastAsia"/>
          <w:color w:val="auto"/>
          <w:sz w:val="32"/>
          <w:szCs w:val="32"/>
          <w:highlight w:val="none"/>
        </w:rPr>
        <w:t xml:space="preserve">四、投标文件的递交</w:t>
      </w:r>
      <w:bookmarkEnd w:id="84"/>
      <w:r/>
      <w:bookmarkEnd w:id="85"/>
      <w:r/>
      <w:bookmarkEnd w:id="86"/>
      <w:r/>
      <w:bookmarkEnd w:id="87"/>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88" w:name="_Toc513029225"/>
      <w:r/>
      <w:bookmarkStart w:id="89" w:name="_Toc16938541"/>
      <w:r/>
      <w:bookmarkStart w:id="90" w:name="_Toc20823297"/>
      <w:r/>
      <w:bookmarkStart w:id="91" w:name="_Toc462564084"/>
      <w:r>
        <w:rPr>
          <w:rFonts w:hint="eastAsia" w:ascii="宋体" w:hAnsi="宋体" w:eastAsia="宋体"/>
          <w:bCs w:val="0"/>
          <w:color w:val="auto"/>
          <w:sz w:val="24"/>
          <w:szCs w:val="24"/>
          <w:highlight w:val="none"/>
        </w:rPr>
        <w:t xml:space="preserve">17.投标文件</w:t>
      </w:r>
      <w:bookmarkEnd w:id="88"/>
      <w:r/>
      <w:bookmarkEnd w:id="89"/>
      <w:r/>
      <w:bookmarkEnd w:id="90"/>
      <w:r/>
      <w:bookmarkEnd w:id="91"/>
      <w:r>
        <w:rPr>
          <w:rFonts w:hint="eastAsia" w:ascii="宋体" w:hAnsi="宋体" w:eastAsia="宋体"/>
          <w:bCs w:val="0"/>
          <w:color w:val="auto"/>
          <w:sz w:val="24"/>
          <w:szCs w:val="24"/>
          <w:highlight w:val="none"/>
        </w:rPr>
        <w:t xml:space="preserve">的递交</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17.1</w:t>
      </w:r>
      <w:r>
        <w:rPr>
          <w:rFonts w:hint="eastAsia" w:ascii="宋体" w:hAnsi="宋体"/>
          <w:bCs/>
          <w:color w:val="auto"/>
          <w:sz w:val="24"/>
          <w:szCs w:val="24"/>
          <w:highlight w:val="none"/>
        </w:rPr>
        <w:t xml:space="preserve">电子投标文件的递交</w:t>
      </w:r>
      <w:r/>
    </w:p>
    <w:p>
      <w:pPr>
        <w:pStyle w:val="1012"/>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并上传电子投标文件。</w:t>
      </w:r>
      <w:bookmarkStart w:id="92" w:name="_Toc20823298"/>
      <w:r/>
      <w:bookmarkStart w:id="93" w:name="_Toc513029226"/>
      <w:r/>
      <w:bookmarkStart w:id="94" w:name="_Toc16938542"/>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18.投标截止</w:t>
      </w:r>
      <w:bookmarkEnd w:id="92"/>
      <w:r/>
      <w:bookmarkEnd w:id="93"/>
      <w:r/>
      <w:bookmarkEnd w:id="94"/>
      <w:r>
        <w:rPr>
          <w:rFonts w:hint="eastAsia" w:ascii="宋体" w:hAnsi="宋体" w:eastAsia="宋体"/>
          <w:bCs w:val="0"/>
          <w:color w:val="auto"/>
          <w:sz w:val="24"/>
          <w:szCs w:val="24"/>
          <w:highlight w:val="none"/>
        </w:rPr>
        <w:t xml:space="preserve">时间</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18.1</w:t>
      </w:r>
      <w:r>
        <w:rPr>
          <w:rFonts w:hint="eastAsia" w:ascii="宋体" w:hAnsi="宋体"/>
          <w:bCs/>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18.2</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95" w:name="_Toc20823299"/>
      <w:r/>
      <w:bookmarkStart w:id="96" w:name="_Toc513029227"/>
      <w:r/>
      <w:bookmarkStart w:id="97" w:name="_Toc16938543"/>
      <w:r>
        <w:rPr>
          <w:rFonts w:hint="eastAsia" w:ascii="宋体" w:hAnsi="宋体" w:eastAsia="宋体"/>
          <w:bCs w:val="0"/>
          <w:color w:val="auto"/>
          <w:sz w:val="24"/>
          <w:szCs w:val="24"/>
          <w:highlight w:val="none"/>
        </w:rPr>
        <w:t xml:space="preserve">19.投标文件</w:t>
      </w:r>
      <w:bookmarkEnd w:id="95"/>
      <w:r/>
      <w:bookmarkEnd w:id="96"/>
      <w:r/>
      <w:bookmarkEnd w:id="97"/>
      <w:r>
        <w:rPr>
          <w:rFonts w:hint="eastAsia" w:ascii="宋体" w:hAnsi="宋体" w:eastAsia="宋体"/>
          <w:bCs w:val="0"/>
          <w:color w:val="auto"/>
          <w:sz w:val="24"/>
          <w:szCs w:val="24"/>
          <w:highlight w:val="none"/>
        </w:rPr>
        <w:t xml:space="preserve">的拒收</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19.1</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拒绝接收在其规定的投标截止时间后上传的任何投标文件。</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98" w:name="_Toc513029228"/>
      <w:r/>
      <w:bookmarkStart w:id="99" w:name="_Toc20823300"/>
      <w:r/>
      <w:bookmarkStart w:id="100" w:name="_Toc16938544"/>
      <w:r>
        <w:rPr>
          <w:rFonts w:hint="eastAsia" w:ascii="宋体" w:hAnsi="宋体" w:eastAsia="宋体"/>
          <w:bCs w:val="0"/>
          <w:color w:val="auto"/>
          <w:sz w:val="24"/>
          <w:szCs w:val="24"/>
          <w:highlight w:val="none"/>
        </w:rPr>
        <w:t xml:space="preserve">20.投标文件的撤回和修改</w:t>
      </w:r>
      <w:bookmarkEnd w:id="98"/>
      <w:r/>
      <w:bookmarkEnd w:id="99"/>
      <w:r/>
      <w:bookmarkEnd w:id="10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20.1投标文件的撤回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21.1.1电子投标文件的撤回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20.2.2</w:t>
      </w:r>
      <w:r>
        <w:rPr>
          <w:rFonts w:hint="eastAsia" w:ascii="宋体" w:hAnsi="宋体"/>
          <w:bCs/>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20.3</w:t>
      </w:r>
      <w:r>
        <w:rPr>
          <w:rFonts w:hint="eastAsia" w:ascii="宋体" w:hAnsi="宋体"/>
          <w:bCs/>
          <w:color w:val="auto"/>
          <w:sz w:val="24"/>
          <w:szCs w:val="24"/>
          <w:highlight w:val="none"/>
        </w:rPr>
        <w:t xml:space="preserve">在投标截止时间至招标文件中规定的投标有效期满之间的这段时间内，投标人不得撤回其投标。</w:t>
      </w:r>
      <w:r/>
    </w:p>
    <w:p>
      <w:pPr>
        <w:pStyle w:val="1022"/>
        <w:jc w:val="center"/>
        <w:keepLines w:val="0"/>
        <w:keepNext w:val="0"/>
        <w:spacing w:before="0" w:after="0" w:line="500" w:lineRule="exact"/>
        <w:rPr>
          <w:rFonts w:hint="eastAsia"/>
          <w:color w:val="auto"/>
          <w:sz w:val="32"/>
          <w:szCs w:val="32"/>
          <w:highlight w:val="none"/>
        </w:rPr>
      </w:pPr>
      <w:r/>
      <w:bookmarkStart w:id="101" w:name="_Toc513029229"/>
      <w:r/>
      <w:bookmarkStart w:id="102" w:name="_Toc20823301"/>
      <w:r/>
      <w:bookmarkStart w:id="103" w:name="_Toc16938545"/>
      <w:r/>
      <w:bookmarkStart w:id="104" w:name="_Toc120614218"/>
      <w:r>
        <w:rPr>
          <w:rFonts w:hint="eastAsia"/>
          <w:color w:val="auto"/>
          <w:sz w:val="32"/>
          <w:szCs w:val="32"/>
          <w:highlight w:val="none"/>
        </w:rPr>
        <w:t xml:space="preserve">五、开标与评标</w:t>
      </w:r>
      <w:bookmarkEnd w:id="101"/>
      <w:r/>
      <w:bookmarkEnd w:id="102"/>
      <w:r/>
      <w:bookmarkEnd w:id="103"/>
      <w:r/>
      <w:bookmarkEnd w:id="104"/>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05" w:name="_Toc513029230"/>
      <w:r/>
      <w:bookmarkStart w:id="106" w:name="_Toc20823302"/>
      <w:r/>
      <w:bookmarkStart w:id="107" w:name="_Toc16938546"/>
      <w:r>
        <w:rPr>
          <w:rFonts w:hint="eastAsia" w:ascii="宋体" w:hAnsi="宋体" w:eastAsia="宋体"/>
          <w:bCs w:val="0"/>
          <w:color w:val="auto"/>
          <w:sz w:val="24"/>
          <w:szCs w:val="24"/>
          <w:highlight w:val="none"/>
        </w:rPr>
        <w:t xml:space="preserve">21.开标</w:t>
      </w:r>
      <w:bookmarkEnd w:id="105"/>
      <w:r/>
      <w:bookmarkEnd w:id="106"/>
      <w:r/>
      <w:bookmarkEnd w:id="107"/>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21.1</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21.2开标仪式由</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中《开标记录表》宣布后5分钟内未提出的，视同认可开标结果。</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08" w:name="_Toc16938547"/>
      <w:r/>
      <w:bookmarkStart w:id="109" w:name="_Toc20823303"/>
      <w:r/>
      <w:bookmarkStart w:id="110" w:name="_Toc513029231"/>
      <w:r>
        <w:rPr>
          <w:rFonts w:hint="eastAsia" w:ascii="宋体" w:hAnsi="宋体" w:eastAsia="宋体"/>
          <w:bCs w:val="0"/>
          <w:color w:val="auto"/>
          <w:sz w:val="24"/>
          <w:szCs w:val="24"/>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lang w:eastAsia="zh-CN"/>
        </w:rPr>
        <w:t xml:space="preserve">候选</w:t>
      </w:r>
      <w:r>
        <w:rPr>
          <w:rFonts w:hint="eastAsia" w:ascii="宋体" w:hAnsi="宋体"/>
          <w:color w:val="auto"/>
          <w:sz w:val="24"/>
          <w:szCs w:val="24"/>
          <w:highlight w:val="none"/>
        </w:rPr>
        <w:t xml:space="preserve">人。</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23.评标过程的保密与公正</w:t>
      </w:r>
      <w:bookmarkEnd w:id="108"/>
      <w:r/>
      <w:bookmarkEnd w:id="109"/>
      <w:r/>
      <w:bookmarkEnd w:id="110"/>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23.1</w:t>
      </w:r>
      <w:r>
        <w:rPr>
          <w:rFonts w:hint="eastAsia" w:ascii="宋体" w:hAnsi="宋体"/>
          <w:bCs/>
          <w:color w:val="auto"/>
          <w:sz w:val="24"/>
          <w:szCs w:val="24"/>
          <w:highlight w:val="none"/>
        </w:rPr>
        <w:t xml:space="preserve">凡是与审查、澄清、评价和比较投标的有关资料以及授标建议等，采购人、评委、</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11" w:name="_Toc20823304"/>
      <w:r/>
      <w:bookmarkStart w:id="112" w:name="_Toc16938548"/>
      <w:r/>
      <w:bookmarkStart w:id="113" w:name="_Toc513029232"/>
      <w:r>
        <w:rPr>
          <w:rFonts w:hint="eastAsia" w:ascii="宋体" w:hAnsi="宋体" w:eastAsia="宋体"/>
          <w:bCs w:val="0"/>
          <w:color w:val="auto"/>
          <w:sz w:val="24"/>
          <w:szCs w:val="24"/>
          <w:highlight w:val="none"/>
        </w:rPr>
        <w:t xml:space="preserve">24.投标文件的澄清</w:t>
      </w:r>
      <w:bookmarkEnd w:id="111"/>
      <w:r/>
      <w:bookmarkEnd w:id="112"/>
      <w:r/>
      <w:bookmarkEnd w:id="113"/>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24.3接到评委会澄清、说明和补正要求的投标人如未按规定做出澄清、说明和补正，其风险由投标人自行承担。</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14" w:name="_Toc20823305"/>
      <w:r/>
      <w:bookmarkStart w:id="115" w:name="_Toc16938549"/>
      <w:r/>
      <w:bookmarkStart w:id="116" w:name="_Toc513029233"/>
      <w:r>
        <w:rPr>
          <w:rFonts w:hint="eastAsia" w:ascii="宋体" w:hAnsi="宋体" w:eastAsia="宋体"/>
          <w:bCs w:val="0"/>
          <w:color w:val="auto"/>
          <w:sz w:val="24"/>
          <w:szCs w:val="24"/>
          <w:highlight w:val="none"/>
        </w:rPr>
        <w:t xml:space="preserve">25.对投标文件的初审</w:t>
      </w:r>
      <w:bookmarkEnd w:id="114"/>
      <w:r/>
      <w:bookmarkEnd w:id="115"/>
      <w:r/>
      <w:bookmarkEnd w:id="116"/>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25.1</w:t>
      </w:r>
      <w:r>
        <w:rPr>
          <w:rFonts w:hint="eastAsia" w:ascii="宋体" w:hAnsi="宋体"/>
          <w:bCs/>
          <w:color w:val="auto"/>
          <w:sz w:val="24"/>
          <w:szCs w:val="24"/>
          <w:highlight w:val="none"/>
        </w:rPr>
        <w:t xml:space="preserve">投标文件初审分为资格审查和符合性审查。</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采购人在进行资格审查的同时，将通过“信用中国”网站（</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"http://www.creditchina.gov.cn"</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25.</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3未通过资格审查或符合性审查的投标人，将在“苏采云”系统中告知未通过资格审查或符合性审查的原因，</w:t>
      </w:r>
      <w:r>
        <w:rPr>
          <w:rFonts w:ascii="宋体" w:hAnsi="宋体"/>
          <w:bCs/>
          <w:color w:val="auto"/>
          <w:sz w:val="24"/>
          <w:szCs w:val="24"/>
          <w:highlight w:val="none"/>
        </w:rPr>
        <w:t xml:space="preserve">评标结束后，将不再告知未通过资格审查和</w:t>
      </w:r>
      <w:r>
        <w:rPr>
          <w:rFonts w:hint="eastAsia" w:ascii="宋体" w:hAnsi="宋体"/>
          <w:bCs/>
          <w:color w:val="auto"/>
          <w:sz w:val="24"/>
          <w:szCs w:val="24"/>
          <w:highlight w:val="none"/>
        </w:rPr>
        <w:t xml:space="preserve">符合性</w:t>
      </w:r>
      <w:r>
        <w:rPr>
          <w:rFonts w:ascii="宋体" w:hAnsi="宋体"/>
          <w:bCs/>
          <w:color w:val="auto"/>
          <w:sz w:val="24"/>
          <w:szCs w:val="24"/>
          <w:highlight w:val="none"/>
        </w:rPr>
        <w:t xml:space="preserve">审查的原因。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bCs/>
          <w:color w:val="auto"/>
          <w:sz w:val="24"/>
          <w:szCs w:val="24"/>
          <w:highlight w:val="none"/>
        </w:rPr>
        <w:t xml:space="preserve">“苏采云”系统告知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szCs w:val="24"/>
          <w:highlight w:val="none"/>
        </w:rPr>
      </w:pPr>
      <w:r/>
      <w:bookmarkStart w:id="117" w:name="_Toc16938550"/>
      <w:r/>
      <w:bookmarkStart w:id="118" w:name="_Toc513029234"/>
      <w:r/>
      <w:bookmarkStart w:id="119" w:name="_Toc20823306"/>
      <w:r>
        <w:rPr>
          <w:rFonts w:hint="eastAsia" w:ascii="宋体" w:hAnsi="宋体"/>
          <w:color w:val="auto"/>
          <w:sz w:val="24"/>
          <w:szCs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并安排专人随时接受与代理机构及评标委员会的相关询问。</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26</w:t>
      </w:r>
      <w:bookmarkEnd w:id="117"/>
      <w:r/>
      <w:bookmarkEnd w:id="118"/>
      <w:r/>
      <w:bookmarkEnd w:id="119"/>
      <w:r>
        <w:rPr>
          <w:rFonts w:hint="eastAsia" w:ascii="宋体" w:hAnsi="宋体" w:eastAsia="宋体"/>
          <w:bCs w:val="0"/>
          <w:color w:val="auto"/>
          <w:sz w:val="24"/>
          <w:szCs w:val="24"/>
          <w:highlight w:val="none"/>
        </w:rPr>
        <w:t xml:space="preserve">.无效投标条款和废标条款</w:t>
      </w:r>
      <w:r/>
    </w:p>
    <w:p>
      <w:pPr>
        <w:ind w:left="479"/>
        <w:spacing w:line="500" w:lineRule="exact"/>
        <w:rPr>
          <w:rFonts w:hint="eastAsia" w:ascii="宋体" w:hAnsi="宋体"/>
          <w:bCs/>
          <w:color w:val="auto"/>
          <w:sz w:val="24"/>
          <w:szCs w:val="24"/>
          <w:highlight w:val="none"/>
        </w:rPr>
      </w:pPr>
      <w:r/>
      <w:bookmarkStart w:id="120" w:name="_Toc20823307"/>
      <w:r/>
      <w:bookmarkStart w:id="121" w:name="_Toc513029235"/>
      <w:r/>
      <w:bookmarkStart w:id="122" w:name="_Toc16938551"/>
      <w:r>
        <w:rPr>
          <w:rFonts w:hint="eastAsia" w:ascii="宋体" w:hAnsi="宋体"/>
          <w:bCs/>
          <w:color w:val="auto"/>
          <w:sz w:val="24"/>
          <w:szCs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szCs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color w:val="auto"/>
          <w:sz w:val="24"/>
          <w:szCs w:val="24"/>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26.2废标条款</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left="479"/>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26.2.5 因“苏采云”系统</w:t>
      </w:r>
      <w:r>
        <w:rPr>
          <w:rFonts w:ascii="宋体" w:hAnsi="宋体"/>
          <w:bCs/>
          <w:color w:val="auto"/>
          <w:sz w:val="24"/>
          <w:szCs w:val="24"/>
          <w:highlight w:val="none"/>
        </w:rPr>
        <w:t xml:space="preserve">故障原因造成开标不成功</w:t>
      </w:r>
      <w:r>
        <w:rPr>
          <w:rFonts w:hint="eastAsia" w:ascii="宋体" w:hAnsi="宋体"/>
          <w:bCs/>
          <w:color w:val="auto"/>
          <w:sz w:val="24"/>
          <w:szCs w:val="24"/>
          <w:highlight w:val="none"/>
        </w:rPr>
        <w:t xml:space="preserve">的；</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22"/>
        <w:jc w:val="center"/>
        <w:keepLines w:val="0"/>
        <w:keepNext w:val="0"/>
        <w:spacing w:before="0" w:after="0" w:line="500" w:lineRule="exact"/>
        <w:rPr>
          <w:rFonts w:hint="eastAsia"/>
          <w:color w:val="auto"/>
          <w:sz w:val="32"/>
          <w:szCs w:val="32"/>
          <w:highlight w:val="none"/>
        </w:rPr>
      </w:pPr>
      <w:r/>
      <w:bookmarkStart w:id="123" w:name="_Toc120614219"/>
      <w:r>
        <w:rPr>
          <w:rFonts w:hint="eastAsia"/>
          <w:color w:val="auto"/>
          <w:sz w:val="32"/>
          <w:szCs w:val="32"/>
          <w:highlight w:val="none"/>
        </w:rPr>
        <w:t xml:space="preserve">六、</w:t>
      </w:r>
      <w:bookmarkEnd w:id="120"/>
      <w:r/>
      <w:bookmarkEnd w:id="121"/>
      <w:r/>
      <w:bookmarkEnd w:id="122"/>
      <w:r>
        <w:rPr>
          <w:rFonts w:hint="eastAsia"/>
          <w:color w:val="auto"/>
          <w:sz w:val="32"/>
          <w:szCs w:val="32"/>
          <w:highlight w:val="none"/>
        </w:rPr>
        <w:t xml:space="preserve">定标</w:t>
      </w:r>
      <w:bookmarkEnd w:id="123"/>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bookmarkStart w:id="124" w:name="_Toc513029238"/>
      <w:r/>
      <w:bookmarkStart w:id="125" w:name="_Toc20823310"/>
      <w:r/>
      <w:bookmarkStart w:id="126" w:name="_Toc16938554"/>
      <w:r>
        <w:rPr>
          <w:rFonts w:hint="eastAsia" w:ascii="宋体" w:hAnsi="宋体" w:eastAsia="宋体"/>
          <w:bCs w:val="0"/>
          <w:color w:val="auto"/>
          <w:sz w:val="24"/>
          <w:szCs w:val="24"/>
          <w:highlight w:val="none"/>
        </w:rPr>
        <w:t xml:space="preserve">27、</w:t>
      </w:r>
      <w:bookmarkEnd w:id="124"/>
      <w:r>
        <w:rPr>
          <w:rFonts w:hint="eastAsia" w:ascii="宋体" w:hAnsi="宋体" w:eastAsia="宋体"/>
          <w:bCs w:val="0"/>
          <w:color w:val="auto"/>
          <w:sz w:val="24"/>
          <w:szCs w:val="24"/>
          <w:highlight w:val="none"/>
        </w:rPr>
        <w:t xml:space="preserve">确定</w:t>
      </w:r>
      <w:bookmarkEnd w:id="125"/>
      <w:r/>
      <w:bookmarkEnd w:id="126"/>
      <w:r>
        <w:rPr>
          <w:rFonts w:hint="eastAsia" w:ascii="宋体" w:hAnsi="宋体" w:eastAsia="宋体"/>
          <w:bCs w:val="0"/>
          <w:color w:val="auto"/>
          <w:sz w:val="24"/>
          <w:szCs w:val="24"/>
          <w:highlight w:val="none"/>
        </w:rPr>
        <w:t xml:space="preserve">中标单位</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28.质疑处理</w:t>
      </w:r>
      <w:bookmarkEnd w:id="127"/>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22"/>
        <w:jc w:val="center"/>
        <w:keepLines w:val="0"/>
        <w:keepNext w:val="0"/>
        <w:spacing w:before="0" w:after="0" w:line="500" w:lineRule="exact"/>
        <w:rPr>
          <w:rFonts w:hint="eastAsia"/>
          <w:color w:val="auto"/>
          <w:sz w:val="32"/>
          <w:szCs w:val="32"/>
          <w:highlight w:val="none"/>
        </w:rPr>
      </w:pPr>
      <w:r/>
      <w:bookmarkStart w:id="128" w:name="_Toc16938552"/>
      <w:r/>
      <w:bookmarkStart w:id="129" w:name="_Toc120614220"/>
      <w:r/>
      <w:bookmarkStart w:id="130" w:name="_Toc513029236"/>
      <w:r/>
      <w:bookmarkStart w:id="131" w:name="_Toc20823308"/>
      <w:r>
        <w:rPr>
          <w:rFonts w:hint="eastAsia"/>
          <w:color w:val="auto"/>
          <w:sz w:val="32"/>
          <w:szCs w:val="32"/>
          <w:highlight w:val="none"/>
        </w:rPr>
        <w:t xml:space="preserve">七、授予合同</w:t>
      </w:r>
      <w:bookmarkEnd w:id="128"/>
      <w:r/>
      <w:bookmarkEnd w:id="129"/>
      <w:r/>
      <w:bookmarkEnd w:id="130"/>
      <w:r/>
      <w:bookmarkEnd w:id="131"/>
      <w:r/>
      <w:r/>
    </w:p>
    <w:p>
      <w:pPr>
        <w:pStyle w:val="1024"/>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jc w:val="center"/>
        <w:spacing w:line="400" w:lineRule="exact"/>
        <w:rPr>
          <w:rFonts w:hint="eastAsia" w:ascii="黑体" w:eastAsia="黑体"/>
          <w:bCs/>
          <w:color w:val="auto"/>
          <w:sz w:val="30"/>
          <w:szCs w:val="30"/>
          <w:highlight w:val="none"/>
        </w:rPr>
      </w:pPr>
      <w:r>
        <w:rPr>
          <w:rFonts w:hint="eastAsia" w:ascii="黑体" w:eastAsia="黑体"/>
          <w:bCs/>
          <w:color w:val="auto"/>
          <w:sz w:val="30"/>
          <w:szCs w:val="30"/>
          <w:highlight w:val="none"/>
        </w:rPr>
      </w:r>
      <w:r/>
    </w:p>
    <w:p>
      <w:pPr>
        <w:spacing w:line="400" w:lineRule="exact"/>
        <w:rPr>
          <w:rFonts w:hint="eastAsia" w:ascii="黑体" w:eastAsia="黑体"/>
          <w:bCs/>
          <w:color w:val="auto"/>
          <w:sz w:val="30"/>
          <w:szCs w:val="30"/>
          <w:highlight w:val="none"/>
        </w:rPr>
      </w:pPr>
      <w:r>
        <w:rPr>
          <w:rFonts w:hint="eastAsia" w:ascii="黑体" w:eastAsia="黑体"/>
          <w:bCs/>
          <w:color w:val="auto"/>
          <w:sz w:val="30"/>
          <w:szCs w:val="30"/>
          <w:highlight w:val="none"/>
        </w:rPr>
      </w:r>
      <w:r/>
    </w:p>
    <w:p>
      <w:pPr>
        <w:spacing w:line="400" w:lineRule="exact"/>
        <w:rPr>
          <w:rFonts w:hint="eastAsia" w:ascii="黑体" w:eastAsia="黑体"/>
          <w:bCs/>
          <w:color w:val="auto"/>
          <w:sz w:val="30"/>
          <w:szCs w:val="30"/>
          <w:highlight w:val="none"/>
        </w:rPr>
      </w:pPr>
      <w:r>
        <w:rPr>
          <w:rFonts w:hint="eastAsia" w:ascii="黑体" w:eastAsia="黑体"/>
          <w:bCs/>
          <w:color w:val="auto"/>
          <w:sz w:val="30"/>
          <w:szCs w:val="30"/>
          <w:highlight w:val="none"/>
        </w:rPr>
      </w:r>
      <w:r/>
    </w:p>
    <w:p>
      <w:pPr>
        <w:spacing w:line="360" w:lineRule="auto"/>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680"/>
        <w:jc w:val="center"/>
        <w:pageBreakBefore/>
        <w:rPr>
          <w:rFonts w:hint="eastAsia" w:ascii="黑体" w:eastAsia="黑体"/>
          <w:color w:val="auto"/>
          <w:sz w:val="30"/>
          <w:szCs w:val="30"/>
          <w:highlight w:val="none"/>
          <w:lang w:eastAsia="zh-CN"/>
        </w:rPr>
      </w:pPr>
      <w:r/>
      <w:bookmarkStart w:id="132" w:name="_Toc61444673"/>
      <w:r>
        <w:rPr>
          <w:rFonts w:hint="eastAsia" w:ascii="黑体" w:hAnsi="黑体" w:eastAsia="黑体"/>
          <w:b w:val="0"/>
          <w:color w:val="auto"/>
          <w:sz w:val="32"/>
          <w:szCs w:val="32"/>
          <w:highlight w:val="none"/>
          <w:lang w:eastAsia="zh-CN"/>
        </w:rPr>
        <w:t xml:space="preserve">第三章</w:t>
      </w:r>
      <w:r>
        <w:rPr>
          <w:rFonts w:hint="eastAsia" w:ascii="黑体" w:hAnsi="黑体" w:eastAsia="黑体"/>
          <w:b w:val="0"/>
          <w:color w:val="auto"/>
          <w:sz w:val="32"/>
          <w:szCs w:val="32"/>
          <w:highlight w:val="none"/>
          <w:lang w:val="en-US" w:eastAsia="zh-CN"/>
        </w:rPr>
        <w:t xml:space="preserve">  </w:t>
      </w:r>
      <w:bookmarkEnd w:id="132"/>
      <w:r>
        <w:rPr>
          <w:rFonts w:hint="eastAsia" w:ascii="黑体" w:hAnsi="黑体" w:eastAsia="黑体"/>
          <w:b w:val="0"/>
          <w:color w:val="auto"/>
          <w:sz w:val="32"/>
          <w:szCs w:val="32"/>
          <w:highlight w:val="none"/>
          <w:lang w:eastAsia="zh-CN"/>
        </w:rPr>
        <w:t xml:space="preserve">项目需求</w:t>
      </w:r>
      <w:r/>
    </w:p>
    <w:p>
      <w:pPr>
        <w:contextualSpacing/>
        <w:ind w:firstLine="480"/>
        <w:pageBreakBefore w:val="0"/>
        <w:spacing w:line="360" w:lineRule="auto"/>
        <w:rPr>
          <w:rFonts w:hint="eastAsia" w:ascii="宋体" w:hAnsi="宋体" w:eastAsia="宋体" w:cs="宋体"/>
          <w:color w:val="auto"/>
          <w:sz w:val="24"/>
          <w:szCs w:val="24"/>
          <w:highlight w:val="none"/>
        </w:rPr>
      </w:pPr>
      <w:r/>
      <w:bookmarkStart w:id="133" w:name="_Hlk40341342"/>
      <w:r/>
      <w:bookmarkStart w:id="134" w:name="_Toc61444674"/>
      <w:r>
        <w:rPr>
          <w:rFonts w:hint="eastAsia" w:ascii="宋体" w:hAnsi="宋体" w:eastAsia="宋体" w:cs="宋体"/>
          <w:color w:val="auto"/>
          <w:sz w:val="24"/>
          <w:szCs w:val="24"/>
          <w:highlight w:val="none"/>
        </w:rPr>
        <w:t xml:space="preserve">投标人所投内容必须满足招标文件要求，不得有负偏离。</w:t>
      </w:r>
      <w:r/>
    </w:p>
    <w:p>
      <w:pPr>
        <w:jc w:val="center"/>
        <w:spacing w:line="360" w:lineRule="auto"/>
        <w:rPr>
          <w:rFonts w:hint="eastAsia" w:hAnsi="宋体"/>
          <w:b/>
          <w:bCs/>
          <w:color w:val="auto"/>
          <w:sz w:val="24"/>
          <w:szCs w:val="24"/>
        </w:rPr>
      </w:pPr>
      <w:r>
        <w:rPr>
          <w:rFonts w:hint="eastAsia" w:ascii="宋体" w:hAnsi="宋体"/>
          <w:b/>
          <w:color w:val="auto"/>
          <w:sz w:val="30"/>
          <w:szCs w:val="30"/>
          <w:highlight w:val="none"/>
          <w:u w:val="none"/>
        </w:rPr>
        <w:t xml:space="preserve">第</w:t>
      </w:r>
      <w:r>
        <w:rPr>
          <w:rFonts w:hint="eastAsia" w:ascii="宋体" w:hAnsi="宋体"/>
          <w:b/>
          <w:color w:val="auto"/>
          <w:sz w:val="30"/>
          <w:szCs w:val="30"/>
          <w:highlight w:val="none"/>
          <w:u w:val="none"/>
          <w:lang w:eastAsia="zh-CN"/>
        </w:rPr>
        <w:t xml:space="preserve">一</w:t>
      </w:r>
      <w:r>
        <w:rPr>
          <w:rFonts w:hint="eastAsia" w:ascii="宋体" w:hAnsi="宋体"/>
          <w:b/>
          <w:color w:val="auto"/>
          <w:sz w:val="30"/>
          <w:szCs w:val="30"/>
          <w:highlight w:val="none"/>
          <w:u w:val="none"/>
        </w:rPr>
        <w:t xml:space="preserve">部分  </w:t>
      </w:r>
      <w:r>
        <w:rPr>
          <w:rFonts w:hint="eastAsia" w:ascii="宋体" w:hAnsi="宋体" w:eastAsia="宋体" w:cs="Times New Roman"/>
          <w:b/>
          <w:color w:val="auto"/>
          <w:sz w:val="30"/>
          <w:szCs w:val="30"/>
          <w:highlight w:val="none"/>
          <w:u w:val="none"/>
        </w:rPr>
        <w:t xml:space="preserve">项目技术要求</w:t>
      </w:r>
      <w:r/>
    </w:p>
    <w:p>
      <w:pPr>
        <w:ind w:left="482"/>
        <w:jc w:val="left"/>
        <w:spacing w:line="360" w:lineRule="auto"/>
        <w:rPr>
          <w:rFonts w:hint="eastAsia" w:hAnsi="宋体"/>
          <w:b/>
          <w:bCs/>
          <w:color w:val="auto"/>
          <w:sz w:val="24"/>
          <w:szCs w:val="24"/>
        </w:rPr>
      </w:pPr>
      <w:r>
        <w:rPr>
          <w:rFonts w:hint="eastAsia" w:hAnsi="宋体"/>
          <w:b/>
          <w:bCs/>
          <w:color w:val="auto"/>
          <w:sz w:val="24"/>
          <w:szCs w:val="24"/>
        </w:rPr>
        <w:t xml:space="preserve">一、项目技术要求</w:t>
      </w:r>
      <w:r/>
    </w:p>
    <w:p>
      <w:pPr>
        <w:ind w:firstLine="480"/>
        <w:spacing w:line="360" w:lineRule="auto"/>
        <w:rPr>
          <w:rFonts w:hint="eastAsia" w:hAnsi="宋体" w:cs="仿宋_GB2312"/>
          <w:color w:val="auto"/>
          <w:sz w:val="24"/>
        </w:rPr>
      </w:pPr>
      <w:r>
        <w:rPr>
          <w:rFonts w:hint="eastAsia" w:hAnsi="宋体" w:cs="仿宋_GB2312"/>
          <w:color w:val="auto"/>
          <w:sz w:val="24"/>
        </w:rPr>
        <w:t xml:space="preserve">本项目是指对各类摄像头、摄像头侧的各类设备、及其相应的视频、供电、控制线缆、杆路及线路资源等辅助及固定设施的维护，并提供相关设备的备品备件，以及视频监控类用户侧各类设备日常巡检维护清洁工作，负责完成派发的应急障碍抢修。现场维修施工符合相关规范（包括设备位置、线缆布放、线缆绑扎、各类现场标志）；设备、线缆运行可靠。</w:t>
      </w:r>
      <w:r/>
    </w:p>
    <w:p>
      <w:pPr>
        <w:ind w:firstLine="482"/>
        <w:spacing w:line="360" w:lineRule="auto"/>
        <w:rPr>
          <w:rFonts w:hint="eastAsia" w:hAnsi="宋体" w:cs="楷体"/>
          <w:b/>
          <w:bCs/>
          <w:color w:val="auto"/>
          <w:sz w:val="24"/>
          <w:szCs w:val="24"/>
        </w:rPr>
      </w:pPr>
      <w:r>
        <w:rPr>
          <w:rFonts w:hint="eastAsia" w:hAnsi="宋体" w:cs="楷体"/>
          <w:b/>
          <w:bCs/>
          <w:color w:val="auto"/>
          <w:sz w:val="24"/>
          <w:szCs w:val="24"/>
        </w:rPr>
        <w:t xml:space="preserve">（一）监控维护服务内容</w:t>
      </w:r>
      <w:r/>
    </w:p>
    <w:p>
      <w:pPr>
        <w:ind w:firstLine="480"/>
        <w:spacing w:line="360" w:lineRule="auto"/>
        <w:rPr>
          <w:rFonts w:hint="eastAsia" w:hAnsi="宋体" w:cs="仿宋_GB2312"/>
          <w:color w:val="auto"/>
          <w:sz w:val="24"/>
        </w:rPr>
      </w:pPr>
      <w:r>
        <w:rPr>
          <w:rFonts w:hint="eastAsia" w:hAnsi="宋体" w:cs="仿宋_GB2312"/>
          <w:color w:val="auto"/>
          <w:sz w:val="24"/>
        </w:rPr>
        <w:t xml:space="preserve">1、提供系统的维护、维修服务</w:t>
      </w:r>
      <w:r/>
    </w:p>
    <w:p>
      <w:pPr>
        <w:ind w:firstLine="480"/>
        <w:spacing w:line="360" w:lineRule="auto"/>
        <w:rPr>
          <w:rFonts w:hint="eastAsia" w:hAnsi="宋体" w:cs="仿宋_GB2312"/>
          <w:color w:val="auto"/>
          <w:sz w:val="24"/>
        </w:rPr>
      </w:pPr>
      <w:r>
        <w:rPr>
          <w:rFonts w:hint="eastAsia" w:hAnsi="宋体" w:cs="仿宋_GB2312"/>
          <w:color w:val="auto"/>
          <w:sz w:val="24"/>
        </w:rPr>
        <w:t xml:space="preserve">2、系统的日常巡检，并提供巡检报告</w:t>
      </w:r>
      <w:r/>
    </w:p>
    <w:p>
      <w:pPr>
        <w:ind w:firstLine="480"/>
        <w:spacing w:line="360" w:lineRule="auto"/>
        <w:rPr>
          <w:rFonts w:hint="eastAsia" w:hAnsi="宋体" w:cs="仿宋_GB2312"/>
          <w:color w:val="auto"/>
          <w:sz w:val="24"/>
        </w:rPr>
      </w:pPr>
      <w:r>
        <w:rPr>
          <w:rFonts w:hint="eastAsia" w:hAnsi="宋体" w:cs="仿宋_GB2312"/>
          <w:color w:val="auto"/>
          <w:sz w:val="24"/>
        </w:rPr>
        <w:t xml:space="preserve">3、重大活动的应急保障</w:t>
      </w:r>
      <w:r/>
    </w:p>
    <w:p>
      <w:pPr>
        <w:ind w:firstLine="480"/>
        <w:spacing w:line="360" w:lineRule="auto"/>
        <w:rPr>
          <w:rFonts w:hint="eastAsia" w:hAnsi="宋体" w:cs="仿宋_GB2312"/>
          <w:color w:val="auto"/>
          <w:sz w:val="24"/>
        </w:rPr>
      </w:pPr>
      <w:r>
        <w:rPr>
          <w:rFonts w:hint="eastAsia" w:hAnsi="宋体" w:cs="仿宋_GB2312"/>
          <w:color w:val="auto"/>
          <w:sz w:val="24"/>
        </w:rPr>
        <w:t xml:space="preserve">4、</w:t>
      </w:r>
      <w:r>
        <w:rPr>
          <w:rFonts w:hint="eastAsia" w:hAnsi="宋体"/>
          <w:color w:val="auto"/>
          <w:sz w:val="24"/>
          <w:szCs w:val="24"/>
        </w:rPr>
        <w:t xml:space="preserve">负责专网线路的日常维护，确保网络运行畅通稳定</w:t>
      </w:r>
      <w:r>
        <w:rPr>
          <w:rFonts w:hint="eastAsia" w:hAnsi="宋体" w:cs="仿宋_GB2312"/>
          <w:color w:val="auto"/>
          <w:sz w:val="24"/>
        </w:rPr>
        <w:t xml:space="preserve"> </w:t>
      </w:r>
      <w:r/>
    </w:p>
    <w:p>
      <w:pPr>
        <w:ind w:firstLine="480"/>
        <w:spacing w:line="360" w:lineRule="auto"/>
        <w:rPr>
          <w:rFonts w:hint="eastAsia" w:hAnsi="宋体" w:cs="仿宋_GB2312"/>
          <w:color w:val="auto"/>
          <w:sz w:val="24"/>
        </w:rPr>
      </w:pPr>
      <w:r>
        <w:rPr>
          <w:rFonts w:hAnsi="宋体" w:cs="仿宋_GB2312"/>
          <w:color w:val="auto"/>
          <w:sz w:val="24"/>
        </w:rPr>
        <w:t xml:space="preserve">5</w:t>
      </w:r>
      <w:r>
        <w:rPr>
          <w:rFonts w:hint="eastAsia" w:hAnsi="宋体" w:cs="仿宋_GB2312"/>
          <w:color w:val="auto"/>
          <w:sz w:val="24"/>
        </w:rPr>
        <w:t xml:space="preserve">、提供维修用零配件</w:t>
      </w:r>
      <w:r/>
    </w:p>
    <w:p>
      <w:pPr>
        <w:ind w:firstLine="480"/>
        <w:spacing w:line="360" w:lineRule="auto"/>
        <w:rPr>
          <w:rFonts w:hint="eastAsia" w:hAnsi="宋体" w:cs="仿宋_GB2312"/>
          <w:color w:val="auto"/>
          <w:sz w:val="24"/>
        </w:rPr>
      </w:pPr>
      <w:r>
        <w:rPr>
          <w:rFonts w:hAnsi="宋体" w:cs="仿宋_GB2312"/>
          <w:color w:val="auto"/>
          <w:sz w:val="24"/>
        </w:rPr>
        <w:t xml:space="preserve">6</w:t>
      </w:r>
      <w:r>
        <w:rPr>
          <w:rFonts w:hint="eastAsia" w:hAnsi="宋体" w:cs="仿宋_GB2312"/>
          <w:color w:val="auto"/>
          <w:sz w:val="24"/>
        </w:rPr>
        <w:t xml:space="preserve">、提供设备的维护保养</w:t>
      </w:r>
      <w:r/>
    </w:p>
    <w:p>
      <w:pPr>
        <w:ind w:firstLine="480"/>
        <w:spacing w:line="360" w:lineRule="auto"/>
        <w:rPr>
          <w:rFonts w:hint="eastAsia" w:hAnsi="宋体" w:cs="仿宋_GB2312"/>
          <w:color w:val="auto"/>
          <w:sz w:val="24"/>
        </w:rPr>
      </w:pPr>
      <w:r>
        <w:rPr>
          <w:rFonts w:hAnsi="宋体" w:cs="仿宋_GB2312"/>
          <w:color w:val="auto"/>
          <w:sz w:val="24"/>
        </w:rPr>
        <w:t xml:space="preserve">7</w:t>
      </w:r>
      <w:r>
        <w:rPr>
          <w:rFonts w:hint="eastAsia" w:hAnsi="宋体" w:cs="仿宋_GB2312"/>
          <w:color w:val="auto"/>
          <w:sz w:val="24"/>
        </w:rPr>
        <w:t xml:space="preserve">、操作人员的培训工作</w:t>
      </w:r>
      <w:r/>
    </w:p>
    <w:p>
      <w:pPr>
        <w:ind w:firstLine="480"/>
        <w:spacing w:line="360" w:lineRule="auto"/>
        <w:rPr>
          <w:rFonts w:hint="eastAsia" w:hAnsi="宋体" w:cs="仿宋_GB2312"/>
          <w:color w:val="auto"/>
          <w:sz w:val="24"/>
        </w:rPr>
      </w:pPr>
      <w:r>
        <w:rPr>
          <w:rFonts w:hAnsi="宋体" w:cs="仿宋_GB2312"/>
          <w:color w:val="auto"/>
          <w:sz w:val="24"/>
        </w:rPr>
        <w:t xml:space="preserve">8</w:t>
      </w:r>
      <w:r>
        <w:rPr>
          <w:rFonts w:hint="eastAsia" w:hAnsi="宋体" w:cs="仿宋_GB2312"/>
          <w:color w:val="auto"/>
          <w:sz w:val="24"/>
        </w:rPr>
        <w:t xml:space="preserve">、资料的完善和更新</w:t>
      </w:r>
      <w:r/>
    </w:p>
    <w:p>
      <w:pPr>
        <w:ind w:firstLine="480"/>
        <w:spacing w:line="360" w:lineRule="auto"/>
        <w:rPr>
          <w:rFonts w:hint="eastAsia" w:hAnsi="宋体" w:cs="仿宋_GB2312"/>
          <w:color w:val="auto"/>
          <w:sz w:val="24"/>
        </w:rPr>
      </w:pPr>
      <w:r>
        <w:rPr>
          <w:rFonts w:hAnsi="宋体" w:cs="仿宋_GB2312"/>
          <w:color w:val="auto"/>
          <w:sz w:val="24"/>
        </w:rPr>
        <w:t xml:space="preserve">9</w:t>
      </w:r>
      <w:r>
        <w:rPr>
          <w:rFonts w:hint="eastAsia" w:hAnsi="宋体" w:cs="仿宋_GB2312"/>
          <w:color w:val="auto"/>
          <w:sz w:val="24"/>
        </w:rPr>
        <w:t xml:space="preserve">、维护内容见附表</w:t>
      </w:r>
      <w:r/>
    </w:p>
    <w:p>
      <w:pPr>
        <w:ind w:firstLine="482"/>
        <w:spacing w:line="360" w:lineRule="auto"/>
        <w:rPr>
          <w:rFonts w:hint="eastAsia" w:hAnsi="宋体" w:cs="楷体"/>
          <w:b/>
          <w:bCs/>
          <w:color w:val="auto"/>
          <w:sz w:val="24"/>
          <w:szCs w:val="24"/>
        </w:rPr>
      </w:pPr>
      <w:r>
        <w:rPr>
          <w:rFonts w:hint="eastAsia" w:hAnsi="宋体" w:cs="楷体"/>
          <w:b/>
          <w:bCs/>
          <w:color w:val="auto"/>
          <w:sz w:val="24"/>
          <w:szCs w:val="24"/>
        </w:rPr>
        <w:t xml:space="preserve">（二）监控系统日常支持服务</w:t>
      </w:r>
      <w:r/>
    </w:p>
    <w:p>
      <w:pPr>
        <w:contextualSpacing/>
        <w:ind w:firstLine="480"/>
        <w:spacing w:line="360" w:lineRule="auto"/>
        <w:tabs>
          <w:tab w:val="left" w:pos="360" w:leader="none"/>
        </w:tabs>
        <w:rPr>
          <w:rFonts w:hint="eastAsia" w:hAnsi="宋体" w:cs="楷体"/>
          <w:color w:val="auto"/>
          <w:sz w:val="24"/>
          <w:szCs w:val="24"/>
        </w:rPr>
      </w:pPr>
      <w:r>
        <w:rPr>
          <w:rFonts w:hint="eastAsia" w:hAnsi="宋体" w:cs="楷体"/>
          <w:color w:val="auto"/>
          <w:sz w:val="24"/>
          <w:szCs w:val="24"/>
        </w:rPr>
        <w:t xml:space="preserve">1、设备保养：按照保养标准及要求,做好设备保养，其中：每月至少1次对系统设备运行环境进行清洁、除垢，检查校准设备标签，时间为每月的第三个星期。</w:t>
      </w:r>
      <w:r/>
    </w:p>
    <w:p>
      <w:pPr>
        <w:contextualSpacing/>
        <w:ind w:firstLine="480"/>
        <w:spacing w:line="360" w:lineRule="auto"/>
        <w:tabs>
          <w:tab w:val="left" w:pos="360" w:leader="none"/>
        </w:tabs>
        <w:rPr>
          <w:rFonts w:hint="eastAsia" w:hAnsi="宋体" w:cs="楷体"/>
          <w:color w:val="auto"/>
          <w:sz w:val="24"/>
          <w:szCs w:val="24"/>
        </w:rPr>
      </w:pPr>
      <w:r>
        <w:rPr>
          <w:rFonts w:hint="eastAsia" w:hAnsi="宋体" w:cs="楷体"/>
          <w:color w:val="auto"/>
          <w:sz w:val="24"/>
          <w:szCs w:val="24"/>
        </w:rPr>
        <w:t xml:space="preserve">2、系统保养：对系统必须定时定点进行全面的检测保养，其中：每季度至少1次包括对机房、服务器、前段点位及传输部分的清洁，时间为每季度的第一个星期。</w:t>
      </w:r>
      <w:r/>
    </w:p>
    <w:p>
      <w:pPr>
        <w:contextualSpacing/>
        <w:ind w:firstLine="480"/>
        <w:spacing w:line="360" w:lineRule="auto"/>
        <w:tabs>
          <w:tab w:val="left" w:pos="360" w:leader="none"/>
        </w:tabs>
        <w:rPr>
          <w:rFonts w:hint="eastAsia" w:hAnsi="宋体" w:cs="楷体"/>
          <w:color w:val="auto"/>
          <w:sz w:val="24"/>
          <w:szCs w:val="24"/>
        </w:rPr>
      </w:pPr>
      <w:r>
        <w:rPr>
          <w:rFonts w:hint="eastAsia" w:hAnsi="宋体" w:cs="楷体"/>
          <w:color w:val="auto"/>
          <w:sz w:val="24"/>
          <w:szCs w:val="24"/>
        </w:rPr>
        <w:t xml:space="preserve">3、软件应用维保：软件优化与升级、故障排除及恢复、病毒防范及消除、硬盘垃圾清理、定期数据备份（每季一次）、故障数据及时恢复等。</w:t>
      </w:r>
      <w:r/>
    </w:p>
    <w:p>
      <w:pPr>
        <w:contextualSpacing/>
        <w:ind w:firstLine="480"/>
        <w:spacing w:line="360" w:lineRule="auto"/>
        <w:tabs>
          <w:tab w:val="left" w:pos="360" w:leader="none"/>
        </w:tabs>
        <w:rPr>
          <w:rFonts w:hint="eastAsia" w:hAnsi="宋体" w:cs="楷体"/>
          <w:color w:val="auto"/>
          <w:sz w:val="24"/>
          <w:szCs w:val="24"/>
        </w:rPr>
      </w:pPr>
      <w:r>
        <w:rPr>
          <w:rFonts w:hint="eastAsia" w:hAnsi="宋体" w:cs="楷体"/>
          <w:color w:val="auto"/>
          <w:sz w:val="24"/>
          <w:szCs w:val="24"/>
        </w:rPr>
        <w:t xml:space="preserve">4、布线系统维保：必须对线缆线路整理整改、标志标签检查校核整改、网络交换无线通讯设备测试、存储测试、光端机传输测试等。</w:t>
      </w:r>
      <w:r/>
    </w:p>
    <w:p>
      <w:pPr>
        <w:contextualSpacing/>
        <w:ind w:firstLine="480"/>
        <w:spacing w:line="360" w:lineRule="auto"/>
        <w:tabs>
          <w:tab w:val="left" w:pos="360" w:leader="none"/>
        </w:tabs>
        <w:rPr>
          <w:rFonts w:hint="eastAsia" w:hAnsi="宋体" w:cs="楷体"/>
          <w:color w:val="auto"/>
          <w:sz w:val="24"/>
          <w:szCs w:val="24"/>
        </w:rPr>
      </w:pPr>
      <w:r>
        <w:rPr>
          <w:rFonts w:hint="eastAsia" w:hAnsi="宋体" w:cs="楷体"/>
          <w:color w:val="auto"/>
          <w:sz w:val="24"/>
          <w:szCs w:val="24"/>
        </w:rPr>
        <w:t xml:space="preserve">5、定期检查：</w:t>
      </w:r>
      <w:r>
        <w:rPr>
          <w:rFonts w:hint="eastAsia" w:hAnsi="宋体"/>
          <w:color w:val="auto"/>
          <w:sz w:val="24"/>
          <w:szCs w:val="24"/>
        </w:rPr>
        <w:t xml:space="preserve">提供主动性维护服务，进行定期检查、隐患排查和及时修理，保障设备可靠、线路稳定、使用感知良好。主要包括日常巡检、安全巡检、设备维护和障碍处理</w:t>
      </w:r>
      <w:r>
        <w:rPr>
          <w:rFonts w:hAnsi="宋体"/>
          <w:color w:val="auto"/>
          <w:sz w:val="24"/>
          <w:szCs w:val="24"/>
        </w:rPr>
        <w:t xml:space="preserve">,</w:t>
      </w:r>
      <w:r>
        <w:rPr>
          <w:rFonts w:hint="eastAsia" w:hAnsi="宋体"/>
          <w:color w:val="auto"/>
          <w:sz w:val="24"/>
          <w:szCs w:val="24"/>
        </w:rPr>
        <w:t xml:space="preserve">完成全部设备维护作业计划的实施、网络障碍和相关用户障碍的相应处理、管控、跟踪和升级汇报。</w:t>
      </w:r>
      <w:r/>
    </w:p>
    <w:p>
      <w:pPr>
        <w:contextualSpacing/>
        <w:ind w:firstLine="480"/>
        <w:spacing w:line="360" w:lineRule="auto"/>
        <w:tabs>
          <w:tab w:val="left" w:pos="360" w:leader="none"/>
        </w:tabs>
        <w:rPr>
          <w:rFonts w:hint="eastAsia" w:hAnsi="宋体" w:cs="楷体"/>
          <w:color w:val="auto"/>
          <w:sz w:val="24"/>
          <w:szCs w:val="24"/>
        </w:rPr>
      </w:pPr>
      <w:r>
        <w:rPr>
          <w:rFonts w:hAnsi="宋体" w:cs="楷体"/>
          <w:color w:val="auto"/>
          <w:sz w:val="24"/>
          <w:szCs w:val="24"/>
        </w:rPr>
        <w:t xml:space="preserve">6</w:t>
      </w:r>
      <w:r>
        <w:rPr>
          <w:rFonts w:hint="eastAsia" w:hAnsi="宋体" w:cs="楷体"/>
          <w:color w:val="auto"/>
          <w:sz w:val="24"/>
          <w:szCs w:val="24"/>
        </w:rPr>
        <w:t xml:space="preserve">、每年必须做好所有系统设施设备的资产管理及登记，完成采购方临时交办的工作任务。</w:t>
      </w:r>
      <w:r/>
    </w:p>
    <w:p>
      <w:pPr>
        <w:contextualSpacing/>
        <w:ind w:firstLine="482"/>
        <w:spacing w:line="360" w:lineRule="auto"/>
        <w:tabs>
          <w:tab w:val="left" w:pos="360" w:leader="none"/>
        </w:tabs>
        <w:rPr>
          <w:rFonts w:hint="eastAsia" w:hAnsi="宋体" w:cs="楷体"/>
          <w:color w:val="auto"/>
          <w:sz w:val="24"/>
          <w:szCs w:val="24"/>
        </w:rPr>
      </w:pPr>
      <w:r>
        <w:rPr>
          <w:rFonts w:hint="eastAsia" w:hAnsi="宋体" w:cs="楷体"/>
          <w:b/>
          <w:bCs/>
          <w:color w:val="auto"/>
          <w:sz w:val="24"/>
          <w:szCs w:val="24"/>
        </w:rPr>
        <w:t xml:space="preserve">（三）监控系统故障恢复服务</w:t>
      </w:r>
      <w:r/>
    </w:p>
    <w:p>
      <w:pPr>
        <w:contextualSpacing/>
        <w:ind w:firstLine="480"/>
        <w:spacing w:line="360" w:lineRule="auto"/>
        <w:tabs>
          <w:tab w:val="left" w:pos="360" w:leader="none"/>
        </w:tabs>
        <w:rPr>
          <w:rFonts w:hint="eastAsia" w:hAnsi="宋体" w:cs="楷体"/>
          <w:color w:val="auto"/>
          <w:sz w:val="24"/>
          <w:szCs w:val="24"/>
        </w:rPr>
      </w:pPr>
      <w:r>
        <w:rPr>
          <w:rFonts w:hint="eastAsia" w:hAnsi="宋体" w:cs="楷体"/>
          <w:color w:val="auto"/>
          <w:sz w:val="24"/>
          <w:szCs w:val="24"/>
          <w:shd w:val="clear" w:color="auto" w:fill="ffffff"/>
        </w:rPr>
        <w:t xml:space="preserve">1、故障响应：必须做到 24小时报修响应，及时排除一切故障；检修人员到达故障现场，不超过6小时。</w:t>
      </w:r>
      <w:r/>
    </w:p>
    <w:p>
      <w:pPr>
        <w:ind w:firstLine="480"/>
        <w:spacing w:line="360" w:lineRule="auto"/>
        <w:rPr>
          <w:rFonts w:hint="eastAsia" w:hAnsi="宋体" w:cs="楷体"/>
          <w:color w:val="auto"/>
          <w:sz w:val="24"/>
          <w:szCs w:val="24"/>
          <w:shd w:val="clear" w:color="auto" w:fill="ffffff"/>
        </w:rPr>
      </w:pPr>
      <w:r>
        <w:rPr>
          <w:rFonts w:hint="eastAsia" w:hAnsi="宋体" w:cs="楷体"/>
          <w:color w:val="auto"/>
          <w:sz w:val="24"/>
          <w:szCs w:val="24"/>
          <w:shd w:val="clear" w:color="auto" w:fill="ffffff"/>
        </w:rPr>
        <w:t xml:space="preserve">2、系统故障恢复：软件及操作系统故障必须6小时内应急修复；对于设备故障,应提供替代设备，保证系统正常工作：前端设备24小时内修复、后端设备12小时内修复（以上时间均包括响应时间在内）。修复后必须由甲方相关人员确认。未按时修复的，每延长1小时，扣款2000元。</w:t>
      </w:r>
      <w:r/>
    </w:p>
    <w:p>
      <w:pPr>
        <w:ind w:firstLine="420"/>
        <w:spacing w:line="360" w:lineRule="auto"/>
        <w:rPr>
          <w:rFonts w:hint="eastAsia" w:hAnsi="宋体"/>
          <w:color w:val="auto"/>
          <w:sz w:val="24"/>
          <w:szCs w:val="24"/>
        </w:rPr>
      </w:pPr>
      <w:r>
        <w:rPr>
          <w:rFonts w:hint="eastAsia" w:hAnsi="宋体" w:cs="仿宋_GB2312"/>
          <w:color w:val="auto"/>
          <w:sz w:val="24"/>
        </w:rPr>
        <w:t xml:space="preserve">3、线路维护要求：</w:t>
      </w:r>
      <w:r>
        <w:rPr>
          <w:rFonts w:hint="eastAsia" w:hAnsi="宋体"/>
          <w:color w:val="auto"/>
          <w:sz w:val="24"/>
          <w:szCs w:val="24"/>
        </w:rPr>
        <w:t xml:space="preserve">签订合同后15日内中标方需提供全部线路服务；接入运营商负责专网线路的日常维护，应确保网络运行畅通稳定，运营商应提供完善的应急预案，并每年为用户提供免费的网络优化工作，确保用户租用链路更稳定运行，全天24小时有人值班受理故障。在线路发生故障时，应在接到通知后2小时之内派技术人员到现场，24小时之内予以恢复（遇有不可抗力的情况除外）。未按时修复的，每延长1小时，扣款2000元。</w:t>
      </w:r>
      <w:r/>
    </w:p>
    <w:p>
      <w:pPr>
        <w:ind w:firstLine="480"/>
        <w:spacing w:line="360" w:lineRule="auto"/>
        <w:rPr>
          <w:rFonts w:hint="eastAsia" w:hAnsi="宋体" w:cs="仿宋_GB2312"/>
          <w:color w:val="auto"/>
          <w:sz w:val="24"/>
        </w:rPr>
      </w:pPr>
      <w:r>
        <w:rPr>
          <w:rFonts w:hAnsi="宋体" w:cs="仿宋_GB2312"/>
          <w:color w:val="auto"/>
          <w:sz w:val="24"/>
        </w:rPr>
        <w:t xml:space="preserve">4</w:t>
      </w:r>
      <w:r>
        <w:rPr>
          <w:rFonts w:hint="eastAsia" w:hAnsi="宋体" w:cs="仿宋_GB2312"/>
          <w:color w:val="auto"/>
          <w:sz w:val="24"/>
        </w:rPr>
        <w:t xml:space="preserve">、系统软件升级：根据需要维保方必须及时完成软件升级，升级后的软件系统替代原有软件系统纳入维保范围。</w:t>
      </w:r>
      <w:r/>
    </w:p>
    <w:p>
      <w:pPr>
        <w:ind w:firstLine="480"/>
        <w:spacing w:line="360" w:lineRule="auto"/>
        <w:rPr>
          <w:rFonts w:hint="eastAsia" w:hAnsi="宋体" w:cs="仿宋_GB2312"/>
          <w:color w:val="auto"/>
          <w:sz w:val="24"/>
        </w:rPr>
      </w:pPr>
      <w:r>
        <w:rPr>
          <w:rFonts w:hAnsi="宋体" w:cs="仿宋_GB2312"/>
          <w:color w:val="auto"/>
          <w:sz w:val="24"/>
        </w:rPr>
        <w:t xml:space="preserve">5</w:t>
      </w:r>
      <w:r>
        <w:rPr>
          <w:rFonts w:hint="eastAsia" w:hAnsi="宋体" w:cs="仿宋_GB2312"/>
          <w:color w:val="auto"/>
          <w:sz w:val="24"/>
        </w:rPr>
        <w:t xml:space="preserve">、设备维修更换费用：维修、保养服务中，必须更换的设备和零配件以及因不可抗拒因素造成设备损坏及零配件更换，其设备器材更换费用和人工费用一律由维保方承担。</w:t>
      </w:r>
      <w:r/>
    </w:p>
    <w:p>
      <w:pPr>
        <w:ind w:firstLine="480"/>
        <w:spacing w:line="360" w:lineRule="auto"/>
        <w:rPr>
          <w:rFonts w:hint="eastAsia" w:hAnsi="宋体" w:cs="楷体"/>
          <w:color w:val="auto"/>
          <w:sz w:val="24"/>
          <w:szCs w:val="24"/>
        </w:rPr>
      </w:pPr>
      <w:r>
        <w:rPr>
          <w:rFonts w:hAnsi="宋体" w:cs="楷体"/>
          <w:color w:val="auto"/>
          <w:sz w:val="24"/>
          <w:szCs w:val="24"/>
          <w:shd w:val="clear" w:color="auto" w:fill="ffffff"/>
        </w:rPr>
        <w:t xml:space="preserve">6</w:t>
      </w:r>
      <w:r>
        <w:rPr>
          <w:rFonts w:hint="eastAsia" w:hAnsi="宋体" w:cs="楷体"/>
          <w:color w:val="auto"/>
          <w:sz w:val="24"/>
          <w:szCs w:val="24"/>
          <w:shd w:val="clear" w:color="auto" w:fill="ffffff"/>
        </w:rPr>
        <w:t xml:space="preserve">、修复确认：所有系统在维护保养及故障维修</w:t>
      </w:r>
      <w:r>
        <w:rPr>
          <w:rFonts w:hint="eastAsia" w:hAnsi="宋体" w:cs="楷体"/>
          <w:color w:val="auto"/>
          <w:sz w:val="24"/>
          <w:szCs w:val="24"/>
        </w:rPr>
        <w:t xml:space="preserve">恢复正常后，都需由采购方签字确认。</w:t>
      </w:r>
      <w:r/>
    </w:p>
    <w:p>
      <w:pPr>
        <w:ind w:firstLine="480"/>
        <w:spacing w:line="360" w:lineRule="auto"/>
        <w:rPr>
          <w:rFonts w:hint="eastAsia" w:hAnsi="宋体" w:cs="仿宋_GB2312"/>
          <w:color w:val="auto"/>
          <w:sz w:val="24"/>
        </w:rPr>
      </w:pPr>
      <w:r>
        <w:rPr>
          <w:rFonts w:hAnsi="宋体" w:cs="仿宋_GB2312"/>
          <w:color w:val="auto"/>
          <w:sz w:val="24"/>
        </w:rPr>
        <w:t xml:space="preserve">7</w:t>
      </w:r>
      <w:r>
        <w:rPr>
          <w:rFonts w:hint="eastAsia" w:hAnsi="宋体" w:cs="仿宋_GB2312"/>
          <w:color w:val="auto"/>
          <w:sz w:val="24"/>
        </w:rPr>
        <w:t xml:space="preserve">、确保惠山公安设备全年在线完好率保持在95%以上（不可抗力除外）。</w:t>
      </w:r>
      <w:r/>
    </w:p>
    <w:p>
      <w:pPr>
        <w:ind w:firstLine="482"/>
        <w:spacing w:line="360" w:lineRule="auto"/>
        <w:rPr>
          <w:rFonts w:hint="eastAsia" w:hAnsi="宋体" w:cs="仿宋_GB2312"/>
          <w:color w:val="auto"/>
          <w:sz w:val="24"/>
        </w:rPr>
      </w:pPr>
      <w:r>
        <w:rPr>
          <w:rFonts w:hint="eastAsia" w:hAnsi="宋体" w:cs="楷体"/>
          <w:b/>
          <w:color w:val="auto"/>
          <w:sz w:val="24"/>
          <w:szCs w:val="24"/>
        </w:rPr>
        <w:t xml:space="preserve">（四）人员配备要求</w:t>
      </w:r>
      <w:r/>
    </w:p>
    <w:p>
      <w:pPr>
        <w:ind w:firstLine="480"/>
        <w:spacing w:line="360" w:lineRule="auto"/>
        <w:rPr>
          <w:rFonts w:hint="eastAsia" w:hAnsi="宋体" w:cs="仿宋_GB2312"/>
          <w:color w:val="auto"/>
          <w:sz w:val="24"/>
        </w:rPr>
      </w:pPr>
      <w:r>
        <w:rPr>
          <w:rFonts w:hint="eastAsia" w:hAnsi="宋体" w:cs="楷体"/>
          <w:color w:val="auto"/>
          <w:sz w:val="24"/>
          <w:szCs w:val="24"/>
          <w:shd w:val="clear" w:color="auto" w:fill="ffffff"/>
        </w:rPr>
        <w:t xml:space="preserve">1、</w:t>
      </w:r>
      <w:r>
        <w:rPr>
          <w:rFonts w:hint="eastAsia" w:hAnsi="宋体" w:cs="楷体"/>
          <w:color w:val="auto"/>
          <w:sz w:val="24"/>
          <w:szCs w:val="24"/>
        </w:rPr>
        <w:t xml:space="preserve">需要中标供应商常驻人员至现场保障维保，并要求有24小时值守，随叫随到，解决相关问题，保障系统的正常运行；</w:t>
      </w:r>
      <w:r/>
    </w:p>
    <w:p>
      <w:pPr>
        <w:ind w:firstLine="480"/>
        <w:spacing w:line="360" w:lineRule="auto"/>
        <w:rPr>
          <w:rFonts w:hint="eastAsia" w:hAnsi="宋体" w:cs="楷体"/>
          <w:color w:val="auto"/>
          <w:sz w:val="24"/>
          <w:szCs w:val="24"/>
        </w:rPr>
      </w:pPr>
      <w:r>
        <w:rPr>
          <w:rFonts w:hint="eastAsia" w:hAnsi="宋体" w:cs="楷体"/>
          <w:color w:val="auto"/>
          <w:sz w:val="24"/>
          <w:szCs w:val="24"/>
        </w:rPr>
        <w:t xml:space="preserve">2、现场维保人员不少于5 人，分为软件维保、硬件维保等。</w:t>
      </w:r>
      <w:r/>
    </w:p>
    <w:p>
      <w:pPr>
        <w:ind w:firstLine="480"/>
        <w:spacing w:line="360" w:lineRule="auto"/>
        <w:rPr>
          <w:rFonts w:hint="eastAsia" w:hAnsi="宋体"/>
          <w:color w:val="auto"/>
          <w:sz w:val="24"/>
          <w:szCs w:val="24"/>
        </w:rPr>
      </w:pPr>
      <w:r>
        <w:rPr>
          <w:rFonts w:hint="eastAsia" w:hAnsi="宋体" w:cs="楷体"/>
          <w:color w:val="auto"/>
          <w:sz w:val="24"/>
          <w:szCs w:val="24"/>
        </w:rPr>
        <w:t xml:space="preserve">3、</w:t>
      </w:r>
      <w:r>
        <w:rPr>
          <w:rFonts w:hint="eastAsia" w:hAnsi="宋体"/>
          <w:color w:val="auto"/>
          <w:sz w:val="24"/>
          <w:szCs w:val="24"/>
        </w:rPr>
        <w:t xml:space="preserve">重要活动现场保障工作：按需派人进行驻场保障，包含但不限于现场应急线路开通、布线放缆、设备调测和客户沟通配合等工作。</w:t>
      </w:r>
      <w:r/>
    </w:p>
    <w:p>
      <w:pPr>
        <w:ind w:firstLine="482"/>
        <w:spacing w:line="360" w:lineRule="auto"/>
        <w:rPr>
          <w:rFonts w:hint="eastAsia" w:hAnsi="宋体" w:cs="楷体"/>
          <w:b/>
          <w:color w:val="auto"/>
          <w:sz w:val="24"/>
          <w:szCs w:val="24"/>
        </w:rPr>
      </w:pPr>
      <w:r>
        <w:rPr>
          <w:rFonts w:hint="eastAsia" w:hAnsi="宋体" w:cs="楷体"/>
          <w:b/>
          <w:color w:val="auto"/>
          <w:sz w:val="24"/>
          <w:szCs w:val="24"/>
        </w:rPr>
        <w:t xml:space="preserve">（五）其它注意事项</w:t>
      </w:r>
      <w:bookmarkStart w:id="135" w:name="_Toc396222913"/>
      <w:r/>
      <w:bookmarkStart w:id="136" w:name="_Toc396744040"/>
      <w:r/>
      <w:r/>
    </w:p>
    <w:p>
      <w:pPr>
        <w:ind w:firstLine="480"/>
        <w:spacing w:line="360" w:lineRule="auto"/>
        <w:rPr>
          <w:rFonts w:hint="eastAsia" w:hAnsi="宋体" w:cs="楷体"/>
          <w:b/>
          <w:color w:val="auto"/>
          <w:sz w:val="24"/>
          <w:szCs w:val="24"/>
        </w:rPr>
      </w:pPr>
      <w:r>
        <w:rPr>
          <w:rFonts w:hint="eastAsia" w:hAnsi="宋体" w:cs="Arial"/>
          <w:color w:val="auto"/>
          <w:sz w:val="24"/>
        </w:rPr>
        <w:t xml:space="preserve">1、</w:t>
      </w:r>
      <w:r>
        <w:rPr>
          <w:rFonts w:hint="eastAsia" w:hAnsi="宋体"/>
          <w:color w:val="auto"/>
          <w:sz w:val="24"/>
        </w:rPr>
        <w:t xml:space="preserve">注意事项</w:t>
      </w:r>
      <w:bookmarkEnd w:id="135"/>
      <w:r/>
      <w:bookmarkEnd w:id="136"/>
      <w:r/>
      <w:r/>
    </w:p>
    <w:p>
      <w:pPr>
        <w:ind w:firstLine="480"/>
        <w:spacing w:line="360" w:lineRule="auto"/>
        <w:rPr>
          <w:rFonts w:hint="eastAsia" w:hAnsi="宋体"/>
          <w:color w:val="auto"/>
          <w:sz w:val="24"/>
          <w:szCs w:val="24"/>
        </w:rPr>
      </w:pPr>
      <w:r>
        <w:rPr>
          <w:rFonts w:hint="eastAsia" w:hAnsi="宋体" w:cs="仿宋_GB2312"/>
          <w:color w:val="auto"/>
          <w:sz w:val="24"/>
          <w:szCs w:val="24"/>
        </w:rPr>
        <w:t xml:space="preserve">（1）监控点终端维护工作属高空带电的危险作业，必须做好安全措施。在安全没有保障的情况下，可以推后相关维护工作，直到有足够的安全保障才可继续维护。</w:t>
      </w:r>
      <w:r/>
    </w:p>
    <w:p>
      <w:pPr>
        <w:ind w:firstLine="480"/>
        <w:spacing w:line="360" w:lineRule="auto"/>
        <w:rPr>
          <w:rFonts w:hint="eastAsia" w:hAnsi="宋体"/>
          <w:color w:val="auto"/>
          <w:sz w:val="24"/>
          <w:szCs w:val="24"/>
        </w:rPr>
      </w:pPr>
      <w:r>
        <w:rPr>
          <w:rFonts w:hint="eastAsia" w:hAnsi="宋体" w:cs="仿宋_GB2312"/>
          <w:color w:val="auto"/>
          <w:sz w:val="24"/>
          <w:szCs w:val="24"/>
        </w:rPr>
        <w:t xml:space="preserve">（2）监控点周围有无危险物，是否影响工作人员或设备安全，如存在安全隐患的情况应及时上报主管部门。</w:t>
      </w:r>
      <w:r/>
    </w:p>
    <w:p>
      <w:pPr>
        <w:ind w:firstLine="480"/>
        <w:spacing w:line="360" w:lineRule="auto"/>
        <w:rPr>
          <w:rFonts w:hint="eastAsia" w:hAnsi="宋体"/>
          <w:color w:val="auto"/>
          <w:sz w:val="24"/>
          <w:szCs w:val="24"/>
        </w:rPr>
      </w:pPr>
      <w:r>
        <w:rPr>
          <w:rFonts w:hint="eastAsia" w:hAnsi="宋体" w:cs="仿宋_GB2312"/>
          <w:color w:val="auto"/>
          <w:sz w:val="24"/>
          <w:szCs w:val="24"/>
        </w:rPr>
        <w:t xml:space="preserve">（3）监控点周围有无其他工程正在施工，是否影响工作人员或设备安全，如存在安全隐患的情况应及时上报主管部门。</w:t>
      </w:r>
      <w:r/>
    </w:p>
    <w:p>
      <w:pPr>
        <w:ind w:firstLine="480"/>
        <w:spacing w:line="360" w:lineRule="auto"/>
        <w:rPr>
          <w:rFonts w:hint="eastAsia" w:hAnsi="宋体"/>
          <w:color w:val="auto"/>
          <w:sz w:val="24"/>
          <w:szCs w:val="24"/>
        </w:rPr>
      </w:pPr>
      <w:r>
        <w:rPr>
          <w:rFonts w:hint="eastAsia" w:hAnsi="宋体" w:cs="仿宋_GB2312"/>
          <w:color w:val="auto"/>
          <w:sz w:val="24"/>
          <w:szCs w:val="24"/>
        </w:rPr>
        <w:t xml:space="preserve">（4）检测设备是否带电，是带强电还是弱电，是否在安全范围内；带强电的情况下，必须找出强电来源，清除后才能作业。</w:t>
      </w:r>
      <w:r/>
    </w:p>
    <w:p>
      <w:pPr>
        <w:ind w:firstLine="480"/>
        <w:spacing w:line="360" w:lineRule="auto"/>
        <w:rPr>
          <w:rFonts w:hint="eastAsia" w:hAnsi="宋体"/>
          <w:color w:val="auto"/>
          <w:sz w:val="24"/>
          <w:szCs w:val="24"/>
        </w:rPr>
      </w:pPr>
      <w:r>
        <w:rPr>
          <w:rFonts w:hint="eastAsia" w:hAnsi="宋体" w:cs="仿宋_GB2312"/>
          <w:color w:val="auto"/>
          <w:sz w:val="24"/>
          <w:szCs w:val="24"/>
        </w:rPr>
        <w:t xml:space="preserve">（5）在强风、雷雨等恶劣气候条件下，不得在室外从事相关维护作业。</w:t>
      </w:r>
      <w:r/>
    </w:p>
    <w:p>
      <w:pPr>
        <w:ind w:firstLine="480"/>
        <w:spacing w:line="360" w:lineRule="auto"/>
        <w:rPr>
          <w:rFonts w:hint="eastAsia" w:hAnsi="宋体" w:cs="仿宋_GB2312"/>
          <w:color w:val="auto"/>
          <w:sz w:val="24"/>
          <w:szCs w:val="24"/>
        </w:rPr>
      </w:pPr>
      <w:r>
        <w:rPr>
          <w:rFonts w:hint="eastAsia" w:hAnsi="宋体" w:cs="仿宋_GB2312"/>
          <w:color w:val="auto"/>
          <w:sz w:val="24"/>
          <w:szCs w:val="24"/>
        </w:rPr>
        <w:t xml:space="preserve">（6）登高作业需按照相关登高规范实施，严禁违规操作。</w:t>
      </w:r>
      <w:r/>
    </w:p>
    <w:p>
      <w:pPr>
        <w:ind w:firstLine="480"/>
        <w:spacing w:line="360" w:lineRule="auto"/>
        <w:rPr>
          <w:rFonts w:hint="eastAsia" w:hAnsi="宋体"/>
          <w:color w:val="auto"/>
          <w:sz w:val="24"/>
          <w:szCs w:val="24"/>
        </w:rPr>
      </w:pPr>
      <w:r>
        <w:rPr>
          <w:rFonts w:hint="eastAsia" w:hAnsi="宋体" w:cs="仿宋_GB2312"/>
          <w:color w:val="auto"/>
          <w:sz w:val="24"/>
          <w:szCs w:val="24"/>
        </w:rPr>
        <w:t xml:space="preserve">（7）</w:t>
      </w:r>
      <w:r>
        <w:rPr>
          <w:rFonts w:hint="eastAsia" w:hAnsi="宋体"/>
          <w:color w:val="auto"/>
          <w:sz w:val="24"/>
          <w:szCs w:val="24"/>
        </w:rPr>
        <w:t xml:space="preserve">接入运营商必须确保接入专网线路质量，带宽达到(或者高于)公安视频监控业务的实际使用要求。</w:t>
      </w:r>
      <w:r/>
    </w:p>
    <w:p>
      <w:pPr>
        <w:ind w:firstLine="480"/>
        <w:spacing w:line="360" w:lineRule="auto"/>
        <w:rPr>
          <w:rFonts w:hint="eastAsia" w:hAnsi="宋体"/>
          <w:color w:val="auto"/>
          <w:sz w:val="24"/>
          <w:szCs w:val="24"/>
        </w:rPr>
      </w:pPr>
      <w:r>
        <w:rPr>
          <w:rFonts w:hint="eastAsia" w:hAnsi="宋体"/>
          <w:color w:val="auto"/>
          <w:sz w:val="24"/>
          <w:szCs w:val="24"/>
        </w:rPr>
        <w:t xml:space="preserve">（8）保证接入专线的基本技术指标：100%故障响应率，100%故障恢复率。</w:t>
      </w:r>
      <w:r/>
    </w:p>
    <w:p>
      <w:pPr>
        <w:ind w:firstLine="480"/>
        <w:spacing w:line="360" w:lineRule="auto"/>
        <w:rPr>
          <w:rFonts w:hint="eastAsia" w:hAnsi="宋体"/>
          <w:color w:val="auto"/>
          <w:sz w:val="24"/>
          <w:szCs w:val="24"/>
        </w:rPr>
      </w:pPr>
      <w:r>
        <w:rPr>
          <w:rFonts w:hint="eastAsia" w:hAnsi="宋体"/>
          <w:color w:val="auto"/>
          <w:sz w:val="24"/>
          <w:szCs w:val="24"/>
        </w:rPr>
        <w:t xml:space="preserve">（9）接入运营商不得私自将设备接入惠山公安视频专网，必须凭用户方认可并盖章确认的单子才能进行线路接入。</w:t>
      </w:r>
      <w:r/>
    </w:p>
    <w:p>
      <w:pPr>
        <w:ind w:firstLine="420"/>
        <w:spacing w:line="360" w:lineRule="auto"/>
        <w:rPr>
          <w:rFonts w:hint="eastAsia" w:hAnsi="宋体"/>
          <w:color w:val="auto"/>
          <w:sz w:val="24"/>
          <w:szCs w:val="24"/>
        </w:rPr>
      </w:pPr>
      <w:r>
        <w:rPr>
          <w:rFonts w:hint="eastAsia" w:hAnsi="宋体"/>
          <w:color w:val="auto"/>
          <w:sz w:val="24"/>
          <w:szCs w:val="24"/>
        </w:rPr>
        <w:t xml:space="preserve">（1</w:t>
      </w:r>
      <w:r>
        <w:rPr>
          <w:rFonts w:hAnsi="宋体"/>
          <w:color w:val="auto"/>
          <w:sz w:val="24"/>
          <w:szCs w:val="24"/>
        </w:rPr>
        <w:t xml:space="preserve">0</w:t>
      </w:r>
      <w:r>
        <w:rPr>
          <w:rFonts w:hint="eastAsia" w:hAnsi="宋体"/>
          <w:color w:val="auto"/>
          <w:sz w:val="24"/>
          <w:szCs w:val="24"/>
        </w:rPr>
        <w:t xml:space="preserve">）接入运营商必须确保专网线路安全，确保一个节点出现病毒或者网络风暴时候，不会影响到网内其他用户及中心端的网络，预防专网内出现大规模网络风暴和计算机病毒的泛滥。</w:t>
      </w:r>
      <w:r/>
    </w:p>
    <w:p>
      <w:pPr>
        <w:ind w:firstLine="480"/>
        <w:spacing w:line="360" w:lineRule="auto"/>
        <w:rPr>
          <w:rFonts w:hint="eastAsia" w:hAnsi="宋体" w:cs="仿宋_GB2312"/>
          <w:color w:val="auto"/>
          <w:sz w:val="24"/>
          <w:szCs w:val="24"/>
        </w:rPr>
      </w:pPr>
      <w:r>
        <w:rPr>
          <w:rFonts w:hint="eastAsia" w:hAnsi="宋体" w:cs="仿宋_GB2312"/>
          <w:color w:val="auto"/>
          <w:sz w:val="24"/>
          <w:szCs w:val="24"/>
        </w:rPr>
        <w:t xml:space="preserve">（</w:t>
      </w:r>
      <w:r>
        <w:rPr>
          <w:rFonts w:hAnsi="宋体" w:cs="仿宋_GB2312"/>
          <w:color w:val="auto"/>
          <w:sz w:val="24"/>
          <w:szCs w:val="24"/>
        </w:rPr>
        <w:t xml:space="preserve">11</w:t>
      </w:r>
      <w:r>
        <w:rPr>
          <w:rFonts w:hint="eastAsia" w:hAnsi="宋体" w:cs="仿宋_GB2312"/>
          <w:color w:val="auto"/>
          <w:sz w:val="24"/>
          <w:szCs w:val="24"/>
        </w:rPr>
        <w:t xml:space="preserve">）发生安全事故，全部责任由提供运维服务方承担。</w:t>
      </w:r>
      <w:r/>
    </w:p>
    <w:p>
      <w:pPr>
        <w:ind w:left="420"/>
        <w:spacing w:line="360" w:lineRule="auto"/>
        <w:rPr>
          <w:rFonts w:hint="eastAsia" w:hAnsi="宋体"/>
          <w:color w:val="auto"/>
          <w:sz w:val="24"/>
          <w:szCs w:val="24"/>
        </w:rPr>
      </w:pPr>
      <w:r>
        <w:rPr>
          <w:rFonts w:hint="eastAsia" w:hAnsi="宋体" w:cs="仿宋_GB2312"/>
          <w:color w:val="auto"/>
          <w:sz w:val="24"/>
          <w:szCs w:val="24"/>
        </w:rPr>
        <w:t xml:space="preserve">（1</w:t>
      </w:r>
      <w:r>
        <w:rPr>
          <w:rFonts w:hAnsi="宋体" w:cs="仿宋_GB2312"/>
          <w:color w:val="auto"/>
          <w:sz w:val="24"/>
          <w:szCs w:val="24"/>
        </w:rPr>
        <w:t xml:space="preserve">2</w:t>
      </w:r>
      <w:r>
        <w:rPr>
          <w:rFonts w:hint="eastAsia" w:hAnsi="宋体" w:cs="仿宋_GB2312"/>
          <w:color w:val="auto"/>
          <w:sz w:val="24"/>
          <w:szCs w:val="24"/>
        </w:rPr>
        <w:t xml:space="preserve">）因道路施工或城镇化建设导致的设备拆移恢复，由提供运维服务方免费承担,并按业主要求按时完成。</w:t>
      </w:r>
      <w:bookmarkStart w:id="137" w:name="_Toc396222914"/>
      <w:r/>
      <w:bookmarkStart w:id="138" w:name="_Toc396744041"/>
      <w:r/>
      <w:r/>
    </w:p>
    <w:p>
      <w:pPr>
        <w:ind w:firstLine="480"/>
        <w:spacing w:line="360" w:lineRule="auto"/>
        <w:rPr>
          <w:rFonts w:hint="eastAsia" w:hAnsi="宋体" w:cs="Arial"/>
          <w:color w:val="auto"/>
          <w:sz w:val="24"/>
        </w:rPr>
      </w:pPr>
      <w:r>
        <w:rPr>
          <w:rFonts w:hint="eastAsia" w:hAnsi="宋体" w:cs="Arial"/>
          <w:color w:val="auto"/>
          <w:sz w:val="24"/>
        </w:rPr>
        <w:t xml:space="preserve">2、常用维护工具</w:t>
      </w:r>
      <w:bookmarkEnd w:id="137"/>
      <w:r/>
      <w:bookmarkEnd w:id="138"/>
      <w:r/>
      <w:r/>
    </w:p>
    <w:p>
      <w:pPr>
        <w:ind w:left="420" w:firstLine="480"/>
        <w:spacing w:line="360" w:lineRule="auto"/>
        <w:rPr>
          <w:rFonts w:hint="eastAsia" w:hAnsi="宋体"/>
          <w:color w:val="auto"/>
          <w:sz w:val="24"/>
          <w:szCs w:val="24"/>
        </w:rPr>
      </w:pPr>
      <w:r>
        <w:rPr>
          <w:rFonts w:hint="eastAsia" w:hAnsi="宋体" w:cs="仿宋_GB2312"/>
          <w:color w:val="auto"/>
          <w:sz w:val="24"/>
          <w:szCs w:val="24"/>
        </w:rPr>
        <w:t xml:space="preserve">（1）常用工具：</w:t>
      </w:r>
      <w:r/>
    </w:p>
    <w:p>
      <w:pPr>
        <w:numPr>
          <w:ilvl w:val="0"/>
          <w:numId w:val="4"/>
        </w:numPr>
        <w:spacing w:line="360" w:lineRule="auto"/>
        <w:rPr>
          <w:rFonts w:hint="eastAsia" w:hAnsi="宋体"/>
          <w:color w:val="auto"/>
          <w:sz w:val="24"/>
        </w:rPr>
      </w:pPr>
      <w:r>
        <w:rPr>
          <w:rFonts w:hint="eastAsia" w:hAnsi="宋体" w:cs="仿宋_GB2312"/>
          <w:color w:val="auto"/>
          <w:sz w:val="24"/>
        </w:rPr>
        <w:t xml:space="preserve">高空作业保护装备每组一套；</w:t>
      </w:r>
      <w:r/>
    </w:p>
    <w:p>
      <w:pPr>
        <w:numPr>
          <w:ilvl w:val="0"/>
          <w:numId w:val="4"/>
        </w:numPr>
        <w:spacing w:line="360" w:lineRule="auto"/>
        <w:rPr>
          <w:rFonts w:hint="eastAsia" w:hAnsi="宋体"/>
          <w:color w:val="auto"/>
          <w:sz w:val="24"/>
        </w:rPr>
      </w:pPr>
      <w:r>
        <w:rPr>
          <w:rFonts w:hint="eastAsia" w:hAnsi="宋体" w:cs="仿宋_GB2312"/>
          <w:color w:val="auto"/>
          <w:sz w:val="24"/>
        </w:rPr>
        <w:t xml:space="preserve">测电笔、万用表、网络测试器；</w:t>
      </w:r>
      <w:r/>
    </w:p>
    <w:p>
      <w:pPr>
        <w:numPr>
          <w:ilvl w:val="0"/>
          <w:numId w:val="4"/>
        </w:numPr>
        <w:spacing w:line="360" w:lineRule="auto"/>
        <w:rPr>
          <w:rFonts w:hint="eastAsia" w:hAnsi="宋体"/>
          <w:color w:val="auto"/>
          <w:sz w:val="24"/>
        </w:rPr>
      </w:pPr>
      <w:r>
        <w:rPr>
          <w:rFonts w:hint="eastAsia" w:hAnsi="宋体" w:cs="仿宋_GB2312"/>
          <w:color w:val="auto"/>
          <w:sz w:val="24"/>
        </w:rPr>
        <w:t xml:space="preserve">常用组合工具、网线钳、铬铁、锡线；</w:t>
      </w:r>
      <w:r/>
    </w:p>
    <w:p>
      <w:pPr>
        <w:numPr>
          <w:ilvl w:val="0"/>
          <w:numId w:val="4"/>
        </w:numPr>
        <w:spacing w:line="360" w:lineRule="auto"/>
        <w:rPr>
          <w:rFonts w:hint="eastAsia" w:hAnsi="宋体"/>
          <w:color w:val="auto"/>
          <w:sz w:val="24"/>
        </w:rPr>
      </w:pPr>
      <w:r>
        <w:rPr>
          <w:rFonts w:hint="eastAsia" w:hAnsi="宋体" w:cs="仿宋_GB2312"/>
          <w:color w:val="auto"/>
          <w:sz w:val="24"/>
        </w:rPr>
        <w:t xml:space="preserve">工具车辆、竹梯、铝梯、照明灯。</w:t>
      </w:r>
      <w:r/>
    </w:p>
    <w:p>
      <w:pPr>
        <w:ind w:left="420" w:firstLine="480"/>
        <w:spacing w:line="360" w:lineRule="auto"/>
        <w:rPr>
          <w:rFonts w:hint="eastAsia" w:hAnsi="宋体"/>
          <w:color w:val="auto"/>
          <w:sz w:val="24"/>
          <w:szCs w:val="24"/>
        </w:rPr>
      </w:pPr>
      <w:r>
        <w:rPr>
          <w:rFonts w:hint="eastAsia" w:hAnsi="宋体" w:cs="仿宋_GB2312"/>
          <w:color w:val="auto"/>
          <w:sz w:val="24"/>
          <w:szCs w:val="24"/>
        </w:rPr>
        <w:t xml:space="preserve">（2）非常用工具：</w:t>
      </w:r>
      <w:r/>
    </w:p>
    <w:p>
      <w:pPr>
        <w:numPr>
          <w:ilvl w:val="0"/>
          <w:numId w:val="5"/>
        </w:numPr>
        <w:spacing w:line="360" w:lineRule="auto"/>
        <w:rPr>
          <w:rFonts w:hint="eastAsia" w:hAnsi="宋体"/>
          <w:color w:val="auto"/>
          <w:sz w:val="24"/>
        </w:rPr>
      </w:pPr>
      <w:r>
        <w:rPr>
          <w:rFonts w:hint="eastAsia" w:hAnsi="宋体" w:cs="仿宋_GB2312"/>
          <w:color w:val="auto"/>
          <w:sz w:val="24"/>
        </w:rPr>
        <w:t xml:space="preserve">升降车；</w:t>
      </w:r>
      <w:r/>
    </w:p>
    <w:p>
      <w:pPr>
        <w:numPr>
          <w:ilvl w:val="0"/>
          <w:numId w:val="5"/>
        </w:numPr>
        <w:spacing w:line="360" w:lineRule="auto"/>
        <w:rPr>
          <w:rFonts w:hint="eastAsia" w:hAnsi="宋体"/>
          <w:color w:val="auto"/>
          <w:sz w:val="24"/>
        </w:rPr>
      </w:pPr>
      <w:r>
        <w:rPr>
          <w:rFonts w:hint="eastAsia" w:hAnsi="宋体" w:cs="仿宋_GB2312"/>
          <w:color w:val="auto"/>
          <w:sz w:val="24"/>
        </w:rPr>
        <w:t xml:space="preserve">冲击钻、电钻、电焊机，修枝剪；</w:t>
      </w:r>
      <w:r/>
    </w:p>
    <w:p>
      <w:pPr>
        <w:numPr>
          <w:ilvl w:val="0"/>
          <w:numId w:val="5"/>
        </w:numPr>
        <w:spacing w:line="360" w:lineRule="auto"/>
        <w:rPr>
          <w:rFonts w:hint="eastAsia" w:hAnsi="宋体"/>
          <w:color w:val="auto"/>
          <w:sz w:val="24"/>
        </w:rPr>
      </w:pPr>
      <w:r>
        <w:rPr>
          <w:rFonts w:hint="eastAsia" w:hAnsi="宋体" w:cs="仿宋_GB2312"/>
          <w:color w:val="auto"/>
          <w:sz w:val="24"/>
        </w:rPr>
        <w:t xml:space="preserve">保护金属管（套）、加固角架；</w:t>
      </w:r>
      <w:r/>
    </w:p>
    <w:p>
      <w:pPr>
        <w:ind w:left="420" w:firstLine="480"/>
        <w:spacing w:line="360" w:lineRule="auto"/>
        <w:rPr>
          <w:rFonts w:hint="eastAsia" w:hAnsi="宋体"/>
          <w:color w:val="auto"/>
          <w:sz w:val="24"/>
          <w:szCs w:val="24"/>
        </w:rPr>
      </w:pPr>
      <w:r>
        <w:rPr>
          <w:rFonts w:hint="eastAsia" w:hAnsi="宋体" w:cs="仿宋_GB2312"/>
          <w:color w:val="auto"/>
          <w:sz w:val="24"/>
          <w:szCs w:val="24"/>
        </w:rPr>
        <w:t xml:space="preserve">（3）常用维修材料</w:t>
      </w:r>
      <w:r/>
    </w:p>
    <w:p>
      <w:pPr>
        <w:numPr>
          <w:ilvl w:val="0"/>
          <w:numId w:val="6"/>
        </w:numPr>
        <w:spacing w:line="360" w:lineRule="auto"/>
        <w:rPr>
          <w:rFonts w:hint="eastAsia" w:hAnsi="宋体"/>
          <w:color w:val="auto"/>
          <w:sz w:val="24"/>
          <w:szCs w:val="24"/>
        </w:rPr>
      </w:pPr>
      <w:r>
        <w:rPr>
          <w:rFonts w:hint="eastAsia" w:hAnsi="宋体" w:cs="仿宋_GB2312"/>
          <w:color w:val="auto"/>
          <w:sz w:val="24"/>
          <w:szCs w:val="24"/>
        </w:rPr>
        <w:t xml:space="preserve">视频线、控制线、电源线、PVC管、线槽、管卡、膨胀螺丝、各规格螺丝。</w:t>
      </w:r>
      <w:r/>
    </w:p>
    <w:p>
      <w:pPr>
        <w:ind w:firstLine="480"/>
        <w:spacing w:line="360" w:lineRule="auto"/>
        <w:rPr>
          <w:rFonts w:hint="eastAsia" w:hAnsi="宋体" w:cs="Arial"/>
          <w:color w:val="auto"/>
          <w:sz w:val="24"/>
        </w:rPr>
      </w:pPr>
      <w:r/>
      <w:bookmarkStart w:id="139" w:name="_Toc396744042"/>
      <w:r/>
      <w:bookmarkStart w:id="140" w:name="_Toc396222915"/>
      <w:r>
        <w:rPr>
          <w:rFonts w:hint="eastAsia" w:hAnsi="宋体" w:cs="Arial"/>
          <w:color w:val="auto"/>
          <w:sz w:val="24"/>
        </w:rPr>
        <w:t xml:space="preserve">3、人员要求</w:t>
      </w:r>
      <w:bookmarkEnd w:id="139"/>
      <w:r/>
      <w:bookmarkEnd w:id="140"/>
      <w:r/>
      <w:r/>
    </w:p>
    <w:p>
      <w:pPr>
        <w:ind w:left="420" w:firstLine="480"/>
        <w:spacing w:line="360" w:lineRule="auto"/>
        <w:rPr>
          <w:rFonts w:hint="eastAsia" w:hAnsi="宋体" w:cs="仿宋_GB2312"/>
          <w:color w:val="auto"/>
          <w:sz w:val="24"/>
          <w:szCs w:val="24"/>
        </w:rPr>
      </w:pPr>
      <w:r>
        <w:rPr>
          <w:rFonts w:hint="eastAsia" w:hAnsi="宋体" w:cs="仿宋_GB2312"/>
          <w:color w:val="auto"/>
          <w:sz w:val="24"/>
          <w:szCs w:val="24"/>
        </w:rPr>
        <w:t xml:space="preserve">每组至少二～三人；</w:t>
      </w:r>
      <w:r/>
    </w:p>
    <w:p>
      <w:pPr>
        <w:ind w:left="420" w:firstLine="480"/>
        <w:spacing w:line="360" w:lineRule="auto"/>
        <w:rPr>
          <w:rFonts w:hint="eastAsia" w:hAnsi="宋体" w:cs="仿宋_GB2312"/>
          <w:color w:val="auto"/>
          <w:sz w:val="24"/>
          <w:szCs w:val="24"/>
        </w:rPr>
      </w:pPr>
      <w:r>
        <w:rPr>
          <w:rFonts w:hint="eastAsia" w:hAnsi="宋体" w:cs="仿宋_GB2312"/>
          <w:color w:val="auto"/>
          <w:sz w:val="24"/>
          <w:szCs w:val="24"/>
        </w:rPr>
        <w:t xml:space="preserve">有一定急救知识；</w:t>
      </w:r>
      <w:r/>
    </w:p>
    <w:p>
      <w:pPr>
        <w:ind w:left="420" w:firstLine="480"/>
        <w:spacing w:line="360" w:lineRule="auto"/>
        <w:rPr>
          <w:rFonts w:hint="eastAsia" w:hAnsi="宋体" w:cs="仿宋_GB2312"/>
          <w:color w:val="auto"/>
          <w:sz w:val="24"/>
          <w:szCs w:val="24"/>
        </w:rPr>
      </w:pPr>
      <w:r>
        <w:rPr>
          <w:rFonts w:hint="eastAsia" w:hAnsi="宋体" w:cs="仿宋_GB2312"/>
          <w:color w:val="auto"/>
          <w:sz w:val="24"/>
          <w:szCs w:val="24"/>
        </w:rPr>
        <w:t xml:space="preserve">具有相关电路、设备维护知识；</w:t>
      </w:r>
      <w:r/>
    </w:p>
    <w:p>
      <w:pPr>
        <w:ind w:left="420" w:firstLine="480"/>
        <w:spacing w:line="360" w:lineRule="auto"/>
        <w:rPr>
          <w:rFonts w:hint="eastAsia" w:hAnsi="宋体" w:cs="仿宋_GB2312"/>
          <w:color w:val="auto"/>
          <w:sz w:val="24"/>
          <w:szCs w:val="24"/>
        </w:rPr>
      </w:pPr>
      <w:r>
        <w:rPr>
          <w:rFonts w:hint="eastAsia" w:hAnsi="宋体" w:cs="仿宋_GB2312"/>
          <w:color w:val="auto"/>
          <w:sz w:val="24"/>
          <w:szCs w:val="24"/>
        </w:rPr>
        <w:t xml:space="preserve">具备相关视频终端安装经验。</w:t>
      </w:r>
      <w:r/>
    </w:p>
    <w:p>
      <w:pPr>
        <w:ind w:firstLine="482"/>
        <w:spacing w:line="360" w:lineRule="auto"/>
        <w:rPr>
          <w:rFonts w:hint="eastAsia" w:hAnsi="宋体" w:cs="楷体"/>
          <w:b/>
          <w:color w:val="auto"/>
          <w:sz w:val="24"/>
          <w:szCs w:val="24"/>
        </w:rPr>
      </w:pPr>
      <w:r>
        <w:rPr>
          <w:rFonts w:hint="eastAsia" w:hAnsi="宋体" w:cs="楷体"/>
          <w:b/>
          <w:color w:val="auto"/>
          <w:sz w:val="24"/>
          <w:szCs w:val="24"/>
        </w:rPr>
        <w:t xml:space="preserve">（六）服务期限</w:t>
      </w:r>
      <w:r/>
    </w:p>
    <w:p>
      <w:pPr>
        <w:ind w:firstLine="720"/>
        <w:spacing w:line="360" w:lineRule="auto"/>
        <w:rPr>
          <w:rFonts w:hint="eastAsia" w:hAnsi="宋体" w:cs="仿宋_GB2312"/>
          <w:color w:val="auto"/>
          <w:sz w:val="24"/>
          <w:szCs w:val="24"/>
        </w:rPr>
      </w:pPr>
      <w:r>
        <w:rPr>
          <w:rFonts w:hint="eastAsia" w:hAnsi="宋体"/>
          <w:color w:val="auto"/>
          <w:sz w:val="24"/>
          <w:szCs w:val="24"/>
        </w:rPr>
        <w:t xml:space="preserve">服务期限一年，自合同签订日期算起。</w:t>
      </w:r>
      <w:r/>
    </w:p>
    <w:p>
      <w:pPr>
        <w:ind w:firstLine="482"/>
        <w:spacing w:line="360" w:lineRule="auto"/>
        <w:rPr>
          <w:rFonts w:hint="eastAsia" w:hAnsi="宋体" w:cs="楷体"/>
          <w:b/>
          <w:color w:val="auto"/>
          <w:sz w:val="24"/>
          <w:szCs w:val="24"/>
        </w:rPr>
      </w:pPr>
      <w:r>
        <w:rPr>
          <w:rFonts w:hint="eastAsia" w:hAnsi="宋体" w:cs="楷体"/>
          <w:b/>
          <w:color w:val="auto"/>
          <w:sz w:val="24"/>
          <w:szCs w:val="24"/>
        </w:rPr>
        <w:t xml:space="preserve">（七）付款方式</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签订合同后7个工作日内付合同款的30%，</w:t>
      </w:r>
      <w:r>
        <w:rPr>
          <w:rFonts w:hint="eastAsia" w:hAnsi="宋体" w:cs="仿宋_GB2312"/>
          <w:color w:val="auto"/>
          <w:sz w:val="24"/>
          <w:szCs w:val="24"/>
          <w:highlight w:val="none"/>
          <w:lang w:val="en-US" w:eastAsia="zh-CN"/>
        </w:rPr>
        <w:t xml:space="preserve">当年年底按照实际运维时间进行支付，剩余尾款于第二年运维结束后支付</w:t>
      </w:r>
      <w:r>
        <w:rPr>
          <w:rFonts w:hint="eastAsia" w:hAnsi="宋体" w:cs="仿宋_GB2312"/>
          <w:color w:val="auto"/>
          <w:sz w:val="24"/>
          <w:szCs w:val="24"/>
          <w:highlight w:val="none"/>
        </w:rPr>
        <w:t xml:space="preserve">。</w:t>
      </w:r>
      <w:r/>
    </w:p>
    <w:p>
      <w:pPr>
        <w:ind w:firstLine="482"/>
        <w:spacing w:line="360" w:lineRule="auto"/>
        <w:rPr>
          <w:rFonts w:hint="eastAsia" w:hAnsi="宋体" w:cs="楷体"/>
          <w:b/>
          <w:color w:val="auto"/>
          <w:sz w:val="24"/>
          <w:szCs w:val="24"/>
        </w:rPr>
      </w:pPr>
      <w:r>
        <w:rPr>
          <w:rFonts w:hint="eastAsia" w:hAnsi="宋体" w:cs="楷体"/>
          <w:b/>
          <w:color w:val="auto"/>
          <w:sz w:val="24"/>
          <w:szCs w:val="24"/>
        </w:rPr>
        <w:t xml:space="preserve">二、项目设备和网络线路现状</w:t>
      </w:r>
      <w:r/>
    </w:p>
    <w:p>
      <w:pPr>
        <w:ind w:firstLine="480"/>
        <w:spacing w:line="360" w:lineRule="auto"/>
        <w:rPr>
          <w:rFonts w:hint="eastAsia" w:hAnsi="宋体" w:cs="楷体"/>
          <w:b/>
          <w:color w:val="auto"/>
          <w:sz w:val="24"/>
          <w:szCs w:val="24"/>
          <w:highlight w:val="none"/>
        </w:rPr>
      </w:pPr>
      <w:r>
        <w:rPr>
          <w:rFonts w:hint="eastAsia" w:hAnsi="宋体" w:cs="仿宋_GB2312"/>
          <w:color w:val="auto"/>
          <w:sz w:val="24"/>
          <w:szCs w:val="24"/>
          <w:highlight w:val="none"/>
        </w:rPr>
        <w:t xml:space="preserve">1）接入网络：5442条通信链路</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2）监控设备：5438台，为</w:t>
      </w:r>
      <w:r>
        <w:rPr>
          <w:rFonts w:hint="eastAsia" w:hAnsi="宋体" w:cs="仿宋_GB2312"/>
          <w:color w:val="auto"/>
          <w:sz w:val="24"/>
          <w:highlight w:val="none"/>
        </w:rPr>
        <w:t xml:space="preserve">确保惠山公安设备全年在线完好率保持在95%以上，需保障提供不低于5200台监控设备的维护。（详情见项目工作量表及监控设备参数）</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3）服务器等主机设备：3套</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4）桌面及外围终端设备：10套（包含监控支架、杆件、设备箱等等）</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5）网络设备及配套：8套（包含硬盘录像机、交换机、光端机等等）</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6）存储设备：3套（包含硬盘及接入网关等等）</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7）安全类设备：3套</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8）定制化软件：8套</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9）成品软件：11套</w:t>
      </w:r>
      <w:r/>
    </w:p>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10）机房的托管维护：8个机柜（含空调、环控、UPS的维护）</w:t>
      </w:r>
      <w:r/>
    </w:p>
    <w:p>
      <w:pPr>
        <w:ind w:firstLine="480"/>
        <w:spacing w:line="360" w:lineRule="auto"/>
        <w:rPr>
          <w:rFonts w:hint="eastAsia" w:hAnsi="宋体" w:cs="仿宋_GB2312"/>
          <w:color w:val="auto"/>
          <w:sz w:val="24"/>
          <w:szCs w:val="24"/>
        </w:rPr>
      </w:pPr>
      <w:r>
        <w:rPr>
          <w:rFonts w:hint="eastAsia" w:hAnsi="宋体" w:cs="仿宋_GB2312"/>
          <w:color w:val="auto"/>
          <w:sz w:val="24"/>
          <w:szCs w:val="24"/>
        </w:rPr>
        <w:t xml:space="preserve">项目工作量表：</w:t>
      </w:r>
      <w:r/>
    </w:p>
    <w:tbl>
      <w:tblPr>
        <w:tblStyle w:val="690"/>
        <w:tblW w:w="9415" w:type="dxa"/>
        <w:jc w:val="center"/>
        <w:tblLayout w:type="fixed"/>
        <w:tblCellMar>
          <w:left w:w="108" w:type="dxa"/>
          <w:top w:w="0" w:type="dxa"/>
          <w:right w:w="108" w:type="dxa"/>
          <w:bottom w:w="0" w:type="dxa"/>
        </w:tblCellMar>
        <w:tblLook w:val="04A0" w:firstRow="1" w:lastRow="0" w:firstColumn="1" w:lastColumn="0" w:noHBand="0" w:noVBand="1"/>
      </w:tblPr>
      <w:tblGrid>
        <w:gridCol w:w="792"/>
        <w:gridCol w:w="1651"/>
        <w:gridCol w:w="2561"/>
        <w:gridCol w:w="919"/>
        <w:gridCol w:w="1152"/>
        <w:gridCol w:w="2340"/>
      </w:tblGrid>
      <w:tr>
        <w:trPr>
          <w:jc w:val="center"/>
          <w:trHeight w:val="66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b/>
                <w:bCs/>
                <w:color w:val="auto"/>
                <w:sz w:val="20"/>
                <w:highlight w:val="none"/>
              </w:rPr>
            </w:pPr>
            <w:r>
              <w:rPr>
                <w:b/>
                <w:bCs/>
                <w:color w:val="auto"/>
                <w:sz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widowControl/>
              <w:rPr>
                <w:b/>
                <w:bCs/>
                <w:color w:val="auto"/>
                <w:sz w:val="20"/>
                <w:highlight w:val="none"/>
              </w:rPr>
            </w:pPr>
            <w:r>
              <w:rPr>
                <w:b/>
                <w:bCs/>
                <w:color w:val="auto"/>
                <w:sz w:val="20"/>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jc w:val="center"/>
              <w:widowControl/>
              <w:rPr>
                <w:b/>
                <w:bCs/>
                <w:color w:val="auto"/>
                <w:sz w:val="20"/>
                <w:highlight w:val="none"/>
              </w:rPr>
            </w:pPr>
            <w:r>
              <w:rPr>
                <w:b/>
                <w:bCs/>
                <w:color w:val="auto"/>
                <w:sz w:val="20"/>
                <w:highlight w:val="none"/>
              </w:rPr>
              <w:t xml:space="preserve">维护内容</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b/>
                <w:bCs/>
                <w:color w:val="auto"/>
                <w:sz w:val="20"/>
                <w:highlight w:val="none"/>
              </w:rPr>
            </w:pPr>
            <w:r>
              <w:rPr>
                <w:b/>
                <w:bCs/>
                <w:color w:val="auto"/>
                <w:sz w:val="20"/>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b/>
                <w:bCs/>
                <w:color w:val="auto"/>
                <w:sz w:val="20"/>
                <w:highlight w:val="none"/>
              </w:rPr>
            </w:pPr>
            <w:r>
              <w:rPr>
                <w:b/>
                <w:bCs/>
                <w:color w:val="auto"/>
                <w:sz w:val="20"/>
                <w:highlight w:val="none"/>
              </w:rPr>
              <w:t xml:space="preserve">总数</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widowControl/>
              <w:rPr>
                <w:b/>
                <w:bCs/>
                <w:color w:val="auto"/>
                <w:sz w:val="20"/>
                <w:highlight w:val="none"/>
              </w:rPr>
            </w:pPr>
            <w:r>
              <w:rPr>
                <w:b/>
                <w:bCs/>
                <w:color w:val="auto"/>
                <w:sz w:val="20"/>
                <w:highlight w:val="none"/>
              </w:rPr>
              <w:t xml:space="preserve">备注</w:t>
            </w:r>
            <w:r/>
          </w:p>
        </w:tc>
      </w:tr>
      <w:tr>
        <w:trPr>
          <w:jc w:val="center"/>
          <w:trHeight w:val="500"/>
        </w:trPr>
        <w:tc>
          <w:tcPr>
            <w:tcBorders>
              <w:top w:val="single" w:color="000000" w:sz="4" w:space="0"/>
              <w:left w:val="single" w:color="000000" w:sz="4" w:space="0"/>
              <w:right w:val="single" w:color="000000" w:sz="4" w:space="0"/>
            </w:tcBorders>
            <w:tcW w:w="792" w:type="dxa"/>
            <w:vAlign w:val="center"/>
            <w:textDirection w:val="lrTb"/>
            <w:noWrap/>
          </w:tcPr>
          <w:p>
            <w:pPr>
              <w:jc w:val="center"/>
              <w:widowControl/>
              <w:rPr>
                <w:color w:val="auto"/>
                <w:sz w:val="20"/>
                <w:highlight w:val="none"/>
              </w:rPr>
            </w:pPr>
            <w:r>
              <w:rPr>
                <w:color w:val="auto"/>
                <w:sz w:val="20"/>
                <w:highlight w:val="none"/>
              </w:rPr>
              <w:t xml:space="preserve">1</w:t>
            </w:r>
            <w:r/>
          </w:p>
        </w:tc>
        <w:tc>
          <w:tcPr>
            <w:tcBorders>
              <w:top w:val="single" w:color="000000" w:sz="4" w:space="0"/>
              <w:left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color w:val="auto"/>
                <w:sz w:val="20"/>
                <w:highlight w:val="none"/>
              </w:rPr>
              <w:t xml:space="preserve">前端监控设备及配套</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jc w:val="center"/>
              <w:widowControl/>
              <w:rPr>
                <w:color w:val="auto"/>
                <w:sz w:val="20"/>
                <w:highlight w:val="none"/>
              </w:rPr>
            </w:pPr>
            <w:r>
              <w:rPr>
                <w:color w:val="auto"/>
                <w:sz w:val="20"/>
                <w:highlight w:val="none"/>
              </w:rPr>
              <w:t xml:space="preserve">前端监控设备及配套</w:t>
            </w:r>
            <w:r>
              <w:rPr>
                <w:rFonts w:hint="eastAsia"/>
                <w:color w:val="auto"/>
                <w:sz w:val="20"/>
                <w:highlight w:val="none"/>
              </w:rPr>
              <w:t xml:space="preserve">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color w:val="auto"/>
                <w:sz w:val="20"/>
                <w:highlight w:val="none"/>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color w:val="auto"/>
                <w:sz w:val="20"/>
                <w:highlight w:val="none"/>
              </w:rPr>
            </w:pPr>
            <w:r>
              <w:rPr>
                <w:rFonts w:hint="eastAsia"/>
                <w:color w:val="auto"/>
                <w:sz w:val="20"/>
                <w:highlight w:val="none"/>
              </w:rPr>
              <w:t xml:space="preserve">5438</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color w:val="auto"/>
                <w:sz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color w:val="auto"/>
                <w:sz w:val="20"/>
                <w:highlight w:val="none"/>
              </w:rPr>
              <w:t xml:space="preserve">服务器及配套</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color w:val="auto"/>
                <w:sz w:val="20"/>
                <w:highlight w:val="none"/>
              </w:rPr>
              <w:t xml:space="preserve">服务器等</w:t>
            </w:r>
            <w:r>
              <w:rPr>
                <w:rFonts w:hint="eastAsia"/>
                <w:color w:val="auto"/>
                <w:sz w:val="20"/>
                <w:highlight w:val="none"/>
              </w:rPr>
              <w:t xml:space="preserve">主机设备的</w:t>
            </w:r>
            <w:r>
              <w:rPr>
                <w:color w:val="auto"/>
                <w:sz w:val="20"/>
                <w:highlight w:val="none"/>
              </w:rPr>
              <w:t xml:space="preserve">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桌面及外围设备配套</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color w:val="auto"/>
                <w:sz w:val="20"/>
                <w:highlight w:val="none"/>
              </w:rPr>
              <w:t xml:space="preserve">固定计算终端、移动计算终端、外围输入输出设备、外围存储设备和外围通讯设备以及其他硬件</w:t>
            </w:r>
            <w:r>
              <w:rPr>
                <w:rFonts w:hint="eastAsia"/>
                <w:color w:val="auto"/>
                <w:sz w:val="20"/>
                <w:highlight w:val="none"/>
              </w:rPr>
              <w:t xml:space="preserve">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网络设备及配套</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rFonts w:hint="eastAsia"/>
                <w:color w:val="auto"/>
                <w:sz w:val="20"/>
                <w:highlight w:val="none"/>
              </w:rPr>
              <w:t xml:space="preserve">信息通讯设备（交换机、路由器）及配套的维护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存储设备及配套</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rFonts w:hint="eastAsia"/>
                <w:color w:val="auto"/>
                <w:sz w:val="20"/>
                <w:highlight w:val="none"/>
              </w:rPr>
              <w:t xml:space="preserve">用于储存的设备（云存储节点、硬盘）及配套的维护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安全类设备及配套维护</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rFonts w:hint="eastAsia"/>
                <w:color w:val="auto"/>
                <w:sz w:val="20"/>
                <w:highlight w:val="none"/>
              </w:rPr>
              <w:t xml:space="preserve">用于网络安全防护的设备（网闸、集控探针、防火墙）及配套的维护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定制类软件维护</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rFonts w:hint="eastAsia"/>
                <w:color w:val="auto"/>
                <w:sz w:val="20"/>
                <w:highlight w:val="none"/>
              </w:rPr>
              <w:t xml:space="preserve">实战应用平台</w:t>
            </w:r>
            <w:r>
              <w:rPr>
                <w:color w:val="auto"/>
                <w:sz w:val="20"/>
                <w:highlight w:val="none"/>
              </w:rPr>
              <w:t xml:space="preserve">、</w:t>
            </w:r>
            <w:r>
              <w:rPr>
                <w:rFonts w:hint="eastAsia"/>
                <w:color w:val="auto"/>
                <w:sz w:val="20"/>
                <w:highlight w:val="none"/>
              </w:rPr>
              <w:t xml:space="preserve">违停屏控制系统、信息发布平台、平台授权扩容等</w:t>
            </w:r>
            <w:r>
              <w:rPr>
                <w:color w:val="auto"/>
                <w:sz w:val="20"/>
                <w:highlight w:val="none"/>
              </w:rPr>
              <w:t xml:space="preserve">软件</w:t>
            </w:r>
            <w:r>
              <w:rPr>
                <w:rFonts w:hint="eastAsia"/>
                <w:color w:val="auto"/>
                <w:sz w:val="20"/>
                <w:highlight w:val="none"/>
              </w:rPr>
              <w:t xml:space="preserve">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成品软件维护</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rFonts w:hint="eastAsia"/>
                <w:color w:val="auto"/>
                <w:sz w:val="20"/>
                <w:highlight w:val="none"/>
              </w:rPr>
              <w:t xml:space="preserve">车辆抓拍系统软件、视频综合平台、人脸识别系统软件、视频汇聚平台授权人脸数据汇聚平台软件等等成品软件</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机房托管维护</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rFonts w:hint="eastAsia"/>
                <w:color w:val="auto"/>
                <w:sz w:val="20"/>
                <w:highlight w:val="none"/>
              </w:rPr>
              <w:t xml:space="preserve">标准机房（含空调环孔、UPS）的维护</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color w:val="auto"/>
                <w:sz w:val="20"/>
                <w:highlight w:val="none"/>
              </w:rPr>
            </w:pPr>
            <w:r>
              <w:rPr>
                <w:rFonts w:hint="eastAsia"/>
                <w:color w:val="auto"/>
                <w:sz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color w:val="auto"/>
                <w:sz w:val="20"/>
                <w:highlight w:val="none"/>
              </w:rPr>
            </w:pPr>
            <w:r>
              <w:rPr>
                <w:rFonts w:hint="eastAsia"/>
                <w:color w:val="auto"/>
                <w:sz w:val="20"/>
                <w:highlight w:val="none"/>
              </w:rPr>
              <w:t xml:space="preserve">线路资源</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widowControl/>
              <w:rPr>
                <w:color w:val="auto"/>
                <w:sz w:val="20"/>
                <w:highlight w:val="none"/>
              </w:rPr>
            </w:pPr>
            <w:r>
              <w:rPr>
                <w:rFonts w:hint="eastAsia"/>
                <w:color w:val="auto"/>
                <w:sz w:val="20"/>
                <w:highlight w:val="none"/>
              </w:rPr>
              <w:t xml:space="preserve">普通视频监控线路、违停和人脸抓拍线路、万兆线路等等</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color w:val="auto"/>
                <w:sz w:val="20"/>
                <w:highlight w:val="none"/>
              </w:rPr>
            </w:pPr>
            <w:r>
              <w:rPr>
                <w:rFonts w:hint="eastAsia"/>
                <w:color w:val="auto"/>
                <w:sz w:val="20"/>
                <w:highlight w:val="none"/>
              </w:rPr>
              <w:t xml:space="preserve">条</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color w:val="auto"/>
                <w:sz w:val="20"/>
                <w:highlight w:val="none"/>
              </w:rPr>
            </w:pPr>
            <w:r>
              <w:rPr>
                <w:rFonts w:hint="eastAsia"/>
                <w:color w:val="auto"/>
                <w:sz w:val="20"/>
                <w:highlight w:val="none"/>
              </w:rPr>
              <w:t xml:space="preserve">5442</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rPr>
                <w:color w:val="auto"/>
                <w:sz w:val="20"/>
                <w:highlight w:val="none"/>
              </w:rPr>
            </w:pPr>
            <w:r>
              <w:rPr>
                <w:color w:val="auto"/>
                <w:sz w:val="20"/>
                <w:highlight w:val="none"/>
              </w:rPr>
            </w:r>
            <w:r/>
          </w:p>
        </w:tc>
      </w:tr>
    </w:tbl>
    <w:p>
      <w:pPr>
        <w:ind w:firstLine="480"/>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 xml:space="preserve">由于设备使用年数较久；为确保故障第一时间能够修复；要求中标供应商提供主要核心设备备品备件：</w:t>
      </w:r>
      <w:r/>
    </w:p>
    <w:p>
      <w:pPr>
        <w:ind w:firstLine="480"/>
        <w:jc w:val="left"/>
        <w:widowControl/>
        <w:rPr>
          <w:rFonts w:hint="eastAsia" w:hAnsi="宋体" w:cs="Arial"/>
          <w:b/>
          <w:bCs/>
          <w:color w:val="auto"/>
          <w:sz w:val="24"/>
          <w:highlight w:val="none"/>
        </w:rPr>
      </w:pPr>
      <w:r>
        <w:rPr>
          <w:rFonts w:hint="eastAsia" w:hAnsi="宋体" w:cs="仿宋_GB2312"/>
          <w:color w:val="auto"/>
          <w:sz w:val="24"/>
          <w:szCs w:val="24"/>
          <w:highlight w:val="none"/>
        </w:rPr>
        <w:t xml:space="preserve">监控备品备件技术参数要求：</w:t>
      </w:r>
      <w:r/>
    </w:p>
    <w:tbl>
      <w:tblPr>
        <w:tblStyle w:val="69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19"/>
        <w:gridCol w:w="1423"/>
        <w:gridCol w:w="7679"/>
      </w:tblGrid>
      <w:tr>
        <w:trPr>
          <w:jc w:val="center"/>
          <w:trHeight w:val="288"/>
        </w:trPr>
        <w:tc>
          <w:tcPr>
            <w:shd w:val="clear" w:color="auto" w:fill="9bc2e6"/>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序号</w:t>
            </w:r>
            <w:r/>
          </w:p>
        </w:tc>
        <w:tc>
          <w:tcPr>
            <w:shd w:val="clear" w:color="auto" w:fill="9bc2e6"/>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产品类别</w:t>
            </w:r>
            <w:r/>
          </w:p>
        </w:tc>
        <w:tc>
          <w:tcPr>
            <w:shd w:val="clear" w:color="auto" w:fill="9bc2e6"/>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技术规格</w:t>
            </w:r>
            <w:r/>
          </w:p>
        </w:tc>
      </w:tr>
      <w:tr>
        <w:trPr>
          <w:jc w:val="center"/>
          <w:trHeight w:val="1378"/>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高清球机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视频输出支持1920×1080@25fps，分辨力不小于1100TVL，红外距离可达350米。</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支持23倍光学变焦。</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支持最低照度可达彩色0.0005Lux，黑白0.0001Lux。</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支持水平手控速度不小于550°/S，垂直速度不小于120°/S，云台定位精度小于等于0.1°。</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水平旋转范围为360°连续旋转，垂直旋转范围为-20°~90°。</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支持250个预置位，可按照所设置的预置位完成不小于6条巡航路径，支持预置位视频冻结功能，可实现RS485接口优先或RJ45网络接口优先控制功能。</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信噪比≥61dB，网络延时不大于100ms。</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动态范围不小于106dB，照度适应范围不小于138dB，宽动态能力综合得分不小于135。</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样机与客户端之间用150m五类非屏蔽网线直接连接，网络传输能力满足发送1000个数据包，重复测试3次，每次丢包数不大于2个。</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具备较强的网络适应能力，在丢包率为20%的网络环境下，仍可正常显示监视画面。</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支持智能红外、透雾、强光抑制、电子防抖、数字降噪、防红外过曝功能。</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支持区域遮盖功能，支持设置不少于24个不规则四边形区域，可设置不同颜色，支持3D定位、断电记忆功能，支持IP地址访问控制功能，支持定时抓拍或报警联动抓图上传ftp功能。</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球机应具备本机存储功能，支持SD卡热插拔，最大支持256GB。</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支持采用H.265、H.264视频编码标准，H.264编码支持Baseline/Main/HighProfile，音频编码支持G.711ulaw/G.711alaw/G.726/G.722.1。</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支持三码流同时输出，主码流、第三码流同时支持1920×1200@60fps，1920×1080@60fps。</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支持GB28181协议，支持标准Onvif协议。</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支持区域入侵、越界入侵、徘徊、物品移除、物品遗留、人员聚集、停车，并联动报警。</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具备较好的防护性能环境适应性，支持IP67，8kV防浪涌，工作温度范围可达-45℃-70℃。</w:t>
            </w:r>
            <w:r/>
          </w:p>
          <w:p>
            <w:pP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具备较好的电源适应性，电压在AC24V±30%或DC24V±30%范围内变化时，设备可正常工作。</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2 </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高清枪机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具有不小于1/1.8"靶面尺寸。</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内置GPU芯片。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内置1颗不小于8GB EMMC存储芯片。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镜头光圈大小为F1.0。</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内置1个麦克风，支持双向语音对讲功能。</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最大支持分辨率2560*1440、帧率在1fps~30fps可调。</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网络断开后，样机可将视音频录像存储至内置的存储中，且存储码流可自动转换为1280*720、15fps；当网络恢复后，样机可自动从网络断开的时刻上传存储的视音频录像。</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支持区域入侵侦测、越界侦测、进入区域侦测、离开区域侦测，每种智能周界事件可设置3个警戒区域；并独立布撤防，布撤防时间可单独设置（7*24h），联动方式单独设置。</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正常工作条件下，工作4h后，可触及零部件的温度不应超过该部件的允许温升值。</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具有低温低气压适应性，可在不高于-45℃和气压70kPa环境下正常工作，最低照度彩色：0.0002 lx，黑白:0.0001 lx。</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同一场景下相同图像质量下设备在H.264或H.265编码方式时，开启智能编码功能和不开启智能编码相比，码流节约80%。</w:t>
            </w:r>
            <w:r/>
          </w:p>
        </w:tc>
      </w:tr>
      <w:tr>
        <w:trPr>
          <w:jc w:val="center"/>
          <w:trHeight w:val="2276"/>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3 </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300万抓拍摄像机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包含高清一体化嵌入式摄像机、高清镜头、室外防护罩、相机内置网络信号防雷器、电源适配器等。</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图像传感器：采用1/1.8英寸GMOS。</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设备应采用深度学习芯片。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最大图像尺寸：2064*1544（不含OSD叠加），最大可支持2064*2056（含OSD叠加）。</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视频帧率：在1～50fps可调。</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视频压缩支持H.265、H.264、M-JPEG。</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分辨力：彩色≥1400TVL。</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支持专业场景模式设置功能，包括普通道路、高速路、园区、隧道、人车混行、高速票停卡口多种道路场景抓拍模式。</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支持安全接入功能，开启此功能后，设备只能被管理平台控制，不能通过其他方式登录或者控制设备。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设备可支持30种车型</w:t>
            </w:r>
            <w:r>
              <w:rPr>
                <w:rFonts w:hint="eastAsia" w:ascii="宋体" w:hAnsi="宋体" w:cs="宋体"/>
                <w:color w:val="auto"/>
                <w:sz w:val="20"/>
                <w:highlight w:val="none"/>
              </w:rPr>
              <w:t xml:space="preserve">识别（包括：大型普通客车、大型双层客车、大型专用校车、重型特殊结构货车、轮式平底机械、轮式挖掘机械、轮式装载机械、普通二轮摩托车、轻便侧三轮摩托车、轻便正三轮载货摩托车、轻便正三轮载客摩托车、轻便普通货车、微型轿车、大型无轨电车、小型轿车、小型面包车、中型罐式货车、中型普通客车、中型平板半挂车、中型平板货车、中型普通半挂车、中型普通货车、中型厢式半挂车、中型厢式货车、重型车辆运输车、重型集装箱车、重型集装箱车挂车、重型普通货车、重型普通全挂车、重型厢式货车），白天识别准确率≥97%，夜晚识别准确率≥95%。</w:t>
            </w:r>
            <w:r/>
          </w:p>
          <w:p>
            <w:pPr>
              <w:jc w:val="left"/>
              <w:spacing w:line="320" w:lineRule="exact"/>
              <w:widowControl/>
              <w:rPr>
                <w:rFonts w:hint="eastAsia" w:ascii="宋体" w:hAnsi="宋体" w:cs="宋体"/>
                <w:b/>
                <w:color w:val="auto"/>
                <w:sz w:val="20"/>
                <w:highlight w:val="none"/>
              </w:rPr>
            </w:pPr>
            <w:r>
              <w:rPr>
                <w:rFonts w:hint="eastAsia" w:ascii="宋体" w:hAnsi="宋体" w:cs="宋体"/>
                <w:color w:val="auto"/>
                <w:sz w:val="20"/>
                <w:highlight w:val="none"/>
              </w:rPr>
              <w:t xml:space="preserve">设备可识别351种机动车品牌标志，白天识别准确率≥99%，夜晚识别准确率≥99%，可对设定区域内的天窗开启露出人部分身体、未交替让行、双车挤入单车道等行为进行图片抓拍。</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识别车头6600种车辆子品牌，车尾3600种车辆子品牌，在天气晴朗无雾，号牌无遮挡、无污损，白天环境光照度不低于200lx，晚上辅助光照度不高于30lx的条件下测试，白天识别准确率均98%，白晚上的识别准确率均≥96%。</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支持对设定区域内的机动车、非机动车是否悬挂车牌的情况进行检测并显示。</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设备可对监控画面中非机动车车牌进行检测和识别，并将识别结果叠加在OSD上进行显示。</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在IE浏览器下，应具有白平衡模式设置选项并可对10种白平衡模式进行选择。</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支持可对监控画面中经过行人道未减速至设定阈值的机动车进行图片抓拍。</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设备可对视频画面中高度超过设定阈值的车辆进行检测并抓拍图片。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可显示设定区域内各像素点的RGB分量值。</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可通过IE浏览器设置人脸抓拍模式为最佳抓拍模式/快速抓拍模式；在最佳抓拍模式时，可设置抓拍次数、抓拍帧数间隔及抓拍阈值，次数可设置为1次~8次，间隔帧数可设置为1帧~250帧，抓拍阈值可设置为0~15。</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设备可检测并抓拍喜、怒、哀、乐四种表情的人脸；可对监视画面汇总不小于40个人脸进行检测、跟踪和抓拍，并可将抓拍图片上传服务器 。</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开启混合抓拍模式后，设备支持正面/侧面/背面行人（包括成年人和儿童）的抓拍；支持对骑自行车、骑三轮车、骑电动车、踩平衡车、骑车带人等非机动车的抓拍；支持对轿车、客车、面包车、货车、卡车、摩托车等机动车的抓拍。</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设备支持人脸区域自动曝光，可根据人脸区域和光照变化自动调节人脸区域曝光参数；可通过IE浏览器设置人脸自动曝光的参考亮度、最短持续时间和人脸过滤时间。</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支持节假日/工作日按时间段或者全天方式限行，支持车牌号按单双号/任意尾号进行限行，支持时间和车牌号自定义组合规则进行限行。</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支持对高速跟车过近进行检测抓拍。</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在相同图像质量下，使用H.265/H.264编码格式开启智能编码模式后，平均码率可节省约85%。</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支持多拍过滤功能，可设置多拍过滤时间段为0-320000ms，在此时间段内多次经过的车辆只抓拍一次。</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支持设置多帧识别功能开启/关闭。</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4 </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700万抓拍摄像机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包含高清一体化嵌入式摄像机、高清镜头、室外防护罩、相机内置网络信号防雷器、电源适配器等。</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图像传感器：采用1英寸GMOS。</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设备应采用深度学习芯片。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支持主码流同时输出不少于30路4096×2160、2Mbps的25帧/s图像以提供客户端浏览。</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最大图像尺寸：≥4096×2160像素；字符叠加时最大可支持4096×2800。</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视频帧率：在1～25fps可调。</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支持在25%丢包率的网络环境下，正常显示监控画面。</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视频压缩支持H.265、H.264、M-JPEG。</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支持车辆捕获抓拍功能，在天气晴朗无雾，号牌无遮挡、无污损，白天环境光照度不低于200lx，晚上辅助光照度不高于30lx的条件下测试，白天和晚上的捕获率均≥99%。</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支持车牌识别功能，在天气晴朗无雾，号牌无遮挡、无污损，白天环境光照度不低于200lx，晚上辅助光照度不高于30lx的条件下测试，白天和晚上的识别准确率均≥99%。</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支持异常车牌检测功能，可对故意遮挡及污损车牌进行判断和识别。</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支持车辆子品牌识别功能，通过车头可识别7100种，通过车尾可识别3800种，全天识别准确率不低于99%。</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支持识别43种车型，包括轻型普通货车、轻型厢式货车、轻型平板货车、微型轿车、小型轿车、小型客车、小型越野客车、小型面包车、中型罐式货车、中型仓栅</w:t>
            </w:r>
            <w:r>
              <w:rPr>
                <w:rFonts w:hint="eastAsia" w:ascii="宋体" w:hAnsi="宋体" w:cs="宋体"/>
                <w:color w:val="auto"/>
                <w:sz w:val="20"/>
                <w:highlight w:val="none"/>
              </w:rPr>
              <w:t xml:space="preserve">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支持检出两眼瞳距13像素点以上的人脸图片。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支持检测并跟踪指定区域内160个目标（机动车、非机动车及行人）。</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宽动态能力≥120dB。</w:t>
            </w:r>
            <w:r/>
          </w:p>
          <w:p>
            <w:pPr>
              <w:jc w:val="left"/>
              <w:spacing w:line="320" w:lineRule="exact"/>
              <w:widowControl/>
              <w:rPr>
                <w:rFonts w:hint="eastAsia" w:ascii="宋体" w:hAnsi="宋体" w:cs="宋体"/>
                <w:b/>
                <w:color w:val="auto"/>
                <w:sz w:val="20"/>
                <w:highlight w:val="none"/>
              </w:rPr>
            </w:pPr>
            <w:r>
              <w:rPr>
                <w:rFonts w:hint="eastAsia" w:ascii="宋体" w:hAnsi="宋体" w:cs="宋体"/>
                <w:color w:val="auto"/>
                <w:sz w:val="20"/>
                <w:highlight w:val="none"/>
              </w:rPr>
              <w:t xml:space="preserve">支持车标识别功能，数据库中包含410种车标信息，白天和晚上的识别率均不低于99%。</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支持景深扩展模式设置功能。</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支持重瞳设置选项，开启后可自动调节优化画面中人脸和车牌区域的曝光。</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支持不少于14种车身颜色识别，包括黑、白、灰、红、绿、蓝、黄、粉、紫、棕、青、金、橙、银灰。</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支持抓图叠加OSD黑边，最大分辨率可达：4096×4296。</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支持直流5V-24V电源输入，支持交流20V-320V电源同步。</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5 </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高空摄像机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设备支持水平旋转范围为360°连续旋转，垂直旋转范围为-20°~90°。</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运动结束静止时，其水平和垂直角度方向受到外力作用发生偏移时，能够检测角度改变并产生报警信息，报警信息可在OSD上叠加。设备具备偏移自动校正功能。设备运动结束静止时，其水平和垂直角度方向受到外力作用发生偏移时，设备可进行偏移自动校正，校正后与原位置偏差角度应不大于0.05°。</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设备可对监控画面中不小于40个人脸进行检测、跟踪和抓拍。</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支持对镜头前玻璃进行加热，去除玻璃上的冰状和水附着物。</w:t>
            </w:r>
            <w:r/>
          </w:p>
          <w:p>
            <w:pPr>
              <w:jc w:val="left"/>
              <w:spacing w:line="320" w:lineRule="exact"/>
              <w:widowControl/>
              <w:rPr>
                <w:rFonts w:hint="eastAsia" w:ascii="宋体" w:hAnsi="宋体" w:cs="宋体"/>
                <w:b/>
                <w:color w:val="auto"/>
                <w:sz w:val="20"/>
                <w:highlight w:val="none"/>
              </w:rPr>
            </w:pPr>
            <w:r>
              <w:rPr>
                <w:rFonts w:hint="eastAsia" w:ascii="宋体" w:hAnsi="宋体" w:cs="宋体"/>
                <w:color w:val="auto"/>
                <w:sz w:val="20"/>
                <w:highlight w:val="none"/>
              </w:rPr>
              <w:t xml:space="preserve">设备支持人脸区域自动曝光，可根据人脸区域和光照变化自动调节人脸区域曝光参数</w:t>
            </w:r>
            <w:r>
              <w:rPr>
                <w:rFonts w:hint="eastAsia" w:ascii="宋体" w:hAnsi="宋体" w:cs="宋体"/>
                <w:b/>
                <w:color w:val="auto"/>
                <w:sz w:val="20"/>
                <w:highlight w:val="none"/>
              </w:rPr>
              <w:t xml:space="preserve">。</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支持7路报警输入接口，2路报警输出接口，支持1路音频输入和输出接口。最大支持512GB的SD卡。</w:t>
            </w:r>
            <w:r/>
          </w:p>
        </w:tc>
      </w:tr>
      <w:tr>
        <w:trPr>
          <w:jc w:val="center"/>
          <w:trHeight w:val="1533"/>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6 </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人脸抓拍摄像机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内置GPU芯片，支持深度学习算法，有效提升检测准确率。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支持三种智能资源切换：通用行为分析、人脸检测、人数统计。</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通用行为分析：支持绊线入侵，区域入侵，快速移动（三项均支持人车分类及精准检测），物品遗留，物品搬移，徘徊检测，人员聚集，停车检测，热度图。</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人脸检测：对运动人脸进行检测、跟踪、抓拍、优选，输出最优的人脸抓图；支持人脸增强，人脸曝光，人脸属性提取。</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可对出现在监控场景内的两眼瞳距不小于12像素的人脸进行检测，同时叠加目标提示框。</w:t>
            </w:r>
            <w:r/>
          </w:p>
          <w:p>
            <w:pPr>
              <w:jc w:val="left"/>
              <w:spacing w:line="320" w:lineRule="exact"/>
              <w:widowControl/>
              <w:rPr>
                <w:rFonts w:hint="eastAsia" w:ascii="宋体" w:hAnsi="宋体" w:cs="宋体"/>
                <w:b/>
                <w:color w:val="auto"/>
                <w:sz w:val="20"/>
                <w:highlight w:val="none"/>
              </w:rPr>
            </w:pPr>
            <w:r>
              <w:rPr>
                <w:rFonts w:hint="eastAsia" w:ascii="宋体" w:hAnsi="宋体" w:cs="宋体"/>
                <w:color w:val="auto"/>
                <w:sz w:val="20"/>
                <w:highlight w:val="none"/>
              </w:rPr>
              <w:t xml:space="preserve">支持同时检测监控场景内出现的不小于40张人脸图片。</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人数统计：支持排队管理；支持区域内人数统计，进入/离开人数统计，并可生成人数统计日/月/年报表，导出使用（区域内人数统计、排队管理不支持报表）。</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采用高性能200万像素1/2.8英寸CMOS图像传感器，低照度效果好，图像清晰度高。</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可输出200万（1920×1080）@25fps。</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支持H.265编码，压缩比高，超低码流。</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内置高效红外补光灯,最大监控距离100米。</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支持走廊模式，宽动态，3D降噪，强光抑制，背光补偿，数字水印，适用不同监控环境。</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支持ROI，SVC，SMART H.264/H.265，帧前滤波，灵活编码，适用不同带宽和存储环境。</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支持多种异常检测：动态检测，视频遮挡，场景变更，虚焦侦测，音频异常侦测，无SD卡，SD卡空间不足，SD卡出错，网络断开，IP冲突，非法访问，电压检测。</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支持报警3进2出，音频1进1出，内置MIC，最大支持256G Micro SD卡。</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支持DC12V/POE供电方式，方便工程安装。</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摄像机通过POE供电，使用超五类非屏蔽网线，传输距离可达380米。</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支持IP67防护等级。</w:t>
            </w:r>
            <w:r/>
          </w:p>
        </w:tc>
      </w:tr>
      <w:tr>
        <w:trPr>
          <w:jc w:val="center"/>
          <w:trHeight w:val="1607"/>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7 </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违停抓拍球机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像机靶面尺寸不小于1/1.9英寸CMOS，F1.5超大光圈，光学变倍≥32倍，数字变倍≥16倍；</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支持星光级超低照度，彩色≤0.00021Lux，黑白≤0.0001Lux；</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内置红外灯补光，补光距离≥220米；</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支持违章智能检测行为检测：违章停车检测、逆行检测；</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支持水平方向360°连续旋转，垂直方向不小于-20°～90°自动翻转180°后连续监视,无监视盲区；</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支持水平键控速度不小于0.1°～200°/s，垂直键控速度不小于0.1°～120°/s；</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云台定位准确度≤0.01°；</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支持不少于300个预置位；</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支持设置不少于2048条巡航路径,每条巡航可添加128个预置点；</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违法检测场景设置功能检查，可最多添加300个预置点场景，每个预置点下均可配置机动车逆行、欠速、压边线、压黄线、超速、违章变道、加塞、不按车道行驶、黄牌占道和非机动车有车占道智能方案，每个场景内可设置8个车道检测区域，每个场景可同时生效80个违法规则，其中机动车每条车道生效9条规则、非机动车每条车道生效1条规则。</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IP等级≥IP67；在温度范围为-45℃~+70℃环境下可正常工作；</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在湿度≤95%的环境下可正常工作。</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温升试验：设备在正常工作条件下，其外壳温度不应超过65℃，机内发热部件连续工作4的后，其温升不应超过该部件的规定值。</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预置位调用速度试验：企业技术要求:最大水平预置位调用速度≥280º/s。</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最大垂直预置位调用速度≥250º/s</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抓拍图片及FTP存储文件夹名称设置检验：抓拍图片名称及ftp存储文件夹名称可按以下内容自由组合设置:年、月、日、小时、分钟、秒、毫秒、IP地址、通行方向、车道号、车速、限速值、违章类型、车牌号、车牌类型、车辆大小、车身颜色、抓图张数、图片序号、车牌颜色、车牌坐标、违章代码地点、设备所属单位、图片场景、设备编号、卡口编号、车道方向、设备编码</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图片字符叠加功能检验：可在图片上叠加字符，字符可选择项包括时间、地点、车牌号码、车牌颜色、车身颜色、违法类型、违法代码、设备编号、防伪码、车标名称、车辆类型及对应编号可设置</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违法取证图片合成样式功能检验：合成图支持不同样式叠加:2张支持横排或竖排二合一;3张支持横排或竖排三合一;4张支持横排、竖排四合一、田字格四合一、横排两组二合一、竖排两组二合一;5张支持横排、竖排五合一、梯形五合一、倒梯形五合一;6张支持横排、竖排六合一、两行三列六合一、三行两列六合一、横排两组三合一、竖排两组三合一;</w:t>
            </w:r>
            <w:r/>
          </w:p>
        </w:tc>
      </w:tr>
      <w:tr>
        <w:trPr>
          <w:jc w:val="center"/>
          <w:trHeight w:val="1397"/>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800万像素人脸抓拍机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支持景深扩展模式选项，在相同图像参数、光圈设置的情况下，开启景深扩展功能，可使设备景深变大，使前后边缘处看到的景象更清晰</w:t>
            </w:r>
            <w:r/>
          </w:p>
        </w:tc>
      </w:tr>
      <w:tr>
        <w:trPr>
          <w:jc w:val="center"/>
          <w:trHeight w:val="1397"/>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全局摄像机</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自动标定成功后，距测试目标中心点10m，在细节摄像机监控画面中点击中心标点，云台将转动到对应位置，全景摄像机目标中心点与监控画面中心偏差小于0.2m；</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行为分析出发后联动抓图、录像、报警上传、发送邮件、辅助输出等多种报警触发方式;当发生区域入侵、越界入侵、和快速移动时，可对行人、自行车、摩托车、三轮车和机动车进行检测，支持行为分析触发后联动抓拍、报警上传，发送邮件，联动录像，辅助输出等多种报警触发方式；</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在IE浏览器下，跟踪目标分类可设置，当选择的分类目标触发规则之后进行目标联动跟踪，变倍跟踪，跟踪时间可选择；</w:t>
            </w:r>
            <w:r/>
          </w:p>
          <w:p>
            <w:pPr>
              <w:jc w:val="left"/>
              <w:spacing w:line="320" w:lineRule="exact"/>
              <w:widowControl/>
              <w:rPr>
                <w:rFonts w:hint="eastAsia" w:ascii="宋体" w:hAnsi="宋体" w:cs="宋体"/>
                <w:color w:val="auto"/>
                <w:sz w:val="20"/>
                <w:highlight w:val="none"/>
              </w:rPr>
            </w:pPr>
            <w:r>
              <w:rPr>
                <w:rFonts w:hint="eastAsia" w:ascii="宋体" w:hAnsi="宋体" w:cs="宋体"/>
                <w:color w:val="auto"/>
                <w:sz w:val="20"/>
                <w:highlight w:val="none"/>
              </w:rPr>
              <w:t xml:space="preserve">支持快速智能切换，当更换当前智能模式时设备不需重启，新智能使能后即可生效。</w:t>
            </w:r>
            <w:bookmarkEnd w:id="133"/>
            <w:r/>
          </w:p>
        </w:tc>
      </w:tr>
    </w:tbl>
    <w:p>
      <w:pPr>
        <w:jc w:val="both"/>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jc w:val="center"/>
        <w:spacing w:line="360" w:lineRule="auto"/>
        <w:rPr>
          <w:rFonts w:ascii="黑体" w:hAnsi="宋体" w:eastAsia="黑体"/>
          <w:bCs/>
          <w:color w:val="auto"/>
          <w:sz w:val="24"/>
          <w:szCs w:val="24"/>
          <w:highlight w:val="none"/>
        </w:rPr>
      </w:pPr>
      <w:r>
        <w:rPr>
          <w:rFonts w:hint="eastAsia" w:ascii="宋体" w:hAnsi="宋体"/>
          <w:b/>
          <w:color w:val="auto"/>
          <w:sz w:val="30"/>
          <w:szCs w:val="30"/>
          <w:highlight w:val="none"/>
          <w:u w:val="none"/>
        </w:rPr>
        <w:t xml:space="preserve">第二部分  有关说明</w:t>
      </w:r>
      <w:r/>
    </w:p>
    <w:p>
      <w:pPr>
        <w:numPr>
          <w:ilvl w:val="0"/>
          <w:numId w:val="0"/>
        </w:numPr>
        <w:ind w:firstLine="480"/>
        <w:spacing w:line="360" w:lineRule="auto"/>
        <w:tabs>
          <w:tab w:val="left" w:pos="525" w:leader="none"/>
          <w:tab w:val="left" w:pos="945" w:leader="none"/>
        </w:tabs>
        <w:rPr>
          <w:rFonts w:ascii="宋体"/>
          <w:bCs/>
          <w:color w:val="auto"/>
          <w:sz w:val="24"/>
          <w:szCs w:val="24"/>
        </w:rPr>
      </w:pP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投标总报价包括满足本项目服务要求的从项目中标起到项目正式交付以及服务期内所发生的一切费用。</w:t>
      </w:r>
      <w:r/>
    </w:p>
    <w:p>
      <w:pPr>
        <w:numPr>
          <w:ilvl w:val="0"/>
          <w:numId w:val="0"/>
        </w:numPr>
        <w:ind w:firstLine="480"/>
        <w:spacing w:line="360" w:lineRule="auto"/>
        <w:tabs>
          <w:tab w:val="left" w:pos="525" w:leader="none"/>
          <w:tab w:val="left" w:pos="945" w:leader="none"/>
        </w:tabs>
        <w:rPr>
          <w:rFonts w:asci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通过中国海关报关验放进入中国境内且产自中国境外的产品不在本项目的报价范围。</w:t>
      </w:r>
      <w:r/>
    </w:p>
    <w:p>
      <w:pPr>
        <w:numPr>
          <w:ilvl w:val="0"/>
          <w:numId w:val="0"/>
        </w:numPr>
        <w:ind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lang w:val="en-US" w:eastAsia="zh-CN"/>
        </w:rPr>
        <w:t xml:space="preserve">3.</w:t>
      </w:r>
      <w:r>
        <w:rPr>
          <w:rFonts w:hint="eastAsia" w:ascii="宋体"/>
          <w:bCs/>
          <w:color w:val="auto"/>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0"/>
          <w:numId w:val="0"/>
        </w:numPr>
        <w:ind w:firstLine="480"/>
        <w:spacing w:line="360" w:lineRule="auto"/>
        <w:tabs>
          <w:tab w:val="left" w:pos="525" w:leader="none"/>
          <w:tab w:val="left" w:pos="945" w:leader="none"/>
        </w:tabs>
        <w:rPr>
          <w:rFonts w:ascii="宋体"/>
          <w:bCs/>
          <w:color w:val="auto"/>
          <w:sz w:val="24"/>
          <w:szCs w:val="24"/>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 xml:space="preserve">投标人必须在满足招标文件要求的基础上进行报价，如有技术偏离请于投标偏离表中说明。</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本项目合同履行地点：</w:t>
      </w:r>
      <w:r>
        <w:rPr>
          <w:rFonts w:hint="eastAsia" w:ascii="宋体" w:hAnsi="宋体" w:eastAsia="宋体" w:cs="宋体"/>
          <w:color w:val="auto"/>
          <w:sz w:val="24"/>
          <w:szCs w:val="24"/>
          <w:highlight w:val="none"/>
          <w:lang w:val="zh-CN"/>
        </w:rPr>
        <w:t xml:space="preserve">采购人指定地点。</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hAnsi="宋体"/>
          <w:bCs/>
          <w:color w:val="auto"/>
          <w:sz w:val="24"/>
          <w:lang w:val="en-US" w:eastAsia="zh-CN"/>
        </w:rPr>
        <w:t xml:space="preserve">7.</w:t>
      </w:r>
      <w:r>
        <w:rPr>
          <w:rFonts w:hint="eastAsia" w:ascii="宋体" w:hAnsi="宋体"/>
          <w:bCs/>
          <w:color w:val="auto"/>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bCs/>
          <w:color w:val="auto"/>
          <w:sz w:val="24"/>
          <w:szCs w:val="24"/>
          <w:lang w:val="en-US" w:eastAsia="zh-CN"/>
        </w:rPr>
        <w:t xml:space="preserve">8.</w:t>
      </w:r>
      <w:r>
        <w:rPr>
          <w:rFonts w:hint="eastAsia" w:ascii="宋体"/>
          <w:bCs/>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rPr>
      </w:pPr>
      <w:r>
        <w:rPr>
          <w:rFonts w:hint="eastAsia" w:ascii="宋体" w:hAnsi="宋体"/>
          <w:bCs/>
          <w:color w:val="auto"/>
          <w:sz w:val="24"/>
          <w:lang w:val="en-US" w:eastAsia="zh-CN"/>
        </w:rPr>
        <w:t xml:space="preserve">9.</w:t>
      </w:r>
      <w:r>
        <w:rPr>
          <w:rFonts w:hint="eastAsia" w:ascii="宋体" w:hAnsi="宋体"/>
          <w:bCs/>
          <w:color w:val="auto"/>
          <w:sz w:val="24"/>
        </w:rPr>
        <w:t xml:space="preserve">开标后，投标人须自行准备设备（包括但不限于笔记本电脑、无线网络）登录</w:t>
      </w:r>
      <w:r>
        <w:rPr>
          <w:rFonts w:hint="eastAsia" w:ascii="宋体" w:hAnsi="宋体"/>
          <w:bCs/>
          <w:color w:val="auto"/>
          <w:sz w:val="24"/>
          <w:szCs w:val="24"/>
        </w:rPr>
        <w:t xml:space="preserve">“苏采云”系统</w:t>
      </w:r>
      <w:r>
        <w:rPr>
          <w:rFonts w:hint="eastAsia" w:ascii="宋体" w:hAnsi="宋体"/>
          <w:bCs/>
          <w:color w:val="auto"/>
          <w:sz w:val="24"/>
        </w:rPr>
        <w:t xml:space="preserve">，按招标文件规定时间解密后，在评标过程中保持在线，等待评标委员会的询标和评标结果，中途不得离开。如未按要求应答，由此所产生的损失及风险由投标人自行承担。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 xml:space="preserve">10.合同签订前，采购人有权对中标供应商的投标文件中的相关证书、检测报告、社保证明等资料进行检验核对，如提供虚假材料将依法上报行业监管部门，供应商自行承担不利后果。</w:t>
      </w:r>
      <w:r/>
    </w:p>
    <w:p>
      <w:pPr>
        <w:numPr>
          <w:ilvl w:val="0"/>
          <w:numId w:val="0"/>
        </w:numPr>
        <w:jc w:val="center"/>
        <w:spacing w:line="360" w:lineRule="auto"/>
        <w:tabs>
          <w:tab w:val="left" w:pos="525" w:leader="none"/>
          <w:tab w:val="left" w:pos="630" w:leader="none"/>
          <w:tab w:val="left" w:pos="735" w:leader="none"/>
          <w:tab w:val="left" w:pos="945" w:leader="none"/>
        </w:tabs>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numPr>
          <w:ilvl w:val="0"/>
          <w:numId w:val="0"/>
        </w:numPr>
        <w:jc w:val="center"/>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根据国家扶持中小企业的有关政策，在我中心组织的采购项目中标（成交）的供应商，如需要政府采购合同融资，请按锡财购【2022】7号文件执行。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合同融资</w:t>
      </w:r>
      <w:r>
        <w:rPr>
          <w:rFonts w:ascii="宋体"/>
          <w:bCs/>
          <w:color w:val="auto"/>
          <w:sz w:val="24"/>
          <w:szCs w:val="24"/>
          <w:highlight w:val="none"/>
          <w:lang w:val="e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到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供应商应满足采购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left="525"/>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pStyle w:val="721"/>
        <w:numPr>
          <w:ilvl w:val="0"/>
          <w:numId w:val="0"/>
        </w:numPr>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第四章</w:t>
      </w:r>
      <w:r>
        <w:rPr>
          <w:rFonts w:hint="eastAsia" w:ascii="黑体" w:hAnsi="黑体" w:eastAsia="黑体"/>
          <w:b w:val="0"/>
          <w:color w:val="auto"/>
          <w:sz w:val="32"/>
          <w:szCs w:val="32"/>
          <w:highlight w:val="none"/>
          <w:lang w:val="en-US" w:eastAsia="zh-CN"/>
        </w:rPr>
        <w:t xml:space="preserve">  </w:t>
      </w:r>
      <w:r>
        <w:rPr>
          <w:rFonts w:hint="eastAsia" w:ascii="黑体" w:hAnsi="黑体" w:eastAsia="黑体"/>
          <w:b w:val="0"/>
          <w:color w:val="auto"/>
          <w:sz w:val="32"/>
          <w:szCs w:val="32"/>
          <w:highlight w:val="none"/>
        </w:rPr>
        <w:t xml:space="preserve">合同书（格式文本）</w:t>
      </w:r>
      <w:bookmarkEnd w:id="134"/>
      <w:r/>
      <w:r/>
    </w:p>
    <w:p>
      <w:pPr>
        <w:jc w:val="center"/>
        <w:spacing w:line="360" w:lineRule="auto"/>
        <w:rPr>
          <w:rFonts w:ascii="黑体" w:hAnsi="宋体" w:eastAsia="黑体"/>
          <w:b/>
          <w:color w:val="auto"/>
          <w:sz w:val="28"/>
          <w:szCs w:val="28"/>
          <w:highlight w:val="none"/>
        </w:rPr>
      </w:pPr>
      <w:r/>
      <w:bookmarkStart w:id="141" w:name="_Toc61444675"/>
      <w:r>
        <w:rPr>
          <w:rFonts w:hint="eastAsia" w:ascii="黑体" w:hAnsi="宋体" w:eastAsia="黑体"/>
          <w:b/>
          <w:color w:val="auto"/>
          <w:sz w:val="28"/>
          <w:szCs w:val="28"/>
          <w:highlight w:val="none"/>
        </w:rPr>
        <w:t xml:space="preserve">合同书（服务）格式条款</w:t>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根据《中华人民共和国政府采购法》及相关法规、《中华人民共和国民法典》，遵循平等、自愿、公平和诚实信用的原则，甲乙双方就项目（项目编号： ）实施及有关事项协商一致，共同达成如下协议：</w:t>
      </w:r>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需方（采购人）：</w:t>
      </w:r>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供方（中标方）：</w:t>
      </w:r>
      <w:r/>
    </w:p>
    <w:p>
      <w:pPr>
        <w:ind w:left="523"/>
        <w:spacing w:line="440" w:lineRule="exact"/>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一、采购项目编号：</w:t>
      </w:r>
      <w:r/>
    </w:p>
    <w:p>
      <w:pPr>
        <w:ind w:left="523"/>
        <w:spacing w:line="440" w:lineRule="exact"/>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二、采购项目名称：</w:t>
      </w:r>
      <w:r/>
    </w:p>
    <w:p>
      <w:pPr>
        <w:ind w:left="523"/>
        <w:spacing w:line="440" w:lineRule="exact"/>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三、中标（成交）总金额：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（大写）；</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（小写）</w:t>
      </w:r>
      <w:r/>
    </w:p>
    <w:p>
      <w:pPr>
        <w:ind w:left="523"/>
        <w:spacing w:line="440" w:lineRule="exact"/>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四、项目服务期限：</w:t>
      </w:r>
      <w:r/>
    </w:p>
    <w:p>
      <w:pPr>
        <w:ind w:left="523"/>
        <w:spacing w:line="440" w:lineRule="exact"/>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五、项目整体免费服务期：</w:t>
      </w:r>
      <w:r/>
    </w:p>
    <w:p>
      <w:pPr>
        <w:ind w:left="523"/>
        <w:spacing w:line="440" w:lineRule="exact"/>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六、货款支付步骤和办法：</w:t>
      </w:r>
      <w:r/>
    </w:p>
    <w:p>
      <w:pPr>
        <w:ind w:left="523"/>
        <w:spacing w:line="440" w:lineRule="exact"/>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七、合同书不可分割部分：</w:t>
      </w:r>
      <w:r/>
    </w:p>
    <w:p>
      <w:pPr>
        <w:ind w:firstLine="480"/>
        <w:spacing w:line="440" w:lineRule="exact"/>
        <w:tabs>
          <w:tab w:val="left" w:pos="210" w:leader="none"/>
          <w:tab w:val="left" w:pos="42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招标（采购）文件、投标（报价）文件、合同条款及中标</w:t>
      </w:r>
      <w:r>
        <w:rPr>
          <w:rFonts w:hint="eastAsia" w:ascii="宋体" w:hAnsi="宋体"/>
          <w:color w:val="auto"/>
          <w:sz w:val="24"/>
          <w:szCs w:val="24"/>
          <w:highlight w:val="none"/>
        </w:rPr>
        <w:t xml:space="preserve">（成交）</w:t>
      </w:r>
      <w:r>
        <w:rPr>
          <w:rFonts w:hint="eastAsia" w:ascii="宋体" w:hAnsi="宋体"/>
          <w:bCs/>
          <w:color w:val="auto"/>
          <w:sz w:val="24"/>
          <w:szCs w:val="24"/>
          <w:highlight w:val="none"/>
        </w:rPr>
        <w:t xml:space="preserve">通知书，供方在投标（响应）、评标（评审）过程中所作其它有关承诺、声明、书面澄清等均为合同不可分割的部分，与主合同具有同等法律效力。</w:t>
      </w:r>
      <w:r/>
    </w:p>
    <w:p>
      <w:pPr>
        <w:ind w:firstLine="480"/>
        <w:spacing w:line="440" w:lineRule="exact"/>
        <w:tabs>
          <w:tab w:val="left" w:pos="210" w:leader="none"/>
          <w:tab w:val="left" w:pos="73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八、合同书组成：</w:t>
      </w:r>
      <w:r/>
    </w:p>
    <w:p>
      <w:pPr>
        <w:ind w:firstLine="480"/>
        <w:spacing w:line="440" w:lineRule="exact"/>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合同书由格式条款</w:t>
      </w:r>
      <w:r>
        <w:rPr>
          <w:rFonts w:hint="eastAsia" w:ascii="宋体" w:hAnsi="宋体"/>
          <w:bCs/>
          <w:color w:val="auto"/>
          <w:sz w:val="24"/>
          <w:szCs w:val="24"/>
          <w:highlight w:val="none"/>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hint="eastAsia" w:ascii="宋体" w:hAnsi="宋体" w:cs="宋体"/>
          <w:color w:val="auto"/>
          <w:sz w:val="24"/>
          <w:szCs w:val="24"/>
          <w:highlight w:val="none"/>
        </w:rPr>
        <w:t xml:space="preserve">与履约验收挂钩的资金支付条件及时间</w:t>
      </w:r>
      <w:r>
        <w:rPr>
          <w:rFonts w:hint="eastAsia" w:ascii="宋体" w:hAnsi="宋体"/>
          <w:bCs/>
          <w:color w:val="auto"/>
          <w:sz w:val="24"/>
          <w:szCs w:val="24"/>
          <w:highlight w:val="none"/>
        </w:rPr>
        <w:t xml:space="preserve">，验收、交付标准和方法，质量保修范围和保修期，违约责任与解决争议的方法，甲乙双方权利与义务，合同分包要求，</w:t>
      </w:r>
      <w:r>
        <w:rPr>
          <w:rFonts w:hint="eastAsia" w:ascii="宋体" w:hAnsi="宋体"/>
          <w:color w:val="auto"/>
          <w:sz w:val="24"/>
          <w:szCs w:val="24"/>
          <w:highlight w:val="none"/>
        </w:rPr>
        <w:t xml:space="preserve">合同类型</w:t>
      </w:r>
      <w:r>
        <w:rPr>
          <w:rFonts w:hint="eastAsia" w:ascii="宋体" w:hAnsi="宋体"/>
          <w:bCs/>
          <w:color w:val="auto"/>
          <w:sz w:val="24"/>
          <w:szCs w:val="24"/>
          <w:highlight w:val="none"/>
        </w:rPr>
        <w:t xml:space="preserve">等。</w:t>
      </w:r>
      <w:r/>
    </w:p>
    <w:p>
      <w:pPr>
        <w:ind w:firstLine="480"/>
        <w:spacing w:line="440" w:lineRule="exact"/>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九、合同备案：</w:t>
      </w:r>
      <w:r/>
    </w:p>
    <w:p>
      <w:pPr>
        <w:ind w:firstLine="480"/>
        <w:spacing w:line="440" w:lineRule="exact"/>
        <w:tabs>
          <w:tab w:val="left" w:pos="210" w:leader="none"/>
          <w:tab w:val="left" w:pos="735" w:leader="none"/>
          <w:tab w:val="left" w:pos="1155" w:leader="none"/>
        </w:tabs>
        <w:rPr>
          <w:rFonts w:ascii="宋体" w:hAnsi="宋体"/>
          <w:bCs/>
          <w:color w:val="auto"/>
          <w:sz w:val="24"/>
          <w:szCs w:val="24"/>
          <w:highlight w:val="none"/>
        </w:rPr>
      </w:pPr>
      <w:r>
        <w:rPr>
          <w:rFonts w:hint="eastAsia" w:ascii="宋体"/>
          <w:bCs/>
          <w:color w:val="auto"/>
          <w:sz w:val="24"/>
          <w:szCs w:val="24"/>
          <w:highlight w:val="none"/>
        </w:rPr>
        <w:t xml:space="preserve">合同一式四份，供需双方各执一份，区财政局采购办(镇、街道招标办)一份,区采购中心一份。</w:t>
      </w:r>
      <w:r/>
    </w:p>
    <w:p>
      <w:pPr>
        <w:ind w:firstLine="480"/>
        <w:spacing w:line="440" w:lineRule="exact"/>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十、合同书生效及注意事项：</w:t>
      </w:r>
      <w:r/>
    </w:p>
    <w:p>
      <w:pPr>
        <w:ind w:firstLine="480"/>
        <w:spacing w:line="440" w:lineRule="exact"/>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p>
    <w:p>
      <w:pPr>
        <w:ind w:firstLine="480"/>
        <w:spacing w:line="440" w:lineRule="exact"/>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十一、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440" w:lineRule="exact"/>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十二、根据《政府采购法》第四十九、五十条规定，甲乙双方不得擅自变更、中止或终止合同。</w:t>
      </w:r>
      <w:bookmarkEnd w:id="141"/>
      <w:r/>
    </w:p>
    <w:p>
      <w:pPr>
        <w:spacing w:line="440" w:lineRule="exact"/>
        <w:rPr>
          <w:rFonts w:ascii="宋体" w:hAnsi="宋体"/>
          <w:bCs/>
          <w:color w:val="auto"/>
          <w:sz w:val="24"/>
          <w:szCs w:val="24"/>
          <w:highlight w:val="none"/>
        </w:rPr>
      </w:pPr>
      <w:r>
        <w:rPr>
          <w:rFonts w:ascii="宋体" w:hAnsi="宋体"/>
          <w:bCs/>
          <w:color w:val="auto"/>
          <w:sz w:val="24"/>
          <w:szCs w:val="24"/>
          <w:highlight w:val="none"/>
        </w:rPr>
      </w:r>
      <w:r/>
    </w:p>
    <w:p>
      <w:pPr>
        <w:pStyle w:val="680"/>
        <w:pageBreakBefore/>
        <w:rPr>
          <w:rFonts w:ascii="黑体" w:hAnsi="黑体" w:eastAsia="黑体"/>
          <w:b w:val="0"/>
          <w:color w:val="auto"/>
          <w:sz w:val="32"/>
          <w:szCs w:val="32"/>
          <w:highlight w:val="none"/>
        </w:rPr>
      </w:pPr>
      <w:r/>
      <w:bookmarkStart w:id="142" w:name="_Toc86134314"/>
      <w:r>
        <w:rPr>
          <w:rFonts w:hint="eastAsia" w:ascii="黑体" w:hAnsi="黑体" w:eastAsia="黑体"/>
          <w:b w:val="0"/>
          <w:color w:val="auto"/>
          <w:sz w:val="32"/>
          <w:szCs w:val="32"/>
          <w:highlight w:val="none"/>
        </w:rPr>
        <w:t xml:space="preserve">合同条款</w:t>
      </w:r>
      <w:bookmarkEnd w:id="142"/>
      <w:r/>
      <w:r/>
    </w:p>
    <w:p>
      <w:pPr>
        <w:ind w:firstLine="480"/>
        <w:jc w:val="cente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（根据相关法律规定以及招标文件确定事项订立）</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525"/>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（一）合同内容：需方向供方购买。</w:t>
      </w:r>
      <w:r/>
    </w:p>
    <w:p>
      <w:pPr>
        <w:ind w:firstLine="525"/>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（二）价格及支付：</w:t>
      </w:r>
      <w:r/>
    </w:p>
    <w:p>
      <w:pPr>
        <w:ind w:firstLine="523"/>
        <w:spacing w:line="360" w:lineRule="auto"/>
        <w:tabs>
          <w:tab w:val="left" w:pos="525" w:leader="none"/>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1. 按此次中标价格执行，合同总标的额为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numPr>
          <w:ilvl w:val="1"/>
          <w:numId w:val="8"/>
        </w:numPr>
        <w:ind w:left="0" w:firstLine="525"/>
        <w:spacing w:line="360" w:lineRule="auto"/>
        <w:tabs>
          <w:tab w:val="left" w:pos="945" w:leader="none"/>
          <w:tab w:val="left" w:pos="2100"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p>
    <w:p>
      <w:pPr>
        <w:numPr>
          <w:ilvl w:val="1"/>
          <w:numId w:val="8"/>
        </w:numPr>
        <w:ind w:left="0" w:firstLine="525"/>
        <w:spacing w:line="360" w:lineRule="auto"/>
        <w:tabs>
          <w:tab w:val="left" w:pos="945" w:leader="none"/>
          <w:tab w:val="left" w:pos="2100" w:leader="none"/>
        </w:tabs>
        <w:rPr>
          <w:rFonts w:ascii="宋体"/>
          <w:bCs/>
          <w:color w:val="auto"/>
          <w:sz w:val="24"/>
          <w:szCs w:val="24"/>
          <w:highlight w:val="none"/>
        </w:rPr>
      </w:pPr>
      <w:r>
        <w:rPr>
          <w:rFonts w:hint="eastAsia" w:ascii="宋体" w:hAnsi="宋体"/>
          <w:bCs/>
          <w:color w:val="auto"/>
          <w:sz w:val="24"/>
          <w:szCs w:val="24"/>
          <w:highlight w:val="none"/>
        </w:rPr>
        <w:t xml:space="preserve">履约保证金的缴纳和退付：</w:t>
      </w:r>
      <w:r/>
    </w:p>
    <w:p>
      <w:pPr>
        <w:ind w:firstLine="480"/>
        <w:spacing w:line="360" w:lineRule="auto"/>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ascii="宋体"/>
          <w:bCs/>
          <w:color w:val="auto"/>
          <w:sz w:val="24"/>
          <w:szCs w:val="24"/>
          <w:highlight w:val="none"/>
        </w:rPr>
      </w:pPr>
      <w:r>
        <w:rPr>
          <w:rFonts w:hint="eastAsia" w:ascii="宋体" w:hAnsi="宋体"/>
          <w:bCs/>
          <w:color w:val="auto"/>
          <w:sz w:val="24"/>
          <w:highlight w:val="none"/>
        </w:rPr>
        <w:t xml:space="preserve">逾期退还履约保证金的违约责任：</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left="525"/>
        <w:spacing w:line="360" w:lineRule="auto"/>
        <w:tabs>
          <w:tab w:val="left" w:pos="0" w:leader="none"/>
          <w:tab w:val="left" w:pos="855" w:leader="none"/>
          <w:tab w:val="left" w:pos="1365" w:leader="none"/>
        </w:tabs>
        <w:rPr>
          <w:rFonts w:ascii="宋体"/>
          <w:bCs/>
          <w:color w:val="auto"/>
          <w:sz w:val="24"/>
          <w:szCs w:val="24"/>
          <w:highlight w:val="none"/>
        </w:rPr>
      </w:pPr>
      <w:r>
        <w:rPr>
          <w:rFonts w:hint="eastAsia" w:ascii="宋体" w:hAnsi="宋体"/>
          <w:bCs/>
          <w:color w:val="auto"/>
          <w:sz w:val="24"/>
          <w:szCs w:val="24"/>
          <w:highlight w:val="none"/>
        </w:rPr>
        <w:t xml:space="preserve">（三）知识产权</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left="521"/>
        <w:spacing w:line="360" w:lineRule="auto"/>
        <w:tabs>
          <w:tab w:val="left" w:pos="735" w:leader="none"/>
          <w:tab w:val="left" w:pos="855" w:leader="none"/>
        </w:tabs>
        <w:rPr>
          <w:rFonts w:ascii="宋体"/>
          <w:bCs/>
          <w:color w:val="auto"/>
          <w:sz w:val="24"/>
          <w:szCs w:val="24"/>
          <w:highlight w:val="none"/>
        </w:rPr>
      </w:pPr>
      <w:r>
        <w:rPr>
          <w:rFonts w:hint="eastAsia" w:ascii="宋体" w:hAnsi="宋体"/>
          <w:bCs/>
          <w:color w:val="auto"/>
          <w:sz w:val="24"/>
          <w:szCs w:val="24"/>
          <w:highlight w:val="none"/>
        </w:rPr>
        <w:t xml:space="preserve">（四）质量要求与检验：</w:t>
      </w:r>
      <w:r/>
    </w:p>
    <w:p>
      <w:pPr>
        <w:ind w:firstLine="520"/>
        <w:spacing w:line="360" w:lineRule="auto"/>
        <w:tabs>
          <w:tab w:val="left" w:pos="525" w:leader="none"/>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1.供方应严格按照招标文件的有关规定和供方投标文件提供合格的货物及服务。</w:t>
      </w:r>
      <w:r/>
    </w:p>
    <w:p>
      <w:pPr>
        <w:ind w:firstLine="520"/>
        <w:spacing w:line="360"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3.货物的到货验收包括：数量、外观、质量、性能、随机备件、装箱单、质量证书等随机资料及包装完整无破损。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4.货物和系统调试验收标准：按行业通行标准、厂方出厂标准、招标文件要求和供方投标文件的承诺，并不低于国家相关标准。</w:t>
      </w:r>
      <w:r/>
    </w:p>
    <w:p>
      <w:pPr>
        <w:ind w:firstLine="520"/>
        <w:spacing w:line="360"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5.货物运到需方指定地点并经需方验证签收后，由于需方保管不善造成的质量问题，供方应负责修理，但有关费用由需方承担。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520"/>
        <w:spacing w:line="360"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left="-2" w:firstLine="52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（五）交货条件：</w:t>
      </w:r>
      <w:r/>
    </w:p>
    <w:p>
      <w:pPr>
        <w:ind w:firstLine="520"/>
        <w:spacing w:line="360" w:lineRule="auto"/>
        <w:tabs>
          <w:tab w:val="left" w:pos="42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1.交货日期（或完工期）：</w:t>
      </w:r>
      <w:r/>
    </w:p>
    <w:p>
      <w:pPr>
        <w:ind w:firstLine="520"/>
        <w:spacing w:line="360" w:lineRule="auto"/>
        <w:tabs>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2.供方在验收时应先用信函、传真、电子邮件等书面方式通知需方。</w:t>
      </w:r>
      <w:r/>
    </w:p>
    <w:p>
      <w:pPr>
        <w:ind w:firstLine="520"/>
        <w:spacing w:line="360" w:lineRule="auto"/>
        <w:tabs>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4.货物交货时，所有货物必须带有货物质量检验合格证书、中文质保单、装箱单、中文货物安装使用说明书。其它附件所有部件必须原包装。</w:t>
      </w:r>
      <w:r/>
    </w:p>
    <w:p>
      <w:pPr>
        <w:ind w:left="2" w:firstLine="520"/>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5.运输及到货地点：由供方负责办理运输并承担所有费用，直接送到需方指定地点，即：以合同书上的地点为准。</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5.需方如要求供方提供招标文件及供方投标文件以外的其它服务，其费用另定。</w:t>
      </w:r>
      <w:r/>
    </w:p>
    <w:p>
      <w:pPr>
        <w:ind w:firstLine="36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（七）违约责任：</w:t>
      </w:r>
      <w:r/>
    </w:p>
    <w:p>
      <w:pPr>
        <w:ind w:firstLine="480"/>
        <w:spacing w:line="360" w:lineRule="auto"/>
        <w:tabs>
          <w:tab w:val="left" w:pos="0"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4.由于需方的原因要求延期交货，需方应按规定承付货款，并承担供方提供的代为保管费。（有关仓储规定另议）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8.招标文件及合同中所述之“不可抗力”系指不可预见、不可避免、不可克服的事件，包括但不限于：战争、洪水、台风、地震及其他法律、法规规定的事件。</w:t>
      </w:r>
      <w:r/>
    </w:p>
    <w:p>
      <w:pPr>
        <w:ind w:firstLine="36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（八）合同生效及其它：</w:t>
      </w:r>
      <w:r/>
    </w:p>
    <w:p>
      <w:pPr>
        <w:ind w:firstLine="480"/>
        <w:spacing w:line="360" w:lineRule="auto"/>
        <w:tabs>
          <w:tab w:val="left" w:pos="0" w:leader="none"/>
          <w:tab w:val="left" w:pos="525" w:leader="none"/>
          <w:tab w:val="left" w:pos="741"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1.合同经供需双方代表签字并盖章。</w:t>
      </w:r>
      <w:r/>
    </w:p>
    <w:p>
      <w:pPr>
        <w:ind w:firstLine="480"/>
        <w:spacing w:line="360" w:lineRule="auto"/>
        <w:tabs>
          <w:tab w:val="left" w:pos="0" w:leader="none"/>
          <w:tab w:val="left" w:pos="525" w:leader="none"/>
          <w:tab w:val="left" w:pos="741" w:leader="none"/>
          <w:tab w:val="left" w:pos="945" w:leader="none"/>
        </w:tabs>
        <w:rPr>
          <w:rFonts w:ascii="宋体"/>
          <w:color w:val="auto"/>
          <w:sz w:val="24"/>
          <w:szCs w:val="24"/>
          <w:highlight w:val="none"/>
        </w:rPr>
      </w:pPr>
      <w:r>
        <w:rPr>
          <w:rFonts w:hint="eastAsia" w:ascii="宋体" w:hAnsi="宋体"/>
          <w:bCs/>
          <w:color w:val="auto"/>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由供需双方协商处理，若协商不成，</w:t>
      </w:r>
      <w:r>
        <w:rPr>
          <w:rFonts w:hint="eastAsia" w:ascii="宋体" w:hAnsi="宋体"/>
          <w:bCs/>
          <w:color w:val="auto"/>
          <w:sz w:val="24"/>
          <w:szCs w:val="24"/>
          <w:highlight w:val="none"/>
        </w:rPr>
        <w:t xml:space="preserve">可选择以下方式处理：</w:t>
      </w:r>
      <w:r/>
    </w:p>
    <w:p>
      <w:pPr>
        <w:ind w:firstLine="480"/>
        <w:spacing w:line="360" w:lineRule="auto"/>
        <w:tabs>
          <w:tab w:val="left" w:pos="525" w:leader="none"/>
          <w:tab w:val="left" w:pos="945" w:leader="none"/>
        </w:tabs>
        <w:rPr>
          <w:rFonts w:ascii="宋体"/>
          <w:color w:val="auto"/>
          <w:sz w:val="24"/>
          <w:szCs w:val="24"/>
          <w:highlight w:val="none"/>
        </w:rPr>
      </w:pPr>
      <w:r>
        <w:rPr>
          <w:rFonts w:hint="eastAsia" w:ascii="宋体" w:hAnsi="宋体"/>
          <w:color w:val="auto"/>
          <w:sz w:val="24"/>
          <w:szCs w:val="24"/>
          <w:highlight w:val="none"/>
        </w:rPr>
        <w:t xml:space="preserve">（1）向无锡仲裁委员会申请仲裁。</w:t>
      </w:r>
      <w:r/>
    </w:p>
    <w:p>
      <w:pPr>
        <w:ind w:firstLine="480"/>
        <w:spacing w:line="360" w:lineRule="auto"/>
        <w:tabs>
          <w:tab w:val="left" w:pos="525" w:leader="none"/>
          <w:tab w:val="left" w:pos="945" w:leader="none"/>
        </w:tabs>
        <w:rPr>
          <w:rFonts w:ascii="宋体"/>
          <w:color w:val="auto"/>
          <w:sz w:val="24"/>
          <w:szCs w:val="24"/>
          <w:highlight w:val="none"/>
        </w:rPr>
      </w:pPr>
      <w:r>
        <w:rPr>
          <w:rFonts w:hint="eastAsia" w:ascii="宋体" w:hAnsi="宋体"/>
          <w:color w:val="auto"/>
          <w:sz w:val="24"/>
          <w:szCs w:val="24"/>
          <w:highlight w:val="none"/>
        </w:rPr>
        <w:t xml:space="preserve">（2）向需方所在地法院提起诉讼。</w:t>
      </w:r>
      <w:r/>
    </w:p>
    <w:p>
      <w:pPr>
        <w:ind w:firstLine="480"/>
        <w:spacing w:line="360" w:lineRule="auto"/>
        <w:tabs>
          <w:tab w:val="left" w:pos="0" w:leader="none"/>
          <w:tab w:val="left" w:pos="525" w:leader="none"/>
          <w:tab w:val="left" w:pos="741"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525" w:leader="none"/>
          <w:tab w:val="left" w:pos="741"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4.合同中未有约定的按照有关的法律法规以及国家行业标准或技术文件规定予以解决。</w:t>
      </w:r>
      <w:r/>
    </w:p>
    <w:p>
      <w:pPr>
        <w:ind w:firstLine="480"/>
        <w:spacing w:line="360" w:lineRule="auto"/>
        <w:tabs>
          <w:tab w:val="left" w:pos="0" w:leader="none"/>
          <w:tab w:val="left" w:pos="525" w:leader="none"/>
          <w:tab w:val="left" w:pos="741"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5.供需双方确认：对本合同条款及后果均已知悉，一致确认不存在欺诈、胁迫、乘人之危、重大误解、显失公平等任何可能导致合同无效或被撤销的情形。</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r>
      <w:r/>
    </w:p>
    <w:p>
      <w:pPr>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440" w:lineRule="exact"/>
        <w:rPr>
          <w:rFonts w:ascii="宋体" w:hAnsi="宋体"/>
          <w:bCs/>
          <w:color w:val="auto"/>
          <w:sz w:val="24"/>
          <w:szCs w:val="24"/>
          <w:highlight w:val="none"/>
        </w:rPr>
      </w:pPr>
      <w:r>
        <w:rPr>
          <w:rFonts w:ascii="宋体" w:hAnsi="宋体"/>
          <w:bCs/>
          <w:color w:val="auto"/>
          <w:sz w:val="24"/>
          <w:szCs w:val="24"/>
          <w:highlight w:val="none"/>
        </w:rPr>
      </w:r>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需方（采购人）：（签章）                   供方（中标方）：（签章）</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法定（授权）代表人：                     法定（授权）代表人：</w:t>
      </w:r>
      <w:r/>
    </w:p>
    <w:p>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地址：                                   地址：</w:t>
      </w:r>
      <w:r/>
    </w:p>
    <w:p>
      <w:pPr>
        <w:ind w:firstLine="480"/>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年    月    日                           年      月       日</w:t>
      </w:r>
      <w:r/>
    </w:p>
    <w:p>
      <w:pPr>
        <w:ind w:firstLine="480"/>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                                     供方户名：</w:t>
      </w:r>
      <w:r/>
    </w:p>
    <w:p>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                                         供方开户银行：</w:t>
      </w:r>
      <w:r/>
    </w:p>
    <w:p>
      <w:pPr>
        <w:ind w:firstLine="480"/>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                                     供方</w:t>
      </w:r>
      <w:r>
        <w:rPr>
          <w:rFonts w:hint="eastAsia" w:ascii="宋体" w:hAnsi="宋体"/>
          <w:bCs/>
          <w:color w:val="auto"/>
          <w:sz w:val="24"/>
          <w:szCs w:val="24"/>
          <w:highlight w:val="none"/>
          <w:lang w:eastAsia="zh-CN"/>
        </w:rPr>
        <w:t xml:space="preserve">账号</w:t>
      </w:r>
      <w:r>
        <w:rPr>
          <w:rFonts w:hint="eastAsia" w:ascii="宋体" w:hAnsi="宋体"/>
          <w:bCs/>
          <w:color w:val="auto"/>
          <w:sz w:val="24"/>
          <w:szCs w:val="24"/>
          <w:highlight w:val="none"/>
        </w:rPr>
        <w:t xml:space="preserve">：</w:t>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tabs>
          <w:tab w:val="left" w:pos="0" w:leader="none"/>
          <w:tab w:val="left" w:pos="525" w:leader="none"/>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pacing w:after="312" w:line="340" w:lineRule="exact"/>
        <w:rPr>
          <w:rFonts w:hint="eastAsia" w:ascii="黑体" w:eastAsia="黑体"/>
          <w:bCs/>
          <w:color w:val="auto"/>
          <w:sz w:val="28"/>
          <w:szCs w:val="28"/>
          <w:highlight w:val="none"/>
          <w:lang w:eastAsia="zh-CN"/>
        </w:rPr>
      </w:pPr>
      <w:r>
        <w:rPr>
          <w:rFonts w:hint="eastAsia" w:ascii="黑体" w:hAnsi="黑体" w:eastAsia="黑体"/>
          <w:b/>
          <w:color w:val="auto"/>
          <w:sz w:val="32"/>
          <w:szCs w:val="32"/>
          <w:highlight w:val="none"/>
          <w:lang w:eastAsia="zh-CN"/>
        </w:rPr>
        <w:t xml:space="preserve">第五章</w:t>
      </w:r>
      <w:r>
        <w:rPr>
          <w:rFonts w:hint="eastAsia" w:ascii="黑体" w:hAnsi="黑体" w:eastAsia="黑体"/>
          <w:b w:val="0"/>
          <w:color w:val="auto"/>
          <w:sz w:val="32"/>
          <w:szCs w:val="32"/>
          <w:highlight w:val="none"/>
          <w:lang w:val="en-US" w:eastAsia="zh-CN"/>
        </w:rPr>
        <w:t xml:space="preserve">  </w:t>
      </w:r>
      <w:r>
        <w:rPr>
          <w:rFonts w:hint="eastAsia" w:ascii="黑体" w:hAnsi="黑体" w:eastAsia="黑体"/>
          <w:b/>
          <w:color w:val="auto"/>
          <w:sz w:val="32"/>
          <w:szCs w:val="32"/>
          <w:highlight w:val="none"/>
          <w:lang w:eastAsia="zh-CN"/>
        </w:rPr>
        <w:t xml:space="preserve">评分方法与评分标准</w:t>
      </w:r>
      <w:r/>
    </w:p>
    <w:p>
      <w:pPr>
        <w:pStyle w:val="1026"/>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1026"/>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1026"/>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026"/>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评审委员会秉持公平、公正、择优的原则，独立依据各项评分标准分别评定各投标供应商的分值。评标结果将按照评审后的得分，由高到低进行排列。投标文件满足采购文件的全部实质性要求，且按照评审因素的量化指标评审得分最高的投标供应商，将成为第一中标候选人。评审</w:t>
      </w:r>
      <w:r>
        <w:rPr>
          <w:rFonts w:hint="eastAsia" w:ascii="宋体" w:hAnsi="宋体" w:eastAsia="宋体" w:cs="Times New Roman"/>
          <w:bCs/>
          <w:color w:val="auto"/>
          <w:highlight w:val="none"/>
          <w:lang w:val="en-US" w:eastAsia="zh-CN"/>
        </w:rPr>
        <w:t xml:space="preserve">总</w:t>
      </w:r>
      <w:r>
        <w:rPr>
          <w:rFonts w:hint="eastAsia" w:ascii="宋体" w:hAnsi="宋体" w:eastAsia="宋体" w:cs="Times New Roman"/>
          <w:bCs/>
          <w:color w:val="auto"/>
          <w:highlight w:val="none"/>
        </w:rPr>
        <w:t xml:space="preserve">得分相同的，则按报价得分由高到低进行排列；若总得分和报价得分均相同，则按技术部分得分由高到低进行排列</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按排名先后顺序选取3名中标候选人。</w:t>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1026"/>
        <w:ind w:left="0" w:firstLine="600"/>
        <w:spacing w:before="0" w:after="0" w:line="500" w:lineRule="exact"/>
        <w:rPr>
          <w:rFonts w:hint="eastAsia" w:cs="Arial"/>
          <w:b/>
          <w:color w:val="auto"/>
          <w:sz w:val="30"/>
          <w:szCs w:val="30"/>
          <w:highlight w:val="none"/>
        </w:rPr>
        <w:outlineLvl w:val="0"/>
      </w:pPr>
      <w:r>
        <w:rPr>
          <w:rFonts w:hint="eastAsia" w:cs="Arial"/>
          <w:b/>
          <w:color w:val="auto"/>
          <w:sz w:val="30"/>
          <w:szCs w:val="30"/>
          <w:highlight w:val="none"/>
        </w:rPr>
        <w:t xml:space="preserve">第二部分  评标标准</w:t>
      </w:r>
      <w:r/>
    </w:p>
    <w:p>
      <w:pPr>
        <w:pStyle w:val="1026"/>
        <w:ind w:left="0" w:firstLine="560"/>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w:t>
      </w:r>
      <w:r>
        <w:rPr>
          <w:rFonts w:hint="eastAsia" w:ascii="宋体" w:hAnsi="宋体"/>
          <w:bCs/>
          <w:color w:val="auto"/>
          <w:sz w:val="24"/>
          <w:szCs w:val="24"/>
          <w:highlight w:val="none"/>
          <w:lang w:val="en-US" w:eastAsia="zh-CN"/>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同一投标人，上述①②③三项价格扣除优惠不得重复享受。</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说明:1.评标价指经澄清、补正和修正算术计算错误的投标报价；</w:t>
      </w:r>
      <w:r/>
    </w:p>
    <w:p>
      <w:pPr>
        <w:ind w:firstLine="1024"/>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评标委员会认为投标人的报价显低于其他通过符合性审查投标人的报价，有可能影响服务质量或者不能诚信履约的，将要求其在规定的时间内提供线上书面说明，必要时提交相关证明材料；投标人不能证明其报价合理性的,评标委员会将其作为无效投标处理。</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680"/>
        <w:jc w:val="both"/>
        <w:rPr>
          <w:rFonts w:hint="eastAsia" w:ascii="黑体" w:eastAsia="黑体"/>
          <w:bCs w:val="0"/>
          <w:color w:val="auto"/>
          <w:sz w:val="24"/>
          <w:szCs w:val="24"/>
          <w:highlight w:val="none"/>
        </w:rPr>
      </w:pPr>
      <w:r>
        <w:rPr>
          <w:rFonts w:hint="eastAsia" w:ascii="黑体" w:eastAsia="黑体"/>
          <w:bCs w:val="0"/>
          <w:color w:val="auto"/>
          <w:sz w:val="24"/>
          <w:szCs w:val="24"/>
          <w:highlight w:val="none"/>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spacing w:line="360" w:lineRule="auto"/>
        <w:rPr>
          <w:rFonts w:ascii="黑体" w:eastAsia="黑体"/>
          <w:bCs/>
          <w:color w:val="auto"/>
          <w:sz w:val="24"/>
          <w:szCs w:val="24"/>
          <w:highlight w:val="none"/>
        </w:rPr>
        <w:outlineLvl w:val="0"/>
      </w:pPr>
      <w:r>
        <w:rPr>
          <w:rFonts w:hint="eastAsia" w:ascii="黑体" w:eastAsia="黑体"/>
          <w:bCs/>
          <w:color w:val="auto"/>
          <w:sz w:val="24"/>
          <w:szCs w:val="24"/>
          <w:highlight w:val="none"/>
        </w:rPr>
        <w:t xml:space="preserve">附件一：评分标准</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hAnsi="宋体"/>
          <w:b/>
          <w:bCs/>
          <w:color w:val="auto"/>
          <w:sz w:val="24"/>
          <w:szCs w:val="24"/>
        </w:rPr>
        <w:outlineLvl w:val="1"/>
      </w:pPr>
      <w:r>
        <w:rPr>
          <w:rFonts w:hint="eastAsia" w:hAnsi="宋体"/>
          <w:b/>
          <w:bCs/>
          <w:color w:val="auto"/>
          <w:sz w:val="24"/>
          <w:szCs w:val="24"/>
          <w:lang w:val="en-US" w:eastAsia="zh-CN"/>
        </w:rPr>
        <w:t xml:space="preserve">（一）</w:t>
      </w:r>
      <w:r>
        <w:rPr>
          <w:rFonts w:hint="eastAsia" w:hAnsi="宋体"/>
          <w:b/>
          <w:bCs/>
          <w:color w:val="auto"/>
          <w:sz w:val="24"/>
          <w:szCs w:val="24"/>
        </w:rPr>
        <w:t xml:space="preserve">价格（2</w:t>
      </w:r>
      <w:r>
        <w:rPr>
          <w:rFonts w:hint="eastAsia" w:hAnsi="宋体"/>
          <w:b/>
          <w:bCs/>
          <w:color w:val="auto"/>
          <w:sz w:val="24"/>
          <w:szCs w:val="24"/>
          <w:lang w:val="en-US" w:eastAsia="zh-CN"/>
        </w:rPr>
        <w:t xml:space="preserve">9</w:t>
      </w:r>
      <w:r>
        <w:rPr>
          <w:rFonts w:hint="eastAsia" w:hAnsi="宋体"/>
          <w:b/>
          <w:bCs/>
          <w:color w:val="auto"/>
          <w:sz w:val="24"/>
          <w:szCs w:val="24"/>
        </w:rPr>
        <w:t xml:space="preserve">分）：</w:t>
      </w:r>
      <w:r/>
    </w:p>
    <w:p>
      <w:pPr>
        <w:ind w:firstLine="480"/>
        <w:spacing w:line="500" w:lineRule="exact"/>
        <w:tabs>
          <w:tab w:val="left" w:pos="945" w:leader="none"/>
          <w:tab w:val="left" w:pos="1155" w:leader="none"/>
        </w:tabs>
        <w:rPr>
          <w:bCs/>
          <w:color w:val="auto"/>
          <w:sz w:val="24"/>
          <w:szCs w:val="24"/>
        </w:rPr>
      </w:pPr>
      <w:r>
        <w:rPr>
          <w:rFonts w:hint="eastAsia" w:hAnsi="宋体"/>
          <w:bCs/>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bCs/>
          <w:color w:val="auto"/>
          <w:sz w:val="24"/>
          <w:szCs w:val="24"/>
        </w:rPr>
      </w:pPr>
      <w:r>
        <w:rPr>
          <w:rFonts w:hint="eastAsia" w:hAnsi="宋体"/>
          <w:bCs/>
          <w:color w:val="auto"/>
          <w:sz w:val="24"/>
          <w:szCs w:val="24"/>
        </w:rPr>
        <w:t xml:space="preserve">投标报价得分</w:t>
      </w:r>
      <w:r>
        <w:rPr>
          <w:rFonts w:hAnsi="宋体"/>
          <w:bCs/>
          <w:color w:val="auto"/>
          <w:sz w:val="24"/>
          <w:szCs w:val="24"/>
        </w:rPr>
        <w:t xml:space="preserve">=(</w:t>
      </w:r>
      <w:r>
        <w:rPr>
          <w:rFonts w:hint="eastAsia" w:hAnsi="宋体"/>
          <w:bCs/>
          <w:color w:val="auto"/>
          <w:sz w:val="24"/>
          <w:szCs w:val="24"/>
        </w:rPr>
        <w:t xml:space="preserve">评标基准价／投标报价</w:t>
      </w:r>
      <w:r>
        <w:rPr>
          <w:rFonts w:hAnsi="宋体"/>
          <w:bCs/>
          <w:color w:val="auto"/>
          <w:sz w:val="24"/>
          <w:szCs w:val="24"/>
        </w:rPr>
        <w:t xml:space="preserve">)</w:t>
      </w:r>
      <w:r>
        <w:rPr>
          <w:rFonts w:hint="eastAsia" w:hAnsi="宋体"/>
          <w:bCs/>
          <w:color w:val="auto"/>
          <w:sz w:val="24"/>
          <w:szCs w:val="24"/>
        </w:rPr>
        <w:t xml:space="preserve">×价格权值×</w:t>
      </w:r>
      <w:r>
        <w:rPr>
          <w:rFonts w:hAnsi="宋体"/>
          <w:bCs/>
          <w:color w:val="auto"/>
          <w:sz w:val="24"/>
          <w:szCs w:val="24"/>
        </w:rPr>
        <w:t xml:space="preserve">100</w:t>
      </w:r>
      <w:r>
        <w:rPr>
          <w:rFonts w:hint="eastAsia" w:hAnsi="宋体"/>
          <w:bCs/>
          <w:color w:val="auto"/>
          <w:sz w:val="24"/>
          <w:szCs w:val="24"/>
        </w:rPr>
        <w:t xml:space="preserve">。</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关于价格扣除详见本章第二部分“一、落实政府采购政策的价格调整”。</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Times New Roman" w:hAnsi="宋体" w:eastAsia="宋体" w:cs="Times New Roman"/>
          <w:b/>
          <w:bCs/>
          <w:color w:val="auto"/>
          <w:sz w:val="24"/>
          <w:szCs w:val="24"/>
        </w:rPr>
        <w:outlineLvl w:val="1"/>
      </w:pPr>
      <w:r>
        <w:rPr>
          <w:rFonts w:hint="eastAsia" w:ascii="Times New Roman" w:hAnsi="宋体" w:eastAsia="宋体" w:cs="Times New Roman"/>
          <w:b/>
          <w:bCs/>
          <w:color w:val="auto"/>
          <w:sz w:val="24"/>
          <w:szCs w:val="24"/>
        </w:rPr>
        <w:t xml:space="preserve">（二）投标人综合评价（12分）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1、投标人具有有效的信息安全管理体系标准证书、信息技术服务管理体系标准证书、质量管理体系标准证书、环境管理体系标准证书，以上每提供一个得1分，最高4分。（投标文件中提供证书扫描件，不提供不得分）</w:t>
      </w:r>
      <w:r>
        <w:rPr>
          <w:rFonts w:hint="eastAsia" w:ascii="Times New Roman" w:hAnsi="宋体" w:eastAsia="宋体" w:cs="Times New Roman"/>
          <w:bCs/>
          <w:color w:val="auto"/>
          <w:sz w:val="24"/>
          <w:szCs w:val="24"/>
          <w:lang w:val="zh-CN"/>
        </w:rPr>
        <w:t xml:space="preserve">。</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2、投标人具有地市级（含）以上公安机关备案的DCIM（数据中心基础设施管理系统）信息系统安全等级保护备案证明第三级的得2分，第二级的得1分，最多得2分。（投标文件中提供证书扫描件，不提供不得分）</w:t>
      </w:r>
      <w:r>
        <w:rPr>
          <w:rFonts w:hint="eastAsia" w:ascii="Times New Roman" w:hAnsi="宋体" w:eastAsia="宋体" w:cs="Times New Roman"/>
          <w:bCs/>
          <w:color w:val="auto"/>
          <w:sz w:val="24"/>
          <w:szCs w:val="24"/>
          <w:lang w:val="zh-CN"/>
        </w:rPr>
        <w:t xml:space="preserve">。</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3、投标人提供自2020年1月1日以来（以合同时间为准）, 投标人承担过类似项目成功案例的每提供一个得2分，本项最多得6分；（投标文件中提供合同扫描件，不提供不得分）</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Times New Roman" w:hAnsi="宋体" w:eastAsia="宋体" w:cs="Times New Roman"/>
          <w:b/>
          <w:bCs/>
          <w:color w:val="auto"/>
          <w:sz w:val="24"/>
          <w:szCs w:val="24"/>
        </w:rPr>
        <w:outlineLvl w:val="1"/>
      </w:pPr>
      <w:r>
        <w:rPr>
          <w:rFonts w:hint="eastAsia" w:ascii="Times New Roman" w:hAnsi="宋体" w:eastAsia="宋体" w:cs="Times New Roman"/>
          <w:b/>
          <w:bCs/>
          <w:color w:val="auto"/>
          <w:sz w:val="24"/>
          <w:szCs w:val="24"/>
        </w:rPr>
        <w:t xml:space="preserve">（三）项目人员配置（9分）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1、投标人为本项目中信息系统建设及维护、整体服务配备一名项目负责人，该负责人具有信息系统项目管理工程师证书、系统集成项目管理工程师证书、IT服务项目经理证书，有一个证书的得1分，最多3分。（投标文件中提供证书扫描件，不提供不得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2、项目实施人员中具有 IT服务工程师证书的，每提供1个证书得1分，最多得2分。（投标文件中提供证书扫描件，不提供不得分）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3、项目实施人员中具有系统分析师、系统架构设计师、网络工程师（中级及以上）证书的，每有一人得1分，最高3分。（投标文件中提供证书扫描件，不提供不得分）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4、项目实施人员中具有国家重要信息系统保护人员证书的，每有一人得1分，最高1分。（投标文件中提供证书扫描件，不提供不得分）</w:t>
      </w:r>
      <w:r/>
    </w:p>
    <w:p>
      <w:pPr>
        <w:ind w:firstLine="480"/>
        <w:spacing w:line="500" w:lineRule="exact"/>
        <w:tabs>
          <w:tab w:val="left" w:pos="945" w:leader="none"/>
          <w:tab w:val="left" w:pos="1155" w:leader="none"/>
        </w:tabs>
        <w:rPr>
          <w:rFonts w:hint="eastAsia" w:ascii="Times New Roman" w:hAnsi="宋体" w:eastAsia="宋体" w:cs="Times New Roman"/>
          <w:b/>
          <w:bCs w:val="0"/>
          <w:color w:val="auto"/>
          <w:sz w:val="24"/>
          <w:szCs w:val="24"/>
          <w:lang w:eastAsia="zh-CN"/>
        </w:rPr>
      </w:pPr>
      <w:r>
        <w:rPr>
          <w:rFonts w:hint="eastAsia" w:ascii="Times New Roman" w:hAnsi="宋体" w:eastAsia="宋体" w:cs="Times New Roman"/>
          <w:b/>
          <w:bCs w:val="0"/>
          <w:color w:val="auto"/>
          <w:sz w:val="24"/>
          <w:szCs w:val="24"/>
        </w:rPr>
        <w:t xml:space="preserve">投标文件中提供上述人员有效证书、由社保机构出具的供应商为其缴纳的近三个月中任意一个月份（不含投标当月）的社保缴费证明的原件扫描件，不提供或提供不全或提供不符合要求的不得分</w:t>
      </w:r>
      <w:r>
        <w:rPr>
          <w:rFonts w:hint="eastAsia" w:ascii="Times New Roman" w:hAnsi="宋体" w:eastAsia="宋体" w:cs="Times New Roman"/>
          <w:b/>
          <w:bCs w:val="0"/>
          <w:color w:val="auto"/>
          <w:sz w:val="24"/>
          <w:szCs w:val="24"/>
          <w:lang w:eastAsia="zh-CN"/>
        </w:rPr>
        <w:t xml:space="preserve">。</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
          <w:bCs w:val="0"/>
          <w:color w:val="auto"/>
          <w:sz w:val="24"/>
          <w:szCs w:val="24"/>
        </w:rPr>
        <w:t xml:space="preserve">（四） 技术服务（8分）：</w:t>
      </w:r>
      <w:r>
        <w:rPr>
          <w:rFonts w:hint="eastAsia" w:ascii="Times New Roman" w:hAnsi="宋体" w:eastAsia="宋体" w:cs="Times New Roman"/>
          <w:bCs/>
          <w:color w:val="auto"/>
          <w:sz w:val="24"/>
          <w:szCs w:val="24"/>
        </w:rPr>
        <w:t xml:space="preserve">证明材料放入投标文件中，否则不得分。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   ① 300万抓拍摄像机（2分）：投标人能够为本项目提供不低于设备性能参数的设备（配置要求：详见招标文件“项目技术要求和有关说明”），须提供设备厂家针对本项目的售后服务承诺函及设备检测报告（加盖生产厂商公章）。每提供一项得1分，本项最高得2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② 700万抓拍摄像机（2分）投标人能够为本项目提供不低于设备性能参数的设备（配置要求：详见招标文件“项目技术要求和有关说明”），须提供设备厂家针对本项目的售后服务承诺函及设备检测报告（加盖生产厂商公章）。每提供一项得1分，本项最高得2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③ 800万抓拍摄像机（2分）投标人能够为本项目提供不低于设备性能参数的设备（配置要求：详见招标文件“项目技术要求和有关说明”），须提供设备厂家针对本项目的售后服务承诺函及设备检测报告（加盖生产厂商公章）。每提供一项得1分，本项最高得2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④ 维护服务中软件系统功能真实证明（2分）：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维护平台内容：①监控运维在线情况监测（提供功能截图复印件并加盖公章）；②一个时间段内，车辆人脸抓拍数据（提供功能截图复印件并加盖公章）;每提供一项得1分，本项最高得2分。</w:t>
      </w:r>
      <w:r/>
    </w:p>
    <w:p>
      <w:pPr>
        <w:ind w:firstLine="480"/>
        <w:spacing w:line="500" w:lineRule="exact"/>
        <w:tabs>
          <w:tab w:val="left" w:pos="945" w:leader="none"/>
          <w:tab w:val="left" w:pos="1155" w:leader="none"/>
        </w:tabs>
        <w:rPr>
          <w:rFonts w:hint="eastAsia" w:ascii="Times New Roman" w:hAnsi="宋体" w:eastAsia="宋体" w:cs="Times New Roman"/>
          <w:b/>
          <w:bCs w:val="0"/>
          <w:color w:val="auto"/>
          <w:sz w:val="24"/>
          <w:szCs w:val="24"/>
        </w:rPr>
      </w:pPr>
      <w:r>
        <w:rPr>
          <w:rFonts w:hint="eastAsia" w:ascii="Times New Roman" w:hAnsi="宋体" w:eastAsia="宋体" w:cs="Times New Roman"/>
          <w:b/>
          <w:bCs w:val="0"/>
          <w:color w:val="auto"/>
          <w:sz w:val="24"/>
          <w:szCs w:val="24"/>
        </w:rPr>
        <w:t xml:space="preserve">（五）技术方案（42分）</w:t>
      </w:r>
      <w:r/>
    </w:p>
    <w:p>
      <w:pPr>
        <w:ind w:firstLine="480"/>
        <w:spacing w:line="500" w:lineRule="exact"/>
        <w:tabs>
          <w:tab w:val="left" w:pos="945" w:leader="none"/>
          <w:tab w:val="left" w:pos="1155" w:leader="none"/>
        </w:tabs>
        <w:rPr>
          <w:rFonts w:hint="eastAsia" w:ascii="Times New Roman" w:hAnsi="宋体" w:eastAsia="宋体" w:cs="Times New Roman"/>
          <w:b/>
          <w:bCs w:val="0"/>
          <w:color w:val="auto"/>
          <w:sz w:val="24"/>
          <w:szCs w:val="24"/>
        </w:rPr>
      </w:pPr>
      <w:r>
        <w:rPr>
          <w:rFonts w:hint="eastAsia" w:ascii="Times New Roman" w:hAnsi="宋体" w:eastAsia="宋体" w:cs="Times New Roman"/>
          <w:b/>
          <w:bCs w:val="0"/>
          <w:color w:val="auto"/>
          <w:sz w:val="24"/>
          <w:szCs w:val="24"/>
        </w:rPr>
        <w:t xml:space="preserve">注：技术方案部分属于暗标，投标人在制作技术部分相关内容时不得有体现投标人身份的内容，否则投标无效。</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 xml:space="preserve">1.</w:t>
      </w:r>
      <w:r>
        <w:rPr>
          <w:rFonts w:hint="eastAsia" w:ascii="Times New Roman" w:hAnsi="宋体" w:eastAsia="宋体" w:cs="Times New Roman"/>
          <w:bCs/>
          <w:color w:val="auto"/>
          <w:sz w:val="24"/>
          <w:szCs w:val="24"/>
        </w:rPr>
        <w:t xml:space="preserve">项目理解（12分）：投标供应商根据项目需求书提供对项目理解情况的表述，内容包括但不限于对项目现状理解分析、对项目要达成的目标、服务工作的专业性、规范性、创新性，要求表述内容完整、合理、可行性强。以上内容不存在瑕疵：12分；以上内容存在1处瑕疵：8分；以上内容存在2处瑕疵：4分；未提供方案或不满足项目需求书要求或内容存在3处及以上瑕疵：0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 xml:space="preserve">2.</w:t>
      </w:r>
      <w:r>
        <w:rPr>
          <w:rFonts w:hint="eastAsia" w:ascii="Times New Roman" w:hAnsi="宋体" w:eastAsia="宋体" w:cs="Times New Roman"/>
          <w:bCs/>
          <w:color w:val="auto"/>
          <w:sz w:val="24"/>
          <w:szCs w:val="24"/>
        </w:rPr>
        <w:t xml:space="preserve"> 运维服务方案（12分）：投标供应商根据项目需求书提供对运行维护服务方案的表述，包括但不限于：前端设备、系统平台、数据存储、通信链路等方面的巡检工作，并满足日常工作、防控需要，保证前端设备完好率达到95%，要求表述内容完整、合理、可行性强。以上内容不存在瑕疵：12分；以上内容存在1处瑕疵：8分；以上内容存在2处瑕疵：4分；未提供方案或不满足项目需求书要求或内容存在3处及以上瑕疵：0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 xml:space="preserve">3.</w:t>
      </w:r>
      <w:r>
        <w:rPr>
          <w:rFonts w:hint="eastAsia" w:ascii="Times New Roman" w:hAnsi="宋体" w:eastAsia="宋体" w:cs="Times New Roman"/>
          <w:bCs/>
          <w:color w:val="auto"/>
          <w:sz w:val="24"/>
          <w:szCs w:val="24"/>
        </w:rPr>
        <w:t xml:space="preserve">应急方案（12分）：投标供应商根据项目需求书提供对项目应急方案的表述，主要包括应急故障服务方案、系统重大故障的应急预案以及措施安排方案的完整性、合理性、可行性，并结合方案明确故障恢复时间、平时应急预案演练过程的频次等，要求表述内容详细完整，针对性强、可操作性强，思路合理。以上内容不存在瑕疵：12分；以上内容存在1处瑕疵：8分；以上内容存在2处瑕疵：4分；未提供方案或不满足项目需求书要求或内容存在3处及以上瑕疵：0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 xml:space="preserve">4.</w:t>
      </w:r>
      <w:r>
        <w:rPr>
          <w:rFonts w:hint="eastAsia" w:ascii="Times New Roman" w:hAnsi="宋体" w:eastAsia="宋体" w:cs="Times New Roman"/>
          <w:bCs/>
          <w:color w:val="auto"/>
          <w:sz w:val="24"/>
          <w:szCs w:val="24"/>
        </w:rPr>
        <w:t xml:space="preserve">培训方案（6分）：投标供应商根据项目需求书提供对培训计划方案、培训力量等的表述。要求表述内容详细完整，针对性强、可操作性强，思路合理。以上内容不存在瑕疵：6分；以上内容存在1处瑕疵：4分；以上内容存在2处瑕疵：2分；未提供方案或不满足项目需求书要求或内容存在3处及以上瑕疵：0分。</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以上技术方案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500" w:lineRule="exact"/>
        <w:tabs>
          <w:tab w:val="left" w:pos="945" w:leader="none"/>
          <w:tab w:val="left" w:pos="1155" w:leader="none"/>
        </w:tabs>
        <w:rPr>
          <w:rFonts w:hint="eastAsia" w:ascii="Times New Roman" w:hAnsi="宋体" w:eastAsia="宋体" w:cs="Times New Roman"/>
          <w:bCs/>
          <w:color w:val="auto"/>
          <w:sz w:val="24"/>
          <w:szCs w:val="24"/>
          <w:lang w:val="en-US" w:eastAsia="zh-CN"/>
        </w:rPr>
      </w:pPr>
      <w:r>
        <w:rPr>
          <w:rFonts w:hint="eastAsia" w:ascii="Times New Roman" w:hAnsi="宋体" w:eastAsia="宋体" w:cs="Times New Roman"/>
          <w:bCs/>
          <w:color w:val="auto"/>
          <w:sz w:val="24"/>
          <w:szCs w:val="24"/>
          <w:lang w:val="en-US" w:eastAsia="zh-CN"/>
        </w:rPr>
      </w:r>
      <w:r/>
    </w:p>
    <w:p>
      <w:pPr>
        <w:pStyle w:val="680"/>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pStyle w:val="680"/>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pStyle w:val="680"/>
        <w:jc w:val="both"/>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9"/>
        </w:numPr>
        <w:jc w:val="center"/>
        <w:spacing w:line="400" w:lineRule="exact"/>
        <w:tabs>
          <w:tab w:val="left" w:pos="1050" w:leader="none"/>
        </w:tabs>
        <w:rPr>
          <w:rFonts w:hint="eastAsia" w:ascii="黑体" w:eastAsia="黑体"/>
          <w:bCs/>
          <w:color w:val="auto"/>
          <w:sz w:val="32"/>
          <w:szCs w:val="32"/>
          <w:highlight w:val="none"/>
        </w:rPr>
      </w:pPr>
      <w:r/>
      <w:bookmarkStart w:id="143" w:name="_Toc61444677"/>
      <w:r>
        <w:rPr>
          <w:rFonts w:hint="eastAsia" w:ascii="黑体" w:eastAsia="黑体"/>
          <w:bCs/>
          <w:color w:val="auto"/>
          <w:sz w:val="32"/>
          <w:szCs w:val="32"/>
          <w:highlight w:val="none"/>
        </w:rPr>
        <w:t xml:space="preserve"> 投标文件内容与格式</w:t>
      </w:r>
      <w:r/>
    </w:p>
    <w:p>
      <w:pPr>
        <w:pStyle w:val="1026"/>
        <w:numPr>
          <w:ilvl w:val="0"/>
          <w:numId w:val="10"/>
        </w:numPr>
        <w:ind w:firstLine="602"/>
        <w:jc w:val="center"/>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 投标文件内容</w:t>
      </w:r>
      <w:r/>
    </w:p>
    <w:p>
      <w:pPr>
        <w:pStyle w:val="1026"/>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6"/>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26"/>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26"/>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02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jc w:val="center"/>
          <w:trHeight w:val="812"/>
        </w:trPr>
        <w:tc>
          <w:tcPr>
            <w:tcW w:w="719" w:type="dxa"/>
            <w:vAlign w:val="center"/>
            <w:textDirection w:val="lrTb"/>
            <w:noWrap w:val="false"/>
          </w:tcPr>
          <w:p>
            <w:pPr>
              <w:pStyle w:val="102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w:t>
            </w:r>
            <w:r>
              <w:rPr>
                <w:rFonts w:hint="eastAsia" w:ascii="宋体" w:hAnsi="宋体" w:cs="宋体"/>
                <w:color w:val="auto"/>
                <w:highlight w:val="none"/>
                <w:lang w:eastAsia="zh-CN"/>
              </w:rPr>
              <w:t xml:space="preserve">或法人亲自参与的</w:t>
            </w:r>
            <w:r>
              <w:rPr>
                <w:rFonts w:hint="eastAsia" w:ascii="宋体" w:hAnsi="宋体" w:cs="宋体"/>
                <w:color w:val="auto"/>
                <w:highlight w:val="none"/>
              </w:rPr>
              <w:t xml:space="preserve">，可不提供）。</w:t>
            </w:r>
            <w:r/>
          </w:p>
        </w:tc>
        <w:tc>
          <w:tcPr>
            <w:tcW w:w="2449" w:type="dxa"/>
            <w:vAlign w:val="center"/>
            <w:vMerge w:val="continue"/>
            <w:textDirection w:val="lrTb"/>
            <w:noWrap w:val="false"/>
          </w:tcPr>
          <w:p>
            <w:pPr>
              <w:pStyle w:val="102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02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0"/>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2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02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02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02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2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026"/>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7</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026"/>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26"/>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8</w:t>
            </w:r>
            <w:r/>
          </w:p>
        </w:tc>
        <w:tc>
          <w:tcPr>
            <w:tcW w:w="6104" w:type="dxa"/>
            <w:vAlign w:val="center"/>
            <w:textDirection w:val="lrTb"/>
            <w:noWrap w:val="false"/>
          </w:tcPr>
          <w:p>
            <w:pPr>
              <w:pStyle w:val="1026"/>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rPr>
                <w:rFonts w:hint="eastAsia" w:ascii="宋体" w:hAnsi="宋体" w:cs="宋体"/>
                <w:bCs/>
                <w:color w:val="auto"/>
                <w:highlight w:val="none"/>
                <w:lang w:eastAsia="zh-CN"/>
              </w:rPr>
              <w:t xml:space="preserve">，内容须完整</w:t>
            </w:r>
            <w:r>
              <w:rPr>
                <w:rFonts w:hint="eastAsia" w:ascii="宋体" w:hAnsi="宋体" w:cs="宋体"/>
                <w:bCs/>
                <w:color w:val="auto"/>
                <w:highlight w:val="none"/>
              </w:rPr>
              <w:t xml:space="preserve">）。</w:t>
            </w:r>
            <w:r/>
          </w:p>
        </w:tc>
        <w:tc>
          <w:tcPr>
            <w:tcW w:w="2449" w:type="dxa"/>
            <w:vAlign w:val="center"/>
            <w:textDirection w:val="lrTb"/>
            <w:noWrap w:val="false"/>
          </w:tcPr>
          <w:p>
            <w:pPr>
              <w:pStyle w:val="1026"/>
              <w:ind w:firstLine="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上述</w:t>
      </w:r>
      <w:r>
        <w:rPr>
          <w:rFonts w:ascii="宋体" w:hAnsi="宋体" w:eastAsia="宋体" w:cs="Times New Roman"/>
          <w:b/>
          <w:bCs/>
          <w:color w:val="auto"/>
          <w:sz w:val="24"/>
          <w:szCs w:val="24"/>
          <w:highlight w:val="none"/>
        </w:rPr>
        <w:t xml:space="preserve">资格证明文件第</w:t>
      </w:r>
      <w:r>
        <w:rPr>
          <w:rFonts w:hint="eastAsia" w:ascii="宋体" w:hAnsi="宋体" w:eastAsia="宋体" w:cs="Times New Roman"/>
          <w:b/>
          <w:bCs/>
          <w:color w:val="auto"/>
          <w:sz w:val="24"/>
          <w:szCs w:val="24"/>
          <w:highlight w:val="none"/>
        </w:rPr>
        <w:t xml:space="preserve">8项，联合体</w:t>
      </w:r>
      <w:r>
        <w:rPr>
          <w:rFonts w:hint="eastAsia" w:ascii="宋体" w:hAnsi="宋体" w:eastAsia="宋体" w:cs="Times New Roman"/>
          <w:b/>
          <w:bCs/>
          <w:color w:val="auto"/>
          <w:sz w:val="24"/>
          <w:szCs w:val="24"/>
          <w:highlight w:val="none"/>
          <w:lang w:eastAsia="zh-CN"/>
        </w:rPr>
        <w:t xml:space="preserve">协议</w:t>
      </w:r>
      <w:r>
        <w:rPr>
          <w:rFonts w:hint="eastAsia" w:ascii="宋体" w:hAnsi="宋体" w:eastAsia="宋体" w:cs="Times New Roman"/>
          <w:b/>
          <w:bCs/>
          <w:color w:val="auto"/>
          <w:sz w:val="24"/>
          <w:szCs w:val="24"/>
          <w:highlight w:val="none"/>
        </w:rPr>
        <w:t xml:space="preserve">要求如下：①提交联合体各成员单位共同签订的联合体投标协议书，明确联合体主体单位及其他成员单位各自的权利和义</w:t>
      </w:r>
      <w:r>
        <w:rPr>
          <w:rFonts w:hint="eastAsia" w:ascii="宋体" w:hAnsi="宋体" w:eastAsia="宋体" w:cs="Times New Roman"/>
          <w:b/>
          <w:bCs/>
          <w:color w:val="auto"/>
          <w:sz w:val="24"/>
          <w:szCs w:val="24"/>
          <w:highlight w:val="none"/>
        </w:rPr>
        <w:t xml:space="preserve">务以及应当承担的责任；②联合体各方签订联合体投标协议书后，不得再以自己的名义单独或者以其他联合体成员的名义申请同一标段的投标；③联合体一旦中标，联合体各方应当共同与采购人签订合同，就中标项目向采购人承担连带责任;④联合体成员不得超过2名，各成员均应为中华人民共和国境内合法注册的独立法人企业或其他组织，联合体主体单位需拥有中华人民共和国基础电信业务经营许可证（相关许可证及资格可为投标人自有或投标人总公司所有），或投标人具有项目所在地通信运营商（具有中华人民共和国基础电信业务经营许可证的）出具的电路服务授权书。</w:t>
      </w:r>
      <w:r/>
    </w:p>
    <w:p>
      <w:pPr>
        <w:ind w:firstLine="480"/>
        <w:spacing w:line="500" w:lineRule="exact"/>
        <w:rPr>
          <w:rFonts w:hint="default" w:ascii="宋体" w:hAnsi="宋体" w:eastAsia="宋体" w:cs="Times New Roman"/>
          <w:b/>
          <w:bCs/>
          <w:color w:val="auto"/>
          <w:sz w:val="24"/>
          <w:szCs w:val="24"/>
          <w:highlight w:val="none"/>
          <w:lang w:val="en-US"/>
        </w:rPr>
      </w:pPr>
      <w:r>
        <w:rPr>
          <w:rFonts w:hint="eastAsia" w:ascii="宋体" w:hAnsi="宋体" w:eastAsia="宋体" w:cs="Times New Roman"/>
          <w:b/>
          <w:bCs/>
          <w:color w:val="auto"/>
          <w:sz w:val="24"/>
          <w:szCs w:val="24"/>
          <w:highlight w:val="none"/>
          <w:lang w:val="en-US" w:eastAsia="zh-CN"/>
        </w:rPr>
        <w:t xml:space="preserve">联合体协议内容须包含上述4个内容，内容不完整则为无效投标文件。</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如项目接受联合体投标且投标人为联合体时，</w:t>
      </w:r>
      <w:r>
        <w:rPr>
          <w:rFonts w:ascii="宋体" w:hAnsi="宋体"/>
          <w:b/>
          <w:bCs/>
          <w:color w:val="auto"/>
          <w:sz w:val="24"/>
          <w:szCs w:val="24"/>
          <w:highlight w:val="none"/>
        </w:rPr>
        <w:t xml:space="preserve">上述资格证明文件</w:t>
      </w:r>
      <w:r>
        <w:rPr>
          <w:rFonts w:hint="eastAsia" w:ascii="宋体" w:hAnsi="宋体"/>
          <w:b/>
          <w:bCs/>
          <w:color w:val="auto"/>
          <w:sz w:val="24"/>
          <w:szCs w:val="24"/>
          <w:highlight w:val="none"/>
        </w:rPr>
        <w:t xml:space="preserve">中：第2、6项可由联合体主体单位（即联合体牵头人）代表联合体提供；第1、3、4、5联合体各方均须提供。</w:t>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6"/>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rPr>
          <w:b/>
          <w:color w:val="auto"/>
          <w:sz w:val="28"/>
          <w:szCs w:val="28"/>
          <w:highlight w:val="none"/>
        </w:rPr>
      </w:pPr>
      <w:r>
        <w:rPr>
          <w:rFonts w:hint="eastAsia"/>
          <w:b/>
          <w:color w:val="auto"/>
          <w:sz w:val="28"/>
          <w:szCs w:val="28"/>
          <w:highlight w:val="none"/>
        </w:rPr>
        <w:t xml:space="preserve">二、符合性证明文件及其他证明文件</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525"/>
        <w:gridCol w:w="1549"/>
      </w:tblGrid>
      <w:tr>
        <w:trPr>
          <w:jc w:val="center"/>
          <w:trHeight w:val="567"/>
        </w:trPr>
        <w:tc>
          <w:tcPr>
            <w:tcW w:w="823" w:type="dxa"/>
            <w:vAlign w:val="center"/>
            <w:textDirection w:val="lrTb"/>
            <w:noWrap w:val="false"/>
          </w:tcPr>
          <w:p>
            <w:pPr>
              <w:pStyle w:val="1026"/>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525" w:type="dxa"/>
            <w:vAlign w:val="center"/>
            <w:textDirection w:val="lrTb"/>
            <w:noWrap w:val="false"/>
          </w:tcPr>
          <w:p>
            <w:pPr>
              <w:pStyle w:val="1026"/>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评审项及评审要求</w:t>
            </w:r>
            <w:r/>
          </w:p>
        </w:tc>
        <w:tc>
          <w:tcPr>
            <w:tcW w:w="1549" w:type="dxa"/>
            <w:vAlign w:val="center"/>
            <w:textDirection w:val="lrTb"/>
            <w:noWrap w:val="false"/>
          </w:tcPr>
          <w:p>
            <w:pPr>
              <w:pStyle w:val="1026"/>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026"/>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525" w:type="dxa"/>
            <w:vAlign w:val="center"/>
            <w:textDirection w:val="lrTb"/>
            <w:noWrap w:val="false"/>
          </w:tcPr>
          <w:p>
            <w:pPr>
              <w:pStyle w:val="1026"/>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549" w:type="dxa"/>
            <w:vAlign w:val="center"/>
            <w:vMerge w:val="restart"/>
            <w:textDirection w:val="lrTb"/>
            <w:noWrap w:val="false"/>
          </w:tcPr>
          <w:p>
            <w:pPr>
              <w:pStyle w:val="1026"/>
              <w:ind w:firstLine="0"/>
              <w:jc w:val="both"/>
              <w:spacing w:before="0" w:after="0" w:line="240" w:lineRule="auto"/>
              <w:rPr>
                <w:rFonts w:hint="eastAsia" w:cs="Arial"/>
                <w:color w:val="auto"/>
                <w:highlight w:val="none"/>
              </w:rPr>
            </w:pPr>
            <w:r>
              <w:rPr>
                <w:rFonts w:hint="eastAsia" w:cs="Arial"/>
                <w:color w:val="auto"/>
                <w:highlight w:val="none"/>
              </w:rPr>
              <w:t xml:space="preserve">符合性证明文件</w:t>
            </w:r>
            <w:r/>
          </w:p>
        </w:tc>
      </w:tr>
      <w:tr>
        <w:trPr>
          <w:jc w:val="center"/>
          <w:trHeight w:val="567"/>
        </w:trPr>
        <w:tc>
          <w:tcPr>
            <w:tcW w:w="823" w:type="dxa"/>
            <w:vAlign w:val="center"/>
            <w:textDirection w:val="lrTb"/>
            <w:noWrap w:val="false"/>
          </w:tcPr>
          <w:p>
            <w:pPr>
              <w:pStyle w:val="1026"/>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525" w:type="dxa"/>
            <w:vAlign w:val="center"/>
            <w:textDirection w:val="lrTb"/>
            <w:noWrap w:val="false"/>
          </w:tcPr>
          <w:p>
            <w:pPr>
              <w:pStyle w:val="1026"/>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549" w:type="dxa"/>
            <w:vAlign w:val="center"/>
            <w:vMerge w:val="continue"/>
            <w:textDirection w:val="lrTb"/>
            <w:noWrap w:val="false"/>
          </w:tcPr>
          <w:p>
            <w:pPr>
              <w:pStyle w:val="1026"/>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2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525" w:type="dxa"/>
            <w:vAlign w:val="center"/>
            <w:textDirection w:val="lrTb"/>
            <w:noWrap w:val="false"/>
          </w:tcPr>
          <w:p>
            <w:pPr>
              <w:pStyle w:val="1026"/>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549" w:type="dxa"/>
            <w:vAlign w:val="center"/>
            <w:vMerge w:val="continue"/>
            <w:textDirection w:val="lrTb"/>
            <w:noWrap w:val="false"/>
          </w:tcPr>
          <w:p>
            <w:pPr>
              <w:pStyle w:val="1026"/>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2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525" w:type="dxa"/>
            <w:vAlign w:val="center"/>
            <w:textDirection w:val="lrTb"/>
            <w:noWrap w:val="false"/>
          </w:tcPr>
          <w:p>
            <w:pPr>
              <w:pStyle w:val="1026"/>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549" w:type="dxa"/>
            <w:vAlign w:val="center"/>
            <w:vMerge w:val="continue"/>
            <w:textDirection w:val="lrTb"/>
            <w:noWrap w:val="false"/>
          </w:tcPr>
          <w:p>
            <w:pPr>
              <w:pStyle w:val="1026"/>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2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525" w:type="dxa"/>
            <w:vAlign w:val="center"/>
            <w:textDirection w:val="lrTb"/>
            <w:noWrap w:val="false"/>
          </w:tcPr>
          <w:p>
            <w:pPr>
              <w:pStyle w:val="102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549" w:type="dxa"/>
            <w:vAlign w:val="center"/>
            <w:vMerge w:val="continue"/>
            <w:textDirection w:val="lrTb"/>
            <w:noWrap w:val="false"/>
          </w:tcPr>
          <w:p>
            <w:pPr>
              <w:pStyle w:val="1026"/>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26"/>
              <w:ind w:firstLine="0"/>
              <w:jc w:val="center"/>
              <w:spacing w:before="0" w:after="0" w:line="24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6</w:t>
            </w:r>
            <w:r/>
          </w:p>
        </w:tc>
        <w:tc>
          <w:tcPr>
            <w:tcW w:w="6525" w:type="dxa"/>
            <w:vAlign w:val="center"/>
            <w:textDirection w:val="lrTb"/>
            <w:noWrap w:val="false"/>
          </w:tcPr>
          <w:p>
            <w:pPr>
              <w:pStyle w:val="1026"/>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549" w:type="dxa"/>
            <w:vAlign w:val="top"/>
            <w:vMerge w:val="continue"/>
            <w:textDirection w:val="lrTb"/>
            <w:noWrap w:val="false"/>
          </w:tcPr>
          <w:p>
            <w:pPr>
              <w:pStyle w:val="1026"/>
              <w:ind w:firstLine="0"/>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0"/>
        </w:numPr>
        <w:ind w:firstLine="480"/>
        <w:spacing w:line="500" w:lineRule="exact"/>
        <w:rPr>
          <w:rFonts w:hint="default" w:eastAsia="宋体" w:cs="Arial"/>
          <w:b/>
          <w:color w:val="auto"/>
          <w:sz w:val="30"/>
          <w:szCs w:val="30"/>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bookmarkEnd w:id="143"/>
      <w:r>
        <w:rPr>
          <w:rFonts w:hint="eastAsia" w:ascii="宋体" w:hAnsi="宋体" w:cs="宋体"/>
          <w:color w:val="auto"/>
          <w:sz w:val="24"/>
          <w:szCs w:val="24"/>
          <w:highlight w:val="none"/>
          <w:lang w:eastAsia="zh-CN"/>
        </w:rPr>
        <w:t xml:space="preserve">如有第</w:t>
      </w:r>
      <w:r>
        <w:rPr>
          <w:rFonts w:hint="eastAsia" w:ascii="宋体" w:hAnsi="宋体" w:cs="宋体"/>
          <w:color w:val="auto"/>
          <w:sz w:val="24"/>
          <w:szCs w:val="24"/>
          <w:highlight w:val="none"/>
          <w:lang w:val="en-US" w:eastAsia="zh-CN"/>
        </w:rPr>
        <w:t xml:space="preserve">6项，须联合体各方均需提供。</w:t>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jc w:val="both"/>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1026"/>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cs="Times New Roman"/>
          <w:bCs/>
          <w:color w:val="auto"/>
          <w:sz w:val="30"/>
          <w:szCs w:val="30"/>
          <w:highlight w:val="none"/>
          <w:lang w:eastAsia="zh-CN"/>
        </w:rPr>
        <w:t xml:space="preserve">JSZC-320206-JZCG-G2026-0027 </w:t>
      </w:r>
      <w:r/>
    </w:p>
    <w:p>
      <w:pPr>
        <w:ind w:left="3289" w:hanging="15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val="en-US" w:eastAsia="zh-CN"/>
        </w:rPr>
        <w:t xml:space="preserve">惠山区2026年度社会治安监控系统运维项目（硬件、线路）</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宋体" w:hAnsi="宋体" w:cs="宋体"/>
          <w:b/>
          <w:color w:val="auto"/>
          <w:sz w:val="28"/>
          <w:szCs w:val="28"/>
          <w:highlight w:val="none"/>
        </w:rPr>
      </w:pPr>
      <w:r/>
      <w:bookmarkStart w:id="144" w:name="_Toc61444678"/>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Arial" w:hAnsi="Arial"/>
          <w:b/>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27"/>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我公司（单位）针对</w:t>
      </w:r>
      <w:r>
        <w:rPr>
          <w:rFonts w:hint="eastAsia" w:ascii="黑体" w:eastAsia="黑体" w:cs="Times New Roman"/>
          <w:bCs/>
          <w:color w:val="auto"/>
          <w:sz w:val="24"/>
          <w:szCs w:val="24"/>
          <w:highlight w:val="none"/>
          <w:lang w:eastAsia="zh-CN"/>
        </w:rPr>
        <w:t xml:space="preserve">JSZC-320206-JZCG-G2026-0027</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 xml:space="preserve">项目，兹授权：</w:t>
      </w:r>
      <w:r/>
    </w:p>
    <w:p>
      <w:pPr>
        <w:pStyle w:val="1027"/>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27"/>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27"/>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27"/>
        <w:ind w:firstLine="480"/>
        <w:keepLines w:val="0"/>
        <w:keepNext w:val="0"/>
        <w:pageBreakBefore w:val="0"/>
        <w:spacing w:line="460" w:lineRule="exact"/>
        <w:widowControl w:val="off"/>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27"/>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特此授权委托。</w:t>
      </w:r>
      <w:r/>
    </w:p>
    <w:p>
      <w:pPr>
        <w:pStyle w:val="1027"/>
        <w:ind w:firstLine="0"/>
        <w:keepLines w:val="0"/>
        <w:keepNext w:val="0"/>
        <w:pageBreakBefore w:val="0"/>
        <w:spacing w:line="460" w:lineRule="exact"/>
        <w:widowControl w:val="off"/>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27"/>
        <w:ind w:firstLine="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027"/>
        <w:ind w:firstLine="0"/>
        <w:keepLines w:val="0"/>
        <w:keepNext w:val="0"/>
        <w:pageBreakBefore w:val="0"/>
        <w:spacing w:line="460" w:lineRule="exact"/>
        <w:widowControl w:val="off"/>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27"/>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说明：</w:t>
      </w:r>
      <w:r/>
    </w:p>
    <w:p>
      <w:pPr>
        <w:pStyle w:val="1027"/>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27"/>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27"/>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27"/>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1027"/>
        <w:ind w:firstLine="0"/>
        <w:rPr>
          <w:rFonts w:hint="eastAsia" w:ascii="宋体" w:hAnsi="宋体" w:cs="宋体"/>
          <w:b/>
          <w:color w:val="auto"/>
          <w:szCs w:val="28"/>
          <w:highlight w:val="none"/>
        </w:rPr>
      </w:pPr>
      <w:r>
        <w:rPr>
          <w:rFonts w:hint="eastAsia" w:ascii="宋体" w:hAnsi="宋体" w:cs="宋体"/>
          <w:b/>
          <w:color w:val="auto"/>
          <w:szCs w:val="28"/>
          <w:highlight w:val="none"/>
        </w:rPr>
      </w:r>
      <w:r/>
    </w:p>
    <w:p>
      <w:pPr>
        <w:pStyle w:val="1027"/>
        <w:ind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无锡市惠山区政府采购中心</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cs="Times New Roman"/>
          <w:bCs/>
          <w:color w:val="auto"/>
          <w:sz w:val="24"/>
          <w:szCs w:val="24"/>
          <w:highlight w:val="none"/>
          <w:lang w:eastAsia="zh-CN"/>
        </w:rPr>
        <w:t xml:space="preserve">JSZC-320206-JZCG-G2026-0027</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bookmarkEnd w:id="144"/>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服务</w:t>
      </w:r>
      <w:r>
        <w:rPr>
          <w:rFonts w:ascii="黑体" w:eastAsia="黑体"/>
          <w:bCs/>
          <w:color w:val="auto"/>
          <w:sz w:val="28"/>
          <w:szCs w:val="28"/>
          <w:highlight w:val="none"/>
        </w:rPr>
        <w:t xml:space="preserve">）</w:t>
      </w:r>
      <w:r/>
    </w:p>
    <w:p>
      <w:pPr>
        <w:ind w:right="98" w:firstLine="640"/>
        <w:spacing w:line="492"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bCs/>
          <w:i/>
          <w:color w:val="auto"/>
          <w:sz w:val="24"/>
          <w:szCs w:val="24"/>
          <w:highlight w:val="none"/>
          <w:u w:val="single"/>
        </w:rPr>
        <w:t xml:space="preserve">（ 单 位 名 称 ）</w:t>
      </w:r>
      <w:r>
        <w:rPr>
          <w:rFonts w:hint="eastAsia" w:ascii="宋体" w:hAnsi="宋体"/>
          <w:bCs/>
          <w:color w:val="auto"/>
          <w:sz w:val="24"/>
          <w:szCs w:val="24"/>
          <w:highlight w:val="none"/>
        </w:rPr>
        <w:t xml:space="preserve">的</w:t>
      </w:r>
      <w:r>
        <w:rPr>
          <w:rFonts w:hint="eastAsia" w:ascii="宋体" w:hAnsi="宋体"/>
          <w:bCs/>
          <w:i/>
          <w:color w:val="auto"/>
          <w:sz w:val="24"/>
          <w:szCs w:val="24"/>
          <w:highlight w:val="none"/>
          <w:u w:val="single"/>
        </w:rPr>
        <w:t xml:space="preserve">（ 项 目 名 称 ）</w:t>
      </w:r>
      <w:r>
        <w:rPr>
          <w:rFonts w:hint="eastAsia" w:ascii="宋体" w:hAnsi="宋体"/>
          <w:bCs/>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i/>
          <w:color w:val="auto"/>
          <w:sz w:val="24"/>
          <w:szCs w:val="24"/>
          <w:highlight w:val="none"/>
          <w:u w:val="single"/>
        </w:rPr>
        <w:t xml:space="preserve">（ 标 的 名 称 ）</w:t>
      </w:r>
      <w:r>
        <w:rPr>
          <w:rFonts w:hint="eastAsia" w:ascii="宋体" w:hAnsi="宋体"/>
          <w:bCs/>
          <w:color w:val="auto"/>
          <w:sz w:val="24"/>
          <w:szCs w:val="24"/>
          <w:highlight w:val="none"/>
        </w:rPr>
        <w:t xml:space="preserve">，属于</w:t>
      </w:r>
      <w:r>
        <w:rPr>
          <w:rFonts w:hint="eastAsia" w:ascii="宋体" w:hAnsi="宋体"/>
          <w:bCs/>
          <w:i/>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；承建（承接）企业为</w:t>
      </w:r>
      <w:r>
        <w:rPr>
          <w:rFonts w:hint="eastAsia" w:ascii="宋体" w:hAnsi="宋体"/>
          <w:bCs/>
          <w:i/>
          <w:color w:val="auto"/>
          <w:sz w:val="24"/>
          <w:szCs w:val="24"/>
          <w:highlight w:val="none"/>
          <w:u w:val="single"/>
        </w:rPr>
        <w:t xml:space="preserve">（企业名称）</w:t>
      </w:r>
      <w:r>
        <w:rPr>
          <w:rFonts w:hint="eastAsia" w:ascii="宋体" w:hAnsi="宋体"/>
          <w:bCs/>
          <w:color w:val="auto"/>
          <w:sz w:val="24"/>
          <w:szCs w:val="24"/>
          <w:highlight w:val="none"/>
        </w:rPr>
        <w:t xml:space="preserve">，从业人员人，营业收入为万元，资产总额为万元</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，属于</w:t>
      </w:r>
      <w:r>
        <w:rPr>
          <w:rFonts w:hint="eastAsia" w:ascii="宋体" w:hAnsi="宋体"/>
          <w:bCs/>
          <w:i/>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i/>
          <w:color w:val="auto"/>
          <w:sz w:val="24"/>
          <w:szCs w:val="24"/>
          <w:highlight w:val="none"/>
          <w:u w:val="single"/>
        </w:rPr>
        <w:t xml:space="preserve">（ 标 的 名 称 ）</w:t>
      </w:r>
      <w:r>
        <w:rPr>
          <w:rFonts w:hint="eastAsia" w:ascii="宋体" w:hAnsi="宋体"/>
          <w:bCs/>
          <w:color w:val="auto"/>
          <w:sz w:val="24"/>
          <w:szCs w:val="24"/>
          <w:highlight w:val="none"/>
        </w:rPr>
        <w:t xml:space="preserve">，属于</w:t>
      </w:r>
      <w:r>
        <w:rPr>
          <w:rFonts w:hint="eastAsia" w:ascii="宋体" w:hAnsi="宋体"/>
          <w:bCs/>
          <w:i/>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；承建（承接）企业为</w:t>
      </w:r>
      <w:r>
        <w:rPr>
          <w:rFonts w:hint="eastAsia" w:ascii="宋体" w:hAnsi="宋体"/>
          <w:bCs/>
          <w:i/>
          <w:color w:val="auto"/>
          <w:sz w:val="24"/>
          <w:szCs w:val="24"/>
          <w:highlight w:val="none"/>
          <w:u w:val="single"/>
        </w:rPr>
        <w:t xml:space="preserve">（企业名称）</w:t>
      </w:r>
      <w:r>
        <w:rPr>
          <w:rFonts w:hint="eastAsia" w:ascii="宋体" w:hAnsi="宋体"/>
          <w:bCs/>
          <w:color w:val="auto"/>
          <w:sz w:val="24"/>
          <w:szCs w:val="24"/>
          <w:highlight w:val="none"/>
        </w:rPr>
        <w:t xml:space="preserve">，从业人员人，营业收入为万元，资产总额为万元，属于</w:t>
      </w:r>
      <w:r>
        <w:rPr>
          <w:rFonts w:hint="eastAsia" w:ascii="宋体" w:hAnsi="宋体"/>
          <w:bCs/>
          <w:i/>
          <w:color w:val="auto"/>
          <w:sz w:val="24"/>
          <w:szCs w:val="24"/>
          <w:highlight w:val="none"/>
          <w:u w:val="single"/>
        </w:rPr>
        <w:t xml:space="preserve">（ 中型企业 、小型企业、微型企业）</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right="101" w:firstLine="645"/>
        <w:spacing w:line="456"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jc w:val="left"/>
        <w:spacing w:line="192" w:lineRule="exact"/>
        <w:rPr>
          <w:rFonts w:ascii="宋体" w:hAnsi="宋体"/>
          <w:bCs/>
          <w:color w:val="auto"/>
          <w:sz w:val="24"/>
          <w:szCs w:val="24"/>
          <w:highlight w:val="none"/>
        </w:rPr>
      </w:pPr>
      <w:r>
        <w:rPr>
          <w:rFonts w:ascii="宋体" w:hAnsi="宋体"/>
          <w:bCs/>
          <w:color w:val="auto"/>
          <w:sz w:val="24"/>
          <w:szCs w:val="24"/>
          <w:highlight w:val="none"/>
        </w:rPr>
      </w:r>
      <w:r/>
    </w:p>
    <w:p>
      <w:pPr>
        <w:ind w:right="103" w:firstLine="640"/>
        <w:jc w:val="left"/>
        <w:spacing w:line="423"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jc w:val="left"/>
        <w:spacing w:line="226" w:lineRule="exact"/>
        <w:rPr>
          <w:rFonts w:ascii="宋体" w:hAnsi="宋体"/>
          <w:bCs/>
          <w:color w:val="auto"/>
          <w:sz w:val="24"/>
          <w:szCs w:val="24"/>
          <w:highlight w:val="none"/>
        </w:rPr>
      </w:pPr>
      <w:r>
        <w:rPr>
          <w:rFonts w:ascii="宋体" w:hAnsi="宋体"/>
          <w:bCs/>
          <w:color w:val="auto"/>
          <w:sz w:val="24"/>
          <w:szCs w:val="24"/>
          <w:highlight w:val="none"/>
        </w:rPr>
      </w:r>
      <w:r/>
    </w:p>
    <w:p>
      <w:pPr>
        <w:ind w:left="3838"/>
        <w:jc w:val="left"/>
        <w:spacing w:line="326" w:lineRule="exact"/>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jc w:val="left"/>
        <w:spacing w:line="214" w:lineRule="exact"/>
        <w:rPr>
          <w:rFonts w:ascii="宋体" w:hAnsi="宋体"/>
          <w:bCs/>
          <w:color w:val="auto"/>
          <w:sz w:val="24"/>
          <w:szCs w:val="24"/>
          <w:highlight w:val="none"/>
        </w:rPr>
      </w:pPr>
      <w:r>
        <w:rPr>
          <w:rFonts w:ascii="宋体" w:hAnsi="宋体"/>
          <w:bCs/>
          <w:color w:val="auto"/>
          <w:sz w:val="24"/>
          <w:szCs w:val="24"/>
          <w:highlight w:val="none"/>
        </w:rPr>
      </w:r>
      <w:r/>
    </w:p>
    <w:p>
      <w:pPr>
        <w:ind w:left="3838"/>
        <w:jc w:val="left"/>
        <w:spacing w:line="327"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jc w:val="left"/>
        <w:spacing w:line="327" w:lineRule="exact"/>
        <w:rPr>
          <w:rFonts w:eastAsia="仿宋"/>
          <w:color w:val="auto"/>
          <w:szCs w:val="21"/>
          <w:highlight w:val="none"/>
        </w:rPr>
      </w:pPr>
      <w:r>
        <w:rPr>
          <w:rFonts w:eastAsia="仿宋"/>
          <w:color w:val="auto"/>
          <w:szCs w:val="21"/>
          <w:highlight w:val="none"/>
        </w:rPr>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w:t>
      </w:r>
      <w:r/>
    </w:p>
    <w:p>
      <w:pPr>
        <w:ind w:firstLine="420"/>
        <w:spacing w:line="360" w:lineRule="auto"/>
        <w:rPr>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2</w:t>
      </w:r>
      <w:r>
        <w:rPr>
          <w:rFonts w:hint="eastAsia"/>
          <w:color w:val="auto"/>
          <w:highlight w:val="none"/>
        </w:rPr>
        <w:t xml:space="preserve">）中标供应商的《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30"/>
          <w:szCs w:val="30"/>
          <w:highlight w:val="none"/>
        </w:rPr>
      </w:pP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无锡市惠山区政府采购中心</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cs="Times New Roman"/>
          <w:bCs/>
          <w:color w:val="auto"/>
          <w:sz w:val="24"/>
          <w:szCs w:val="24"/>
          <w:highlight w:val="none"/>
          <w:lang w:eastAsia="zh-CN"/>
        </w:rPr>
        <w:t xml:space="preserve">JSZC-320206-JZCG-G2026-0027</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firstLine="480"/>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firstLine="480"/>
        <w:spacing w:line="400" w:lineRule="exact"/>
        <w:tabs>
          <w:tab w:val="left" w:pos="0" w:leader="none"/>
          <w:tab w:val="left" w:pos="315" w:leader="none"/>
          <w:tab w:val="left" w:pos="525" w:leader="none"/>
          <w:tab w:val="left" w:pos="840" w:leader="none"/>
          <w:tab w:val="left" w:pos="945" w:leader="none"/>
          <w:tab w:val="left" w:pos="1050" w:leader="none"/>
        </w:tabs>
        <w:rPr>
          <w:rStyle w:val="1028"/>
          <w:bCs/>
          <w:color w:val="auto"/>
          <w:highlight w:val="none"/>
        </w:rPr>
      </w:pPr>
      <w:r>
        <w:rPr>
          <w:rFonts w:hint="eastAsia" w:ascii="宋体" w:hAnsi="宋体"/>
          <w:bCs/>
          <w:color w:val="auto"/>
          <w:sz w:val="24"/>
          <w:szCs w:val="24"/>
          <w:highlight w:val="none"/>
          <w:lang w:eastAsia="zh-CN"/>
        </w:rPr>
        <w:t xml:space="preserve">二、</w:t>
      </w: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无锡市惠山区政府采购中心</w:t>
      </w:r>
      <w:r>
        <w:rPr>
          <w:rFonts w:hint="eastAsia" w:ascii="宋体" w:hAnsi="宋体"/>
          <w:bCs/>
          <w:color w:val="auto"/>
          <w:sz w:val="24"/>
          <w:szCs w:val="24"/>
          <w:highlight w:val="none"/>
        </w:rPr>
        <w:t xml:space="preserve">在招标文件中要求的文件、资料。</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三、</w:t>
      </w: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五、</w:t>
      </w:r>
      <w:r>
        <w:rPr>
          <w:rFonts w:hint="eastAsia" w:ascii="宋体" w:hAnsi="宋体"/>
          <w:bCs/>
          <w:color w:val="auto"/>
          <w:sz w:val="24"/>
          <w:szCs w:val="24"/>
          <w:highlight w:val="none"/>
        </w:rPr>
        <w:t xml:space="preserve">我方完全同意招标文件规定的决定中标者的方式。</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六、</w:t>
      </w: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七、</w:t>
      </w: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八、</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九、</w:t>
      </w: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cs="Times New Roman"/>
          <w:bCs/>
          <w:color w:val="auto"/>
          <w:sz w:val="24"/>
          <w:szCs w:val="24"/>
          <w:highlight w:val="none"/>
          <w:lang w:eastAsia="zh-CN"/>
        </w:rPr>
        <w:t xml:space="preserve">JSZC-320206-JZCG-G2026-0027</w:t>
      </w:r>
      <w:r>
        <w:rPr>
          <w:rFonts w:hint="eastAsia" w:ascii="黑体" w:hAnsi="Times New Roman" w:eastAsia="黑体" w:cs="Times New Roman"/>
          <w:bCs/>
          <w:color w:val="auto"/>
          <w:sz w:val="24"/>
          <w:szCs w:val="24"/>
          <w:highlight w:val="none"/>
          <w:lang w:eastAsia="zh-CN"/>
        </w:rPr>
        <w:t xml:space="preserve"> </w:t>
      </w:r>
      <w:r>
        <w:rPr>
          <w:rFonts w:hint="eastAsia" w:ascii="宋体" w:hAnsi="宋体"/>
          <w:color w:val="auto"/>
          <w:sz w:val="24"/>
          <w:szCs w:val="24"/>
          <w:highlight w:val="none"/>
        </w:rPr>
        <w:t xml:space="preserve">在此对服务保障做如下承诺：</w:t>
      </w:r>
      <w:r/>
    </w:p>
    <w:p>
      <w:pPr>
        <w:ind w:firstLine="480"/>
        <w:spacing w:line="480" w:lineRule="auto"/>
        <w:rPr>
          <w:rFonts w:ascii="宋体"/>
          <w:bCs/>
          <w:color w:val="auto"/>
          <w:sz w:val="24"/>
          <w:szCs w:val="24"/>
          <w:highlight w:val="none"/>
          <w:u w:val="none"/>
        </w:rPr>
      </w:pPr>
      <w:r>
        <w:rPr>
          <w:rFonts w:ascii="宋体" w:hAnsi="宋体"/>
          <w:color w:val="auto"/>
          <w:sz w:val="24"/>
          <w:szCs w:val="24"/>
          <w:highlight w:val="none"/>
          <w:u w:val="none"/>
        </w:rPr>
        <w:t xml:space="preserve">1</w:t>
      </w:r>
      <w:r>
        <w:rPr>
          <w:rFonts w:hint="eastAsia" w:ascii="宋体" w:hAnsi="宋体"/>
          <w:color w:val="auto"/>
          <w:sz w:val="24"/>
          <w:szCs w:val="24"/>
          <w:highlight w:val="none"/>
          <w:u w:val="none"/>
        </w:rPr>
        <w:t xml:space="preserve">．本公司（单位）</w:t>
      </w:r>
      <w:r>
        <w:rPr>
          <w:rFonts w:hint="eastAsia" w:ascii="宋体" w:hAnsi="宋体"/>
          <w:bCs/>
          <w:color w:val="auto"/>
          <w:sz w:val="24"/>
          <w:szCs w:val="24"/>
          <w:highlight w:val="none"/>
          <w:u w:val="none"/>
        </w:rPr>
        <w:t xml:space="preserve">对本项目所提供的货物均为原厂全新合格品；</w:t>
      </w:r>
      <w:r/>
    </w:p>
    <w:p>
      <w:pPr>
        <w:ind w:firstLine="480"/>
        <w:spacing w:line="480" w:lineRule="auto"/>
        <w:rPr>
          <w:rFonts w:hint="eastAsia" w:ascii="宋体" w:hAnsi="宋体"/>
          <w:bCs/>
          <w:color w:val="auto"/>
          <w:sz w:val="24"/>
          <w:szCs w:val="24"/>
          <w:highlight w:val="none"/>
          <w:u w:val="none"/>
        </w:rPr>
      </w:pPr>
      <w:r>
        <w:rPr>
          <w:rFonts w:ascii="宋体" w:hAnsi="宋体"/>
          <w:bCs/>
          <w:color w:val="auto"/>
          <w:sz w:val="24"/>
          <w:szCs w:val="24"/>
          <w:highlight w:val="none"/>
          <w:u w:val="none"/>
        </w:rPr>
        <w:t xml:space="preserve">2</w:t>
      </w:r>
      <w:r>
        <w:rPr>
          <w:rFonts w:hint="eastAsia" w:ascii="宋体" w:hAnsi="宋体"/>
          <w:bCs/>
          <w:color w:val="auto"/>
          <w:sz w:val="24"/>
          <w:szCs w:val="24"/>
          <w:highlight w:val="none"/>
          <w:u w:val="none"/>
        </w:rPr>
        <w:t xml:space="preserve">．</w:t>
      </w:r>
      <w:r>
        <w:rPr>
          <w:rFonts w:hint="eastAsia" w:ascii="宋体" w:hAnsi="宋体"/>
          <w:color w:val="auto"/>
          <w:sz w:val="24"/>
          <w:szCs w:val="24"/>
          <w:highlight w:val="none"/>
          <w:u w:val="none"/>
        </w:rPr>
        <w:t xml:space="preserve">本公司（单位）</w:t>
      </w:r>
      <w:r>
        <w:rPr>
          <w:rFonts w:hint="eastAsia" w:ascii="宋体" w:hAnsi="宋体"/>
          <w:bCs/>
          <w:color w:val="auto"/>
          <w:sz w:val="24"/>
          <w:szCs w:val="24"/>
          <w:highlight w:val="none"/>
          <w:u w:val="none"/>
        </w:rPr>
        <w:t xml:space="preserve">具备履行合同所必需的设备和专业技术能力；</w:t>
      </w:r>
      <w:r/>
    </w:p>
    <w:p>
      <w:pPr>
        <w:ind w:firstLine="480"/>
        <w:spacing w:line="480" w:lineRule="auto"/>
        <w:rPr>
          <w:rFonts w:hint="eastAsia" w:ascii="宋体" w:hAnsi="宋体"/>
          <w:color w:val="auto"/>
          <w:sz w:val="24"/>
          <w:szCs w:val="24"/>
          <w:highlight w:val="none"/>
          <w:u w:val="none"/>
        </w:rPr>
      </w:pPr>
      <w:r>
        <w:rPr>
          <w:rFonts w:hint="eastAsia" w:ascii="宋体" w:hAnsi="宋体"/>
          <w:bCs/>
          <w:color w:val="auto"/>
          <w:sz w:val="24"/>
          <w:szCs w:val="24"/>
          <w:highlight w:val="none"/>
          <w:u w:val="none"/>
        </w:rPr>
        <w:t xml:space="preserve">3.</w:t>
      </w:r>
      <w:r>
        <w:rPr>
          <w:rFonts w:hint="eastAsia" w:ascii="宋体"/>
          <w:bCs/>
          <w:color w:val="auto"/>
          <w:szCs w:val="21"/>
          <w:highlight w:val="none"/>
          <w:u w:val="none"/>
        </w:rPr>
        <w:t xml:space="preserve"> </w:t>
      </w:r>
      <w:r>
        <w:rPr>
          <w:rFonts w:hint="eastAsia" w:ascii="宋体" w:hAnsi="宋体"/>
          <w:color w:val="auto"/>
          <w:sz w:val="24"/>
          <w:szCs w:val="24"/>
          <w:highlight w:val="none"/>
          <w:u w:val="none"/>
        </w:rPr>
        <w:t xml:space="preserve">本公司未被“</w:t>
      </w:r>
      <w:r>
        <w:rPr>
          <w:rFonts w:hint="eastAsia" w:ascii="宋体" w:hAnsi="宋体"/>
          <w:bCs/>
          <w:color w:val="auto"/>
          <w:sz w:val="24"/>
          <w:szCs w:val="24"/>
          <w:highlight w:val="none"/>
          <w:u w:val="none"/>
        </w:rPr>
        <w:t xml:space="preserve">信用中国</w:t>
      </w:r>
      <w:r>
        <w:rPr>
          <w:rFonts w:hint="eastAsia" w:ascii="宋体" w:hAnsi="宋体"/>
          <w:color w:val="auto"/>
          <w:sz w:val="24"/>
          <w:szCs w:val="24"/>
          <w:highlight w:val="none"/>
          <w:u w:val="none"/>
        </w:rPr>
        <w:t xml:space="preserve">”</w:t>
      </w:r>
      <w:r>
        <w:rPr>
          <w:rFonts w:hint="eastAsia" w:ascii="宋体" w:hAnsi="宋体"/>
          <w:bCs/>
          <w:color w:val="auto"/>
          <w:sz w:val="24"/>
          <w:szCs w:val="24"/>
          <w:highlight w:val="none"/>
          <w:u w:val="none"/>
        </w:rPr>
        <w:t xml:space="preserve">网站（www.creditchina.gov.cn）</w:t>
      </w:r>
      <w:r>
        <w:rPr>
          <w:rFonts w:hint="eastAsia" w:ascii="宋体" w:hAnsi="宋体"/>
          <w:color w:val="auto"/>
          <w:sz w:val="24"/>
          <w:szCs w:val="24"/>
          <w:highlight w:val="none"/>
          <w:u w:val="none"/>
        </w:rPr>
        <w:t xml:space="preserve">列入失信被执行人、重大税收违法案件当事人名单、政府采购严重违法失信行为记录名单。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如违背上述承诺，本公司</w:t>
      </w:r>
      <w:r>
        <w:rPr>
          <w:rFonts w:hint="eastAsia" w:ascii="宋体" w:hAnsi="宋体"/>
          <w:color w:val="auto"/>
          <w:sz w:val="24"/>
          <w:szCs w:val="24"/>
          <w:highlight w:val="none"/>
          <w:u w:val="none"/>
        </w:rPr>
        <w:t xml:space="preserve">（单位）</w:t>
      </w:r>
      <w:r>
        <w:rPr>
          <w:rFonts w:hint="eastAsia" w:ascii="宋体" w:hAnsi="宋体"/>
          <w:bCs/>
          <w:color w:val="auto"/>
          <w:sz w:val="24"/>
          <w:szCs w:val="24"/>
          <w:highlight w:val="none"/>
          <w:u w:val="none"/>
        </w:rPr>
        <w:t xml:space="preserve">将承担一切法律责任。</w:t>
      </w: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ind w:firstLine="480"/>
        <w:spacing w:line="480" w:lineRule="auto"/>
        <w:rPr>
          <w:rFonts w:ascii="宋体"/>
          <w:bCs/>
          <w:color w:val="auto"/>
          <w:sz w:val="24"/>
          <w:szCs w:val="24"/>
          <w:highlight w:val="none"/>
          <w:u w:val="none"/>
        </w:rPr>
      </w:pPr>
      <w:r>
        <w:rPr>
          <w:rFonts w:ascii="宋体"/>
          <w:bCs/>
          <w:color w:val="auto"/>
          <w:sz w:val="24"/>
          <w:szCs w:val="24"/>
          <w:highlight w:val="none"/>
          <w:u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b/>
          <w:color w:val="auto"/>
          <w:sz w:val="30"/>
          <w:szCs w:val="30"/>
          <w:highlight w:val="none"/>
        </w:rPr>
      </w:pPr>
      <w:r>
        <w:rPr>
          <w:rFonts w:hint="eastAsia"/>
          <w:b/>
          <w:color w:val="auto"/>
          <w:sz w:val="30"/>
          <w:szCs w:val="30"/>
          <w:highlight w:val="none"/>
        </w:rPr>
        <w:t xml:space="preserve">八、开标一览表（给定格式）：</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cs="Times New Roman"/>
          <w:bCs/>
          <w:color w:val="auto"/>
          <w:sz w:val="24"/>
          <w:szCs w:val="24"/>
          <w:highlight w:val="none"/>
          <w:lang w:eastAsia="zh-CN"/>
        </w:rPr>
        <w:t xml:space="preserve">JSZC-320206-JZCG-G2026-0027</w:t>
      </w:r>
      <w:r>
        <w:rPr>
          <w:rFonts w:hint="eastAsia" w:ascii="黑体" w:hAnsi="Times New Roman" w:eastAsia="黑体" w:cs="Times New Roman"/>
          <w:bCs/>
          <w:color w:val="auto"/>
          <w:sz w:val="24"/>
          <w:szCs w:val="24"/>
          <w:highlight w:val="none"/>
          <w:lang w:eastAsia="zh-CN"/>
        </w:rPr>
        <w:t xml:space="preserve"> </w:t>
      </w:r>
      <w:r/>
    </w:p>
    <w:tbl>
      <w:tblPr>
        <w:tblStyle w:val="69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980"/>
              <w:jc w:val="center"/>
              <w:spacing w:line="400" w:lineRule="exact"/>
              <w:rPr>
                <w:rFonts w:hint="default" w:hAnsi="宋体" w:eastAsia="宋体"/>
                <w:bCs/>
                <w:color w:val="auto"/>
                <w:szCs w:val="24"/>
                <w:highlight w:val="none"/>
                <w:lang w:val="en-US" w:eastAsia="zh-CN"/>
              </w:rPr>
            </w:pPr>
            <w:r>
              <w:rPr>
                <w:rFonts w:hint="eastAsia" w:hAnsi="宋体"/>
                <w:bCs/>
                <w:color w:val="auto"/>
                <w:szCs w:val="24"/>
                <w:highlight w:val="none"/>
                <w:lang w:val="en-US" w:eastAsia="zh-CN"/>
              </w:rPr>
              <w:t xml:space="preserve">惠山区2026年度社会治安监控系统运维项目（硬件、线路）</w:t>
            </w:r>
            <w:r/>
          </w:p>
        </w:tc>
        <w:tc>
          <w:tcPr>
            <w:tcW w:w="3188" w:type="dxa"/>
            <w:vAlign w:val="center"/>
            <w:textDirection w:val="lrTb"/>
            <w:noWrap w:val="false"/>
          </w:tcPr>
          <w:p>
            <w:pPr>
              <w:pStyle w:val="98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numPr>
          <w:ilvl w:val="0"/>
          <w:numId w:val="11"/>
        </w:numPr>
        <w:pageBreakBefore/>
        <w:rPr>
          <w:rFonts w:hint="eastAsia"/>
          <w:b/>
          <w:color w:val="auto"/>
          <w:sz w:val="30"/>
          <w:szCs w:val="30"/>
          <w:highlight w:val="none"/>
        </w:rPr>
        <w:outlineLvl w:val="0"/>
      </w:pPr>
      <w:r>
        <w:rPr>
          <w:rFonts w:hint="eastAsia"/>
          <w:b/>
          <w:color w:val="auto"/>
          <w:sz w:val="30"/>
          <w:szCs w:val="30"/>
          <w:highlight w:val="none"/>
        </w:rPr>
        <w:t xml:space="preserve">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ascii="黑体" w:eastAsia="黑体"/>
          <w:bCs/>
          <w:color w:val="auto"/>
          <w:sz w:val="28"/>
          <w:szCs w:val="28"/>
          <w:highlight w:val="none"/>
          <w:u w:val="none"/>
        </w:rPr>
        <w:outlineLvl w:val="0"/>
      </w:pPr>
      <w:r>
        <w:rPr>
          <w:rFonts w:hint="eastAsia"/>
          <w:color w:val="auto"/>
          <w:sz w:val="21"/>
          <w:highlight w:val="none"/>
          <w:lang w:val="en-US" w:eastAsia="zh-CN" w:bidi="ar-SA"/>
        </w:rPr>
        <w:tab/>
      </w:r>
      <w:r>
        <w:rPr>
          <w:rFonts w:hint="eastAsia" w:ascii="黑体" w:eastAsia="黑体"/>
          <w:bCs/>
          <w:color w:val="auto"/>
          <w:sz w:val="28"/>
          <w:szCs w:val="28"/>
          <w:highlight w:val="none"/>
          <w:u w:val="none"/>
          <w:lang w:eastAsia="zh-CN"/>
        </w:rPr>
        <w:t xml:space="preserve">分项</w:t>
      </w:r>
      <w:r>
        <w:rPr>
          <w:rFonts w:hint="eastAsia" w:ascii="黑体" w:eastAsia="黑体"/>
          <w:bCs/>
          <w:color w:val="auto"/>
          <w:sz w:val="28"/>
          <w:szCs w:val="28"/>
          <w:highlight w:val="none"/>
          <w:u w:val="none"/>
        </w:rPr>
        <w:t xml:space="preserve">报价表</w:t>
      </w:r>
      <w:r/>
    </w:p>
    <w:p>
      <w:pPr>
        <w:spacing w:line="400" w:lineRule="exact"/>
        <w:rPr>
          <w:rFonts w:hint="eastAsia" w:ascii="黑体" w:eastAsia="黑体"/>
          <w:bCs/>
          <w:color w:val="auto"/>
          <w:sz w:val="24"/>
          <w:szCs w:val="24"/>
          <w:highlight w:val="none"/>
          <w:u w:val="none"/>
          <w:lang w:eastAsia="zh-CN"/>
        </w:rPr>
      </w:pPr>
      <w:r>
        <w:rPr>
          <w:rFonts w:hint="eastAsia" w:ascii="黑体" w:eastAsia="黑体"/>
          <w:bCs/>
          <w:color w:val="auto"/>
          <w:sz w:val="24"/>
          <w:szCs w:val="24"/>
          <w:highlight w:val="none"/>
        </w:rPr>
        <w:t xml:space="preserve">项目编号：</w:t>
      </w:r>
      <w:r>
        <w:rPr>
          <w:rFonts w:hint="eastAsia" w:ascii="黑体" w:eastAsia="黑体" w:cs="Times New Roman"/>
          <w:bCs/>
          <w:color w:val="auto"/>
          <w:sz w:val="24"/>
          <w:szCs w:val="24"/>
          <w:highlight w:val="none"/>
          <w:lang w:eastAsia="zh-CN"/>
        </w:rPr>
        <w:t xml:space="preserve">JSZC-320206-JZCG-G2026-0027</w:t>
      </w:r>
      <w:r>
        <w:rPr>
          <w:rFonts w:hint="eastAsia" w:ascii="黑体" w:hAnsi="Times New Roman" w:eastAsia="黑体" w:cs="Times New Roman"/>
          <w:bCs/>
          <w:color w:val="auto"/>
          <w:sz w:val="24"/>
          <w:szCs w:val="24"/>
          <w:highlight w:val="none"/>
          <w:lang w:eastAsia="zh-CN"/>
        </w:rPr>
        <w:t xml:space="preserve"> </w:t>
      </w:r>
      <w:r/>
    </w:p>
    <w:tbl>
      <w:tblPr>
        <w:tblStyle w:val="690"/>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1785"/>
        <w:gridCol w:w="3045"/>
        <w:gridCol w:w="1155"/>
        <w:gridCol w:w="1123"/>
        <w:gridCol w:w="1099"/>
        <w:gridCol w:w="1138"/>
      </w:tblGrid>
      <w:tr>
        <w:trPr>
          <w:cantSplit/>
          <w:trHeight w:val="495"/>
        </w:trPr>
        <w:tc>
          <w:tcPr>
            <w:tcMar>
              <w:left w:w="15" w:type="dxa"/>
              <w:top w:w="15" w:type="dxa"/>
              <w:right w:w="15" w:type="dxa"/>
              <w:bottom w:w="0" w:type="dxa"/>
            </w:tcMar>
            <w:tcW w:w="420"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序号</w:t>
            </w:r>
            <w:r/>
          </w:p>
        </w:tc>
        <w:tc>
          <w:tcPr>
            <w:gridSpan w:val="3"/>
            <w:tcMar>
              <w:left w:w="15" w:type="dxa"/>
              <w:top w:w="15" w:type="dxa"/>
              <w:right w:w="15" w:type="dxa"/>
              <w:bottom w:w="0" w:type="dxa"/>
            </w:tcMar>
            <w:tcW w:w="5040" w:type="dxa"/>
            <w:vAlign w:val="center"/>
            <w:textDirection w:val="lrTb"/>
            <w:noWrap w:val="false"/>
          </w:tcPr>
          <w:p>
            <w:pPr>
              <w:jc w:val="center"/>
              <w:spacing w:before="5"/>
              <w:rPr>
                <w:rFonts w:hint="eastAsia" w:eastAsia="宋体"/>
                <w:color w:val="auto"/>
                <w:sz w:val="18"/>
                <w:highlight w:val="none"/>
                <w:u w:val="none"/>
                <w:lang w:eastAsia="zh-CN"/>
              </w:rPr>
            </w:pPr>
            <w:r>
              <w:rPr>
                <w:rFonts w:hint="eastAsia"/>
                <w:color w:val="auto"/>
                <w:sz w:val="18"/>
                <w:highlight w:val="none"/>
                <w:u w:val="none"/>
                <w:lang w:eastAsia="zh-CN"/>
              </w:rPr>
              <w:t xml:space="preserve">服务内容</w:t>
            </w:r>
            <w:r/>
          </w:p>
        </w:tc>
        <w:tc>
          <w:tcPr>
            <w:tcMar>
              <w:left w:w="15" w:type="dxa"/>
              <w:top w:w="15" w:type="dxa"/>
              <w:right w:w="15" w:type="dxa"/>
              <w:bottom w:w="0" w:type="dxa"/>
            </w:tcMar>
            <w:tcW w:w="1155" w:type="dxa"/>
            <w:vAlign w:val="center"/>
            <w:textDirection w:val="lrTb"/>
            <w:noWrap w:val="false"/>
          </w:tcPr>
          <w:p>
            <w:pPr>
              <w:jc w:val="center"/>
              <w:spacing w:before="5"/>
              <w:rPr>
                <w:rFonts w:hint="eastAsia" w:eastAsia="宋体"/>
                <w:color w:val="auto"/>
                <w:sz w:val="18"/>
                <w:highlight w:val="none"/>
                <w:u w:val="none"/>
                <w:lang w:eastAsia="zh-CN"/>
              </w:rPr>
            </w:pPr>
            <w:r>
              <w:rPr>
                <w:rFonts w:hint="eastAsia"/>
                <w:color w:val="auto"/>
                <w:sz w:val="18"/>
                <w:highlight w:val="none"/>
                <w:u w:val="none"/>
                <w:lang w:eastAsia="zh-CN"/>
              </w:rPr>
              <w:t xml:space="preserve">数量</w:t>
            </w:r>
            <w:r/>
          </w:p>
        </w:tc>
        <w:tc>
          <w:tcPr>
            <w:tcW w:w="1123" w:type="dxa"/>
            <w:vAlign w:val="center"/>
            <w:textDirection w:val="lrTb"/>
            <w:noWrap w:val="false"/>
          </w:tcPr>
          <w:p>
            <w:pPr>
              <w:jc w:val="center"/>
              <w:spacing w:before="5"/>
              <w:rPr>
                <w:rFonts w:hint="eastAsia" w:eastAsia="宋体"/>
                <w:color w:val="auto"/>
                <w:sz w:val="18"/>
                <w:highlight w:val="none"/>
                <w:u w:val="none"/>
                <w:lang w:eastAsia="zh-CN"/>
              </w:rPr>
            </w:pPr>
            <w:r>
              <w:rPr>
                <w:rFonts w:hint="eastAsia"/>
                <w:color w:val="auto"/>
                <w:sz w:val="18"/>
                <w:highlight w:val="none"/>
                <w:u w:val="none"/>
                <w:lang w:eastAsia="zh-CN"/>
              </w:rPr>
              <w:t xml:space="preserve">单位</w:t>
            </w:r>
            <w:r/>
          </w:p>
        </w:tc>
        <w:tc>
          <w:tcPr>
            <w:tcMar>
              <w:left w:w="15" w:type="dxa"/>
              <w:top w:w="15" w:type="dxa"/>
              <w:right w:w="15" w:type="dxa"/>
              <w:bottom w:w="0" w:type="dxa"/>
            </w:tcMar>
            <w:tcW w:w="1099" w:type="dxa"/>
            <w:vAlign w:val="center"/>
            <w:textDirection w:val="lrTb"/>
            <w:noWrap w:val="false"/>
          </w:tcPr>
          <w:p>
            <w:pPr>
              <w:jc w:val="center"/>
              <w:spacing w:before="5"/>
              <w:rPr>
                <w:rFonts w:hint="eastAsia" w:eastAsia="宋体"/>
                <w:color w:val="auto"/>
                <w:sz w:val="18"/>
                <w:highlight w:val="none"/>
                <w:u w:val="none"/>
                <w:lang w:eastAsia="zh-CN"/>
              </w:rPr>
            </w:pPr>
            <w:r>
              <w:rPr>
                <w:rFonts w:hint="eastAsia"/>
                <w:color w:val="auto"/>
                <w:sz w:val="18"/>
                <w:highlight w:val="none"/>
                <w:u w:val="none"/>
                <w:lang w:eastAsia="zh-CN"/>
              </w:rPr>
              <w:t xml:space="preserve">单报价</w:t>
            </w:r>
            <w:r/>
          </w:p>
        </w:tc>
        <w:tc>
          <w:tcPr>
            <w:tcW w:w="1138" w:type="dxa"/>
            <w:vAlign w:val="center"/>
            <w:textDirection w:val="lrTb"/>
            <w:noWrap w:val="false"/>
          </w:tcPr>
          <w:p>
            <w:pPr>
              <w:jc w:val="center"/>
              <w:spacing w:before="5"/>
              <w:rPr>
                <w:rFonts w:hint="eastAsia" w:eastAsia="宋体"/>
                <w:color w:val="auto"/>
                <w:sz w:val="18"/>
                <w:highlight w:val="none"/>
                <w:u w:val="none"/>
                <w:lang w:eastAsia="zh-CN"/>
              </w:rPr>
            </w:pPr>
            <w:r>
              <w:rPr>
                <w:rFonts w:hint="eastAsia"/>
                <w:color w:val="auto"/>
                <w:sz w:val="18"/>
                <w:highlight w:val="none"/>
                <w:u w:val="none"/>
                <w:lang w:eastAsia="zh-CN"/>
              </w:rPr>
              <w:t xml:space="preserve">分析总报价</w:t>
            </w:r>
            <w:r/>
          </w:p>
        </w:tc>
      </w:tr>
      <w:tr>
        <w:trPr>
          <w:cantSplit/>
          <w:trHeight w:val="717"/>
        </w:trPr>
        <w:tc>
          <w:tcPr>
            <w:tcMar>
              <w:left w:w="15" w:type="dxa"/>
              <w:top w:w="15" w:type="dxa"/>
              <w:right w:w="15" w:type="dxa"/>
              <w:bottom w:w="0" w:type="dxa"/>
            </w:tcMar>
            <w:tcW w:w="420" w:type="dxa"/>
            <w:vAlign w:val="center"/>
            <w:textDirection w:val="lrTb"/>
            <w:noWrap w:val="false"/>
          </w:tcPr>
          <w:p>
            <w:pPr>
              <w:pStyle w:val="708"/>
              <w:spacing w:before="5"/>
              <w:tabs>
                <w:tab w:val="clear" w:pos="4153" w:leader="none"/>
                <w:tab w:val="clear" w:pos="8306" w:leader="none"/>
              </w:tabs>
              <w:rPr>
                <w:rFonts w:hint="default" w:ascii="宋体"/>
                <w:color w:val="auto"/>
                <w:szCs w:val="20"/>
                <w:highlight w:val="none"/>
                <w:u w:val="none"/>
                <w:lang w:val="en-US" w:eastAsia="zh-CN"/>
              </w:rPr>
              <w:pBdr>
                <w:bottom w:val="none" w:color="auto" w:sz="0" w:space="0"/>
              </w:pBdr>
            </w:pPr>
            <w:r>
              <w:rPr>
                <w:rFonts w:hint="eastAsia" w:ascii="宋体"/>
                <w:color w:val="auto"/>
                <w:szCs w:val="20"/>
                <w:highlight w:val="none"/>
                <w:u w:val="none"/>
                <w:lang w:val="en-US" w:eastAsia="zh-CN"/>
              </w:rPr>
              <w:t xml:space="preserve">1</w:t>
            </w:r>
            <w:r/>
          </w:p>
        </w:tc>
        <w:tc>
          <w:tcPr>
            <w:gridSpan w:val="3"/>
            <w:tcMar>
              <w:left w:w="15" w:type="dxa"/>
              <w:top w:w="15" w:type="dxa"/>
              <w:right w:w="15" w:type="dxa"/>
              <w:bottom w:w="0" w:type="dxa"/>
            </w:tcMar>
            <w:tcW w:w="5040" w:type="dxa"/>
            <w:vAlign w:val="center"/>
            <w:textDirection w:val="lrTb"/>
            <w:noWrap w:val="false"/>
          </w:tcPr>
          <w:p>
            <w:pPr>
              <w:jc w:val="center"/>
              <w:rPr>
                <w:rFonts w:ascii="宋体"/>
                <w:bCs/>
                <w:color w:val="auto"/>
                <w:sz w:val="18"/>
                <w:highlight w:val="none"/>
                <w:u w:val="none"/>
              </w:rPr>
            </w:pPr>
            <w:r>
              <w:rPr>
                <w:rFonts w:ascii="宋体"/>
                <w:bCs/>
                <w:color w:val="auto"/>
                <w:sz w:val="18"/>
                <w:highlight w:val="none"/>
                <w:u w:val="none"/>
              </w:rPr>
            </w:r>
            <w:r/>
          </w:p>
        </w:tc>
        <w:tc>
          <w:tcPr>
            <w:tcMar>
              <w:left w:w="15" w:type="dxa"/>
              <w:top w:w="15" w:type="dxa"/>
              <w:right w:w="15" w:type="dxa"/>
              <w:bottom w:w="0" w:type="dxa"/>
            </w:tcMar>
            <w:tcW w:w="1155"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1123"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c>
          <w:tcPr>
            <w:tcMar>
              <w:left w:w="15" w:type="dxa"/>
              <w:top w:w="15" w:type="dxa"/>
              <w:right w:w="15" w:type="dxa"/>
              <w:bottom w:w="0" w:type="dxa"/>
            </w:tcMar>
            <w:tcW w:w="1099"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1138"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r>
      <w:tr>
        <w:trPr>
          <w:cantSplit/>
          <w:trHeight w:val="898"/>
        </w:trPr>
        <w:tc>
          <w:tcPr>
            <w:tcMar>
              <w:left w:w="15" w:type="dxa"/>
              <w:top w:w="15" w:type="dxa"/>
              <w:right w:w="15" w:type="dxa"/>
              <w:bottom w:w="0" w:type="dxa"/>
            </w:tcMar>
            <w:tcW w:w="420" w:type="dxa"/>
            <w:vAlign w:val="center"/>
            <w:textDirection w:val="lrTb"/>
            <w:noWrap w:val="false"/>
          </w:tcPr>
          <w:p>
            <w:pPr>
              <w:jc w:val="center"/>
              <w:rPr>
                <w:rFonts w:hint="eastAsia" w:ascii="宋体" w:eastAsia="宋体"/>
                <w:color w:val="auto"/>
                <w:sz w:val="18"/>
                <w:highlight w:val="none"/>
                <w:u w:val="none"/>
                <w:lang w:val="en-US" w:eastAsia="zh-CN"/>
              </w:rPr>
            </w:pPr>
            <w:r>
              <w:rPr>
                <w:rFonts w:hint="eastAsia" w:ascii="宋体"/>
                <w:color w:val="auto"/>
                <w:sz w:val="18"/>
                <w:highlight w:val="none"/>
                <w:u w:val="none"/>
                <w:lang w:val="en-US" w:eastAsia="zh-CN"/>
              </w:rPr>
              <w:t xml:space="preserve">2</w:t>
            </w:r>
            <w:r/>
          </w:p>
        </w:tc>
        <w:tc>
          <w:tcPr>
            <w:gridSpan w:val="3"/>
            <w:tcMar>
              <w:left w:w="15" w:type="dxa"/>
              <w:top w:w="15" w:type="dxa"/>
              <w:right w:w="15" w:type="dxa"/>
              <w:bottom w:w="0" w:type="dxa"/>
            </w:tcMar>
            <w:tcW w:w="5040" w:type="dxa"/>
            <w:vAlign w:val="center"/>
            <w:textDirection w:val="lrTb"/>
            <w:noWrap w:val="false"/>
          </w:tcPr>
          <w:p>
            <w:pPr>
              <w:jc w:val="center"/>
              <w:rPr>
                <w:rFonts w:ascii="宋体"/>
                <w:bCs/>
                <w:color w:val="auto"/>
                <w:sz w:val="18"/>
                <w:highlight w:val="none"/>
                <w:u w:val="none"/>
              </w:rPr>
            </w:pPr>
            <w:r>
              <w:rPr>
                <w:rFonts w:ascii="宋体"/>
                <w:bCs/>
                <w:color w:val="auto"/>
                <w:sz w:val="18"/>
                <w:highlight w:val="none"/>
                <w:u w:val="none"/>
              </w:rPr>
            </w:r>
            <w:r/>
          </w:p>
        </w:tc>
        <w:tc>
          <w:tcPr>
            <w:tcMar>
              <w:left w:w="15" w:type="dxa"/>
              <w:top w:w="15" w:type="dxa"/>
              <w:right w:w="15" w:type="dxa"/>
              <w:bottom w:w="0" w:type="dxa"/>
            </w:tcMar>
            <w:tcW w:w="1155"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1123"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c>
          <w:tcPr>
            <w:tcMar>
              <w:left w:w="15" w:type="dxa"/>
              <w:top w:w="15" w:type="dxa"/>
              <w:right w:w="15" w:type="dxa"/>
              <w:bottom w:w="0" w:type="dxa"/>
            </w:tcMar>
            <w:tcW w:w="1099"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1138"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r>
      <w:tr>
        <w:trPr>
          <w:cantSplit/>
          <w:trHeight w:val="612"/>
        </w:trPr>
        <w:tc>
          <w:tcPr>
            <w:gridSpan w:val="3"/>
            <w:tcMar>
              <w:left w:w="15" w:type="dxa"/>
              <w:top w:w="15" w:type="dxa"/>
              <w:right w:w="15" w:type="dxa"/>
              <w:bottom w:w="0" w:type="dxa"/>
            </w:tcMar>
            <w:tcW w:w="2415" w:type="dxa"/>
            <w:vAlign w:val="center"/>
            <w:textDirection w:val="lrTb"/>
            <w:noWrap w:val="false"/>
          </w:tcPr>
          <w:p>
            <w:pPr>
              <w:pStyle w:val="708"/>
              <w:tabs>
                <w:tab w:val="clear" w:pos="4153" w:leader="none"/>
                <w:tab w:val="clear" w:pos="8306" w:leader="none"/>
              </w:tabs>
              <w:rPr>
                <w:rFonts w:ascii="宋体"/>
                <w:b/>
                <w:bCs/>
                <w:color w:val="auto"/>
                <w:sz w:val="24"/>
                <w:szCs w:val="20"/>
                <w:highlight w:val="none"/>
                <w:u w:val="none"/>
                <w:lang w:val="en-US" w:eastAsia="zh-CN"/>
              </w:rPr>
              <w:pBdr>
                <w:bottom w:val="none" w:color="auto" w:sz="0" w:space="0"/>
              </w:pBdr>
            </w:pPr>
            <w:r>
              <w:rPr>
                <w:rFonts w:hint="eastAsia" w:ascii="宋体"/>
                <w:b/>
                <w:bCs/>
                <w:color w:val="auto"/>
                <w:sz w:val="24"/>
                <w:szCs w:val="20"/>
                <w:highlight w:val="none"/>
                <w:u w:val="none"/>
                <w:lang w:val="en-US" w:eastAsia="zh-CN"/>
              </w:rPr>
              <w:t xml:space="preserve">合计报价</w:t>
            </w:r>
            <w:r/>
          </w:p>
        </w:tc>
        <w:tc>
          <w:tcPr>
            <w:gridSpan w:val="5"/>
            <w:tcMar>
              <w:left w:w="15" w:type="dxa"/>
              <w:top w:w="15" w:type="dxa"/>
              <w:right w:w="15" w:type="dxa"/>
              <w:bottom w:w="0" w:type="dxa"/>
            </w:tcMar>
            <w:tcW w:w="7560"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r>
      <w:tr>
        <w:trPr>
          <w:cantSplit/>
          <w:trHeight w:val="612"/>
        </w:trPr>
        <w:tc>
          <w:tcPr>
            <w:gridSpan w:val="3"/>
            <w:shd w:val="clear" w:color="auto" w:fill="auto"/>
            <w:tcMar>
              <w:left w:w="15" w:type="dxa"/>
              <w:top w:w="15" w:type="dxa"/>
              <w:right w:w="15" w:type="dxa"/>
              <w:bottom w:w="0" w:type="dxa"/>
            </w:tcMar>
            <w:tcW w:w="2415" w:type="dxa"/>
            <w:vAlign w:val="center"/>
            <w:textDirection w:val="lrTb"/>
            <w:noWrap w:val="false"/>
          </w:tcPr>
          <w:p>
            <w:pPr>
              <w:pStyle w:val="708"/>
              <w:tabs>
                <w:tab w:val="clear" w:pos="4153" w:leader="none"/>
                <w:tab w:val="clear" w:pos="8306" w:leader="none"/>
              </w:tabs>
              <w:rPr>
                <w:rFonts w:hint="eastAsia" w:ascii="宋体" w:hAnsi="Times New Roman" w:eastAsia="宋体" w:cs="Times New Roman"/>
                <w:b/>
                <w:bCs/>
                <w:color w:val="auto"/>
                <w:sz w:val="24"/>
                <w:szCs w:val="20"/>
                <w:highlight w:val="none"/>
                <w:u w:val="none"/>
                <w:lang w:val="en-US" w:eastAsia="zh-CN" w:bidi="ar-SA"/>
              </w:rPr>
              <w:pBdr>
                <w:bottom w:val="none" w:color="auto" w:sz="0" w:space="0"/>
              </w:pBdr>
            </w:pPr>
            <w:r>
              <w:rPr>
                <w:rFonts w:hint="eastAsia" w:ascii="宋体"/>
                <w:b/>
                <w:bCs/>
                <w:color w:val="auto"/>
                <w:sz w:val="24"/>
                <w:szCs w:val="20"/>
                <w:highlight w:val="none"/>
                <w:u w:val="none"/>
                <w:lang w:val="en-US" w:eastAsia="zh-CN"/>
              </w:rPr>
              <w:t xml:space="preserve">服务期限</w:t>
            </w:r>
            <w:r/>
          </w:p>
        </w:tc>
        <w:tc>
          <w:tcPr>
            <w:gridSpan w:val="5"/>
            <w:shd w:val="clear" w:color="auto" w:fill="auto"/>
            <w:tcMar>
              <w:left w:w="15" w:type="dxa"/>
              <w:top w:w="15" w:type="dxa"/>
              <w:right w:w="15" w:type="dxa"/>
              <w:bottom w:w="0" w:type="dxa"/>
            </w:tcMar>
            <w:tcW w:w="7560" w:type="dxa"/>
            <w:vAlign w:val="center"/>
            <w:textDirection w:val="lrTb"/>
            <w:noWrap w:val="false"/>
          </w:tcPr>
          <w:p>
            <w:pPr>
              <w:jc w:val="center"/>
              <w:rPr>
                <w:rFonts w:hint="eastAsia" w:ascii="黑体" w:hAnsi="宋体" w:eastAsia="黑体" w:cs="Times New Roman"/>
                <w:b/>
                <w:bCs/>
                <w:color w:val="auto"/>
                <w:sz w:val="24"/>
                <w:szCs w:val="24"/>
                <w:highlight w:val="none"/>
                <w:u w:val="none"/>
                <w:lang w:val="en-US" w:eastAsia="zh-CN" w:bidi="ar-SA"/>
              </w:rPr>
            </w:pPr>
            <w:r>
              <w:rPr>
                <w:rFonts w:hint="eastAsia" w:hAnsi="宋体"/>
                <w:color w:val="auto"/>
                <w:sz w:val="24"/>
                <w:szCs w:val="24"/>
              </w:rPr>
              <w:t xml:space="preserve">服务期限一年，自合同签订日期算起</w:t>
            </w:r>
            <w:r/>
          </w:p>
        </w:tc>
      </w:tr>
      <w:tr>
        <w:trPr>
          <w:cantSplit/>
          <w:trHeight w:val="924"/>
        </w:trPr>
        <w:tc>
          <w:tcPr>
            <w:gridSpan w:val="2"/>
            <w:tcW w:w="630" w:type="dxa"/>
            <w:vAlign w:val="center"/>
            <w:vMerge w:val="restart"/>
            <w:textDirection w:val="lrTb"/>
            <w:noWrap w:val="false"/>
          </w:tcPr>
          <w:p>
            <w:pPr>
              <w:pStyle w:val="719"/>
              <w:ind w:firstLine="120"/>
              <w:spacing w:line="400" w:lineRule="exact"/>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服</w:t>
            </w:r>
            <w:r/>
          </w:p>
          <w:p>
            <w:pPr>
              <w:pStyle w:val="719"/>
              <w:ind w:firstLine="120"/>
              <w:spacing w:line="400" w:lineRule="exact"/>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务</w:t>
            </w:r>
            <w:r/>
          </w:p>
          <w:p>
            <w:pPr>
              <w:pStyle w:val="719"/>
              <w:ind w:firstLine="120"/>
              <w:spacing w:line="400" w:lineRule="exact"/>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承</w:t>
            </w:r>
            <w:r/>
          </w:p>
          <w:p>
            <w:pPr>
              <w:pStyle w:val="719"/>
              <w:ind w:firstLine="120"/>
              <w:spacing w:line="400" w:lineRule="exact"/>
              <w:rPr>
                <w:rFonts w:ascii="宋体"/>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诺</w:t>
            </w:r>
            <w:r/>
          </w:p>
        </w:tc>
        <w:tc>
          <w:tcPr>
            <w:gridSpan w:val="6"/>
            <w:tcW w:w="9345" w:type="dxa"/>
            <w:vAlign w:val="center"/>
            <w:textDirection w:val="lrTb"/>
            <w:noWrap w:val="false"/>
          </w:tcPr>
          <w:p>
            <w:pPr>
              <w:numPr>
                <w:ilvl w:val="0"/>
                <w:numId w:val="12"/>
              </w:numPr>
              <w:rPr>
                <w:rFonts w:ascii="宋体"/>
                <w:bCs/>
                <w:color w:val="auto"/>
                <w:sz w:val="24"/>
                <w:szCs w:val="24"/>
                <w:highlight w:val="none"/>
                <w:u w:val="none"/>
              </w:rPr>
            </w:pPr>
            <w:r>
              <w:rPr>
                <w:rFonts w:hint="eastAsia" w:ascii="宋体" w:hAnsi="宋体"/>
                <w:bCs/>
                <w:color w:val="auto"/>
                <w:sz w:val="24"/>
                <w:szCs w:val="24"/>
                <w:highlight w:val="none"/>
                <w:u w:val="none"/>
              </w:rPr>
              <w:t xml:space="preserve">质量</w:t>
            </w:r>
            <w:r>
              <w:rPr>
                <w:rFonts w:ascii="宋体" w:hAnsi="宋体"/>
                <w:bCs/>
                <w:color w:val="auto"/>
                <w:sz w:val="24"/>
                <w:szCs w:val="24"/>
                <w:highlight w:val="none"/>
                <w:u w:val="none"/>
              </w:rPr>
              <w:t xml:space="preserve"> 2.</w:t>
            </w:r>
            <w:r>
              <w:rPr>
                <w:rFonts w:hint="eastAsia" w:ascii="宋体" w:hAnsi="宋体"/>
                <w:bCs/>
                <w:color w:val="auto"/>
                <w:sz w:val="24"/>
                <w:szCs w:val="24"/>
                <w:highlight w:val="none"/>
                <w:u w:val="none"/>
              </w:rPr>
              <w:t xml:space="preserve">安装</w:t>
            </w:r>
            <w:r>
              <w:rPr>
                <w:rFonts w:ascii="宋体" w:hAnsi="宋体"/>
                <w:bCs/>
                <w:color w:val="auto"/>
                <w:sz w:val="24"/>
                <w:szCs w:val="24"/>
                <w:highlight w:val="none"/>
                <w:u w:val="none"/>
              </w:rPr>
              <w:t xml:space="preserve"> 3."</w:t>
            </w:r>
            <w:r>
              <w:rPr>
                <w:rFonts w:hint="eastAsia" w:ascii="宋体" w:hAnsi="宋体"/>
                <w:bCs/>
                <w:color w:val="auto"/>
                <w:sz w:val="24"/>
                <w:szCs w:val="24"/>
                <w:highlight w:val="none"/>
                <w:u w:val="none"/>
              </w:rPr>
              <w:t xml:space="preserve">三包</w:t>
            </w:r>
            <w:r>
              <w:rPr>
                <w:rFonts w:ascii="宋体" w:hAnsi="宋体"/>
                <w:bCs/>
                <w:color w:val="auto"/>
                <w:sz w:val="24"/>
                <w:szCs w:val="24"/>
                <w:highlight w:val="none"/>
                <w:u w:val="none"/>
              </w:rPr>
              <w:t xml:space="preserve">"(</w:t>
            </w:r>
            <w:r>
              <w:rPr>
                <w:rFonts w:hint="eastAsia" w:ascii="宋体" w:hAnsi="宋体"/>
                <w:bCs/>
                <w:color w:val="auto"/>
                <w:sz w:val="24"/>
                <w:szCs w:val="24"/>
                <w:highlight w:val="none"/>
                <w:u w:val="none"/>
              </w:rPr>
              <w:t xml:space="preserve">包修、包退、包换</w:t>
            </w:r>
            <w:r>
              <w:rPr>
                <w:rFonts w:ascii="宋体" w:hAnsi="宋体"/>
                <w:bCs/>
                <w:color w:val="auto"/>
                <w:sz w:val="24"/>
                <w:szCs w:val="24"/>
                <w:highlight w:val="none"/>
                <w:u w:val="none"/>
              </w:rPr>
              <w:t xml:space="preserve">)4</w:t>
            </w:r>
            <w:r>
              <w:rPr>
                <w:rFonts w:ascii="宋体"/>
                <w:bCs/>
                <w:color w:val="auto"/>
                <w:sz w:val="24"/>
                <w:szCs w:val="24"/>
                <w:highlight w:val="none"/>
                <w:u w:val="none"/>
              </w:rPr>
              <w:t xml:space="preserve">.</w:t>
            </w:r>
            <w:r>
              <w:rPr>
                <w:rFonts w:hint="eastAsia" w:ascii="宋体" w:hAnsi="宋体"/>
                <w:bCs/>
                <w:color w:val="auto"/>
                <w:sz w:val="24"/>
                <w:szCs w:val="24"/>
                <w:highlight w:val="none"/>
                <w:u w:val="none"/>
              </w:rPr>
              <w:t xml:space="preserve">其他承诺</w:t>
            </w:r>
            <w:r/>
          </w:p>
          <w:p>
            <w:pPr>
              <w:rPr>
                <w:rFonts w:ascii="宋体"/>
                <w:bCs/>
                <w:color w:val="auto"/>
                <w:sz w:val="24"/>
                <w:szCs w:val="24"/>
                <w:highlight w:val="none"/>
                <w:u w:val="none"/>
              </w:rPr>
            </w:pPr>
            <w:r>
              <w:rPr>
                <w:rFonts w:hint="eastAsia" w:ascii="宋体" w:hAnsi="宋体"/>
                <w:bCs/>
                <w:color w:val="auto"/>
                <w:sz w:val="24"/>
                <w:szCs w:val="24"/>
                <w:highlight w:val="none"/>
                <w:u w:val="none"/>
              </w:rPr>
              <w:t xml:space="preserve">（以上是主要承诺，供投标人参考，投标人应在满足招标文件要求的基础上，根据自己单位的情况作出具体承诺）</w:t>
            </w:r>
            <w:r/>
          </w:p>
        </w:tc>
      </w:tr>
      <w:tr>
        <w:trPr>
          <w:cantSplit/>
          <w:trHeight w:val="2310"/>
        </w:trPr>
        <w:tc>
          <w:tcPr>
            <w:gridSpan w:val="2"/>
            <w:tcW w:w="630" w:type="dxa"/>
            <w:vAlign w:val="center"/>
            <w:vMerge w:val="continue"/>
            <w:textDirection w:val="lrTb"/>
            <w:noWrap w:val="false"/>
          </w:tcPr>
          <w:p>
            <w:pPr>
              <w:pStyle w:val="719"/>
              <w:spacing w:line="400" w:lineRule="exact"/>
              <w:rPr>
                <w:rFonts w:ascii="宋体"/>
                <w:bCs/>
                <w:color w:val="auto"/>
                <w:sz w:val="24"/>
                <w:szCs w:val="24"/>
                <w:highlight w:val="none"/>
                <w:u w:val="none"/>
                <w:lang w:val="en-US" w:eastAsia="zh-CN"/>
              </w:rPr>
            </w:pPr>
            <w:r>
              <w:rPr>
                <w:rFonts w:ascii="宋体"/>
                <w:bCs/>
                <w:color w:val="auto"/>
                <w:sz w:val="24"/>
                <w:szCs w:val="24"/>
                <w:highlight w:val="none"/>
                <w:u w:val="none"/>
                <w:lang w:val="en-US" w:eastAsia="zh-CN"/>
              </w:rPr>
            </w:r>
            <w:r/>
          </w:p>
        </w:tc>
        <w:tc>
          <w:tcPr>
            <w:gridSpan w:val="6"/>
            <w:tcW w:w="9345" w:type="dxa"/>
            <w:vAlign w:val="center"/>
            <w:textDirection w:val="lrTb"/>
            <w:noWrap w:val="false"/>
          </w:tcPr>
          <w:p>
            <w:pPr>
              <w:rPr>
                <w:rFonts w:ascii="宋体"/>
                <w:bCs/>
                <w:color w:val="auto"/>
                <w:sz w:val="24"/>
                <w:szCs w:val="24"/>
                <w:highlight w:val="none"/>
                <w:u w:val="none"/>
              </w:rPr>
            </w:pPr>
            <w:r>
              <w:rPr>
                <w:rFonts w:ascii="宋体"/>
                <w:bCs/>
                <w:color w:val="auto"/>
                <w:sz w:val="24"/>
                <w:szCs w:val="24"/>
                <w:highlight w:val="none"/>
                <w:u w:val="none"/>
              </w:rPr>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exact"/>
        <w:rPr>
          <w:rFonts w:hint="eastAsia" w:ascii="宋体" w:hAnsi="宋体"/>
          <w:b/>
          <w:color w:val="auto"/>
          <w:sz w:val="24"/>
          <w:szCs w:val="24"/>
          <w:highlight w:val="none"/>
          <w:u w:val="none"/>
        </w:rPr>
        <w:outlineLvl w:val="0"/>
      </w:pPr>
      <w:r>
        <w:rPr>
          <w:rFonts w:hint="eastAsia" w:ascii="宋体" w:hAnsi="宋体"/>
          <w:b/>
          <w:color w:val="auto"/>
          <w:sz w:val="24"/>
          <w:szCs w:val="24"/>
          <w:highlight w:val="none"/>
          <w:u w:val="none"/>
        </w:rPr>
      </w:r>
      <w:r/>
    </w:p>
    <w:p>
      <w:pPr>
        <w:spacing w:line="360" w:lineRule="exact"/>
        <w:rPr>
          <w:rFonts w:hint="eastAsia" w:ascii="宋体" w:hAnsi="宋体" w:eastAsia="宋体"/>
          <w:bCs/>
          <w:color w:val="auto"/>
          <w:sz w:val="24"/>
          <w:szCs w:val="24"/>
          <w:highlight w:val="none"/>
          <w:u w:val="none"/>
          <w:lang w:eastAsia="zh-CN"/>
        </w:rPr>
        <w:outlineLvl w:val="0"/>
      </w:pPr>
      <w:r>
        <w:rPr>
          <w:rFonts w:hint="eastAsia" w:ascii="宋体" w:hAnsi="宋体"/>
          <w:b/>
          <w:color w:val="auto"/>
          <w:sz w:val="24"/>
          <w:szCs w:val="24"/>
          <w:highlight w:val="none"/>
          <w:u w:val="none"/>
        </w:rPr>
        <w:t xml:space="preserve">注：</w:t>
      </w:r>
      <w:r>
        <w:rPr>
          <w:rFonts w:hint="eastAsia" w:ascii="宋体" w:hAnsi="宋体"/>
          <w:bCs/>
          <w:color w:val="auto"/>
          <w:sz w:val="24"/>
          <w:szCs w:val="24"/>
          <w:highlight w:val="none"/>
          <w:u w:val="none"/>
        </w:rPr>
        <w:t xml:space="preserve">（</w:t>
      </w:r>
      <w:r>
        <w:rPr>
          <w:rFonts w:hint="eastAsia" w:ascii="宋体" w:hAnsi="宋体"/>
          <w:bCs/>
          <w:color w:val="auto"/>
          <w:sz w:val="24"/>
          <w:szCs w:val="24"/>
          <w:highlight w:val="none"/>
          <w:u w:val="none"/>
          <w:lang w:val="en-US" w:eastAsia="zh-CN"/>
        </w:rPr>
        <w:t xml:space="preserve">1</w:t>
      </w:r>
      <w:r>
        <w:rPr>
          <w:rFonts w:hint="eastAsia" w:ascii="宋体" w:hAnsi="宋体"/>
          <w:bCs/>
          <w:color w:val="auto"/>
          <w:sz w:val="24"/>
          <w:szCs w:val="24"/>
          <w:highlight w:val="none"/>
          <w:u w:val="none"/>
        </w:rPr>
        <w:t xml:space="preserve">）投标人应当根据“项目技术要求”的内容在上表中详细填写；</w:t>
      </w:r>
      <w:r>
        <w:rPr>
          <w:rFonts w:hint="eastAsia" w:ascii="宋体" w:hAnsi="宋体"/>
          <w:bCs/>
          <w:color w:val="auto"/>
          <w:sz w:val="24"/>
          <w:szCs w:val="24"/>
          <w:highlight w:val="none"/>
          <w:u w:val="none"/>
          <w:lang w:eastAsia="zh-CN"/>
        </w:rPr>
        <w:t xml:space="preserve">不得遗漏，否则为无效投标文件。</w:t>
      </w:r>
      <w:r/>
    </w:p>
    <w:p>
      <w:pPr>
        <w:ind w:firstLine="315"/>
        <w:spacing w:line="360" w:lineRule="exact"/>
        <w:rPr>
          <w:rFonts w:ascii="宋体" w:hAnsi="宋体"/>
          <w:bCs/>
          <w:color w:val="auto"/>
          <w:sz w:val="24"/>
          <w:szCs w:val="24"/>
          <w:highlight w:val="none"/>
          <w:u w:val="none"/>
        </w:rPr>
        <w:outlineLvl w:val="0"/>
      </w:pPr>
      <w:r>
        <w:rPr>
          <w:rFonts w:hint="eastAsia" w:ascii="宋体" w:hAnsi="宋体"/>
          <w:bCs/>
          <w:color w:val="auto"/>
          <w:sz w:val="24"/>
          <w:szCs w:val="24"/>
          <w:highlight w:val="none"/>
          <w:u w:val="none"/>
        </w:rPr>
        <w:t xml:space="preserve">（</w:t>
      </w:r>
      <w:r>
        <w:rPr>
          <w:rFonts w:hint="eastAsia" w:ascii="宋体" w:hAnsi="宋体"/>
          <w:bCs/>
          <w:color w:val="auto"/>
          <w:sz w:val="24"/>
          <w:szCs w:val="24"/>
          <w:highlight w:val="none"/>
          <w:u w:val="none"/>
          <w:lang w:val="en-US" w:eastAsia="zh-CN"/>
        </w:rPr>
        <w:t xml:space="preserve">2</w:t>
      </w:r>
      <w:r>
        <w:rPr>
          <w:rFonts w:hint="eastAsia" w:ascii="宋体" w:hAnsi="宋体"/>
          <w:bCs/>
          <w:color w:val="auto"/>
          <w:sz w:val="24"/>
          <w:szCs w:val="24"/>
          <w:highlight w:val="none"/>
          <w:u w:val="none"/>
        </w:rPr>
        <w:t xml:space="preserve">）表格不够可自行延长。</w:t>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spacing w:line="360" w:lineRule="auto"/>
        <w:rPr>
          <w:rFonts w:hint="eastAsia"/>
          <w:b/>
          <w:color w:val="auto"/>
          <w:sz w:val="30"/>
          <w:szCs w:val="30"/>
          <w:highlight w:val="none"/>
        </w:rPr>
      </w:pP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cs="Times New Roman"/>
          <w:bCs/>
          <w:color w:val="auto"/>
          <w:sz w:val="24"/>
          <w:szCs w:val="24"/>
          <w:highlight w:val="none"/>
          <w:lang w:eastAsia="zh-CN"/>
        </w:rPr>
        <w:t xml:space="preserve">JSZC-320206-JZCG-G2026-0027</w:t>
      </w:r>
      <w:r>
        <w:rPr>
          <w:rFonts w:hint="eastAsia" w:ascii="黑体" w:hAnsi="Times New Roman" w:eastAsia="黑体" w:cs="Times New Roman"/>
          <w:bCs/>
          <w:color w:val="auto"/>
          <w:sz w:val="24"/>
          <w:szCs w:val="24"/>
          <w:highlight w:val="none"/>
          <w:lang w:eastAsia="zh-CN"/>
        </w:rPr>
        <w:t xml:space="preserve"> </w:t>
      </w:r>
      <w:r/>
    </w:p>
    <w:tbl>
      <w:tblPr>
        <w:tblStyle w:val="69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hint="eastAsia" w:ascii="黑体" w:hAnsi="宋体" w:eastAsia="黑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sectPr>
      <w:headerReference w:type="default" r:id="rId9"/>
      <w:footerReference w:type="default" r:id="rId10"/>
      <w:footerReference w:type="even" r:id="rId11"/>
      <w:footnotePr/>
      <w:endnotePr/>
      <w:type w:val="nextPage"/>
      <w:pgSz w:w="11906" w:h="16838" w:orient="portrait"/>
      <w:pgMar w:top="567" w:right="851" w:bottom="567" w:left="1134"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Univers">
    <w:panose1 w:val="020B0503020202020204"/>
  </w:font>
  <w:font w:name="仿宋">
    <w:panose1 w:val="02010609060101010101"/>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Times">
    <w:panose1 w:val="02020603050405020304"/>
  </w:font>
  <w:font w:name="Calibri Light">
    <w:panose1 w:val="020F0302020204030204"/>
  </w:font>
  <w:font w:name="Courier New">
    <w:panose1 w:val="02070309020205020404"/>
  </w:font>
  <w:font w:name="Arial Unicode MS">
    <w:panose1 w:val="020B0604020202020204"/>
  </w:font>
  <w:font w:name="长城仿宋">
    <w:panose1 w:val="020B0503020202020204"/>
  </w:font>
  <w:font w:name="Arial">
    <w:panose1 w:val="020B0604020202020204"/>
  </w:font>
  <w:font w:name="楷体_GB2312">
    <w:panose1 w:val="02010609060101010101"/>
  </w:font>
  <w:font w:name="Cambria">
    <w:panose1 w:val="02040503050406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instrText xml:space="preserve">PAGE   \* MERGEFORMAT</w:instrText>
    </w:r>
    <w:r>
      <w:fldChar w:fldCharType="separate"/>
    </w:r>
    <w:r>
      <w:rPr>
        <w:lang w:val="zh-CN"/>
      </w:rPr>
      <w:t xml:space="preserve">33</w:t>
    </w:r>
    <w:r>
      <w:fldChar w:fldCharType="end"/>
    </w:r>
    <w:r/>
  </w:p>
  <w:p>
    <w:pPr>
      <w:pStyle w:val="707"/>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p>
  <w:p>
    <w:pPr>
      <w:pStyle w:val="707"/>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left"/>
    </w:pPr>
    <w:r>
      <w:rPr>
        <w:rFonts w:hint="eastAsia" w:ascii="方正小标宋_GBK" w:hAnsi="华文中宋" w:eastAsia="方正小标宋_GBK"/>
        <w:bCs/>
        <w:szCs w:val="21"/>
        <w:lang w:eastAsia="zh-CN"/>
      </w:rPr>
      <w:t xml:space="preserve">JSZC-320206-JZCG-G2026-0027</w:t>
    </w:r>
    <w:r>
      <w:rPr>
        <w:rFonts w:hint="eastAsia" w:ascii="方正小标宋_GBK" w:hAnsi="华文中宋" w:eastAsia="方正小标宋_GBK" w:cs="Times New Roman"/>
        <w:bCs/>
        <w:szCs w:val="21"/>
        <w:lang w:val="en-US" w:eastAsia="zh-CN"/>
      </w:rPr>
      <w:t xml:space="preserve">惠山区2026年度社会治安监控系统运维项目（硬件、线路</w:t>
    </w:r>
    <w:r>
      <w:rPr>
        <w:rFonts w:hint="eastAsia" w:ascii="方正小标宋_GBK" w:hAnsi="华文中宋" w:eastAsia="方正小标宋_GBK"/>
        <w:bCs/>
        <w:szCs w:val="21"/>
        <w:lang w:val="en-US" w:eastAsia="zh-CN"/>
      </w:rPr>
      <w:t xml:space="preserve"> ） </w:t>
    </w:r>
    <w:r>
      <w:rPr>
        <w:rFonts w:hint="eastAsia" w:ascii="方正小标宋_GBK" w:hAnsi="华文中宋" w:eastAsia="方正小标宋_GBK"/>
        <w:bCs/>
        <w:szCs w:val="21"/>
      </w:rPr>
      <w:t xml:space="preserve">无锡市惠山区政府采购中心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560" w:hanging="720"/>
        <w:tabs>
          <w:tab w:val="left" w:pos="1560" w:leader="none"/>
        </w:tabs>
      </w:pPr>
      <w:rPr>
        <w:rFonts w:hint="default" w:ascii="Wingdings" w:hAnsi="Wingdings"/>
      </w:rPr>
    </w:lvl>
    <w:lvl w:ilvl="1">
      <w:start w:val="1"/>
      <w:numFmt w:val="lowerLetter"/>
      <w:isLgl w:val="false"/>
      <w:suff w:val="tab"/>
      <w:lvlText w:val="%2)"/>
      <w:lvlJc w:val="left"/>
      <w:pPr>
        <w:ind w:left="1680" w:hanging="420"/>
        <w:tabs>
          <w:tab w:val="left" w:pos="1680" w:leader="none"/>
        </w:tabs>
      </w:pPr>
    </w:lvl>
    <w:lvl w:ilvl="2">
      <w:start w:val="1"/>
      <w:numFmt w:val="lowerRoman"/>
      <w:isLgl w:val="false"/>
      <w:suff w:val="tab"/>
      <w:lvlText w:val="%3."/>
      <w:lvlJc w:val="right"/>
      <w:pPr>
        <w:ind w:left="2100" w:hanging="420"/>
        <w:tabs>
          <w:tab w:val="left" w:pos="2100" w:leader="none"/>
        </w:tabs>
      </w:p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1">
    <w:multiLevelType w:val="hybridMultilevel"/>
    <w:lvl w:ilvl="0">
      <w:start w:val="1"/>
      <w:numFmt w:val="decimal"/>
      <w:isLgl w:val="false"/>
      <w:suff w:val="tab"/>
      <w:lvlText w:val="%1."/>
      <w:lvlJc w:val="left"/>
      <w:pPr>
        <w:ind w:left="840" w:hanging="360"/>
      </w:pPr>
      <w:rPr>
        <w:rFonts w:hint="default"/>
        <w:color w:val="auto"/>
      </w:rPr>
    </w:lvl>
    <w:lvl w:ilvl="1">
      <w:start w:val="1"/>
      <w:numFmt w:val="lowerLetter"/>
      <w:pStyle w:val="1016"/>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65" w:hanging="465"/>
      </w:pPr>
      <w:rPr>
        <w:rFonts w:hint="default"/>
      </w:rPr>
    </w:lvl>
    <w:lvl w:ilvl="1">
      <w:start w:val="1"/>
      <w:numFmt w:val="decimal"/>
      <w:isLgl w:val="false"/>
      <w:suff w:val="tab"/>
      <w:lvlText w:val="%1.%2"/>
      <w:lvlJc w:val="left"/>
      <w:pPr>
        <w:ind w:left="465" w:hanging="46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4">
    <w:multiLevelType w:val="hybridMultilevel"/>
    <w:lvl w:ilvl="0">
      <w:start w:val="1"/>
      <w:numFmt w:val="upperLetter"/>
      <w:pStyle w:val="684"/>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6">
    <w:multiLevelType w:val="hybridMultilevel"/>
    <w:lvl w:ilvl="0">
      <w:start w:val="1"/>
      <w:numFmt w:val="bullet"/>
      <w:isLgl w:val="false"/>
      <w:suff w:val="tab"/>
      <w:lvlText w:val=""/>
      <w:lvlJc w:val="left"/>
      <w:pPr>
        <w:ind w:left="1560" w:hanging="720"/>
        <w:tabs>
          <w:tab w:val="left" w:pos="1560" w:leader="none"/>
        </w:tabs>
      </w:pPr>
      <w:rPr>
        <w:rFonts w:hint="default" w:ascii="Wingdings" w:hAnsi="Wingdings"/>
      </w:rPr>
    </w:lvl>
    <w:lvl w:ilvl="1">
      <w:start w:val="1"/>
      <w:numFmt w:val="lowerLetter"/>
      <w:isLgl w:val="false"/>
      <w:suff w:val="tab"/>
      <w:lvlText w:val="%2)"/>
      <w:lvlJc w:val="left"/>
      <w:pPr>
        <w:ind w:left="1680" w:hanging="420"/>
        <w:tabs>
          <w:tab w:val="left" w:pos="1680" w:leader="none"/>
        </w:tabs>
      </w:pPr>
    </w:lvl>
    <w:lvl w:ilvl="2">
      <w:start w:val="1"/>
      <w:numFmt w:val="lowerRoman"/>
      <w:isLgl w:val="false"/>
      <w:suff w:val="tab"/>
      <w:lvlText w:val="%3."/>
      <w:lvlJc w:val="right"/>
      <w:pPr>
        <w:ind w:left="2100" w:hanging="420"/>
        <w:tabs>
          <w:tab w:val="left" w:pos="2100" w:leader="none"/>
        </w:tabs>
      </w:p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7">
    <w:multiLevelType w:val="hybridMultilevel"/>
    <w:lvl w:ilvl="0">
      <w:start w:val="1"/>
      <w:numFmt w:val="bullet"/>
      <w:isLgl w:val="false"/>
      <w:suff w:val="tab"/>
      <w:lvlText w:val=""/>
      <w:lvlJc w:val="left"/>
      <w:pPr>
        <w:ind w:left="1560" w:hanging="720"/>
        <w:tabs>
          <w:tab w:val="left" w:pos="1560" w:leader="none"/>
        </w:tabs>
      </w:pPr>
      <w:rPr>
        <w:rFonts w:hint="default" w:ascii="Wingdings" w:hAnsi="Wingdings"/>
      </w:rPr>
    </w:lvl>
    <w:lvl w:ilvl="1">
      <w:start w:val="1"/>
      <w:numFmt w:val="lowerLetter"/>
      <w:isLgl w:val="false"/>
      <w:suff w:val="tab"/>
      <w:lvlText w:val="%2)"/>
      <w:lvlJc w:val="left"/>
      <w:pPr>
        <w:ind w:left="1680" w:hanging="420"/>
        <w:tabs>
          <w:tab w:val="left" w:pos="1680" w:leader="none"/>
        </w:tabs>
      </w:pPr>
    </w:lvl>
    <w:lvl w:ilvl="2">
      <w:start w:val="1"/>
      <w:numFmt w:val="lowerRoman"/>
      <w:isLgl w:val="false"/>
      <w:suff w:val="tab"/>
      <w:lvlText w:val="%3."/>
      <w:lvlJc w:val="right"/>
      <w:pPr>
        <w:ind w:left="2100" w:hanging="420"/>
        <w:tabs>
          <w:tab w:val="left" w:pos="2100" w:leader="none"/>
        </w:tabs>
      </w:p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8">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3"/>
    <w:lvlOverride w:ilvl="0">
      <w:lvl w:ilvl="0">
        <w:start w:val="1"/>
        <w:numFmt w:val="decimal"/>
        <w:pStyle w:val="983"/>
        <w:isLgl w:val="false"/>
        <w:suff w:val="tab"/>
        <w:lvlText w:val="第%1章"/>
        <w:lvlJc w:val="left"/>
        <w:pPr>
          <w:ind w:left="465" w:hanging="465"/>
        </w:pPr>
        <w:rPr>
          <w:rFonts w:hint="default"/>
        </w:rPr>
      </w:lvl>
    </w:lvlOverride>
    <w:lvlOverride w:ilvl="1">
      <w:lvl w:ilvl="1">
        <w:start w:val="1"/>
        <w:numFmt w:val="decimal"/>
        <w:pStyle w:val="945"/>
        <w:isLgl w:val="false"/>
        <w:suff w:val="tab"/>
        <w:lvlText w:val="%1.%2"/>
        <w:lvlJc w:val="left"/>
        <w:pPr>
          <w:ind w:left="465" w:hanging="465"/>
        </w:pPr>
        <w:rPr>
          <w:rFonts w:hint="default"/>
        </w:rPr>
      </w:lvl>
    </w:lvlOverride>
    <w:lvlOverride w:ilvl="2">
      <w:lvl w:ilvl="2">
        <w:start w:val="1"/>
        <w:numFmt w:val="decimal"/>
        <w:pStyle w:val="984"/>
        <w:isLgl w:val="false"/>
        <w:suff w:val="tab"/>
        <w:lvlText w:val="%1.%2.%3"/>
        <w:lvlJc w:val="left"/>
        <w:pPr>
          <w:ind w:left="720" w:hanging="720"/>
        </w:pPr>
        <w:rPr>
          <w:rFonts w:hint="default"/>
        </w:rPr>
      </w:lvl>
    </w:lvlOverride>
    <w:lvlOverride w:ilvl="3">
      <w:lvl w:ilvl="3">
        <w:start w:val="1"/>
        <w:numFmt w:val="decimal"/>
        <w:pStyle w:val="947"/>
        <w:isLgl w:val="false"/>
        <w:suff w:val="tab"/>
        <w:lvlText w:val="%1.%2.%3.%4"/>
        <w:lvlJc w:val="left"/>
        <w:pPr>
          <w:ind w:left="720" w:hanging="720"/>
        </w:pPr>
        <w:rPr>
          <w:rFonts w:hint="default"/>
        </w:rPr>
      </w:lvl>
    </w:lvlOverride>
    <w:lvlOverride w:ilvl="4">
      <w:lvl w:ilvl="4">
        <w:start w:val="1"/>
        <w:numFmt w:val="decimal"/>
        <w:isLgl w:val="false"/>
        <w:suff w:val="tab"/>
        <w:lvlText w:val="%1.%2.%3.%4.%5"/>
        <w:lvlJc w:val="left"/>
        <w:pPr>
          <w:ind w:left="1080" w:hanging="1080"/>
        </w:pPr>
        <w:rPr>
          <w:rFonts w:hint="default"/>
        </w:rPr>
      </w:lvl>
    </w:lvlOverride>
    <w:lvlOverride w:ilvl="5">
      <w:lvl w:ilvl="5">
        <w:start w:val="1"/>
        <w:numFmt w:val="decimal"/>
        <w:isLgl w:val="false"/>
        <w:suff w:val="tab"/>
        <w:lvlText w:val="%1.%2.%3.%4.%5.%6"/>
        <w:lvlJc w:val="left"/>
        <w:pPr>
          <w:ind w:left="1080" w:hanging="1080"/>
        </w:pPr>
        <w:rPr>
          <w:rFonts w:hint="default"/>
        </w:rPr>
      </w:lvl>
    </w:lvlOverride>
    <w:lvlOverride w:ilvl="6">
      <w:lvl w:ilvl="6">
        <w:start w:val="1"/>
        <w:numFmt w:val="decimal"/>
        <w:isLgl w:val="false"/>
        <w:suff w:val="tab"/>
        <w:lvlText w:val="%1.%2.%3.%4.%5.%6.%7"/>
        <w:lvlJc w:val="left"/>
        <w:pPr>
          <w:ind w:left="1080" w:hanging="1080"/>
        </w:pPr>
        <w:rPr>
          <w:rFonts w:hint="default"/>
        </w:rPr>
      </w:lvl>
    </w:lvlOverride>
    <w:lvlOverride w:ilvl="7">
      <w:lvl w:ilvl="7">
        <w:start w:val="1"/>
        <w:numFmt w:val="decimal"/>
        <w:isLgl w:val="false"/>
        <w:suff w:val="tab"/>
        <w:lvlText w:val="%1.%2.%3.%4.%5.%6.%7.%8"/>
        <w:lvlJc w:val="left"/>
        <w:pPr>
          <w:ind w:left="1440" w:hanging="1440"/>
        </w:pPr>
        <w:rPr>
          <w:rFonts w:hint="default"/>
        </w:rPr>
      </w:lvl>
    </w:lvlOverride>
    <w:lvlOverride w:ilvl="8">
      <w:lvl w:ilvl="8">
        <w:start w:val="1"/>
        <w:numFmt w:val="decimal"/>
        <w:isLgl w:val="false"/>
        <w:suff w:val="tab"/>
        <w:lvlText w:val="%1.%2.%3.%4.%5.%6.%7.%8.%9"/>
        <w:lvlJc w:val="left"/>
        <w:pPr>
          <w:ind w:left="1440" w:hanging="1440"/>
        </w:pPr>
        <w:rPr>
          <w:rFonts w:hint="default"/>
        </w:rPr>
      </w:lvl>
    </w:lvlOverride>
  </w:num>
  <w:num w:numId="3">
    <w:abstractNumId w:val="1"/>
  </w:num>
  <w:num w:numId="4">
    <w:abstractNumId w:val="0"/>
  </w:num>
  <w:num w:numId="5">
    <w:abstractNumId w:val="6"/>
  </w:num>
  <w:num w:numId="6">
    <w:abstractNumId w:val="7"/>
  </w:num>
  <w:num w:numId="7">
    <w:abstractNumId w:val="11"/>
  </w:num>
  <w:num w:numId="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80">
    <w:name w:val="Heading 1"/>
    <w:basedOn w:val="679"/>
    <w:next w:val="679"/>
    <w:link w:val="881"/>
    <w:uiPriority w:val="0"/>
    <w:qFormat/>
    <w:pPr>
      <w:jc w:val="center"/>
      <w:keepNext/>
      <w:outlineLvl w:val="0"/>
    </w:pPr>
    <w:rPr>
      <w:b/>
      <w:bCs/>
      <w:sz w:val="44"/>
      <w:szCs w:val="44"/>
    </w:rPr>
  </w:style>
  <w:style w:type="paragraph" w:styleId="681">
    <w:name w:val="Heading 2"/>
    <w:basedOn w:val="679"/>
    <w:next w:val="679"/>
    <w:link w:val="882"/>
    <w:uiPriority w:val="0"/>
    <w:qFormat/>
    <w:pPr>
      <w:jc w:val="center"/>
      <w:keepNext/>
      <w:outlineLvl w:val="1"/>
    </w:pPr>
    <w:rPr>
      <w:rFonts w:ascii="Cambria" w:hAnsi="Cambria"/>
      <w:b/>
      <w:bCs/>
      <w:sz w:val="32"/>
      <w:szCs w:val="32"/>
    </w:rPr>
  </w:style>
  <w:style w:type="paragraph" w:styleId="682">
    <w:name w:val="Heading 3"/>
    <w:basedOn w:val="679"/>
    <w:next w:val="679"/>
    <w:link w:val="901"/>
    <w:uiPriority w:val="0"/>
    <w:qFormat/>
    <w:pPr>
      <w:jc w:val="center"/>
      <w:keepNext/>
      <w:outlineLvl w:val="2"/>
    </w:pPr>
    <w:rPr>
      <w:b/>
      <w:bCs/>
      <w:sz w:val="32"/>
      <w:szCs w:val="32"/>
    </w:rPr>
  </w:style>
  <w:style w:type="paragraph" w:styleId="683">
    <w:name w:val="Heading 4"/>
    <w:basedOn w:val="679"/>
    <w:next w:val="679"/>
    <w:link w:val="884"/>
    <w:uiPriority w:val="0"/>
    <w:qFormat/>
    <w:pPr>
      <w:jc w:val="center"/>
      <w:keepNext/>
      <w:outlineLvl w:val="3"/>
    </w:pPr>
    <w:rPr>
      <w:rFonts w:ascii="Cambria" w:hAnsi="Cambria"/>
      <w:b/>
      <w:bCs/>
      <w:sz w:val="28"/>
      <w:szCs w:val="28"/>
    </w:rPr>
  </w:style>
  <w:style w:type="paragraph" w:styleId="684">
    <w:name w:val="Heading 5"/>
    <w:basedOn w:val="679"/>
    <w:next w:val="679"/>
    <w:link w:val="885"/>
    <w:uiPriority w:val="0"/>
    <w:qFormat/>
    <w:pPr>
      <w:numPr>
        <w:ilvl w:val="0"/>
        <w:numId w:val="1"/>
      </w:numPr>
      <w:keepNext/>
      <w:outlineLvl w:val="4"/>
    </w:pPr>
    <w:rPr>
      <w:rFonts w:ascii="楷体_GB2312" w:eastAsia="楷体_GB2312"/>
      <w:bCs/>
      <w:sz w:val="28"/>
    </w:rPr>
  </w:style>
  <w:style w:type="paragraph" w:styleId="685">
    <w:name w:val="Heading 6"/>
    <w:basedOn w:val="679"/>
    <w:next w:val="679"/>
    <w:uiPriority w:val="9"/>
    <w:unhideWhenUsed/>
    <w:qFormat/>
    <w:pPr>
      <w:keepLines/>
      <w:keepNext/>
      <w:spacing w:before="240" w:after="64" w:line="320" w:lineRule="auto"/>
      <w:outlineLvl w:val="5"/>
    </w:pPr>
    <w:rPr>
      <w:rFonts w:ascii="Cambria" w:hAnsi="Cambria" w:eastAsia="宋体" w:cs="Times New Roman"/>
      <w:b/>
      <w:bCs/>
      <w:sz w:val="24"/>
      <w:szCs w:val="24"/>
    </w:rPr>
  </w:style>
  <w:style w:type="paragraph" w:styleId="686">
    <w:name w:val="Heading 7"/>
    <w:basedOn w:val="679"/>
    <w:next w:val="679"/>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42"/>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43"/>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unhideWhenUsed/>
    <w:qFormat/>
  </w:style>
  <w:style w:type="table" w:styleId="690" w:default="1">
    <w:name w:val="Normal Table"/>
    <w:uiPriority w:val="99"/>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right="0" w:firstLine="0"/>
      <w:spacing w:after="57"/>
    </w:pPr>
  </w:style>
  <w:style w:type="paragraph" w:styleId="692">
    <w:name w:val="Normal Indent"/>
    <w:basedOn w:val="679"/>
    <w:link w:val="886"/>
    <w:uiPriority w:val="0"/>
    <w:qFormat/>
    <w:pPr>
      <w:ind w:firstLine="420"/>
    </w:pPr>
  </w:style>
  <w:style w:type="paragraph" w:styleId="693">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Document Map"/>
    <w:basedOn w:val="679"/>
    <w:link w:val="887"/>
    <w:uiPriority w:val="0"/>
    <w:semiHidden/>
    <w:qFormat/>
    <w:pPr>
      <w:shd w:val="clear" w:color="auto" w:fill="000080"/>
    </w:pPr>
    <w:rPr>
      <w:sz w:val="2"/>
    </w:rPr>
  </w:style>
  <w:style w:type="paragraph" w:styleId="695">
    <w:name w:val="annotation text"/>
    <w:basedOn w:val="679"/>
    <w:link w:val="888"/>
    <w:uiPriority w:val="0"/>
    <w:unhideWhenUsed/>
    <w:qFormat/>
    <w:pPr>
      <w:jc w:val="left"/>
    </w:pPr>
  </w:style>
  <w:style w:type="paragraph" w:styleId="696">
    <w:name w:val="Body Text"/>
    <w:basedOn w:val="679"/>
    <w:link w:val="889"/>
    <w:uiPriority w:val="0"/>
    <w:qFormat/>
    <w:rPr>
      <w:sz w:val="20"/>
    </w:rPr>
  </w:style>
  <w:style w:type="paragraph" w:styleId="697">
    <w:name w:val="Body Text Indent"/>
    <w:basedOn w:val="679"/>
    <w:link w:val="890"/>
    <w:uiPriority w:val="0"/>
    <w:qFormat/>
    <w:pPr>
      <w:ind w:firstLine="576"/>
    </w:pPr>
    <w:rPr>
      <w:sz w:val="20"/>
    </w:rPr>
  </w:style>
  <w:style w:type="paragraph" w:styleId="698">
    <w:name w:val="index 4"/>
    <w:basedOn w:val="679"/>
    <w:next w:val="679"/>
    <w:uiPriority w:val="99"/>
    <w:qFormat/>
    <w:pPr>
      <w:ind w:left="600"/>
    </w:pPr>
    <w:rPr>
      <w:szCs w:val="24"/>
    </w:rPr>
  </w:style>
  <w:style w:type="paragraph" w:styleId="699">
    <w:name w:val="toc 5"/>
    <w:basedOn w:val="679"/>
    <w:next w:val="679"/>
    <w:uiPriority w:val="39"/>
    <w:unhideWhenUsed/>
    <w:qFormat/>
    <w:pPr>
      <w:ind w:left="1134" w:right="0" w:firstLine="0"/>
      <w:spacing w:after="57"/>
    </w:pPr>
  </w:style>
  <w:style w:type="paragraph" w:styleId="700">
    <w:name w:val="toc 3"/>
    <w:basedOn w:val="679"/>
    <w:next w:val="679"/>
    <w:uiPriority w:val="39"/>
    <w:unhideWhenUsed/>
    <w:qFormat/>
    <w:pPr>
      <w:ind w:left="567" w:right="0" w:firstLine="0"/>
      <w:spacing w:after="57"/>
    </w:pPr>
  </w:style>
  <w:style w:type="paragraph" w:styleId="701">
    <w:name w:val="Plain Text"/>
    <w:basedOn w:val="679"/>
    <w:uiPriority w:val="0"/>
    <w:qFormat/>
    <w:rPr>
      <w:rFonts w:ascii="宋体" w:hAnsi="Courier New"/>
    </w:rPr>
  </w:style>
  <w:style w:type="paragraph" w:styleId="702">
    <w:name w:val="toc 8"/>
    <w:basedOn w:val="679"/>
    <w:next w:val="679"/>
    <w:uiPriority w:val="39"/>
    <w:unhideWhenUsed/>
    <w:qFormat/>
    <w:pPr>
      <w:ind w:left="1984" w:right="0" w:firstLine="0"/>
      <w:spacing w:after="57"/>
    </w:pPr>
  </w:style>
  <w:style w:type="paragraph" w:styleId="703">
    <w:name w:val="Date"/>
    <w:basedOn w:val="679"/>
    <w:next w:val="679"/>
    <w:link w:val="891"/>
    <w:uiPriority w:val="0"/>
    <w:qFormat/>
    <w:rPr>
      <w:sz w:val="20"/>
    </w:rPr>
  </w:style>
  <w:style w:type="paragraph" w:styleId="704">
    <w:name w:val="Body Text Indent 2"/>
    <w:basedOn w:val="679"/>
    <w:link w:val="892"/>
    <w:uiPriority w:val="0"/>
    <w:qFormat/>
    <w:pPr>
      <w:ind w:left="900"/>
    </w:pPr>
    <w:rPr>
      <w:sz w:val="20"/>
    </w:rPr>
  </w:style>
  <w:style w:type="paragraph" w:styleId="705">
    <w:name w:val="endnote text"/>
    <w:basedOn w:val="679"/>
    <w:link w:val="879"/>
    <w:uiPriority w:val="99"/>
    <w:semiHidden/>
    <w:unhideWhenUsed/>
    <w:qFormat/>
    <w:pPr>
      <w:spacing w:after="0" w:line="240" w:lineRule="auto"/>
    </w:pPr>
    <w:rPr>
      <w:sz w:val="20"/>
    </w:rPr>
  </w:style>
  <w:style w:type="paragraph" w:styleId="706">
    <w:name w:val="Balloon Text"/>
    <w:basedOn w:val="679"/>
    <w:link w:val="893"/>
    <w:uiPriority w:val="99"/>
    <w:unhideWhenUsed/>
    <w:qFormat/>
    <w:rPr>
      <w:sz w:val="18"/>
      <w:szCs w:val="18"/>
    </w:rPr>
  </w:style>
  <w:style w:type="paragraph" w:styleId="707">
    <w:name w:val="Footer"/>
    <w:basedOn w:val="679"/>
    <w:link w:val="894"/>
    <w:uiPriority w:val="99"/>
    <w:qFormat/>
    <w:pPr>
      <w:jc w:val="left"/>
      <w:tabs>
        <w:tab w:val="center" w:pos="4153" w:leader="none"/>
        <w:tab w:val="right" w:pos="8306" w:leader="none"/>
      </w:tabs>
    </w:pPr>
    <w:rPr>
      <w:sz w:val="18"/>
      <w:szCs w:val="18"/>
    </w:rPr>
  </w:style>
  <w:style w:type="paragraph" w:styleId="708">
    <w:name w:val="Header"/>
    <w:basedOn w:val="679"/>
    <w:link w:val="895"/>
    <w:uiPriority w:val="99"/>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9"/>
    <w:next w:val="679"/>
    <w:uiPriority w:val="39"/>
    <w:qFormat/>
  </w:style>
  <w:style w:type="paragraph" w:styleId="710">
    <w:name w:val="toc 4"/>
    <w:basedOn w:val="679"/>
    <w:next w:val="679"/>
    <w:uiPriority w:val="39"/>
    <w:unhideWhenUsed/>
    <w:qFormat/>
    <w:pPr>
      <w:ind w:left="850" w:right="0" w:firstLine="0"/>
      <w:spacing w:after="57"/>
    </w:pPr>
  </w:style>
  <w:style w:type="paragraph" w:styleId="711">
    <w:name w:val="Subtitle"/>
    <w:basedOn w:val="679"/>
    <w:next w:val="679"/>
    <w:link w:val="896"/>
    <w:uiPriority w:val="11"/>
    <w:qFormat/>
    <w:pPr>
      <w:jc w:val="center"/>
      <w:spacing w:before="240" w:after="60" w:line="312" w:lineRule="auto"/>
      <w:outlineLvl w:val="1"/>
    </w:pPr>
    <w:rPr>
      <w:rFonts w:ascii="Calibri Light" w:hAnsi="Calibri Light"/>
      <w:b/>
      <w:bCs/>
      <w:sz w:val="32"/>
      <w:szCs w:val="32"/>
    </w:rPr>
  </w:style>
  <w:style w:type="paragraph" w:styleId="712">
    <w:name w:val="List"/>
    <w:basedOn w:val="679"/>
    <w:uiPriority w:val="99"/>
    <w:qFormat/>
    <w:pPr>
      <w:contextualSpacing/>
      <w:ind w:left="200" w:hanging="200"/>
      <w:spacing w:line="240" w:lineRule="auto"/>
    </w:pPr>
    <w:rPr>
      <w:rFonts w:ascii="Times New Roman" w:hAnsi="Times New Roman"/>
    </w:rPr>
  </w:style>
  <w:style w:type="paragraph" w:styleId="713">
    <w:name w:val="footnote text"/>
    <w:basedOn w:val="679"/>
    <w:link w:val="878"/>
    <w:uiPriority w:val="99"/>
    <w:semiHidden/>
    <w:unhideWhenUsed/>
    <w:qFormat/>
    <w:pPr>
      <w:spacing w:after="40" w:line="240" w:lineRule="auto"/>
    </w:pPr>
    <w:rPr>
      <w:sz w:val="18"/>
    </w:rPr>
  </w:style>
  <w:style w:type="paragraph" w:styleId="714">
    <w:name w:val="toc 6"/>
    <w:basedOn w:val="679"/>
    <w:next w:val="679"/>
    <w:uiPriority w:val="39"/>
    <w:unhideWhenUsed/>
    <w:pPr>
      <w:ind w:left="1417" w:right="0" w:firstLine="0"/>
      <w:spacing w:after="57"/>
    </w:pPr>
  </w:style>
  <w:style w:type="paragraph" w:styleId="715">
    <w:name w:val="Body Text Indent 3"/>
    <w:basedOn w:val="679"/>
    <w:link w:val="897"/>
    <w:uiPriority w:val="0"/>
    <w:qFormat/>
    <w:pPr>
      <w:ind w:left="359" w:firstLine="359"/>
    </w:pPr>
    <w:rPr>
      <w:sz w:val="16"/>
      <w:szCs w:val="16"/>
    </w:rPr>
  </w:style>
  <w:style w:type="paragraph" w:styleId="716">
    <w:name w:val="table of figures"/>
    <w:basedOn w:val="679"/>
    <w:next w:val="679"/>
    <w:uiPriority w:val="99"/>
    <w:unhideWhenUsed/>
    <w:qFormat/>
    <w:pPr>
      <w:spacing w:after="0" w:afterAutospacing="0"/>
    </w:pPr>
  </w:style>
  <w:style w:type="paragraph" w:styleId="717">
    <w:name w:val="toc 2"/>
    <w:basedOn w:val="679"/>
    <w:next w:val="679"/>
    <w:uiPriority w:val="39"/>
    <w:unhideWhenUsed/>
    <w:pPr>
      <w:ind w:left="283" w:right="0" w:firstLine="0"/>
      <w:spacing w:after="57"/>
    </w:pPr>
  </w:style>
  <w:style w:type="paragraph" w:styleId="718">
    <w:name w:val="toc 9"/>
    <w:basedOn w:val="679"/>
    <w:next w:val="679"/>
    <w:uiPriority w:val="39"/>
    <w:unhideWhenUsed/>
    <w:qFormat/>
    <w:pPr>
      <w:ind w:left="2268" w:right="0" w:firstLine="0"/>
      <w:spacing w:after="57"/>
    </w:pPr>
  </w:style>
  <w:style w:type="paragraph" w:styleId="719">
    <w:name w:val="Body Text 2"/>
    <w:basedOn w:val="679"/>
    <w:link w:val="898"/>
    <w:uiPriority w:val="0"/>
    <w:qFormat/>
    <w:pPr>
      <w:spacing w:after="120" w:line="480" w:lineRule="auto"/>
    </w:pPr>
    <w:rPr>
      <w:sz w:val="20"/>
    </w:rPr>
  </w:style>
  <w:style w:type="paragraph" w:styleId="720">
    <w:name w:val="HTML Preformatted"/>
    <w:basedOn w:val="679"/>
    <w:uiPriority w:val="99"/>
    <w:unhideWhenUsed/>
    <w:qFormat/>
    <w:rPr>
      <w:rFonts w:ascii="Courier New" w:hAnsi="Courier New" w:cs="Courier New"/>
      <w:sz w:val="20"/>
      <w:szCs w:val="20"/>
    </w:rPr>
  </w:style>
  <w:style w:type="paragraph" w:styleId="721">
    <w:name w:val="Normal (Web)"/>
    <w:basedOn w:val="679"/>
    <w:uiPriority w:val="99"/>
    <w:unhideWhenUsed/>
    <w:qFormat/>
    <w:pPr>
      <w:jc w:val="left"/>
      <w:spacing w:before="100" w:beforeAutospacing="1" w:after="100" w:afterAutospacing="1"/>
      <w:widowControl/>
    </w:pPr>
    <w:rPr>
      <w:rFonts w:ascii="宋体" w:hAnsi="宋体" w:cs="宋体"/>
      <w:sz w:val="24"/>
      <w:szCs w:val="24"/>
    </w:rPr>
  </w:style>
  <w:style w:type="paragraph" w:styleId="722">
    <w:name w:val="Title"/>
    <w:basedOn w:val="679"/>
    <w:next w:val="679"/>
    <w:link w:val="899"/>
    <w:uiPriority w:val="99"/>
    <w:qFormat/>
    <w:pPr>
      <w:ind w:firstLine="200"/>
      <w:jc w:val="center"/>
      <w:spacing w:before="240" w:after="60" w:line="336" w:lineRule="auto"/>
      <w:outlineLvl w:val="0"/>
    </w:pPr>
    <w:rPr>
      <w:rFonts w:ascii="Cambria" w:hAnsi="Cambria"/>
      <w:b/>
      <w:bCs/>
      <w:sz w:val="32"/>
      <w:szCs w:val="32"/>
    </w:rPr>
  </w:style>
  <w:style w:type="paragraph" w:styleId="723">
    <w:name w:val="annotation subject"/>
    <w:basedOn w:val="695"/>
    <w:next w:val="695"/>
    <w:link w:val="900"/>
    <w:uiPriority w:val="99"/>
    <w:unhideWhenUsed/>
    <w:qFormat/>
    <w:rPr>
      <w:b/>
      <w:bCs/>
    </w:rPr>
  </w:style>
  <w:style w:type="paragraph" w:styleId="724">
    <w:name w:val="Body Text First Indent"/>
    <w:basedOn w:val="696"/>
    <w:uiPriority w:val="99"/>
    <w:unhideWhenUsed/>
    <w:qFormat/>
    <w:pPr>
      <w:ind w:firstLine="420"/>
      <w:spacing w:after="120"/>
    </w:pPr>
    <w:rPr>
      <w:rFonts w:ascii="Times New Roman"/>
      <w:sz w:val="21"/>
    </w:rPr>
  </w:style>
  <w:style w:type="paragraph" w:styleId="725">
    <w:name w:val="Body Text First Indent 2"/>
    <w:basedOn w:val="697"/>
    <w:uiPriority w:val="99"/>
    <w:qFormat/>
    <w:pPr>
      <w:ind w:left="420" w:firstLine="420"/>
      <w:spacing w:after="120" w:line="240" w:lineRule="auto"/>
      <w:widowControl w:val="off"/>
    </w:pPr>
    <w:rPr>
      <w:rFonts w:ascii="Times New Roman" w:hAnsi="Times New Roman"/>
      <w:spacing w:val="0"/>
      <w:sz w:val="20"/>
    </w:rPr>
  </w:style>
  <w:style w:type="table" w:styleId="726">
    <w:name w:val="Table Grid"/>
    <w:basedOn w:val="690"/>
    <w:uiPriority w:val="0"/>
    <w:qFormat/>
    <w:rPr>
      <w:rFonts w:ascii="Times" w:hAnsi="Times" w:cs="Tim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uiPriority w:val="0"/>
    <w:qFormat/>
    <w:rPr>
      <w:rFonts w:cs="Times New Roman"/>
      <w:b/>
      <w:bCs/>
    </w:rPr>
  </w:style>
  <w:style w:type="character" w:styleId="728">
    <w:name w:val="endnote reference"/>
    <w:basedOn w:val="689"/>
    <w:uiPriority w:val="99"/>
    <w:semiHidden/>
    <w:unhideWhenUsed/>
    <w:qFormat/>
    <w:rPr>
      <w:vertAlign w:val="superscript"/>
    </w:rPr>
  </w:style>
  <w:style w:type="character" w:styleId="729">
    <w:name w:val="page number"/>
    <w:uiPriority w:val="0"/>
    <w:qFormat/>
    <w:rPr>
      <w:rFonts w:cs="Times New Roman"/>
    </w:rPr>
  </w:style>
  <w:style w:type="character" w:styleId="730">
    <w:name w:val="FollowedHyperlink"/>
    <w:uiPriority w:val="99"/>
    <w:qFormat/>
    <w:rPr>
      <w:rFonts w:cs="Times New Roman"/>
      <w:color w:val="auto"/>
      <w:u w:val="none"/>
    </w:rPr>
  </w:style>
  <w:style w:type="character" w:styleId="731">
    <w:name w:val="HTML Typewriter"/>
    <w:uiPriority w:val="0"/>
    <w:qFormat/>
    <w:rPr>
      <w:rFonts w:ascii="宋体" w:hAnsi="宋体" w:eastAsia="宋体" w:cs="宋体"/>
      <w:sz w:val="24"/>
      <w:szCs w:val="24"/>
    </w:rPr>
  </w:style>
  <w:style w:type="character" w:styleId="732">
    <w:name w:val="Hyperlink"/>
    <w:uiPriority w:val="99"/>
    <w:qFormat/>
    <w:rPr>
      <w:rFonts w:cs="Times New Roman"/>
      <w:color w:val="auto"/>
      <w:u w:val="none"/>
    </w:rPr>
  </w:style>
  <w:style w:type="character" w:styleId="733">
    <w:name w:val="annotation reference"/>
    <w:uiPriority w:val="99"/>
    <w:unhideWhenUsed/>
    <w:qFormat/>
    <w:rPr>
      <w:sz w:val="21"/>
      <w:szCs w:val="21"/>
    </w:rPr>
  </w:style>
  <w:style w:type="character" w:styleId="734">
    <w:name w:val="footnote reference"/>
    <w:basedOn w:val="689"/>
    <w:uiPriority w:val="99"/>
    <w:unhideWhenUsed/>
    <w:qFormat/>
    <w:rPr>
      <w:vertAlign w:val="superscript"/>
    </w:rPr>
  </w:style>
  <w:style w:type="character" w:styleId="735" w:customStyle="1">
    <w:name w:val="Heading 1 Char"/>
    <w:basedOn w:val="689"/>
    <w:uiPriority w:val="9"/>
    <w:rPr>
      <w:rFonts w:ascii="Arial" w:hAnsi="Arial" w:eastAsia="Arial" w:cs="Arial"/>
      <w:sz w:val="40"/>
      <w:szCs w:val="40"/>
    </w:rPr>
  </w:style>
  <w:style w:type="character" w:styleId="736" w:customStyle="1">
    <w:name w:val="Heading 2 Char"/>
    <w:basedOn w:val="689"/>
    <w:uiPriority w:val="9"/>
    <w:qFormat/>
    <w:rPr>
      <w:rFonts w:ascii="Arial" w:hAnsi="Arial" w:eastAsia="Arial" w:cs="Arial"/>
      <w:sz w:val="34"/>
    </w:rPr>
  </w:style>
  <w:style w:type="character" w:styleId="737" w:customStyle="1">
    <w:name w:val="Heading 3 Char"/>
    <w:basedOn w:val="689"/>
    <w:uiPriority w:val="9"/>
    <w:qFormat/>
    <w:rPr>
      <w:rFonts w:ascii="Arial" w:hAnsi="Arial" w:eastAsia="Arial" w:cs="Arial"/>
      <w:sz w:val="30"/>
      <w:szCs w:val="30"/>
    </w:rPr>
  </w:style>
  <w:style w:type="character" w:styleId="738" w:customStyle="1">
    <w:name w:val="Heading 4 Char"/>
    <w:basedOn w:val="689"/>
    <w:uiPriority w:val="9"/>
    <w:qFormat/>
    <w:rPr>
      <w:rFonts w:ascii="Arial" w:hAnsi="Arial" w:eastAsia="Arial" w:cs="Arial"/>
      <w:b/>
      <w:bCs/>
      <w:sz w:val="26"/>
      <w:szCs w:val="26"/>
    </w:rPr>
  </w:style>
  <w:style w:type="character" w:styleId="739" w:customStyle="1">
    <w:name w:val="Heading 5 Char"/>
    <w:basedOn w:val="689"/>
    <w:uiPriority w:val="9"/>
    <w:qFormat/>
    <w:rPr>
      <w:rFonts w:ascii="Arial" w:hAnsi="Arial" w:eastAsia="Arial" w:cs="Arial"/>
      <w:b/>
      <w:bCs/>
      <w:sz w:val="24"/>
      <w:szCs w:val="24"/>
    </w:rPr>
  </w:style>
  <w:style w:type="character" w:styleId="740" w:customStyle="1">
    <w:name w:val="Heading 6 Char"/>
    <w:basedOn w:val="689"/>
    <w:uiPriority w:val="9"/>
    <w:qFormat/>
    <w:rPr>
      <w:rFonts w:ascii="Arial" w:hAnsi="Arial" w:eastAsia="Arial" w:cs="Arial"/>
      <w:b/>
      <w:bCs/>
      <w:sz w:val="22"/>
      <w:szCs w:val="22"/>
    </w:rPr>
  </w:style>
  <w:style w:type="character" w:styleId="741" w:customStyle="1">
    <w:name w:val="Heading 7 Char"/>
    <w:basedOn w:val="689"/>
    <w:link w:val="686"/>
    <w:uiPriority w:val="9"/>
    <w:qFormat/>
    <w:rPr>
      <w:rFonts w:ascii="Arial" w:hAnsi="Arial" w:eastAsia="Arial" w:cs="Arial"/>
      <w:b/>
      <w:bCs/>
      <w:i/>
      <w:iCs/>
      <w:sz w:val="22"/>
      <w:szCs w:val="22"/>
    </w:rPr>
  </w:style>
  <w:style w:type="character" w:styleId="742" w:customStyle="1">
    <w:name w:val="Heading 8 Char"/>
    <w:basedOn w:val="689"/>
    <w:link w:val="687"/>
    <w:uiPriority w:val="9"/>
    <w:qFormat/>
    <w:rPr>
      <w:rFonts w:ascii="Arial" w:hAnsi="Arial" w:eastAsia="Arial" w:cs="Arial"/>
      <w:i/>
      <w:iCs/>
      <w:sz w:val="22"/>
      <w:szCs w:val="22"/>
    </w:rPr>
  </w:style>
  <w:style w:type="character" w:styleId="743" w:customStyle="1">
    <w:name w:val="Heading 9 Char"/>
    <w:basedOn w:val="689"/>
    <w:link w:val="688"/>
    <w:uiPriority w:val="9"/>
    <w:qFormat/>
    <w:rPr>
      <w:rFonts w:ascii="Arial" w:hAnsi="Arial" w:eastAsia="Arial" w:cs="Arial"/>
      <w:i/>
      <w:iCs/>
      <w:sz w:val="21"/>
      <w:szCs w:val="21"/>
    </w:rPr>
  </w:style>
  <w:style w:type="character" w:styleId="744" w:customStyle="1">
    <w:name w:val="Title Char"/>
    <w:basedOn w:val="689"/>
    <w:uiPriority w:val="10"/>
    <w:rPr>
      <w:sz w:val="48"/>
      <w:szCs w:val="48"/>
    </w:rPr>
  </w:style>
  <w:style w:type="character" w:styleId="745" w:customStyle="1">
    <w:name w:val="Subtitle Char"/>
    <w:basedOn w:val="689"/>
    <w:uiPriority w:val="11"/>
    <w:qFormat/>
    <w:rPr>
      <w:sz w:val="24"/>
      <w:szCs w:val="24"/>
    </w:rPr>
  </w:style>
  <w:style w:type="paragraph" w:styleId="746">
    <w:name w:val="Quote"/>
    <w:basedOn w:val="679"/>
    <w:next w:val="679"/>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79"/>
    <w:next w:val="679"/>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basedOn w:val="689"/>
    <w:uiPriority w:val="99"/>
    <w:qFormat/>
  </w:style>
  <w:style w:type="character" w:styleId="751" w:customStyle="1">
    <w:name w:val="Footer Char"/>
    <w:basedOn w:val="689"/>
    <w:uiPriority w:val="99"/>
    <w:qFormat/>
  </w:style>
  <w:style w:type="character" w:styleId="752" w:customStyle="1">
    <w:name w:val="Caption Char"/>
    <w:uiPriority w:val="99"/>
    <w:qFormat/>
  </w:style>
  <w:style w:type="table" w:styleId="753"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90"/>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basedOn w:val="6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basedOn w:val="6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basedOn w:val="6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basedOn w:val="6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basedOn w:val="6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basedOn w:val="69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basedOn w:val="69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basedOn w:val="69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basedOn w:val="6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basedOn w:val="6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basedOn w:val="6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basedOn w:val="6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basedOn w:val="6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basedOn w:val="6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basedOn w:val="6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6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basedOn w:val="6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basedOn w:val="6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basedOn w:val="6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basedOn w:val="6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basedOn w:val="6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6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6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6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6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6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6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basedOn w:val="6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basedOn w:val="6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basedOn w:val="6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basedOn w:val="6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basedOn w:val="6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basedOn w:val="6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basedOn w:val="6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basedOn w:val="6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6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6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6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basedOn w:val="6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basedOn w:val="6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6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6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13"/>
    <w:uiPriority w:val="99"/>
    <w:qFormat/>
    <w:rPr>
      <w:sz w:val="18"/>
    </w:rPr>
  </w:style>
  <w:style w:type="character" w:styleId="879" w:customStyle="1">
    <w:name w:val="Endnote Text Char"/>
    <w:link w:val="705"/>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character" w:styleId="881" w:customStyle="1">
    <w:name w:val="标题 1 Char"/>
    <w:link w:val="680"/>
    <w:uiPriority w:val="0"/>
    <w:qFormat/>
    <w:rPr>
      <w:rFonts w:cs="Times New Roman"/>
      <w:b/>
      <w:bCs/>
      <w:sz w:val="44"/>
      <w:szCs w:val="44"/>
    </w:rPr>
  </w:style>
  <w:style w:type="character" w:styleId="882" w:customStyle="1">
    <w:name w:val="标题 2 Char"/>
    <w:link w:val="681"/>
    <w:uiPriority w:val="0"/>
    <w:semiHidden/>
    <w:qFormat/>
    <w:rPr>
      <w:rFonts w:ascii="Cambria" w:hAnsi="Cambria" w:eastAsia="宋体" w:cs="Times New Roman"/>
      <w:b/>
      <w:bCs/>
      <w:sz w:val="32"/>
      <w:szCs w:val="32"/>
    </w:rPr>
  </w:style>
  <w:style w:type="character" w:styleId="883" w:customStyle="1">
    <w:name w:val="标题 3 Char"/>
    <w:link w:val="682"/>
    <w:uiPriority w:val="0"/>
    <w:semiHidden/>
    <w:qFormat/>
    <w:rPr>
      <w:rFonts w:cs="Times New Roman"/>
      <w:b/>
      <w:bCs/>
      <w:sz w:val="32"/>
      <w:szCs w:val="32"/>
    </w:rPr>
  </w:style>
  <w:style w:type="character" w:styleId="884" w:customStyle="1">
    <w:name w:val="标题 4 Char"/>
    <w:link w:val="683"/>
    <w:uiPriority w:val="0"/>
    <w:semiHidden/>
    <w:qFormat/>
    <w:rPr>
      <w:rFonts w:ascii="Cambria" w:hAnsi="Cambria" w:eastAsia="宋体" w:cs="Times New Roman"/>
      <w:b/>
      <w:bCs/>
      <w:sz w:val="28"/>
      <w:szCs w:val="28"/>
    </w:rPr>
  </w:style>
  <w:style w:type="character" w:styleId="885" w:customStyle="1">
    <w:name w:val="标题 5 Char"/>
    <w:link w:val="684"/>
    <w:uiPriority w:val="0"/>
    <w:qFormat/>
    <w:rPr>
      <w:rFonts w:ascii="楷体_GB2312" w:eastAsia="楷体_GB2312"/>
      <w:bCs/>
      <w:sz w:val="28"/>
    </w:rPr>
  </w:style>
  <w:style w:type="character" w:styleId="886" w:customStyle="1">
    <w:name w:val="正文缩进 Char"/>
    <w:link w:val="692"/>
    <w:uiPriority w:val="0"/>
    <w:qFormat/>
    <w:rPr>
      <w:sz w:val="21"/>
    </w:rPr>
  </w:style>
  <w:style w:type="character" w:styleId="887" w:customStyle="1">
    <w:name w:val="文档结构图 Char"/>
    <w:link w:val="694"/>
    <w:uiPriority w:val="0"/>
    <w:semiHidden/>
    <w:qFormat/>
    <w:rPr>
      <w:rFonts w:cs="Times New Roman"/>
      <w:sz w:val="2"/>
    </w:rPr>
  </w:style>
  <w:style w:type="character" w:styleId="888" w:customStyle="1">
    <w:name w:val="批注文字 Char"/>
    <w:link w:val="695"/>
    <w:uiPriority w:val="0"/>
    <w:qFormat/>
    <w:rPr>
      <w:sz w:val="21"/>
    </w:rPr>
  </w:style>
  <w:style w:type="character" w:styleId="889" w:customStyle="1">
    <w:name w:val="正文文本 Char"/>
    <w:link w:val="696"/>
    <w:uiPriority w:val="0"/>
    <w:semiHidden/>
    <w:qFormat/>
    <w:rPr>
      <w:rFonts w:cs="Times New Roman"/>
      <w:sz w:val="20"/>
      <w:szCs w:val="20"/>
    </w:rPr>
  </w:style>
  <w:style w:type="character" w:styleId="890" w:customStyle="1">
    <w:name w:val="正文文本缩进 Char"/>
    <w:link w:val="697"/>
    <w:uiPriority w:val="0"/>
    <w:semiHidden/>
    <w:qFormat/>
    <w:rPr>
      <w:rFonts w:cs="Times New Roman"/>
      <w:sz w:val="20"/>
      <w:szCs w:val="20"/>
    </w:rPr>
  </w:style>
  <w:style w:type="character" w:styleId="891" w:customStyle="1">
    <w:name w:val="日期 Char"/>
    <w:link w:val="703"/>
    <w:uiPriority w:val="0"/>
    <w:semiHidden/>
    <w:qFormat/>
    <w:rPr>
      <w:rFonts w:cs="Times New Roman"/>
      <w:sz w:val="20"/>
      <w:szCs w:val="20"/>
    </w:rPr>
  </w:style>
  <w:style w:type="character" w:styleId="892" w:customStyle="1">
    <w:name w:val="正文文本缩进 2 Char"/>
    <w:link w:val="704"/>
    <w:uiPriority w:val="0"/>
    <w:semiHidden/>
    <w:qFormat/>
    <w:rPr>
      <w:rFonts w:cs="Times New Roman"/>
      <w:sz w:val="20"/>
      <w:szCs w:val="20"/>
    </w:rPr>
  </w:style>
  <w:style w:type="character" w:styleId="893" w:customStyle="1">
    <w:name w:val="批注框文本 Char"/>
    <w:link w:val="706"/>
    <w:uiPriority w:val="99"/>
    <w:qFormat/>
    <w:rPr>
      <w:sz w:val="18"/>
      <w:szCs w:val="18"/>
    </w:rPr>
  </w:style>
  <w:style w:type="character" w:styleId="894" w:customStyle="1">
    <w:name w:val="页脚 Char"/>
    <w:link w:val="707"/>
    <w:uiPriority w:val="99"/>
    <w:qFormat/>
    <w:rPr>
      <w:rFonts w:cs="Times New Roman"/>
      <w:sz w:val="18"/>
      <w:szCs w:val="18"/>
    </w:rPr>
  </w:style>
  <w:style w:type="character" w:styleId="895" w:customStyle="1">
    <w:name w:val="页眉 Char"/>
    <w:link w:val="708"/>
    <w:uiPriority w:val="99"/>
    <w:qFormat/>
    <w:rPr>
      <w:rFonts w:cs="Times New Roman"/>
      <w:sz w:val="18"/>
      <w:szCs w:val="18"/>
    </w:rPr>
  </w:style>
  <w:style w:type="character" w:styleId="896" w:customStyle="1">
    <w:name w:val="副标题 Char"/>
    <w:link w:val="711"/>
    <w:uiPriority w:val="11"/>
    <w:qFormat/>
    <w:rPr>
      <w:rFonts w:ascii="Calibri Light" w:hAnsi="Calibri Light"/>
      <w:b/>
      <w:bCs/>
      <w:sz w:val="32"/>
      <w:szCs w:val="32"/>
    </w:rPr>
  </w:style>
  <w:style w:type="character" w:styleId="897" w:customStyle="1">
    <w:name w:val="正文文本缩进 3 Char"/>
    <w:link w:val="715"/>
    <w:uiPriority w:val="0"/>
    <w:semiHidden/>
    <w:qFormat/>
    <w:rPr>
      <w:rFonts w:cs="Times New Roman"/>
      <w:sz w:val="16"/>
      <w:szCs w:val="16"/>
    </w:rPr>
  </w:style>
  <w:style w:type="character" w:styleId="898" w:customStyle="1">
    <w:name w:val="正文文本 2 Char"/>
    <w:link w:val="719"/>
    <w:uiPriority w:val="0"/>
    <w:semiHidden/>
    <w:qFormat/>
    <w:rPr>
      <w:rFonts w:cs="Times New Roman"/>
      <w:sz w:val="20"/>
      <w:szCs w:val="20"/>
    </w:rPr>
  </w:style>
  <w:style w:type="character" w:styleId="899" w:customStyle="1">
    <w:name w:val="标题 Char"/>
    <w:link w:val="722"/>
    <w:uiPriority w:val="99"/>
    <w:qFormat/>
    <w:rPr>
      <w:rFonts w:ascii="Cambria" w:hAnsi="Cambria" w:cs="Cambria"/>
      <w:b/>
      <w:bCs/>
      <w:sz w:val="32"/>
      <w:szCs w:val="32"/>
    </w:rPr>
  </w:style>
  <w:style w:type="character" w:styleId="900" w:customStyle="1">
    <w:name w:val="批注主题 Char"/>
    <w:link w:val="723"/>
    <w:uiPriority w:val="99"/>
    <w:semiHidden/>
    <w:qFormat/>
    <w:rPr>
      <w:b/>
      <w:bCs/>
      <w:sz w:val="21"/>
    </w:rPr>
  </w:style>
  <w:style w:type="character" w:styleId="901" w:customStyle="1">
    <w:name w:val="标题 3 字符"/>
    <w:link w:val="682"/>
    <w:uiPriority w:val="0"/>
    <w:semiHidden/>
    <w:qFormat/>
    <w:rPr>
      <w:rFonts w:cs="Times New Roman"/>
      <w:b/>
      <w:bCs/>
      <w:sz w:val="32"/>
      <w:szCs w:val="32"/>
    </w:rPr>
  </w:style>
  <w:style w:type="character" w:styleId="902" w:customStyle="1">
    <w:name w:val="style21"/>
    <w:uiPriority w:val="99"/>
    <w:qFormat/>
    <w:rPr>
      <w:sz w:val="22"/>
      <w:szCs w:val="22"/>
    </w:rPr>
  </w:style>
  <w:style w:type="character" w:styleId="903" w:customStyle="1">
    <w:name w:val="列出段落 字符"/>
    <w:uiPriority w:val="34"/>
    <w:qFormat/>
    <w:rPr>
      <w:sz w:val="21"/>
    </w:rPr>
  </w:style>
  <w:style w:type="character" w:styleId="904" w:customStyle="1">
    <w:name w:val="宋体&amp;Time5# Char"/>
    <w:link w:val="905"/>
    <w:uiPriority w:val="0"/>
    <w:qFormat/>
    <w:rPr>
      <w:rFonts w:ascii="Calibri" w:hAnsi="Calibri" w:eastAsia="Times New Roman"/>
      <w:sz w:val="21"/>
      <w:szCs w:val="21"/>
    </w:rPr>
  </w:style>
  <w:style w:type="paragraph" w:styleId="905" w:customStyle="1">
    <w:name w:val="宋体&amp;Time5#"/>
    <w:basedOn w:val="679"/>
    <w:link w:val="904"/>
    <w:uiPriority w:val="0"/>
    <w:qFormat/>
    <w:pPr>
      <w:jc w:val="center"/>
    </w:pPr>
    <w:rPr>
      <w:rFonts w:ascii="Calibri" w:hAnsi="Calibri" w:eastAsia="Times New Roman"/>
      <w:szCs w:val="21"/>
    </w:rPr>
  </w:style>
  <w:style w:type="character" w:styleId="906" w:customStyle="1">
    <w:name w:val="访问过的超链接1"/>
    <w:uiPriority w:val="0"/>
    <w:qFormat/>
    <w:rPr>
      <w:color w:val="auto"/>
      <w:u w:val="none"/>
    </w:rPr>
  </w:style>
  <w:style w:type="character" w:styleId="907" w:customStyle="1">
    <w:name w:val="列出段落 Char"/>
    <w:link w:val="908"/>
    <w:uiPriority w:val="34"/>
    <w:qFormat/>
    <w:rPr>
      <w:sz w:val="21"/>
    </w:rPr>
  </w:style>
  <w:style w:type="paragraph" w:styleId="908">
    <w:name w:val="List Paragraph"/>
    <w:basedOn w:val="679"/>
    <w:link w:val="907"/>
    <w:uiPriority w:val="34"/>
    <w:qFormat/>
    <w:pPr>
      <w:ind w:firstLine="420"/>
    </w:pPr>
  </w:style>
  <w:style w:type="character" w:styleId="909" w:customStyle="1">
    <w:name w:val="case31"/>
    <w:uiPriority w:val="0"/>
    <w:qFormat/>
    <w:rPr>
      <w:rFonts w:cs="Times New Roman"/>
      <w:spacing w:val="390"/>
      <w:sz w:val="21"/>
      <w:szCs w:val="21"/>
    </w:rPr>
  </w:style>
  <w:style w:type="character" w:styleId="910" w:customStyle="1">
    <w:name w:val="_正文 Char"/>
    <w:link w:val="911"/>
    <w:uiPriority w:val="0"/>
    <w:qFormat/>
    <w:rPr>
      <w:rFonts w:ascii="微软雅黑" w:hAnsi="微软雅黑"/>
    </w:rPr>
  </w:style>
  <w:style w:type="paragraph" w:styleId="911" w:customStyle="1">
    <w:name w:val="_正文"/>
    <w:basedOn w:val="679"/>
    <w:link w:val="910"/>
    <w:uiPriority w:val="0"/>
    <w:qFormat/>
    <w:pPr>
      <w:ind w:firstLine="200"/>
      <w:jc w:val="left"/>
      <w:spacing w:line="360" w:lineRule="auto"/>
      <w:widowControl/>
    </w:pPr>
    <w:rPr>
      <w:rFonts w:ascii="微软雅黑" w:hAnsi="微软雅黑"/>
      <w:sz w:val="20"/>
    </w:rPr>
  </w:style>
  <w:style w:type="paragraph" w:styleId="912" w:customStyle="1">
    <w:name w:val="xl43"/>
    <w:basedOn w:val="6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913" w:customStyle="1">
    <w:name w:val="xl29"/>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14" w:customStyle="1">
    <w:name w:val="xl54"/>
    <w:basedOn w:val="6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915" w:customStyle="1">
    <w:name w:val="xl51"/>
    <w:basedOn w:val="6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916" w:customStyle="1">
    <w:name w:val="样式 首行缩进:  2 字符"/>
    <w:basedOn w:val="679"/>
    <w:uiPriority w:val="99"/>
    <w:qFormat/>
    <w:pPr>
      <w:ind w:firstLine="200"/>
      <w:spacing w:line="288" w:lineRule="auto"/>
    </w:pPr>
    <w:rPr>
      <w:rFonts w:ascii="仿宋_GB2312" w:hAnsi="Times" w:eastAsia="仿宋_GB2312" w:cs="仿宋_GB2312"/>
      <w:sz w:val="32"/>
      <w:szCs w:val="32"/>
    </w:rPr>
  </w:style>
  <w:style w:type="paragraph" w:styleId="917" w:customStyle="1">
    <w:name w:val="font13"/>
    <w:basedOn w:val="679"/>
    <w:uiPriority w:val="0"/>
    <w:qFormat/>
    <w:pPr>
      <w:jc w:val="left"/>
      <w:spacing w:before="100" w:beforeAutospacing="1" w:after="100" w:afterAutospacing="1"/>
      <w:widowControl/>
    </w:pPr>
    <w:rPr>
      <w:i/>
      <w:iCs/>
      <w:sz w:val="36"/>
      <w:szCs w:val="36"/>
    </w:rPr>
  </w:style>
  <w:style w:type="paragraph" w:styleId="918" w:customStyle="1">
    <w:name w:val="xl62"/>
    <w:basedOn w:val="6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19" w:customStyle="1">
    <w:name w:val="xl26"/>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20" w:customStyle="1">
    <w:name w:val="xl46"/>
    <w:basedOn w:val="67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921" w:customStyle="1">
    <w:name w:val="xl39"/>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2" w:customStyle="1">
    <w:name w:val="xl30"/>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23" w:customStyle="1">
    <w:name w:val="xl42"/>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24" w:customStyle="1">
    <w:name w:val="样式 首行缩进:  2 字符1"/>
    <w:basedOn w:val="679"/>
    <w:uiPriority w:val="99"/>
    <w:qFormat/>
    <w:pPr>
      <w:ind w:firstLine="200"/>
      <w:spacing w:line="288" w:lineRule="auto"/>
    </w:pPr>
    <w:rPr>
      <w:rFonts w:ascii="仿宋_GB2312" w:hAnsi="Times" w:eastAsia="仿宋_GB2312" w:cs="仿宋_GB2312"/>
      <w:sz w:val="32"/>
      <w:szCs w:val="32"/>
    </w:rPr>
  </w:style>
  <w:style w:type="paragraph" w:styleId="925" w:customStyle="1">
    <w:name w:val="font7"/>
    <w:basedOn w:val="679"/>
    <w:uiPriority w:val="0"/>
    <w:qFormat/>
    <w:pPr>
      <w:jc w:val="left"/>
      <w:spacing w:before="100" w:beforeAutospacing="1" w:after="100" w:afterAutospacing="1"/>
      <w:widowControl/>
    </w:pPr>
    <w:rPr>
      <w:b/>
      <w:bCs/>
      <w:i/>
      <w:iCs/>
      <w:sz w:val="20"/>
    </w:rPr>
  </w:style>
  <w:style w:type="paragraph" w:styleId="92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927" w:customStyle="1">
    <w:name w:val="xl45"/>
    <w:basedOn w:val="679"/>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928" w:customStyle="1">
    <w:name w:val="xl56"/>
    <w:basedOn w:val="6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929" w:customStyle="1">
    <w:name w:val="xl53"/>
    <w:basedOn w:val="6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30" w:customStyle="1">
    <w:name w:val="xl171"/>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31" w:customStyle="1">
    <w:name w:val="xl37"/>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932" w:customStyle="1">
    <w:name w:val="xl40"/>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33" w:customStyle="1">
    <w:name w:val="font5"/>
    <w:basedOn w:val="679"/>
    <w:uiPriority w:val="0"/>
    <w:qFormat/>
    <w:pPr>
      <w:jc w:val="left"/>
      <w:spacing w:before="100" w:beforeAutospacing="1" w:after="100" w:afterAutospacing="1"/>
      <w:widowControl/>
    </w:pPr>
    <w:rPr>
      <w:rFonts w:ascii="宋体" w:hAnsi="宋体"/>
      <w:sz w:val="18"/>
      <w:szCs w:val="18"/>
    </w:rPr>
  </w:style>
  <w:style w:type="paragraph" w:styleId="934" w:customStyle="1">
    <w:name w:val="xl48"/>
    <w:basedOn w:val="6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935" w:customStyle="1">
    <w:name w:val="Table Description"/>
    <w:basedOn w:val="679"/>
    <w:next w:val="679"/>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36" w:customStyle="1">
    <w:name w:val="xl63"/>
    <w:basedOn w:val="6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937" w:customStyle="1">
    <w:name w:val="List Paragraph1"/>
    <w:basedOn w:val="679"/>
    <w:uiPriority w:val="0"/>
    <w:qFormat/>
    <w:pPr>
      <w:ind w:firstLine="420"/>
    </w:pPr>
  </w:style>
  <w:style w:type="paragraph" w:styleId="938" w:customStyle="1">
    <w:name w:val="xl38"/>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39" w:customStyle="1">
    <w:name w:val="xl24"/>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40" w:customStyle="1">
    <w:name w:val="文件标题"/>
    <w:basedOn w:val="679"/>
    <w:uiPriority w:val="99"/>
    <w:qFormat/>
    <w:pPr>
      <w:jc w:val="center"/>
      <w:spacing w:line="640" w:lineRule="exact"/>
    </w:pPr>
    <w:rPr>
      <w:rFonts w:ascii="宋体" w:hAnsi="宋体" w:eastAsia="方正小标宋_GBK" w:cs="宋体"/>
      <w:sz w:val="44"/>
      <w:szCs w:val="44"/>
    </w:rPr>
  </w:style>
  <w:style w:type="paragraph" w:styleId="941" w:customStyle="1">
    <w:name w:val="文档正文"/>
    <w:basedOn w:val="679"/>
    <w:uiPriority w:val="0"/>
    <w:qFormat/>
    <w:pPr>
      <w:ind w:firstLine="567"/>
      <w:spacing w:line="312" w:lineRule="atLeast"/>
    </w:pPr>
    <w:rPr>
      <w:rFonts w:ascii="长城仿宋" w:eastAsia="长城仿宋"/>
      <w:sz w:val="28"/>
    </w:rPr>
  </w:style>
  <w:style w:type="paragraph" w:styleId="942" w:customStyle="1">
    <w:name w:val="xl31"/>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943" w:customStyle="1">
    <w:name w:val="font8"/>
    <w:basedOn w:val="679"/>
    <w:uiPriority w:val="0"/>
    <w:qFormat/>
    <w:pPr>
      <w:jc w:val="left"/>
      <w:spacing w:before="100" w:beforeAutospacing="1" w:after="100" w:afterAutospacing="1"/>
      <w:widowControl/>
    </w:pPr>
    <w:rPr>
      <w:rFonts w:ascii="宋体" w:hAnsi="宋体"/>
      <w:b/>
      <w:bCs/>
      <w:i/>
      <w:iCs/>
      <w:sz w:val="20"/>
    </w:rPr>
  </w:style>
  <w:style w:type="paragraph" w:styleId="944" w:customStyle="1">
    <w:name w:val="Figure Description"/>
    <w:next w:val="679"/>
    <w:uiPriority w:val="0"/>
    <w:qFormat/>
    <w:pPr>
      <w:ind w:left="1701"/>
      <w:keepNext/>
      <w:spacing w:before="320" w:after="80" w:line="240" w:lineRule="atLeast"/>
      <w:outlineLvl w:val="7"/>
    </w:pPr>
    <w:rPr>
      <w:rFonts w:hint="default" w:ascii="Times New Roman" w:hAnsi="Times New Roman" w:eastAsia="黑体" w:cs="Arial"/>
      <w:spacing w:val="-4"/>
      <w:sz w:val="21"/>
      <w:szCs w:val="21"/>
      <w:lang w:val="en-US" w:eastAsia="zh-CN" w:bidi="ar-SA"/>
    </w:rPr>
  </w:style>
  <w:style w:type="paragraph" w:styleId="945" w:customStyle="1">
    <w:name w:val="_标题 2"/>
    <w:basedOn w:val="681"/>
    <w:next w:val="911"/>
    <w:uiPriority w:val="0"/>
    <w:qFormat/>
    <w:pPr>
      <w:numPr>
        <w:ilvl w:val="1"/>
        <w:numId w:val="2"/>
      </w:numPr>
      <w:jc w:val="left"/>
      <w:keepLines/>
      <w:spacing w:before="260" w:after="260"/>
      <w:widowControl/>
    </w:pPr>
    <w:rPr>
      <w:rFonts w:ascii="微软雅黑" w:hAnsi="微软雅黑" w:eastAsia="宋体"/>
      <w:sz w:val="21"/>
      <w:szCs w:val="32"/>
    </w:rPr>
  </w:style>
  <w:style w:type="paragraph" w:styleId="946" w:customStyle="1">
    <w:name w:val="Block Label"/>
    <w:basedOn w:val="679"/>
    <w:next w:val="679"/>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947" w:customStyle="1">
    <w:name w:val="_标题 4"/>
    <w:basedOn w:val="683"/>
    <w:next w:val="911"/>
    <w:uiPriority w:val="0"/>
    <w:qFormat/>
    <w:pPr>
      <w:numPr>
        <w:ilvl w:val="3"/>
        <w:numId w:val="2"/>
      </w:numPr>
      <w:ind w:left="0" w:firstLine="283"/>
      <w:jc w:val="left"/>
      <w:keepLines/>
      <w:spacing w:before="260" w:after="260" w:line="377" w:lineRule="auto"/>
      <w:widowControl/>
    </w:pPr>
    <w:rPr>
      <w:rFonts w:ascii="微软雅黑" w:hAnsi="微软雅黑" w:eastAsia="宋体"/>
      <w:color w:val="000000"/>
      <w:sz w:val="20"/>
      <w:szCs w:val="21"/>
    </w:rPr>
  </w:style>
  <w:style w:type="paragraph" w:styleId="948" w:customStyle="1">
    <w:name w:val="Char Char Char Char"/>
    <w:basedOn w:val="694"/>
    <w:uiPriority w:val="0"/>
    <w:qFormat/>
    <w:pPr>
      <w:spacing w:line="360" w:lineRule="auto"/>
    </w:pPr>
    <w:rPr>
      <w:rFonts w:ascii="Tahoma" w:hAnsi="Tahoma"/>
      <w:sz w:val="24"/>
      <w:szCs w:val="24"/>
    </w:rPr>
  </w:style>
  <w:style w:type="paragraph" w:styleId="949" w:customStyle="1">
    <w:name w:val="xl58"/>
    <w:basedOn w:val="67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950" w:customStyle="1">
    <w:name w:val="xl60"/>
    <w:basedOn w:val="6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951" w:customStyle="1">
    <w:name w:val="xl49"/>
    <w:basedOn w:val="67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952" w:customStyle="1">
    <w:name w:val="默认段落字体 Para Char"/>
    <w:basedOn w:val="679"/>
    <w:uiPriority w:val="0"/>
    <w:qFormat/>
    <w:pPr>
      <w:ind w:left="552" w:hanging="420"/>
      <w:tabs>
        <w:tab w:val="left" w:pos="552" w:leader="none"/>
      </w:tabs>
    </w:pPr>
    <w:rPr>
      <w:sz w:val="24"/>
      <w:szCs w:val="24"/>
    </w:rPr>
  </w:style>
  <w:style w:type="paragraph" w:styleId="953" w:customStyle="1">
    <w:name w:val="xl52"/>
    <w:basedOn w:val="6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954" w:customStyle="1">
    <w:name w:val="xl55"/>
    <w:basedOn w:val="6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55" w:customStyle="1">
    <w:name w:val="xl61"/>
    <w:basedOn w:val="6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956" w:customStyle="1">
    <w:name w:val="xl36"/>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57" w:customStyle="1">
    <w:name w:val="xl57"/>
    <w:basedOn w:val="6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958" w:customStyle="1">
    <w:name w:val="xl47"/>
    <w:basedOn w:val="6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9" w:customStyle="1">
    <w:name w:val="xl27"/>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60" w:customStyle="1">
    <w:name w:val="xl28"/>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61" w:customStyle="1">
    <w:name w:val="xl41"/>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62" w:customStyle="1">
    <w:name w:val="font6"/>
    <w:basedOn w:val="679"/>
    <w:uiPriority w:val="0"/>
    <w:qFormat/>
    <w:pPr>
      <w:jc w:val="left"/>
      <w:spacing w:before="100" w:beforeAutospacing="1" w:after="100" w:afterAutospacing="1"/>
      <w:widowControl/>
    </w:pPr>
    <w:rPr>
      <w:rFonts w:ascii="宋体" w:hAnsi="宋体"/>
      <w:b/>
      <w:bCs/>
      <w:sz w:val="20"/>
    </w:rPr>
  </w:style>
  <w:style w:type="paragraph" w:styleId="963" w:customStyle="1">
    <w:name w:val="主送"/>
    <w:basedOn w:val="679"/>
    <w:next w:val="679"/>
    <w:uiPriority w:val="99"/>
    <w:qFormat/>
    <w:pPr>
      <w:spacing w:line="336" w:lineRule="auto"/>
    </w:pPr>
    <w:rPr>
      <w:rFonts w:ascii="仿宋_GB2312" w:hAnsi="Times" w:eastAsia="仿宋_GB2312" w:cs="仿宋_GB2312"/>
      <w:sz w:val="32"/>
      <w:szCs w:val="32"/>
    </w:rPr>
  </w:style>
  <w:style w:type="paragraph" w:styleId="964" w:customStyle="1">
    <w:name w:val="_Style 22"/>
    <w:basedOn w:val="679"/>
    <w:uiPriority w:val="0"/>
    <w:qFormat/>
    <w:pPr>
      <w:ind w:firstLine="200"/>
      <w:spacing w:line="300" w:lineRule="auto"/>
    </w:pPr>
    <w:rPr>
      <w:rFonts w:ascii="宋体" w:hAnsi="Calibri" w:eastAsia="等线"/>
      <w:sz w:val="24"/>
      <w:szCs w:val="22"/>
    </w:rPr>
  </w:style>
  <w:style w:type="paragraph" w:styleId="965" w:customStyle="1">
    <w:name w:val="xl34"/>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66" w:customStyle="1">
    <w:name w:val="Char Char1 Char Char Char Char"/>
    <w:basedOn w:val="694"/>
    <w:uiPriority w:val="0"/>
    <w:qFormat/>
    <w:pPr>
      <w:ind w:left="357"/>
      <w:jc w:val="left"/>
      <w:spacing w:line="436" w:lineRule="exact"/>
      <w:outlineLvl w:val="3"/>
    </w:pPr>
    <w:rPr>
      <w:rFonts w:ascii="Tahoma" w:hAnsi="Tahoma"/>
      <w:b/>
      <w:sz w:val="24"/>
      <w:szCs w:val="24"/>
    </w:rPr>
  </w:style>
  <w:style w:type="paragraph" w:styleId="967" w:customStyle="1">
    <w:name w:val="xl59"/>
    <w:basedOn w:val="6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68" w:customStyle="1">
    <w:name w:val="xl44"/>
    <w:basedOn w:val="6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969" w:customStyle="1">
    <w:name w:val="font9"/>
    <w:basedOn w:val="679"/>
    <w:uiPriority w:val="0"/>
    <w:qFormat/>
    <w:pPr>
      <w:jc w:val="left"/>
      <w:spacing w:before="100" w:beforeAutospacing="1" w:after="100" w:afterAutospacing="1"/>
      <w:widowControl/>
    </w:pPr>
    <w:rPr>
      <w:b/>
      <w:bCs/>
      <w:sz w:val="20"/>
    </w:rPr>
  </w:style>
  <w:style w:type="paragraph" w:styleId="970"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Calibri" w:hAnsi="Calibri" w:eastAsia="宋体" w:cs="Calibri"/>
      <w:sz w:val="21"/>
      <w:szCs w:val="21"/>
      <w:lang w:val="en-US" w:eastAsia="zh-CN" w:bidi="ar-SA"/>
    </w:rPr>
  </w:style>
  <w:style w:type="paragraph" w:styleId="971" w:customStyle="1">
    <w:name w:val="_Style 1"/>
    <w:basedOn w:val="679"/>
    <w:uiPriority w:val="99"/>
    <w:qFormat/>
    <w:pPr>
      <w:ind w:firstLine="420"/>
    </w:pPr>
    <w:rPr>
      <w:szCs w:val="22"/>
    </w:rPr>
  </w:style>
  <w:style w:type="paragraph" w:styleId="972" w:customStyle="1">
    <w:name w:val="Body"/>
    <w:uiPriority w:val="0"/>
    <w:qFormat/>
    <w:pPr>
      <w:spacing w:before="130" w:after="130" w:line="260" w:lineRule="exact"/>
    </w:pPr>
    <w:rPr>
      <w:rFonts w:hint="default" w:ascii="Univers" w:hAnsi="Univers" w:eastAsia="宋体" w:cs="Times New Roman"/>
      <w:color w:val="000000"/>
      <w:sz w:val="22"/>
      <w:lang w:val="en-US" w:eastAsia="en-US" w:bidi="ar-SA"/>
    </w:rPr>
  </w:style>
  <w:style w:type="paragraph" w:styleId="973" w:customStyle="1">
    <w:name w:val="列出段落1"/>
    <w:basedOn w:val="679"/>
    <w:uiPriority w:val="0"/>
    <w:qFormat/>
    <w:pPr>
      <w:ind w:firstLine="420"/>
    </w:pPr>
    <w:rPr>
      <w:sz w:val="20"/>
    </w:rPr>
  </w:style>
  <w:style w:type="paragraph" w:styleId="97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5" w:customStyle="1">
    <w:name w:val="xl33"/>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76" w:customStyle="1">
    <w:name w:val="font11"/>
    <w:basedOn w:val="679"/>
    <w:uiPriority w:val="0"/>
    <w:qFormat/>
    <w:pPr>
      <w:jc w:val="left"/>
      <w:spacing w:before="100" w:beforeAutospacing="1" w:after="100" w:afterAutospacing="1"/>
      <w:widowControl/>
    </w:pPr>
    <w:rPr>
      <w:b/>
      <w:bCs/>
      <w:sz w:val="18"/>
      <w:szCs w:val="18"/>
    </w:rPr>
  </w:style>
  <w:style w:type="paragraph" w:styleId="977" w:customStyle="1">
    <w:name w:val="xl25"/>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78" w:customStyle="1">
    <w:name w:val=" Char1"/>
    <w:basedOn w:val="679"/>
    <w:uiPriority w:val="0"/>
    <w:qFormat/>
    <w:pPr>
      <w:jc w:val="left"/>
      <w:spacing w:after="160" w:line="240" w:lineRule="exact"/>
      <w:widowControl/>
    </w:pPr>
  </w:style>
  <w:style w:type="paragraph" w:styleId="979"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980" w:customStyle="1">
    <w:name w:val="普通文字"/>
    <w:basedOn w:val="679"/>
    <w:next w:val="679"/>
    <w:uiPriority w:val="0"/>
    <w:qFormat/>
    <w:rPr>
      <w:rFonts w:ascii="宋体"/>
      <w:sz w:val="24"/>
      <w:u w:val="none"/>
    </w:rPr>
  </w:style>
  <w:style w:type="paragraph" w:styleId="981" w:customStyle="1">
    <w:name w:val="font12"/>
    <w:basedOn w:val="679"/>
    <w:uiPriority w:val="0"/>
    <w:qFormat/>
    <w:pPr>
      <w:jc w:val="left"/>
      <w:spacing w:before="100" w:beforeAutospacing="1" w:after="100" w:afterAutospacing="1"/>
      <w:widowControl/>
    </w:pPr>
    <w:rPr>
      <w:rFonts w:ascii="宋体" w:hAnsi="宋体"/>
      <w:sz w:val="36"/>
      <w:szCs w:val="36"/>
    </w:rPr>
  </w:style>
  <w:style w:type="paragraph" w:styleId="982" w:customStyle="1">
    <w:name w:val="xl35"/>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983" w:customStyle="1">
    <w:name w:val="_标题 1"/>
    <w:basedOn w:val="679"/>
    <w:next w:val="911"/>
    <w:uiPriority w:val="0"/>
    <w:qFormat/>
    <w:pPr>
      <w:numPr>
        <w:ilvl w:val="0"/>
        <w:numId w:val="2"/>
      </w:numPr>
      <w:ind w:firstLine="0"/>
      <w:jc w:val="center"/>
      <w:keepLines/>
      <w:keepNext/>
      <w:pageBreakBefore/>
      <w:spacing w:before="340" w:after="330"/>
      <w:widowControl/>
      <w:outlineLvl w:val="0"/>
    </w:pPr>
    <w:rPr>
      <w:rFonts w:ascii="微软雅黑" w:hAnsi="微软雅黑"/>
      <w:b/>
      <w:bCs/>
      <w:sz w:val="32"/>
      <w:szCs w:val="28"/>
    </w:rPr>
  </w:style>
  <w:style w:type="paragraph" w:styleId="984" w:customStyle="1">
    <w:name w:val="_标题 3"/>
    <w:basedOn w:val="682"/>
    <w:next w:val="911"/>
    <w:uiPriority w:val="0"/>
    <w:qFormat/>
    <w:pPr>
      <w:numPr>
        <w:ilvl w:val="2"/>
        <w:numId w:val="2"/>
      </w:numPr>
      <w:jc w:val="left"/>
      <w:keepLines/>
      <w:spacing w:before="260" w:after="260"/>
      <w:widowControl/>
    </w:pPr>
    <w:rPr>
      <w:rFonts w:ascii="微软雅黑" w:hAnsi="微软雅黑" w:eastAsia="宋体"/>
      <w:sz w:val="21"/>
      <w:szCs w:val="21"/>
    </w:rPr>
  </w:style>
  <w:style w:type="paragraph" w:styleId="985" w:customStyle="1">
    <w:name w:val="xl50"/>
    <w:basedOn w:val="6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986" w:customStyle="1">
    <w:name w:val="Step"/>
    <w:basedOn w:val="679"/>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987" w:customStyle="1">
    <w:name w:val="xl32"/>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88" w:customStyle="1">
    <w:name w:val="font14"/>
    <w:basedOn w:val="679"/>
    <w:uiPriority w:val="0"/>
    <w:qFormat/>
    <w:pPr>
      <w:jc w:val="left"/>
      <w:spacing w:before="100" w:beforeAutospacing="1" w:after="100" w:afterAutospacing="1"/>
      <w:widowControl/>
    </w:pPr>
    <w:rPr>
      <w:sz w:val="36"/>
      <w:szCs w:val="36"/>
    </w:rPr>
  </w:style>
  <w:style w:type="paragraph" w:styleId="989" w:customStyle="1">
    <w:name w:val="彩色列表 - 着色 11"/>
    <w:basedOn w:val="679"/>
    <w:uiPriority w:val="34"/>
    <w:qFormat/>
    <w:pPr>
      <w:ind w:firstLine="420"/>
    </w:pPr>
    <w:rPr>
      <w:szCs w:val="24"/>
    </w:rPr>
  </w:style>
  <w:style w:type="paragraph" w:styleId="990" w:customStyle="1">
    <w:name w:val="font10"/>
    <w:basedOn w:val="679"/>
    <w:uiPriority w:val="0"/>
    <w:qFormat/>
    <w:pPr>
      <w:jc w:val="left"/>
      <w:spacing w:before="100" w:beforeAutospacing="1" w:after="100" w:afterAutospacing="1"/>
      <w:widowControl/>
    </w:pPr>
    <w:rPr>
      <w:rFonts w:ascii="楷体_GB2312" w:hAnsi="宋体" w:eastAsia="楷体_GB2312"/>
      <w:b/>
      <w:bCs/>
      <w:sz w:val="18"/>
      <w:szCs w:val="18"/>
    </w:rPr>
  </w:style>
  <w:style w:type="character" w:styleId="991" w:customStyle="1">
    <w:name w:val="正文文本 字符"/>
    <w:uiPriority w:val="0"/>
    <w:semiHidden/>
    <w:qFormat/>
    <w:rPr>
      <w:rFonts w:cs="Times New Roman"/>
      <w:sz w:val="20"/>
      <w:szCs w:val="20"/>
    </w:rPr>
  </w:style>
  <w:style w:type="character" w:styleId="992" w:customStyle="1">
    <w:name w:val="页脚 字符"/>
    <w:uiPriority w:val="99"/>
    <w:qFormat/>
    <w:rPr>
      <w:rFonts w:cs="Times New Roman"/>
      <w:sz w:val="18"/>
      <w:szCs w:val="18"/>
    </w:rPr>
  </w:style>
  <w:style w:type="character" w:styleId="993" w:customStyle="1">
    <w:name w:val="正文文本缩进 字符"/>
    <w:uiPriority w:val="0"/>
    <w:semiHidden/>
    <w:qFormat/>
    <w:rPr>
      <w:rFonts w:cs="Times New Roman"/>
      <w:sz w:val="20"/>
      <w:szCs w:val="20"/>
    </w:rPr>
  </w:style>
  <w:style w:type="character" w:styleId="994" w:customStyle="1">
    <w:name w:val="批注框文本 字符"/>
    <w:uiPriority w:val="0"/>
    <w:qFormat/>
    <w:rPr>
      <w:sz w:val="18"/>
      <w:szCs w:val="18"/>
    </w:rPr>
  </w:style>
  <w:style w:type="character" w:styleId="995" w:customStyle="1">
    <w:name w:val="批注主题 字符"/>
    <w:uiPriority w:val="99"/>
    <w:semiHidden/>
    <w:qFormat/>
    <w:rPr>
      <w:b/>
      <w:bCs/>
      <w:sz w:val="21"/>
    </w:rPr>
  </w:style>
  <w:style w:type="character" w:styleId="996" w:customStyle="1">
    <w:name w:val="正文文本缩进 2 字符"/>
    <w:uiPriority w:val="0"/>
    <w:semiHidden/>
    <w:qFormat/>
    <w:rPr>
      <w:rFonts w:cs="Times New Roman"/>
      <w:sz w:val="20"/>
      <w:szCs w:val="20"/>
    </w:rPr>
  </w:style>
  <w:style w:type="character" w:styleId="997" w:customStyle="1">
    <w:name w:val="正文文本 2 字符"/>
    <w:uiPriority w:val="0"/>
    <w:semiHidden/>
    <w:qFormat/>
    <w:rPr>
      <w:rFonts w:cs="Times New Roman"/>
      <w:sz w:val="20"/>
      <w:szCs w:val="20"/>
    </w:rPr>
  </w:style>
  <w:style w:type="character" w:styleId="998" w:customStyle="1">
    <w:name w:val="正文文本缩进 3 字符"/>
    <w:uiPriority w:val="0"/>
    <w:semiHidden/>
    <w:qFormat/>
    <w:rPr>
      <w:rFonts w:cs="Times New Roman"/>
      <w:sz w:val="16"/>
      <w:szCs w:val="16"/>
    </w:rPr>
  </w:style>
  <w:style w:type="character" w:styleId="999" w:customStyle="1">
    <w:name w:val="标题 字符"/>
    <w:uiPriority w:val="99"/>
    <w:qFormat/>
    <w:rPr>
      <w:rFonts w:ascii="Cambria" w:hAnsi="Cambria" w:cs="Cambria"/>
      <w:b/>
      <w:bCs/>
      <w:sz w:val="32"/>
      <w:szCs w:val="32"/>
    </w:rPr>
  </w:style>
  <w:style w:type="character" w:styleId="1000" w:customStyle="1">
    <w:name w:val="文档结构图 字符"/>
    <w:uiPriority w:val="0"/>
    <w:semiHidden/>
    <w:qFormat/>
    <w:rPr>
      <w:rFonts w:cs="Times New Roman"/>
      <w:sz w:val="2"/>
    </w:rPr>
  </w:style>
  <w:style w:type="character" w:styleId="1001" w:customStyle="1">
    <w:name w:val="日期 字符"/>
    <w:uiPriority w:val="0"/>
    <w:semiHidden/>
    <w:qFormat/>
    <w:rPr>
      <w:rFonts w:cs="Times New Roman"/>
      <w:sz w:val="20"/>
      <w:szCs w:val="20"/>
    </w:rPr>
  </w:style>
  <w:style w:type="character" w:styleId="1002" w:customStyle="1">
    <w:name w:val="标题 2 字符"/>
    <w:uiPriority w:val="0"/>
    <w:semiHidden/>
    <w:qFormat/>
    <w:rPr>
      <w:rFonts w:ascii="Cambria" w:hAnsi="Cambria" w:eastAsia="宋体" w:cs="Times New Roman"/>
      <w:b/>
      <w:bCs/>
      <w:sz w:val="32"/>
      <w:szCs w:val="32"/>
    </w:rPr>
  </w:style>
  <w:style w:type="character" w:styleId="1003" w:customStyle="1">
    <w:name w:val="副标题 字符"/>
    <w:uiPriority w:val="11"/>
    <w:qFormat/>
    <w:rPr>
      <w:rFonts w:ascii="Calibri Light" w:hAnsi="Calibri Light"/>
      <w:b/>
      <w:bCs/>
      <w:sz w:val="32"/>
      <w:szCs w:val="32"/>
    </w:rPr>
  </w:style>
  <w:style w:type="character" w:styleId="1004" w:customStyle="1">
    <w:name w:val="标题 4 字符"/>
    <w:uiPriority w:val="0"/>
    <w:semiHidden/>
    <w:qFormat/>
    <w:rPr>
      <w:rFonts w:ascii="Cambria" w:hAnsi="Cambria" w:eastAsia="宋体" w:cs="Times New Roman"/>
      <w:b/>
      <w:bCs/>
      <w:sz w:val="28"/>
      <w:szCs w:val="28"/>
    </w:rPr>
  </w:style>
  <w:style w:type="character" w:styleId="1005" w:customStyle="1">
    <w:name w:val="标题 1 字符"/>
    <w:uiPriority w:val="0"/>
    <w:qFormat/>
    <w:rPr>
      <w:rFonts w:cs="Times New Roman"/>
      <w:b/>
      <w:bCs/>
      <w:sz w:val="44"/>
      <w:szCs w:val="44"/>
    </w:rPr>
  </w:style>
  <w:style w:type="character" w:styleId="1006" w:customStyle="1">
    <w:name w:val="列出段落 字符1"/>
    <w:uiPriority w:val="34"/>
    <w:qFormat/>
    <w:rPr>
      <w:sz w:val="21"/>
    </w:rPr>
  </w:style>
  <w:style w:type="character" w:styleId="1007" w:customStyle="1">
    <w:name w:val="标题 5 字符"/>
    <w:uiPriority w:val="0"/>
    <w:qFormat/>
    <w:rPr>
      <w:rFonts w:ascii="楷体_GB2312" w:eastAsia="楷体_GB2312"/>
      <w:bCs/>
      <w:sz w:val="28"/>
    </w:rPr>
  </w:style>
  <w:style w:type="character" w:styleId="1008" w:customStyle="1">
    <w:name w:val="页眉 字符"/>
    <w:uiPriority w:val="99"/>
    <w:qFormat/>
    <w:rPr>
      <w:rFonts w:cs="Times New Roman"/>
      <w:sz w:val="18"/>
      <w:szCs w:val="18"/>
    </w:rPr>
  </w:style>
  <w:style w:type="character" w:styleId="1009" w:customStyle="1">
    <w:name w:val="批注文字 字符"/>
    <w:uiPriority w:val="99"/>
    <w:semiHidden/>
    <w:qFormat/>
    <w:rPr>
      <w:sz w:val="21"/>
    </w:rPr>
  </w:style>
  <w:style w:type="paragraph" w:styleId="101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11" w:customStyle="1">
    <w:name w:val="Char1 Char Char Char"/>
    <w:basedOn w:val="679"/>
    <w:uiPriority w:val="0"/>
    <w:qFormat/>
    <w:rPr>
      <w:rFonts w:ascii="Tahoma" w:hAnsi="Tahoma"/>
      <w:sz w:val="24"/>
    </w:rPr>
  </w:style>
  <w:style w:type="paragraph" w:styleId="1012">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Normal_0_1"/>
    <w:uiPriority w:val="0"/>
    <w:qFormat/>
    <w:rPr>
      <w:rFonts w:hint="default" w:ascii="Calibri" w:hAnsi="Calibri" w:eastAsia="Times New Roman" w:cs="Times New Roman"/>
      <w:sz w:val="24"/>
      <w:szCs w:val="24"/>
      <w:lang w:val="en-US" w:eastAsia="zh-CN" w:bidi="ar-SA"/>
    </w:rPr>
  </w:style>
  <w:style w:type="paragraph" w:styleId="1014" w:customStyle="1">
    <w:name w:val="段"/>
    <w:next w:val="679"/>
    <w:uiPriority w:val="99"/>
    <w:qFormat/>
    <w:pPr>
      <w:ind w:firstLine="200"/>
      <w:jc w:val="both"/>
    </w:pPr>
    <w:rPr>
      <w:rFonts w:hint="default" w:ascii="宋体" w:hAnsi="Times New Roman" w:eastAsia="Times New Roman" w:cs="Times New Roman"/>
      <w:sz w:val="21"/>
      <w:lang w:val="en-US" w:eastAsia="zh-CN" w:bidi="ar-SA"/>
    </w:rPr>
  </w:style>
  <w:style w:type="character" w:styleId="1015" w:customStyle="1">
    <w:name w:val="NormalCharacter"/>
    <w:uiPriority w:val="0"/>
    <w:qFormat/>
  </w:style>
  <w:style w:type="paragraph" w:styleId="1016" w:customStyle="1">
    <w:name w:val="02-标书-标题2"/>
    <w:uiPriority w:val="0"/>
    <w:qFormat/>
    <w:pPr>
      <w:numPr>
        <w:ilvl w:val="1"/>
        <w:numId w:val="3"/>
      </w:numPr>
      <w:spacing w:line="360" w:lineRule="auto"/>
      <w:outlineLvl w:val="1"/>
    </w:pPr>
    <w:rPr>
      <w:rFonts w:hint="default" w:ascii="黑体" w:hAnsi="宋体" w:eastAsia="黑体" w:cs="Calibri"/>
      <w:sz w:val="32"/>
      <w:szCs w:val="28"/>
      <w:lang w:val="en-US" w:eastAsia="zh-CN" w:bidi="ar-SA"/>
    </w:rPr>
  </w:style>
  <w:style w:type="character" w:styleId="1017" w:customStyle="1">
    <w:name w:val="font101"/>
    <w:basedOn w:val="689"/>
    <w:uiPriority w:val="0"/>
    <w:qFormat/>
    <w:rPr>
      <w:rFonts w:hint="default" w:ascii="Times New Roman" w:hAnsi="Times New Roman" w:cs="Times New Roman"/>
      <w:b/>
      <w:bCs/>
      <w:color w:val="ff0000"/>
      <w:sz w:val="16"/>
      <w:szCs w:val="16"/>
      <w:u w:val="none"/>
    </w:rPr>
  </w:style>
  <w:style w:type="paragraph" w:styleId="1018" w:customStyle="1">
    <w:name w:val="Body text|1"/>
    <w:basedOn w:val="679"/>
    <w:uiPriority w:val="0"/>
    <w:qFormat/>
    <w:pPr>
      <w:ind w:firstLine="400"/>
      <w:spacing w:line="430" w:lineRule="auto"/>
    </w:pPr>
    <w:rPr>
      <w:rFonts w:ascii="宋体" w:hAnsi="宋体" w:cs="宋体"/>
      <w:sz w:val="42"/>
      <w:szCs w:val="42"/>
      <w:lang w:val="zh-TW" w:eastAsia="zh-TW" w:bidi="zh-TW"/>
    </w:rPr>
  </w:style>
  <w:style w:type="paragraph" w:styleId="1019" w:customStyle="1">
    <w:name w:val="纯文本1"/>
    <w:basedOn w:val="679"/>
    <w:uiPriority w:val="0"/>
    <w:qFormat/>
    <w:rPr>
      <w:rFonts w:ascii="宋体" w:hAnsi="Courier New" w:eastAsia="楷体_GB2312" w:cs="宋体"/>
      <w:sz w:val="28"/>
    </w:rPr>
  </w:style>
  <w:style w:type="character" w:styleId="1020" w:customStyle="1">
    <w:name w:val="批注引用1"/>
    <w:basedOn w:val="1021"/>
    <w:uiPriority w:val="0"/>
    <w:semiHidden/>
    <w:qFormat/>
    <w:rPr>
      <w:sz w:val="21"/>
      <w:lang w:val="en-US" w:eastAsia="zh-CN" w:bidi="ar-SA"/>
    </w:rPr>
  </w:style>
  <w:style w:type="character" w:styleId="1021" w:customStyle="1">
    <w:name w:val="默认段落字体1"/>
    <w:uiPriority w:val="1"/>
    <w:unhideWhenUsed/>
    <w:qFormat/>
  </w:style>
  <w:style w:type="paragraph" w:styleId="1022" w:customStyle="1">
    <w:name w:val="标题 31"/>
    <w:basedOn w:val="679"/>
    <w:next w:val="102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23" w:customStyle="1">
    <w:name w:val="正文缩进1"/>
    <w:basedOn w:val="679"/>
    <w:uiPriority w:val="0"/>
    <w:qFormat/>
    <w:pPr>
      <w:ind w:firstLine="420"/>
    </w:pPr>
    <w:rPr>
      <w:sz w:val="20"/>
    </w:rPr>
  </w:style>
  <w:style w:type="paragraph" w:styleId="1024" w:customStyle="1">
    <w:name w:val="标题 41"/>
    <w:basedOn w:val="679"/>
    <w:next w:val="1023"/>
    <w:uiPriority w:val="0"/>
    <w:qFormat/>
    <w:pPr>
      <w:keepLines/>
      <w:keepNext/>
      <w:spacing w:before="280" w:after="290" w:line="376" w:lineRule="auto"/>
      <w:outlineLvl w:val="3"/>
    </w:pPr>
    <w:rPr>
      <w:rFonts w:ascii="Arial" w:hAnsi="Arial" w:eastAsia="黑体"/>
      <w:b/>
      <w:bCs/>
      <w:sz w:val="28"/>
      <w:szCs w:val="28"/>
    </w:rPr>
  </w:style>
  <w:style w:type="paragraph" w:styleId="1025" w:customStyle="1">
    <w:name w:val="Table Text"/>
    <w:basedOn w:val="679"/>
    <w:uiPriority w:val="0"/>
    <w:semiHidden/>
    <w:qFormat/>
    <w:rPr>
      <w:szCs w:val="21"/>
      <w:lang w:eastAsia="en-US"/>
    </w:rPr>
  </w:style>
  <w:style w:type="paragraph" w:styleId="1026" w:customStyle="1">
    <w:name w:val="普通正文"/>
    <w:basedOn w:val="679"/>
    <w:uiPriority w:val="0"/>
    <w:qFormat/>
    <w:pPr>
      <w:ind w:firstLine="480"/>
      <w:jc w:val="left"/>
      <w:spacing w:before="120" w:after="120" w:line="360" w:lineRule="auto"/>
    </w:pPr>
    <w:rPr>
      <w:rFonts w:ascii="Arial" w:hAnsi="Arial"/>
      <w:sz w:val="24"/>
      <w:szCs w:val="24"/>
    </w:rPr>
  </w:style>
  <w:style w:type="paragraph" w:styleId="1027" w:customStyle="1">
    <w:name w:val="Char"/>
    <w:basedOn w:val="679"/>
    <w:uiPriority w:val="0"/>
    <w:qFormat/>
    <w:pPr>
      <w:ind w:firstLine="200"/>
      <w:tabs>
        <w:tab w:val="left" w:pos="360" w:leader="none"/>
      </w:tabs>
    </w:pPr>
    <w:rPr>
      <w:sz w:val="28"/>
      <w:szCs w:val="30"/>
    </w:rPr>
  </w:style>
  <w:style w:type="character" w:styleId="1028" w:customStyle="1">
    <w:name w:val="HTML 打字机1"/>
    <w:uiPriority w:val="99"/>
    <w:qFormat/>
    <w:rPr>
      <w:rFonts w:ascii="宋体" w:hAnsi="宋体" w:eastAsia="宋体" w:cs="宋体"/>
      <w:sz w:val="24"/>
      <w:szCs w:val="24"/>
    </w:rPr>
  </w:style>
  <w:style w:type="paragraph" w:styleId="1029" w:customStyle="1">
    <w:name w:val="列出段落3"/>
    <w:basedOn w:val="679"/>
    <w:uiPriority w:val="0"/>
    <w:qFormat/>
    <w:pPr>
      <w:ind w:firstLine="420"/>
    </w:pPr>
  </w:style>
  <w:style w:type="paragraph" w:styleId="1030" w:customStyle="1">
    <w:name w:val="列表段落1"/>
    <w:basedOn w:val="679"/>
    <w:uiPriority w:val="0"/>
    <w:qFormat/>
    <w:pPr>
      <w:ind w:firstLine="420"/>
    </w:pPr>
  </w:style>
  <w:style w:type="character" w:styleId="1031" w:customStyle="1">
    <w:name w:val="font122"/>
    <w:basedOn w:val="689"/>
    <w:uiPriority w:val="0"/>
    <w:qFormat/>
    <w:rPr>
      <w:rFonts w:hint="eastAsia" w:ascii="等线" w:hAnsi="等线" w:eastAsia="等线" w:cs="等线"/>
      <w:color w:val="ff0000"/>
      <w:sz w:val="16"/>
      <w:szCs w:val="16"/>
      <w:u w:val="none"/>
    </w:rPr>
  </w:style>
  <w:style w:type="character" w:styleId="1032" w:customStyle="1">
    <w:name w:val="font91"/>
    <w:basedOn w:val="689"/>
    <w:uiPriority w:val="0"/>
    <w:qFormat/>
    <w:rPr>
      <w:rFonts w:hint="eastAsia" w:ascii="等线" w:hAnsi="等线" w:eastAsia="等线" w:cs="等线"/>
      <w:color w:val="000000"/>
      <w:sz w:val="16"/>
      <w:szCs w:val="16"/>
      <w:u w:val="none"/>
    </w:rPr>
  </w:style>
  <w:style w:type="character" w:styleId="1033" w:customStyle="1">
    <w:name w:val="font131"/>
    <w:basedOn w:val="689"/>
    <w:uiPriority w:val="0"/>
    <w:qFormat/>
    <w:rPr>
      <w:rFonts w:hint="eastAsia" w:ascii="等线" w:hAnsi="等线" w:eastAsia="等线" w:cs="等线"/>
      <w:color w:val="000000"/>
      <w:sz w:val="16"/>
      <w:szCs w:val="16"/>
      <w:u w:val="none"/>
      <w:vertAlign w:val="superscript"/>
    </w:rPr>
  </w:style>
  <w:style w:type="character" w:styleId="1034" w:customStyle="1">
    <w:name w:val="font51"/>
    <w:basedOn w:val="689"/>
    <w:uiPriority w:val="0"/>
    <w:qFormat/>
    <w:rPr>
      <w:rFonts w:hint="eastAsia" w:ascii="等线" w:hAnsi="等线" w:eastAsia="等线" w:cs="等线"/>
      <w:color w:val="000000"/>
      <w:sz w:val="16"/>
      <w:szCs w:val="16"/>
      <w:u w:val="none"/>
    </w:rPr>
  </w:style>
  <w:style w:type="character" w:styleId="1035" w:customStyle="1">
    <w:name w:val="font141"/>
    <w:basedOn w:val="689"/>
    <w:uiPriority w:val="0"/>
    <w:qFormat/>
    <w:rPr>
      <w:rFonts w:ascii="Arial" w:hAnsi="Arial" w:cs="Arial"/>
      <w:color w:val="000000"/>
      <w:sz w:val="16"/>
      <w:szCs w:val="16"/>
      <w:u w:val="none"/>
    </w:rPr>
  </w:style>
  <w:style w:type="character" w:styleId="1036" w:customStyle="1">
    <w:name w:val="font151"/>
    <w:basedOn w:val="689"/>
    <w:uiPriority w:val="0"/>
    <w:qFormat/>
    <w:rPr>
      <w:rFonts w:hint="default" w:ascii="Arial" w:hAnsi="Arial" w:cs="Arial"/>
      <w:color w:val="000000"/>
      <w:sz w:val="16"/>
      <w:szCs w:val="16"/>
      <w:u w:val="none"/>
    </w:rPr>
  </w:style>
  <w:style w:type="character" w:styleId="1037" w:customStyle="1">
    <w:name w:val="font161"/>
    <w:basedOn w:val="689"/>
    <w:uiPriority w:val="0"/>
    <w:qFormat/>
    <w:rPr>
      <w:rFonts w:hint="eastAsia" w:ascii="等线" w:hAnsi="等线" w:eastAsia="等线" w:cs="等线"/>
      <w:color w:val="000000"/>
      <w:sz w:val="16"/>
      <w:szCs w:val="16"/>
      <w:u w:val="none"/>
      <w:vertAlign w:val="superscript"/>
    </w:rPr>
  </w:style>
  <w:style w:type="character" w:styleId="1038" w:customStyle="1">
    <w:name w:val="font171"/>
    <w:basedOn w:val="689"/>
    <w:uiPriority w:val="0"/>
    <w:qFormat/>
    <w:rPr>
      <w:rFonts w:hint="default" w:ascii="Arial" w:hAnsi="Arial" w:cs="Arial"/>
      <w:color w:val="000000"/>
      <w:sz w:val="16"/>
      <w:szCs w:val="16"/>
      <w:u w:val="none"/>
    </w:rPr>
  </w:style>
  <w:style w:type="character" w:styleId="1039" w:customStyle="1">
    <w:name w:val="font181"/>
    <w:basedOn w:val="689"/>
    <w:uiPriority w:val="0"/>
    <w:qFormat/>
    <w:rPr>
      <w:rFonts w:ascii="微软雅黑" w:hAnsi="微软雅黑" w:eastAsia="微软雅黑" w:cs="微软雅黑"/>
      <w:color w:val="000000"/>
      <w:sz w:val="16"/>
      <w:szCs w:val="16"/>
      <w:u w:val="none"/>
    </w:rPr>
  </w:style>
  <w:style w:type="character" w:styleId="1040" w:customStyle="1">
    <w:name w:val="font191"/>
    <w:basedOn w:val="689"/>
    <w:uiPriority w:val="0"/>
    <w:qFormat/>
    <w:rPr>
      <w:rFonts w:hint="eastAsia" w:ascii="微软雅黑" w:hAnsi="微软雅黑" w:eastAsia="微软雅黑" w:cs="微软雅黑"/>
      <w:color w:val="ff0000"/>
      <w:sz w:val="16"/>
      <w:szCs w:val="16"/>
      <w:u w:val="none"/>
    </w:rPr>
  </w:style>
  <w:style w:type="paragraph" w:styleId="1041" w:customStyle="1">
    <w:name w:val="正文格式"/>
    <w:basedOn w:val="679"/>
    <w:uiPriority w:val="0"/>
    <w:qFormat/>
    <w:pPr>
      <w:ind w:firstLine="482"/>
      <w:spacing w:line="360" w:lineRule="auto"/>
      <w:widowControl/>
    </w:pPr>
    <w:rPr>
      <w:sz w:val="24"/>
    </w:rPr>
  </w:style>
  <w:style w:type="paragraph" w:styleId="1042" w:customStyle="1">
    <w:name w:val="并列项-点"/>
    <w:basedOn w:val="679"/>
    <w:uiPriority w:val="0"/>
    <w:qFormat/>
    <w:pPr>
      <w:ind w:left="1200" w:hanging="720"/>
      <w:spacing w:line="360" w:lineRule="auto"/>
      <w:widowControl/>
      <w:tabs>
        <w:tab w:val="left" w:pos="851" w:leader="none"/>
        <w:tab w:val="left" w:pos="1200" w:leader="none"/>
      </w:tabs>
    </w:pPr>
    <w:rPr>
      <w:rFonts w:ascii="Calibri" w:hAnsi="Calibri" w:eastAsia="宋体" w:cs="Times New Roman"/>
      <w:sz w:val="24"/>
      <w:szCs w:val="22"/>
    </w:rPr>
  </w:style>
  <w:style w:type="paragraph" w:styleId="1043" w:customStyle="1">
    <w:name w:val="BodyText1I2"/>
    <w:basedOn w:val="1044"/>
    <w:uiPriority w:val="99"/>
    <w:qFormat/>
    <w:pPr>
      <w:ind w:left="0" w:firstLine="420"/>
    </w:pPr>
  </w:style>
  <w:style w:type="paragraph" w:styleId="1044" w:customStyle="1">
    <w:name w:val="BodyTextIndent"/>
    <w:basedOn w:val="679"/>
    <w:uiPriority w:val="99"/>
    <w:qFormat/>
    <w:pPr>
      <w:ind w:left="257"/>
      <w:spacing w:line="360" w:lineRule="auto"/>
    </w:pPr>
    <w:rPr>
      <w:rFonts w:ascii="宋体" w:hAnsi="宋体" w:eastAsia="仿宋_GB2312"/>
      <w:b/>
      <w:sz w:val="24"/>
    </w:rPr>
  </w:style>
  <w:style w:type="numbering" w:styleId="83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138</cp:revision>
  <dcterms:created xsi:type="dcterms:W3CDTF">2017-01-17T02:34:00Z</dcterms:created>
  <dcterms:modified xsi:type="dcterms:W3CDTF">2026-05-22T02:29:47Z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DCD7F5C2E5BA4E1AB799C06193F75B21_13</vt:lpwstr>
  </property>
  <property fmtid="{D5CDD505-2E9C-101B-9397-08002B2CF9AE}" pid="4" name="KSOTemplateDocerSaveRecord">
    <vt:lpwstr>eyJoZGlkIjoiOWMyNDI3ZWI4YmM0NjdlMGViOTE3ODY3YTk2NzY2YzYiLCJ1c2VySWQiOiI5MjgxOTkyNDUifQ==</vt:lpwstr>
  </property>
</Properties>
</file>