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300"/>
        <w:spacing w:line="360" w:lineRule="auto"/>
        <w:rPr>
          <w:rFonts w:hint="eastAsia" w:ascii="宋体" w:hAnsi="宋体" w:eastAsia="宋体" w:cs="宋体"/>
          <w:color w:val="000000"/>
          <w:sz w:val="60"/>
          <w:szCs w:val="60"/>
          <w:highlight w:val="none"/>
        </w:rPr>
      </w:pPr>
      <w:r>
        <w:rPr>
          <w:rFonts w:hint="eastAsia" w:ascii="宋体" w:hAnsi="宋体" w:eastAsia="宋体" w:cs="宋体"/>
          <w:color w:val="000000"/>
          <w:sz w:val="60"/>
          <w:szCs w:val="60"/>
          <w:highlight w:val="none"/>
        </w:rPr>
      </w:r>
      <w:r/>
    </w:p>
    <w:p>
      <w:pPr>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t xml:space="preserve">常州市政府采购项目</w:t>
      </w:r>
      <w:r/>
    </w:p>
    <w:p>
      <w:pPr>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t xml:space="preserve">公开招标文件</w:t>
      </w:r>
      <w:r/>
    </w:p>
    <w:p>
      <w:pPr>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r>
      <w:r/>
    </w:p>
    <w:p>
      <w:pPr>
        <w:jc w:val="center"/>
        <w:spacing w:line="360" w:lineRule="auto"/>
        <w:rPr>
          <w:rFonts w:hint="eastAsia" w:ascii="宋体" w:hAnsi="宋体" w:eastAsia="宋体" w:cs="宋体"/>
          <w:color w:val="000000"/>
          <w:sz w:val="60"/>
          <w:szCs w:val="60"/>
          <w:highlight w:val="none"/>
        </w:rPr>
      </w:pPr>
      <w:r/>
      <w:bookmarkStart w:id="481" w:name="_GoBack"/>
      <w:r/>
      <w:bookmarkEnd w:id="481"/>
      <w:r/>
      <w:r/>
    </w:p>
    <w:p>
      <w:pPr>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项目名称：</w:t>
      </w:r>
      <w:r>
        <w:rPr>
          <w:rFonts w:hint="eastAsia" w:ascii="宋体" w:hAnsi="宋体" w:eastAsia="宋体" w:cs="宋体"/>
          <w:bCs/>
          <w:color w:val="000000"/>
          <w:sz w:val="36"/>
          <w:szCs w:val="36"/>
          <w:highlight w:val="none"/>
          <w:lang w:val="en-US" w:eastAsia="zh-CN"/>
        </w:rPr>
        <w:t xml:space="preserve">常州市新北区龙虎塘中学改扩建项目实验室及专用教室设备采购</w:t>
      </w:r>
      <w:r/>
    </w:p>
    <w:p>
      <w:pPr>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eastAsia="宋体" w:cs="宋体"/>
          <w:bCs/>
          <w:color w:val="000000"/>
          <w:sz w:val="36"/>
          <w:szCs w:val="36"/>
          <w:highlight w:val="none"/>
        </w:rPr>
        <w:t xml:space="preserve">项目编号/包号：</w:t>
      </w:r>
      <w:r>
        <w:rPr>
          <w:rFonts w:hint="eastAsia" w:ascii="宋体" w:hAnsi="宋体" w:cs="宋体"/>
          <w:bCs/>
          <w:color w:val="000000"/>
          <w:sz w:val="36"/>
          <w:szCs w:val="36"/>
          <w:highlight w:val="none"/>
          <w:lang w:eastAsia="zh-CN"/>
        </w:rPr>
        <w:t xml:space="preserve">JSZC-320411009-JDGS-G2026-0030</w:t>
      </w:r>
      <w:r/>
    </w:p>
    <w:p>
      <w:pPr>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eastAsia="宋体" w:cs="宋体"/>
          <w:bCs/>
          <w:color w:val="000000"/>
          <w:sz w:val="36"/>
          <w:szCs w:val="36"/>
          <w:highlight w:val="none"/>
        </w:rPr>
        <w:t xml:space="preserve">采购人：</w:t>
      </w:r>
      <w:r>
        <w:rPr>
          <w:rFonts w:hint="eastAsia" w:ascii="宋体" w:hAnsi="宋体" w:eastAsia="宋体" w:cs="宋体"/>
          <w:bCs/>
          <w:color w:val="000000"/>
          <w:sz w:val="36"/>
          <w:szCs w:val="36"/>
          <w:highlight w:val="none"/>
          <w:lang w:eastAsia="zh-CN"/>
        </w:rPr>
        <w:t xml:space="preserve">常州市新北区龙虎塘中学</w:t>
      </w:r>
      <w:r/>
    </w:p>
    <w:p>
      <w:pPr>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采购代理机构：江苏建达全过程工程咨询有限公司</w:t>
      </w:r>
      <w:r/>
    </w:p>
    <w:p>
      <w:pPr>
        <w:jc w:val="left"/>
        <w:widowControl/>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br w:type="page" w:clear="all"/>
      </w:r>
      <w:r/>
    </w:p>
    <w:p>
      <w:pPr>
        <w:jc w:val="center"/>
        <w:keepLines w:val="0"/>
        <w:keepNext w:val="0"/>
        <w:pageBreakBefore w:val="0"/>
        <w:spacing w:line="360" w:lineRule="auto"/>
        <w:widowControl w:val="off"/>
        <w:rPr>
          <w:rFonts w:hint="eastAsia" w:ascii="宋体" w:hAnsi="宋体" w:eastAsia="宋体" w:cs="宋体"/>
          <w:b/>
          <w:color w:val="000000"/>
          <w:sz w:val="36"/>
          <w:szCs w:val="36"/>
          <w:highlight w:val="none"/>
        </w:rPr>
        <w:outlineLvl w:val="9"/>
      </w:pPr>
      <w:r/>
      <w:bookmarkStart w:id="0" w:name="_Toc99301418"/>
      <w:r>
        <w:rPr>
          <w:rFonts w:hint="eastAsia" w:ascii="宋体" w:hAnsi="宋体" w:eastAsia="宋体" w:cs="宋体"/>
          <w:b/>
          <w:color w:val="000000"/>
          <w:sz w:val="36"/>
          <w:szCs w:val="36"/>
          <w:highlight w:val="none"/>
        </w:rPr>
        <w:t xml:space="preserve">目      录</w:t>
      </w:r>
      <w:bookmarkEnd w:id="0"/>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4"/>
        <w:tabs>
          <w:tab w:val="right" w:pos="9272" w:leader="dot"/>
        </w:tabs>
        <w:rPr>
          <w:highlight w:val="none"/>
        </w:rPr>
      </w:pPr>
      <w:r>
        <w:rPr>
          <w:rFonts w:hint="eastAsia" w:ascii="宋体" w:hAnsi="宋体" w:eastAsia="宋体" w:cs="宋体"/>
          <w:b w:val="0"/>
          <w:color w:val="000000"/>
          <w:highlight w:val="none"/>
        </w:rPr>
        <w:fldChar w:fldCharType="begin"/>
      </w:r>
      <w:r>
        <w:rPr>
          <w:rFonts w:hint="eastAsia" w:ascii="宋体" w:hAnsi="宋体" w:eastAsia="宋体" w:cs="宋体"/>
          <w:b w:val="0"/>
          <w:color w:val="000000"/>
          <w:highlight w:val="none"/>
        </w:rPr>
        <w:instrText xml:space="preserve"> TOC \o "1-1" \h \z \u </w:instrText>
      </w:r>
      <w:r>
        <w:rPr>
          <w:rFonts w:hint="eastAsia" w:ascii="宋体" w:hAnsi="宋体" w:eastAsia="宋体" w:cs="宋体"/>
          <w:b w:val="0"/>
          <w:color w:val="000000"/>
          <w:highlight w:val="none"/>
        </w:rPr>
        <w:fldChar w:fldCharType="separate"/>
      </w: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_Toc4957 </w:instrText>
      </w:r>
      <w:r>
        <w:rPr>
          <w:rFonts w:hint="eastAsia" w:ascii="宋体" w:hAnsi="宋体" w:eastAsia="宋体" w:cs="宋体"/>
          <w:highlight w:val="none"/>
        </w:rPr>
        <w:fldChar w:fldCharType="separate"/>
      </w:r>
      <w:r>
        <w:rPr>
          <w:rFonts w:hint="eastAsia" w:ascii="宋体" w:hAnsi="宋体" w:eastAsia="宋体" w:cs="宋体"/>
          <w:szCs w:val="36"/>
          <w:highlight w:val="none"/>
          <w:lang w:val="en-US" w:eastAsia="zh-CN"/>
        </w:rPr>
        <w:t xml:space="preserve">第一章</w:t>
      </w:r>
      <w:r>
        <w:rPr>
          <w:rFonts w:hint="eastAsia" w:ascii="宋体" w:hAnsi="宋体" w:eastAsia="宋体" w:cs="宋体"/>
          <w:highlight w:val="none"/>
          <w:lang w:val="en-US" w:eastAsia="zh-CN"/>
        </w:rPr>
        <w:t xml:space="preserve">  </w:t>
      </w:r>
      <w:r>
        <w:rPr>
          <w:rFonts w:hint="eastAsia" w:eastAsia="宋体" w:cs="宋体"/>
          <w:highlight w:val="none"/>
          <w:lang w:val="en-US" w:eastAsia="zh-CN"/>
        </w:rPr>
        <w:t xml:space="preserve"> </w:t>
      </w:r>
      <w:r>
        <w:rPr>
          <w:rFonts w:hint="eastAsia" w:ascii="宋体" w:hAnsi="宋体" w:eastAsia="宋体" w:cs="宋体"/>
          <w:szCs w:val="36"/>
          <w:highlight w:val="none"/>
        </w:rPr>
        <w:t xml:space="preserve">投标邀请</w:t>
      </w:r>
      <w:r>
        <w:rPr>
          <w:highlight w:val="none"/>
        </w:rPr>
        <w:tab/>
      </w:r>
      <w:r>
        <w:rPr>
          <w:highlight w:val="none"/>
        </w:rPr>
        <w:fldChar w:fldCharType="begin"/>
      </w:r>
      <w:r>
        <w:rPr>
          <w:highlight w:val="none"/>
        </w:rPr>
        <w:instrText xml:space="preserve"> PAGEREF _Toc4957 \h </w:instrText>
      </w:r>
      <w:r>
        <w:rPr>
          <w:highlight w:val="none"/>
        </w:rPr>
        <w:fldChar w:fldCharType="separate"/>
      </w:r>
      <w:r>
        <w:rPr>
          <w:highlight w:val="none"/>
        </w:rPr>
        <w:t xml:space="preserve">3</w:t>
      </w:r>
      <w:r>
        <w:rPr>
          <w:highlight w:val="none"/>
        </w:rPr>
        <w:fldChar w:fldCharType="end"/>
      </w:r>
      <w:r>
        <w:rPr>
          <w:rFonts w:hint="eastAsia" w:ascii="宋体" w:hAnsi="宋体" w:eastAsia="宋体" w:cs="宋体"/>
          <w:color w:val="000000"/>
          <w:highlight w:val="none"/>
        </w:rPr>
        <w:fldChar w:fldCharType="end"/>
      </w:r>
      <w:r/>
    </w:p>
    <w:p>
      <w:pPr>
        <w:pStyle w:val="1064"/>
        <w:tabs>
          <w:tab w:val="right" w:pos="9272" w:leader="dot"/>
        </w:tabs>
        <w:rPr>
          <w:highlight w:val="none"/>
        </w:rPr>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_Toc6065 </w:instrText>
      </w:r>
      <w:r>
        <w:rPr>
          <w:rFonts w:hint="eastAsia" w:ascii="宋体" w:hAnsi="宋体" w:eastAsia="宋体" w:cs="宋体"/>
          <w:highlight w:val="none"/>
        </w:rPr>
        <w:fldChar w:fldCharType="separate"/>
      </w:r>
      <w:r>
        <w:rPr>
          <w:rFonts w:hint="eastAsia" w:ascii="宋体" w:hAnsi="宋体" w:eastAsia="宋体" w:cs="宋体"/>
          <w:szCs w:val="36"/>
          <w:highlight w:val="none"/>
        </w:rPr>
        <w:t xml:space="preserve">第二章   投标人须知</w:t>
      </w:r>
      <w:r>
        <w:rPr>
          <w:highlight w:val="none"/>
        </w:rPr>
        <w:tab/>
      </w:r>
      <w:r>
        <w:rPr>
          <w:highlight w:val="none"/>
        </w:rPr>
        <w:fldChar w:fldCharType="begin"/>
      </w:r>
      <w:r>
        <w:rPr>
          <w:highlight w:val="none"/>
        </w:rPr>
        <w:instrText xml:space="preserve"> PAGEREF _Toc6065 \h </w:instrText>
      </w:r>
      <w:r>
        <w:rPr>
          <w:highlight w:val="none"/>
        </w:rPr>
        <w:fldChar w:fldCharType="separate"/>
      </w:r>
      <w:r>
        <w:rPr>
          <w:highlight w:val="none"/>
        </w:rPr>
        <w:t xml:space="preserve">7</w:t>
      </w:r>
      <w:r>
        <w:rPr>
          <w:highlight w:val="none"/>
        </w:rPr>
        <w:fldChar w:fldCharType="end"/>
      </w:r>
      <w:r>
        <w:rPr>
          <w:rFonts w:hint="eastAsia" w:ascii="宋体" w:hAnsi="宋体" w:eastAsia="宋体" w:cs="宋体"/>
          <w:color w:val="000000"/>
          <w:highlight w:val="none"/>
        </w:rPr>
        <w:fldChar w:fldCharType="end"/>
      </w:r>
      <w:r/>
    </w:p>
    <w:p>
      <w:pPr>
        <w:pStyle w:val="1064"/>
        <w:tabs>
          <w:tab w:val="right" w:pos="9272" w:leader="dot"/>
        </w:tabs>
        <w:rPr>
          <w:highlight w:val="none"/>
        </w:rPr>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_Toc12606 </w:instrText>
      </w:r>
      <w:r>
        <w:rPr>
          <w:rFonts w:hint="eastAsia" w:ascii="宋体" w:hAnsi="宋体" w:eastAsia="宋体" w:cs="宋体"/>
          <w:highlight w:val="none"/>
        </w:rPr>
        <w:fldChar w:fldCharType="separate"/>
      </w:r>
      <w:r>
        <w:rPr>
          <w:rFonts w:hint="eastAsia" w:ascii="宋体" w:hAnsi="宋体" w:eastAsia="宋体" w:cs="宋体"/>
          <w:szCs w:val="36"/>
          <w:highlight w:val="none"/>
        </w:rPr>
        <w:t xml:space="preserve">第三章   资格审查</w:t>
      </w:r>
      <w:r>
        <w:rPr>
          <w:highlight w:val="none"/>
        </w:rPr>
        <w:tab/>
      </w:r>
      <w:r>
        <w:rPr>
          <w:highlight w:val="none"/>
        </w:rPr>
        <w:fldChar w:fldCharType="begin"/>
      </w:r>
      <w:r>
        <w:rPr>
          <w:highlight w:val="none"/>
        </w:rPr>
        <w:instrText xml:space="preserve"> PAGEREF _Toc12606 \h </w:instrText>
      </w:r>
      <w:r>
        <w:rPr>
          <w:highlight w:val="none"/>
        </w:rPr>
        <w:fldChar w:fldCharType="separate"/>
      </w:r>
      <w:r>
        <w:rPr>
          <w:highlight w:val="none"/>
        </w:rPr>
        <w:t xml:space="preserve">15</w:t>
      </w:r>
      <w:r>
        <w:rPr>
          <w:highlight w:val="none"/>
        </w:rPr>
        <w:fldChar w:fldCharType="end"/>
      </w:r>
      <w:r>
        <w:rPr>
          <w:rFonts w:hint="eastAsia" w:ascii="宋体" w:hAnsi="宋体" w:eastAsia="宋体" w:cs="宋体"/>
          <w:color w:val="000000"/>
          <w:highlight w:val="none"/>
        </w:rPr>
        <w:fldChar w:fldCharType="end"/>
      </w:r>
      <w:r/>
    </w:p>
    <w:p>
      <w:pPr>
        <w:pStyle w:val="1064"/>
        <w:tabs>
          <w:tab w:val="right" w:pos="9272" w:leader="dot"/>
        </w:tabs>
        <w:rPr>
          <w:highlight w:val="none"/>
        </w:rPr>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_Toc8367 </w:instrText>
      </w:r>
      <w:r>
        <w:rPr>
          <w:rFonts w:hint="eastAsia" w:ascii="宋体" w:hAnsi="宋体" w:eastAsia="宋体" w:cs="宋体"/>
          <w:highlight w:val="none"/>
        </w:rPr>
        <w:fldChar w:fldCharType="separate"/>
      </w:r>
      <w:r>
        <w:rPr>
          <w:rFonts w:hint="eastAsia" w:ascii="宋体" w:hAnsi="宋体" w:eastAsia="宋体" w:cs="宋体"/>
          <w:szCs w:val="36"/>
          <w:highlight w:val="none"/>
        </w:rPr>
        <w:t xml:space="preserve">第四章   评标程序、评标方法和评标标准</w:t>
      </w:r>
      <w:r>
        <w:rPr>
          <w:highlight w:val="none"/>
        </w:rPr>
        <w:tab/>
      </w:r>
      <w:r>
        <w:rPr>
          <w:highlight w:val="none"/>
        </w:rPr>
        <w:fldChar w:fldCharType="begin"/>
      </w:r>
      <w:r>
        <w:rPr>
          <w:highlight w:val="none"/>
        </w:rPr>
        <w:instrText xml:space="preserve"> PAGEREF _Toc8367 \h </w:instrText>
      </w:r>
      <w:r>
        <w:rPr>
          <w:highlight w:val="none"/>
        </w:rPr>
        <w:fldChar w:fldCharType="separate"/>
      </w:r>
      <w:r>
        <w:rPr>
          <w:highlight w:val="none"/>
        </w:rPr>
        <w:t xml:space="preserve">18</w:t>
      </w:r>
      <w:r>
        <w:rPr>
          <w:highlight w:val="none"/>
        </w:rPr>
        <w:fldChar w:fldCharType="end"/>
      </w:r>
      <w:r>
        <w:rPr>
          <w:rFonts w:hint="eastAsia" w:ascii="宋体" w:hAnsi="宋体" w:eastAsia="宋体" w:cs="宋体"/>
          <w:color w:val="000000"/>
          <w:highlight w:val="none"/>
        </w:rPr>
        <w:fldChar w:fldCharType="end"/>
      </w:r>
      <w:r/>
    </w:p>
    <w:p>
      <w:pPr>
        <w:pStyle w:val="1064"/>
        <w:tabs>
          <w:tab w:val="right" w:pos="9272" w:leader="dot"/>
        </w:tabs>
        <w:rPr>
          <w:highlight w:val="none"/>
        </w:rPr>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_Toc20229 </w:instrText>
      </w:r>
      <w:r>
        <w:rPr>
          <w:rFonts w:hint="eastAsia" w:ascii="宋体" w:hAnsi="宋体" w:eastAsia="宋体" w:cs="宋体"/>
          <w:highlight w:val="none"/>
        </w:rPr>
        <w:fldChar w:fldCharType="separate"/>
      </w:r>
      <w:r>
        <w:rPr>
          <w:rFonts w:hint="eastAsia" w:ascii="宋体" w:hAnsi="宋体" w:eastAsia="宋体" w:cs="宋体"/>
          <w:szCs w:val="36"/>
          <w:highlight w:val="none"/>
        </w:rPr>
        <w:t xml:space="preserve">第五章   采购需求</w:t>
      </w:r>
      <w:r>
        <w:rPr>
          <w:highlight w:val="none"/>
        </w:rPr>
        <w:tab/>
      </w:r>
      <w:r>
        <w:rPr>
          <w:highlight w:val="none"/>
        </w:rPr>
        <w:fldChar w:fldCharType="begin"/>
      </w:r>
      <w:r>
        <w:rPr>
          <w:highlight w:val="none"/>
        </w:rPr>
        <w:instrText xml:space="preserve"> PAGEREF _Toc20229 \h </w:instrText>
      </w:r>
      <w:r>
        <w:rPr>
          <w:highlight w:val="none"/>
        </w:rPr>
        <w:fldChar w:fldCharType="separate"/>
      </w:r>
      <w:r>
        <w:rPr>
          <w:highlight w:val="none"/>
        </w:rPr>
        <w:t xml:space="preserve">25</w:t>
      </w:r>
      <w:r>
        <w:rPr>
          <w:highlight w:val="none"/>
        </w:rPr>
        <w:fldChar w:fldCharType="end"/>
      </w:r>
      <w:r>
        <w:rPr>
          <w:rFonts w:hint="eastAsia" w:ascii="宋体" w:hAnsi="宋体" w:eastAsia="宋体" w:cs="宋体"/>
          <w:color w:val="000000"/>
          <w:highlight w:val="none"/>
        </w:rPr>
        <w:fldChar w:fldCharType="end"/>
      </w:r>
      <w:r/>
    </w:p>
    <w:p>
      <w:pPr>
        <w:pStyle w:val="1064"/>
        <w:tabs>
          <w:tab w:val="right" w:pos="9272" w:leader="dot"/>
        </w:tabs>
        <w:rPr>
          <w:highlight w:val="none"/>
        </w:rPr>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_Toc31542 </w:instrText>
      </w:r>
      <w:r>
        <w:rPr>
          <w:rFonts w:hint="eastAsia" w:ascii="宋体" w:hAnsi="宋体" w:eastAsia="宋体" w:cs="宋体"/>
          <w:highlight w:val="none"/>
        </w:rPr>
        <w:fldChar w:fldCharType="separate"/>
      </w:r>
      <w:r>
        <w:rPr>
          <w:rFonts w:hint="eastAsia" w:ascii="宋体" w:hAnsi="宋体" w:eastAsia="宋体" w:cs="宋体"/>
          <w:szCs w:val="36"/>
          <w:highlight w:val="none"/>
        </w:rPr>
        <w:t xml:space="preserve">第六章   合同草案条款</w:t>
      </w:r>
      <w:r>
        <w:rPr>
          <w:highlight w:val="none"/>
        </w:rPr>
        <w:tab/>
      </w:r>
      <w:r>
        <w:rPr>
          <w:highlight w:val="none"/>
        </w:rPr>
        <w:fldChar w:fldCharType="begin"/>
      </w:r>
      <w:r>
        <w:rPr>
          <w:highlight w:val="none"/>
        </w:rPr>
        <w:instrText xml:space="preserve"> PAGEREF _Toc31542 \h </w:instrText>
      </w:r>
      <w:r>
        <w:rPr>
          <w:highlight w:val="none"/>
        </w:rPr>
        <w:fldChar w:fldCharType="separate"/>
      </w:r>
      <w:r>
        <w:rPr>
          <w:highlight w:val="none"/>
        </w:rPr>
        <w:t xml:space="preserve">30</w:t>
      </w:r>
      <w:r>
        <w:rPr>
          <w:highlight w:val="none"/>
        </w:rPr>
        <w:fldChar w:fldCharType="end"/>
      </w:r>
      <w:r>
        <w:rPr>
          <w:rFonts w:hint="eastAsia" w:ascii="宋体" w:hAnsi="宋体" w:eastAsia="宋体" w:cs="宋体"/>
          <w:color w:val="000000"/>
          <w:highlight w:val="none"/>
        </w:rPr>
        <w:fldChar w:fldCharType="end"/>
      </w:r>
      <w:r/>
    </w:p>
    <w:p>
      <w:pPr>
        <w:pStyle w:val="1064"/>
        <w:spacing w:line="360" w:lineRule="auto"/>
        <w:rPr>
          <w:rFonts w:hint="eastAsia" w:ascii="宋体" w:hAnsi="宋体" w:eastAsia="宋体" w:cs="宋体"/>
          <w:b w:val="0"/>
          <w:color w:val="000000"/>
          <w:highlight w:val="none"/>
        </w:rPr>
      </w:pPr>
      <w:r>
        <w:rPr>
          <w:rFonts w:hint="eastAsia" w:ascii="宋体" w:hAnsi="宋体" w:eastAsia="宋体" w:cs="宋体"/>
          <w:color w:val="000000"/>
          <w:highlight w:val="none"/>
        </w:rPr>
        <w:fldChar w:fldCharType="end"/>
      </w:r>
      <w:r/>
    </w:p>
    <w:p>
      <w:pPr>
        <w:numPr>
          <w:ilvl w:val="0"/>
          <w:numId w:val="0"/>
        </w:numPr>
        <w:jc w:val="center"/>
        <w:spacing w:line="360" w:lineRule="auto"/>
        <w:rPr>
          <w:rFonts w:hint="eastAsia" w:ascii="宋体" w:hAnsi="宋体" w:eastAsia="宋体" w:cs="宋体"/>
          <w:b/>
          <w:color w:val="000000"/>
          <w:sz w:val="36"/>
          <w:szCs w:val="36"/>
          <w:highlight w:val="none"/>
        </w:rPr>
        <w:outlineLvl w:val="0"/>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lang w:val="en-US" w:eastAsia="zh-CN"/>
        </w:rPr>
        <w:t xml:space="preserve"> </w:t>
      </w:r>
      <w:bookmarkStart w:id="1" w:name="_Toc4957"/>
      <w:r>
        <w:rPr>
          <w:rFonts w:hint="eastAsia" w:ascii="宋体" w:hAnsi="宋体" w:eastAsia="宋体" w:cs="宋体"/>
          <w:b/>
          <w:color w:val="000000"/>
          <w:sz w:val="36"/>
          <w:szCs w:val="36"/>
          <w:highlight w:val="none"/>
          <w:lang w:val="en-US" w:eastAsia="zh-CN"/>
        </w:rPr>
        <w:t xml:space="preserve">第一章</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b/>
          <w:color w:val="000000"/>
          <w:sz w:val="36"/>
          <w:szCs w:val="36"/>
          <w:highlight w:val="none"/>
        </w:rPr>
        <w:t xml:space="preserve">投标邀请</w:t>
      </w:r>
      <w:bookmarkEnd w:id="1"/>
      <w:r/>
      <w:bookmarkStart w:id="2" w:name="_Toc35393790"/>
      <w:r/>
      <w:bookmarkStart w:id="3" w:name="_Toc35393621"/>
      <w:r/>
      <w:bookmarkStart w:id="4" w:name="_Toc28359002"/>
      <w:r/>
      <w:bookmarkStart w:id="5" w:name="_Toc28359079"/>
      <w:r/>
      <w:bookmarkStart w:id="6" w:name="_Hlk24379207"/>
      <w:r/>
      <w:r/>
    </w:p>
    <w:tbl>
      <w:tblPr>
        <w:tblStyle w:val="10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71"/>
      </w:tblGrid>
      <w:tr>
        <w:trPr>
          <w:jc w:val="center"/>
          <w:trHeight w:val="1439"/>
        </w:trPr>
        <w:tc>
          <w:tcPr>
            <w:tcW w:w="9771" w:type="dxa"/>
            <w:vAlign w:val="center"/>
            <w:textDirection w:val="lrTb"/>
            <w:noWrap w:val="false"/>
          </w:tcPr>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项目概况</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lang w:eastAsia="zh-CN"/>
              </w:rPr>
              <w:t xml:space="preserve">常州市新北区龙虎塘中学改扩建项目实验室及专用教室设备采购</w:t>
            </w:r>
            <w:r>
              <w:rPr>
                <w:rFonts w:hint="eastAsia" w:ascii="宋体" w:hAnsi="宋体" w:eastAsia="宋体" w:cs="宋体"/>
                <w:color w:val="000000"/>
                <w:sz w:val="24"/>
                <w:highlight w:val="none"/>
              </w:rPr>
              <w:t xml:space="preserve">的潜在供应商应在“苏采云”系统(http://jszfcg.jsczt.cn/jszc/login)自行免费下载电子版招标文件,并于</w:t>
            </w:r>
            <w:r>
              <w:rPr>
                <w:rFonts w:hint="eastAsia" w:ascii="宋体" w:hAnsi="宋体" w:eastAsia="宋体" w:cs="宋体"/>
                <w:color w:val="000000"/>
                <w:sz w:val="24"/>
                <w:highlight w:val="none"/>
                <w:lang w:eastAsia="zh-CN"/>
              </w:rPr>
              <w:t xml:space="preserve">2026年</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月</w:t>
            </w:r>
            <w:r>
              <w:rPr>
                <w:rFonts w:hint="eastAsia" w:ascii="宋体" w:hAnsi="宋体" w:cs="宋体"/>
                <w:color w:val="000000"/>
                <w:sz w:val="24"/>
                <w:highlight w:val="none"/>
                <w:lang w:val="en-US" w:eastAsia="zh-CN"/>
              </w:rPr>
              <w:t xml:space="preserve">25</w:t>
            </w:r>
            <w:r>
              <w:rPr>
                <w:rFonts w:hint="eastAsia" w:ascii="宋体" w:hAnsi="宋体" w:eastAsia="宋体" w:cs="宋体"/>
                <w:color w:val="000000"/>
                <w:sz w:val="24"/>
                <w:highlight w:val="none"/>
                <w:lang w:eastAsia="zh-CN"/>
              </w:rPr>
              <w:t xml:space="preserve">日上午</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0</w:t>
            </w:r>
            <w:r>
              <w:rPr>
                <w:rFonts w:hint="eastAsia" w:ascii="宋体" w:hAnsi="宋体" w:eastAsia="宋体" w:cs="宋体"/>
                <w:color w:val="000000"/>
                <w:sz w:val="24"/>
                <w:highlight w:val="none"/>
              </w:rPr>
              <w:t xml:space="preserve">(北京时间)前登录“苏采云”供应商端，通过系统在线提交电子投标文件。</w:t>
            </w:r>
            <w:r/>
          </w:p>
        </w:tc>
      </w:tr>
    </w:tbl>
    <w:p>
      <w:pPr>
        <w:pStyle w:val="1010"/>
        <w:jc w:val="left"/>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一、项目基本情况</w:t>
      </w:r>
      <w:bookmarkEnd w:id="2"/>
      <w:r/>
      <w:bookmarkEnd w:id="3"/>
      <w:r/>
      <w:bookmarkEnd w:id="4"/>
      <w:r/>
      <w:bookmarkEnd w:id="5"/>
      <w:r/>
      <w:r/>
    </w:p>
    <w:p>
      <w:pPr>
        <w:ind w:firstLine="480"/>
        <w:jc w:val="left"/>
        <w:keepLines w:val="0"/>
        <w:keepNext w:val="0"/>
        <w:pageBreakBefore w:val="0"/>
        <w:spacing w:line="360" w:lineRule="auto"/>
        <w:widowControl w:val="off"/>
        <w:tabs>
          <w:tab w:val="left" w:pos="3240" w:leader="none"/>
          <w:tab w:val="left" w:pos="34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1.项目编号/包号：</w:t>
      </w:r>
      <w:r>
        <w:rPr>
          <w:rFonts w:hint="eastAsia" w:ascii="宋体" w:hAnsi="宋体" w:cs="宋体"/>
          <w:color w:val="000000"/>
          <w:sz w:val="24"/>
          <w:highlight w:val="none"/>
          <w:lang w:eastAsia="zh-CN"/>
        </w:rPr>
        <w:t xml:space="preserve">JSZC-320411009-JDGS-G2026-0030</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2.项目名称：</w:t>
      </w:r>
      <w:r>
        <w:rPr>
          <w:rFonts w:hint="eastAsia" w:ascii="宋体" w:hAnsi="宋体" w:eastAsia="宋体" w:cs="宋体"/>
          <w:color w:val="000000"/>
          <w:sz w:val="24"/>
          <w:highlight w:val="none"/>
          <w:lang w:val="en-US" w:eastAsia="zh-CN"/>
        </w:rPr>
        <w:t xml:space="preserve">常州市新北区龙虎塘中学改扩建项目实验室及专用教室设备采购</w:t>
      </w:r>
      <w:bookmarkEnd w:id="6"/>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3.项目预算金额：</w:t>
      </w:r>
      <w:r>
        <w:rPr>
          <w:rFonts w:hint="eastAsia" w:ascii="宋体" w:hAnsi="宋体" w:eastAsia="宋体" w:cs="宋体"/>
          <w:color w:val="000000"/>
          <w:sz w:val="24"/>
          <w:highlight w:val="none"/>
          <w:lang w:val="en-US" w:eastAsia="zh-CN"/>
        </w:rPr>
        <w:t xml:space="preserve">192万元</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4.采购需求：</w:t>
      </w:r>
      <w:r>
        <w:rPr>
          <w:rFonts w:hint="eastAsia" w:ascii="宋体" w:hAnsi="宋体" w:eastAsia="宋体" w:cs="宋体"/>
          <w:color w:val="000000"/>
          <w:sz w:val="24"/>
          <w:highlight w:val="none"/>
          <w:lang w:val="en-US" w:eastAsia="zh-CN"/>
        </w:rPr>
        <w:t xml:space="preserve">常州市新北区龙虎塘中学改扩建项目实验室及专用教室设备采购，包含实验室设备、科创中心设备的制造(采购)、运输、装卸、安装、调试、测试、售后服务、技术培训等，直至通过采购人及其他相关部门的验收以及质量保修、免费维保等全部工作。</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5.合同履行期限</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合同签订后60日历天内完成供货、安装、调试并通过验收。</w:t>
      </w:r>
      <w:r/>
    </w:p>
    <w:p>
      <w:pPr>
        <w:ind w:firstLine="480"/>
        <w:spacing w:line="360" w:lineRule="auto"/>
        <w:rPr>
          <w:rFonts w:hint="eastAsia" w:ascii="宋体" w:hAnsi="宋体" w:eastAsia="宋体" w:cs="宋体"/>
          <w:color w:val="000000"/>
          <w:sz w:val="24"/>
          <w:highlight w:val="none"/>
        </w:rPr>
      </w:pPr>
      <w:r/>
      <w:bookmarkStart w:id="7" w:name="_Toc35393791"/>
      <w:r/>
      <w:bookmarkStart w:id="8" w:name="_Toc28359003"/>
      <w:r/>
      <w:bookmarkStart w:id="9" w:name="_Toc28359080"/>
      <w:r/>
      <w:bookmarkStart w:id="10" w:name="_Toc35393622"/>
      <w:r>
        <w:rPr>
          <w:rFonts w:hint="eastAsia" w:ascii="宋体" w:hAnsi="宋体" w:eastAsia="宋体" w:cs="宋体"/>
          <w:color w:val="000000"/>
          <w:sz w:val="24"/>
          <w:highlight w:val="none"/>
        </w:rPr>
        <w:t xml:space="preserve">6.本项目是否接受联合体： □是  ■否。</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7.本项目是否接受进口产品响应：□是   ■否。</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8.本项目是否接受进口产品投标：□是  ■否。</w:t>
      </w:r>
      <w:r/>
    </w:p>
    <w:p>
      <w:pPr>
        <w:pStyle w:val="1010"/>
        <w:jc w:val="left"/>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二、申请人的资格要求（须同时满足）</w:t>
      </w:r>
      <w:bookmarkEnd w:id="7"/>
      <w:r/>
      <w:bookmarkEnd w:id="8"/>
      <w:r/>
      <w:bookmarkEnd w:id="9"/>
      <w:r/>
      <w:bookmarkEnd w:id="10"/>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1.满足《中华人民共和国政府采购法》第二十二条规定以及下列情形：</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color w:val="000000"/>
          <w:sz w:val="24"/>
          <w:highlight w:val="none"/>
        </w:rPr>
      </w:pPr>
      <w:r/>
      <w:bookmarkStart w:id="11" w:name="_Toc28359004"/>
      <w:r/>
      <w:bookmarkStart w:id="12" w:name="_Toc28359081"/>
      <w:r>
        <w:rPr>
          <w:rFonts w:hint="eastAsia" w:ascii="宋体" w:hAnsi="宋体" w:eastAsia="宋体" w:cs="宋体"/>
          <w:color w:val="000000"/>
          <w:sz w:val="24"/>
          <w:highlight w:val="none"/>
        </w:rPr>
        <w:t xml:space="preserve">2.落实政府采购政策需满足的资格要求：</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 中小企业政策</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■本项目不专门面向中小企业预留采购份额。</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本项目专门面向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中小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小微企业  采购。即:提供的</w:t>
      </w:r>
      <w:r>
        <w:rPr>
          <w:rFonts w:hint="eastAsia" w:ascii="宋体" w:hAnsi="宋体" w:eastAsia="宋体" w:cs="宋体"/>
          <w:color w:val="000000"/>
          <w:sz w:val="24"/>
          <w:highlight w:val="none"/>
          <w:lang w:eastAsia="zh-CN"/>
        </w:rPr>
        <w:t xml:space="preserve">货物</w:t>
      </w:r>
      <w:r>
        <w:rPr>
          <w:rFonts w:hint="eastAsia" w:ascii="宋体" w:hAnsi="宋体" w:eastAsia="宋体" w:cs="宋体"/>
          <w:strike w:val="0"/>
          <w:color w:val="000000"/>
          <w:sz w:val="24"/>
          <w:highlight w:val="none"/>
          <w:lang w:val="en-US" w:eastAsia="zh-CN"/>
        </w:rPr>
        <w:t xml:space="preserve">/</w:t>
      </w:r>
      <w:r>
        <w:rPr>
          <w:rFonts w:hint="eastAsia" w:ascii="宋体" w:hAnsi="宋体" w:eastAsia="宋体" w:cs="宋体"/>
          <w:strike w:val="0"/>
          <w:color w:val="000000"/>
          <w:sz w:val="24"/>
          <w:highlight w:val="none"/>
        </w:rPr>
        <w:t xml:space="preserve">服务</w:t>
      </w:r>
      <w:r>
        <w:rPr>
          <w:rFonts w:hint="eastAsia" w:ascii="宋体" w:hAnsi="宋体" w:eastAsia="宋体" w:cs="宋体"/>
          <w:color w:val="000000"/>
          <w:sz w:val="24"/>
          <w:highlight w:val="none"/>
        </w:rPr>
        <w:t xml:space="preserve">全部由符合政策要求的中小/小微企业承接。</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□本项目预留部分采购项目预算专门面向中小企业采购。对于预留份额，提供的货物由符合政策要求的中小企业制造、服务由符合政策要求的中小企业承接。预留份额通过以下措施进行：无。</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其它落实政府采购政策的资格要求（如有）:无。</w:t>
      </w:r>
      <w:r/>
    </w:p>
    <w:p>
      <w:pPr>
        <w:ind w:firstLine="480"/>
        <w:spacing w:line="360" w:lineRule="auto"/>
        <w:rPr>
          <w:rFonts w:hint="eastAsia" w:ascii="宋体" w:hAnsi="宋体" w:eastAsia="宋体" w:cs="宋体"/>
          <w:i/>
          <w:iCs/>
          <w:color w:val="000000"/>
          <w:sz w:val="24"/>
          <w:highlight w:val="none"/>
          <w:u w:val="single"/>
        </w:rPr>
      </w:pPr>
      <w:r>
        <w:rPr>
          <w:rFonts w:hint="eastAsia" w:ascii="宋体" w:hAnsi="宋体" w:eastAsia="宋体" w:cs="宋体"/>
          <w:color w:val="000000"/>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i/>
          <w:iCs/>
          <w:color w:val="000000"/>
          <w:sz w:val="24"/>
          <w:highlight w:val="none"/>
        </w:rPr>
      </w:pPr>
      <w:r>
        <w:rPr>
          <w:rFonts w:hint="eastAsia" w:ascii="宋体" w:hAnsi="宋体" w:eastAsia="宋体" w:cs="宋体"/>
          <w:color w:val="000000"/>
          <w:sz w:val="24"/>
          <w:highlight w:val="none"/>
        </w:rPr>
        <w:t xml:space="preserve">3.1本项目是否接受分支机构参与响应:□是   ■否；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 本项目是否属于政府购买服务:</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□是,公益一类事业单位、使用事业编制且由财政拨款保障的群团组织,不得作为承接主体；</w:t>
      </w:r>
      <w:r/>
    </w:p>
    <w:p>
      <w:pPr>
        <w:ind w:firstLine="480"/>
        <w:spacing w:line="360" w:lineRule="auto"/>
        <w:rPr>
          <w:rFonts w:hint="eastAsia" w:ascii="宋体" w:hAnsi="宋体" w:eastAsia="宋体" w:cs="宋体"/>
          <w:i/>
          <w:iCs/>
          <w:color w:val="000000"/>
          <w:sz w:val="24"/>
          <w:highlight w:val="none"/>
          <w:u w:val="single"/>
        </w:rPr>
      </w:pPr>
      <w:r>
        <w:rPr>
          <w:rFonts w:hint="eastAsia" w:ascii="宋体" w:hAnsi="宋体" w:eastAsia="宋体" w:cs="宋体"/>
          <w:color w:val="000000"/>
          <w:sz w:val="24"/>
          <w:highlight w:val="none"/>
        </w:rPr>
        <w:t xml:space="preserve">3.3其他特定资格要求:无。</w:t>
      </w:r>
      <w:bookmarkEnd w:id="11"/>
      <w:r/>
      <w:bookmarkEnd w:id="12"/>
      <w:r/>
      <w:r/>
    </w:p>
    <w:p>
      <w:pPr>
        <w:pStyle w:val="1010"/>
        <w:jc w:val="left"/>
        <w:spacing w:before="0" w:line="360" w:lineRule="auto"/>
        <w:widowControl/>
        <w:rPr>
          <w:rFonts w:hint="eastAsia" w:ascii="宋体" w:hAnsi="宋体" w:eastAsia="宋体" w:cs="宋体"/>
          <w:color w:val="000000"/>
          <w:sz w:val="24"/>
          <w:szCs w:val="24"/>
          <w:highlight w:val="none"/>
        </w:rPr>
      </w:pPr>
      <w:r/>
      <w:bookmarkStart w:id="13" w:name="_Toc35393792"/>
      <w:r/>
      <w:bookmarkStart w:id="14" w:name="_Toc35393623"/>
      <w:r>
        <w:rPr>
          <w:rFonts w:hint="eastAsia" w:ascii="宋体" w:hAnsi="宋体" w:eastAsia="宋体" w:cs="宋体"/>
          <w:color w:val="000000"/>
          <w:sz w:val="24"/>
          <w:szCs w:val="24"/>
          <w:highlight w:val="none"/>
        </w:rPr>
        <w:t xml:space="preserve">三、获取招标文件</w:t>
      </w:r>
      <w:bookmarkEnd w:id="13"/>
      <w:r/>
      <w:bookmarkEnd w:id="14"/>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bidi="ar"/>
        </w:rPr>
        <w:t xml:space="preserve">1.时间</w:t>
      </w:r>
      <w:r>
        <w:rPr>
          <w:rFonts w:hint="eastAsia" w:ascii="宋体" w:hAnsi="宋体" w:eastAsia="宋体" w:cs="宋体"/>
          <w:color w:val="000000"/>
          <w:sz w:val="24"/>
          <w:highlight w:val="none"/>
        </w:rPr>
        <w:t xml:space="preserve">：</w:t>
      </w:r>
      <w:bookmarkStart w:id="15" w:name="_Toc28359005"/>
      <w:r/>
      <w:bookmarkStart w:id="16" w:name="_Toc35393624"/>
      <w:r/>
      <w:bookmarkStart w:id="17" w:name="_Toc28359082"/>
      <w:r/>
      <w:bookmarkStart w:id="18" w:name="_Toc35393793"/>
      <w:r>
        <w:rPr>
          <w:rFonts w:hint="eastAsia" w:ascii="宋体" w:hAnsi="宋体" w:eastAsia="宋体" w:cs="宋体"/>
          <w:color w:val="000000"/>
          <w:sz w:val="24"/>
          <w:highlight w:val="none"/>
        </w:rPr>
        <w:t xml:space="preserve">自招标文件公告发布之日起5个工作日</w:t>
      </w:r>
      <w:r>
        <w:rPr>
          <w:rFonts w:hint="eastAsia" w:ascii="宋体" w:hAnsi="宋体" w:eastAsia="宋体" w:cs="宋体"/>
          <w:color w:val="000000"/>
          <w:sz w:val="24"/>
          <w:highlight w:val="none"/>
          <w:lang w:eastAsia="zh-CN"/>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2.地点：政府采购一体化平台“苏采云”。</w:t>
      </w:r>
      <w:r/>
    </w:p>
    <w:p>
      <w:pPr>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3.方式：供应商持CA数字认证证书登录政府采购一体化平台“苏采云”获取电子版招标文件。</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4.售价：0元。</w:t>
      </w:r>
      <w:r/>
    </w:p>
    <w:p>
      <w:pPr>
        <w:pStyle w:val="1010"/>
        <w:jc w:val="left"/>
        <w:spacing w:before="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w:t>
      </w:r>
      <w:bookmarkEnd w:id="15"/>
      <w:r/>
      <w:bookmarkEnd w:id="16"/>
      <w:r/>
      <w:bookmarkEnd w:id="17"/>
      <w:r/>
      <w:bookmarkEnd w:id="18"/>
      <w:r>
        <w:rPr>
          <w:rFonts w:hint="eastAsia" w:ascii="宋体" w:hAnsi="宋体" w:eastAsia="宋体" w:cs="宋体"/>
          <w:color w:val="000000"/>
          <w:sz w:val="24"/>
          <w:szCs w:val="24"/>
          <w:highlight w:val="none"/>
        </w:rPr>
        <w:t xml:space="preserve">投标文件提交</w:t>
      </w:r>
      <w:r/>
    </w:p>
    <w:p>
      <w:pPr>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投标截止时间、开标时间：</w:t>
      </w:r>
      <w:r>
        <w:rPr>
          <w:rFonts w:hint="eastAsia" w:ascii="宋体" w:hAnsi="宋体" w:eastAsia="宋体" w:cs="宋体"/>
          <w:color w:val="000000"/>
          <w:sz w:val="24"/>
          <w:highlight w:val="none"/>
          <w:lang w:bidi="ar"/>
        </w:rPr>
        <w:t xml:space="preserve">202</w:t>
      </w: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年</w:t>
      </w:r>
      <w:r>
        <w:rPr>
          <w:rFonts w:hint="eastAsia" w:ascii="宋体" w:hAnsi="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月</w:t>
      </w:r>
      <w:r>
        <w:rPr>
          <w:rFonts w:hint="eastAsia" w:ascii="宋体" w:hAnsi="宋体" w:cs="宋体"/>
          <w:color w:val="000000"/>
          <w:sz w:val="24"/>
          <w:highlight w:val="none"/>
          <w:lang w:val="en-US" w:eastAsia="zh-CN" w:bidi="ar"/>
        </w:rPr>
        <w:t xml:space="preserve">25</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lang w:eastAsia="zh-CN" w:bidi="ar"/>
        </w:rPr>
        <w:t xml:space="preserve">上午</w:t>
      </w:r>
      <w:r>
        <w:rPr>
          <w:rFonts w:hint="eastAsia" w:ascii="宋体" w:hAnsi="宋体" w:eastAsia="宋体" w:cs="宋体"/>
          <w:color w:val="000000"/>
          <w:sz w:val="24"/>
          <w:highlight w:val="none"/>
          <w:lang w:val="en-US" w:eastAsia="zh-CN" w:bidi="ar"/>
        </w:rPr>
        <w:t xml:space="preserve">9</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0分</w:t>
      </w:r>
      <w:r>
        <w:rPr>
          <w:rFonts w:hint="eastAsia" w:ascii="宋体" w:hAnsi="宋体" w:eastAsia="宋体" w:cs="宋体"/>
          <w:bCs/>
          <w:color w:val="000000"/>
          <w:sz w:val="24"/>
          <w:highlight w:val="none"/>
          <w:lang w:bidi="ar"/>
        </w:rPr>
        <w:t xml:space="preserve">（北京时间）</w:t>
      </w:r>
      <w:r>
        <w:rPr>
          <w:rFonts w:hint="eastAsia" w:ascii="宋体" w:hAnsi="宋体" w:eastAsia="宋体" w:cs="宋体"/>
          <w:iCs/>
          <w:color w:val="000000"/>
          <w:sz w:val="24"/>
          <w:highlight w:val="none"/>
          <w:lang w:bidi="ar"/>
        </w:rPr>
        <w:t xml:space="preserve">。</w:t>
      </w:r>
      <w:r/>
    </w:p>
    <w:p>
      <w:pPr>
        <w:ind w:firstLine="480"/>
        <w:spacing w:line="360" w:lineRule="auto"/>
        <w:rPr>
          <w:rFonts w:hint="eastAsia" w:ascii="宋体" w:hAnsi="宋体" w:eastAsia="宋体" w:cs="宋体"/>
          <w:color w:val="000000"/>
          <w:sz w:val="24"/>
          <w:highlight w:val="none"/>
          <w:lang w:val="zh-TW" w:bidi="ar"/>
        </w:rPr>
      </w:pPr>
      <w:r/>
      <w:bookmarkStart w:id="19" w:name="_Toc35393794"/>
      <w:r/>
      <w:bookmarkStart w:id="20" w:name="_Toc35393625"/>
      <w:r/>
      <w:bookmarkStart w:id="21" w:name="_Toc28359084"/>
      <w:r/>
      <w:bookmarkStart w:id="22" w:name="_Toc28359007"/>
      <w:r>
        <w:rPr>
          <w:rFonts w:hint="eastAsia" w:ascii="宋体" w:hAnsi="宋体" w:eastAsia="宋体" w:cs="宋体"/>
          <w:color w:val="000000"/>
          <w:sz w:val="24"/>
          <w:highlight w:val="none"/>
          <w:lang w:bidi="ar"/>
        </w:rPr>
        <w:t xml:space="preserve">2.地点:“苏采云”政府采购交易系统网上开标大厅。</w:t>
      </w:r>
      <w:r/>
    </w:p>
    <w:p>
      <w:pPr>
        <w:pStyle w:val="1010"/>
        <w:jc w:val="left"/>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五、公告期限</w:t>
      </w:r>
      <w:bookmarkEnd w:id="19"/>
      <w:r/>
      <w:bookmarkEnd w:id="20"/>
      <w:r/>
      <w:bookmarkEnd w:id="21"/>
      <w:r/>
      <w:bookmarkEnd w:id="22"/>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自本公告发布之日起5个工作日。</w:t>
      </w:r>
      <w:r/>
    </w:p>
    <w:p>
      <w:pPr>
        <w:pStyle w:val="1010"/>
        <w:jc w:val="left"/>
        <w:spacing w:before="0" w:line="360" w:lineRule="auto"/>
        <w:rPr>
          <w:rFonts w:hint="eastAsia" w:ascii="宋体" w:hAnsi="宋体" w:eastAsia="宋体" w:cs="宋体"/>
          <w:color w:val="000000"/>
          <w:sz w:val="24"/>
          <w:szCs w:val="24"/>
          <w:highlight w:val="none"/>
        </w:rPr>
      </w:pPr>
      <w:r/>
      <w:bookmarkStart w:id="23" w:name="_Toc35393795"/>
      <w:r/>
      <w:bookmarkStart w:id="24" w:name="_Toc35393626"/>
      <w:r>
        <w:rPr>
          <w:rFonts w:hint="eastAsia" w:ascii="宋体" w:hAnsi="宋体" w:eastAsia="宋体" w:cs="宋体"/>
          <w:color w:val="000000"/>
          <w:sz w:val="24"/>
          <w:szCs w:val="24"/>
          <w:highlight w:val="none"/>
        </w:rPr>
        <w:t xml:space="preserve">六、其他补充事宜</w:t>
      </w:r>
      <w:bookmarkEnd w:id="23"/>
      <w:r/>
      <w:bookmarkEnd w:id="24"/>
      <w:r/>
      <w:r/>
    </w:p>
    <w:p>
      <w:pPr>
        <w:ind w:firstLine="480"/>
        <w:spacing w:line="360" w:lineRule="auto"/>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1.本项目需要落实的政府采购政策：无。</w:t>
      </w:r>
      <w:r/>
    </w:p>
    <w:p>
      <w:pPr>
        <w:ind w:firstLine="480"/>
        <w:jc w:val="left"/>
        <w:spacing w:line="360" w:lineRule="auto"/>
        <w:widowControl/>
        <w:rPr>
          <w:rFonts w:hint="eastAsia" w:ascii="宋体" w:hAnsi="宋体" w:eastAsia="宋体" w:cs="宋体"/>
          <w:bCs/>
          <w:color w:val="000000"/>
          <w:sz w:val="24"/>
          <w:highlight w:val="none"/>
          <w:lang w:bidi="ar"/>
        </w:rPr>
      </w:pPr>
      <w:r>
        <w:rPr>
          <w:rFonts w:hint="eastAsia" w:ascii="宋体" w:hAnsi="宋体" w:eastAsia="宋体" w:cs="宋体"/>
          <w:color w:val="000000"/>
          <w:sz w:val="24"/>
          <w:highlight w:val="none"/>
          <w:lang w:bidi="ar"/>
        </w:rPr>
        <w:t xml:space="preserve">2.本项目采用全流程电子化采购方式，请供应商认真学习“苏采云”政府采购一体化平台发布的相关操作手册，办理CA认证证书、进行“苏采云”政府采购一体化平台注册绑定，并认真核实</w:t>
      </w:r>
      <w:r>
        <w:rPr>
          <w:rFonts w:hint="eastAsia" w:ascii="宋体" w:hAnsi="宋体" w:eastAsia="宋体" w:cs="宋体"/>
          <w:bCs/>
          <w:color w:val="000000"/>
          <w:sz w:val="24"/>
          <w:highlight w:val="none"/>
          <w:lang w:bidi="ar"/>
        </w:rPr>
        <w:t xml:space="preserve">数字认证证书情况确认是否符合本项目电子化采购流程要求。</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技术支持服务热线    0519-85588210  0519-85588163</w:t>
      </w:r>
      <w:r/>
    </w:p>
    <w:p>
      <w:pPr>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CA认证证书办理（可邮寄）联系电话   0519-85588120</w:t>
      </w:r>
      <w:r/>
    </w:p>
    <w:p>
      <w:pPr>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2.1办理CA认证证书</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供应商登录常州市政府采购网“下载中心”下载并查阅 </w:t>
      </w:r>
      <w:r>
        <w:rPr>
          <w:rFonts w:hint="eastAsia" w:ascii="宋体" w:hAnsi="宋体" w:eastAsia="宋体" w:cs="宋体"/>
          <w:color w:val="000000"/>
          <w:sz w:val="24"/>
          <w:highlight w:val="none"/>
        </w:rPr>
        <w:t xml:space="preserve">“苏采云”系统</w:t>
      </w:r>
      <w:r>
        <w:rPr>
          <w:rFonts w:hint="eastAsia" w:ascii="宋体" w:hAnsi="宋体" w:eastAsia="宋体" w:cs="宋体"/>
          <w:color w:val="000000"/>
          <w:sz w:val="24"/>
          <w:highlight w:val="none"/>
          <w:lang w:bidi="ar"/>
        </w:rPr>
        <w:t xml:space="preserve">（供应商）政务CA证书办理指南，按照程序要求办理。</w:t>
      </w:r>
      <w:r/>
    </w:p>
    <w:p>
      <w:pPr>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2.2注册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供应商登录常州市政府采购网“下载中心”-“</w:t>
      </w:r>
      <w:r>
        <w:rPr>
          <w:rFonts w:hint="eastAsia" w:ascii="宋体" w:hAnsi="宋体" w:eastAsia="宋体" w:cs="宋体"/>
          <w:color w:val="000000"/>
          <w:sz w:val="24"/>
          <w:highlight w:val="none"/>
        </w:rPr>
        <w:t xml:space="preserve">“苏采云”系统</w:t>
      </w:r>
      <w:r>
        <w:rPr>
          <w:rFonts w:hint="eastAsia" w:ascii="宋体" w:hAnsi="宋体" w:eastAsia="宋体" w:cs="宋体"/>
          <w:color w:val="000000"/>
          <w:sz w:val="24"/>
          <w:highlight w:val="none"/>
          <w:lang w:bidi="ar"/>
        </w:rPr>
        <w:t xml:space="preserve">供应商操作指南”下载相关操作手册、操作视频等，查阅后进行自助注册。</w:t>
      </w:r>
      <w:r/>
    </w:p>
    <w:p>
      <w:pPr>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2.3控件、客户端下载</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供应商登录常州市政府采购网“下载中心”-“苏采云”系统（供应商）操作手册下载相关操作手册、操作视频等，查阅后进行自助注册。</w:t>
      </w:r>
      <w:r/>
    </w:p>
    <w:p>
      <w:pPr>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2.4 获取电子招标文件</w:t>
      </w:r>
      <w:r/>
    </w:p>
    <w:p>
      <w:pPr>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供应商持CA数字认证证书登录“苏采云”系统获取电子招标文件。未在规定期限内通过“苏采云”系统获取招标文件的</w:t>
      </w:r>
      <w:r>
        <w:rPr>
          <w:rFonts w:hint="eastAsia" w:ascii="宋体" w:hAnsi="宋体" w:eastAsia="宋体" w:cs="宋体"/>
          <w:b/>
          <w:color w:val="000000"/>
          <w:sz w:val="24"/>
          <w:highlight w:val="none"/>
          <w:lang w:bidi="ar"/>
        </w:rPr>
        <w:t xml:space="preserve">投标无效</w:t>
      </w:r>
      <w:r>
        <w:rPr>
          <w:rFonts w:hint="eastAsia" w:ascii="宋体" w:hAnsi="宋体" w:eastAsia="宋体" w:cs="宋体"/>
          <w:color w:val="000000"/>
          <w:sz w:val="24"/>
          <w:highlight w:val="none"/>
          <w:lang w:bidi="ar"/>
        </w:rPr>
        <w:t xml:space="preserve">。</w:t>
      </w:r>
      <w:r/>
    </w:p>
    <w:p>
      <w:pPr>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2.5编制电子投标文件</w:t>
      </w:r>
      <w:r/>
    </w:p>
    <w:p>
      <w:pPr>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供应商应使用电子投标文件制作客户端编制电子投标文件并进行线上投标，供应商电子投标文件需要加密并加盖电子签章</w:t>
      </w:r>
      <w:r>
        <w:rPr>
          <w:rFonts w:hint="eastAsia" w:ascii="宋体" w:hAnsi="宋体" w:eastAsia="宋体" w:cs="宋体"/>
          <w:bCs/>
          <w:color w:val="000000"/>
          <w:sz w:val="24"/>
          <w:highlight w:val="none"/>
          <w:lang w:bidi="ar"/>
        </w:rPr>
        <w:t xml:space="preserve">，如无法按照要求在电子投标文件中加盖电子签章和加密，请及时通过技术支持服务热线联系技术人员</w:t>
      </w:r>
      <w:r>
        <w:rPr>
          <w:rFonts w:hint="eastAsia" w:ascii="宋体" w:hAnsi="宋体" w:eastAsia="宋体" w:cs="宋体"/>
          <w:color w:val="000000"/>
          <w:sz w:val="24"/>
          <w:highlight w:val="none"/>
          <w:lang w:bidi="ar"/>
        </w:rPr>
        <w:t xml:space="preserve">。</w:t>
      </w:r>
      <w:r/>
    </w:p>
    <w:p>
      <w:pPr>
        <w:ind w:firstLine="480"/>
        <w:jc w:val="left"/>
        <w:spacing w:line="360" w:lineRule="auto"/>
        <w:widowControl/>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eastAsia="zh-TW" w:bidi="ar"/>
        </w:rPr>
        <w:t xml:space="preserve">2.6</w:t>
      </w:r>
      <w:r>
        <w:rPr>
          <w:rFonts w:hint="eastAsia" w:ascii="宋体" w:hAnsi="宋体" w:eastAsia="宋体" w:cs="宋体"/>
          <w:color w:val="000000"/>
          <w:sz w:val="24"/>
          <w:highlight w:val="none"/>
          <w:lang w:val="zh-TW" w:bidi="ar"/>
        </w:rPr>
        <w:t xml:space="preserve">提交电子投标文件</w:t>
      </w:r>
      <w:r/>
    </w:p>
    <w:p>
      <w:pPr>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供应商应于投标截止时间前在“苏采云”系统提交电子投标文件，上传电子投标文件过程中请保持与互联网的连接畅通。</w:t>
      </w:r>
      <w:r/>
    </w:p>
    <w:p>
      <w:pPr>
        <w:ind w:firstLine="480"/>
        <w:jc w:val="left"/>
        <w:spacing w:line="360" w:lineRule="auto"/>
        <w:widowControl/>
        <w:rPr>
          <w:rFonts w:hint="eastAsia" w:ascii="宋体" w:hAnsi="宋体" w:eastAsia="宋体" w:cs="宋体"/>
          <w:color w:val="000000"/>
          <w:sz w:val="24"/>
          <w:highlight w:val="none"/>
          <w:lang w:eastAsia="zh-TW" w:bidi="ar"/>
        </w:rPr>
      </w:pPr>
      <w:r>
        <w:rPr>
          <w:rFonts w:hint="eastAsia" w:ascii="宋体" w:hAnsi="宋体" w:eastAsia="宋体" w:cs="宋体"/>
          <w:color w:val="000000"/>
          <w:sz w:val="24"/>
          <w:highlight w:val="none"/>
          <w:lang w:val="zh-TW" w:eastAsia="zh-TW" w:bidi="ar"/>
        </w:rPr>
        <w:t xml:space="preserve">2</w:t>
      </w:r>
      <w:r>
        <w:rPr>
          <w:rFonts w:hint="eastAsia" w:ascii="宋体" w:hAnsi="宋体" w:eastAsia="宋体" w:cs="宋体"/>
          <w:color w:val="000000"/>
          <w:sz w:val="24"/>
          <w:highlight w:val="none"/>
          <w:lang w:val="zh-TW" w:bidi="ar"/>
        </w:rPr>
        <w:t xml:space="preserve">.</w:t>
      </w:r>
      <w:r>
        <w:rPr>
          <w:rFonts w:hint="eastAsia" w:ascii="宋体" w:hAnsi="宋体" w:eastAsia="宋体" w:cs="宋体"/>
          <w:color w:val="000000"/>
          <w:sz w:val="24"/>
          <w:highlight w:val="none"/>
          <w:lang w:val="zh-TW" w:eastAsia="zh-TW" w:bidi="ar"/>
        </w:rPr>
        <w:t xml:space="preserve">7</w:t>
      </w:r>
      <w:r>
        <w:rPr>
          <w:rFonts w:hint="eastAsia" w:ascii="宋体" w:hAnsi="宋体" w:eastAsia="宋体" w:cs="宋体"/>
          <w:color w:val="000000"/>
          <w:sz w:val="24"/>
          <w:highlight w:val="none"/>
          <w:lang w:val="zh-TW" w:bidi="ar"/>
        </w:rPr>
        <w:t xml:space="preserve">电子开标</w:t>
      </w:r>
      <w:r/>
    </w:p>
    <w:p>
      <w:pPr>
        <w:ind w:firstLine="480"/>
        <w:spacing w:line="360" w:lineRule="auto"/>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供应商使用</w:t>
      </w:r>
      <w:r>
        <w:rPr>
          <w:rFonts w:hint="eastAsia" w:ascii="宋体" w:hAnsi="宋体" w:eastAsia="宋体" w:cs="宋体"/>
          <w:color w:val="000000"/>
          <w:sz w:val="24"/>
          <w:highlight w:val="none"/>
          <w:lang w:bidi="ar"/>
        </w:rPr>
        <w:t xml:space="preserve">CA认证证书</w:t>
      </w:r>
      <w:r>
        <w:rPr>
          <w:rFonts w:hint="eastAsia" w:ascii="宋体" w:hAnsi="宋体" w:eastAsia="宋体" w:cs="宋体"/>
          <w:color w:val="000000"/>
          <w:sz w:val="24"/>
          <w:highlight w:val="none"/>
          <w:lang w:val="zh-TW" w:bidi="ar"/>
        </w:rPr>
        <w:t xml:space="preserve">登录</w:t>
      </w:r>
      <w:r>
        <w:rPr>
          <w:rFonts w:hint="eastAsia" w:ascii="宋体" w:hAnsi="宋体" w:eastAsia="宋体" w:cs="宋体"/>
          <w:color w:val="000000"/>
          <w:sz w:val="24"/>
          <w:highlight w:val="none"/>
          <w:lang w:bidi="ar"/>
        </w:rPr>
        <w:t xml:space="preserve">“苏采云”系统进行电子化不见面开标</w:t>
      </w:r>
      <w:r>
        <w:rPr>
          <w:rFonts w:hint="eastAsia" w:ascii="宋体" w:hAnsi="宋体" w:eastAsia="宋体" w:cs="宋体"/>
          <w:color w:val="000000"/>
          <w:sz w:val="24"/>
          <w:highlight w:val="none"/>
          <w:lang w:val="zh-TW" w:bidi="ar"/>
        </w:rPr>
        <w:t xml:space="preserve">。</w:t>
      </w:r>
      <w:r/>
    </w:p>
    <w:p>
      <w:pPr>
        <w:ind w:firstLine="480"/>
        <w:spacing w:line="360" w:lineRule="auto"/>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eastAsia="zh-TW" w:bidi="ar"/>
        </w:rPr>
        <w:t xml:space="preserve">2</w:t>
      </w:r>
      <w:r>
        <w:rPr>
          <w:rFonts w:hint="eastAsia" w:ascii="宋体" w:hAnsi="宋体" w:eastAsia="宋体" w:cs="宋体"/>
          <w:color w:val="000000"/>
          <w:sz w:val="24"/>
          <w:highlight w:val="none"/>
          <w:lang w:val="zh-TW" w:bidi="ar"/>
        </w:rPr>
        <w:t xml:space="preserve">.8注意事项</w:t>
      </w:r>
      <w:r/>
    </w:p>
    <w:p>
      <w:pPr>
        <w:ind w:firstLine="480"/>
        <w:spacing w:line="360" w:lineRule="auto"/>
        <w:rPr>
          <w:rFonts w:hint="eastAsia" w:ascii="宋体" w:hAnsi="宋体" w:eastAsia="宋体" w:cs="宋体"/>
          <w:color w:val="000000"/>
          <w:sz w:val="24"/>
          <w:highlight w:val="none"/>
          <w:lang w:eastAsia="zh-TW"/>
        </w:rPr>
      </w:pPr>
      <w:r>
        <w:rPr>
          <w:rFonts w:hint="eastAsia" w:ascii="宋体" w:hAnsi="宋体" w:eastAsia="宋体" w:cs="宋体"/>
          <w:color w:val="000000"/>
          <w:sz w:val="24"/>
          <w:highlight w:val="none"/>
          <w:lang w:val="zh-TW" w:bidi="ar"/>
        </w:rPr>
        <w:t xml:space="preserve">供应商在开标前应当</w:t>
      </w:r>
      <w:r>
        <w:rPr>
          <w:rFonts w:hint="eastAsia" w:ascii="宋体" w:hAnsi="宋体" w:eastAsia="宋体" w:cs="宋体"/>
          <w:color w:val="000000"/>
          <w:sz w:val="24"/>
          <w:highlight w:val="none"/>
        </w:rPr>
        <w:t xml:space="preserve">使用“验证CA”功能验证本地计算机的控件环境是否正常，并且在开标、评审过程中不可随意更换计算机，必须使用验证成功的计算机进行操作，否则造成相应后果由投标人自行承担。</w:t>
      </w:r>
      <w:r/>
    </w:p>
    <w:p>
      <w:pPr>
        <w:ind w:firstLine="480"/>
        <w:spacing w:line="360" w:lineRule="auto"/>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eastAsia="zh-TW" w:bidi="ar"/>
        </w:rPr>
        <w:t xml:space="preserve">3</w:t>
      </w:r>
      <w:r>
        <w:rPr>
          <w:rFonts w:hint="eastAsia" w:ascii="宋体" w:hAnsi="宋体" w:eastAsia="宋体" w:cs="宋体"/>
          <w:color w:val="000000"/>
          <w:sz w:val="24"/>
          <w:highlight w:val="none"/>
          <w:lang w:val="zh-TW" w:bidi="ar"/>
        </w:rPr>
        <w:t xml:space="preserve">.关于常州市中小企业政府采购信用融资：</w:t>
      </w:r>
      <w:r/>
    </w:p>
    <w:p>
      <w:pPr>
        <w:ind w:firstLine="480"/>
        <w:spacing w:line="360" w:lineRule="auto"/>
        <w:rPr>
          <w:rFonts w:eastAsia="宋体"/>
          <w:color w:val="000000"/>
          <w:highlight w:val="none"/>
          <w:lang w:val="en-US" w:eastAsia="zh-CN"/>
        </w:rPr>
      </w:pPr>
      <w:r>
        <w:rPr>
          <w:rFonts w:hint="eastAsia" w:ascii="宋体" w:hAnsi="宋体" w:eastAsia="宋体" w:cs="宋体"/>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10"/>
        <w:jc w:val="left"/>
        <w:spacing w:before="0" w:line="360" w:lineRule="auto"/>
        <w:rPr>
          <w:rFonts w:hint="eastAsia" w:ascii="宋体" w:hAnsi="宋体" w:eastAsia="宋体" w:cs="宋体"/>
          <w:color w:val="000000"/>
          <w:sz w:val="24"/>
          <w:szCs w:val="24"/>
          <w:highlight w:val="none"/>
        </w:rPr>
      </w:pPr>
      <w:r/>
      <w:bookmarkStart w:id="25" w:name="_Toc28359008"/>
      <w:r/>
      <w:bookmarkStart w:id="26" w:name="_Toc35393627"/>
      <w:r/>
      <w:bookmarkStart w:id="27" w:name="_Toc28359085"/>
      <w:r/>
      <w:bookmarkStart w:id="28" w:name="_Toc35393796"/>
      <w:r>
        <w:rPr>
          <w:rFonts w:hint="eastAsia" w:ascii="宋体" w:hAnsi="宋体" w:eastAsia="宋体" w:cs="宋体"/>
          <w:color w:val="000000"/>
          <w:sz w:val="24"/>
          <w:szCs w:val="24"/>
          <w:highlight w:val="none"/>
        </w:rPr>
        <w:t xml:space="preserve">七、对本次招标提出询问，请按以下方式联系。</w:t>
      </w:r>
      <w:bookmarkEnd w:id="25"/>
      <w:r/>
      <w:bookmarkEnd w:id="26"/>
      <w:r/>
      <w:bookmarkEnd w:id="27"/>
      <w:r/>
      <w:bookmarkEnd w:id="28"/>
      <w:r/>
      <w:r/>
    </w:p>
    <w:p>
      <w:pPr>
        <w:jc w:val="left"/>
        <w:spacing w:line="360" w:lineRule="auto"/>
        <w:widowControl/>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24"/>
          <w:highlight w:val="none"/>
        </w:rPr>
        <w:t xml:space="preserve">1.采购人信息</w:t>
      </w:r>
      <w:r/>
    </w:p>
    <w:p>
      <w:pPr>
        <w:ind w:left="1079" w:hanging="300"/>
        <w:jc w:val="left"/>
        <w:spacing w:line="360" w:lineRule="auto"/>
        <w:rPr>
          <w:rFonts w:hint="eastAsia" w:ascii="宋体" w:hAnsi="宋体" w:eastAsia="宋体" w:cs="宋体"/>
          <w:color w:val="000000"/>
          <w:sz w:val="24"/>
          <w:highlight w:val="none"/>
          <w:lang w:eastAsia="zh-CN"/>
        </w:rPr>
      </w:pPr>
      <w:r/>
      <w:bookmarkStart w:id="29" w:name="_Toc28359009"/>
      <w:r/>
      <w:bookmarkStart w:id="30" w:name="_Toc28359086"/>
      <w:r>
        <w:rPr>
          <w:rFonts w:hint="eastAsia" w:ascii="宋体" w:hAnsi="宋体" w:eastAsia="宋体" w:cs="宋体"/>
          <w:color w:val="000000"/>
          <w:sz w:val="24"/>
          <w:highlight w:val="none"/>
        </w:rPr>
        <w:t xml:space="preserve">名    称：</w:t>
      </w:r>
      <w:r>
        <w:rPr>
          <w:rFonts w:hint="eastAsia" w:ascii="宋体" w:hAnsi="宋体" w:eastAsia="宋体" w:cs="宋体"/>
          <w:color w:val="000000"/>
          <w:sz w:val="24"/>
          <w:highlight w:val="none"/>
          <w:lang w:eastAsia="zh-CN"/>
        </w:rPr>
        <w:t xml:space="preserve">常州市新北区龙虎塘中学</w:t>
      </w:r>
      <w:r/>
    </w:p>
    <w:p>
      <w:pPr>
        <w:ind w:left="1079" w:hanging="300"/>
        <w:jc w:val="left"/>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地    址：</w:t>
      </w:r>
      <w:r>
        <w:rPr>
          <w:rFonts w:hint="eastAsia" w:ascii="宋体" w:hAnsi="宋体" w:eastAsia="宋体" w:cs="宋体"/>
          <w:color w:val="000000"/>
          <w:sz w:val="24"/>
          <w:highlight w:val="none"/>
          <w:lang w:eastAsia="zh-CN"/>
        </w:rPr>
        <w:t xml:space="preserve">新北区北街168号</w:t>
      </w:r>
      <w:r/>
    </w:p>
    <w:p>
      <w:pPr>
        <w:ind w:left="1079" w:hanging="30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联系方式：</w:t>
      </w:r>
      <w:r>
        <w:rPr>
          <w:rFonts w:hint="eastAsia" w:ascii="宋体" w:hAnsi="宋体" w:eastAsia="宋体" w:cs="宋体"/>
          <w:color w:val="000000"/>
          <w:sz w:val="24"/>
          <w:highlight w:val="none"/>
          <w:lang w:val="en-US" w:eastAsia="zh-CN"/>
        </w:rPr>
        <w:t xml:space="preserve">0519-85487876</w:t>
      </w:r>
      <w:r/>
    </w:p>
    <w:p>
      <w:pPr>
        <w:ind w:left="1080" w:hanging="301"/>
        <w:jc w:val="left"/>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2.采购代理机构信息</w:t>
      </w:r>
      <w:bookmarkEnd w:id="29"/>
      <w:r/>
      <w:bookmarkEnd w:id="30"/>
      <w:r/>
      <w:r/>
    </w:p>
    <w:p>
      <w:pPr>
        <w:ind w:left="1079" w:hanging="300"/>
        <w:jc w:val="left"/>
        <w:spacing w:line="360" w:lineRule="auto"/>
        <w:rPr>
          <w:rFonts w:hint="eastAsia" w:ascii="宋体" w:hAnsi="宋体" w:eastAsia="宋体" w:cs="宋体"/>
          <w:color w:val="000000"/>
          <w:sz w:val="24"/>
          <w:highlight w:val="none"/>
        </w:rPr>
      </w:pPr>
      <w:r/>
      <w:bookmarkStart w:id="31" w:name="_Toc28359010"/>
      <w:r/>
      <w:bookmarkStart w:id="32" w:name="_Toc28359087"/>
      <w:r>
        <w:rPr>
          <w:rFonts w:hint="eastAsia" w:ascii="宋体" w:hAnsi="宋体" w:eastAsia="宋体" w:cs="宋体"/>
          <w:color w:val="000000"/>
          <w:sz w:val="24"/>
          <w:highlight w:val="none"/>
        </w:rPr>
        <w:t xml:space="preserve">名    称：江苏建达全过程工程咨询有限公司</w:t>
      </w:r>
      <w:r/>
    </w:p>
    <w:p>
      <w:pPr>
        <w:ind w:left="1079" w:hanging="30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址：常州市新北区通江中路307号四楼</w:t>
      </w:r>
      <w:r/>
    </w:p>
    <w:p>
      <w:pPr>
        <w:ind w:firstLine="723"/>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rPr>
        <w:t xml:space="preserve">3.项目联系方式</w:t>
      </w:r>
      <w:bookmarkEnd w:id="31"/>
      <w:r/>
      <w:bookmarkEnd w:id="32"/>
      <w:r/>
      <w:r/>
    </w:p>
    <w:p>
      <w:pPr>
        <w:ind w:left="1079" w:hanging="30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联系人：沈工                </w:t>
      </w:r>
      <w:r/>
    </w:p>
    <w:p>
      <w:pPr>
        <w:ind w:left="1079" w:hanging="30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话：0519-89885060 </w:t>
      </w:r>
      <w:r/>
    </w:p>
    <w:p>
      <w:pPr>
        <w:ind w:left="1079" w:hanging="30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1079" w:hanging="30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注：以上个人信息，由于工作需要经机构或本人同意对外公布。</w:t>
      </w:r>
      <w:r/>
    </w:p>
    <w:p>
      <w:pPr>
        <w:ind w:left="1079" w:hanging="30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58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color w:val="000000"/>
          <w:sz w:val="24"/>
          <w:highlight w:val="none"/>
        </w:rPr>
        <w:br w:type="page" w:clear="all"/>
      </w:r>
      <w:bookmarkStart w:id="33" w:name="_Toc305158928"/>
      <w:r/>
      <w:bookmarkStart w:id="34" w:name="_Toc305158854"/>
      <w:r/>
      <w:bookmarkStart w:id="35" w:name="_Toc6065"/>
      <w:r/>
      <w:bookmarkStart w:id="36" w:name="_Toc127151777"/>
      <w:r/>
      <w:bookmarkStart w:id="37" w:name="_Toc264969275"/>
      <w:r/>
      <w:bookmarkStart w:id="38" w:name="_Toc150774783"/>
      <w:r/>
      <w:bookmarkStart w:id="39" w:name="_Toc353825548"/>
      <w:r/>
      <w:bookmarkStart w:id="40" w:name="_Toc512937850"/>
      <w:r/>
      <w:bookmarkStart w:id="41" w:name="_Toc226965856"/>
      <w:r/>
      <w:bookmarkStart w:id="42" w:name="_Toc265228423"/>
      <w:r/>
      <w:bookmarkStart w:id="43" w:name="_Toc127161488"/>
      <w:r/>
      <w:bookmarkStart w:id="44" w:name="_Toc195842950"/>
      <w:r/>
      <w:bookmarkStart w:id="45" w:name="_Toc353873938"/>
      <w:r>
        <w:rPr>
          <w:rFonts w:hint="eastAsia" w:ascii="宋体" w:hAnsi="宋体" w:eastAsia="宋体" w:cs="宋体"/>
          <w:b/>
          <w:color w:val="000000"/>
          <w:sz w:val="36"/>
          <w:szCs w:val="36"/>
          <w:highlight w:val="none"/>
        </w:rPr>
        <w:t xml:space="preserve">第二章   投标人须知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010"/>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46" w:name="_Toc164608788"/>
      <w:r/>
      <w:bookmarkStart w:id="47" w:name="_Toc520356144"/>
      <w:r/>
      <w:bookmarkStart w:id="48" w:name="_Toc150480757"/>
      <w:r/>
      <w:bookmarkStart w:id="49" w:name="_Toc164229214"/>
      <w:r/>
      <w:bookmarkStart w:id="50" w:name="_Toc142311021"/>
      <w:r/>
      <w:bookmarkStart w:id="51" w:name="_Toc150774724"/>
      <w:r/>
      <w:bookmarkStart w:id="52" w:name="_Toc127151519"/>
      <w:r/>
      <w:bookmarkStart w:id="53" w:name="_Toc164229360"/>
      <w:r/>
      <w:bookmarkStart w:id="54" w:name="_Toc149720812"/>
      <w:r/>
      <w:bookmarkStart w:id="55" w:name="_Toc164608633"/>
      <w:r/>
      <w:bookmarkStart w:id="56" w:name="_Toc151193761"/>
      <w:r/>
      <w:bookmarkStart w:id="57" w:name="_Toc151193907"/>
      <w:r/>
      <w:bookmarkStart w:id="58" w:name="_Toc150774619"/>
      <w:r/>
      <w:bookmarkStart w:id="59" w:name="_Toc150509270"/>
      <w:r/>
      <w:bookmarkStart w:id="60" w:name="_Toc151190146"/>
      <w:r/>
      <w:bookmarkStart w:id="61" w:name="_Toc151193833"/>
      <w:r/>
      <w:bookmarkStart w:id="62" w:name="_Toc195842884"/>
      <w:r/>
      <w:bookmarkStart w:id="63" w:name="_Toc226965792"/>
      <w:r/>
      <w:bookmarkStart w:id="64" w:name="_Toc164351613"/>
      <w:r/>
      <w:bookmarkStart w:id="65" w:name="_Toc226965709"/>
      <w:r/>
      <w:bookmarkStart w:id="66" w:name="_Toc127151720"/>
      <w:r/>
      <w:bookmarkStart w:id="67" w:name="_Toc226337215"/>
      <w:r/>
      <w:bookmarkStart w:id="68" w:name="_Toc151193689"/>
      <w:r/>
      <w:bookmarkStart w:id="69" w:name="_Toc127161433"/>
      <w:r/>
      <w:bookmarkStart w:id="70" w:name="_Toc151193617"/>
      <w:r/>
      <w:bookmarkStart w:id="71" w:name="_Toc226309763"/>
      <w:r>
        <w:rPr>
          <w:rFonts w:hint="eastAsia" w:ascii="宋体" w:hAnsi="宋体" w:eastAsia="宋体" w:cs="宋体"/>
          <w:color w:val="000000"/>
          <w:sz w:val="28"/>
          <w:highlight w:val="none"/>
        </w:rPr>
        <w:t xml:space="preserve">投标人须知资料表</w:t>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本表是对投标人须知的具体补充和修改，如有矛盾，均以本资料表为准。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标记“</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”的选项意为适用于本项目，标记“□”的选项意为不适用于本项目。</w:t>
      </w:r>
      <w:r/>
    </w:p>
    <w:tbl>
      <w:tblPr>
        <w:tblStyle w:val="839"/>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条款号</w:t>
            </w:r>
            <w:r/>
          </w:p>
        </w:tc>
        <w:tc>
          <w:tcPr>
            <w:tcW w:w="1701"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条目</w:t>
            </w:r>
            <w:r/>
          </w:p>
        </w:tc>
        <w:tc>
          <w:tcPr>
            <w:tcW w:w="7540" w:type="dxa"/>
            <w:vAlign w:val="center"/>
            <w:textDirection w:val="lrTb"/>
            <w:noWrap w:val="false"/>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内容</w:t>
            </w:r>
            <w:r/>
          </w:p>
        </w:tc>
      </w:tr>
      <w:tr>
        <w:trPr>
          <w:jc w:val="center"/>
          <w:trHeight w:val="20"/>
        </w:trPr>
        <w:tc>
          <w:tcPr>
            <w:tcW w:w="988" w:type="dxa"/>
            <w:vAlign w:val="center"/>
            <w:textDirection w:val="lrTb"/>
            <w:noWrap w:val="false"/>
          </w:tcPr>
          <w:p>
            <w:pPr>
              <w:pStyle w:val="12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项目属性</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项目属性：</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□服务</w:t>
            </w:r>
            <w:r/>
          </w:p>
          <w:p>
            <w:pPr>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■货物</w:t>
            </w:r>
            <w:r/>
          </w:p>
        </w:tc>
      </w:tr>
      <w:tr>
        <w:trPr>
          <w:jc w:val="center"/>
          <w:trHeight w:val="20"/>
        </w:trPr>
        <w:tc>
          <w:tcPr>
            <w:tcW w:w="988" w:type="dxa"/>
            <w:vAlign w:val="center"/>
            <w:textDirection w:val="lrTb"/>
            <w:noWrap w:val="false"/>
          </w:tcPr>
          <w:p>
            <w:pPr>
              <w:pStyle w:val="12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科研仪器设备</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是否属于科研仪器设备采购项目：</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w:t>
            </w:r>
            <w:r/>
          </w:p>
          <w:p>
            <w:pPr>
              <w:jc w:val="lef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否</w:t>
            </w:r>
            <w:r/>
          </w:p>
        </w:tc>
      </w:tr>
      <w:tr>
        <w:trPr>
          <w:jc w:val="center"/>
          <w:trHeight w:val="20"/>
        </w:trPr>
        <w:tc>
          <w:tcPr>
            <w:tcW w:w="988" w:type="dxa"/>
            <w:vAlign w:val="center"/>
            <w:textDirection w:val="lrTb"/>
            <w:noWrap w:val="false"/>
          </w:tcPr>
          <w:p>
            <w:pPr>
              <w:pStyle w:val="12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核心产品</w:t>
            </w:r>
            <w:r/>
          </w:p>
        </w:tc>
        <w:tc>
          <w:tcPr>
            <w:tcW w:w="7540" w:type="dxa"/>
            <w:vAlign w:val="center"/>
            <w:textDirection w:val="lrTb"/>
            <w:noWrap w:val="false"/>
          </w:tcPr>
          <w:p>
            <w:pPr>
              <w:pStyle w:val="12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□关于核心产品本项目</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包不适用。</w:t>
            </w:r>
            <w:r/>
          </w:p>
          <w:p>
            <w:pPr>
              <w:pStyle w:val="12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□本项目__包为单一产品采购项目。</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本项目__包为非单一产品采购项目，核心产品为：</w:t>
            </w:r>
            <w:r>
              <w:rPr>
                <w:rFonts w:hint="eastAsia" w:ascii="宋体" w:hAnsi="宋体" w:eastAsia="宋体" w:cs="宋体"/>
                <w:color w:val="000000"/>
                <w:sz w:val="24"/>
                <w:highlight w:val="none"/>
                <w:u w:val="single"/>
                <w:lang w:val="en-US" w:eastAsia="zh-CN"/>
              </w:rPr>
              <w:t xml:space="preserve"> 学生实验桌  </w:t>
            </w:r>
            <w:r>
              <w:rPr>
                <w:rFonts w:hint="eastAsia" w:ascii="宋体" w:hAnsi="宋体" w:eastAsia="宋体" w:cs="宋体"/>
                <w:color w:val="000000"/>
                <w:sz w:val="24"/>
                <w:highlight w:val="none"/>
              </w:rPr>
              <w:t xml:space="preserve">。</w:t>
            </w:r>
            <w:r/>
          </w:p>
        </w:tc>
      </w:tr>
      <w:tr>
        <w:trPr>
          <w:jc w:val="center"/>
          <w:trHeight w:val="20"/>
        </w:trPr>
        <w:tc>
          <w:tcPr>
            <w:tcW w:w="988" w:type="dxa"/>
            <w:vAlign w:val="center"/>
            <w:vMerge w:val="restart"/>
            <w:textDirection w:val="lrTb"/>
            <w:noWrap w:val="false"/>
          </w:tcPr>
          <w:p>
            <w:pPr>
              <w:pStyle w:val="12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现场考察</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□不组织</w:t>
            </w:r>
            <w:r/>
          </w:p>
          <w:p>
            <w:pPr>
              <w:jc w:val="lef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■组织，考察时间：</w:t>
            </w:r>
            <w:r>
              <w:rPr>
                <w:rFonts w:hint="eastAsia" w:ascii="宋体" w:hAnsi="宋体" w:eastAsia="宋体" w:cs="宋体"/>
                <w:color w:val="000000"/>
                <w:sz w:val="24"/>
                <w:highlight w:val="none"/>
                <w:u w:val="single"/>
                <w:lang w:val="en-US" w:eastAsia="zh-CN"/>
              </w:rPr>
              <w:t xml:space="preserve">2026</w:t>
            </w:r>
            <w:r>
              <w:rPr>
                <w:rFonts w:hint="eastAsia" w:ascii="宋体" w:hAnsi="宋体" w:eastAsia="宋体" w:cs="宋体"/>
                <w:color w:val="000000"/>
                <w:sz w:val="24"/>
                <w:highlight w:val="none"/>
                <w:u w:val="single"/>
                <w:lang w:bidi="ar"/>
              </w:rPr>
              <w:t xml:space="preserve">年</w:t>
            </w:r>
            <w:r>
              <w:rPr>
                <w:rFonts w:hint="eastAsia" w:ascii="宋体" w:hAnsi="宋体" w:cs="宋体"/>
                <w:color w:val="000000"/>
                <w:sz w:val="24"/>
                <w:highlight w:val="none"/>
                <w:u w:val="single"/>
                <w:lang w:val="en-US" w:eastAsia="zh-CN" w:bidi="ar"/>
              </w:rPr>
              <w:t xml:space="preserve">6</w:t>
            </w:r>
            <w:r>
              <w:rPr>
                <w:rFonts w:hint="eastAsia" w:ascii="宋体" w:hAnsi="宋体" w:eastAsia="宋体" w:cs="宋体"/>
                <w:color w:val="000000"/>
                <w:sz w:val="24"/>
                <w:highlight w:val="none"/>
                <w:u w:val="single"/>
                <w:lang w:bidi="ar"/>
              </w:rPr>
              <w:t xml:space="preserve">月</w:t>
            </w:r>
            <w:r>
              <w:rPr>
                <w:rFonts w:hint="eastAsia" w:ascii="宋体" w:hAnsi="宋体" w:cs="宋体"/>
                <w:color w:val="000000"/>
                <w:sz w:val="24"/>
                <w:highlight w:val="none"/>
                <w:u w:val="single"/>
                <w:lang w:val="en-US" w:eastAsia="zh-CN" w:bidi="ar"/>
              </w:rPr>
              <w:t xml:space="preserve">11</w:t>
            </w:r>
            <w:r>
              <w:rPr>
                <w:rFonts w:hint="eastAsia" w:ascii="宋体" w:hAnsi="宋体" w:eastAsia="宋体" w:cs="宋体"/>
                <w:color w:val="000000"/>
                <w:sz w:val="24"/>
                <w:highlight w:val="none"/>
                <w:u w:val="single"/>
                <w:lang w:bidi="ar"/>
              </w:rPr>
              <w:t xml:space="preserve">日</w:t>
            </w:r>
            <w:r>
              <w:rPr>
                <w:rFonts w:hint="eastAsia" w:ascii="宋体" w:hAnsi="宋体" w:eastAsia="宋体" w:cs="宋体"/>
                <w:color w:val="000000"/>
                <w:sz w:val="24"/>
                <w:highlight w:val="none"/>
                <w:u w:val="single"/>
                <w:lang w:val="en-US" w:eastAsia="zh-CN" w:bidi="ar"/>
              </w:rPr>
              <w:t xml:space="preserve">14</w:t>
            </w:r>
            <w:r>
              <w:rPr>
                <w:rFonts w:hint="eastAsia" w:ascii="宋体" w:hAnsi="宋体" w:eastAsia="宋体" w:cs="宋体"/>
                <w:color w:val="000000"/>
                <w:sz w:val="24"/>
                <w:highlight w:val="none"/>
                <w:u w:val="single"/>
                <w:lang w:bidi="ar"/>
              </w:rPr>
              <w:t xml:space="preserve">点</w:t>
            </w:r>
            <w:r>
              <w:rPr>
                <w:rFonts w:hint="eastAsia" w:ascii="宋体" w:hAnsi="宋体" w:eastAsia="宋体" w:cs="宋体"/>
                <w:color w:val="000000"/>
                <w:sz w:val="24"/>
                <w:highlight w:val="none"/>
                <w:u w:val="single"/>
                <w:lang w:val="en-US" w:eastAsia="zh-CN" w:bidi="ar"/>
              </w:rPr>
              <w:t xml:space="preserve">00</w:t>
            </w:r>
            <w:r>
              <w:rPr>
                <w:rFonts w:hint="eastAsia" w:ascii="宋体" w:hAnsi="宋体" w:eastAsia="宋体" w:cs="宋体"/>
                <w:color w:val="000000"/>
                <w:sz w:val="24"/>
                <w:highlight w:val="none"/>
                <w:u w:val="single"/>
                <w:lang w:bidi="ar"/>
              </w:rPr>
              <w:t xml:space="preserve">分</w:t>
            </w:r>
            <w:r/>
          </w:p>
          <w:p>
            <w:pPr>
              <w:pStyle w:val="1266"/>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考察地点：</w:t>
            </w:r>
            <w:r>
              <w:rPr>
                <w:rFonts w:hint="eastAsia" w:hAnsi="宋体" w:eastAsia="宋体" w:cs="宋体"/>
                <w:color w:val="000000"/>
                <w:sz w:val="24"/>
                <w:highlight w:val="none"/>
                <w:u w:val="single"/>
                <w:lang w:eastAsia="zh-CN"/>
              </w:rPr>
              <w:t xml:space="preserve">常州市新北区龙虎塘中学（新北区北街</w:t>
            </w:r>
            <w:r>
              <w:rPr>
                <w:rFonts w:hint="eastAsia" w:hAnsi="宋体" w:eastAsia="宋体" w:cs="宋体"/>
                <w:color w:val="000000"/>
                <w:sz w:val="24"/>
                <w:highlight w:val="none"/>
                <w:u w:val="single"/>
                <w:lang w:val="en-US" w:eastAsia="zh-CN"/>
              </w:rPr>
              <w:t xml:space="preserve">168号</w:t>
            </w:r>
            <w:r>
              <w:rPr>
                <w:rFonts w:hint="eastAsia"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rPr>
              <w:t xml:space="preserve">。</w:t>
            </w:r>
            <w:r/>
          </w:p>
          <w:p>
            <w:pPr>
              <w:pStyle w:val="1266"/>
              <w:rPr>
                <w:rFonts w:hint="eastAsia" w:ascii="宋体" w:hAnsi="宋体" w:eastAsia="宋体" w:cs="宋体"/>
                <w:color w:val="000000"/>
                <w:sz w:val="24"/>
                <w:highlight w:val="none"/>
              </w:rPr>
            </w:pPr>
            <w:r>
              <w:rPr>
                <w:rFonts w:hint="eastAsia" w:hAnsi="宋体" w:eastAsia="宋体" w:cs="宋体"/>
                <w:color w:val="000000"/>
                <w:sz w:val="24"/>
                <w:highlight w:val="none"/>
                <w:u w:val="single"/>
                <w:lang w:val="en-US" w:eastAsia="zh-CN"/>
              </w:rPr>
              <w:t xml:space="preserve">联系人：陈老师，联系电话：</w:t>
            </w:r>
            <w:r>
              <w:rPr>
                <w:rFonts w:hint="eastAsia" w:ascii="宋体" w:hAnsi="宋体" w:eastAsia="宋体" w:cs="宋体"/>
                <w:color w:val="000000"/>
                <w:sz w:val="24"/>
                <w:highlight w:val="none"/>
                <w:u w:val="single"/>
                <w:lang w:val="en-US" w:eastAsia="zh-CN"/>
              </w:rPr>
              <w:t xml:space="preserve">0519-85487876</w:t>
            </w:r>
            <w:r/>
          </w:p>
        </w:tc>
      </w:tr>
      <w:tr>
        <w:trPr>
          <w:jc w:val="center"/>
          <w:trHeight w:val="20"/>
        </w:trPr>
        <w:tc>
          <w:tcPr>
            <w:tcW w:w="988" w:type="dxa"/>
            <w:vAlign w:val="center"/>
            <w:vMerge w:val="continue"/>
            <w:textDirection w:val="lrTb"/>
            <w:noWrap w:val="false"/>
          </w:tcPr>
          <w:p>
            <w:pPr>
              <w:pStyle w:val="12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开标前答疑会</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■不召开</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□召开，召开时间：__年_月_日_</w:t>
            </w:r>
            <w:r>
              <w:rPr>
                <w:rFonts w:hint="eastAsia" w:ascii="宋体" w:hAnsi="宋体" w:eastAsia="宋体" w:cs="宋体"/>
                <w:bCs/>
                <w:color w:val="000000"/>
                <w:sz w:val="24"/>
                <w:highlight w:val="none"/>
              </w:rPr>
              <w:t xml:space="preserve">点</w:t>
            </w:r>
            <w:r>
              <w:rPr>
                <w:rFonts w:hint="eastAsia" w:ascii="宋体" w:hAnsi="宋体" w:eastAsia="宋体" w:cs="宋体"/>
                <w:color w:val="000000"/>
                <w:sz w:val="24"/>
                <w:highlight w:val="none"/>
              </w:rPr>
              <w:t xml:space="preserve">_</w:t>
            </w:r>
            <w:r>
              <w:rPr>
                <w:rFonts w:hint="eastAsia" w:ascii="宋体" w:hAnsi="宋体" w:eastAsia="宋体" w:cs="宋体"/>
                <w:bCs/>
                <w:color w:val="000000"/>
                <w:sz w:val="24"/>
                <w:highlight w:val="none"/>
              </w:rPr>
              <w:t xml:space="preserve">分</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召开地点：____________。</w:t>
            </w:r>
            <w:r/>
          </w:p>
        </w:tc>
      </w:tr>
      <w:tr>
        <w:trPr>
          <w:jc w:val="center"/>
          <w:trHeight w:val="20"/>
        </w:trPr>
        <w:tc>
          <w:tcPr>
            <w:tcW w:w="988" w:type="dxa"/>
            <w:vAlign w:val="center"/>
            <w:textDirection w:val="lrTb"/>
            <w:noWrap w:val="false"/>
          </w:tcPr>
          <w:p>
            <w:pPr>
              <w:pStyle w:val="12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样品</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投标样品递交：</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□不需要</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■需要，具体要求如下：</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需提供样品:</w:t>
            </w:r>
            <w:r/>
          </w:p>
          <w:tbl>
            <w:tblPr>
              <w:tblStyle w:val="8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2835"/>
              <w:gridCol w:w="1260"/>
              <w:gridCol w:w="1217"/>
            </w:tblGrid>
            <w:tr>
              <w:trPr>
                <w:jc w:val="center"/>
              </w:trPr>
              <w:tc>
                <w:tcPr>
                  <w:tcW w:w="812"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序号</w:t>
                  </w:r>
                  <w:r/>
                </w:p>
              </w:tc>
              <w:tc>
                <w:tcPr>
                  <w:tcW w:w="283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名称</w:t>
                  </w:r>
                  <w:r/>
                </w:p>
              </w:tc>
              <w:tc>
                <w:tcPr>
                  <w:tcW w:w="126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数量</w:t>
                  </w:r>
                  <w:r/>
                </w:p>
              </w:tc>
              <w:tc>
                <w:tcPr>
                  <w:tcW w:w="1217"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单位</w:t>
                  </w:r>
                  <w:r/>
                </w:p>
              </w:tc>
            </w:tr>
            <w:tr>
              <w:trPr>
                <w:jc w:val="center"/>
              </w:trPr>
              <w:tc>
                <w:tcPr>
                  <w:tcW w:w="812"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W w:w="2835" w:type="dxa"/>
                  <w:vAlign w:val="center"/>
                  <w:textDirection w:val="lrTb"/>
                  <w:noWrap w:val="false"/>
                </w:tcPr>
                <w:p>
                  <w:pPr>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学生实验桌（学生实验台）</w:t>
                  </w:r>
                  <w:r/>
                </w:p>
              </w:tc>
              <w:tc>
                <w:tcPr>
                  <w:tcW w:w="1260" w:type="dxa"/>
                  <w:vAlign w:val="center"/>
                  <w:textDirection w:val="lrTb"/>
                  <w:noWrap w:val="false"/>
                </w:tcPr>
                <w:p>
                  <w:pPr>
                    <w:jc w:val="center"/>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p>
              </w:tc>
              <w:tc>
                <w:tcPr>
                  <w:tcW w:w="1217" w:type="dxa"/>
                  <w:vAlign w:val="center"/>
                  <w:textDirection w:val="lrTb"/>
                  <w:noWrap w:val="false"/>
                </w:tcPr>
                <w:p>
                  <w:pPr>
                    <w:jc w:val="center"/>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套</w:t>
                  </w:r>
                  <w:r/>
                </w:p>
              </w:tc>
            </w:tr>
            <w:tr>
              <w:trPr>
                <w:jc w:val="center"/>
              </w:trPr>
              <w:tc>
                <w:tcPr>
                  <w:tcW w:w="812"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c>
                <w:tcPr>
                  <w:tcW w:w="2835" w:type="dxa"/>
                  <w:vAlign w:val="center"/>
                  <w:textDirection w:val="lrTb"/>
                  <w:noWrap w:val="false"/>
                </w:tcPr>
                <w:p>
                  <w:pPr>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学生凳</w:t>
                  </w:r>
                  <w:r/>
                </w:p>
              </w:tc>
              <w:tc>
                <w:tcPr>
                  <w:tcW w:w="1260" w:type="dxa"/>
                  <w:vAlign w:val="center"/>
                  <w:textDirection w:val="lrTb"/>
                  <w:noWrap w:val="false"/>
                </w:tcPr>
                <w:p>
                  <w:pPr>
                    <w:jc w:val="center"/>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p>
              </w:tc>
              <w:tc>
                <w:tcPr>
                  <w:tcW w:w="1217" w:type="dxa"/>
                  <w:vAlign w:val="center"/>
                  <w:textDirection w:val="lrTb"/>
                  <w:noWrap w:val="false"/>
                </w:tcPr>
                <w:p>
                  <w:pPr>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个</w:t>
                  </w:r>
                  <w:r/>
                </w:p>
              </w:tc>
            </w:tr>
          </w:tbl>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样品提交时,样品上任何显示投标人名称的商标、品牌或其他显示该投标人名称的标志都应用不透明的白纸粘贴遮盖，否则将被视为无效投标。中标单位样品留样封存，</w:t>
            </w:r>
            <w:r>
              <w:rPr>
                <w:rFonts w:hint="eastAsia" w:ascii="宋体" w:hAnsi="宋体" w:eastAsia="宋体" w:cs="宋体"/>
                <w:color w:val="000000"/>
                <w:sz w:val="24"/>
                <w:szCs w:val="24"/>
                <w:highlight w:val="none"/>
                <w:lang w:eastAsia="zh-CN"/>
              </w:rPr>
              <w:t xml:space="preserve">未中标单位样品将在中标公告发布后由投标人自行运回</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样品外须粘贴标签（样品分别做标签，标签不大于10cm×8cm，格式参考如下），在标签上注明项目名称、投标人名称并加盖投标人公章；该标签须粘贴牢固，并用不透明白纸将标签沿四周粘贴遮盖严实,否则视为无效投标。</w:t>
            </w:r>
            <w:r/>
          </w:p>
          <w:tbl>
            <w:tblPr>
              <w:tblStyle w:val="839"/>
              <w:tblW w:w="4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4"/>
            </w:tblGrid>
            <w:tr>
              <w:trPr>
                <w:jc w:val="center"/>
                <w:trHeight w:val="311"/>
              </w:trPr>
              <w:tc>
                <w:tcPr>
                  <w:tcW w:w="4694"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样品标签</w:t>
                  </w:r>
                  <w:r/>
                </w:p>
              </w:tc>
            </w:tr>
            <w:tr>
              <w:trPr>
                <w:jc w:val="center"/>
                <w:trHeight w:val="646"/>
              </w:trPr>
              <w:tc>
                <w:tcPr>
                  <w:tcW w:w="4694" w:type="dxa"/>
                  <w:vAlign w:val="center"/>
                  <w:textDirection w:val="lrTb"/>
                  <w:noWrap w:val="false"/>
                </w:tcPr>
                <w:p>
                  <w:pP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xxxxxxxxxxxxx</w:t>
                  </w:r>
                  <w:r/>
                </w:p>
              </w:tc>
            </w:tr>
            <w:tr>
              <w:trPr>
                <w:jc w:val="center"/>
                <w:trHeight w:val="1170"/>
              </w:trPr>
              <w:tc>
                <w:tcPr>
                  <w:tcW w:w="4694" w:type="dxa"/>
                  <w:vAlign w:val="top"/>
                  <w:textDirection w:val="lrTb"/>
                  <w:noWrap w:val="false"/>
                </w:tcPr>
                <w:p>
                  <w:pPr>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w:t>
                  </w:r>
                  <w:r/>
                </w:p>
                <w:p>
                  <w:pPr>
                    <w:jc w:val="righ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加盖</w:t>
                  </w:r>
                  <w:r>
                    <w:rPr>
                      <w:rFonts w:hint="eastAsia" w:ascii="宋体" w:hAnsi="宋体" w:eastAsia="宋体" w:cs="宋体"/>
                      <w:color w:val="000000"/>
                      <w:sz w:val="24"/>
                      <w:szCs w:val="24"/>
                      <w:highlight w:val="none"/>
                    </w:rPr>
                    <w:t xml:space="preserve">（公章）</w:t>
                  </w:r>
                  <w:r/>
                </w:p>
                <w:p>
                  <w:pPr>
                    <w:jc w:val="righ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  月  日</w:t>
                  </w:r>
                  <w:r/>
                </w:p>
              </w:tc>
            </w:tr>
          </w:tbl>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样品制作及运输费用由投标人自行承担。</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未能提供样品或</w:t>
            </w:r>
            <w:r>
              <w:rPr>
                <w:rFonts w:hint="eastAsia" w:ascii="宋体" w:hAnsi="宋体" w:eastAsia="宋体" w:cs="宋体"/>
                <w:color w:val="000000"/>
                <w:sz w:val="24"/>
                <w:szCs w:val="24"/>
                <w:highlight w:val="none"/>
                <w:lang w:eastAsia="zh-CN"/>
              </w:rPr>
              <w:t xml:space="preserve">样品明显不符合要求</w:t>
            </w:r>
            <w:r>
              <w:rPr>
                <w:rFonts w:hint="eastAsia" w:ascii="宋体" w:hAnsi="宋体" w:eastAsia="宋体" w:cs="宋体"/>
                <w:color w:val="000000"/>
                <w:sz w:val="24"/>
                <w:szCs w:val="24"/>
                <w:highlight w:val="none"/>
              </w:rPr>
              <w:t xml:space="preserve">的，样品分项不得分。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送样时间</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年</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月</w:t>
            </w:r>
            <w:r>
              <w:rPr>
                <w:rFonts w:hint="eastAsia" w:ascii="宋体" w:hAnsi="宋体" w:cs="宋体"/>
                <w:color w:val="000000"/>
                <w:sz w:val="24"/>
                <w:szCs w:val="24"/>
                <w:highlight w:val="none"/>
                <w:lang w:val="en-US" w:eastAsia="zh-CN"/>
              </w:rPr>
              <w:t xml:space="preserve">24</w:t>
            </w:r>
            <w:r>
              <w:rPr>
                <w:rFonts w:hint="eastAsia" w:ascii="宋体" w:hAnsi="宋体" w:cs="宋体"/>
                <w:color w:val="000000"/>
                <w:sz w:val="24"/>
                <w:szCs w:val="24"/>
                <w:highlight w:val="none"/>
                <w:lang w:eastAsia="zh-CN"/>
              </w:rPr>
              <w:t xml:space="preserve">日</w:t>
            </w:r>
            <w:r>
              <w:rPr>
                <w:rFonts w:hint="eastAsia" w:ascii="宋体" w:hAnsi="宋体" w:cs="宋体"/>
                <w:color w:val="000000"/>
                <w:sz w:val="24"/>
                <w:szCs w:val="24"/>
                <w:highlight w:val="none"/>
                <w:lang w:eastAsia="zh-CN"/>
              </w:rPr>
              <w:t xml:space="preserve">上午</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lang w:eastAsia="zh-CN"/>
              </w:rPr>
              <w:t xml:space="preserve">至下午1</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0截止</w:t>
            </w:r>
            <w:r>
              <w:rPr>
                <w:rFonts w:hint="eastAsia" w:ascii="宋体" w:hAnsi="宋体" w:eastAsia="宋体" w:cs="宋体"/>
                <w:color w:val="000000"/>
                <w:sz w:val="24"/>
                <w:szCs w:val="24"/>
                <w:highlight w:val="none"/>
              </w:rPr>
              <w:t xml:space="preserve">，逾期不再接受。</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送样地点:常州市新北区通江中路307号四楼。</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送样联系人:</w:t>
            </w:r>
            <w:r>
              <w:rPr>
                <w:rFonts w:hint="eastAsia" w:ascii="宋体" w:hAnsi="宋体" w:eastAsia="宋体" w:cs="宋体"/>
                <w:color w:val="000000"/>
                <w:sz w:val="24"/>
                <w:szCs w:val="24"/>
                <w:highlight w:val="none"/>
                <w:lang w:eastAsia="zh-CN"/>
              </w:rPr>
              <w:t xml:space="preserve">沈工</w:t>
            </w:r>
            <w:r>
              <w:rPr>
                <w:rFonts w:hint="eastAsia" w:ascii="宋体" w:hAnsi="宋体" w:eastAsia="宋体" w:cs="宋体"/>
                <w:color w:val="000000"/>
                <w:sz w:val="24"/>
                <w:szCs w:val="24"/>
                <w:highlight w:val="none"/>
              </w:rPr>
              <w:t xml:space="preserve">，联系电话:05919-89885060</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其他要求:</w:t>
            </w:r>
            <w:r>
              <w:rPr>
                <w:rFonts w:hint="eastAsia" w:ascii="宋体" w:hAnsi="宋体" w:eastAsia="宋体" w:cs="宋体"/>
                <w:color w:val="000000"/>
                <w:sz w:val="24"/>
                <w:szCs w:val="24"/>
                <w:highlight w:val="none"/>
                <w:u w:val="none"/>
              </w:rPr>
              <w:t xml:space="preserve">送样时提供送样表(格式见招标文件采购需求中样品递交要求)</w:t>
            </w:r>
            <w:r/>
          </w:p>
        </w:tc>
      </w:tr>
      <w:tr>
        <w:trPr>
          <w:jc w:val="center"/>
          <w:trHeight w:val="740"/>
        </w:trPr>
        <w:tc>
          <w:tcPr>
            <w:tcW w:w="988" w:type="dxa"/>
            <w:vAlign w:val="center"/>
            <w:textDirection w:val="lrTb"/>
            <w:noWrap w:val="false"/>
          </w:tcPr>
          <w:p>
            <w:pPr>
              <w:pStyle w:val="12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5.2.5</w:t>
            </w:r>
            <w:r/>
          </w:p>
        </w:tc>
        <w:tc>
          <w:tcPr>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标的所属行业</w:t>
            </w:r>
            <w:r/>
          </w:p>
        </w:tc>
        <w:tc>
          <w:tcPr>
            <w:tcW w:w="7540" w:type="dxa"/>
            <w:vAlign w:val="center"/>
            <w:textDirection w:val="lrTb"/>
            <w:noWrap w:val="false"/>
          </w:tcPr>
          <w:p>
            <w:pPr>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szCs w:val="24"/>
                <w:highlight w:val="none"/>
              </w:rPr>
              <w:t xml:space="preserve">本项目属于</w:t>
            </w:r>
            <w:r>
              <w:rPr>
                <w:rFonts w:hint="eastAsia" w:ascii="宋体" w:hAnsi="宋体" w:eastAsia="宋体" w:cs="宋体"/>
                <w:color w:val="000000"/>
                <w:sz w:val="24"/>
                <w:szCs w:val="24"/>
                <w:highlight w:val="none"/>
                <w:u w:val="single"/>
              </w:rPr>
              <w:t xml:space="preserve"> 货物 </w:t>
            </w:r>
            <w:r>
              <w:rPr>
                <w:rFonts w:hint="eastAsia" w:ascii="宋体" w:hAnsi="宋体" w:eastAsia="宋体" w:cs="宋体"/>
                <w:color w:val="000000"/>
                <w:sz w:val="24"/>
                <w:szCs w:val="24"/>
                <w:highlight w:val="none"/>
              </w:rPr>
              <w:t xml:space="preserve">，采购标的对应的中小企业划分标准所属行业:</w:t>
            </w:r>
            <w:r>
              <w:rPr>
                <w:rFonts w:hint="eastAsia" w:ascii="宋体" w:hAnsi="宋体" w:eastAsia="宋体" w:cs="宋体"/>
                <w:color w:val="000000"/>
                <w:sz w:val="24"/>
                <w:szCs w:val="24"/>
                <w:highlight w:val="none"/>
                <w:u w:val="single"/>
              </w:rPr>
              <w:t xml:space="preserve">工业 </w:t>
            </w:r>
            <w:r>
              <w:rPr>
                <w:rFonts w:hint="eastAsia" w:ascii="宋体" w:hAnsi="宋体" w:eastAsia="宋体" w:cs="宋体"/>
                <w:color w:val="000000"/>
                <w:sz w:val="24"/>
                <w:szCs w:val="24"/>
                <w:highlight w:val="none"/>
              </w:rPr>
              <w:t xml:space="preserve">(《关于印发中小企业划型标准规定的通知》工信部联企业【2011】300号)。在填写时请正确选择中小企业声明函类型(货物)，如填写错误或未填报则会导致资格审查不通过(专门面向中小企业采购)或报价不作相应扣除。</w:t>
            </w:r>
            <w:r/>
          </w:p>
        </w:tc>
      </w:tr>
      <w:tr>
        <w:trPr>
          <w:jc w:val="center"/>
          <w:trHeight w:val="740"/>
        </w:trPr>
        <w:tc>
          <w:tcPr>
            <w:tcW w:w="988" w:type="dxa"/>
            <w:vAlign w:val="center"/>
            <w:textDirection w:val="lrTb"/>
            <w:noWrap w:val="false"/>
          </w:tcPr>
          <w:p>
            <w:pPr>
              <w:pStyle w:val="12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11.2</w:t>
            </w:r>
            <w:r/>
          </w:p>
        </w:tc>
        <w:tc>
          <w:tcPr>
            <w:tcW w:w="1701"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投标报价</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投标报价的特殊规定：</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w:t>
            </w:r>
            <w:r/>
          </w:p>
          <w:p>
            <w:pPr>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□有，具体情形：_____。</w:t>
            </w:r>
            <w:r/>
          </w:p>
        </w:tc>
      </w:tr>
      <w:tr>
        <w:trPr>
          <w:jc w:val="center"/>
          <w:trHeight w:val="740"/>
        </w:trPr>
        <w:tc>
          <w:tcPr>
            <w:tcW w:w="988" w:type="dxa"/>
            <w:vAlign w:val="center"/>
            <w:textDirection w:val="lrTb"/>
            <w:noWrap w:val="false"/>
          </w:tcPr>
          <w:p>
            <w:pPr>
              <w:pStyle w:val="12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12</w:t>
            </w:r>
            <w:r/>
          </w:p>
        </w:tc>
        <w:tc>
          <w:tcPr>
            <w:tcW w:w="1701"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投标保证金</w:t>
            </w:r>
            <w:r/>
          </w:p>
        </w:tc>
        <w:tc>
          <w:tcPr>
            <w:tcW w:w="7540" w:type="dxa"/>
            <w:vAlign w:val="center"/>
            <w:textDirection w:val="lrTb"/>
            <w:noWrap w:val="false"/>
          </w:tcPr>
          <w:p>
            <w:pPr>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免收</w:t>
            </w:r>
            <w:r/>
          </w:p>
        </w:tc>
      </w:tr>
      <w:tr>
        <w:trPr>
          <w:jc w:val="center"/>
          <w:trHeight w:val="740"/>
        </w:trPr>
        <w:tc>
          <w:tcPr>
            <w:tcW w:w="988" w:type="dxa"/>
            <w:vAlign w:val="center"/>
            <w:textDirection w:val="lrTb"/>
            <w:noWrap w:val="false"/>
          </w:tcPr>
          <w:p>
            <w:pPr>
              <w:pStyle w:val="12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13.1</w:t>
            </w:r>
            <w:r/>
          </w:p>
        </w:tc>
        <w:tc>
          <w:tcPr>
            <w:tcW w:w="1701"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投标有效期</w:t>
            </w:r>
            <w:r/>
          </w:p>
        </w:tc>
        <w:tc>
          <w:tcPr>
            <w:tcW w:w="7540" w:type="dxa"/>
            <w:vAlign w:val="center"/>
            <w:textDirection w:val="lrTb"/>
            <w:noWrap w:val="false"/>
          </w:tcPr>
          <w:p>
            <w:pPr>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自提交投标文件的截止之日起算</w:t>
            </w:r>
            <w:r>
              <w:rPr>
                <w:rFonts w:hint="eastAsia" w:ascii="宋体" w:hAnsi="宋体" w:eastAsia="宋体" w:cs="宋体"/>
                <w:color w:val="000000"/>
                <w:sz w:val="24"/>
                <w:highlight w:val="none"/>
                <w:u w:val="single"/>
              </w:rPr>
              <w:t xml:space="preserve">60</w:t>
            </w:r>
            <w:r>
              <w:rPr>
                <w:rFonts w:hint="eastAsia" w:ascii="宋体" w:hAnsi="宋体" w:eastAsia="宋体" w:cs="宋体"/>
                <w:color w:val="000000"/>
                <w:sz w:val="24"/>
                <w:highlight w:val="none"/>
              </w:rPr>
              <w:t xml:space="preserve">日历天。</w:t>
            </w:r>
            <w:r/>
          </w:p>
        </w:tc>
      </w:tr>
      <w:tr>
        <w:trPr>
          <w:jc w:val="center"/>
          <w:trHeight w:val="399"/>
        </w:trPr>
        <w:tc>
          <w:tcPr>
            <w:tcW w:w="988" w:type="dxa"/>
            <w:vAlign w:val="center"/>
            <w:textDirection w:val="lrTb"/>
            <w:noWrap w:val="false"/>
          </w:tcPr>
          <w:p>
            <w:pPr>
              <w:pStyle w:val="12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25.5</w:t>
            </w:r>
            <w:r/>
          </w:p>
        </w:tc>
        <w:tc>
          <w:tcPr>
            <w:tcW w:w="1701"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分包</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本项目的非主体、非关键性工作是否允许分包： </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■不允许</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□允许，具体要求：</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（1）可以分包履行的具体内容：_____；</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（2）允许分包的金额或者比例：_____；</w:t>
            </w:r>
            <w:r/>
          </w:p>
          <w:p>
            <w:pPr>
              <w:jc w:val="left"/>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highlight w:val="none"/>
              </w:rPr>
              <w:t xml:space="preserve">（3）其他要求：_____。</w:t>
            </w:r>
            <w:r/>
          </w:p>
        </w:tc>
      </w:tr>
      <w:tr>
        <w:trPr>
          <w:jc w:val="center"/>
          <w:trHeight w:val="740"/>
        </w:trPr>
        <w:tc>
          <w:tcPr>
            <w:tcW w:w="988" w:type="dxa"/>
            <w:vAlign w:val="center"/>
            <w:textDirection w:val="lrTb"/>
            <w:noWrap w:val="false"/>
          </w:tcPr>
          <w:p>
            <w:pPr>
              <w:pStyle w:val="12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26.1.1</w:t>
            </w:r>
            <w:r/>
          </w:p>
        </w:tc>
        <w:tc>
          <w:tcPr>
            <w:tcW w:w="1701"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询问</w:t>
            </w:r>
            <w:r/>
          </w:p>
        </w:tc>
        <w:tc>
          <w:tcPr>
            <w:tcW w:w="7540" w:type="dxa"/>
            <w:vAlign w:val="center"/>
            <w:textDirection w:val="lrTb"/>
            <w:noWrap w:val="false"/>
          </w:tcPr>
          <w:p>
            <w:pPr>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已登记参加本项目的供应商对</w:t>
            </w: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rPr>
              <w:t xml:space="preserve">文件如有疑问，可于</w:t>
            </w:r>
            <w:r>
              <w:rPr>
                <w:rFonts w:hint="eastAsia" w:ascii="宋体" w:hAnsi="宋体" w:eastAsia="宋体" w:cs="宋体"/>
                <w:color w:val="000000"/>
                <w:sz w:val="24"/>
                <w:highlight w:val="none"/>
                <w:u w:val="single"/>
                <w:lang w:eastAsia="zh-CN"/>
              </w:rPr>
              <w:t xml:space="preserve">2026</w:t>
            </w:r>
            <w:r>
              <w:rPr>
                <w:rFonts w:hint="eastAsia" w:ascii="宋体" w:hAnsi="宋体" w:eastAsia="宋体" w:cs="宋体"/>
                <w:color w:val="000000"/>
                <w:sz w:val="24"/>
                <w:highlight w:val="none"/>
                <w:u w:val="single"/>
              </w:rPr>
              <w:t xml:space="preserve">年6</w:t>
            </w:r>
            <w:r>
              <w:rPr>
                <w:rFonts w:hint="eastAsia" w:ascii="宋体" w:hAnsi="宋体" w:eastAsia="宋体" w:cs="宋体"/>
                <w:color w:val="000000"/>
                <w:sz w:val="24"/>
                <w:highlight w:val="none"/>
                <w:u w:val="single"/>
              </w:rPr>
              <w:t xml:space="preserve">月9</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u w:val="single"/>
              </w:rPr>
              <w:t xml:space="preserve">11:00</w:t>
            </w:r>
            <w:r>
              <w:rPr>
                <w:rFonts w:hint="eastAsia" w:ascii="宋体" w:hAnsi="宋体" w:eastAsia="宋体" w:cs="宋体"/>
                <w:color w:val="000000"/>
                <w:sz w:val="24"/>
                <w:highlight w:val="none"/>
              </w:rPr>
              <w:t xml:space="preserve">时前将相关疑问（格式详见</w:t>
            </w: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rPr>
              <w:t xml:space="preserve">文件中“关于</w:t>
            </w: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rPr>
              <w:t xml:space="preserve">文件的询问内容”）发送至邮箱（</w:t>
            </w:r>
            <w:r>
              <w:rPr>
                <w:rFonts w:hint="eastAsia" w:ascii="宋体" w:hAnsi="宋体" w:eastAsia="宋体" w:cs="宋体"/>
                <w:color w:val="000000"/>
                <w:sz w:val="24"/>
                <w:highlight w:val="none"/>
                <w:lang w:val="en-US" w:eastAsia="zh-CN"/>
              </w:rPr>
              <w:t xml:space="preserve">312236524</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qq</w:t>
            </w:r>
            <w:r>
              <w:rPr>
                <w:rFonts w:hint="eastAsia" w:ascii="宋体" w:hAnsi="宋体" w:eastAsia="宋体" w:cs="宋体"/>
                <w:color w:val="000000"/>
                <w:sz w:val="24"/>
                <w:highlight w:val="none"/>
              </w:rPr>
              <w:t xml:space="preserve">.com）进行咨询，如口头可解释的问题亦可电话咨询。未提出疑问将被视为完全认同</w:t>
            </w: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rPr>
              <w:t xml:space="preserve">文件，逾期将不接受其对于</w:t>
            </w: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rPr>
              <w:t xml:space="preserve">文件的相关异议。如有变更，更正公告将会在常州市政府采购网公布。</w:t>
            </w:r>
            <w:r/>
          </w:p>
        </w:tc>
      </w:tr>
      <w:tr>
        <w:trPr>
          <w:jc w:val="center"/>
          <w:trHeight w:val="740"/>
        </w:trPr>
        <w:tc>
          <w:tcPr>
            <w:tcW w:w="988" w:type="dxa"/>
            <w:vAlign w:val="center"/>
            <w:textDirection w:val="lrTb"/>
            <w:noWrap w:val="false"/>
          </w:tcPr>
          <w:p>
            <w:pPr>
              <w:pStyle w:val="12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26.3</w:t>
            </w:r>
            <w:r/>
          </w:p>
        </w:tc>
        <w:tc>
          <w:tcPr>
            <w:tcW w:w="1701"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联系方式</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接收询问和质疑的联系方式</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联系部门：江苏建达全过程工程咨询有限公司；</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联系电话：0519-89885060；</w:t>
            </w:r>
            <w:r/>
          </w:p>
          <w:p>
            <w:pPr>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通讯地址：常州市新北区通江中路307号四楼。</w:t>
            </w:r>
            <w:r/>
          </w:p>
        </w:tc>
      </w:tr>
      <w:tr>
        <w:trPr>
          <w:jc w:val="center"/>
          <w:trHeight w:val="740"/>
        </w:trPr>
        <w:tc>
          <w:tcPr>
            <w:tcW w:w="988" w:type="dxa"/>
            <w:vAlign w:val="center"/>
            <w:textDirection w:val="lrTb"/>
            <w:noWrap w:val="false"/>
          </w:tcPr>
          <w:p>
            <w:pPr>
              <w:pStyle w:val="12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27</w:t>
            </w:r>
            <w:r/>
          </w:p>
        </w:tc>
        <w:tc>
          <w:tcPr>
            <w:tcW w:w="1701"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代理费</w:t>
            </w:r>
            <w:r/>
          </w:p>
        </w:tc>
        <w:tc>
          <w:tcPr>
            <w:tcW w:w="7540" w:type="dxa"/>
            <w:vAlign w:val="center"/>
            <w:textDirection w:val="lrTb"/>
            <w:noWrap w:val="false"/>
          </w:tcPr>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收费对象：</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■中标人</w:t>
            </w:r>
            <w:r/>
          </w:p>
          <w:p>
            <w:pPr>
              <w:pStyle w:val="1190"/>
              <w:rPr>
                <w:rFonts w:hint="eastAsia" w:ascii="宋体" w:hAnsi="宋体" w:eastAsia="宋体" w:cs="宋体"/>
                <w:color w:val="000000"/>
                <w:highlight w:val="none"/>
              </w:rPr>
            </w:pPr>
            <w:r>
              <w:rPr>
                <w:rFonts w:hint="eastAsia" w:ascii="宋体" w:hAnsi="宋体" w:eastAsia="宋体" w:cs="宋体"/>
                <w:color w:val="000000"/>
                <w:highlight w:val="none"/>
              </w:rPr>
              <w:t xml:space="preserve">1.收费标准：</w:t>
            </w:r>
            <w:r/>
          </w:p>
          <w:tbl>
            <w:tblPr>
              <w:tblStyle w:val="839"/>
              <w:tblW w:w="4734"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1707"/>
            </w:tblGrid>
            <w:tr>
              <w:trPr>
                <w:trHeight w:val="1853"/>
              </w:trPr>
              <w:tc>
                <w:tcPr>
                  <w:tcW w:w="3027" w:type="dxa"/>
                  <w:vAlign w:val="top"/>
                  <w:textDirection w:val="lrTb"/>
                  <w:noWrap w:val="false"/>
                </w:tcPr>
                <w:p>
                  <w:pPr>
                    <w:ind w:firstLine="10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342900</wp:posOffset>
                            </wp:positionH>
                            <wp:positionV relativeFrom="paragraph">
                              <wp:posOffset>-3810</wp:posOffset>
                            </wp:positionV>
                            <wp:extent cx="1506855" cy="167513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flip:xy;visibility:visible;" from="27.0pt,-0.3pt" to="145.6pt,131.6pt" fillcolor="#FFFFFF" strokecolor="#000000"/>
                        </w:pict>
                      </mc:Fallback>
                    </mc:AlternateContent>
                  </w:r>
                  <w:r>
                    <w:rPr>
                      <w:rFonts w:hint="eastAsia" w:ascii="宋体" w:hAnsi="宋体" w:eastAsia="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-111760</wp:posOffset>
                            </wp:positionH>
                            <wp:positionV relativeFrom="paragraph">
                              <wp:posOffset>-3810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8.8pt,-0.3pt" to="-8.7pt,-0.3pt" fillcolor="#FFFFFF" strokecolor="#000000"/>
                        </w:pict>
                      </mc:Fallback>
                    </mc:AlternateContent>
                  </w:r>
                  <w:r>
                    <w:rPr>
                      <w:rFonts w:hint="eastAsia" w:ascii="宋体" w:hAnsi="宋体" w:eastAsia="宋体" w:cs="宋体"/>
                      <w:bCs/>
                      <w:color w:val="000000"/>
                      <w:sz w:val="24"/>
                      <w:highlight w:val="none"/>
                    </w:rPr>
                    <w:t xml:space="preserve">服</w:t>
                  </w:r>
                  <w:r/>
                </w:p>
                <w:p>
                  <w:pPr>
                    <w:ind w:firstLine="24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费　　　   务</w:t>
                  </w:r>
                  <w:r/>
                </w:p>
                <w:p>
                  <w:pPr>
                    <w:ind w:firstLine="144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-63500</wp:posOffset>
                            </wp:positionH>
                            <wp:positionV relativeFrom="paragraph">
                              <wp:posOffset>81915</wp:posOffset>
                            </wp:positionV>
                            <wp:extent cx="1914525" cy="1029335"/>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flipH="1" flipV="1">
                                      <a:off x="0" y="0"/>
                                      <a:ext cx="1914525" cy="10293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xy;visibility:visible;" from="-5.0pt,6.4pt" to="145.8pt,87.5pt" filled="f" strokecolor="#000000"/>
                        </w:pict>
                      </mc:Fallback>
                    </mc:AlternateContent>
                  </w:r>
                  <w:r>
                    <w:rPr>
                      <w:rFonts w:hint="eastAsia" w:ascii="宋体" w:hAnsi="宋体" w:eastAsia="宋体" w:cs="宋体"/>
                      <w:bCs/>
                      <w:color w:val="000000"/>
                      <w:sz w:val="24"/>
                      <w:highlight w:val="none"/>
                    </w:rPr>
                    <w:t xml:space="preserve">　   类</w:t>
                  </w:r>
                  <w:r/>
                </w:p>
                <w:p>
                  <w:pPr>
                    <w:ind w:firstLine="120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率　       型</w:t>
                  </w:r>
                  <w:r/>
                </w:p>
                <w:p>
                  <w:pPr>
                    <w:ind w:firstLine="120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p>
                <w:p>
                  <w:pPr>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中标金额（万元）</w:t>
                  </w:r>
                  <w:r/>
                </w:p>
              </w:tc>
              <w:tc>
                <w:tcPr>
                  <w:tcW w:w="1707" w:type="dxa"/>
                  <w:vAlign w:val="center"/>
                  <w:textDirection w:val="lrTb"/>
                  <w:noWrap w:val="false"/>
                </w:tcPr>
                <w:p>
                  <w:pPr>
                    <w:jc w:val="center"/>
                    <w:spacing w:line="44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lang w:eastAsia="zh-CN"/>
                    </w:rPr>
                    <w:t xml:space="preserve">货物</w:t>
                  </w:r>
                  <w:r>
                    <w:rPr>
                      <w:rFonts w:hint="eastAsia" w:ascii="宋体" w:hAnsi="宋体" w:eastAsia="宋体" w:cs="宋体"/>
                      <w:b/>
                      <w:color w:val="000000"/>
                      <w:sz w:val="24"/>
                      <w:highlight w:val="none"/>
                    </w:rPr>
                    <w:t xml:space="preserve">类</w:t>
                  </w:r>
                  <w:r/>
                </w:p>
              </w:tc>
            </w:tr>
            <w:tr>
              <w:trPr/>
              <w:tc>
                <w:tcPr>
                  <w:tcW w:w="3027" w:type="dxa"/>
                  <w:vAlign w:val="top"/>
                  <w:textDirection w:val="lrTb"/>
                  <w:noWrap w:val="false"/>
                </w:tcPr>
                <w:p>
                  <w:pPr>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100（含，下同）以下</w:t>
                  </w:r>
                  <w:r/>
                </w:p>
              </w:tc>
              <w:tc>
                <w:tcPr>
                  <w:tcW w:w="1707" w:type="dxa"/>
                  <w:vAlign w:val="center"/>
                  <w:textDirection w:val="lrTb"/>
                  <w:noWrap w:val="false"/>
                </w:tcPr>
                <w:p>
                  <w:pPr>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p>
              </w:tc>
            </w:tr>
            <w:tr>
              <w:trPr/>
              <w:tc>
                <w:tcPr>
                  <w:tcW w:w="3027" w:type="dxa"/>
                  <w:vAlign w:val="top"/>
                  <w:textDirection w:val="lrTb"/>
                  <w:noWrap w:val="false"/>
                </w:tcPr>
                <w:p>
                  <w:pPr>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100-500</w:t>
                  </w:r>
                  <w:r/>
                </w:p>
              </w:tc>
              <w:tc>
                <w:tcPr>
                  <w:tcW w:w="1707" w:type="dxa"/>
                  <w:vAlign w:val="center"/>
                  <w:textDirection w:val="lrTb"/>
                  <w:noWrap w:val="false"/>
                </w:tcPr>
                <w:p>
                  <w:pPr>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w:t>
                  </w:r>
                  <w:r/>
                </w:p>
              </w:tc>
            </w:tr>
            <w:tr>
              <w:trPr/>
              <w:tc>
                <w:tcPr>
                  <w:tcW w:w="3027" w:type="dxa"/>
                  <w:vAlign w:val="top"/>
                  <w:textDirection w:val="lrTb"/>
                  <w:noWrap w:val="false"/>
                </w:tcPr>
                <w:p>
                  <w:pPr>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500-1000</w:t>
                  </w:r>
                  <w:r/>
                </w:p>
              </w:tc>
              <w:tc>
                <w:tcPr>
                  <w:tcW w:w="1707" w:type="dxa"/>
                  <w:vAlign w:val="center"/>
                  <w:textDirection w:val="lrTb"/>
                  <w:noWrap w:val="false"/>
                </w:tcPr>
                <w:p>
                  <w:pPr>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w:t>
                  </w:r>
                  <w:r/>
                </w:p>
              </w:tc>
            </w:tr>
            <w:tr>
              <w:trPr>
                <w:trHeight w:val="284"/>
              </w:trPr>
              <w:tc>
                <w:tcPr>
                  <w:tcW w:w="3027" w:type="dxa"/>
                  <w:vAlign w:val="top"/>
                  <w:textDirection w:val="lrTb"/>
                  <w:noWrap w:val="false"/>
                </w:tcPr>
                <w:p>
                  <w:pPr>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p>
              </w:tc>
              <w:tc>
                <w:tcPr>
                  <w:tcW w:w="1707" w:type="dxa"/>
                  <w:vAlign w:val="center"/>
                  <w:textDirection w:val="lrTb"/>
                  <w:noWrap w:val="false"/>
                </w:tcPr>
                <w:p>
                  <w:pPr>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p>
              </w:tc>
            </w:tr>
          </w:tbl>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2.收费标准：收费比例按差额定率累进法计算，代理服务费按上述标准计算并一次性缴纳。</w:t>
            </w:r>
            <w:r/>
          </w:p>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3.代理服务收费按上述计算方法不足人民币3000元的，按人民币3000元收取。</w:t>
            </w:r>
            <w:r/>
          </w:p>
          <w:p>
            <w:pPr>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4.缴纳时间：中标人应在领取中标通知书时将代理服务费付至采购代理机构指定的收款账户。</w:t>
            </w:r>
            <w:r/>
          </w:p>
        </w:tc>
      </w:tr>
    </w:tbl>
    <w:p>
      <w:pPr>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tabs>
          <w:tab w:val="left" w:pos="5580" w:leader="none"/>
        </w:tabs>
        <w:rPr>
          <w:rFonts w:hint="eastAsia" w:ascii="宋体" w:hAnsi="宋体" w:eastAsia="宋体" w:cs="宋体"/>
          <w:color w:val="000000"/>
          <w:sz w:val="24"/>
          <w:highlight w:val="none"/>
        </w:rPr>
        <w:sectPr>
          <w:footerReference w:type="default" r:id="rId12"/>
          <w:footerReference w:type="first" r:id="rId13"/>
          <w:footnotePr/>
          <w:endnotePr/>
          <w:type w:val="nextPage"/>
          <w:pgSz w:w="11907" w:h="16840" w:orient="portrait"/>
          <w:pgMar w:top="1418" w:right="1134" w:bottom="1418" w:left="1501" w:header="851" w:footer="851" w:gutter="0"/>
          <w:pgNumType w:start="1"/>
          <w:cols w:num="1" w:sep="0" w:space="1701" w:equalWidth="1"/>
          <w:docGrid w:linePitch="360"/>
          <w:titlePg/>
        </w:sectPr>
      </w:pPr>
      <w:r>
        <w:rPr>
          <w:rFonts w:hint="eastAsia" w:ascii="宋体" w:hAnsi="宋体" w:eastAsia="宋体" w:cs="宋体"/>
          <w:color w:val="000000"/>
          <w:sz w:val="24"/>
          <w:highlight w:val="none"/>
        </w:rPr>
      </w:r>
      <w:r/>
    </w:p>
    <w:p>
      <w:pPr>
        <w:pStyle w:val="1277"/>
        <w:spacing w:before="0" w:line="360" w:lineRule="auto"/>
        <w:tabs>
          <w:tab w:val="center" w:pos="4592" w:leader="none"/>
          <w:tab w:val="left" w:pos="7860" w:leader="none"/>
        </w:tabs>
        <w:rPr>
          <w:rFonts w:hint="eastAsia" w:ascii="宋体" w:hAnsi="宋体" w:eastAsia="宋体" w:cs="宋体"/>
          <w:color w:val="000000"/>
          <w:sz w:val="32"/>
          <w:szCs w:val="32"/>
          <w:highlight w:val="none"/>
        </w:rPr>
      </w:pPr>
      <w:r/>
      <w:bookmarkStart w:id="72" w:name="_Toc151193832"/>
      <w:r/>
      <w:bookmarkStart w:id="73" w:name="_Toc265228356"/>
      <w:r/>
      <w:bookmarkStart w:id="74" w:name="_Toc151193688"/>
      <w:r/>
      <w:bookmarkStart w:id="75" w:name="_Toc150480756"/>
      <w:r/>
      <w:bookmarkStart w:id="76" w:name="_Toc151193616"/>
      <w:r/>
      <w:bookmarkStart w:id="77" w:name="_Toc305158860"/>
      <w:r/>
      <w:bookmarkStart w:id="78" w:name="_Toc195842883"/>
      <w:r/>
      <w:bookmarkStart w:id="79" w:name="_Toc226965708"/>
      <w:r/>
      <w:bookmarkStart w:id="80" w:name="_Toc150509269"/>
      <w:r/>
      <w:bookmarkStart w:id="81" w:name="_Toc150774723"/>
      <w:r/>
      <w:bookmarkStart w:id="82" w:name="_Toc151193906"/>
      <w:r/>
      <w:bookmarkStart w:id="83" w:name="_Toc305158786"/>
      <w:r/>
      <w:bookmarkStart w:id="84" w:name="_Toc151193760"/>
      <w:r/>
      <w:bookmarkStart w:id="85" w:name="_Toc127151518"/>
      <w:r/>
      <w:bookmarkStart w:id="86" w:name="_Toc142311020"/>
      <w:r/>
      <w:bookmarkStart w:id="87" w:name="_Toc520356143"/>
      <w:r/>
      <w:bookmarkStart w:id="88" w:name="_Toc226309762"/>
      <w:r/>
      <w:bookmarkStart w:id="89" w:name="_Toc150774618"/>
      <w:r/>
      <w:bookmarkStart w:id="90" w:name="_Toc264969208"/>
      <w:r/>
      <w:bookmarkStart w:id="91" w:name="_Toc151190145"/>
      <w:r/>
      <w:bookmarkStart w:id="92" w:name="_Toc226337214"/>
      <w:r/>
      <w:bookmarkStart w:id="93" w:name="_Toc226965791"/>
      <w:r>
        <w:rPr>
          <w:rFonts w:hint="eastAsia" w:ascii="宋体" w:hAnsi="宋体" w:eastAsia="宋体" w:cs="宋体"/>
          <w:color w:val="000000"/>
          <w:sz w:val="32"/>
          <w:szCs w:val="32"/>
          <w:highlight w:val="none"/>
        </w:rPr>
        <w:t xml:space="preserve">第二节 说明</w:t>
      </w:r>
      <w:r/>
    </w:p>
    <w:p>
      <w:pPr>
        <w:pStyle w:val="1277"/>
        <w:ind w:firstLine="321"/>
        <w:jc w:val="both"/>
        <w:spacing w:before="0" w:line="500" w:lineRule="exact"/>
        <w:tabs>
          <w:tab w:val="center" w:pos="4592" w:leader="none"/>
          <w:tab w:val="left" w:pos="7860" w:leader="none"/>
        </w:tabs>
        <w:rPr>
          <w:rFonts w:hint="eastAsia" w:ascii="宋体" w:hAnsi="宋体" w:eastAsia="宋体" w:cs="宋体"/>
          <w:color w:val="000000"/>
          <w:sz w:val="28"/>
          <w:highlight w:val="none"/>
        </w:rPr>
      </w:pPr>
      <w:r>
        <w:rPr>
          <w:rFonts w:hint="eastAsia" w:ascii="宋体" w:hAnsi="宋体" w:eastAsia="宋体" w:cs="宋体"/>
          <w:color w:val="000000"/>
          <w:sz w:val="32"/>
          <w:szCs w:val="32"/>
          <w:highlight w:val="none"/>
        </w:rPr>
        <w:t xml:space="preserve">一、</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color w:val="000000"/>
          <w:sz w:val="32"/>
          <w:szCs w:val="32"/>
          <w:highlight w:val="none"/>
        </w:rPr>
        <w:t xml:space="preserve">总则</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94" w:name="_Toc458694821"/>
      <w:r/>
      <w:bookmarkStart w:id="95" w:name="_Toc16938520"/>
      <w:r/>
      <w:bookmarkStart w:id="96" w:name="_Toc20823276"/>
      <w:r/>
      <w:bookmarkStart w:id="97" w:name="_Toc513029204"/>
      <w:r>
        <w:rPr>
          <w:rFonts w:hint="eastAsia" w:ascii="宋体" w:hAnsi="宋体" w:eastAsia="宋体" w:cs="宋体"/>
          <w:color w:val="000000"/>
          <w:sz w:val="28"/>
          <w:szCs w:val="28"/>
          <w:highlight w:val="none"/>
        </w:rPr>
        <w:t xml:space="preserve">1</w:t>
      </w:r>
      <w:bookmarkEnd w:id="94"/>
      <w:r>
        <w:rPr>
          <w:rFonts w:hint="eastAsia" w:ascii="宋体" w:hAnsi="宋体" w:eastAsia="宋体" w:cs="宋体"/>
          <w:color w:val="000000"/>
          <w:sz w:val="28"/>
          <w:szCs w:val="28"/>
          <w:highlight w:val="none"/>
        </w:rPr>
        <w:t xml:space="preserve">、采购方式</w:t>
      </w:r>
      <w:bookmarkEnd w:id="95"/>
      <w:r/>
      <w:bookmarkEnd w:id="96"/>
      <w:r/>
      <w:bookmarkEnd w:id="97"/>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 本次招标采取公开招标方式，本招标文件仅适用于招标公告中所述项目。</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98" w:name="_Toc20823277"/>
      <w:r/>
      <w:bookmarkStart w:id="99" w:name="_Toc513029205"/>
      <w:r/>
      <w:bookmarkStart w:id="100" w:name="_Toc16938521"/>
      <w:r>
        <w:rPr>
          <w:rFonts w:hint="eastAsia" w:ascii="宋体" w:hAnsi="宋体" w:eastAsia="宋体" w:cs="宋体"/>
          <w:color w:val="000000"/>
          <w:sz w:val="28"/>
          <w:szCs w:val="28"/>
          <w:highlight w:val="none"/>
        </w:rPr>
        <w:t xml:space="preserve">2、合格的投标人</w:t>
      </w:r>
      <w:bookmarkEnd w:id="98"/>
      <w:r/>
      <w:bookmarkEnd w:id="99"/>
      <w:r/>
      <w:bookmarkEnd w:id="100"/>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2.1满足招标公告中供应商的资格要求的规定。</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满足本文件实质性要求和条件的规定。</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01" w:name="_Toc16938522"/>
      <w:r/>
      <w:bookmarkStart w:id="102" w:name="_Toc513029206"/>
      <w:r/>
      <w:bookmarkStart w:id="103" w:name="_Toc20823278"/>
      <w:r>
        <w:rPr>
          <w:rFonts w:hint="eastAsia" w:ascii="宋体" w:hAnsi="宋体" w:eastAsia="宋体" w:cs="宋体"/>
          <w:color w:val="000000"/>
          <w:sz w:val="28"/>
          <w:szCs w:val="28"/>
          <w:highlight w:val="none"/>
        </w:rPr>
        <w:t xml:space="preserve">3、适用法律</w:t>
      </w:r>
      <w:bookmarkEnd w:id="101"/>
      <w:r/>
      <w:bookmarkEnd w:id="102"/>
      <w:r/>
      <w:bookmarkEnd w:id="103"/>
      <w:r/>
      <w:r/>
    </w:p>
    <w:p>
      <w:pPr>
        <w:ind w:firstLine="42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3.1 本次招标及由此产生的合同受中华人民共和国有关的法律法规制约和保护。</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04" w:name="_Toc462564067"/>
      <w:r/>
      <w:bookmarkStart w:id="105" w:name="_Toc513029207"/>
      <w:r/>
      <w:bookmarkStart w:id="106" w:name="_Toc20823279"/>
      <w:r/>
      <w:bookmarkStart w:id="107" w:name="_Toc16938523"/>
      <w:r>
        <w:rPr>
          <w:rFonts w:hint="eastAsia" w:ascii="宋体" w:hAnsi="宋体" w:eastAsia="宋体" w:cs="宋体"/>
          <w:color w:val="000000"/>
          <w:sz w:val="28"/>
          <w:szCs w:val="28"/>
          <w:highlight w:val="none"/>
        </w:rPr>
        <w:t xml:space="preserve">4、投标费用</w:t>
      </w:r>
      <w:bookmarkEnd w:id="104"/>
      <w:r/>
      <w:bookmarkEnd w:id="105"/>
      <w:r/>
      <w:bookmarkEnd w:id="106"/>
      <w:r/>
      <w:bookmarkEnd w:id="107"/>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4.1</w:t>
      </w:r>
      <w:r>
        <w:rPr>
          <w:rFonts w:hint="eastAsia" w:ascii="宋体" w:hAnsi="宋体" w:eastAsia="宋体" w:cs="宋体"/>
          <w:color w:val="000000"/>
          <w:sz w:val="24"/>
          <w:szCs w:val="21"/>
          <w:highlight w:val="none"/>
        </w:rPr>
        <w:t xml:space="preserve"> 投标人应自行承担所有与参加投标有关的费用，无论投标过程中的做法和结果如何，</w:t>
      </w:r>
      <w:r>
        <w:rPr>
          <w:rFonts w:hint="eastAsia" w:ascii="宋体" w:hAnsi="宋体" w:eastAsia="宋体" w:cs="宋体"/>
          <w:color w:val="000000"/>
          <w:sz w:val="24"/>
          <w:szCs w:val="21"/>
          <w:highlight w:val="none"/>
          <w:lang w:eastAsia="zh-CN"/>
        </w:rPr>
        <w:t xml:space="preserve">江苏建达全过程工程咨询有限公司</w:t>
      </w:r>
      <w:r>
        <w:rPr>
          <w:rFonts w:hint="eastAsia" w:ascii="宋体" w:hAnsi="宋体" w:eastAsia="宋体" w:cs="宋体"/>
          <w:color w:val="000000"/>
          <w:sz w:val="24"/>
          <w:szCs w:val="21"/>
          <w:highlight w:val="none"/>
        </w:rPr>
        <w:t xml:space="preserve">（以下简称代理机构）在任何情况下均无义务和责任承担这些费用。</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4.2代理费：收费对象、收费标准及缴纳时间见《投标人须知资料表》。由投标人支付的，投标人须一次性向采购代理机构缴纳代理费，报价应包含代理费用。</w:t>
      </w:r>
      <w:r/>
    </w:p>
    <w:p>
      <w:pPr>
        <w:ind w:firstLine="602"/>
        <w:keepLines/>
        <w:keepNext/>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b/>
          <w:bCs/>
          <w:color w:val="000000"/>
          <w:sz w:val="30"/>
          <w:szCs w:val="28"/>
          <w:highlight w:val="none"/>
        </w:rPr>
        <w:t xml:space="preserve">5、</w:t>
      </w:r>
      <w:r>
        <w:rPr>
          <w:rFonts w:hint="eastAsia" w:ascii="宋体" w:hAnsi="宋体" w:eastAsia="宋体" w:cs="宋体"/>
          <w:color w:val="000000"/>
          <w:sz w:val="28"/>
          <w:szCs w:val="28"/>
          <w:highlight w:val="none"/>
        </w:rPr>
        <w:t xml:space="preserve">招标文件的约束力</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5.1</w:t>
      </w:r>
      <w:r>
        <w:rPr>
          <w:rFonts w:hint="eastAsia" w:ascii="宋体" w:hAnsi="宋体" w:eastAsia="宋体" w:cs="宋体"/>
          <w:color w:val="000000"/>
          <w:sz w:val="24"/>
          <w:highlight w:val="none"/>
        </w:rPr>
        <w:t xml:space="preserve"> 投标人一旦参加本项目采购活动，即被认为接受了本招标文件的规定和约束。</w:t>
      </w:r>
      <w:r/>
    </w:p>
    <w:p>
      <w:pPr>
        <w:ind w:firstLine="321"/>
        <w:keepLines/>
        <w:keepNext/>
        <w:spacing w:line="500" w:lineRule="exact"/>
        <w:rPr>
          <w:rFonts w:hint="eastAsia" w:ascii="宋体" w:hAnsi="宋体" w:eastAsia="宋体" w:cs="宋体"/>
          <w:b/>
          <w:bCs/>
          <w:color w:val="000000"/>
          <w:sz w:val="32"/>
          <w:szCs w:val="32"/>
          <w:highlight w:val="none"/>
        </w:rPr>
        <w:outlineLvl w:val="2"/>
      </w:pPr>
      <w:r/>
      <w:bookmarkStart w:id="108" w:name="_Toc20823281"/>
      <w:r/>
      <w:bookmarkStart w:id="109" w:name="_Toc16938525"/>
      <w:r/>
      <w:bookmarkStart w:id="110" w:name="_Toc120614215"/>
      <w:r/>
      <w:bookmarkStart w:id="111" w:name="_Toc513029209"/>
      <w:r>
        <w:rPr>
          <w:rFonts w:hint="eastAsia" w:ascii="宋体" w:hAnsi="宋体" w:eastAsia="宋体" w:cs="宋体"/>
          <w:b/>
          <w:bCs/>
          <w:color w:val="000000"/>
          <w:sz w:val="32"/>
          <w:szCs w:val="32"/>
          <w:highlight w:val="none"/>
        </w:rPr>
        <w:t xml:space="preserve">二、招标文件</w:t>
      </w:r>
      <w:bookmarkEnd w:id="108"/>
      <w:r/>
      <w:bookmarkEnd w:id="109"/>
      <w:r/>
      <w:bookmarkEnd w:id="110"/>
      <w:r/>
      <w:bookmarkEnd w:id="111"/>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12" w:name="_Toc16938526"/>
      <w:r/>
      <w:bookmarkStart w:id="113" w:name="_Toc513029210"/>
      <w:r/>
      <w:bookmarkStart w:id="114" w:name="_Toc20823282"/>
      <w:r>
        <w:rPr>
          <w:rFonts w:hint="eastAsia" w:ascii="宋体" w:hAnsi="宋体" w:eastAsia="宋体" w:cs="宋体"/>
          <w:color w:val="000000"/>
          <w:sz w:val="28"/>
          <w:szCs w:val="28"/>
          <w:highlight w:val="none"/>
        </w:rPr>
        <w:t xml:space="preserve">6、招标文件构成</w:t>
      </w:r>
      <w:bookmarkEnd w:id="112"/>
      <w:r/>
      <w:bookmarkEnd w:id="113"/>
      <w:r/>
      <w:bookmarkEnd w:id="114"/>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6.1</w:t>
      </w:r>
      <w:r>
        <w:rPr>
          <w:rFonts w:hint="eastAsia" w:ascii="宋体" w:hAnsi="宋体" w:eastAsia="宋体" w:cs="宋体"/>
          <w:color w:val="000000"/>
          <w:sz w:val="24"/>
          <w:szCs w:val="21"/>
          <w:highlight w:val="none"/>
        </w:rPr>
        <w:t xml:space="preserve"> 招标文件由以下部分组成：</w:t>
      </w:r>
      <w:r/>
    </w:p>
    <w:p>
      <w:pPr>
        <w:ind w:firstLine="36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（1）投标邀请</w:t>
      </w:r>
      <w:r/>
    </w:p>
    <w:p>
      <w:pPr>
        <w:ind w:firstLine="36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（2）投标人须知</w:t>
      </w:r>
      <w:r/>
    </w:p>
    <w:p>
      <w:pPr>
        <w:ind w:firstLine="36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（3）资格审查</w:t>
      </w:r>
      <w:r/>
    </w:p>
    <w:p>
      <w:pPr>
        <w:ind w:firstLine="36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（4）评标程序、评标方法和评标标准</w:t>
      </w:r>
      <w:r/>
    </w:p>
    <w:p>
      <w:pPr>
        <w:ind w:firstLine="36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（5）采购需求</w:t>
      </w:r>
      <w:r/>
    </w:p>
    <w:p>
      <w:pPr>
        <w:ind w:firstLine="36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（6）拟签订的合同文本</w:t>
      </w:r>
      <w:r/>
    </w:p>
    <w:p>
      <w:pPr>
        <w:ind w:firstLine="36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（7）投标文件的组成及提交须知</w:t>
      </w:r>
      <w:r/>
    </w:p>
    <w:p>
      <w:pPr>
        <w:ind w:firstLine="36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（8）投标文件格式</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请仔细检查招标文件是否齐全，如有缺漏请立即与代理机构联系解决。</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6.2</w:t>
      </w:r>
      <w:r>
        <w:rPr>
          <w:rFonts w:hint="eastAsia" w:ascii="宋体" w:hAnsi="宋体" w:eastAsia="宋体" w:cs="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hint="eastAsia" w:ascii="宋体" w:hAnsi="宋体" w:eastAsia="宋体" w:cs="宋体"/>
          <w:color w:val="000000"/>
          <w:sz w:val="28"/>
          <w:szCs w:val="28"/>
          <w:highlight w:val="none"/>
        </w:rPr>
        <w:outlineLvl w:val="3"/>
      </w:pPr>
      <w:r/>
      <w:bookmarkStart w:id="115" w:name="_Toc462564070"/>
      <w:r/>
      <w:bookmarkStart w:id="116" w:name="_Toc20823283"/>
      <w:r/>
      <w:bookmarkStart w:id="117" w:name="_Toc16938527"/>
      <w:r/>
      <w:bookmarkStart w:id="118" w:name="_Toc513029211"/>
      <w:r>
        <w:rPr>
          <w:rFonts w:hint="eastAsia" w:ascii="宋体" w:hAnsi="宋体" w:eastAsia="宋体" w:cs="宋体"/>
          <w:color w:val="000000"/>
          <w:sz w:val="28"/>
          <w:szCs w:val="28"/>
          <w:highlight w:val="none"/>
        </w:rPr>
        <w:t xml:space="preserve">7、招标文件的澄清</w:t>
      </w:r>
      <w:bookmarkEnd w:id="115"/>
      <w:r/>
      <w:bookmarkEnd w:id="116"/>
      <w:r/>
      <w:bookmarkEnd w:id="117"/>
      <w:r/>
      <w:bookmarkEnd w:id="118"/>
      <w:r/>
      <w:r/>
    </w:p>
    <w:p>
      <w:pPr>
        <w:ind w:firstLine="480"/>
        <w:jc w:val="left"/>
        <w:spacing w:line="500" w:lineRule="exact"/>
        <w:tabs>
          <w:tab w:val="left" w:pos="1080" w:leader="none"/>
          <w:tab w:val="left" w:pos="1561" w:leader="none"/>
          <w:tab w:val="left" w:pos="1589" w:leader="none"/>
          <w:tab w:val="left" w:pos="2014" w:leader="none"/>
        </w:tabs>
        <w:rPr>
          <w:rFonts w:hint="eastAsia" w:ascii="宋体" w:hAnsi="宋体" w:eastAsia="宋体" w:cs="宋体"/>
          <w:color w:val="000000"/>
          <w:sz w:val="24"/>
          <w:highlight w:val="none"/>
        </w:rPr>
      </w:pPr>
      <w:r/>
      <w:bookmarkStart w:id="119" w:name="_Toc20823284"/>
      <w:r/>
      <w:bookmarkStart w:id="120" w:name="_Toc16938528"/>
      <w:r/>
      <w:bookmarkStart w:id="121" w:name="_Toc513029212"/>
      <w:r/>
      <w:bookmarkStart w:id="122" w:name="_Toc462564071"/>
      <w:r>
        <w:rPr>
          <w:rFonts w:hint="eastAsia" w:ascii="宋体" w:hAnsi="宋体" w:eastAsia="宋体" w:cs="宋体"/>
          <w:color w:val="000000"/>
          <w:sz w:val="24"/>
          <w:highlight w:val="none"/>
        </w:rPr>
        <w:t xml:space="preserve">7.1、采购人或采购代理机构对已发出的招标文件进行必要澄清或者修改的，将在原公告发布媒体上以发布更正公告的形式通知所有获取招标文件的潜在投标人。</w:t>
      </w:r>
      <w:r/>
    </w:p>
    <w:p>
      <w:pPr>
        <w:ind w:firstLine="560"/>
        <w:keepLines/>
        <w:keepNext/>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8、招标文件的修改</w:t>
      </w:r>
      <w:bookmarkEnd w:id="119"/>
      <w:r/>
      <w:bookmarkEnd w:id="120"/>
      <w:r/>
      <w:bookmarkEnd w:id="121"/>
      <w:r/>
      <w:bookmarkEnd w:id="122"/>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8.1</w:t>
      </w:r>
      <w:r>
        <w:rPr>
          <w:rFonts w:hint="eastAsia" w:ascii="宋体" w:hAnsi="宋体" w:eastAsia="宋体" w:cs="宋体"/>
          <w:color w:val="000000"/>
          <w:sz w:val="24"/>
          <w:szCs w:val="21"/>
          <w:highlight w:val="none"/>
        </w:rPr>
        <w:t xml:space="preserve"> 在投标截止时间前，代理机构可以对招标文件进行修改。</w:t>
      </w:r>
      <w:r/>
    </w:p>
    <w:p>
      <w:pPr>
        <w:ind w:firstLine="480"/>
        <w:spacing w:line="500" w:lineRule="exact"/>
        <w:rPr>
          <w:rFonts w:hint="eastAsia" w:ascii="宋体" w:hAnsi="宋体" w:eastAsia="宋体" w:cs="宋体"/>
          <w:color w:val="000000"/>
          <w:sz w:val="28"/>
          <w:szCs w:val="21"/>
          <w:highlight w:val="none"/>
        </w:rPr>
      </w:pPr>
      <w:r>
        <w:rPr>
          <w:rFonts w:hint="eastAsia" w:ascii="宋体" w:hAnsi="宋体" w:eastAsia="宋体" w:cs="宋体"/>
          <w:bCs/>
          <w:color w:val="000000"/>
          <w:sz w:val="24"/>
          <w:szCs w:val="21"/>
          <w:highlight w:val="none"/>
        </w:rPr>
        <w:t xml:space="preserve">8.2 </w:t>
      </w:r>
      <w:r>
        <w:rPr>
          <w:rFonts w:hint="eastAsia" w:ascii="宋体" w:hAnsi="宋体" w:eastAsia="宋体" w:cs="宋体"/>
          <w:color w:val="000000"/>
          <w:sz w:val="24"/>
          <w:szCs w:val="21"/>
          <w:highlight w:val="none"/>
        </w:rPr>
        <w:t xml:space="preserve">代理机构</w:t>
      </w:r>
      <w:r>
        <w:rPr>
          <w:rFonts w:hint="eastAsia" w:ascii="宋体" w:hAnsi="宋体" w:eastAsia="宋体" w:cs="宋体"/>
          <w:color w:val="000000"/>
          <w:sz w:val="24"/>
          <w:highlight w:val="none"/>
        </w:rPr>
        <w:t xml:space="preserve">有权按照法定的要求</w:t>
      </w:r>
      <w:r>
        <w:rPr>
          <w:rFonts w:hint="eastAsia" w:ascii="宋体" w:hAnsi="宋体" w:eastAsia="宋体" w:cs="宋体"/>
          <w:color w:val="000000"/>
          <w:sz w:val="24"/>
          <w:szCs w:val="21"/>
          <w:highlight w:val="none"/>
        </w:rPr>
        <w:t xml:space="preserve">推迟投标截止日期和开标日期。</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8.3 </w:t>
      </w:r>
      <w:r>
        <w:rPr>
          <w:rFonts w:hint="eastAsia" w:ascii="宋体" w:hAnsi="宋体" w:eastAsia="宋体" w:cs="宋体"/>
          <w:color w:val="000000"/>
          <w:sz w:val="24"/>
          <w:szCs w:val="21"/>
          <w:highlight w:val="none"/>
        </w:rPr>
        <w:t xml:space="preserve">招标文件的修改将在</w:t>
      </w:r>
      <w:bookmarkStart w:id="123" w:name="_Hlk151728132"/>
      <w:r>
        <w:rPr>
          <w:rFonts w:hint="eastAsia" w:ascii="宋体" w:hAnsi="宋体" w:eastAsia="宋体" w:cs="宋体"/>
          <w:color w:val="000000"/>
          <w:sz w:val="24"/>
          <w:szCs w:val="21"/>
          <w:highlight w:val="none"/>
        </w:rPr>
        <w:t xml:space="preserve">“江苏省政府采购网”、“常州市政府采购网”</w:t>
      </w:r>
      <w:bookmarkEnd w:id="123"/>
      <w:r>
        <w:rPr>
          <w:rFonts w:hint="eastAsia" w:ascii="宋体" w:hAnsi="宋体" w:eastAsia="宋体" w:cs="宋体"/>
          <w:color w:val="000000"/>
          <w:sz w:val="24"/>
          <w:szCs w:val="21"/>
          <w:highlight w:val="none"/>
        </w:rPr>
        <w:t xml:space="preserve">公布，</w:t>
      </w:r>
      <w:r>
        <w:rPr>
          <w:rFonts w:hint="eastAsia" w:ascii="宋体" w:hAnsi="宋体" w:eastAsia="宋体" w:cs="宋体"/>
          <w:color w:val="000000"/>
          <w:sz w:val="24"/>
          <w:highlight w:val="none"/>
        </w:rPr>
        <w:t xml:space="preserve">补充文件将作为招标文件的组成部分，</w:t>
      </w:r>
      <w:r>
        <w:rPr>
          <w:rFonts w:hint="eastAsia" w:ascii="宋体" w:hAnsi="宋体" w:eastAsia="宋体" w:cs="宋体"/>
          <w:color w:val="000000"/>
          <w:sz w:val="24"/>
          <w:szCs w:val="21"/>
          <w:highlight w:val="none"/>
        </w:rPr>
        <w:t xml:space="preserve">并对投标人具有约束力。</w:t>
      </w:r>
      <w:r/>
    </w:p>
    <w:p>
      <w:pPr>
        <w:ind w:firstLine="482"/>
        <w:keepLines/>
        <w:keepNext/>
        <w:spacing w:line="500" w:lineRule="exact"/>
        <w:rPr>
          <w:rFonts w:hint="eastAsia" w:ascii="宋体" w:hAnsi="宋体" w:eastAsia="宋体" w:cs="宋体"/>
          <w:b/>
          <w:bCs/>
          <w:color w:val="000000"/>
          <w:sz w:val="32"/>
          <w:szCs w:val="32"/>
          <w:highlight w:val="none"/>
        </w:rPr>
        <w:outlineLvl w:val="2"/>
      </w:pPr>
      <w:r/>
      <w:bookmarkStart w:id="124" w:name="_Toc20823285"/>
      <w:r/>
      <w:bookmarkStart w:id="125" w:name="_Toc120614216"/>
      <w:r/>
      <w:bookmarkStart w:id="126" w:name="_Toc462564072"/>
      <w:r/>
      <w:bookmarkStart w:id="127" w:name="_Toc513029213"/>
      <w:r/>
      <w:bookmarkStart w:id="128" w:name="_Toc16938529"/>
      <w:r>
        <w:rPr>
          <w:rFonts w:hint="eastAsia" w:ascii="宋体" w:hAnsi="宋体" w:eastAsia="宋体" w:cs="宋体"/>
          <w:b/>
          <w:bCs/>
          <w:color w:val="000000"/>
          <w:sz w:val="32"/>
          <w:szCs w:val="32"/>
          <w:highlight w:val="none"/>
        </w:rPr>
        <w:t xml:space="preserve">三、投标文件的编制</w:t>
      </w:r>
      <w:bookmarkEnd w:id="124"/>
      <w:r/>
      <w:bookmarkEnd w:id="125"/>
      <w:r/>
      <w:bookmarkEnd w:id="126"/>
      <w:r/>
      <w:bookmarkEnd w:id="127"/>
      <w:r/>
      <w:bookmarkEnd w:id="128"/>
      <w:r/>
      <w:r/>
    </w:p>
    <w:p>
      <w:pPr>
        <w:ind w:firstLine="560"/>
        <w:keepLines/>
        <w:keepNext/>
        <w:spacing w:line="500" w:lineRule="exact"/>
        <w:rPr>
          <w:rFonts w:hint="eastAsia" w:ascii="宋体" w:hAnsi="宋体" w:eastAsia="宋体" w:cs="宋体"/>
          <w:b/>
          <w:color w:val="000000"/>
          <w:sz w:val="28"/>
          <w:szCs w:val="28"/>
          <w:highlight w:val="none"/>
        </w:rPr>
        <w:outlineLvl w:val="3"/>
      </w:pPr>
      <w:r/>
      <w:bookmarkStart w:id="129" w:name="_Toc16938530"/>
      <w:r/>
      <w:bookmarkStart w:id="130" w:name="_Toc462564073"/>
      <w:r/>
      <w:bookmarkStart w:id="131" w:name="_Toc513029214"/>
      <w:r/>
      <w:bookmarkStart w:id="132" w:name="_Toc20823286"/>
      <w:r>
        <w:rPr>
          <w:rFonts w:hint="eastAsia" w:ascii="宋体" w:hAnsi="宋体" w:eastAsia="宋体" w:cs="宋体"/>
          <w:color w:val="000000"/>
          <w:sz w:val="28"/>
          <w:szCs w:val="28"/>
          <w:highlight w:val="none"/>
        </w:rPr>
        <w:t xml:space="preserve">9、投标文件的语言及度量衡单位</w:t>
      </w:r>
      <w:bookmarkEnd w:id="129"/>
      <w:r/>
      <w:bookmarkEnd w:id="130"/>
      <w:r/>
      <w:bookmarkEnd w:id="131"/>
      <w:r/>
      <w:bookmarkEnd w:id="132"/>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9.1</w:t>
      </w:r>
      <w:r>
        <w:rPr>
          <w:rFonts w:hint="eastAsia" w:ascii="宋体" w:hAnsi="宋体" w:eastAsia="宋体" w:cs="宋体"/>
          <w:color w:val="000000"/>
          <w:sz w:val="24"/>
          <w:szCs w:val="21"/>
          <w:highlight w:val="none"/>
        </w:rPr>
        <w:t xml:space="preserve"> 投标人提交的投标文件以及投标人与代理机构就有关投标的所有来往通知、函件和文件均应使用</w:t>
      </w:r>
      <w:r>
        <w:rPr>
          <w:rFonts w:hint="eastAsia" w:ascii="宋体" w:hAnsi="宋体" w:eastAsia="宋体" w:cs="宋体"/>
          <w:b/>
          <w:bCs/>
          <w:color w:val="000000"/>
          <w:sz w:val="24"/>
          <w:szCs w:val="21"/>
          <w:highlight w:val="none"/>
        </w:rPr>
        <w:t xml:space="preserve">简体中文</w:t>
      </w:r>
      <w:r>
        <w:rPr>
          <w:rFonts w:hint="eastAsia" w:ascii="宋体" w:hAnsi="宋体" w:eastAsia="宋体" w:cs="宋体"/>
          <w:color w:val="000000"/>
          <w:sz w:val="24"/>
          <w:szCs w:val="21"/>
          <w:highlight w:val="none"/>
        </w:rPr>
        <w:t xml:space="preserve">。</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9.2</w:t>
      </w:r>
      <w:r>
        <w:rPr>
          <w:rFonts w:hint="eastAsia" w:ascii="宋体" w:hAnsi="宋体" w:eastAsia="宋体" w:cs="宋体"/>
          <w:color w:val="000000"/>
          <w:sz w:val="24"/>
          <w:szCs w:val="21"/>
          <w:highlight w:val="none"/>
        </w:rPr>
        <w:t xml:space="preserve"> 除技术性能另有规定外，投标文件所使用的度量衡单位，均须采用国家法定计量单位。</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33" w:name="_Toc462564074"/>
      <w:r/>
      <w:bookmarkStart w:id="134" w:name="_Toc513029215"/>
      <w:r/>
      <w:bookmarkStart w:id="135" w:name="_Toc16938531"/>
      <w:r/>
      <w:bookmarkStart w:id="136" w:name="_Toc20823287"/>
      <w:r>
        <w:rPr>
          <w:rFonts w:hint="eastAsia" w:ascii="宋体" w:hAnsi="宋体" w:eastAsia="宋体" w:cs="宋体"/>
          <w:color w:val="000000"/>
          <w:sz w:val="28"/>
          <w:szCs w:val="28"/>
          <w:highlight w:val="none"/>
        </w:rPr>
        <w:t xml:space="preserve">10、投标文件构成</w:t>
      </w:r>
      <w:bookmarkEnd w:id="133"/>
      <w:r/>
      <w:bookmarkEnd w:id="134"/>
      <w:r/>
      <w:bookmarkEnd w:id="135"/>
      <w:r/>
      <w:bookmarkEnd w:id="136"/>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10.1</w:t>
      </w:r>
      <w:r>
        <w:rPr>
          <w:rFonts w:hint="eastAsia" w:ascii="宋体" w:hAnsi="宋体" w:eastAsia="宋体" w:cs="宋体"/>
          <w:color w:val="000000"/>
          <w:sz w:val="24"/>
          <w:szCs w:val="21"/>
          <w:highlight w:val="none"/>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37" w:name="_Hlt26954838"/>
      <w:r/>
      <w:bookmarkEnd w:id="137"/>
      <w:r/>
      <w:bookmarkStart w:id="138" w:name="_Hlt26668975"/>
      <w:r/>
      <w:bookmarkEnd w:id="138"/>
      <w:r/>
      <w:bookmarkStart w:id="139" w:name="_Hlt26670360"/>
      <w:r/>
      <w:bookmarkEnd w:id="139"/>
      <w:r/>
      <w:bookmarkStart w:id="140" w:name="_Toc513029216"/>
      <w:r/>
      <w:bookmarkStart w:id="141" w:name="_Toc49090509"/>
      <w:r/>
      <w:bookmarkStart w:id="142" w:name="_Toc513029219"/>
      <w:r/>
      <w:bookmarkStart w:id="143" w:name="_Toc14577357"/>
      <w:r/>
      <w:bookmarkStart w:id="144" w:name="_Toc49090507"/>
      <w:r/>
      <w:bookmarkStart w:id="145" w:name="_Toc14577354"/>
      <w:r/>
      <w:bookmarkStart w:id="146" w:name="_Toc49090508"/>
      <w:r/>
      <w:bookmarkStart w:id="147" w:name="_Toc14577355"/>
      <w:r>
        <w:rPr>
          <w:rFonts w:hint="eastAsia" w:ascii="宋体" w:hAnsi="宋体" w:eastAsia="宋体" w:cs="宋体"/>
          <w:color w:val="000000"/>
          <w:sz w:val="28"/>
          <w:szCs w:val="28"/>
          <w:highlight w:val="none"/>
        </w:rPr>
        <w:t xml:space="preserve">11、证明投标人及投标标的符合招标文件规定的文件</w:t>
      </w:r>
      <w:bookmarkEnd w:id="140"/>
      <w:r/>
      <w:bookmarkEnd w:id="141"/>
      <w:r/>
      <w:bookmarkEnd w:id="142"/>
      <w:r/>
      <w:bookmarkEnd w:id="143"/>
      <w:r/>
      <w:bookmarkEnd w:id="144"/>
      <w:r/>
      <w:bookmarkEnd w:id="145"/>
      <w:r/>
      <w:r/>
    </w:p>
    <w:p>
      <w:pPr>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11.1 投标人应按照招标文件要求提交证明文件，证明其及投标标的符合招标文件规定。</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11.2招标文件对证明文件无明确形式要求的，证明文件可以以文字资料、图纸和数据等形式提交。</w:t>
      </w:r>
      <w:bookmarkEnd w:id="146"/>
      <w:r/>
      <w:bookmarkEnd w:id="147"/>
      <w:r/>
      <w:r/>
    </w:p>
    <w:p>
      <w:pPr>
        <w:ind w:firstLine="420"/>
        <w:keepLines/>
        <w:keepNext/>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12、投标报价明细表</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12.1</w:t>
      </w:r>
      <w:r>
        <w:rPr>
          <w:rFonts w:hint="eastAsia" w:ascii="宋体" w:hAnsi="宋体" w:eastAsia="宋体" w:cs="宋体"/>
          <w:color w:val="000000"/>
          <w:sz w:val="24"/>
          <w:szCs w:val="21"/>
          <w:highlight w:val="none"/>
        </w:rPr>
        <w:t xml:space="preserve"> 投标人应按照招标文件规定格式填报投标报价明细表。</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12.2</w:t>
      </w:r>
      <w:r>
        <w:rPr>
          <w:rFonts w:hint="eastAsia" w:ascii="宋体" w:hAnsi="宋体" w:eastAsia="宋体" w:cs="宋体"/>
          <w:bCs/>
          <w:color w:val="000000"/>
          <w:sz w:val="24"/>
          <w:szCs w:val="21"/>
          <w:highlight w:val="none"/>
        </w:rPr>
        <w:t xml:space="preserve">投标货币。投标文件中的单价和总价无特殊规定的采用人民币报价，以元为单位标注。</w:t>
      </w:r>
      <w:r>
        <w:rPr>
          <w:rFonts w:hint="eastAsia" w:ascii="宋体" w:hAnsi="宋体" w:eastAsia="宋体" w:cs="宋体"/>
          <w:color w:val="000000"/>
          <w:sz w:val="24"/>
          <w:szCs w:val="21"/>
          <w:highlight w:val="none"/>
        </w:rPr>
        <w:t xml:space="preserve">招标文件中另有规定的按规定执行。</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48" w:name="_Hlt26954731"/>
      <w:r/>
      <w:bookmarkEnd w:id="148"/>
      <w:r/>
      <w:bookmarkStart w:id="149" w:name="_Hlt26954848"/>
      <w:r/>
      <w:bookmarkEnd w:id="149"/>
      <w:r/>
      <w:bookmarkStart w:id="150" w:name="_Hlt26670486"/>
      <w:r/>
      <w:bookmarkEnd w:id="150"/>
      <w:r/>
      <w:bookmarkStart w:id="151" w:name="_Hlt26670482"/>
      <w:r/>
      <w:bookmarkEnd w:id="151"/>
      <w:r/>
      <w:bookmarkStart w:id="152" w:name="_Hlt26954846"/>
      <w:r/>
      <w:bookmarkEnd w:id="152"/>
      <w:r>
        <w:rPr>
          <w:rFonts w:hint="eastAsia" w:ascii="宋体" w:hAnsi="宋体" w:eastAsia="宋体" w:cs="宋体"/>
          <w:color w:val="000000"/>
          <w:sz w:val="28"/>
          <w:szCs w:val="28"/>
          <w:highlight w:val="none"/>
        </w:rPr>
        <w:t xml:space="preserve">13、技术要求响应及偏离表、商务要求响应及偏离表</w:t>
      </w:r>
      <w:r/>
    </w:p>
    <w:p>
      <w:pPr>
        <w:ind w:firstLine="480"/>
        <w:spacing w:line="500" w:lineRule="exact"/>
        <w:rPr>
          <w:rFonts w:hint="eastAsia" w:ascii="宋体" w:hAnsi="宋体" w:eastAsia="宋体" w:cs="宋体"/>
          <w:color w:val="000000"/>
          <w:sz w:val="24"/>
          <w:szCs w:val="21"/>
          <w:highlight w:val="none"/>
          <w:lang w:val="zh-CN"/>
        </w:rPr>
      </w:pPr>
      <w:r>
        <w:rPr>
          <w:rFonts w:hint="eastAsia" w:ascii="宋体" w:hAnsi="宋体" w:eastAsia="宋体" w:cs="宋体"/>
          <w:bCs/>
          <w:color w:val="000000"/>
          <w:sz w:val="24"/>
          <w:szCs w:val="21"/>
          <w:highlight w:val="none"/>
          <w:lang w:val="zh-CN"/>
        </w:rPr>
        <w:t xml:space="preserve">13.1</w:t>
      </w:r>
      <w:r>
        <w:rPr>
          <w:rFonts w:hint="eastAsia" w:ascii="宋体" w:hAnsi="宋体" w:eastAsia="宋体" w:cs="宋体"/>
          <w:color w:val="000000"/>
          <w:sz w:val="24"/>
          <w:szCs w:val="21"/>
          <w:highlight w:val="none"/>
          <w:lang w:val="zh-CN"/>
        </w:rPr>
        <w:t xml:space="preserve">投标人需对招标文件中的技术要求逐项作出响应或偏离，并说明原因。</w:t>
      </w:r>
      <w:r/>
    </w:p>
    <w:p>
      <w:pPr>
        <w:ind w:firstLine="480"/>
        <w:spacing w:line="50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13.2 投标人可在投标文件中提供认为需要的其他技术文件或说明。</w:t>
      </w:r>
      <w:r/>
    </w:p>
    <w:p>
      <w:pPr>
        <w:ind w:firstLine="420"/>
        <w:keepLines/>
        <w:keepNext/>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14、服务承诺、培训计划、人员安排及其他</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14.1 </w:t>
      </w:r>
      <w:r>
        <w:rPr>
          <w:rFonts w:hint="eastAsia" w:ascii="宋体" w:hAnsi="宋体" w:eastAsia="宋体" w:cs="宋体"/>
          <w:color w:val="000000"/>
          <w:sz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14.2 投标人需根据招标文件要求提供培训计划。</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14.3 投标人需根据招标文件要求提供</w:t>
      </w:r>
      <w:r>
        <w:rPr>
          <w:rFonts w:hint="eastAsia" w:ascii="宋体" w:hAnsi="宋体" w:eastAsia="宋体" w:cs="宋体"/>
          <w:color w:val="000000"/>
          <w:sz w:val="24"/>
          <w:szCs w:val="21"/>
          <w:highlight w:val="none"/>
          <w:lang w:val="zh-CN"/>
        </w:rPr>
        <w:t xml:space="preserve">所投标的的主要组成部分、功能设计、实现思路及关键技术等。</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53" w:name="_Toc49090510"/>
      <w:r/>
      <w:bookmarkStart w:id="154" w:name="_Toc14577359"/>
      <w:r>
        <w:rPr>
          <w:rFonts w:hint="eastAsia" w:ascii="宋体" w:hAnsi="宋体" w:eastAsia="宋体" w:cs="宋体"/>
          <w:color w:val="000000"/>
          <w:sz w:val="28"/>
          <w:szCs w:val="28"/>
          <w:highlight w:val="none"/>
        </w:rPr>
        <w:t xml:space="preserve">15、投标函和开标一览表</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15.1</w:t>
      </w:r>
      <w:r>
        <w:rPr>
          <w:rFonts w:hint="eastAsia" w:ascii="宋体" w:hAnsi="宋体" w:eastAsia="宋体" w:cs="宋体"/>
          <w:color w:val="000000"/>
          <w:sz w:val="24"/>
          <w:szCs w:val="21"/>
          <w:highlight w:val="none"/>
        </w:rPr>
        <w:t xml:space="preserve"> 投标人应按照招标文件中提供的格式完整、正确填写投标函、开标一览表。</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bookmarkEnd w:id="153"/>
      <w:r/>
      <w:bookmarkEnd w:id="154"/>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55" w:name="_Toc49090511"/>
      <w:r/>
      <w:bookmarkStart w:id="156" w:name="_Toc14577360"/>
      <w:r>
        <w:rPr>
          <w:rFonts w:hint="eastAsia" w:ascii="宋体" w:hAnsi="宋体" w:eastAsia="宋体" w:cs="宋体"/>
          <w:color w:val="000000"/>
          <w:sz w:val="28"/>
          <w:szCs w:val="28"/>
          <w:highlight w:val="none"/>
        </w:rPr>
        <w:t xml:space="preserve">16、投标有效期</w:t>
      </w:r>
      <w:bookmarkEnd w:id="155"/>
      <w:r/>
      <w:bookmarkEnd w:id="156"/>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16.1投标有效期为代理机构规定的开标之日后</w:t>
      </w:r>
      <w:r>
        <w:rPr>
          <w:rFonts w:hint="eastAsia" w:ascii="宋体" w:hAnsi="宋体" w:eastAsia="宋体" w:cs="宋体"/>
          <w:b/>
          <w:color w:val="000000"/>
          <w:sz w:val="24"/>
          <w:szCs w:val="21"/>
          <w:highlight w:val="none"/>
          <w:u w:val="single"/>
        </w:rPr>
        <w:t xml:space="preserve">60天</w:t>
      </w:r>
      <w:r>
        <w:rPr>
          <w:rFonts w:hint="eastAsia" w:ascii="宋体" w:hAnsi="宋体" w:eastAsia="宋体" w:cs="宋体"/>
          <w:bCs/>
          <w:color w:val="000000"/>
          <w:sz w:val="24"/>
          <w:szCs w:val="21"/>
          <w:highlight w:val="none"/>
        </w:rPr>
        <w:t xml:space="preserve">。投标有效期比规定短的将被视为未实质性响应招标文件而予以拒绝。</w:t>
      </w:r>
      <w:r/>
    </w:p>
    <w:p>
      <w:pPr>
        <w:ind w:firstLine="420"/>
        <w:keepLines/>
        <w:keepNext/>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17、投标有效期的延长</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宋体"/>
          <w:color w:val="000000"/>
          <w:sz w:val="24"/>
          <w:highlight w:val="none"/>
        </w:rPr>
        <w:t xml:space="preserve">受投标有效期约束的所有权利与义务均延长至新的有效期</w:t>
      </w:r>
      <w:r>
        <w:rPr>
          <w:rFonts w:hint="eastAsia" w:ascii="宋体" w:hAnsi="宋体" w:eastAsia="宋体" w:cs="宋体"/>
          <w:bCs/>
          <w:color w:val="000000"/>
          <w:sz w:val="24"/>
          <w:szCs w:val="21"/>
          <w:highlight w:val="none"/>
        </w:rPr>
        <w:t xml:space="preserve">。</w:t>
      </w:r>
      <w:r/>
    </w:p>
    <w:p>
      <w:pPr>
        <w:ind w:firstLine="643"/>
        <w:keepLines/>
        <w:keepNext/>
        <w:spacing w:line="500" w:lineRule="exact"/>
        <w:rPr>
          <w:rFonts w:hint="eastAsia" w:ascii="宋体" w:hAnsi="宋体" w:eastAsia="宋体" w:cs="宋体"/>
          <w:b/>
          <w:bCs/>
          <w:color w:val="000000"/>
          <w:sz w:val="32"/>
          <w:szCs w:val="32"/>
          <w:highlight w:val="none"/>
        </w:rPr>
        <w:outlineLvl w:val="2"/>
      </w:pPr>
      <w:r/>
      <w:bookmarkStart w:id="157" w:name="_Hlt26954739"/>
      <w:r/>
      <w:bookmarkEnd w:id="157"/>
      <w:r/>
      <w:bookmarkStart w:id="158" w:name="_Hlt26954852"/>
      <w:r/>
      <w:bookmarkEnd w:id="158"/>
      <w:r/>
      <w:bookmarkStart w:id="159" w:name="_Toc20823296"/>
      <w:r/>
      <w:bookmarkStart w:id="160" w:name="_Toc16938540"/>
      <w:r/>
      <w:bookmarkStart w:id="161" w:name="_Toc513029224"/>
      <w:r/>
      <w:bookmarkStart w:id="162" w:name="_Toc120614217"/>
      <w:r>
        <w:rPr>
          <w:rFonts w:hint="eastAsia" w:ascii="宋体" w:hAnsi="宋体" w:eastAsia="宋体" w:cs="宋体"/>
          <w:b/>
          <w:bCs/>
          <w:color w:val="000000"/>
          <w:sz w:val="32"/>
          <w:szCs w:val="32"/>
          <w:highlight w:val="none"/>
        </w:rPr>
        <w:t xml:space="preserve">四、投标文件的递交</w:t>
      </w:r>
      <w:bookmarkEnd w:id="159"/>
      <w:r/>
      <w:bookmarkEnd w:id="160"/>
      <w:r/>
      <w:bookmarkEnd w:id="161"/>
      <w:r/>
      <w:bookmarkEnd w:id="162"/>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63" w:name="_Toc20823297"/>
      <w:r/>
      <w:bookmarkStart w:id="164" w:name="_Toc16938541"/>
      <w:r/>
      <w:bookmarkStart w:id="165" w:name="_Toc462564084"/>
      <w:r/>
      <w:bookmarkStart w:id="166" w:name="_Toc513029225"/>
      <w:r>
        <w:rPr>
          <w:rFonts w:hint="eastAsia" w:ascii="宋体" w:hAnsi="宋体" w:eastAsia="宋体" w:cs="宋体"/>
          <w:color w:val="000000"/>
          <w:sz w:val="28"/>
          <w:szCs w:val="28"/>
          <w:highlight w:val="none"/>
        </w:rPr>
        <w:t xml:space="preserve">18、电子投标文件</w:t>
      </w:r>
      <w:bookmarkEnd w:id="163"/>
      <w:r/>
      <w:bookmarkEnd w:id="164"/>
      <w:r/>
      <w:bookmarkEnd w:id="165"/>
      <w:r/>
      <w:bookmarkEnd w:id="166"/>
      <w:r>
        <w:rPr>
          <w:rFonts w:hint="eastAsia" w:ascii="宋体" w:hAnsi="宋体" w:eastAsia="宋体" w:cs="宋体"/>
          <w:color w:val="000000"/>
          <w:sz w:val="28"/>
          <w:szCs w:val="28"/>
          <w:highlight w:val="none"/>
        </w:rPr>
        <w:t xml:space="preserve">的递交</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18.1投标人应当按照《操作手册》规定，在投标截止时间前制作并上传电子投标文件。</w:t>
      </w:r>
      <w:bookmarkStart w:id="167" w:name="_Toc513029226"/>
      <w:r/>
      <w:bookmarkStart w:id="168" w:name="_Toc16938542"/>
      <w:r/>
      <w:bookmarkStart w:id="169" w:name="_Toc20823298"/>
      <w:r/>
      <w:r/>
    </w:p>
    <w:p>
      <w:pPr>
        <w:ind w:firstLine="420"/>
        <w:keepLines/>
        <w:keepNext/>
        <w:spacing w:line="500" w:lineRule="exact"/>
        <w:rPr>
          <w:rFonts w:hint="eastAsia" w:ascii="宋体" w:hAnsi="宋体" w:eastAsia="宋体" w:cs="宋体"/>
          <w:bCs/>
          <w:color w:val="000000"/>
          <w:sz w:val="24"/>
          <w:szCs w:val="28"/>
          <w:highlight w:val="none"/>
        </w:rPr>
        <w:outlineLvl w:val="3"/>
      </w:pPr>
      <w:r>
        <w:rPr>
          <w:rFonts w:hint="eastAsia" w:ascii="宋体" w:hAnsi="宋体" w:eastAsia="宋体" w:cs="宋体"/>
          <w:bCs/>
          <w:color w:val="000000"/>
          <w:sz w:val="28"/>
          <w:szCs w:val="28"/>
          <w:highlight w:val="none"/>
        </w:rPr>
        <w:t xml:space="preserve">19、投标截止日期</w:t>
      </w:r>
      <w:bookmarkEnd w:id="167"/>
      <w:r/>
      <w:bookmarkEnd w:id="168"/>
      <w:r/>
      <w:bookmarkEnd w:id="169"/>
      <w:r/>
      <w:r/>
    </w:p>
    <w:p>
      <w:pPr>
        <w:ind w:firstLine="480"/>
        <w:spacing w:line="500" w:lineRule="exact"/>
        <w:rPr>
          <w:rFonts w:hint="eastAsia" w:ascii="宋体" w:hAnsi="宋体" w:eastAsia="宋体" w:cs="宋体"/>
          <w:bCs/>
          <w:iCs/>
          <w:color w:val="000000"/>
          <w:sz w:val="24"/>
          <w:szCs w:val="21"/>
          <w:highlight w:val="none"/>
        </w:rPr>
      </w:pPr>
      <w:r>
        <w:rPr>
          <w:rFonts w:hint="eastAsia" w:ascii="宋体" w:hAnsi="宋体" w:eastAsia="宋体" w:cs="宋体"/>
          <w:iCs/>
          <w:color w:val="000000"/>
          <w:sz w:val="24"/>
          <w:szCs w:val="21"/>
          <w:highlight w:val="none"/>
        </w:rPr>
        <w:t xml:space="preserve">19.1</w:t>
      </w:r>
      <w:r>
        <w:rPr>
          <w:rFonts w:hint="eastAsia" w:ascii="宋体" w:hAnsi="宋体" w:eastAsia="宋体" w:cs="宋体"/>
          <w:bCs/>
          <w:iCs/>
          <w:color w:val="000000"/>
          <w:sz w:val="24"/>
          <w:szCs w:val="21"/>
          <w:highlight w:val="none"/>
        </w:rPr>
        <w:t xml:space="preserve"> 投标人上传电子投标文件的时间不得迟于招标公告中规定的投标截止时间。</w:t>
      </w:r>
      <w:r>
        <w:rPr>
          <w:rFonts w:hint="eastAsia" w:ascii="宋体" w:hAnsi="宋体" w:eastAsia="宋体" w:cs="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19.2</w:t>
      </w:r>
      <w:r>
        <w:rPr>
          <w:rFonts w:hint="eastAsia" w:ascii="宋体" w:hAnsi="宋体" w:eastAsia="宋体" w:cs="宋体"/>
          <w:bCs/>
          <w:color w:val="000000"/>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70" w:name="_Toc513029227"/>
      <w:r/>
      <w:bookmarkStart w:id="171" w:name="_Toc20823299"/>
      <w:r/>
      <w:bookmarkStart w:id="172" w:name="_Toc16938543"/>
      <w:r>
        <w:rPr>
          <w:rFonts w:hint="eastAsia" w:ascii="宋体" w:hAnsi="宋体" w:eastAsia="宋体" w:cs="宋体"/>
          <w:color w:val="000000"/>
          <w:sz w:val="28"/>
          <w:szCs w:val="28"/>
          <w:highlight w:val="none"/>
        </w:rPr>
        <w:t xml:space="preserve">20、投标文件</w:t>
      </w:r>
      <w:bookmarkEnd w:id="170"/>
      <w:r/>
      <w:bookmarkEnd w:id="171"/>
      <w:r/>
      <w:bookmarkEnd w:id="172"/>
      <w:r>
        <w:rPr>
          <w:rFonts w:hint="eastAsia" w:ascii="宋体" w:hAnsi="宋体" w:eastAsia="宋体" w:cs="宋体"/>
          <w:color w:val="000000"/>
          <w:sz w:val="28"/>
          <w:szCs w:val="28"/>
          <w:highlight w:val="none"/>
        </w:rPr>
        <w:t xml:space="preserve">的拒收</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20.1 代理机构拒绝接收在其规定的投标截止时间后上传的任何投标文件。</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73" w:name="_Toc513029228"/>
      <w:r/>
      <w:bookmarkStart w:id="174" w:name="_Toc16938544"/>
      <w:r/>
      <w:bookmarkStart w:id="175" w:name="_Toc20823300"/>
      <w:r>
        <w:rPr>
          <w:rFonts w:hint="eastAsia" w:ascii="宋体" w:hAnsi="宋体" w:eastAsia="宋体" w:cs="宋体"/>
          <w:color w:val="000000"/>
          <w:sz w:val="28"/>
          <w:szCs w:val="28"/>
          <w:highlight w:val="none"/>
        </w:rPr>
        <w:t xml:space="preserve">21、投标文件的撤回和修改</w:t>
      </w:r>
      <w:bookmarkEnd w:id="173"/>
      <w:r/>
      <w:bookmarkEnd w:id="174"/>
      <w:r/>
      <w:bookmarkEnd w:id="175"/>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 投标文件的撤回</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21.1.1 电子投标文件的撤回</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投标人可在投标截止时间前，撤回其电子投标文件，具体操作方法见《操作手册》。</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21.1.2 投标人撤回电子投标文件，则认为其不再参与本项目投标活动。</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 投标文件的修改</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21.2.1投标人可在投标截止时间前，对其电子投标文件进行修改，具体操作方法见《操作手册》。</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21.2.2</w:t>
      </w:r>
      <w:r>
        <w:rPr>
          <w:rFonts w:hint="eastAsia" w:ascii="宋体" w:hAnsi="宋体" w:eastAsia="宋体" w:cs="宋体"/>
          <w:bCs/>
          <w:color w:val="000000"/>
          <w:sz w:val="24"/>
          <w:szCs w:val="21"/>
          <w:highlight w:val="none"/>
        </w:rPr>
        <w:t xml:space="preserve"> 在投标截止时间之后，投标人不得对其电子投标文件作任何修改。</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21.3</w:t>
      </w:r>
      <w:r>
        <w:rPr>
          <w:rFonts w:hint="eastAsia" w:ascii="宋体" w:hAnsi="宋体" w:eastAsia="宋体" w:cs="宋体"/>
          <w:bCs/>
          <w:color w:val="000000"/>
          <w:sz w:val="24"/>
          <w:szCs w:val="21"/>
          <w:highlight w:val="none"/>
        </w:rPr>
        <w:t xml:space="preserve"> 在投标截止时间至招标文件中规定的投标有效期满之间的这段时间内，投标人不得撤回其投标。</w:t>
      </w:r>
      <w:r/>
    </w:p>
    <w:p>
      <w:pPr>
        <w:ind w:firstLine="482"/>
        <w:keepLines/>
        <w:keepNext/>
        <w:spacing w:line="500" w:lineRule="exact"/>
        <w:rPr>
          <w:rFonts w:hint="eastAsia" w:ascii="宋体" w:hAnsi="宋体" w:eastAsia="宋体" w:cs="宋体"/>
          <w:b/>
          <w:bCs/>
          <w:color w:val="000000"/>
          <w:sz w:val="32"/>
          <w:szCs w:val="32"/>
          <w:highlight w:val="none"/>
        </w:rPr>
        <w:outlineLvl w:val="2"/>
      </w:pPr>
      <w:r/>
      <w:bookmarkStart w:id="176" w:name="_Toc16938545"/>
      <w:r/>
      <w:bookmarkStart w:id="177" w:name="_Toc20823301"/>
      <w:r/>
      <w:bookmarkStart w:id="178" w:name="_Toc120614218"/>
      <w:r/>
      <w:bookmarkStart w:id="179" w:name="_Toc513029229"/>
      <w:r>
        <w:rPr>
          <w:rFonts w:hint="eastAsia" w:ascii="宋体" w:hAnsi="宋体" w:eastAsia="宋体" w:cs="宋体"/>
          <w:b/>
          <w:bCs/>
          <w:color w:val="000000"/>
          <w:sz w:val="32"/>
          <w:szCs w:val="32"/>
          <w:highlight w:val="none"/>
        </w:rPr>
        <w:t xml:space="preserve">五、开标与评标</w:t>
      </w:r>
      <w:bookmarkEnd w:id="176"/>
      <w:r/>
      <w:bookmarkEnd w:id="177"/>
      <w:r/>
      <w:bookmarkEnd w:id="178"/>
      <w:r/>
      <w:bookmarkEnd w:id="179"/>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80" w:name="_Toc20823302"/>
      <w:r/>
      <w:bookmarkStart w:id="181" w:name="_Toc513029230"/>
      <w:r/>
      <w:bookmarkStart w:id="182" w:name="_Toc16938546"/>
      <w:r>
        <w:rPr>
          <w:rFonts w:hint="eastAsia" w:ascii="宋体" w:hAnsi="宋体" w:eastAsia="宋体" w:cs="宋体"/>
          <w:color w:val="000000"/>
          <w:sz w:val="28"/>
          <w:szCs w:val="28"/>
          <w:highlight w:val="none"/>
        </w:rPr>
        <w:t xml:space="preserve">22、开标</w:t>
      </w:r>
      <w:bookmarkEnd w:id="180"/>
      <w:r/>
      <w:bookmarkEnd w:id="181"/>
      <w:r/>
      <w:bookmarkEnd w:id="182"/>
      <w:r/>
      <w:r/>
    </w:p>
    <w:p>
      <w:pPr>
        <w:ind w:firstLine="360"/>
        <w:spacing w:line="500" w:lineRule="exact"/>
        <w:rPr>
          <w:rFonts w:hint="eastAsia" w:ascii="宋体" w:hAnsi="宋体" w:eastAsia="宋体" w:cs="宋体"/>
          <w:color w:val="000000"/>
          <w:szCs w:val="21"/>
          <w:highlight w:val="none"/>
        </w:rPr>
      </w:pPr>
      <w:r>
        <w:rPr>
          <w:rFonts w:hint="eastAsia" w:ascii="宋体" w:hAnsi="宋体" w:eastAsia="宋体" w:cs="宋体"/>
          <w:color w:val="000000"/>
          <w:sz w:val="24"/>
          <w:szCs w:val="21"/>
          <w:highlight w:val="none"/>
        </w:rPr>
        <w:t xml:space="preserve">22.1</w:t>
      </w:r>
      <w:r>
        <w:rPr>
          <w:rFonts w:hint="eastAsia" w:ascii="宋体" w:hAnsi="宋体" w:eastAsia="宋体" w:cs="宋体"/>
          <w:bCs/>
          <w:color w:val="000000"/>
          <w:sz w:val="24"/>
          <w:szCs w:val="21"/>
          <w:highlight w:val="none"/>
        </w:rPr>
        <w:t xml:space="preserve"> 代理机构将在招标公告中规定的时间和地点组织公开开标</w:t>
      </w:r>
      <w:r>
        <w:rPr>
          <w:rFonts w:hint="eastAsia" w:ascii="宋体" w:hAnsi="宋体" w:eastAsia="宋体" w:cs="宋体"/>
          <w:color w:val="000000"/>
          <w:sz w:val="24"/>
          <w:highlight w:val="none"/>
        </w:rPr>
        <w:t xml:space="preserve">。投标人应当按照《操作手册》规定，参加开标活动和在苏采云系统规定的时间内对投标文件进行解密。</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22.2</w:t>
      </w:r>
      <w:r>
        <w:rPr>
          <w:rFonts w:hint="eastAsia" w:ascii="宋体" w:hAnsi="宋体" w:eastAsia="宋体" w:cs="宋体"/>
          <w:color w:val="000000"/>
          <w:sz w:val="24"/>
          <w:highlight w:val="none"/>
        </w:rPr>
        <w:t xml:space="preserve">开标仪式由代理机构组织。苏采云系统将自动对项目进行开标，并宣布各投标人名称和投标价格。</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rPr>
        <w:t xml:space="preserve">22.3投标人在开标过程中涉及到的投标文件解密、开标结果确认等工作，应按照《操作手册》规定执行。</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83" w:name="_Toc513029231"/>
      <w:r/>
      <w:bookmarkStart w:id="184" w:name="_Toc20823303"/>
      <w:r/>
      <w:bookmarkStart w:id="185" w:name="_Toc16938547"/>
      <w:r>
        <w:rPr>
          <w:rFonts w:hint="eastAsia" w:ascii="宋体" w:hAnsi="宋体" w:eastAsia="宋体" w:cs="宋体"/>
          <w:color w:val="000000"/>
          <w:sz w:val="28"/>
          <w:szCs w:val="28"/>
          <w:highlight w:val="none"/>
        </w:rPr>
        <w:t xml:space="preserve">23、评标委员会</w:t>
      </w:r>
      <w:r/>
    </w:p>
    <w:p>
      <w:pPr>
        <w:spacing w:line="500" w:lineRule="exact"/>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 23.1开标后，代理机构将立即组织评标委员会（以下简称评委会）进行评标。</w:t>
      </w:r>
      <w:r/>
    </w:p>
    <w:p>
      <w:pPr>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23.2 评委会由采购人代表和有关技术、经济等方面的专家组成，且人员构成符合政府采购有关规定。</w:t>
      </w:r>
      <w:r/>
    </w:p>
    <w:p>
      <w:pPr>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23.3评委会独立工作，负责评审所有投标文件并确定中标侯选人。</w:t>
      </w:r>
      <w:r/>
    </w:p>
    <w:p>
      <w:pPr>
        <w:ind w:firstLine="420"/>
        <w:keepLines/>
        <w:keepNext/>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24．评标过程的保密与公正</w:t>
      </w:r>
      <w:bookmarkEnd w:id="183"/>
      <w:r/>
      <w:bookmarkEnd w:id="184"/>
      <w:r/>
      <w:bookmarkEnd w:id="185"/>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24.1</w:t>
      </w:r>
      <w:r>
        <w:rPr>
          <w:rFonts w:hint="eastAsia" w:ascii="宋体" w:hAnsi="宋体" w:eastAsia="宋体" w:cs="宋体"/>
          <w:bCs/>
          <w:color w:val="000000"/>
          <w:sz w:val="24"/>
          <w:szCs w:val="21"/>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24.2</w:t>
      </w:r>
      <w:r>
        <w:rPr>
          <w:rFonts w:hint="eastAsia" w:ascii="宋体" w:hAnsi="宋体" w:eastAsia="宋体" w:cs="宋体"/>
          <w:color w:val="000000"/>
          <w:sz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24.3 代理机构和评标委员会不向未中标的投标人解释未中标原因，也不公布评标过程中的相关细节。</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24.4 采用综合评分法的项目，未中标的投标人可于中标结果公告期限届满之日起通过苏采云系统查看自己的评审得分及排序情况。</w:t>
      </w:r>
      <w:r/>
    </w:p>
    <w:p>
      <w:pPr>
        <w:ind w:firstLine="420"/>
        <w:keepLines/>
        <w:keepNext/>
        <w:spacing w:line="500" w:lineRule="exact"/>
        <w:rPr>
          <w:rFonts w:hint="eastAsia" w:ascii="宋体" w:hAnsi="宋体" w:eastAsia="宋体" w:cs="宋体"/>
          <w:color w:val="000000"/>
          <w:sz w:val="28"/>
          <w:szCs w:val="28"/>
          <w:highlight w:val="none"/>
        </w:rPr>
        <w:outlineLvl w:val="3"/>
      </w:pPr>
      <w:r/>
      <w:bookmarkStart w:id="186" w:name="_Toc20823304"/>
      <w:r/>
      <w:bookmarkStart w:id="187" w:name="_Toc16938548"/>
      <w:r/>
      <w:bookmarkStart w:id="188" w:name="_Toc513029232"/>
      <w:r>
        <w:rPr>
          <w:rFonts w:hint="eastAsia" w:ascii="宋体" w:hAnsi="宋体" w:eastAsia="宋体" w:cs="宋体"/>
          <w:color w:val="000000"/>
          <w:sz w:val="28"/>
          <w:szCs w:val="28"/>
          <w:highlight w:val="none"/>
        </w:rPr>
        <w:t xml:space="preserve">25．投标文件的澄清</w:t>
      </w:r>
      <w:bookmarkEnd w:id="186"/>
      <w:r/>
      <w:bookmarkEnd w:id="187"/>
      <w:r/>
      <w:bookmarkEnd w:id="188"/>
      <w:r/>
      <w:r/>
    </w:p>
    <w:p>
      <w:pPr>
        <w:ind w:firstLine="480"/>
        <w:spacing w:line="500" w:lineRule="exact"/>
        <w:rPr>
          <w:rFonts w:hint="eastAsia" w:ascii="宋体" w:hAnsi="宋体" w:eastAsia="宋体" w:cs="宋体"/>
          <w:color w:val="000000"/>
          <w:sz w:val="24"/>
          <w:highlight w:val="none"/>
        </w:rPr>
      </w:pPr>
      <w:r/>
      <w:bookmarkStart w:id="189" w:name="_Toc16938549"/>
      <w:r/>
      <w:bookmarkStart w:id="190" w:name="_Toc20823305"/>
      <w:r/>
      <w:bookmarkStart w:id="191" w:name="_Toc513029233"/>
      <w:r>
        <w:rPr>
          <w:rFonts w:hint="eastAsia" w:ascii="宋体" w:hAnsi="宋体" w:eastAsia="宋体" w:cs="宋体"/>
          <w:color w:val="000000"/>
          <w:sz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评标委员会并非对每个投标人都做澄清要求。</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25.3 接到评委会澄清、说明和补正要求的投标人如未按规定做出澄清、说明和补正，其风险由投标人自行承担。</w:t>
      </w:r>
      <w:r/>
    </w:p>
    <w:p>
      <w:pPr>
        <w:ind w:firstLine="420"/>
        <w:keepLines/>
        <w:keepNext/>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26、对投标文件的初审</w:t>
      </w:r>
      <w:bookmarkEnd w:id="189"/>
      <w:r/>
      <w:bookmarkEnd w:id="190"/>
      <w:r/>
      <w:bookmarkEnd w:id="191"/>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26.1</w:t>
      </w:r>
      <w:r>
        <w:rPr>
          <w:rFonts w:hint="eastAsia" w:ascii="宋体" w:hAnsi="宋体" w:eastAsia="宋体" w:cs="宋体"/>
          <w:bCs/>
          <w:color w:val="000000"/>
          <w:sz w:val="24"/>
          <w:szCs w:val="21"/>
          <w:highlight w:val="none"/>
        </w:rPr>
        <w:t xml:space="preserve">投标文件初审分为资格审查和符合性审查。</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采购人在进行资格性审查的同时，将在</w:t>
      </w:r>
      <w:r>
        <w:rPr>
          <w:rFonts w:hint="eastAsia" w:ascii="宋体" w:hAnsi="宋体" w:eastAsia="宋体" w:cs="宋体"/>
          <w:color w:val="000000"/>
          <w:sz w:val="24"/>
          <w:highlight w:val="none"/>
        </w:rPr>
        <w:t xml:space="preserve">“信用中国”网站或“中国政府采购网”网站</w:t>
      </w:r>
      <w:r>
        <w:rPr>
          <w:rFonts w:hint="eastAsia" w:ascii="宋体" w:hAnsi="宋体" w:eastAsia="宋体" w:cs="宋体"/>
          <w:bCs/>
          <w:color w:val="000000"/>
          <w:sz w:val="24"/>
          <w:szCs w:val="21"/>
          <w:highlight w:val="none"/>
        </w:rPr>
        <w:t xml:space="preserve">查询投标人的信用记录，以确定投标人是否具备投标资格,查询结果留存并归档。</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26.1.3 未通过资格审查或符合性审查的投标人，代理机构将在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26.2</w:t>
      </w:r>
      <w:r>
        <w:rPr>
          <w:rFonts w:hint="eastAsia" w:ascii="宋体" w:hAnsi="宋体" w:eastAsia="宋体" w:cs="宋体"/>
          <w:color w:val="000000"/>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1"/>
          <w:highlight w:val="none"/>
        </w:rPr>
        <w:t xml:space="preserve">评委决定投标文件的响应性只根据投标文件本身的内容，而不寻求外部的证据。</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26.3</w:t>
      </w:r>
      <w:r>
        <w:rPr>
          <w:rFonts w:hint="eastAsia" w:ascii="宋体" w:hAnsi="宋体" w:eastAsia="宋体" w:cs="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26.4</w:t>
      </w:r>
      <w:r>
        <w:rPr>
          <w:rFonts w:hint="eastAsia" w:ascii="宋体" w:hAnsi="宋体" w:eastAsia="宋体" w:cs="宋体"/>
          <w:bCs/>
          <w:color w:val="000000"/>
          <w:sz w:val="24"/>
          <w:szCs w:val="21"/>
          <w:highlight w:val="none"/>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（1）投标文件中开标一览表内容与投标文件中相应内容不一致的，以开标一览表为准。</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（2）大写金额和小写金额不一致的，以大写金额为准。</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（3）单价金额小数点或者百分比有明显错位的，以开标一览表的总价为准，并修改单价。</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（4）总价金额与按单价汇总金额不一致的，以单价金额计算结果为准。</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同时出现两种以上错误的，按照前款规定的顺序修正。</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26.5</w:t>
      </w:r>
      <w:r>
        <w:rPr>
          <w:rFonts w:hint="eastAsia" w:ascii="宋体" w:hAnsi="宋体" w:eastAsia="宋体" w:cs="宋体"/>
          <w:bCs/>
          <w:color w:val="000000"/>
          <w:sz w:val="24"/>
          <w:szCs w:val="21"/>
          <w:highlight w:val="none"/>
        </w:rPr>
        <w:t xml:space="preserve">评委会将按上述修正错误的方法调整投标文件中的投标报价，并通过</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告知投标人，调整后的价格应对投标人具有约束力。如果投标人不接受修正后的价格，则其投标将被拒绝。</w:t>
      </w:r>
      <w:r/>
    </w:p>
    <w:p>
      <w:pPr>
        <w:ind w:firstLine="480"/>
        <w:spacing w:line="500" w:lineRule="exact"/>
        <w:rPr>
          <w:rFonts w:hint="eastAsia" w:ascii="宋体" w:hAnsi="宋体" w:eastAsia="宋体" w:cs="宋体"/>
          <w:color w:val="000000"/>
          <w:sz w:val="24"/>
          <w:szCs w:val="21"/>
          <w:highlight w:val="none"/>
        </w:rPr>
      </w:pPr>
      <w:r/>
      <w:bookmarkStart w:id="192" w:name="_Toc16938550"/>
      <w:r/>
      <w:bookmarkStart w:id="193" w:name="_Toc513029234"/>
      <w:r/>
      <w:bookmarkStart w:id="194" w:name="_Toc20823306"/>
      <w:r>
        <w:rPr>
          <w:rFonts w:hint="eastAsia" w:ascii="宋体" w:hAnsi="宋体" w:eastAsia="宋体" w:cs="宋体"/>
          <w:color w:val="000000"/>
          <w:sz w:val="24"/>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非单一产品采购项目，招标文件中将载明其中的核心产品。多家投标人提供的核心产品品牌相同的，按前两款规定处理。</w:t>
      </w:r>
      <w:r/>
    </w:p>
    <w:p>
      <w:pPr>
        <w:ind w:firstLine="420"/>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26.7投标人在开、评标全过程中应保持通讯畅通，及时登录</w:t>
      </w:r>
      <w:r>
        <w:rPr>
          <w:rFonts w:hint="eastAsia" w:ascii="宋体" w:hAnsi="宋体" w:eastAsia="宋体" w:cs="宋体"/>
          <w:color w:val="000000"/>
          <w:sz w:val="24"/>
          <w:highlight w:val="none"/>
        </w:rPr>
        <w:t xml:space="preserve">苏采云系统</w:t>
      </w:r>
      <w:r>
        <w:rPr>
          <w:rFonts w:hint="eastAsia" w:ascii="宋体" w:hAnsi="宋体" w:eastAsia="宋体" w:cs="宋体"/>
          <w:color w:val="000000"/>
          <w:sz w:val="24"/>
          <w:szCs w:val="21"/>
          <w:highlight w:val="none"/>
        </w:rPr>
        <w:t xml:space="preserve">查阅、答复相关信息，并安排专人与代理机构及评标委员会联系。</w:t>
      </w:r>
      <w:r/>
    </w:p>
    <w:p>
      <w:pPr>
        <w:ind w:firstLine="420"/>
        <w:keepLines/>
        <w:keepNext/>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27、</w:t>
      </w:r>
      <w:bookmarkEnd w:id="192"/>
      <w:r/>
      <w:bookmarkEnd w:id="193"/>
      <w:r/>
      <w:bookmarkEnd w:id="194"/>
      <w:r>
        <w:rPr>
          <w:rFonts w:hint="eastAsia" w:ascii="宋体" w:hAnsi="宋体" w:eastAsia="宋体" w:cs="宋体"/>
          <w:color w:val="000000"/>
          <w:sz w:val="28"/>
          <w:szCs w:val="28"/>
          <w:highlight w:val="none"/>
        </w:rPr>
        <w:t xml:space="preserve">无效投标条款和废标条款</w:t>
      </w:r>
      <w:r/>
    </w:p>
    <w:p>
      <w:pPr>
        <w:ind w:firstLine="480"/>
        <w:spacing w:line="500" w:lineRule="exact"/>
        <w:rPr>
          <w:rFonts w:hint="eastAsia" w:ascii="宋体" w:hAnsi="宋体" w:eastAsia="宋体" w:cs="宋体"/>
          <w:bCs/>
          <w:color w:val="000000"/>
          <w:sz w:val="24"/>
          <w:szCs w:val="21"/>
          <w:highlight w:val="none"/>
        </w:rPr>
      </w:pPr>
      <w:r/>
      <w:bookmarkStart w:id="195" w:name="_Toc16938551"/>
      <w:r/>
      <w:bookmarkStart w:id="196" w:name="_Toc20823307"/>
      <w:r/>
      <w:bookmarkStart w:id="197" w:name="_Toc513029235"/>
      <w:r>
        <w:rPr>
          <w:rFonts w:hint="eastAsia" w:ascii="宋体" w:hAnsi="宋体" w:eastAsia="宋体" w:cs="宋体"/>
          <w:bCs/>
          <w:color w:val="000000"/>
          <w:sz w:val="24"/>
          <w:szCs w:val="21"/>
          <w:highlight w:val="none"/>
        </w:rPr>
        <w:t xml:space="preserve">27.1无效投标条款</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27.1.1 投标人在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规定的时间内未成功解密电子投标文件的。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27.1.2 投标人未按照招标文件要求上传电子投标文件的。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27.1.3同一投标人提交两个（含两个）以上不同的投标报价的。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27.1.4投标人不具备招标文件中规定资格要求的。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27.1.5投标人的报价超过了采购预算或最高限价的。</w:t>
      </w:r>
      <w:r/>
    </w:p>
    <w:p>
      <w:pPr>
        <w:ind w:firstLine="480"/>
        <w:spacing w:line="500" w:lineRule="exact"/>
        <w:rPr>
          <w:rFonts w:hint="eastAsia" w:ascii="宋体" w:hAnsi="宋体" w:eastAsia="宋体" w:cs="宋体"/>
          <w:bCs/>
          <w:i/>
          <w:color w:val="000000"/>
          <w:sz w:val="24"/>
          <w:szCs w:val="21"/>
          <w:highlight w:val="none"/>
          <w:u w:val="single"/>
        </w:rPr>
      </w:pPr>
      <w:r>
        <w:rPr>
          <w:rFonts w:hint="eastAsia" w:ascii="宋体" w:hAnsi="宋体" w:eastAsia="宋体" w:cs="宋体"/>
          <w:bCs/>
          <w:color w:val="000000"/>
          <w:sz w:val="24"/>
          <w:szCs w:val="21"/>
          <w:highlight w:val="none"/>
        </w:rPr>
        <w:t xml:space="preserve">27.1.6未通过符合性审查的。</w:t>
      </w:r>
      <w:r/>
    </w:p>
    <w:p>
      <w:pPr>
        <w:ind w:firstLine="360"/>
        <w:spacing w:line="500" w:lineRule="exact"/>
        <w:rPr>
          <w:rFonts w:hint="eastAsia" w:ascii="宋体" w:hAnsi="宋体" w:eastAsia="宋体" w:cs="宋体"/>
          <w:bCs/>
          <w:iCs/>
          <w:color w:val="000000"/>
          <w:sz w:val="24"/>
          <w:szCs w:val="21"/>
          <w:highlight w:val="none"/>
          <w:u w:val="single"/>
        </w:rPr>
      </w:pPr>
      <w:r>
        <w:rPr>
          <w:rFonts w:hint="eastAsia" w:ascii="宋体" w:hAnsi="宋体" w:eastAsia="宋体" w:cs="宋体"/>
          <w:bCs/>
          <w:color w:val="000000"/>
          <w:sz w:val="24"/>
          <w:szCs w:val="21"/>
          <w:highlight w:val="none"/>
        </w:rPr>
        <w:t xml:space="preserve"> 27.1.7不符合招标文件中规定的实质性要求和条件的。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27.1.8 投标人被</w:t>
      </w:r>
      <w:r>
        <w:rPr>
          <w:rFonts w:hint="eastAsia" w:ascii="宋体" w:hAnsi="宋体" w:eastAsia="宋体" w:cs="宋体"/>
          <w:color w:val="000000"/>
          <w:sz w:val="24"/>
          <w:highlight w:val="none"/>
        </w:rPr>
        <w:t xml:space="preserve">“信用中国”网站或“中国政府采购网”网站</w:t>
      </w:r>
      <w:r>
        <w:rPr>
          <w:rFonts w:hint="eastAsia" w:ascii="宋体" w:hAnsi="宋体" w:eastAsia="宋体" w:cs="宋体"/>
          <w:bCs/>
          <w:color w:val="000000"/>
          <w:sz w:val="24"/>
          <w:szCs w:val="21"/>
          <w:highlight w:val="none"/>
        </w:rPr>
        <w:t xml:space="preserve">列入失信被执行人或重大税收违法案件当事人名单或政府采购严重失信行为记录名单。或查询</w:t>
      </w:r>
      <w:r>
        <w:rPr>
          <w:rFonts w:hint="eastAsia" w:ascii="宋体" w:hAnsi="宋体" w:eastAsia="宋体" w:cs="宋体"/>
          <w:color w:val="000000"/>
          <w:sz w:val="24"/>
          <w:highlight w:val="none"/>
        </w:rPr>
        <w:t xml:space="preserve">“信用中国”网站或“中国政府采购网”</w:t>
      </w:r>
      <w:r>
        <w:rPr>
          <w:rFonts w:hint="eastAsia" w:ascii="宋体" w:hAnsi="宋体" w:eastAsia="宋体" w:cs="宋体"/>
          <w:bCs/>
          <w:color w:val="000000"/>
          <w:sz w:val="24"/>
          <w:szCs w:val="21"/>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27.1.9  投标文件含有采购人不能接受的附加条件的。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27.1.10评标委员会认为投标人的报价明显低于其他通过符合性审查投标人的报价，有可能影响产品质量或者不能诚信履约的，将通过</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27.1.12 投标文件未按照招标文件要求加盖CA电子公章的。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27.1.13其他法律、法规及本招标文件规定的属无效投标的情形。</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27.2废标条款</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27.2.1符合专业条件的供应商或者对招标文件作实质响应的供应商不足三家的。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27.2.2出现影响采购公正的违法、违规行为的。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27.2.3因重大变故，采购任务取消的。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27.2.4评标委员会认定招标文件存在歧义、重大缺陷导致评审工作无法进行。</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27.2.5 因</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系统故障原因造成开标不成功的。</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27.3 投标截止时间结束后参加投标的供应商不足三家的处理：</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27.3.1如出现投标截止时间结束后参加投标的供应商或者在评标期间对招标文件做出实质响应的供应商不足三家情况，按政府采购相关规定执行。</w:t>
      </w:r>
      <w:r/>
    </w:p>
    <w:p>
      <w:pPr>
        <w:ind w:firstLine="482"/>
        <w:keepLines/>
        <w:keepNext/>
        <w:spacing w:line="500" w:lineRule="exact"/>
        <w:rPr>
          <w:rFonts w:hint="eastAsia" w:ascii="宋体" w:hAnsi="宋体" w:eastAsia="宋体" w:cs="宋体"/>
          <w:b/>
          <w:bCs/>
          <w:color w:val="000000"/>
          <w:sz w:val="32"/>
          <w:szCs w:val="32"/>
          <w:highlight w:val="none"/>
        </w:rPr>
        <w:outlineLvl w:val="2"/>
      </w:pPr>
      <w:r/>
      <w:bookmarkStart w:id="198" w:name="_Toc120614219"/>
      <w:r>
        <w:rPr>
          <w:rFonts w:hint="eastAsia" w:ascii="宋体" w:hAnsi="宋体" w:eastAsia="宋体" w:cs="宋体"/>
          <w:b/>
          <w:bCs/>
          <w:color w:val="000000"/>
          <w:sz w:val="32"/>
          <w:szCs w:val="32"/>
          <w:highlight w:val="none"/>
        </w:rPr>
        <w:t xml:space="preserve">六、</w:t>
      </w:r>
      <w:bookmarkEnd w:id="195"/>
      <w:r/>
      <w:bookmarkEnd w:id="196"/>
      <w:r/>
      <w:bookmarkEnd w:id="197"/>
      <w:r>
        <w:rPr>
          <w:rFonts w:hint="eastAsia" w:ascii="宋体" w:hAnsi="宋体" w:eastAsia="宋体" w:cs="宋体"/>
          <w:b/>
          <w:bCs/>
          <w:color w:val="000000"/>
          <w:sz w:val="32"/>
          <w:szCs w:val="32"/>
          <w:highlight w:val="none"/>
        </w:rPr>
        <w:t xml:space="preserve">定标</w:t>
      </w:r>
      <w:bookmarkEnd w:id="198"/>
      <w:r/>
      <w:r/>
    </w:p>
    <w:p>
      <w:pPr>
        <w:ind w:firstLine="600"/>
        <w:keepLines/>
        <w:keepNext/>
        <w:spacing w:line="500" w:lineRule="exact"/>
        <w:rPr>
          <w:rFonts w:hint="eastAsia" w:ascii="宋体" w:hAnsi="宋体" w:eastAsia="宋体" w:cs="宋体"/>
          <w:bCs/>
          <w:color w:val="000000"/>
          <w:sz w:val="30"/>
          <w:szCs w:val="30"/>
          <w:highlight w:val="none"/>
        </w:rPr>
        <w:outlineLvl w:val="3"/>
      </w:pPr>
      <w:r/>
      <w:bookmarkStart w:id="199" w:name="_Toc513029238"/>
      <w:r/>
      <w:bookmarkStart w:id="200" w:name="_Toc20823310"/>
      <w:r/>
      <w:bookmarkStart w:id="201" w:name="_Toc16938554"/>
      <w:r>
        <w:rPr>
          <w:rFonts w:hint="eastAsia" w:ascii="宋体" w:hAnsi="宋体" w:eastAsia="宋体" w:cs="宋体"/>
          <w:bCs/>
          <w:color w:val="000000"/>
          <w:sz w:val="30"/>
          <w:szCs w:val="30"/>
          <w:highlight w:val="none"/>
        </w:rPr>
        <w:t xml:space="preserve">28、</w:t>
      </w:r>
      <w:bookmarkEnd w:id="199"/>
      <w:r>
        <w:rPr>
          <w:rFonts w:hint="eastAsia" w:ascii="宋体" w:hAnsi="宋体" w:eastAsia="宋体" w:cs="宋体"/>
          <w:bCs/>
          <w:color w:val="000000"/>
          <w:sz w:val="30"/>
          <w:szCs w:val="30"/>
          <w:highlight w:val="none"/>
        </w:rPr>
        <w:t xml:space="preserve">确定</w:t>
      </w:r>
      <w:bookmarkEnd w:id="200"/>
      <w:r/>
      <w:bookmarkEnd w:id="201"/>
      <w:r>
        <w:rPr>
          <w:rFonts w:hint="eastAsia" w:ascii="宋体" w:hAnsi="宋体" w:eastAsia="宋体" w:cs="宋体"/>
          <w:bCs/>
          <w:color w:val="000000"/>
          <w:sz w:val="30"/>
          <w:szCs w:val="30"/>
          <w:highlight w:val="none"/>
        </w:rPr>
        <w:t xml:space="preserve">中标单位</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28.1中标候选人的选取原则和数量见招标文件第四章规定。 </w:t>
      </w:r>
      <w:r/>
    </w:p>
    <w:p>
      <w:pPr>
        <w:ind w:firstLine="480"/>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28.2 采购人应根据评委会推荐的中标候选人确定中标人。</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28.3 </w:t>
      </w:r>
      <w:r>
        <w:rPr>
          <w:rFonts w:hint="eastAsia" w:ascii="宋体" w:hAnsi="宋体" w:eastAsia="宋体" w:cs="宋体"/>
          <w:color w:val="000000"/>
          <w:sz w:val="24"/>
          <w:highlight w:val="none"/>
        </w:rPr>
        <w:t xml:space="preserve">代理机构将在</w:t>
      </w:r>
      <w:r>
        <w:rPr>
          <w:rFonts w:hint="eastAsia" w:ascii="宋体" w:hAnsi="宋体" w:eastAsia="宋体" w:cs="宋体"/>
          <w:color w:val="000000"/>
          <w:sz w:val="24"/>
          <w:szCs w:val="21"/>
          <w:highlight w:val="none"/>
        </w:rPr>
        <w:t xml:space="preserve">“江苏省政府采购网”、“常州市政府采购网”</w:t>
      </w:r>
      <w:r>
        <w:rPr>
          <w:rFonts w:hint="eastAsia" w:ascii="宋体" w:hAnsi="宋体" w:eastAsia="宋体" w:cs="宋体"/>
          <w:color w:val="000000"/>
          <w:sz w:val="24"/>
          <w:highlight w:val="none"/>
        </w:rPr>
        <w:t xml:space="preserve">发布中标公告，公告期限为1个工作日。</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28.4  若有充分证据证明，中标人出现下列情况之一的，一经查实，将被取消中标资格：</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28.4.1提供虚假材料谋取中标的。</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28.4.2向采购人、代理机构行贿或者提供其他不正当利益的。</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28.4.3属于本文件规定的无效条件，但在评标过程中又未被评委会发现的。</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28.4.4与采购人或者其他供应商恶意串通的。</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28.4.5采取不正当手段诋毁、排挤其他供应商的。</w:t>
      </w:r>
      <w:r/>
    </w:p>
    <w:p>
      <w:pPr>
        <w:ind w:firstLine="480"/>
        <w:spacing w:line="500" w:lineRule="exact"/>
        <w:rPr>
          <w:rFonts w:hint="eastAsia" w:ascii="宋体" w:hAnsi="宋体" w:eastAsia="宋体" w:cs="宋体"/>
          <w:color w:val="000000"/>
          <w:sz w:val="24"/>
          <w:highlight w:val="none"/>
        </w:rPr>
      </w:pPr>
      <w:r/>
      <w:bookmarkStart w:id="202" w:name="_Toc200451960"/>
      <w:r>
        <w:rPr>
          <w:rFonts w:hint="eastAsia" w:ascii="宋体" w:hAnsi="宋体" w:eastAsia="宋体" w:cs="宋体"/>
          <w:color w:val="000000"/>
          <w:sz w:val="24"/>
          <w:highlight w:val="none"/>
        </w:rPr>
        <w:t xml:space="preserve">28.5.有下列情形之一的，视为投标人串通投标，投标无效：</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28.5.1不同投标人的投标文件由同一单位或者个人编制；</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28.5.2不同投标人委托同一单位或者个人办理投标事宜；</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28.5.3 不同投标人的投标文件载明的项目管理成员或者联系人员为同一人；</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28.5.4不同投标人的投标文件异常一致或者投标报价呈规律性差异；</w:t>
      </w:r>
      <w:r/>
    </w:p>
    <w:p>
      <w:pPr>
        <w:ind w:firstLine="600"/>
        <w:keepLines/>
        <w:keepNext/>
        <w:spacing w:line="500" w:lineRule="exact"/>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29、质疑处理</w:t>
      </w:r>
      <w:bookmarkEnd w:id="202"/>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29.2.1对可以质疑的采购文件提出质疑的，为收到采购文件之日或者采购</w:t>
      </w:r>
      <w:r/>
    </w:p>
    <w:p>
      <w:pPr>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文件公告期限届满之日；　</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29.2.2对采购过程提出质疑的，为各采购程序环节结束之日；</w:t>
      </w:r>
      <w:r>
        <w:rPr>
          <w:rFonts w:hint="eastAsia" w:ascii="宋体" w:hAnsi="宋体" w:eastAsia="宋体" w:cs="宋体"/>
          <w:color w:val="000000"/>
          <w:sz w:val="24"/>
          <w:highlight w:val="none"/>
        </w:rPr>
        <w:br w:type="textWrapping" w:clear="all"/>
      </w:r>
      <w:r>
        <w:rPr>
          <w:rFonts w:hint="eastAsia" w:ascii="宋体" w:hAnsi="宋体" w:eastAsia="宋体" w:cs="宋体"/>
          <w:color w:val="000000"/>
          <w:sz w:val="24"/>
          <w:highlight w:val="none"/>
        </w:rPr>
        <w:t xml:space="preserve">　　29.2.3对中标或者成交结果提出质疑的，为中标或者成交结果公告期限届满之日。</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480"/>
        <w:spacing w:line="500" w:lineRule="exact"/>
        <w:rPr>
          <w:rFonts w:hint="eastAsia" w:ascii="宋体" w:hAnsi="宋体" w:eastAsia="宋体" w:cs="宋体"/>
          <w:color w:val="000000"/>
          <w:sz w:val="24"/>
          <w:highlight w:val="none"/>
        </w:rPr>
      </w:pPr>
      <w:r/>
      <w:bookmarkStart w:id="203" w:name="_Hlk149903315"/>
      <w:r>
        <w:rPr>
          <w:rFonts w:hint="eastAsia" w:ascii="宋体" w:hAnsi="宋体" w:eastAsia="宋体" w:cs="宋体"/>
          <w:color w:val="000000"/>
          <w:sz w:val="24"/>
          <w:highlight w:val="none"/>
        </w:rPr>
        <w:t xml:space="preserve">采购人及代理机构只接收以纸质原件形式送达的质疑,建议供应商尽量通过现场递交或邮寄方式提交质疑（采购人和代理机构不接受未填写快递运单的快件）。</w:t>
      </w:r>
      <w:r/>
    </w:p>
    <w:p>
      <w:pPr>
        <w:ind w:firstLine="480"/>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代理机构质疑接收部门为：项目审查科</w:t>
      </w:r>
      <w:r/>
    </w:p>
    <w:p>
      <w:pPr>
        <w:ind w:firstLine="480"/>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联系地址：</w:t>
      </w:r>
      <w:r>
        <w:rPr>
          <w:rFonts w:hint="eastAsia" w:ascii="宋体" w:hAnsi="宋体" w:eastAsia="宋体" w:cs="宋体"/>
          <w:color w:val="000000"/>
          <w:sz w:val="24"/>
          <w:highlight w:val="none"/>
          <w:lang w:eastAsia="zh-CN"/>
        </w:rPr>
        <w:t xml:space="preserve">常州市新北区通江中路307号四楼</w:t>
      </w:r>
      <w:r>
        <w:rPr>
          <w:rFonts w:hint="eastAsia" w:ascii="宋体" w:hAnsi="宋体" w:eastAsia="宋体" w:cs="宋体"/>
          <w:color w:val="000000"/>
          <w:sz w:val="24"/>
          <w:highlight w:val="none"/>
        </w:rPr>
        <w:t xml:space="preserve">；</w:t>
      </w:r>
      <w:r/>
    </w:p>
    <w:p>
      <w:pPr>
        <w:ind w:firstLine="480"/>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lang w:eastAsia="zh-CN"/>
        </w:rPr>
        <w:t xml:space="preserve">0519-89885060 </w:t>
      </w:r>
      <w:r>
        <w:rPr>
          <w:rFonts w:hint="eastAsia" w:ascii="宋体" w:hAnsi="宋体" w:eastAsia="宋体" w:cs="宋体"/>
          <w:color w:val="000000"/>
          <w:sz w:val="24"/>
          <w:highlight w:val="none"/>
        </w:rPr>
        <w:t xml:space="preserve">；</w:t>
      </w:r>
      <w:bookmarkEnd w:id="203"/>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 以下情形的质疑不予受理：</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29.5.1 内容不符合《政府采购质疑和投诉办法》第十二条规定的质疑。</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29.5.2 超出政府采购法定期限的质疑。</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29.5.3 以传真、电子邮件等方式递交的非原件形式的质疑。</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29.5.4 未参加投标活动的供应商或在投标活动中自身权益未受到损害的供应商所提出的质疑。</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29.5.5供应商组成联合体参加投标，联合体中任何一方或多方未按要求签字、盖章、加盖公章的质疑。</w:t>
      </w:r>
      <w:r/>
    </w:p>
    <w:p>
      <w:pPr>
        <w:ind w:firstLine="468"/>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30、中标通知书</w:t>
      </w:r>
      <w:r/>
    </w:p>
    <w:p>
      <w:pPr>
        <w:ind w:firstLine="60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hint="eastAsia" w:ascii="宋体" w:hAnsi="宋体" w:eastAsia="宋体" w:cs="宋体"/>
          <w:b/>
          <w:bCs/>
          <w:color w:val="000000"/>
          <w:sz w:val="32"/>
          <w:szCs w:val="32"/>
          <w:highlight w:val="none"/>
        </w:rPr>
        <w:outlineLvl w:val="2"/>
      </w:pPr>
      <w:r/>
      <w:bookmarkStart w:id="204" w:name="_Toc16938552"/>
      <w:r/>
      <w:bookmarkStart w:id="205" w:name="_Toc20823308"/>
      <w:r/>
      <w:bookmarkStart w:id="206" w:name="_Toc513029236"/>
      <w:r/>
      <w:bookmarkStart w:id="207" w:name="_Toc120614220"/>
      <w:r>
        <w:rPr>
          <w:rFonts w:hint="eastAsia" w:ascii="宋体" w:hAnsi="宋体" w:eastAsia="宋体" w:cs="宋体"/>
          <w:b/>
          <w:bCs/>
          <w:color w:val="000000"/>
          <w:sz w:val="32"/>
          <w:szCs w:val="32"/>
          <w:highlight w:val="none"/>
        </w:rPr>
        <w:t xml:space="preserve">七、授予合同</w:t>
      </w:r>
      <w:bookmarkEnd w:id="204"/>
      <w:r/>
      <w:bookmarkEnd w:id="205"/>
      <w:r/>
      <w:bookmarkEnd w:id="206"/>
      <w:r/>
      <w:bookmarkEnd w:id="207"/>
      <w:r/>
      <w:r/>
    </w:p>
    <w:p>
      <w:pPr>
        <w:ind w:firstLine="600"/>
        <w:keepLines/>
        <w:keepNext/>
        <w:spacing w:line="500" w:lineRule="exact"/>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31. 签订合同</w:t>
      </w:r>
      <w:r/>
    </w:p>
    <w:p>
      <w:pPr>
        <w:ind w:firstLine="60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31</w:t>
      </w:r>
      <w:r>
        <w:rPr>
          <w:rFonts w:hint="eastAsia" w:ascii="宋体" w:hAnsi="宋体" w:eastAsia="宋体" w:cs="宋体"/>
          <w:color w:val="000000"/>
          <w:sz w:val="24"/>
          <w:highlight w:val="none"/>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31.2招标文件、中标人的投标文件及招标过程中有关澄清、承诺文件均应作为合同附件。</w:t>
      </w:r>
      <w:r/>
    </w:p>
    <w:p>
      <w:pPr>
        <w:ind w:firstLine="60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32、货物（包含与货物相关的服务）的追加</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190"/>
        <w:ind w:firstLine="600"/>
        <w:spacing w:line="50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33.1进口产品：</w:t>
      </w:r>
      <w:r>
        <w:rPr>
          <w:rFonts w:hint="eastAsia" w:ascii="宋体" w:hAnsi="宋体" w:eastAsia="宋体" w:cs="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33.2政府采购节能产品、环境标志产品</w:t>
      </w:r>
      <w:r/>
    </w:p>
    <w:p>
      <w:pPr>
        <w:ind w:firstLine="480"/>
        <w:jc w:val="left"/>
        <w:spacing w:line="500" w:lineRule="exact"/>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33.2.3、如本项目采购产品属于实施政府强制采购品目清单范围的节能产品，则投标人所报产品必须获得国家确定的认证机构出具的、处于有效期之内的节能产品认证证书，否则投标无效；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33.2.4非政府强制采购的节能产品或环境标志产品，依据品目清单和认证证书实施政府优先采购。优先采购的具体规定见第四章《评标方法和评标标准》（如涉及）。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33.3商品包装政府采购需求标准、快递包装政府采购需求标准：</w:t>
      </w:r>
      <w:r>
        <w:rPr>
          <w:rFonts w:hint="eastAsia" w:ascii="宋体" w:hAnsi="宋体" w:eastAsia="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33.4支持乡村产业振兴管理：</w:t>
      </w:r>
      <w:r>
        <w:rPr>
          <w:rFonts w:hint="eastAsia" w:ascii="宋体" w:hAnsi="宋体" w:eastAsia="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33.5正版软件</w:t>
      </w:r>
      <w:r/>
    </w:p>
    <w:p>
      <w:pPr>
        <w:ind w:firstLine="482"/>
        <w:jc w:val="left"/>
        <w:spacing w:line="500" w:lineRule="exact"/>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33.6信息安全产品：</w:t>
      </w:r>
      <w:r>
        <w:rPr>
          <w:rFonts w:hint="eastAsia" w:ascii="宋体" w:hAnsi="宋体" w:eastAsia="宋体" w:cs="宋体"/>
          <w:color w:val="000000"/>
          <w:sz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33.7政府采购创新产品政策：</w:t>
      </w:r>
      <w:r>
        <w:rPr>
          <w:rFonts w:hint="eastAsia" w:ascii="宋体" w:hAnsi="宋体" w:eastAsia="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190"/>
        <w:ind w:firstLine="482"/>
        <w:spacing w:line="50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33.8绿色采购政策：</w:t>
      </w:r>
      <w:r/>
    </w:p>
    <w:p>
      <w:pPr>
        <w:ind w:firstLine="482"/>
        <w:spacing w:line="48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33.8.1绿色数据中心政策：</w:t>
      </w:r>
      <w:r>
        <w:rPr>
          <w:rFonts w:hint="eastAsia" w:ascii="宋体" w:hAnsi="宋体" w:eastAsia="宋体" w:cs="宋体"/>
          <w:color w:val="000000"/>
          <w:sz w:val="24"/>
          <w:highlight w:val="none"/>
        </w:rPr>
        <w:t xml:space="preserve">依据《绿色数据中心政府采购需求标准（试行）》（财办库〔2023〕7 号）文件精神，采购</w:t>
      </w:r>
      <w:r>
        <w:rPr>
          <w:rFonts w:hint="eastAsia" w:ascii="宋体" w:hAnsi="宋体" w:eastAsia="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33.8.2推广应用绿色建材：</w:t>
      </w:r>
      <w:r>
        <w:rPr>
          <w:rFonts w:hint="eastAsia" w:ascii="宋体" w:hAnsi="宋体" w:eastAsia="宋体" w:cs="宋体"/>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2"/>
        <w:spacing w:line="48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33.8.3优先使用低挥发性有机化合物产品：</w:t>
      </w:r>
      <w:r>
        <w:rPr>
          <w:rFonts w:hint="eastAsia" w:ascii="宋体" w:hAnsi="宋体" w:eastAsia="宋体" w:cs="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jc w:val="left"/>
        <w:spacing w:line="500" w:lineRule="exact"/>
        <w:tabs>
          <w:tab w:val="left" w:pos="1980" w:leader="none"/>
          <w:tab w:val="left" w:pos="2014"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33.9电子履约保函政策</w:t>
      </w:r>
      <w:r/>
    </w:p>
    <w:p>
      <w:pPr>
        <w:spacing w:line="360" w:lineRule="auto"/>
        <w:tabs>
          <w:tab w:val="left" w:pos="5580" w:leader="none"/>
        </w:tabs>
        <w:rPr>
          <w:rFonts w:hint="eastAsia" w:ascii="宋体" w:hAnsi="宋体" w:eastAsia="宋体" w:cs="宋体"/>
          <w:color w:val="000000"/>
          <w:sz w:val="24"/>
          <w:highlight w:val="none"/>
        </w:rPr>
        <w:sectPr>
          <w:footnotePr/>
          <w:endnotePr/>
          <w:type w:val="nextPage"/>
          <w:pgSz w:w="11907" w:h="16840" w:orient="portrait"/>
          <w:pgMar w:top="1418" w:right="1134" w:bottom="1418" w:left="1501" w:header="851" w:footer="851" w:gutter="0"/>
          <w:pgNumType w:start="1"/>
          <w:cols w:num="1" w:sep="0" w:space="1701" w:equalWidth="1"/>
          <w:docGrid w:linePitch="360"/>
          <w:titlePg/>
        </w:sectPr>
      </w:pPr>
      <w:r>
        <w:rPr>
          <w:rFonts w:hint="eastAsia" w:ascii="宋体" w:hAnsi="宋体" w:eastAsia="宋体" w:cs="宋体"/>
          <w:b/>
          <w:bCs/>
          <w:color w:val="000000"/>
          <w:sz w:val="24"/>
          <w:highlight w:val="none"/>
        </w:rPr>
        <w:t xml:space="preserve">33.9为进一步优化政府采购营商环境，规范我省政府采购履约保证金管理，持续降低供应商参与政府采购成本，根据</w:t>
      </w:r>
      <w:r>
        <w:rPr>
          <w:rFonts w:hint="eastAsia" w:ascii="宋体" w:hAnsi="宋体" w:eastAsia="宋体" w:cs="宋体"/>
          <w:b/>
          <w:bCs/>
          <w:color w:val="000000"/>
          <w:sz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jc w:val="center"/>
        <w:keepLines w:val="0"/>
        <w:keepNext w:val="0"/>
        <w:pageBreakBefore w:val="0"/>
        <w:spacing w:line="360" w:lineRule="auto"/>
        <w:widowControl w:val="off"/>
        <w:rPr>
          <w:rFonts w:hint="eastAsia" w:ascii="宋体" w:hAnsi="宋体" w:eastAsia="宋体" w:cs="宋体"/>
          <w:b/>
          <w:color w:val="000000"/>
          <w:sz w:val="36"/>
          <w:szCs w:val="36"/>
          <w:highlight w:val="none"/>
        </w:rPr>
        <w:outlineLvl w:val="0"/>
      </w:pPr>
      <w:r/>
      <w:bookmarkStart w:id="208" w:name="_Toc12606"/>
      <w:r/>
      <w:bookmarkStart w:id="209" w:name="_Toc264969244"/>
      <w:r/>
      <w:bookmarkStart w:id="210" w:name="_Toc142311056"/>
      <w:r/>
      <w:bookmarkStart w:id="211" w:name="_Toc226965827"/>
      <w:r/>
      <w:bookmarkStart w:id="212" w:name="_Toc353873664"/>
      <w:r/>
      <w:bookmarkStart w:id="213" w:name="_Toc226337250"/>
      <w:r/>
      <w:bookmarkStart w:id="214" w:name="_Toc305158896"/>
      <w:r/>
      <w:bookmarkStart w:id="215" w:name="_Toc150774759"/>
      <w:r/>
      <w:bookmarkStart w:id="216" w:name="_Toc353825544"/>
      <w:r/>
      <w:bookmarkStart w:id="217" w:name="_Toc127151554"/>
      <w:r/>
      <w:bookmarkStart w:id="218" w:name="_Toc305158822"/>
      <w:r/>
      <w:bookmarkStart w:id="219" w:name="_Toc353873934"/>
      <w:r/>
      <w:bookmarkStart w:id="220" w:name="_Toc150480792"/>
      <w:r/>
      <w:bookmarkStart w:id="221" w:name="_Toc265228392"/>
      <w:r>
        <w:rPr>
          <w:rFonts w:hint="eastAsia" w:ascii="宋体" w:hAnsi="宋体" w:eastAsia="宋体" w:cs="宋体"/>
          <w:b/>
          <w:color w:val="000000"/>
          <w:sz w:val="36"/>
          <w:szCs w:val="36"/>
          <w:highlight w:val="none"/>
        </w:rPr>
        <w:t xml:space="preserve">第三章   资格审查</w:t>
      </w:r>
      <w:bookmarkEnd w:id="208"/>
      <w:r/>
      <w:r/>
    </w:p>
    <w:p>
      <w:pPr>
        <w:jc w:val="center"/>
        <w:spacing w:line="360" w:lineRule="auto"/>
        <w:tabs>
          <w:tab w:val="left" w:pos="360" w:leader="none"/>
          <w:tab w:val="left" w:pos="90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一、资格审查程序</w:t>
      </w:r>
      <w:r/>
    </w:p>
    <w:p>
      <w:pPr>
        <w:numPr>
          <w:ilvl w:val="1"/>
          <w:numId w:val="0"/>
        </w:numPr>
        <w:ind w:firstLine="48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开标结束后，采购人将根据《资格审查要求》中的规定，对投标人进行资格审查，并形成资格审查结果。</w:t>
      </w:r>
      <w:r/>
    </w:p>
    <w:p>
      <w:pPr>
        <w:numPr>
          <w:ilvl w:val="1"/>
          <w:numId w:val="0"/>
        </w:numPr>
        <w:ind w:firstLine="48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《资格审查要求》中对格式有要求的，除招标文件另有规定外，均为“实质性格式”文件。</w:t>
      </w:r>
      <w:r/>
    </w:p>
    <w:p>
      <w:pPr>
        <w:numPr>
          <w:ilvl w:val="1"/>
          <w:numId w:val="0"/>
        </w:numPr>
        <w:ind w:firstLine="48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投标人《资格证明文件》有任何一项不符合《资格审查要求》的，资格审查不合格，其投标无效。</w:t>
      </w:r>
      <w:r/>
    </w:p>
    <w:p>
      <w:pPr>
        <w:numPr>
          <w:ilvl w:val="1"/>
          <w:numId w:val="0"/>
        </w:numPr>
        <w:ind w:firstLine="48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资格审查合格的投标人不足3家的，不进行评标。</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360" w:lineRule="auto"/>
        <w:tabs>
          <w:tab w:val="left" w:pos="360" w:leader="none"/>
          <w:tab w:val="left" w:pos="90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二、资格审查要求</w:t>
      </w:r>
      <w:r/>
    </w:p>
    <w:tbl>
      <w:tblPr>
        <w:tblStyle w:val="83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983"/>
        <w:gridCol w:w="4822"/>
        <w:gridCol w:w="1638"/>
      </w:tblGrid>
      <w:tr>
        <w:trPr>
          <w:cantSplit/>
          <w:trHeight w:val="468"/>
          <w:tblHeader/>
        </w:trPr>
        <w:tc>
          <w:tcPr>
            <w:tcW w:w="455" w:type="dxa"/>
            <w:vAlign w:val="center"/>
            <w:textDirection w:val="lrTb"/>
            <w:noWrap w:val="false"/>
          </w:tcPr>
          <w:p>
            <w:pPr>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p>
        </w:tc>
        <w:tc>
          <w:tcPr>
            <w:tcW w:w="1067" w:type="dxa"/>
            <w:vAlign w:val="center"/>
            <w:textDirection w:val="lrTb"/>
            <w:noWrap w:val="false"/>
          </w:tcPr>
          <w:p>
            <w:pPr>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审查因素</w:t>
            </w:r>
            <w:r/>
          </w:p>
        </w:tc>
        <w:tc>
          <w:tcPr>
            <w:tcW w:w="2596" w:type="dxa"/>
            <w:vAlign w:val="center"/>
            <w:textDirection w:val="lrTb"/>
            <w:noWrap w:val="false"/>
          </w:tcPr>
          <w:p>
            <w:pPr>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审查内容</w:t>
            </w:r>
            <w:r/>
          </w:p>
        </w:tc>
        <w:tc>
          <w:tcPr>
            <w:tcW w:w="882" w:type="dxa"/>
            <w:vAlign w:val="center"/>
            <w:textDirection w:val="lrTb"/>
            <w:noWrap w:val="false"/>
          </w:tcPr>
          <w:p>
            <w:pPr>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格式要求</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tcW w:w="106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满足《中华人民共和国政府采购法》第二十二条规定及法律法规的其他规定</w:t>
            </w:r>
            <w:r/>
          </w:p>
        </w:tc>
        <w:tc>
          <w:tcPr>
            <w:tcW w:w="2596"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具体规定见第一章《投标邀请》</w:t>
            </w:r>
            <w:r/>
          </w:p>
        </w:tc>
        <w:tc>
          <w:tcPr>
            <w:tcW w:w="882"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p>
        </w:tc>
        <w:tc>
          <w:tcPr>
            <w:tcW w:w="106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投标人资格声明函</w:t>
            </w:r>
            <w:r/>
          </w:p>
        </w:tc>
        <w:tc>
          <w:tcPr>
            <w:tcW w:w="2596"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提供了符合招标文件要求的《投标人资格声明函》。</w:t>
            </w:r>
            <w:r/>
          </w:p>
        </w:tc>
        <w:tc>
          <w:tcPr>
            <w:tcW w:w="882"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w:t>
            </w:r>
            <w:r/>
          </w:p>
        </w:tc>
        <w:tc>
          <w:tcPr>
            <w:tcW w:w="106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投标人信用记录</w:t>
            </w:r>
            <w:r/>
          </w:p>
        </w:tc>
        <w:tc>
          <w:tcPr>
            <w:tcW w:w="2596"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查询渠道：信用中国网站和中国政府采购网（</w:t>
            </w:r>
            <w:r>
              <w:rPr>
                <w:rFonts w:hint="eastAsia" w:ascii="宋体" w:hAnsi="宋体" w:eastAsia="宋体" w:cs="宋体"/>
                <w:color w:val="000000"/>
                <w:highlight w:val="none"/>
              </w:rPr>
              <w:t xml:space="preserve">www.creditchina.gov.cn</w:t>
            </w:r>
            <w:r>
              <w:rPr>
                <w:rFonts w:hint="eastAsia" w:ascii="宋体" w:hAnsi="宋体" w:eastAsia="宋体" w:cs="宋体"/>
                <w:color w:val="000000"/>
                <w:sz w:val="24"/>
                <w:highlight w:val="none"/>
              </w:rPr>
              <w:t xml:space="preserve">、</w:t>
            </w:r>
            <w:r>
              <w:rPr>
                <w:rFonts w:hint="eastAsia" w:ascii="宋体" w:hAnsi="宋体" w:eastAsia="宋体" w:cs="宋体"/>
                <w:color w:val="000000"/>
                <w:highlight w:val="none"/>
              </w:rPr>
              <w:t xml:space="preserve">www.ccgp.gov.cn</w:t>
            </w:r>
            <w:r>
              <w:rPr>
                <w:rFonts w:hint="eastAsia" w:ascii="宋体" w:hAnsi="宋体" w:eastAsia="宋体" w:cs="宋体"/>
                <w:color w:val="000000"/>
                <w:sz w:val="24"/>
                <w:highlight w:val="none"/>
              </w:rPr>
              <w:t xml:space="preserve">）；</w:t>
            </w:r>
            <w:r/>
          </w:p>
          <w:p>
            <w:pPr>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截止时点：投标截止时间以后、资格审查阶段采购人或采购代理机构的实际查询时间；</w:t>
            </w:r>
            <w:r/>
          </w:p>
          <w:p>
            <w:pPr>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信用信息的使用原则：经认定的被列入失信被执行人、重大税收违法案件当事人名单</w:t>
            </w:r>
            <w:r>
              <w:rPr>
                <w:rFonts w:hint="eastAsia" w:ascii="宋体" w:hAnsi="宋体" w:eastAsia="宋体" w:cs="宋体"/>
                <w:color w:val="000000"/>
                <w:highlight w:val="none"/>
              </w:rPr>
              <w:t xml:space="preserve">(即重大税收违法失信主体)</w:t>
            </w:r>
            <w:r>
              <w:rPr>
                <w:rFonts w:hint="eastAsia" w:ascii="宋体" w:hAnsi="宋体" w:eastAsia="宋体" w:cs="宋体"/>
                <w:color w:val="000000"/>
                <w:sz w:val="24"/>
                <w:highlight w:val="none"/>
              </w:rPr>
              <w:t xml:space="preserve">、政府采购严重违法失信行为记录名单的投标人，其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。联合体形式投标的，联合体成员存在不良信用记录，视同联合体存在不良信用记录。</w:t>
            </w:r>
            <w:r/>
          </w:p>
        </w:tc>
        <w:tc>
          <w:tcPr>
            <w:tcW w:w="882"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无须投标人提供，由采购人查询。</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tcW w:w="106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落实政府采购政策需满足的资格要求</w:t>
            </w:r>
            <w:r/>
          </w:p>
        </w:tc>
        <w:tc>
          <w:tcPr>
            <w:tcW w:w="2596"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具体要求见第一章《投标邀请》</w:t>
            </w:r>
            <w:r/>
          </w:p>
        </w:tc>
        <w:tc>
          <w:tcPr>
            <w:tcW w:w="882"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w:t>
            </w:r>
            <w:r/>
          </w:p>
        </w:tc>
        <w:tc>
          <w:tcPr>
            <w:tcW w:w="106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中小企业声明函</w:t>
            </w:r>
            <w:r/>
          </w:p>
        </w:tc>
        <w:tc>
          <w:tcPr>
            <w:tcW w:w="2596" w:type="dxa"/>
            <w:vAlign w:val="center"/>
            <w:textDirection w:val="lrTb"/>
            <w:noWrap w:val="false"/>
          </w:tcPr>
          <w:p>
            <w:pP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如本项目（包）是专门面向中小企业采购的，必须提供，否则无须提供。</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1、投标人单独投标的，应提供中小企业声明函；如为监狱企业或残疾人福利性单位，不必提供中小企业声明函，但须按注1或注2要求提供证明材料。</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注1：监狱企业须提供由省级以上监狱管理局、戒毒管理局（含新疆生产建设兵团）出具的属于监狱企业的证明文件。</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注2：残疾人福利性单位须按招标文件要求提供《残疾人福利性单位声明函》。</w:t>
            </w:r>
            <w:r/>
          </w:p>
        </w:tc>
        <w:tc>
          <w:tcPr>
            <w:tcW w:w="882"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w:t>
            </w:r>
            <w:r/>
          </w:p>
        </w:tc>
        <w:tc>
          <w:tcPr>
            <w:tcW w:w="106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拟分包情况说明及分包意向协议（类型一）</w:t>
            </w:r>
            <w:r/>
          </w:p>
        </w:tc>
        <w:tc>
          <w:tcPr>
            <w:tcW w:w="2596" w:type="dxa"/>
            <w:vAlign w:val="center"/>
            <w:textDirection w:val="lrTb"/>
            <w:noWrap w:val="false"/>
          </w:tcPr>
          <w:p>
            <w:pP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如本项目（包）要求通过分包措施预留部分采购份额面向中小企业采购、且投标人因落实政府采购政策拟进行分包的，必须提供；否则无须提供。</w:t>
            </w:r>
            <w:r/>
          </w:p>
          <w:p>
            <w:pPr>
              <w:tabs>
                <w:tab w:val="left" w:pos="1080" w:leader="none"/>
              </w:tabs>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对于预留份额专门面向中小企业采购的项目（包），组成联合体或者接受分包合同的中小企业与联合体内其他企业、分包企业之间不得存在直接控股、管理关系。</w:t>
            </w:r>
            <w:r/>
          </w:p>
        </w:tc>
        <w:tc>
          <w:tcPr>
            <w:tcW w:w="882"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w:t>
            </w:r>
            <w:r/>
          </w:p>
        </w:tc>
        <w:tc>
          <w:tcPr>
            <w:tcW w:w="106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其它落实政府采购政策的资格要求</w:t>
            </w:r>
            <w:r/>
          </w:p>
        </w:tc>
        <w:tc>
          <w:tcPr>
            <w:tcW w:w="2596"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如有，见第一章《投标邀请》</w:t>
            </w:r>
            <w:r/>
          </w:p>
        </w:tc>
        <w:tc>
          <w:tcPr>
            <w:tcW w:w="882"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提供证明文件的电子件或电子证照</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p>
        </w:tc>
        <w:tc>
          <w:tcPr>
            <w:tcW w:w="106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本项目的特定资格要求</w:t>
            </w:r>
            <w:r/>
          </w:p>
        </w:tc>
        <w:tc>
          <w:tcPr>
            <w:tcW w:w="2596"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如有，见第一章《投标邀请》</w:t>
            </w:r>
            <w:r/>
          </w:p>
        </w:tc>
        <w:tc>
          <w:tcPr>
            <w:tcW w:w="882"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548"/>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w:t>
            </w:r>
            <w:r/>
          </w:p>
        </w:tc>
        <w:tc>
          <w:tcPr>
            <w:tcW w:w="106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是否接受联合体投标</w:t>
            </w:r>
            <w:r/>
          </w:p>
        </w:tc>
        <w:tc>
          <w:tcPr>
            <w:tcW w:w="2596"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b/>
                <w:color w:val="000000"/>
                <w:sz w:val="24"/>
                <w:highlight w:val="none"/>
              </w:rPr>
              <w:t xml:space="preserve">如本项目接受联合体投标，且投标人为联合体时必须提供《联合协议》</w:t>
            </w:r>
            <w:r>
              <w:rPr>
                <w:rFonts w:hint="eastAsia" w:ascii="宋体" w:hAnsi="宋体" w:eastAsia="宋体" w:cs="宋体"/>
                <w:color w:val="000000"/>
                <w:sz w:val="24"/>
                <w:highlight w:val="none"/>
              </w:rPr>
              <w:t xml:space="preserve">，明确各方拟承担的工作和责任，并指定联合体牵头人，授权其代表所有联合体成员负责本项目投标和合同实施阶段的牵头、协调工作。该联合协议应当作为投标文件的组成部分，与投标文件其他内容同时递交。</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2、联合体各成员单位均须提供本表中序号1-1、1-2的证明文件。</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3、本表序号3-2项规定的其他特定资格要求中的每一小项要求，联合体各方中至少应当有一方符合本表中其他资格要求并提供证明文件。</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4、联合体中有同类资质的供应商按照联合体分工承担相同工作的，应当按照资质等级较低的供应商确定资质等级。</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6、若联合体中任一成员单位中途退出，则该联合体的</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7、本项目不接受联合体投标时，投标人不得为联合体。</w:t>
            </w:r>
            <w:r/>
          </w:p>
        </w:tc>
        <w:tc>
          <w:tcPr>
            <w:tcW w:w="882"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提供《联合协议》原件的电子件</w:t>
            </w:r>
            <w:r/>
          </w:p>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格式见《投标文件格式》</w:t>
            </w:r>
            <w:r/>
          </w:p>
        </w:tc>
      </w:tr>
      <w:tr>
        <w:trPr>
          <w:cantSplit/>
          <w:trHeight w:val="460"/>
        </w:trPr>
        <w:tc>
          <w:tcPr>
            <w:tcW w:w="455"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w:t>
            </w:r>
            <w:r/>
          </w:p>
        </w:tc>
        <w:tc>
          <w:tcPr>
            <w:tcW w:w="106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其他特定资格要求</w:t>
            </w:r>
            <w:r/>
          </w:p>
        </w:tc>
        <w:tc>
          <w:tcPr>
            <w:tcW w:w="2596"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如有，见第一章《投标邀请》</w:t>
            </w:r>
            <w:r/>
          </w:p>
        </w:tc>
        <w:tc>
          <w:tcPr>
            <w:tcW w:w="882"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提供证明文件的电子件或电子证照</w:t>
            </w:r>
            <w:r/>
          </w:p>
        </w:tc>
      </w:tr>
    </w:tbl>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line="360" w:lineRule="auto"/>
        <w:rPr>
          <w:rFonts w:hint="eastAsia" w:ascii="宋体" w:hAnsi="宋体" w:eastAsia="宋体" w:cs="宋体"/>
          <w:b/>
          <w:color w:val="000000"/>
          <w:sz w:val="36"/>
          <w:szCs w:val="36"/>
          <w:highlight w:val="none"/>
        </w:rPr>
        <w:outlineLvl w:val="0"/>
      </w:pPr>
      <w:r/>
      <w:bookmarkStart w:id="222" w:name="_Toc8367"/>
      <w:r>
        <w:rPr>
          <w:rFonts w:hint="eastAsia" w:ascii="宋体" w:hAnsi="宋体" w:eastAsia="宋体" w:cs="宋体"/>
          <w:b/>
          <w:color w:val="000000"/>
          <w:sz w:val="36"/>
          <w:szCs w:val="36"/>
          <w:highlight w:val="none"/>
        </w:rPr>
        <w:t xml:space="preserve">第四章   评标程序、评标方法和评标标准</w:t>
      </w:r>
      <w:bookmarkEnd w:id="222"/>
      <w:r/>
      <w:r/>
    </w:p>
    <w:p>
      <w:pPr>
        <w:jc w:val="center"/>
        <w:spacing w:line="360" w:lineRule="auto"/>
        <w:tabs>
          <w:tab w:val="left" w:pos="360" w:leader="none"/>
          <w:tab w:val="left" w:pos="900" w:leader="none"/>
        </w:tabs>
        <w:rPr>
          <w:rFonts w:hint="eastAsia" w:ascii="宋体" w:hAnsi="宋体" w:eastAsia="宋体" w:cs="宋体"/>
          <w:b/>
          <w:color w:val="000000"/>
          <w:highlight w:val="none"/>
        </w:rPr>
        <w:outlineLvl w:val="1"/>
      </w:pPr>
      <w:r>
        <w:rPr>
          <w:rFonts w:hint="eastAsia" w:ascii="宋体" w:hAnsi="宋体" w:eastAsia="宋体" w:cs="宋体"/>
          <w:b/>
          <w:color w:val="000000"/>
          <w:sz w:val="24"/>
          <w:highlight w:val="none"/>
        </w:rPr>
        <w:t xml:space="preserve">一、评标程序</w:t>
      </w:r>
      <w:r/>
    </w:p>
    <w:p>
      <w:pPr>
        <w:numPr>
          <w:ilvl w:val="1"/>
          <w:numId w:val="0"/>
        </w:numPr>
        <w:ind w:firstLine="48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投标文件的符合性审查</w:t>
      </w:r>
      <w:r/>
    </w:p>
    <w:p>
      <w:pPr>
        <w:numPr>
          <w:ilvl w:val="1"/>
          <w:numId w:val="0"/>
        </w:numPr>
        <w:ind w:firstLine="48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评标委员会对资格审查合格的投标人的投标文件进行符合性审查，以确定其是否满足招标文件的实质性要求。</w:t>
      </w:r>
      <w:r/>
    </w:p>
    <w:p>
      <w:pPr>
        <w:numPr>
          <w:ilvl w:val="1"/>
          <w:numId w:val="0"/>
        </w:numPr>
        <w:ind w:firstLine="480"/>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r/>
    </w:p>
    <w:p>
      <w:pPr>
        <w:jc w:val="center"/>
        <w:spacing w:line="360" w:lineRule="auto"/>
        <w:tabs>
          <w:tab w:val="left" w:pos="900" w:leader="none"/>
          <w:tab w:val="left" w:pos="1080" w:leader="none"/>
          <w:tab w:val="left" w:pos="1589"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符合性审查要求</w:t>
      </w:r>
      <w:r/>
    </w:p>
    <w:tbl>
      <w:tblPr>
        <w:tblStyle w:val="83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887"/>
        <w:gridCol w:w="6561"/>
      </w:tblGrid>
      <w:tr>
        <w:trPr>
          <w:jc w:val="center"/>
          <w:trHeight w:val="300"/>
        </w:trPr>
        <w:tc>
          <w:tcPr>
            <w:tcW w:w="404" w:type="dxa"/>
            <w:vAlign w:val="center"/>
            <w:textDirection w:val="lrTb"/>
            <w:noWrap w:val="false"/>
          </w:tcPr>
          <w:p>
            <w:pPr>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p>
        </w:tc>
        <w:tc>
          <w:tcPr>
            <w:tcW w:w="1026" w:type="dxa"/>
            <w:vAlign w:val="center"/>
            <w:textDirection w:val="lrTb"/>
            <w:noWrap w:val="false"/>
          </w:tcPr>
          <w:p>
            <w:pPr>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审查因素</w:t>
            </w:r>
            <w:r/>
          </w:p>
        </w:tc>
        <w:tc>
          <w:tcPr>
            <w:tcW w:w="3568" w:type="dxa"/>
            <w:vAlign w:val="center"/>
            <w:textDirection w:val="lrTb"/>
            <w:noWrap w:val="false"/>
          </w:tcPr>
          <w:p>
            <w:pPr>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审查内容</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投标函、法定代表人资格证明书和政府采购供应商信用承诺书</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按招标文件要求</w:t>
            </w:r>
            <w:r>
              <w:rPr>
                <w:rFonts w:hint="eastAsia" w:ascii="宋体" w:hAnsi="宋体" w:eastAsia="宋体" w:cs="宋体"/>
                <w:b/>
                <w:color w:val="000000"/>
                <w:sz w:val="24"/>
                <w:highlight w:val="none"/>
              </w:rPr>
              <w:t xml:space="preserve">提供投标函、法定代表人资格证明书和政府采购供应商信用承诺书</w:t>
            </w:r>
            <w:r>
              <w:rPr>
                <w:rFonts w:hint="eastAsia" w:ascii="宋体" w:hAnsi="宋体" w:eastAsia="宋体" w:cs="宋体"/>
                <w:color w:val="000000"/>
                <w:sz w:val="24"/>
                <w:highlight w:val="none"/>
              </w:rPr>
              <w:t xml:space="preserve">；格式见《投标文件格式》</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投标完整性</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未将一个采购包中的内容拆开投标；（由评委审查，无需供应商提供材料）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投标报价未超过招标文件中规定的项目/采购包预算金额或者项目/采购包最高限价；（由评委审查，无需供应商提供材料）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报价唯一性</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投标文件未出现可选择性或可调整的报价（招标文件另有规定的除外）；</w:t>
            </w:r>
            <w:r>
              <w:rPr>
                <w:rFonts w:hint="eastAsia" w:ascii="宋体" w:hAnsi="宋体" w:eastAsia="宋体" w:cs="宋体"/>
                <w:b/>
                <w:color w:val="000000"/>
                <w:sz w:val="24"/>
                <w:highlight w:val="none"/>
              </w:rPr>
              <w:t xml:space="preserve">提供《投标分项报价表》</w:t>
            </w:r>
            <w:r>
              <w:rPr>
                <w:rFonts w:hint="eastAsia" w:ascii="宋体" w:hAnsi="宋体" w:eastAsia="宋体" w:cs="宋体"/>
                <w:color w:val="000000"/>
                <w:sz w:val="24"/>
                <w:highlight w:val="none"/>
              </w:rPr>
              <w:t xml:space="preserve">，格式见《投标文件格式》</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投标有效期</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投标文件中承诺的投标有效期满足招标文件中载明的投标有效期的；</w:t>
            </w:r>
            <w:r>
              <w:rPr>
                <w:rFonts w:hint="eastAsia" w:ascii="宋体" w:hAnsi="宋体" w:eastAsia="宋体" w:cs="宋体"/>
                <w:b/>
                <w:color w:val="000000"/>
                <w:sz w:val="24"/>
                <w:highlight w:val="none"/>
              </w:rPr>
              <w:t xml:space="preserve">提供承诺书</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签署、加盖公章</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按照招标文件要求签署、加盖公章的；（由评委审查，无需供应商提供材料）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实质性格式</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标记为“实质性格式”的文件均按招标文件要求提供；除前面已提供的实质性格式文件以外，</w:t>
            </w:r>
            <w:r>
              <w:rPr>
                <w:rFonts w:hint="eastAsia" w:ascii="宋体" w:hAnsi="宋体" w:eastAsia="宋体" w:cs="宋体"/>
                <w:b/>
                <w:color w:val="000000"/>
                <w:sz w:val="24"/>
                <w:highlight w:val="none"/>
              </w:rPr>
              <w:t xml:space="preserve">还需提供：合同条款偏离表，采购需求偏离表</w:t>
            </w:r>
            <w:r>
              <w:rPr>
                <w:rFonts w:hint="eastAsia" w:ascii="宋体" w:hAnsi="宋体" w:eastAsia="宋体" w:cs="宋体"/>
                <w:color w:val="000000"/>
                <w:sz w:val="24"/>
                <w:highlight w:val="none"/>
              </w:rPr>
              <w:t xml:space="preserve">；格式见《投标文件格式》</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分包承担主体资质（如有）</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分包承担主体具备《投标人须知资料表》载明的资质条件且</w:t>
            </w:r>
            <w:r>
              <w:rPr>
                <w:rFonts w:hint="eastAsia" w:ascii="宋体" w:hAnsi="宋体" w:eastAsia="宋体" w:cs="宋体"/>
                <w:b/>
                <w:color w:val="000000"/>
                <w:sz w:val="24"/>
                <w:highlight w:val="none"/>
              </w:rPr>
              <w:t xml:space="preserve">提供了资质证书电子件</w:t>
            </w:r>
            <w:r>
              <w:rPr>
                <w:rFonts w:hint="eastAsia" w:ascii="宋体" w:hAnsi="宋体" w:eastAsia="宋体" w:cs="宋体"/>
                <w:color w:val="000000"/>
                <w:sz w:val="24"/>
                <w:highlight w:val="none"/>
              </w:rPr>
              <w:t xml:space="preserve">（如有）； </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分包意向协议</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按招标文件规定签订并</w:t>
            </w:r>
            <w:r>
              <w:rPr>
                <w:rFonts w:hint="eastAsia" w:ascii="宋体" w:hAnsi="宋体" w:eastAsia="宋体" w:cs="宋体"/>
                <w:b/>
                <w:color w:val="000000"/>
                <w:sz w:val="24"/>
                <w:highlight w:val="none"/>
              </w:rPr>
              <w:t xml:space="preserve">提供分包意向协议原件的电子件的</w:t>
            </w:r>
            <w:r>
              <w:rPr>
                <w:rFonts w:hint="eastAsia" w:ascii="宋体" w:hAnsi="宋体" w:eastAsia="宋体" w:cs="宋体"/>
                <w:color w:val="000000"/>
                <w:sz w:val="24"/>
                <w:highlight w:val="none"/>
              </w:rPr>
              <w:t xml:space="preserve">；（如有）格式见《投标文件格式》</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报价的修正（如有）</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不涉及报价修正，或投标文件报价出现前后不一致时，投标人对修正后的报价予以确认；（如有）（由评委审查，无需供应商提供材料）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报价合理性</w:t>
            </w:r>
            <w:r/>
          </w:p>
        </w:tc>
        <w:tc>
          <w:tcPr>
            <w:tcW w:w="3568" w:type="dxa"/>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由评委审查，报价合理的予以通过。根据财库〔2026〕2号文件规定，政府采购评审中出现下列情形之一的，评审委员会应当启动异常低价投标（响应）审查程序：1）投标（响应）报价低于全部通过符</w:t>
            </w:r>
            <w:r>
              <w:rPr>
                <w:rFonts w:hint="eastAsia" w:ascii="宋体" w:hAnsi="宋体" w:eastAsia="宋体" w:cs="宋体"/>
                <w:color w:val="auto"/>
                <w:sz w:val="24"/>
                <w:szCs w:val="24"/>
                <w:highlight w:val="none"/>
              </w:rPr>
              <w:t xml:space="preserve">合性审查供应商投标（响应）报价平均值65%的，即投标（响应）报价&lt;全部通过符合性审查供应商投标（响应）报价平均值×65%；2）投标（响应）报价低于通过符合性审查的次低报价供应商投标（响应）报价65%的，即投标（响应）报价&lt;通过符合性审查的次低报价供应商投标（响应）报价×65%；3）投标（响应）报价低于采购项目最高限价65%的，即投标（响应）报价&lt;采购项目最高限价×65%；4）评审委员会基于专业判断，认为供应商报价过低，有可能影响产品质量或者不能诚信履约的其他情形。相关法律法规对供应商报价有规定的，从其规定。</w:t>
            </w:r>
            <w:r/>
          </w:p>
          <w:p>
            <w:pPr>
              <w:jc w:val="left"/>
              <w:widowControl/>
              <w:rPr>
                <w:rFonts w:hint="eastAsia" w:ascii="宋体" w:hAnsi="宋体" w:eastAsia="宋体" w:cs="宋体"/>
                <w:color w:val="000000"/>
                <w:sz w:val="24"/>
                <w:highlight w:val="none"/>
              </w:rPr>
            </w:pPr>
            <w:r>
              <w:rPr>
                <w:rFonts w:hint="eastAsia" w:ascii="宋体" w:hAnsi="宋体" w:eastAsia="宋体" w:cs="宋体"/>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ascii="宋体" w:hAnsi="宋体" w:eastAsia="宋体" w:cs="宋体"/>
                <w:color w:val="auto"/>
                <w:sz w:val="24"/>
                <w:szCs w:val="24"/>
                <w:highlight w:val="none"/>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进口产品</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招标文件不接受进口产品投标的内容时，投标人所投产品非进口产品的；（由评委审查，无需供应商提供材料）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国家有关部门对投标人的投标产品有强制性规定或要求的</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国家有关部门对投标人的投标产品有强制性规定或要求的（如相应技术、安全、节能和环保等），</w:t>
            </w:r>
            <w:r>
              <w:rPr>
                <w:rFonts w:hint="eastAsia" w:ascii="宋体" w:hAnsi="宋体" w:eastAsia="宋体" w:cs="宋体"/>
                <w:b/>
                <w:color w:val="000000"/>
                <w:sz w:val="24"/>
                <w:highlight w:val="none"/>
              </w:rPr>
              <w:t xml:space="preserve">如有下列情形的，投标人的投标产品应符合相应规定或要求，并提供证明文件电子件</w:t>
            </w:r>
            <w:r>
              <w:rPr>
                <w:rFonts w:hint="eastAsia" w:ascii="宋体" w:hAnsi="宋体" w:eastAsia="宋体" w:cs="宋体"/>
                <w:color w:val="000000"/>
                <w:sz w:val="24"/>
                <w:highlight w:val="none"/>
              </w:rPr>
              <w:t xml:space="preserve">：</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公平竞争</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投标人遵循公平竞争的原则，不存在恶意串通，妨碍其他投标人的竞争行为，不存在损害采购人或者其他投标人的合法权益情形的；（由评委审查，无需供应商提供材料）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串通投标</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不存在《政府采购货物和服务招标投标管理办法》视为投</w:t>
            </w:r>
            <w:r>
              <w:rPr>
                <w:rFonts w:hint="eastAsia" w:ascii="宋体" w:hAnsi="宋体" w:eastAsia="宋体" w:cs="宋体"/>
                <w:color w:val="000000"/>
                <w:sz w:val="24"/>
                <w:highlight w:val="none"/>
              </w:rPr>
              <w:t xml:space="preserve">标人串通投标的情形：（一）不同投标人的投标文件由同一单位或者个人编制（包含系统判定使用同一机器注册码的计算机制作电子投标文件的情形）；（二）不同投标人委托同一单位或者个人办理投标事宜（包含系统判定使用同一机器注册码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 （由评委审查，无需供应商提供材料）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附加条件</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投标文件未含有采购人不能接受的附加条件的；（由评委审查，无需供应商提供材料）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其他无效情形</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投标人、投标文件不存在不符合法律、法规和招标文件规定的其他无效情形。（由评委审查，无需供应商提供材料）</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w:t>
            </w:r>
            <w:r/>
          </w:p>
        </w:tc>
        <w:tc>
          <w:tcPr>
            <w:tcW w:w="102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实质性条款（★号条款）响应</w:t>
            </w:r>
            <w:r/>
          </w:p>
        </w:tc>
        <w:tc>
          <w:tcPr>
            <w:tcW w:w="3568"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投标文件满足招标文件第五章《采购需求》中实质性条款（★号条款）要求的；</w:t>
            </w:r>
            <w:r>
              <w:rPr>
                <w:rFonts w:hint="eastAsia" w:ascii="宋体" w:hAnsi="宋体" w:eastAsia="宋体" w:cs="宋体"/>
                <w:b/>
                <w:color w:val="000000"/>
                <w:sz w:val="24"/>
                <w:highlight w:val="none"/>
              </w:rPr>
              <w:t xml:space="preserve">如有的，根据下面列出的实质性条款，按照序号逐项提供相关证明材料；</w:t>
            </w:r>
            <w:r>
              <w:rPr>
                <w:rFonts w:hint="eastAsia" w:ascii="宋体" w:hAnsi="宋体" w:eastAsia="宋体" w:cs="宋体"/>
                <w:color w:val="000000"/>
                <w:sz w:val="24"/>
                <w:highlight w:val="none"/>
              </w:rPr>
              <w:t xml:space="preserve">如没有的，则无需供应商提供材料。</w:t>
            </w:r>
            <w:r/>
          </w:p>
        </w:tc>
      </w:tr>
    </w:tbl>
    <w:p>
      <w:pPr>
        <w:keepLines w:val="0"/>
        <w:keepNext w:val="0"/>
        <w:pageBreakBefore w:val="0"/>
        <w:spacing w:line="360" w:lineRule="auto"/>
        <w:shd w:val="clear" w:color="auto"/>
        <w:widowControl w:val="off"/>
        <w:rPr>
          <w:rFonts w:hint="eastAsia" w:ascii="宋体" w:hAnsi="宋体" w:eastAsia="宋体" w:cs="宋体"/>
          <w:b/>
          <w:bCs/>
          <w:i w:val="0"/>
          <w:iCs w:val="0"/>
          <w:color w:val="auto"/>
          <w:sz w:val="24"/>
          <w:szCs w:val="24"/>
          <w:highlight w:val="none"/>
        </w:rPr>
        <w:outlineLvl w:val="9"/>
      </w:pPr>
      <w:r>
        <w:rPr>
          <w:rFonts w:hint="eastAsia" w:ascii="宋体" w:hAnsi="宋体" w:eastAsia="宋体" w:cs="宋体"/>
          <w:b/>
          <w:bCs/>
          <w:i w:val="0"/>
          <w:iCs w:val="0"/>
          <w:color w:val="auto"/>
          <w:sz w:val="24"/>
          <w:szCs w:val="24"/>
          <w:highlight w:val="none"/>
        </w:rPr>
        <w:t xml:space="preserve">2</w:t>
      </w:r>
      <w:r>
        <w:rPr>
          <w:rFonts w:hint="eastAsia" w:ascii="宋体" w:hAnsi="宋体" w:eastAsia="宋体" w:cs="宋体"/>
          <w:b/>
          <w:bCs/>
          <w:i w:val="0"/>
          <w:iCs w:val="0"/>
          <w:color w:val="auto"/>
          <w:sz w:val="24"/>
          <w:szCs w:val="24"/>
          <w:highlight w:val="none"/>
          <w:lang w:val="en-US" w:eastAsia="zh-CN"/>
        </w:rPr>
        <w:t xml:space="preserve"> </w:t>
      </w:r>
      <w:r>
        <w:rPr>
          <w:rFonts w:hint="eastAsia" w:ascii="宋体" w:hAnsi="宋体" w:eastAsia="宋体" w:cs="宋体"/>
          <w:b/>
          <w:bCs/>
          <w:i w:val="0"/>
          <w:iCs w:val="0"/>
          <w:color w:val="auto"/>
          <w:sz w:val="24"/>
          <w:szCs w:val="24"/>
          <w:highlight w:val="none"/>
        </w:rPr>
        <w:t xml:space="preserve">投标文件有关事项的澄清或者说明</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为了有助于对</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进行审查、评价和比较，</w:t>
      </w:r>
      <w:r>
        <w:rPr>
          <w:rFonts w:hint="eastAsia" w:ascii="宋体" w:hAnsi="宋体" w:eastAsia="宋体" w:cs="宋体"/>
          <w:color w:val="auto"/>
          <w:sz w:val="24"/>
          <w:szCs w:val="24"/>
          <w:highlight w:val="none"/>
          <w:lang w:eastAsia="zh-CN"/>
        </w:rPr>
        <w:t xml:space="preserve">评标委员会</w:t>
      </w:r>
      <w:r>
        <w:rPr>
          <w:rFonts w:hint="eastAsia" w:ascii="宋体" w:hAnsi="宋体" w:eastAsia="宋体" w:cs="宋体"/>
          <w:color w:val="auto"/>
          <w:sz w:val="24"/>
          <w:szCs w:val="24"/>
          <w:highlight w:val="none"/>
        </w:rPr>
        <w:t xml:space="preserve">可以书面方式要求</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中含义不明确、对同类问题表述不一致或者明显文字和计算错误的内容作必要的澄清、说明或者补正。</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的澄清、说明或者补正应当采用书面形式并加盖公章，或者由法定代表人或其授权的代表签字。</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评标委员会</w:t>
      </w:r>
      <w:r>
        <w:rPr>
          <w:rFonts w:hint="eastAsia" w:ascii="宋体" w:hAnsi="宋体" w:eastAsia="宋体" w:cs="宋体"/>
          <w:color w:val="auto"/>
          <w:sz w:val="24"/>
          <w:szCs w:val="24"/>
          <w:highlight w:val="none"/>
        </w:rPr>
        <w:t xml:space="preserve">可要求</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就澄清的问题作出答复，该答复经</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代表的签字认可，将作为</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内容的一部分。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在进行澄清、说明、答辩或补正时，不得改变投标的价格（校核时发现的算术错误除外）、超出</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的范围及改变</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的实质性内容。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拒不按照</w:t>
      </w:r>
      <w:r>
        <w:rPr>
          <w:rFonts w:hint="eastAsia" w:ascii="宋体" w:hAnsi="宋体" w:eastAsia="宋体" w:cs="宋体"/>
          <w:color w:val="auto"/>
          <w:sz w:val="24"/>
          <w:szCs w:val="24"/>
          <w:highlight w:val="none"/>
          <w:lang w:eastAsia="zh-CN"/>
        </w:rPr>
        <w:t xml:space="preserve">评标委员会</w:t>
      </w:r>
      <w:r>
        <w:rPr>
          <w:rFonts w:hint="eastAsia" w:ascii="宋体" w:hAnsi="宋体" w:eastAsia="宋体" w:cs="宋体"/>
          <w:color w:val="auto"/>
          <w:sz w:val="24"/>
          <w:szCs w:val="24"/>
          <w:highlight w:val="none"/>
        </w:rPr>
        <w:t xml:space="preserve">要求作出澄清、说明或者补正的，作为</w:t>
      </w:r>
      <w:r>
        <w:rPr>
          <w:rFonts w:hint="eastAsia" w:ascii="宋体" w:hAnsi="宋体" w:eastAsia="宋体" w:cs="宋体"/>
          <w:b/>
          <w:bCs/>
          <w:color w:val="auto"/>
          <w:sz w:val="24"/>
          <w:szCs w:val="24"/>
          <w:highlight w:val="none"/>
        </w:rPr>
        <w:t xml:space="preserve">无效投标处理</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评标委员会对投标文件的判定，只依据投标内容本身，不依靠开标后的任何外来证明。投标截止时间后，投标人对投标报价或其他实质性内容修正的函件和增加的任何优惠条件，一律不得作为评标、定标的依据。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bCs/>
          <w:color w:val="auto"/>
          <w:sz w:val="24"/>
          <w:szCs w:val="24"/>
          <w:highlight w:val="none"/>
        </w:rPr>
        <w:t xml:space="preserve">投标无效</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投标文件报价出现前后不一致的，按照下列规定修正：</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.1招标文件对于报价修正是否另有规定：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□有，具体规定为：______________</w:t>
      </w:r>
      <w:r/>
    </w:p>
    <w:p>
      <w:pPr>
        <w:ind w:firstLine="422"/>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无，按下述2.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.7项规定修正。</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.2单独递交的开标一览表（报价表）与投标文件中开标一览表（报价表）内容不一致的，以单独递交的开标一览表（报价表）为准；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.3投标文件中开标一览表（报价表）内容与投标文件中相应内容不一致的，以开标一览表（报价表）为准；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.4大写金额和小写金额不一致的，以大写金额为准；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.5单价金额小数点或者百分比有明显错位的，以开标一览表的总价为准，并修改单价；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.6总价金额与按单价汇总金额不一致的，以单价金额计算结果为准。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.7同时出现两种以上不一致的，按照前款规定的顺序修正。修正后的报价经投标人书面确认后产生约束力，投标人不确认的，其</w:t>
      </w:r>
      <w:r>
        <w:rPr>
          <w:rFonts w:hint="eastAsia" w:ascii="宋体" w:hAnsi="宋体" w:eastAsia="宋体" w:cs="宋体"/>
          <w:b/>
          <w:bCs/>
          <w:color w:val="auto"/>
          <w:sz w:val="24"/>
          <w:szCs w:val="24"/>
          <w:highlight w:val="none"/>
        </w:rPr>
        <w:t xml:space="preserve">投标无效</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落实政府采购政策的价格调整：只有符合第二章《投标人须知》5.2条规定情形的，可以享受中小企业扶持政策，用扣除后的价格参加评审；否则，评标时价格不予扣除。</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.1对于未预留份额专门面向中小企业采购的采购项目，以及预留份额项目中的非预留部分采购包，对</w:t>
      </w:r>
      <w:r>
        <w:rPr>
          <w:rFonts w:hint="eastAsia" w:ascii="宋体" w:hAnsi="宋体" w:eastAsia="宋体" w:cs="宋体"/>
          <w:b/>
          <w:bCs/>
          <w:color w:val="auto"/>
          <w:sz w:val="24"/>
          <w:szCs w:val="24"/>
          <w:highlight w:val="none"/>
        </w:rPr>
        <w:t xml:space="preserve">小微企业</w:t>
      </w:r>
      <w:r>
        <w:rPr>
          <w:rFonts w:hint="eastAsia" w:ascii="宋体" w:hAnsi="宋体" w:eastAsia="宋体" w:cs="宋体"/>
          <w:color w:val="auto"/>
          <w:sz w:val="24"/>
          <w:szCs w:val="24"/>
          <w:highlight w:val="none"/>
        </w:rPr>
        <w:t xml:space="preserve">报价给予</w:t>
      </w:r>
      <w:r>
        <w:rPr>
          <w:rFonts w:hint="eastAsia" w:ascii="宋体" w:hAnsi="宋体" w:eastAsia="宋体" w:cs="宋体"/>
          <w:b/>
          <w:bCs/>
          <w:color w:val="auto"/>
          <w:sz w:val="24"/>
          <w:szCs w:val="24"/>
          <w:highlight w:val="none"/>
          <w:u w:val="single"/>
          <w:lang w:val="en-US" w:eastAsia="zh-CN"/>
        </w:rPr>
        <w:t xml:space="preserve">2</w:t>
      </w:r>
      <w:r>
        <w:rPr>
          <w:rFonts w:hint="eastAsia" w:ascii="宋体" w:hAnsi="宋体" w:eastAsia="宋体" w:cs="宋体"/>
          <w:b/>
          <w:bCs/>
          <w:color w:val="auto"/>
          <w:sz w:val="24"/>
          <w:szCs w:val="24"/>
          <w:highlight w:val="none"/>
          <w:u w:val="single"/>
        </w:rPr>
        <w:t xml:space="preserve">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工程项目为5%）</w:t>
      </w:r>
      <w:r>
        <w:rPr>
          <w:rFonts w:hint="eastAsia" w:ascii="宋体" w:hAnsi="宋体" w:eastAsia="宋体" w:cs="宋体"/>
          <w:color w:val="auto"/>
          <w:sz w:val="24"/>
          <w:szCs w:val="24"/>
          <w:highlight w:val="none"/>
        </w:rPr>
        <w:t xml:space="preserve">的扣除，用扣除后的价格参加评审。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.2对于未预留份额专门面向中小企业采购的采购项目，以及预留份额项目中的非预留部分采购包，且接受大中型企业与</w:t>
      </w:r>
      <w:r>
        <w:rPr>
          <w:rFonts w:hint="eastAsia" w:ascii="宋体" w:hAnsi="宋体" w:eastAsia="宋体" w:cs="宋体"/>
          <w:b/>
          <w:bCs/>
          <w:color w:val="auto"/>
          <w:sz w:val="24"/>
          <w:szCs w:val="24"/>
          <w:highlight w:val="none"/>
        </w:rPr>
        <w:t xml:space="preserve">小微企业</w:t>
      </w:r>
      <w:r>
        <w:rPr>
          <w:rFonts w:hint="eastAsia" w:ascii="宋体" w:hAnsi="宋体" w:eastAsia="宋体" w:cs="宋体"/>
          <w:color w:val="auto"/>
          <w:sz w:val="24"/>
          <w:szCs w:val="24"/>
          <w:highlight w:val="none"/>
        </w:rPr>
        <w:t xml:space="preserve">组成联合体或者允许大中型企业向一家或者多家</w:t>
      </w:r>
      <w:r>
        <w:rPr>
          <w:rFonts w:hint="eastAsia" w:ascii="宋体" w:hAnsi="宋体" w:eastAsia="宋体" w:cs="宋体"/>
          <w:b/>
          <w:bCs/>
          <w:color w:val="auto"/>
          <w:sz w:val="24"/>
          <w:szCs w:val="24"/>
          <w:highlight w:val="none"/>
        </w:rPr>
        <w:t xml:space="preserve">小微企业</w:t>
      </w:r>
      <w:r>
        <w:rPr>
          <w:rFonts w:hint="eastAsia" w:ascii="宋体" w:hAnsi="宋体" w:eastAsia="宋体" w:cs="宋体"/>
          <w:color w:val="auto"/>
          <w:sz w:val="24"/>
          <w:szCs w:val="24"/>
          <w:highlight w:val="none"/>
        </w:rPr>
        <w:t xml:space="preserve">分包的采购项目，对于联合协议或者分包意向协议约定</w:t>
      </w:r>
      <w:r>
        <w:rPr>
          <w:rFonts w:hint="eastAsia" w:ascii="宋体" w:hAnsi="宋体" w:eastAsia="宋体" w:cs="宋体"/>
          <w:b/>
          <w:bCs/>
          <w:color w:val="auto"/>
          <w:sz w:val="24"/>
          <w:szCs w:val="24"/>
          <w:highlight w:val="none"/>
        </w:rPr>
        <w:t xml:space="preserve">小微企业</w:t>
      </w:r>
      <w:r>
        <w:rPr>
          <w:rFonts w:hint="eastAsia" w:ascii="宋体" w:hAnsi="宋体" w:eastAsia="宋体" w:cs="宋体"/>
          <w:color w:val="auto"/>
          <w:sz w:val="24"/>
          <w:szCs w:val="24"/>
          <w:highlight w:val="none"/>
        </w:rPr>
        <w:t xml:space="preserve">的合同份额占到合同总金额30%以上的联合体或者大中型企业的报价给予</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的扣除，用扣除后的价格参加评审。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.3组成联合体或者接受分包的小微企业与联合体内其他企业、分包企业之间存在直接控股、管理关系的，不享受价格扣除优惠政策。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.4价格扣除比例对小型企业和微型企业同等对待，不作区分。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.5中小企业参加政府采购活动，应当按照招标文件给定的格式出具《中小企业声明函》，否则不得享受相关中小企业扶持政策。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.6监狱企业提供了由省级以上监狱管理局（常州市含教育矫治局）、戒毒管理局（含新疆生产建设兵团）出具的属于监狱企业的证明文件的，视同小微企业。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.7残疾人福利性单位按招标文件要求提供了《残疾人福利性单位声明函》（见附件）的，视同小微企业。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.8若投标人同时属于小型或微型企业、监狱企业、残疾人福利性单位中的两种及以上，将不重复享受小微企业价格扣减的优惠政策。</w:t>
      </w:r>
      <w:r/>
    </w:p>
    <w:p>
      <w:pPr>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投标文件的比较和评价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3.1评标委员会将按照招标文件中规定的评标方法和标准，对符合性审查合格的投标文件进行商务和技术评估，综合比较与评价；未通过符合性审查的投标文件不得进入比较与评价。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3.2.1本项目采用的评标方法为：</w:t>
      </w:r>
      <w:r/>
    </w:p>
    <w:p>
      <w:pPr>
        <w:ind w:firstLine="422"/>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□最低评标价法，指投标文件满足招标文件全部实质性要求，且投标报价最低的投标人为中标候选人的评标方法。</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bCs/>
          <w:color w:val="auto"/>
          <w:sz w:val="24"/>
          <w:szCs w:val="24"/>
          <w:highlight w:val="none"/>
        </w:rPr>
        <w:t xml:space="preserve">投标无效</w:t>
      </w:r>
      <w:r>
        <w:rPr>
          <w:rFonts w:hint="eastAsia" w:ascii="宋体" w:hAnsi="宋体" w:eastAsia="宋体" w:cs="宋体"/>
          <w:color w:val="auto"/>
          <w:sz w:val="24"/>
          <w:szCs w:val="24"/>
          <w:highlight w:val="none"/>
        </w:rPr>
        <w:t xml:space="preserve">。</w:t>
      </w:r>
      <w:r/>
    </w:p>
    <w:p>
      <w:pPr>
        <w:ind w:firstLine="422"/>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随机抽取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rPr>
        <w:t xml:space="preserve">□其他方式，具体要求：</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none"/>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3.2.3非政府强制采购的节能产品或环境标志产品，依据品目清单和认证证书实施政府优先采购。优先采购的具体规定（如涉及）</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3.2.4关于无线局域网认证产品政府采购清单中的产品，优先采购的具体规定（如涉及）</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确定中标候选人名单</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firstLine="422"/>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随机抽取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□其他方式，具体要求：</w:t>
      </w:r>
      <w:r>
        <w:rPr>
          <w:rFonts w:hint="eastAsia" w:ascii="宋体" w:hAnsi="宋体" w:eastAsia="宋体" w:cs="宋体"/>
          <w:color w:val="auto"/>
          <w:sz w:val="24"/>
          <w:szCs w:val="24"/>
          <w:highlight w:val="none"/>
          <w:u w:val="single"/>
          <w:lang w:val="en-US" w:eastAsia="zh-CN"/>
        </w:rPr>
        <w:t xml:space="preserve">   /  </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4.3采用最低评标价法时，评标结果按本章2.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调整后的投标报价由低到高顺序排列。投标报价相同的并列。投标文件满足招标文件全部实质性要求且投标报价最低的投标人为排名第一的中标候选人。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4.4评标委员会要对评分汇总情况进行复核，特别是对排名第一的、报价最低的、投标或</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被认定为无效的情形进行重点复核。</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4.5评标委员会将根据各投标人的评标排序，依次推荐本项目（各采购包）的中标候选人，起草并签署评标报告。本项目（各采购包）评标委员会共（各）推荐不少于3名中标候选人。</w:t>
      </w:r>
      <w:r/>
    </w:p>
    <w:p>
      <w:pPr>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报告违法行为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5.1评标委员会在评标过程中发现投标人有行贿、提供虚假材料或者串通等违法行为时，有向采购人、采购代理机构或者有关部门报告的职责。</w:t>
      </w:r>
      <w:r/>
    </w:p>
    <w:p>
      <w:pPr>
        <w:jc w:val="center"/>
        <w:spacing w:line="360" w:lineRule="auto"/>
        <w:tabs>
          <w:tab w:val="left" w:pos="360" w:leader="none"/>
          <w:tab w:val="left" w:pos="900" w:leader="none"/>
        </w:tabs>
        <w:rPr>
          <w:rFonts w:hint="eastAsia" w:ascii="宋体" w:hAnsi="宋体" w:eastAsia="宋体" w:cs="宋体"/>
          <w:b/>
          <w:color w:val="000000"/>
          <w:sz w:val="24"/>
          <w:szCs w:val="24"/>
          <w:highlight w:val="none"/>
        </w:rPr>
        <w:sectPr>
          <w:headerReference w:type="default" r:id="rId9"/>
          <w:footerReference w:type="default" r:id="rId14"/>
          <w:footnotePr/>
          <w:endnotePr/>
          <w:type w:val="nextPage"/>
          <w:pgSz w:w="11907" w:h="16840" w:orient="portrait"/>
          <w:pgMar w:top="1418" w:right="1134" w:bottom="1418" w:left="1701" w:header="851" w:footer="851" w:gutter="0"/>
          <w:cols w:num="1" w:sep="0" w:space="1701" w:equalWidth="1"/>
          <w:docGrid w:linePitch="360"/>
        </w:sectPr>
        <w:outlineLvl w:val="1"/>
      </w:pPr>
      <w:r>
        <w:rPr>
          <w:rFonts w:hint="eastAsia" w:ascii="宋体" w:hAnsi="宋体" w:eastAsia="宋体" w:cs="宋体"/>
          <w:b/>
          <w:color w:val="000000"/>
          <w:sz w:val="24"/>
          <w:szCs w:val="24"/>
          <w:highlight w:val="none"/>
        </w:rPr>
      </w:r>
      <w:r/>
    </w:p>
    <w:p>
      <w:pPr>
        <w:jc w:val="center"/>
        <w:spacing w:line="360" w:lineRule="auto"/>
        <w:tabs>
          <w:tab w:val="left" w:pos="360" w:leader="none"/>
          <w:tab w:val="left" w:pos="900" w:leader="none"/>
        </w:tabs>
        <w:rPr>
          <w:rFonts w:hint="eastAsia" w:ascii="宋体" w:hAnsi="宋体" w:eastAsia="宋体" w:cs="宋体"/>
          <w:color w:val="000000"/>
          <w:sz w:val="24"/>
          <w:highlight w:val="none"/>
        </w:rPr>
        <w:outlineLvl w:val="1"/>
      </w:pPr>
      <w:r>
        <w:rPr>
          <w:rFonts w:hint="eastAsia" w:ascii="宋体" w:hAnsi="宋体" w:eastAsia="宋体" w:cs="宋体"/>
          <w:b/>
          <w:color w:val="000000"/>
          <w:sz w:val="24"/>
          <w:highlight w:val="none"/>
        </w:rPr>
        <w:t xml:space="preserve">二、评标标准</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Start w:id="223" w:name="_Toc195842920"/>
      <w:r/>
      <w:bookmarkStart w:id="224" w:name="_Toc226337251"/>
      <w:r/>
      <w:bookmarkStart w:id="225" w:name="_Toc264969245"/>
      <w:r/>
      <w:bookmarkStart w:id="226" w:name="_Toc353825545"/>
      <w:r/>
      <w:bookmarkStart w:id="227" w:name="_Toc150480793"/>
      <w:r/>
      <w:bookmarkStart w:id="228" w:name="_Toc226965828"/>
      <w:r/>
      <w:bookmarkStart w:id="229" w:name="_Toc353873665"/>
      <w:r/>
      <w:bookmarkStart w:id="230" w:name="_Toc305158897"/>
      <w:r/>
      <w:bookmarkStart w:id="231" w:name="_Toc127151555"/>
      <w:r/>
      <w:bookmarkStart w:id="232" w:name="_Toc353873935"/>
      <w:r/>
      <w:bookmarkStart w:id="233" w:name="_Toc305158823"/>
      <w:r/>
      <w:bookmarkStart w:id="234" w:name="_Toc142311057"/>
      <w:r/>
      <w:bookmarkStart w:id="235" w:name="_Toc265228393"/>
      <w:r/>
      <w:bookmarkStart w:id="236" w:name="_Toc150774760"/>
      <w:r/>
      <w:r/>
    </w:p>
    <w:tbl>
      <w:tblPr>
        <w:tblStyle w:val="839"/>
        <w:tblW w:w="4961"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620"/>
        <w:gridCol w:w="780"/>
        <w:gridCol w:w="6058"/>
      </w:tblGrid>
      <w:tr>
        <w:trPr>
          <w:trHeight w:val="566"/>
        </w:trPr>
        <w:tc>
          <w:tcPr>
            <w:tcW w:w="4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highlight w:val="none"/>
                <w:lang w:val="en-US" w:eastAsia="zh-CN"/>
              </w:rPr>
              <w:t xml:space="preserve">序号</w:t>
            </w:r>
            <w:r/>
          </w:p>
        </w:tc>
        <w:tc>
          <w:tcPr>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评分因素</w:t>
            </w:r>
            <w:r/>
          </w:p>
        </w:tc>
        <w:tc>
          <w:tcPr>
            <w:tcW w:w="4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p>
        </w:tc>
        <w:tc>
          <w:tcPr>
            <w:tcW w:w="3286" w:type="dxa"/>
            <w:vAlign w:val="center"/>
            <w:textDirection w:val="lrTb"/>
            <w:noWrap/>
          </w:tcPr>
          <w:p>
            <w:pPr>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评标标准</w:t>
            </w:r>
            <w:r/>
          </w:p>
        </w:tc>
      </w:tr>
      <w:tr>
        <w:trPr>
          <w:trHeight w:val="288"/>
        </w:trPr>
        <w:tc>
          <w:tcPr>
            <w:gridSpan w:val="4"/>
            <w:tcW w:w="92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价格分（50）</w:t>
            </w:r>
            <w:r/>
          </w:p>
        </w:tc>
      </w:tr>
      <w:tr>
        <w:trPr>
          <w:trHeight w:val="864"/>
        </w:trPr>
        <w:tc>
          <w:tcPr>
            <w:tcW w:w="4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价格</w:t>
            </w:r>
            <w:r/>
          </w:p>
        </w:tc>
        <w:tc>
          <w:tcPr>
            <w:tcW w:w="423"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W w:w="3286" w:type="dxa"/>
            <w:vAlign w:val="center"/>
            <w:textDirection w:val="lrTb"/>
            <w:noWrap/>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满足招标文件要求且投标价格最低的投标报价为评标基准价，其价格分为满分。其他投标人的价格分统一按照下列公式计算：投标报价得分＝（评标基准价/投标报价）×50（小数点保留两位）。</w:t>
            </w:r>
            <w:r/>
          </w:p>
        </w:tc>
      </w:tr>
      <w:tr>
        <w:trPr>
          <w:trHeight w:val="303"/>
        </w:trPr>
        <w:tc>
          <w:tcPr>
            <w:gridSpan w:val="4"/>
            <w:tcW w:w="92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客观分（</w:t>
            </w:r>
            <w:r>
              <w:rPr>
                <w:rFonts w:hint="eastAsia" w:ascii="宋体" w:hAnsi="宋体" w:eastAsia="宋体" w:cs="宋体"/>
                <w:i w:val="0"/>
                <w:iCs w:val="0"/>
                <w:color w:val="000000"/>
                <w:sz w:val="21"/>
                <w:szCs w:val="21"/>
                <w:highlight w:val="none"/>
                <w:u w:val="none"/>
                <w:lang w:val="en-US" w:eastAsia="zh-CN"/>
              </w:rPr>
              <w:t xml:space="preserve">20</w:t>
            </w:r>
            <w:r>
              <w:rPr>
                <w:rStyle w:val="1274"/>
                <w:rFonts w:hint="eastAsia" w:ascii="宋体" w:hAnsi="宋体" w:eastAsia="宋体" w:cs="宋体"/>
                <w:color w:val="000000"/>
                <w:highlight w:val="none"/>
                <w:lang w:val="en-US" w:eastAsia="zh-CN" w:bidi="ar"/>
              </w:rPr>
              <w:t xml:space="preserve">）</w:t>
            </w:r>
            <w:r/>
          </w:p>
        </w:tc>
      </w:tr>
      <w:tr>
        <w:trPr>
          <w:trHeight w:val="1152"/>
        </w:trPr>
        <w:tc>
          <w:tcPr>
            <w:tcW w:w="4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投标人实力</w:t>
            </w:r>
            <w:r/>
          </w:p>
        </w:tc>
        <w:tc>
          <w:tcPr>
            <w:tcW w:w="4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W w:w="328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投标人或核心产品厂家具有有效的质量管理体系认证证书、环境管理体系认证证书、</w:t>
            </w:r>
            <w:r>
              <w:rPr>
                <w:rStyle w:val="1274"/>
                <w:rFonts w:hint="eastAsia" w:ascii="宋体" w:hAnsi="宋体" w:eastAsia="宋体" w:cs="宋体"/>
                <w:color w:val="000000"/>
                <w:highlight w:val="none"/>
                <w:lang w:val="en-US" w:eastAsia="zh-CN" w:bidi="ar"/>
              </w:rPr>
              <w:t xml:space="preserve">职业健康安全管理体系评价证书，每提供一个证书得1分；本项最高</w:t>
            </w:r>
            <w:r>
              <w:rPr>
                <w:rStyle w:val="1273"/>
                <w:rFonts w:hint="eastAsia" w:ascii="宋体" w:hAnsi="宋体" w:eastAsia="宋体" w:cs="宋体"/>
                <w:color w:val="000000"/>
                <w:highlight w:val="none"/>
                <w:lang w:val="en-US" w:eastAsia="zh-CN" w:bidi="ar"/>
              </w:rPr>
              <w:t xml:space="preserve">3</w:t>
            </w:r>
            <w:r>
              <w:rPr>
                <w:rStyle w:val="1274"/>
                <w:rFonts w:hint="eastAsia" w:ascii="宋体" w:hAnsi="宋体" w:eastAsia="宋体" w:cs="宋体"/>
                <w:color w:val="000000"/>
                <w:highlight w:val="none"/>
                <w:lang w:val="en-US" w:eastAsia="zh-CN" w:bidi="ar"/>
              </w:rPr>
              <w:t xml:space="preserve">分。</w:t>
            </w:r>
            <w:r/>
          </w:p>
          <w:p>
            <w:pPr>
              <w:pStyle w:val="1039"/>
              <w:rPr>
                <w:rFonts w:hint="eastAsia"/>
                <w:highlight w:val="none"/>
              </w:rPr>
            </w:pPr>
            <w:r>
              <w:rPr>
                <w:rFonts w:hint="eastAsia" w:ascii="宋体" w:hAnsi="宋体" w:eastAsia="宋体" w:cs="宋体"/>
                <w:i w:val="0"/>
                <w:iCs w:val="0"/>
                <w:color w:val="000000"/>
                <w:sz w:val="21"/>
                <w:szCs w:val="21"/>
                <w:highlight w:val="none"/>
                <w:u w:val="none"/>
                <w:lang w:val="en-US" w:eastAsia="zh-CN" w:bidi="ar"/>
              </w:rPr>
              <w:t xml:space="preserve">注：投标文件中提供证书复印件及全国认证认可信息公共服务平台证书查询截图且证书状态为有效，未提供不得分。</w:t>
            </w:r>
            <w:r/>
          </w:p>
        </w:tc>
      </w:tr>
      <w:tr>
        <w:trPr>
          <w:trHeight w:val="1393"/>
        </w:trPr>
        <w:tc>
          <w:tcPr>
            <w:tcW w:w="4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投标人业绩</w:t>
            </w:r>
            <w:r/>
          </w:p>
        </w:tc>
        <w:tc>
          <w:tcPr>
            <w:tcW w:w="4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w:t>
            </w:r>
            <w:r/>
          </w:p>
        </w:tc>
        <w:tc>
          <w:tcPr>
            <w:tcW w:w="3286" w:type="dxa"/>
            <w:vAlign w:val="center"/>
            <w:textDirection w:val="lrTb"/>
            <w:noWrap/>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投标人提供2022年1月1日以后（以合同签订日期为准）实施过实验室设备等类似业绩合同，每提供一份完整的业绩合同得1</w:t>
            </w:r>
            <w:r>
              <w:rPr>
                <w:rStyle w:val="1274"/>
                <w:rFonts w:hint="eastAsia" w:ascii="宋体" w:hAnsi="宋体" w:eastAsia="宋体" w:cs="宋体"/>
                <w:color w:val="000000"/>
                <w:highlight w:val="none"/>
                <w:lang w:val="en-US" w:eastAsia="zh-CN" w:bidi="ar"/>
              </w:rPr>
              <w:t xml:space="preserve">分，最高2分。</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注：提供完整的业绩合同复印件和中标（成交）通知书并加盖投标人公章，否则不得分。</w:t>
            </w:r>
            <w:r/>
          </w:p>
        </w:tc>
      </w:tr>
      <w:tr>
        <w:trPr>
          <w:trHeight w:val="2016"/>
        </w:trPr>
        <w:tc>
          <w:tcPr>
            <w:tcW w:w="4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技术参数响应</w:t>
            </w:r>
            <w:r/>
          </w:p>
        </w:tc>
        <w:tc>
          <w:tcPr>
            <w:tcW w:w="423"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15</w:t>
            </w:r>
            <w:r/>
          </w:p>
        </w:tc>
        <w:tc>
          <w:tcPr>
            <w:tcW w:w="328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技术指标：技术指标不低于招标文件要求，本招标文件招标清单中带“▲号”部分为重要参数，每有1项指标出现负偏离或未提供材料扣1分，非带“▲号”部分为技术指标中需提供证明材料的每负偏离一项扣0.5分，投标人根据招标内容提供偏离表并注明响应情况，共计</w:t>
            </w:r>
            <w:r>
              <w:rPr>
                <w:rFonts w:hint="eastAsia" w:ascii="宋体" w:hAnsi="宋体" w:eastAsia="宋体" w:cs="宋体"/>
                <w:i w:val="0"/>
                <w:iCs w:val="0"/>
                <w:color w:val="000000"/>
                <w:sz w:val="21"/>
                <w:szCs w:val="21"/>
                <w:highlight w:val="none"/>
                <w:u w:val="none"/>
                <w:lang w:val="en-US" w:eastAsia="zh-CN"/>
              </w:rPr>
              <w:t xml:space="preserve">15</w:t>
            </w:r>
            <w:r>
              <w:rPr>
                <w:rFonts w:hint="eastAsia" w:ascii="宋体" w:hAnsi="宋体" w:eastAsia="宋体" w:cs="宋体"/>
                <w:i w:val="0"/>
                <w:iCs w:val="0"/>
                <w:color w:val="000000"/>
                <w:sz w:val="21"/>
                <w:szCs w:val="21"/>
                <w:highlight w:val="none"/>
                <w:u w:val="none"/>
                <w:lang w:val="en-US" w:eastAsia="zh-CN" w:bidi="ar"/>
              </w:rPr>
              <w:t xml:space="preserve">分，扣完为止。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注:响应文件中应提供技术参数的相关证明材料，并注明对应条款供评委评判，否则评委有权视相应技术参数为负偏离处理。如有提供虚假技术参数的，在评标过程中一经发现按无效标处理。</w:t>
            </w:r>
            <w:r/>
          </w:p>
        </w:tc>
      </w:tr>
      <w:tr>
        <w:trPr>
          <w:trHeight w:val="288"/>
        </w:trPr>
        <w:tc>
          <w:tcPr>
            <w:gridSpan w:val="4"/>
            <w:tcW w:w="92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样品分（</w:t>
            </w:r>
            <w:r>
              <w:rPr>
                <w:rFonts w:hint="eastAsia" w:ascii="宋体" w:hAnsi="宋体" w:eastAsia="宋体" w:cs="宋体"/>
                <w:i w:val="0"/>
                <w:iCs w:val="0"/>
                <w:color w:val="000000"/>
                <w:sz w:val="21"/>
                <w:szCs w:val="21"/>
                <w:highlight w:val="none"/>
                <w:u w:val="none"/>
                <w:lang w:val="en-US" w:eastAsia="zh-CN"/>
              </w:rPr>
              <w:t xml:space="preserve">12</w:t>
            </w:r>
            <w:r>
              <w:rPr>
                <w:rStyle w:val="1274"/>
                <w:rFonts w:hint="eastAsia" w:ascii="宋体" w:hAnsi="宋体" w:eastAsia="宋体" w:cs="宋体"/>
                <w:color w:val="000000"/>
                <w:highlight w:val="none"/>
                <w:lang w:val="en-US" w:eastAsia="zh-CN" w:bidi="ar"/>
              </w:rPr>
              <w:t xml:space="preserve">）</w:t>
            </w:r>
            <w:r/>
          </w:p>
        </w:tc>
      </w:tr>
      <w:tr>
        <w:trPr>
          <w:trHeight w:val="2828"/>
        </w:trPr>
        <w:tc>
          <w:tcPr>
            <w:tcW w:w="411"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5.1</w:t>
            </w:r>
            <w:r/>
          </w:p>
        </w:tc>
        <w:tc>
          <w:tcPr>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样品1</w:t>
            </w:r>
            <w:r/>
          </w:p>
        </w:tc>
        <w:tc>
          <w:tcPr>
            <w:tcW w:w="423"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W w:w="3286" w:type="dxa"/>
            <w:vAlign w:val="center"/>
            <w:textDirection w:val="lrTb"/>
            <w:noWrap w:val="false"/>
          </w:tcPr>
          <w:p>
            <w:pPr>
              <w:jc w:val="both"/>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样品名称为：</w:t>
            </w:r>
            <w:r>
              <w:rPr>
                <w:rFonts w:hint="eastAsia" w:ascii="宋体" w:hAnsi="宋体" w:eastAsia="宋体" w:cs="宋体"/>
                <w:b/>
                <w:bCs/>
                <w:i w:val="0"/>
                <w:iCs w:val="0"/>
                <w:color w:val="000000"/>
                <w:sz w:val="21"/>
                <w:szCs w:val="21"/>
                <w:highlight w:val="none"/>
                <w:u w:val="none"/>
                <w:lang w:val="en-US" w:eastAsia="zh-CN" w:bidi="ar"/>
              </w:rPr>
              <w:t xml:space="preserve">学生实验桌（学生实验台）（用于化学实验室）</w:t>
            </w:r>
            <w:r/>
          </w:p>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材质/规格（2分）：样品选材、规格尺寸完全符合技术参数要求的得2分；部分满足技术参数要求的得1分；不满足技术参数要求或未提供样品的不得分。</w:t>
            </w:r>
            <w:r/>
          </w:p>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款式/功能（2分）：样品实用功能完全符合技术参数要求的得2分；部分满足技术参数要求的得1分；不满足技术参数要求或未提供样品的不得分。</w:t>
            </w:r>
            <w:r/>
          </w:p>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工艺/结构（2分）：样品工艺精细、结构结实耐用完全符合技术参数要求的得2分；部分满足技术参数要求的得1分；不满足技术参数要求或未提供样品的不得分。</w:t>
            </w:r>
            <w:r/>
          </w:p>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注：各投标人提供的样品中不能体现投标人的名称、标志、标记以及其它能够体现投标人的信息，否则不得分。</w:t>
            </w:r>
            <w:r/>
          </w:p>
        </w:tc>
      </w:tr>
      <w:tr>
        <w:trPr>
          <w:trHeight w:val="288"/>
        </w:trPr>
        <w:tc>
          <w:tcPr>
            <w:tcW w:w="411"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shd w:val="clear" w:color="auto" w:fill="auto"/>
                <w:lang w:val="en-US" w:eastAsia="zh-CN" w:bidi="ar"/>
              </w:rPr>
              <w:t xml:space="preserve">5.2</w:t>
            </w:r>
            <w:r/>
          </w:p>
        </w:tc>
        <w:tc>
          <w:tcPr>
            <w:tcW w:w="8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样品2</w:t>
            </w:r>
            <w:r/>
          </w:p>
        </w:tc>
        <w:tc>
          <w:tcPr>
            <w:tcW w:w="423"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W w:w="3286" w:type="dxa"/>
            <w:vAlign w:val="center"/>
            <w:textDirection w:val="lrTb"/>
            <w:noWrap/>
          </w:tcPr>
          <w:p>
            <w:pPr>
              <w:jc w:val="both"/>
              <w:keepLines w:val="0"/>
              <w:keepNext w:val="0"/>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样品名称：</w:t>
            </w:r>
            <w:r>
              <w:rPr>
                <w:rFonts w:hint="eastAsia" w:ascii="宋体" w:hAnsi="宋体" w:eastAsia="宋体" w:cs="宋体"/>
                <w:b/>
                <w:bCs/>
                <w:i w:val="0"/>
                <w:iCs w:val="0"/>
                <w:color w:val="000000"/>
                <w:sz w:val="21"/>
                <w:szCs w:val="21"/>
                <w:highlight w:val="none"/>
                <w:u w:val="none"/>
                <w:shd w:val="clear" w:color="auto" w:fill="auto"/>
                <w:lang w:val="en-US" w:eastAsia="zh-CN" w:bidi="ar"/>
              </w:rPr>
              <w:t xml:space="preserve">学生凳（化学实验室）</w:t>
            </w:r>
            <w:r/>
          </w:p>
          <w:p>
            <w:pPr>
              <w:jc w:val="both"/>
              <w:keepLines w:val="0"/>
              <w:keepNext w:val="0"/>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材质/规格（</w:t>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shd w:val="clear" w:color="auto" w:fill="auto"/>
                <w:lang w:val="en-US" w:eastAsia="zh-CN" w:bidi="ar"/>
              </w:rPr>
              <w:t xml:space="preserve">分）：样品选材、规格尺寸完全符合技术参数要求的得</w:t>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shd w:val="clear" w:color="auto" w:fill="auto"/>
                <w:lang w:val="en-US" w:eastAsia="zh-CN" w:bidi="ar"/>
              </w:rPr>
              <w:t xml:space="preserve">分，部分满足技术参数要求的得1分；不满足技术参数要求或未提供样品的不得分。</w:t>
            </w:r>
            <w:r/>
          </w:p>
          <w:p>
            <w:pPr>
              <w:jc w:val="both"/>
              <w:keepLines w:val="0"/>
              <w:keepNext w:val="0"/>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款式/功能（</w:t>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shd w:val="clear" w:color="auto" w:fill="auto"/>
                <w:lang w:val="en-US" w:eastAsia="zh-CN" w:bidi="ar"/>
              </w:rPr>
              <w:t xml:space="preserve">分）：样品实用功能完全符合技术参数要求的得</w:t>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shd w:val="clear" w:color="auto" w:fill="auto"/>
                <w:lang w:val="en-US" w:eastAsia="zh-CN" w:bidi="ar"/>
              </w:rPr>
              <w:t xml:space="preserve">分；部分满足技术参数要求的得1分；不满足技术参数要求或未提供样品的不得分。</w:t>
            </w:r>
            <w:r/>
          </w:p>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工艺/结构（</w:t>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shd w:val="clear" w:color="auto" w:fill="auto"/>
                <w:lang w:val="en-US" w:eastAsia="zh-CN" w:bidi="ar"/>
              </w:rPr>
              <w:t xml:space="preserve">分）：样品工艺精细、结构结实耐用完全符合技术参数要求的得</w:t>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shd w:val="clear" w:color="auto" w:fill="auto"/>
                <w:lang w:val="en-US" w:eastAsia="zh-CN" w:bidi="ar"/>
              </w:rPr>
              <w:t xml:space="preserve">分；部分满足技术参数要求的得1分；不满足技术参数要求或未提供样品的不得分。</w:t>
            </w:r>
            <w:r/>
          </w:p>
        </w:tc>
      </w:tr>
      <w:tr>
        <w:trPr>
          <w:trHeight w:val="288"/>
        </w:trPr>
        <w:tc>
          <w:tcPr>
            <w:gridSpan w:val="4"/>
            <w:tcW w:w="92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方案分（</w:t>
            </w:r>
            <w:r>
              <w:rPr>
                <w:rStyle w:val="1273"/>
                <w:rFonts w:hint="eastAsia" w:ascii="宋体" w:hAnsi="宋体" w:eastAsia="宋体" w:cs="宋体"/>
                <w:color w:val="000000"/>
                <w:highlight w:val="none"/>
                <w:lang w:val="en-US" w:eastAsia="zh-CN" w:bidi="ar"/>
              </w:rPr>
              <w:t xml:space="preserve">18</w:t>
            </w:r>
            <w:r>
              <w:rPr>
                <w:rStyle w:val="1274"/>
                <w:rFonts w:hint="eastAsia" w:ascii="宋体" w:hAnsi="宋体" w:eastAsia="宋体" w:cs="宋体"/>
                <w:color w:val="000000"/>
                <w:highlight w:val="none"/>
                <w:lang w:val="en-US" w:eastAsia="zh-CN" w:bidi="ar"/>
              </w:rPr>
              <w:t xml:space="preserve">）</w:t>
            </w:r>
            <w:r/>
          </w:p>
        </w:tc>
      </w:tr>
      <w:tr>
        <w:trPr>
          <w:trHeight w:val="2592"/>
        </w:trPr>
        <w:tc>
          <w:tcPr>
            <w:tcW w:w="4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W w:w="878"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实施方案</w:t>
            </w:r>
            <w:r/>
          </w:p>
        </w:tc>
        <w:tc>
          <w:tcPr>
            <w:tcW w:w="423"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10</w:t>
            </w:r>
            <w:r/>
          </w:p>
        </w:tc>
        <w:tc>
          <w:tcPr>
            <w:tcW w:w="328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评委根据投标人提供的本项目实施方案（包括深化设计图纸、供货进度保证措施、协调配合措施、应急措施等内容）综合评分：</w:t>
            </w:r>
            <w:r/>
          </w:p>
          <w:p>
            <w:pPr>
              <w:jc w:val="both"/>
              <w:keepLines w:val="0"/>
              <w:keepNext w:val="0"/>
              <w:widowControl/>
              <w:rPr>
                <w:rFonts w:hint="eastAsia" w:ascii="宋体" w:hAnsi="宋体" w:eastAsia="宋体" w:cs="宋体"/>
                <w:bCs w:val="0"/>
                <w:i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1、方案内容完整、全面准确、符合用户需求、各项措施科学性、合理性、操作性强，且提供直观效果呈现的，得10分；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2、方案基本完整、提供部分深化设计图纸，图纸基本合理但与现场情况有少量不符，各项保证措施可操作性有欠缺的，得5分</w:t>
            </w:r>
            <w:r/>
          </w:p>
          <w:p>
            <w:pPr>
              <w:jc w:val="both"/>
              <w:keepLines w:val="0"/>
              <w:keepNext w:val="0"/>
              <w:widowControl/>
              <w:rPr>
                <w:rFonts w:hint="eastAsia" w:ascii="宋体" w:hAnsi="宋体" w:eastAsia="宋体" w:cs="宋体"/>
                <w:bCs w:val="0"/>
                <w:i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3、方案不完整、提供的深化图纸不齐全、不合理、与实际情况不符的，各项保证措施可操作性差的，得1分；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4、未提供方案的不得分。</w:t>
            </w:r>
            <w:r/>
          </w:p>
        </w:tc>
      </w:tr>
      <w:tr>
        <w:trPr>
          <w:trHeight w:val="654"/>
        </w:trPr>
        <w:tc>
          <w:tcPr>
            <w:tcW w:w="4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7</w:t>
            </w:r>
            <w:r/>
          </w:p>
        </w:tc>
        <w:tc>
          <w:tcPr>
            <w:tcW w:w="878"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售后服务方案</w:t>
            </w:r>
            <w:r/>
          </w:p>
        </w:tc>
        <w:tc>
          <w:tcPr>
            <w:tcW w:w="4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W w:w="328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评委根据投标人提供的本项目售后服务方案（包括服务内容、故障解决方案、响应时间、技术人员保障及服务电话等内容）综合评分：</w:t>
            </w:r>
            <w:r/>
          </w:p>
          <w:p>
            <w:pPr>
              <w:jc w:val="both"/>
              <w:keepLines w:val="0"/>
              <w:keepNext w:val="0"/>
              <w:widowControl/>
              <w:rPr>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1、投标人在具备完善的服务体系、全面的服务内容、可行的故障解决方案、可靠的人员保障和服务电话的，得2分；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2、投标人具备基本完善的服务体系、基本全面的服务内容、基本可行的故障解决方案、基本可靠的人员保障和服务电话的，得1分；</w:t>
            </w:r>
            <w:r/>
          </w:p>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3、投标人具备较为完善的服务体系、较为全面的服务内容、较为可行的故障解决方案、较为可靠的人员保障和服务电话的得0.5分；</w:t>
            </w:r>
            <w:r/>
          </w:p>
          <w:p>
            <w:pPr>
              <w:jc w:val="both"/>
              <w:keepLines w:val="0"/>
              <w:keepNext w:val="0"/>
              <w:widowControl/>
              <w:rPr>
                <w:rFonts w:hint="eastAsia" w:ascii="宋体" w:hAnsi="宋体" w:eastAsia="宋体" w:cs="宋体"/>
                <w:bCs w:val="0"/>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4、投标人服务保障体系、服务内容、故障解决方案内容不完善、不太合理、可操作性差且人员能力不足的，不得分。</w:t>
            </w:r>
            <w:r/>
          </w:p>
        </w:tc>
      </w:tr>
      <w:tr>
        <w:trPr>
          <w:trHeight w:val="350"/>
        </w:trPr>
        <w:tc>
          <w:tcPr>
            <w:tcW w:w="411"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W w:w="878" w:type="dxa"/>
            <w:vAlign w:val="center"/>
            <w:textDirection w:val="lrTb"/>
            <w:noWrap/>
          </w:tcPr>
          <w:p>
            <w:pPr>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培训方案</w:t>
            </w:r>
            <w:r/>
          </w:p>
        </w:tc>
        <w:tc>
          <w:tcPr>
            <w:tcW w:w="423"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W w:w="3286" w:type="dxa"/>
            <w:vAlign w:val="center"/>
            <w:textDirection w:val="lrTb"/>
            <w:noWrap w:val="false"/>
          </w:tcPr>
          <w:p>
            <w:pPr>
              <w:jc w:val="left"/>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评委根据投标人提供的本项目培训方案综合评分：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1、投标人具备</w:t>
            </w:r>
            <w:r>
              <w:rPr>
                <w:rFonts w:hint="eastAsia" w:ascii="宋体" w:hAnsi="宋体" w:eastAsia="宋体" w:cs="宋体"/>
                <w:color w:val="000000"/>
                <w:sz w:val="21"/>
                <w:szCs w:val="21"/>
                <w:highlight w:val="none"/>
                <w:lang w:val="en-US" w:eastAsia="zh-CN" w:bidi="ar"/>
              </w:rPr>
              <w:t xml:space="preserve">全面合理有效，具有全面详细的培训计划（包括各学科针对性培训方案）</w:t>
            </w:r>
            <w:r>
              <w:rPr>
                <w:rFonts w:hint="eastAsia" w:ascii="宋体" w:hAnsi="宋体" w:eastAsia="宋体" w:cs="宋体"/>
                <w:i w:val="0"/>
                <w:iCs w:val="0"/>
                <w:color w:val="000000"/>
                <w:sz w:val="21"/>
                <w:szCs w:val="21"/>
                <w:highlight w:val="none"/>
                <w:u w:val="none"/>
                <w:lang w:val="en-US" w:eastAsia="zh-CN" w:bidi="ar"/>
              </w:rPr>
              <w:t xml:space="preserve">，得2分；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2、投标人</w:t>
            </w:r>
            <w:r>
              <w:rPr>
                <w:rFonts w:hint="eastAsia" w:ascii="宋体" w:hAnsi="宋体" w:eastAsia="宋体" w:cs="宋体"/>
                <w:color w:val="000000"/>
                <w:sz w:val="21"/>
                <w:szCs w:val="21"/>
                <w:highlight w:val="none"/>
                <w:lang w:val="en-US" w:eastAsia="zh-CN" w:bidi="ar"/>
              </w:rPr>
              <w:t xml:space="preserve">培训方案较全面，具有基本的培训计划（包括各学科针对性培训方案），得1分；</w:t>
            </w:r>
            <w:r/>
          </w:p>
          <w:p>
            <w:pPr>
              <w:jc w:val="left"/>
              <w:keepLines w:val="0"/>
              <w:keepNext w:val="0"/>
              <w:widowControl/>
              <w:rPr>
                <w:color w:val="000000"/>
                <w:highlight w:val="none"/>
              </w:rPr>
              <w:suppressLineNumbers w:val="0"/>
            </w:pPr>
            <w:r>
              <w:rPr>
                <w:rFonts w:hint="eastAsia" w:ascii="宋体" w:hAnsi="宋体" w:eastAsia="宋体" w:cs="宋体"/>
                <w:color w:val="000000"/>
                <w:sz w:val="21"/>
                <w:szCs w:val="21"/>
                <w:highlight w:val="none"/>
                <w:lang w:val="en-US" w:eastAsia="zh-CN" w:bidi="ar"/>
              </w:rPr>
              <w:t xml:space="preserve">3、 </w:t>
            </w:r>
            <w:r>
              <w:rPr>
                <w:rFonts w:hint="eastAsia" w:ascii="宋体" w:hAnsi="宋体" w:eastAsia="宋体" w:cs="宋体"/>
                <w:i w:val="0"/>
                <w:iCs w:val="0"/>
                <w:color w:val="000000"/>
                <w:sz w:val="21"/>
                <w:szCs w:val="21"/>
                <w:highlight w:val="none"/>
                <w:u w:val="none"/>
                <w:lang w:val="en-US" w:eastAsia="zh-CN" w:bidi="ar"/>
              </w:rPr>
              <w:t xml:space="preserve">投标人</w:t>
            </w:r>
            <w:r>
              <w:rPr>
                <w:rFonts w:hint="eastAsia" w:ascii="宋体" w:hAnsi="宋体" w:eastAsia="宋体" w:cs="宋体"/>
                <w:color w:val="000000"/>
                <w:sz w:val="21"/>
                <w:szCs w:val="21"/>
                <w:highlight w:val="none"/>
                <w:lang w:val="en-US" w:eastAsia="zh-CN" w:bidi="ar"/>
              </w:rPr>
              <w:t xml:space="preserve">培训方案一般，具有一般的培训计划（包括各学科针对性培训方案），得0.5分；</w:t>
            </w:r>
            <w:r/>
          </w:p>
          <w:p>
            <w:pPr>
              <w:numPr>
                <w:ilvl w:val="0"/>
                <w:numId w:val="0"/>
              </w:numPr>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4、投标人培训方案内容不完善、不具有针对性且可操作性差的，不得分。</w:t>
            </w:r>
            <w:r/>
          </w:p>
        </w:tc>
      </w:tr>
      <w:tr>
        <w:trPr>
          <w:trHeight w:val="362"/>
        </w:trPr>
        <w:tc>
          <w:tcPr>
            <w:tcW w:w="411"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9</w:t>
            </w:r>
            <w:r/>
          </w:p>
        </w:tc>
        <w:tc>
          <w:tcPr>
            <w:tcW w:w="878"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质量保证方案</w:t>
            </w:r>
            <w:r/>
          </w:p>
        </w:tc>
        <w:tc>
          <w:tcPr>
            <w:tcW w:w="4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W w:w="328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评委根据投标人提供的本项目质量保证方案（至少包含生产工艺、质量施行规范、质量保障承诺等）综合评分：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1、方案全面，科学、合理、可行，针对性强的，得2分；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2、方案基本全面，基本科学、合理、可行，有一定针对性的，得1分；</w:t>
            </w:r>
            <w:r/>
          </w:p>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3、方案一般，基本科学、合理、可行，有一般针对性的，得0.5；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4、方案内容不完善、不太合理且可操作性差，不得分。</w:t>
            </w:r>
            <w:r/>
          </w:p>
        </w:tc>
      </w:tr>
      <w:tr>
        <w:trPr>
          <w:trHeight w:val="362"/>
        </w:trPr>
        <w:tc>
          <w:tcPr>
            <w:tcW w:w="411"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10</w:t>
            </w:r>
            <w:r/>
          </w:p>
        </w:tc>
        <w:tc>
          <w:tcPr>
            <w:tcW w:w="878" w:type="dxa"/>
            <w:vAlign w:val="center"/>
            <w:textDirection w:val="lrTb"/>
            <w:noWrap/>
          </w:tcPr>
          <w:p>
            <w:pPr>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延保承诺</w:t>
            </w:r>
            <w:r/>
          </w:p>
        </w:tc>
        <w:tc>
          <w:tcPr>
            <w:tcW w:w="423" w:type="dxa"/>
            <w:vAlign w:val="center"/>
            <w:textDirection w:val="lrTb"/>
            <w:noWrap/>
          </w:tcPr>
          <w:p>
            <w:pPr>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W w:w="3286"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整体免费质保三年的基础上，每延长一年整体质保期得1分，最高得2分。提供投标商承诺函，不提供不得分。</w:t>
            </w:r>
            <w:r/>
          </w:p>
        </w:tc>
      </w:tr>
      <w:tr>
        <w:trPr>
          <w:trHeight w:val="303"/>
        </w:trPr>
        <w:tc>
          <w:tcPr>
            <w:gridSpan w:val="2"/>
            <w:tcW w:w="23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p>
        </w:tc>
        <w:tc>
          <w:tcPr>
            <w:tcW w:w="4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tcW w:w="3286"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ind w:firstLine="480"/>
        <w:jc w:val="left"/>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注意事项：评审标准中要求提供的证明文件及资料通过</w:t>
      </w:r>
      <w:r>
        <w:rPr>
          <w:rFonts w:hint="eastAsia" w:ascii="宋体" w:hAnsi="宋体" w:eastAsia="宋体" w:cs="宋体"/>
          <w:b/>
          <w:bCs/>
          <w:color w:val="000000"/>
          <w:szCs w:val="21"/>
          <w:highlight w:val="none"/>
        </w:rPr>
        <w:t xml:space="preserve">““苏采云”政府采购一体化平台”</w:t>
      </w:r>
      <w:r>
        <w:rPr>
          <w:rFonts w:hint="eastAsia" w:ascii="宋体" w:hAnsi="宋体" w:eastAsia="宋体" w:cs="宋体"/>
          <w:color w:val="000000"/>
          <w:sz w:val="24"/>
          <w:highlight w:val="none"/>
        </w:rPr>
        <w:t xml:space="preserve">按对应评分项目（或数字编号）分别制作上传，必须保证内容具体、印章完整、清晰可辨。未按以上要求制作上传的，经评标委员会成员半数以上认定后作不得分处理。</w:t>
      </w:r>
      <w:r/>
    </w:p>
    <w:p>
      <w:pPr>
        <w:spacing w:line="360" w:lineRule="auto"/>
        <w:tabs>
          <w:tab w:val="left" w:pos="360" w:leader="none"/>
          <w:tab w:val="left" w:pos="900" w:leader="none"/>
          <w:tab w:val="left" w:pos="10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keepLines w:val="0"/>
        <w:keepNext w:val="0"/>
        <w:pageBreakBefore w:val="0"/>
        <w:spacing w:line="360" w:lineRule="auto"/>
        <w:widowControl w:val="off"/>
        <w:tabs>
          <w:tab w:val="left" w:pos="1080" w:leader="none"/>
        </w:tabs>
        <w:rPr>
          <w:rFonts w:hint="eastAsia" w:ascii="宋体" w:hAnsi="宋体" w:eastAsia="宋体" w:cs="宋体"/>
          <w:b/>
          <w:bCs/>
          <w:color w:val="000000"/>
          <w:sz w:val="24"/>
          <w:szCs w:val="24"/>
          <w:highlight w:val="none"/>
        </w:rPr>
        <w:outlineLvl w:val="0"/>
      </w:pPr>
      <w:r>
        <w:rPr>
          <w:rFonts w:hint="eastAsia" w:ascii="宋体" w:hAnsi="宋体" w:eastAsia="宋体" w:cs="宋体"/>
          <w:b/>
          <w:color w:val="000000"/>
          <w:sz w:val="36"/>
          <w:szCs w:val="36"/>
          <w:highlight w:val="none"/>
        </w:rPr>
        <w:br w:type="page" w:clear="all"/>
      </w:r>
      <w:bookmarkStart w:id="237" w:name="_Toc20229"/>
      <w:r>
        <w:rPr>
          <w:rFonts w:hint="eastAsia" w:ascii="宋体" w:hAnsi="宋体" w:eastAsia="宋体" w:cs="宋体"/>
          <w:b/>
          <w:color w:val="000000"/>
          <w:sz w:val="36"/>
          <w:szCs w:val="36"/>
          <w:highlight w:val="none"/>
        </w:rPr>
        <w:t xml:space="preserve">第五章   采购需求</w:t>
      </w:r>
      <w:bookmarkEnd w:id="237"/>
      <w:r/>
      <w:r/>
    </w:p>
    <w:p>
      <w:pPr>
        <w:pStyle w:val="1011"/>
        <w:numPr>
          <w:ilvl w:val="0"/>
          <w:numId w:val="10"/>
        </w:numPr>
        <w:ind w:left="0" w:firstLine="0"/>
        <w:spacing w:line="360" w:lineRule="auto"/>
        <w:rPr>
          <w:rFonts w:hint="eastAsia" w:ascii="宋体" w:hAnsi="宋体" w:eastAsia="宋体" w:cs="宋体"/>
          <w:b/>
          <w:strike w:val="0"/>
          <w:color w:val="000000"/>
          <w:sz w:val="24"/>
          <w:highlight w:val="none"/>
        </w:rPr>
      </w:pPr>
      <w:r>
        <w:rPr>
          <w:rFonts w:hint="eastAsia" w:ascii="宋体" w:hAnsi="宋体" w:eastAsia="宋体" w:cs="宋体"/>
          <w:b/>
          <w:bCs w:val="0"/>
          <w:strike w:val="0"/>
          <w:color w:val="000000"/>
          <w:sz w:val="24"/>
          <w:highlight w:val="none"/>
        </w:rPr>
        <w:t xml:space="preserve">项目概况</w:t>
      </w:r>
      <w:r/>
    </w:p>
    <w:p>
      <w:pPr>
        <w:pStyle w:val="1011"/>
        <w:numPr>
          <w:ilvl w:val="0"/>
          <w:numId w:val="0"/>
        </w:numPr>
        <w:ind w:left="0" w:firstLine="420"/>
        <w:spacing w:line="360" w:lineRule="auto"/>
        <w:rPr>
          <w:rFonts w:ascii="宋体" w:hAnsi="宋体"/>
          <w:b/>
          <w:bCs/>
          <w:color w:val="000000"/>
          <w:sz w:val="24"/>
          <w:szCs w:val="24"/>
          <w:highlight w:val="none"/>
        </w:rPr>
      </w:pPr>
      <w:r>
        <w:rPr>
          <w:rFonts w:hint="eastAsia" w:hAnsi="宋体"/>
          <w:bCs/>
          <w:strike w:val="0"/>
          <w:color w:val="000000"/>
          <w:highlight w:val="none"/>
        </w:rPr>
        <w:t xml:space="preserve">本项目是</w:t>
      </w:r>
      <w:r>
        <w:rPr>
          <w:rFonts w:hint="eastAsia" w:hAnsi="宋体"/>
          <w:bCs/>
          <w:strike w:val="0"/>
          <w:color w:val="000000"/>
          <w:highlight w:val="none"/>
          <w:lang w:eastAsia="zh-CN"/>
        </w:rPr>
        <w:t xml:space="preserve">常州市新北区龙虎塘中学改扩建项目实验室及专用教室设备采购</w:t>
      </w:r>
      <w:r>
        <w:rPr>
          <w:rFonts w:hint="eastAsia" w:hAnsi="宋体"/>
          <w:bCs/>
          <w:strike w:val="0"/>
          <w:color w:val="000000"/>
          <w:highlight w:val="none"/>
          <w:lang w:val="en-US" w:eastAsia="zh-CN"/>
        </w:rPr>
        <w:t xml:space="preserve">项目</w:t>
      </w:r>
      <w:r>
        <w:rPr>
          <w:rFonts w:hint="eastAsia" w:hAnsi="宋体"/>
          <w:bCs/>
          <w:strike w:val="0"/>
          <w:color w:val="000000"/>
          <w:highlight w:val="none"/>
        </w:rPr>
        <w:t xml:space="preserve">。包括但不限于：设备的制造（采购）、运输、装卸、安装、调试、测试、售后服务、技术培训等，直至通过采购单位及其他相关部门的验收以及质量保修、免费维保等全部工作。</w:t>
      </w:r>
      <w:r/>
    </w:p>
    <w:p>
      <w:pPr>
        <w:pStyle w:val="1276"/>
        <w:contextualSpacing/>
        <w:ind w:firstLine="0"/>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二、采购清单</w:t>
      </w:r>
      <w:r/>
    </w:p>
    <w:tbl>
      <w:tblPr>
        <w:tblStyle w:val="839"/>
        <w:tblW w:w="75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5"/>
        <w:gridCol w:w="3763"/>
        <w:gridCol w:w="1550"/>
        <w:gridCol w:w="1250"/>
      </w:tblGrid>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tcW w:w="37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化学上排风实验室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化学实验室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化学传感器</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项</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化学准备室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化学危化品室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化学药品室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融合教室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生物小组实验室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生物显微镜实验室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生物实验室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生物准备室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生物仪器室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9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生物标本室（利旧）</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物理实验室（利旧）</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物理实验室（新建）</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物理准备室（利旧）</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物理仪器室（利旧）</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tcW w:w="3763"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物理仪器室2（利旧）</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tcW w:w="3763" w:type="dxa"/>
            <w:vAlign w:val="center"/>
            <w:textDirection w:val="lrTb"/>
            <w:noWrap/>
          </w:tcPr>
          <w:p>
            <w:pPr>
              <w:jc w:val="left"/>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心理团体辅导室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61"/>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tcW w:w="3763" w:type="dxa"/>
            <w:vAlign w:val="center"/>
            <w:textDirection w:val="lrTb"/>
            <w:noWrap/>
          </w:tcPr>
          <w:p>
            <w:pPr>
              <w:jc w:val="left"/>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情绪疏导室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63"/>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tcW w:w="3763" w:type="dxa"/>
            <w:vAlign w:val="center"/>
            <w:textDirection w:val="lrTb"/>
            <w:noWrap/>
          </w:tcPr>
          <w:p>
            <w:pPr>
              <w:jc w:val="left"/>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音乐放松室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tcW w:w="3763" w:type="dxa"/>
            <w:vAlign w:val="center"/>
            <w:textDirection w:val="lrTb"/>
            <w:noWrap/>
          </w:tcPr>
          <w:p>
            <w:pPr>
              <w:jc w:val="left"/>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心理咨询办公接待室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tcW w:w="3763" w:type="dxa"/>
            <w:vAlign w:val="center"/>
            <w:textDirection w:val="lrTb"/>
            <w:noWrap/>
          </w:tcPr>
          <w:p>
            <w:pPr>
              <w:jc w:val="left"/>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心理咨询研讨督导室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tcW w:w="3763" w:type="dxa"/>
            <w:vAlign w:val="center"/>
            <w:textDirection w:val="lrTb"/>
            <w:noWrap/>
          </w:tcPr>
          <w:p>
            <w:pPr>
              <w:jc w:val="left"/>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沙盘游戏室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0"/>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tcW w:w="3763" w:type="dxa"/>
            <w:vAlign w:val="center"/>
            <w:textDirection w:val="lrTb"/>
            <w:noWrap/>
          </w:tcPr>
          <w:p>
            <w:pPr>
              <w:jc w:val="left"/>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心理个体辅导室</w:t>
            </w:r>
            <w:r/>
          </w:p>
        </w:tc>
        <w:tc>
          <w:tcPr>
            <w:tcW w:w="15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bl>
    <w:p>
      <w:pPr>
        <w:pStyle w:val="1106"/>
        <w:rPr>
          <w:rFonts w:hint="eastAsia"/>
          <w:highlight w:val="none"/>
        </w:rPr>
      </w:pPr>
      <w:r>
        <w:rPr>
          <w:rFonts w:hint="eastAsia"/>
          <w:highlight w:val="none"/>
        </w:rPr>
        <w:br w:type="page" w:clear="all"/>
      </w:r>
      <w:r/>
    </w:p>
    <w:tbl>
      <w:tblPr>
        <w:tblStyle w:val="839"/>
        <w:tblW w:w="9192" w:type="dxa"/>
        <w:tblInd w:w="-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680"/>
        <w:gridCol w:w="5232"/>
        <w:gridCol w:w="720"/>
        <w:gridCol w:w="840"/>
      </w:tblGrid>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化学上排风实验室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演示台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尺寸2400mm×700mm×850mm±10mm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2、台面参数：采用12.7mm厚实芯理化板，具有耐酸碱腐蚀、抗污染、防水、防火特性，台面立面倒角、打磨，各处光滑。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台身结构参数：前柜门4樘后柜门4樘共计8樘柜门，抽屉3个，键盘位1个、水槽位1组，并预留总控电源位置1个和多媒体设备（如显示器、主机、实物展台等多媒体设备）储存空间1个；台身采用16mm厚E0级生态免漆板制作，1.5mm厚塑制优质封边条机械封边（板材加工截面均应封边），开孔部位均采用专业磨具成型的配件封堵。实验台下裙条（高度≥78mm）采用铝合金模具成型，铝合金内部卡扣镶嵌18mm厚生态免漆板材，内层板材据地不低于20mm，增加强度，具有良好的支撑特性。底部稳固平整，产品整体美观立体、防水耐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4、其他参数：阻尼铰链、机械滑轨：采用优质铰链和三节静音滑轨。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5、水槽：尺寸440mm×340mm×280mm±5mm，数量1个。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材料：高密度PP，耐强腐蚀。表面纹理：槽沿表面处理为皮纹，耐刻刮，与大部分台面板表面纹理一致，附件：高密度PP去水；含阻水盖、PP提笼。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6、台式三口鹅颈水龙头，数量1套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主体：加厚铜质，涂层：高亮度环氧树脂涂层，耐腐蚀、耐热、防紫外线辐射，陶瓷阀芯：90°旋转，使用寿命开关50万次，静态最大耐压20巴，附件：可拆卸铜质水嘴，可加接防溅滤水器，开关旋钮：高密度PP，人体工程学设计，手感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7、五孔插座一个。</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紧急洗眼器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1、加厚铜质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2、高亮度环氧树脂涂层，耐腐蚀、耐热，防紫外线辐射，喷淋头为软性橡胶，出水经缓压处理呈泡沫状水柱，防止冲伤眼睛。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3、防尘盖为PP材质，使用时自动被水冲开。</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付</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学生实验桌（学生实验台 ）</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尺寸1200mm×600mm×780mm±10mm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w:t>
            </w:r>
            <w:r>
              <w:rPr>
                <w:rFonts w:hint="eastAsia" w:ascii="宋体" w:hAnsi="宋体" w:cs="宋体"/>
                <w:i w:val="0"/>
                <w:iCs w:val="0"/>
                <w:color w:val="000000"/>
                <w:sz w:val="22"/>
                <w:szCs w:val="22"/>
                <w:highlight w:val="none"/>
                <w:u w:val="none"/>
                <w:lang w:val="en-US" w:eastAsia="zh-CN" w:bidi="ar"/>
              </w:rPr>
              <w:t xml:space="preserve">或</w:t>
            </w:r>
            <w:r>
              <w:rPr>
                <w:rFonts w:hint="eastAsia" w:ascii="宋体" w:hAnsi="宋体" w:cs="宋体"/>
                <w:i w:val="0"/>
                <w:iCs w:val="0"/>
                <w:color w:val="000000"/>
                <w:sz w:val="22"/>
                <w:szCs w:val="22"/>
                <w:highlight w:val="none"/>
                <w:u w:val="none"/>
                <w:shd w:val="clear" w:color="auto" w:fill="ffff00"/>
                <w:lang w:val="en-US" w:eastAsia="zh-CN" w:bidi="ar"/>
              </w:rPr>
              <w:t xml:space="preserve">或铝塑</w:t>
            </w:r>
            <w:r>
              <w:rPr>
                <w:rFonts w:hint="eastAsia" w:ascii="宋体" w:hAnsi="宋体" w:eastAsia="宋体" w:cs="宋体"/>
                <w:i w:val="0"/>
                <w:iCs w:val="0"/>
                <w:color w:val="000000"/>
                <w:sz w:val="22"/>
                <w:szCs w:val="22"/>
                <w:highlight w:val="none"/>
                <w:u w:val="none"/>
                <w:lang w:val="en-US" w:eastAsia="zh-CN" w:bidi="ar"/>
              </w:rPr>
              <w:t xml:space="preserve">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抗污染、防水、防火特性，台面立面倒角、打磨，各处光滑。台面围栏采用铝合金型材，规格尺寸为：高85mm×8mm×1.5mm；台面底的矩形托架采用规格为30mm×20mm×1.0mm钢管加工制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身参数：立腿采用40mm×80mm×1.5mm厚钢管加工制作，表面经高压静电喷涂环氧树脂防护层，耐酸碱，耐腐蚀处理。立腿上端采用PA6增强尼龙一次性注塑成型的连接件，整体成T形，尺寸≥380mm×41mm×245mm，预埋3个M6铜质螺母便于整体连接；斜腿支脚采用40mm×80mm×1.5mm厚钢管焊接，底脚采用PA6一体注塑成型支撑脚，内部设计固定孔，通过膨胀螺栓固定桌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3、桌脚：采用优质实验室专用可调脚，整体可拆装；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4、书斗：书包斗采用注塑模具一次成型，尺寸为398mm×465mm×125mm，整体壁厚≥4mm。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▲7.物理、化学实验台面耐高温：应无裂纹（所投产品制造商提供满足检测标准：GB/T 24820-2024《实验室家具通用技术条件》的具有CMA标志的检测报告）。</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▲8.有害物质限量：甲醛释放量：≤0.04mg/m3（所投产品制造商提供满足检测标准：GB/T 35607-</w:t>
            </w:r>
            <w:r>
              <w:rPr>
                <w:rFonts w:hint="eastAsia" w:ascii="宋体" w:hAnsi="宋体" w:eastAsia="宋体" w:cs="宋体"/>
                <w:i w:val="0"/>
                <w:iCs w:val="0"/>
                <w:color w:val="000000"/>
                <w:sz w:val="22"/>
                <w:szCs w:val="22"/>
                <w:highlight w:val="none"/>
                <w:u w:val="none"/>
                <w:lang w:val="en-US" w:eastAsia="zh-CN" w:bidi="ar"/>
              </w:rPr>
              <w:t xml:space="preserve">2024</w:t>
            </w:r>
            <w:r>
              <w:rPr>
                <w:rFonts w:hint="eastAsia" w:ascii="宋体" w:hAnsi="宋体" w:eastAsia="宋体" w:cs="宋体"/>
                <w:i w:val="0"/>
                <w:iCs w:val="0"/>
                <w:color w:val="000000"/>
                <w:sz w:val="22"/>
                <w:szCs w:val="22"/>
                <w:highlight w:val="none"/>
                <w:u w:val="none"/>
                <w:lang w:val="en-US" w:eastAsia="zh-CN" w:bidi="ar"/>
              </w:rPr>
              <w:t xml:space="preserve">《绿色产品评价家具》的具有CMA标志的检测报告）。</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功能柱</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尺寸300mm*180mm*760mm ±10mm                                                                                                           </w:t>
            </w:r>
            <w:r>
              <w:rPr>
                <w:rFonts w:hint="eastAsia" w:ascii="宋体" w:hAnsi="宋体" w:eastAsia="宋体" w:cs="宋体"/>
                <w:i w:val="0"/>
                <w:iCs w:val="0"/>
                <w:color w:val="000000"/>
                <w:sz w:val="22"/>
                <w:szCs w:val="22"/>
                <w:highlight w:val="none"/>
                <w:u w:val="none"/>
                <w:lang w:val="en-US" w:eastAsia="zh-CN" w:bidi="ar"/>
              </w:rPr>
              <w:t xml:space="preserve">                         1.产品结构：全钢结构 。                                                                                                                                                          2.壳体及底座：采用1.0mm优质镀锌钢板，外形呈多边形样式上下两段式，上部前后壳体采用挂钩滑槽孔方便安装；下部底座为焊接组合件</w:t>
            </w:r>
            <w:r>
              <w:rPr>
                <w:rFonts w:hint="eastAsia" w:ascii="宋体" w:hAnsi="宋体" w:eastAsia="宋体" w:cs="宋体"/>
                <w:i w:val="0"/>
                <w:iCs w:val="0"/>
                <w:color w:val="000000"/>
                <w:sz w:val="22"/>
                <w:szCs w:val="22"/>
                <w:highlight w:val="none"/>
                <w:u w:val="none"/>
                <w:lang w:val="en-US" w:eastAsia="zh-CN" w:bidi="ar"/>
              </w:rPr>
              <w:t xml:space="preserve">，底部钢板预留膨胀螺栓孔与地面固定，所有钢制部件经激光下料、折弯、CO2保护焊焊接，打磨处理，表面经耐酸碱EPOXY粉末烤漆处理（烤漆膜厚度平均值≥70μm），                                                                                                                                              3.功能：中空壳体内部可满足桌面排风、数字化设备、布管线等扩展需求。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学生凳</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尺寸345×245×420mm±10mm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2、凳面参数：凳面尺寸≥345×245mm±5mm  凳面采用共聚丙烯工程塑料模具注塑成型，凳面内镶嵌四颗≥Φ6螺杆，要求螺栓与凳面在注塑过程中一体成型，凳面造型符合人体工程学。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3、凳身参数：凳体采用全钢框架，钢管壁厚≥1.2mm,经酸洗磷化处理，表面喷塑，底脚采用专业ABS模具成型。</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水槽柜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1、钢塑结构，分为柜体、水槽、底脚三部分。外接触面均做圆角处理，无安全隐患。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2、水槽尺寸585×440×230mm±10mm，采用共聚PP材料，一体注塑成型，具有良好的耐酸碱、耐高温、耐腐蚀的特性。壁厚≥2.0mm，内凹造型，水槽内部置抗腐蚀金属过滤网，网格尺寸355x100x1.5mm±3%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3、柜体采用1.0mm优质冷轧钢板制作，表面喷塑处理，钢板壁厚不低于1.0mm。柜门及柜身圆弧设计。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4、地脚：采用PP材质，磨具一次成型，耐酸碱腐蚀。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▲5.塑料材料理化性能耐老化性(室内用：500h)：冲击强度≥10J/m²、冲击强度的保持率≥60%、外观颜色变色评级≥3级、检验检测结果合格。(所投产品制造商提供满足检测标准：GB/T 32487-</w:t>
            </w:r>
            <w:r>
              <w:rPr>
                <w:rFonts w:hint="eastAsia" w:ascii="宋体" w:hAnsi="宋体" w:eastAsia="宋体" w:cs="宋体"/>
                <w:i w:val="0"/>
                <w:iCs w:val="0"/>
                <w:color w:val="000000"/>
                <w:sz w:val="22"/>
                <w:szCs w:val="22"/>
                <w:highlight w:val="none"/>
                <w:u w:val="none"/>
                <w:lang w:val="en-US" w:eastAsia="zh-CN" w:bidi="ar"/>
              </w:rPr>
              <w:t xml:space="preserve">2016</w:t>
            </w:r>
            <w:r>
              <w:rPr>
                <w:rFonts w:hint="eastAsia" w:ascii="宋体" w:hAnsi="宋体" w:eastAsia="宋体" w:cs="宋体"/>
                <w:i w:val="0"/>
                <w:iCs w:val="0"/>
                <w:color w:val="000000"/>
                <w:sz w:val="22"/>
                <w:szCs w:val="22"/>
                <w:highlight w:val="none"/>
                <w:u w:val="none"/>
                <w:lang w:val="en-US" w:eastAsia="zh-CN" w:bidi="ar"/>
              </w:rPr>
              <w:t xml:space="preserve">《塑料家具通用技术条件》的具有CMA标志的检测报告）。</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▲6.理化性能塑料件耐冷热循环：应无裂纹、鼓泡、变色、起皱，硬度：邵氏D硬度≥HD63 (所投产品制造商提供满足检测标准：GB/T 32487-</w:t>
            </w:r>
            <w:r>
              <w:rPr>
                <w:rFonts w:hint="eastAsia" w:ascii="宋体" w:hAnsi="宋体" w:eastAsia="宋体" w:cs="宋体"/>
                <w:i w:val="0"/>
                <w:iCs w:val="0"/>
                <w:color w:val="000000"/>
                <w:sz w:val="22"/>
                <w:szCs w:val="22"/>
                <w:highlight w:val="none"/>
                <w:u w:val="none"/>
                <w:lang w:val="en-US" w:eastAsia="zh-CN" w:bidi="ar"/>
              </w:rPr>
              <w:t xml:space="preserve">2016</w:t>
            </w:r>
            <w:r>
              <w:rPr>
                <w:rFonts w:hint="eastAsia" w:ascii="宋体" w:hAnsi="宋体" w:eastAsia="宋体" w:cs="宋体"/>
                <w:i w:val="0"/>
                <w:iCs w:val="0"/>
                <w:color w:val="000000"/>
                <w:sz w:val="22"/>
                <w:szCs w:val="22"/>
                <w:highlight w:val="none"/>
                <w:u w:val="none"/>
                <w:lang w:val="en-US" w:eastAsia="zh-CN" w:bidi="ar"/>
              </w:rPr>
              <w:t xml:space="preserve">《塑料家具通用技术条件》的具有CMA标志的检测报告）。</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单联龙头</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单联台式鹅颈水龙头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1、主体：加厚铜质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2、涂层：高亮度环氧树脂涂层，耐腐蚀、耐热、防紫外线辐射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3、陶瓷阀芯：90°旋转，使用寿命开关50万次，静态最大耐压20巴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4、附件：可拆卸铜质水嘴，可加接防溅滤水器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5、开关旋钮：高密度PP，人体工程学设计，手感舒适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教师主控</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1,主机钢制抽屉式结构。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2,内有实验室实验用电控制漏电总开关，PVC面膜，刷卡定时开关，可控制关机时间。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3,工业5寸液晶触摸屏显示，显示年月日星期及控制数据，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4,可控制学生高低压分组四路输出，可控制风量大小，风机开关，控制黑板多媒体等教师讲台用电。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5,控制学生低压直流输出电压0—24V电流60A。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6,教师演示稳压输出0—30V电流6A。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7,过载保护显示复位,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8,五孔220V插座输出。</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学生电源</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1,ABS塑制可翻转书斗镶嵌结构，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2,PC面板液晶显示，触摸按键调节电压，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3,工作过载液晶屏幕显示，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学生直流电源调节范围为0～24V，分辨率可达0.1V,额定电流2A，加载电流0～2A时，输出电压稳定，误差范围0.1V之内，具有过载保护智能检测功能。（电流高于过载点则自动保护，电流低于过载点则恢复至设定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5，当输入电压在198v-242v间变化，在额定电流输出时低压交流电压变化量≤(2%U标 +0.1)V。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6，五孔交流220V插座输出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含电源安装：地上部分线路采用铝塑护套管，内穿塑铜线，有效固定。</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万向吸风罩</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1、关节：高密度PP材质，可360°旋转调节方向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2、关节密封圈：不易老化之高密度橡胶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3、关节链接杆：304不锈钢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4、关节松紧旋钮：高密度PP材质，内嵌不锈钢轴承，与关节连接杆锁合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5、气流调节阀：手动调节外部阀门旋钮，控制进入之气流量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6、拱形/环形集气罩：高密度PP/PC材质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7、伸缩导管：不小于Φ75mmPP</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8、独有360°旋转装置：以固定架为中心最大活动半径可达1500mm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9、固定底座：高密度PVC材质，非粘接而成，模具注塑一体成型，牢度强，不脱底</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全室通风机</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1、4-72型AC式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2、风量：6650-11050m³/h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3、6#离心式通风机，噪声要求按行业标准＜55分贝，材质采用玻璃钢制作，带进出口消音器，防水帽，电机，电机防护罩，减震器等。电动机功率4KW。</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变频器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1、5.5KW变频器，具备过流，过压，缺项，过热保护功能，显示电压，转数，频率等各项参数。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2、数码显示，操着简单易懂，精确保证电机的转数。</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室内通风管道</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1、通风管道：采用耐酸碱腐蚀、防污染、抗高压、抗龟裂的UPVC塑料专用管道.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2、实验室主管道φ300㎜,支管管道φ200mm,塑料管道内壁光滑、材质坚固、连接性好，使通风性有显著提高。主管道壁厚≥4㎜。</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垂直引风管道</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管道φ400mm</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 </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化学实验室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演示台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尺寸2400mm×700mm×850mm±10mm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2、台面参数：采用12.7mm厚实芯理化板，具有耐酸碱腐蚀、抗污染、防水、防火特性，台面立面倒角、打磨，各处光滑。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台身结构参数：前柜门4樘后柜门4樘共计8樘柜门，抽屉3个，键盘位1个、水槽位1组，并预留总控电源位置1个和多媒体设备（如显示器、主机、实物展台等多媒体设备）储存空间1个；台身采用16mm厚E0级生态免漆板制作，1.5mm厚塑制优质封边条机械封边（板材加工截面均应封边），开孔部位均采用专业磨具成型的配件封堵。实验台下裙条（高度≥78mm）采用铝合金模具成型，铝合金内部卡扣镶嵌18mm厚生态免漆板材，内层板材据地不低于20mm，增加强度，具有良好的支撑特性。底部稳固平整，产品整体美观立体、防水耐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4、其他参数：阻尼铰链、机械滑轨：采用优质铰链和三节静音滑轨。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5、水槽：尺寸440mm×340mm×280mm±5mm，数量1个。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材料：高密度PP，耐强腐蚀。表面纹理：槽沿表面处理为皮纹，耐刻刮，与大部分台面板表面纹理一致，附件：高密度PP去水；含阻水盖、PP提笼。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6、台式三口鹅颈水龙头，数量1套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主体：加厚铜质，涂层：高亮度环氧树脂涂层，耐腐蚀、耐热、防紫外线辐射，陶瓷阀芯：90°旋转，使用寿命开关50万次，静态最大耐压20巴，附件：可拆卸铜质水嘴，可加接防溅滤水器，开关旋钮：高密度PP，人体工程学设计，手感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7、五孔插座一个。</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紧急洗眼器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1、加厚铜质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2、高亮度环氧树脂涂层，耐腐蚀、耐热，防紫外线辐射，喷淋头为软性橡胶，出水经缓压处理呈泡沫状水柱，防止冲伤眼睛。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3、防尘盖为PP材质，使用时自动被水冲开。</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付</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学生实验桌（学生实验台 ）</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尺寸1200mm×600mm×780mm±10mm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w:t>
            </w:r>
            <w:r>
              <w:rPr>
                <w:rFonts w:hint="eastAsia" w:ascii="宋体" w:hAnsi="宋体" w:cs="宋体"/>
                <w:i w:val="0"/>
                <w:iCs w:val="0"/>
                <w:color w:val="000000"/>
                <w:sz w:val="22"/>
                <w:szCs w:val="22"/>
                <w:highlight w:val="none"/>
                <w:u w:val="none"/>
                <w:shd w:val="clear" w:color="auto" w:fill="ffff00"/>
                <w:lang w:val="en-US" w:eastAsia="zh-CN" w:bidi="ar"/>
              </w:rPr>
              <w:t xml:space="preserve">或铝塑</w:t>
            </w:r>
            <w:r>
              <w:rPr>
                <w:rFonts w:hint="eastAsia" w:ascii="宋体" w:hAnsi="宋体" w:eastAsia="宋体" w:cs="宋体"/>
                <w:i w:val="0"/>
                <w:iCs w:val="0"/>
                <w:color w:val="000000"/>
                <w:sz w:val="22"/>
                <w:szCs w:val="22"/>
                <w:highlight w:val="none"/>
                <w:u w:val="none"/>
                <w:lang w:val="en-US" w:eastAsia="zh-CN" w:bidi="ar"/>
              </w:rPr>
              <w:t xml:space="preserve">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抗污染、防水、防火特性，台面立面倒角、打磨，各处光滑。台面围栏采用铝合金型材，规格尺寸为：高85mm×8mm×1.5mm；台面底的矩形托架采用规格为30mm×20mm×1.0mm钢管加工制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身参数：立腿采用40mm×80mm×1.5mm厚钢管加工制作，表面经高压静电喷涂环氧树脂防护层，耐酸碱，耐腐蚀处理。立腿上端采用PA6增强尼龙一次性注塑成型的连接件，整体成T形，尺寸≥380mm×41mm×245mm，预埋3个M6铜质螺母便于整体连接；斜腿支脚采用40mm×80mm×1.5mm厚钢管焊接，底脚采用PA6一体注塑成型支撑脚，内部设计固定孔，通过膨胀螺栓固定桌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3、桌脚：采用优质实验室专用可调脚，整体可拆装；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4、书斗：书包斗采用注塑模具一次成型，尺寸为398mm×465mm×125mm，整体壁厚≥4mm。</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功能柱</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尺寸300mm*180mm*760mm ±10mm                                                                                                           </w:t>
            </w:r>
            <w:r>
              <w:rPr>
                <w:rFonts w:hint="eastAsia" w:ascii="宋体" w:hAnsi="宋体" w:eastAsia="宋体" w:cs="宋体"/>
                <w:i w:val="0"/>
                <w:iCs w:val="0"/>
                <w:color w:val="000000"/>
                <w:sz w:val="22"/>
                <w:szCs w:val="22"/>
                <w:highlight w:val="none"/>
                <w:u w:val="none"/>
                <w:lang w:val="en-US" w:eastAsia="zh-CN" w:bidi="ar"/>
              </w:rPr>
              <w:t xml:space="preserve">                         1.产品结构：全钢结构 。                                                                                                                                                          2.壳体及底座：采用1.0mm优质镀锌钢板，外形呈多边形样式上下两段式，上部前后壳体采用挂钩滑槽孔方便安装；下部底座为焊接组合件</w:t>
            </w:r>
            <w:r>
              <w:rPr>
                <w:rFonts w:hint="eastAsia" w:ascii="宋体" w:hAnsi="宋体" w:eastAsia="宋体" w:cs="宋体"/>
                <w:i w:val="0"/>
                <w:iCs w:val="0"/>
                <w:color w:val="000000"/>
                <w:sz w:val="22"/>
                <w:szCs w:val="22"/>
                <w:highlight w:val="none"/>
                <w:u w:val="none"/>
                <w:lang w:val="en-US" w:eastAsia="zh-CN" w:bidi="ar"/>
              </w:rPr>
              <w:t xml:space="preserve">，底部钢板预留膨胀螺栓孔与地面固定，所有钢制部件经激光下料、折弯、CO2保护焊焊接，打磨处理，表面经耐酸碱EPOXY粉末烤漆处理（烤漆膜厚度平均值≥70μm），                                                                                                                                              3.功能：中空壳体内部可满足桌面排风、数字化设备、布管线等扩展需求。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学生凳</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尺寸345×245×420mm±10mm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2、凳面参数：凳面尺寸≥345×245mm±5mm  凳面采用共聚丙烯工程塑料模具注塑成型，凳面内镶嵌四颗≥Φ6螺杆，要求螺栓与凳面在注塑过程中一体成型，凳面造型符合人体工程学。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3、凳身参数：凳体采用全钢框架，钢管壁厚≥1.2mm,经酸洗磷化处理，表面喷塑，底脚采用专业ABS模具成型。</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水槽柜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1、钢塑结构，分为柜体、水槽、底脚三部分。外接触面均做圆角处理，无安全隐患。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2、水槽尺寸585×440×230mm±10mm，采用共聚PP材料，一体注塑成型，具有良好的耐酸碱、耐高温、耐腐蚀的特性。壁厚≥2.0mm，内凹造型，水槽内部置抗腐蚀金属过滤网，网格尺寸355x100x1.5mm±3%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3、柜体采用1.0mm优质冷轧钢板制作，表面喷塑处理，钢板壁厚不低于1.0mm。柜门及柜身圆弧设计。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4、地脚：采用PP材质，磨具一次成型，耐酸碱腐蚀。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单联龙头</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单联台式鹅颈水龙头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1、主体：加厚铜质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2、涂层：高亮度环氧树脂涂层，耐腐蚀、耐热、防紫外线辐射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3、陶瓷阀芯：90°旋转，使用寿命开关50万次，静态最大耐压20巴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4、附件：可拆卸铜质水嘴，可加接防溅滤水器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5、开关旋钮：高密度PP，人体工程学设计，手感舒适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教师主控</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1,主机钢制抽屉式结构。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2,内有实验室实验用电控制漏电总开关，PVC面膜，刷卡定时开关，可控制关机时间。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3,工业5寸液晶触摸屏显示，显示年月日星期及控制数据，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4,可控制学生高低压分组四路输出，可控制风量大小，风机开关，控制黑板多媒体等教师讲台用电。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5,控制学生低压直流输出电压0—24V电流60A。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6,教师演示稳压输出0—30V电流6A。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7,过载保护显示复位,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8,五孔220V插座输出。</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学生电源</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1,ABS塑制可翻转书斗镶嵌结构，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2,PC面板液晶显示，触摸按键调节电压，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3,工作过载液晶屏幕显示，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学生直流电源调节范围为0～24V，分辨率可达0.1V,额定电流2A，加载电流0～2A时，输出电压稳定，误差范围0.1V之内，具有过载保护智能检测功能。（电流高于过载点则自动保护，电流低于过载点则恢复至设定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5，当输入电压在198v-242v间变化，在额定电流输出时低压交流电压变化量≤(2%U标 +0.1)V。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6，五孔交流220V插座输出。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含电源安装：地上部分线路采用铝塑护套管，内穿塑铜线，有效固定。</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0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化学传感器</w:t>
            </w:r>
            <w:r/>
          </w:p>
        </w:tc>
      </w:tr>
      <w:tr>
        <w:trPr>
          <w:trHeight w:val="30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00"/>
        </w:trPr>
        <w:tc>
          <w:tcPr>
            <w:tcW w:w="72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教师端传感器</w:t>
            </w:r>
            <w:r/>
          </w:p>
        </w:tc>
        <w:tc>
          <w:tcPr>
            <w:tcW w:w="5232" w:type="dxa"/>
            <w:vAlign w:val="top"/>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2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4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智能数字实验盘</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数字实验盘是一款功能强大、小巧轻便的数字化实验采集器，可满足中小学各个学科的实验需求。采集器与传感器之间采用Lightning接口，采用环绕式可插拔设计，可任意更换传感器，无需数据线连接。为学生探索科学世界创建了一个简洁的实验环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1.一体化设计，7个传感器接口，支持7种传感器模块同时工作和数据显示，可自定义接入传感器的种类。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2.内置三轴加速度、GPS、环境温度、气压计、相对高度计等传感器。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3.显示屏：3.5英寸480*320TFT触摸屏，配有触控笔。</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4.最大采样速率：100kHz；采样解析度：12位分辨率。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5.最大数据存储量：6万点。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6.连接终端方式：USB、蓝牙。</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7.内置电池：1800mAh锂电池；待机时间：大于6个月；电源适配器：100V~240V，AC/5V，DC/1A。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8.正面设有电源指示灯，背面设有支脚架、固定螺纹孔、复位孔、触控笔笔槽。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9.支持平台：多平台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10.支持无线连接计算机、手机、平板等终端设备。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11.支持独立采集模式、离线采集、支持外接终端采集、支持无线传输。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12.具有通用接口模块，可外扩其他类型的传感器，通用接口采用Lightning接口DDGC,外扩传感器插头采用双面设计，支持正反盲插接入通用接口，无需关心插入的方向，易插易用。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13.固件升级：固件可通过USB接口进行升级，无需拆开设备，开机长按功能键并插入USB连接线即可进行固件升级，无需厂商参与。</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14.产品中铅、汞、镉、六价铬、增塑剂、阻燃剂含量符合RoHs有害物质含量限值标准要求。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15.产品中不含甲醛、砷，符合环保标准要求。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数字化实验系统</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支持实验设计、数据采集和保存、数据分析计算等，是一款功能强大的教学用实验数据处理软件。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1.支持多个平台操作系统。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2.支持有线连接，无线蓝牙连接。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3.支持传感器自动识别。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4.可连接多个采集器，并支持多个采集器同时工作。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5.可支持20个传感器同时采集。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6.通过坐标图像曲线、表格、数值、仪表盘等方式，实时、直观、精确显示实验数据。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7.根据实验需要，可进行公式（变量）编辑，自主添加实验变量（或增量等），并通过公式编辑实现不同物理量之间的转换。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8.可对数据图表操作，包括对图表内数据曲线的移动、缩放、改变曲线颜色及大小等，便于实验前后的数据分析处理，适合于教学中实验结果的精确测定与验证。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9.具有完善的数据处理功能DDGC，包含多种数据拟合：直线拟合、抛物线拟合、倒数拟合、积分、重叠显示等。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10.实验结果以图片等不同方式进行保存。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11.包含小学科学、初中物理、初中化学、初中生物、高中物理、高中生物、高中化学7个专用实验模块，超过150个实验专有模板，全定制化的实验界面及实验操作，贴合教学过程。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12.软件可关联“在线实验设计平台”，通过注册和登录，登录之后可使用“在线实验设计平台”，体验功能更为强大的实验自主设计软件。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13.通用界面支持多种功能风格显示，并且可自定义界面风格。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▲14、提供丰富完整的在线实验教学案例，资源数量不少于700个。（所投产品制造商提供具有CMA标志的检测报告和相关网页截图材料，供评委现场验证。)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▲15、提供丰富的在线实验视频，视频数量不少于150个，（所投产品制造商提供具有CMA标志的检测报告和相关网页截图材料，供评委现场验证。)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▲16、在线实验视频既可以通过自有平台浏览，同时也可以通过第三方平台浏览，（所投产品制造商提供具有CMA标志的检测报告和相关网页截图材料，供评委现场验证。)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温度传感器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温度传感器采用模块化设计，通过Lightning接口与采集器连接，具有热插拔功能，连接传输稳定。搭配采集器通过有线、无线方式连接电脑、手机或平板等终端进行数据采集，在终端上实时显示并记录温度的变化，绘制温度-时间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传感器正面为电源指示灯，前端为探头插孔，后端为Lightning接口，附件为温度探头。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1.用于测量物体表面、气体、酸碱等液体的温度。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2.传感器采用模块化设计，可任意组合，使用更换方便快捷。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3.温度探头为3.5mm耳机插头，耳机插孔式连接，连接稳定，无干扰。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5.传感器上具有通电指示灯，可以快速判断是否正确连接。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7.无需校准，即连即用。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1.量程：-40℃~135℃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2.精度：±0.6℃</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不同颜色物体的吸热散热研究实验、探究非生物因素对鼠妇分布的影响实验、不同液体的吸热散热研究、水的降温规律、摩擦做功、水的沸腾实验、沸点与压强关系、焦耳定律、酸碱反应热、铁的吸氧腐蚀等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绝对压强传感器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绝对压强传感器配有压强软管、鲁尔头和针筒，使用方便、保证实验的气密性；采用模块化设计，通过Lightning接口与采集器连接，具有热插拔功能，连接传输稳定。搭配采集器通过有线、无线方式连接电脑、手机或平板等终端进行数据采集，在终端上实时显示并记录压强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传感器正面为电源指示灯，前端为鲁尔接头母头，后端为Lightning接口，附件为软管、鲁尔公头、针筒。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1.用于测量大气环境下或密闭空间内的气体的压强。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2.传感器采用模块化设计，可任意组合，使用更换方便快捷。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4.传感器上具有通电指示灯，可以快速判断是否正确连接。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6.支持传感器校准。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1.量程：0~400kPa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3.分辨率：0.1kPa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测定空气里氧气的含量、二氧化锰对过氧化氢分解的影响、金属与酸的反应、酶催化的高效性、沸点与压强的关系、气体压强与受力面积、空气分子间的作用力、测量大气压强、探究压缩空气的力量、玻意耳定律、查理定律实验、查理定律、研究液体内部的压强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多量程电流传感器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多量程电流传感器采用模块化设计，配合通用接口，通过Lightning接口与采集器连接，支持正反盲插，具有热插拔功能，连接传输稳定。搭配采集器通过有线、无线方式连接电脑、手机或平板等终端进行数据采集，在终端上实时显示并记录电流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传感器正面为档位调节开关，前端为鳄鱼夹导线，后端为Lightning接口线。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1.用于测量电路中的电流。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2.具有三量程切换开关，可根据实验要求一键切换测量量程。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5.支持传感器校零。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档位1：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1.量程：-20mA~20mA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3.分辨率：0.01mA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4.内阻：5.1Ω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档位2：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1.量程：-200mA~ 200mA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3.分辨率：0.1mA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4.内阻：500mΩ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档位3：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1.量程：-2A~2A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3.分辨率：0.001A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4.内阻：50mΩ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欧姆定律、描绘小灯泡的伏安特性曲线、电池的电动势和内阻的测量、电阻的串并联、LC振荡、电磁感应现象、感应电流、电容器的串并联及充放电等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PH传感器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PH传感器采用模块化设计，配合通用接口，通过Lightning接口与采集器连接，支持正反盲插，具有热插拔功能，连接传输稳定。搭配采集器通过有线、无线方式连接电脑、手机或平板等终端进行数据采集，在终端上实时显示并记录溶液酸碱值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一体式传感器，Lightning接口。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1.pH探头由内部参比电极和玻璃电极构成，用于测量溶液的酸碱值。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4.支持标定功能。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1.量程：0~14</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2.精度：±0.2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不同浓度溶液的pH差异、浓氨水的挥发和氨气的溶解、探究二氧化碳与澄清石灰水的反应、土壤酸碱性的测量、测量自然水体的酸碱度、水体的理化性质测定、不同盐溶液的酸碱性、测量溶液的pH、二氧化碳的溶解性实验、二氧化碳和氢氧化钠的反应、不同物质的酸碱性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电导率传感器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导率传感器采用模块化设计，配合通用接口，通过Lightning接口与采集器连接，支持正反盲插，具有热插拔功能，连接传输稳定。搭配采集器通过有线、无线方式连接电脑、手机或平板等终端进行数据采集，在终端上实时显示并记录电导率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一体式传感器，Lightning接口。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1.用于测量溶液的电导率及其变化。</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4.支持标定功能。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1.量程：0~20000μS/cm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2.精度：±3%F.S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3.分辨率：6μS/cm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不同浓度溶液电导率的差异、水体的理化性质测定、测量水样的电导率等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高温传感器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温传感器采用模块化设计，通过Lightning接口与采集器连接，具有热插拔功能，连接传输稳定。搭配采集器通过有线、无线方式连接电脑、手机或平板等终端进行数据采集，在终端上实时显示并记录温度的变化，绘制温度-时间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传感器正面为电源指示灯，前端为探头插孔，后端为Lightning接口，附件为高温探头。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1.用于测量物体表面、气体、酸碱等液体的温度，也可用于超低温及高温的测量。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2.传感器采用模块化设计，可任意组合，使用更换方便快捷。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3.高温探头为为3.5mm耳机插头，耳机插孔式连接，连接稳定，无干扰。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5.传感器上具有通电指示灯，可以快速判断是否正确连接。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7.无需校准，即连即用。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1.量程：-200℃~1200℃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3.分辨率：0.25℃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探究酒精灯火焰不同部位的温度、探究固体熔化时的温度变化规律等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溶氧气氧一体传感器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溶解氧-气中氧一体传感器采用模块化设计，配合通用接口，通过Lightning接口与采集器连接，支持正反盲插，具有热插拔功能，连接传输稳定。搭配采集器通过有线、无线方式连接电脑、手机或平板等终端进行数据采集，在终端上实时显示并记录氧含量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一体式传感器，Lightning接口，附件为填充液、校准液、电极帽。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1.用于测量气体、溶液中的氧含量。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4.可支持气中氧校准、溶解氧标定功能。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溶氧：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1.量程：0~20mg/L</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2.精度：±0.5mg/L</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3.分辨率：0.01mg/L</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气氧：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1.量程：0~100%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2.精度：±2%F.S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对人体吸入的空气和呼出的气体的探究、对蜡烛燃烧的探究、水体的理化性质测定、测定空气里氧气的含量、空气质量检测、酵母菌的呼吸作用、探究影响植物光合作用速率的因素、水中氧含量的测定、燃烧的秘密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二氧化碳传感器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氧化碳传感器是红外气体吸收检测型传感器，其具有很好的选择性，高灵敏度，无氧气依赖性，采用模块化设计，配合通用接口，通过Lightning接口与采集器连接，支持正反盲插，具有热插拔功能，连接传输稳定。搭配采集器通过有线、无线方式连接电脑、手机或平板等终端进行数据采集，在终端上实时显示并记录二氧化碳含量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一体式传感器，Lightning接口。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1.用于测量气体中二氧化碳的含量。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4.红外气体吸收检测型传感器，具有很好的选择性，高灵敏度，无氧气依赖性，寿命长，低功耗，无需预热等特点。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5.支持传感器复位，用于校准传感器。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1.量程：0~100000ppm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2.精度：3%(0~5000ppm)；4%(5000~50000ppm)；6%(50000~100000ppm)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3.分辨率：2ppm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对人体吸入的空气和呼出的气体的探究、对蜡烛燃烧的探究、空气质量检测、酵母菌的呼吸作用、种子的萌发产生二氧化碳、证明空气中含有二氧化碳、燃烧的秘密等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浊度计</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浊度计通过USB接口直接与电脑终端连接进行数据采集，在终端上实时显示并记录溶液浊度的变化，绘制相应图像。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传感器正面为电源按钮、传感器名称、型号及量程范围，前部为测量窗口，可放入比色皿进行测量，后端为USB接口。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1.用于测量溶液的浊度，测量灵敏、精确，反应快速。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2.通过USB接口直连计算机采集数据，无需外接数据采集器，内置0.96吋OLED显示屏。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3.支持USB2.0、USB3.0通讯协议。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1.量程：0~400NTU</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 ±5%NTU</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3.分辨率：0.1NTU</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四、典型实验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探究硫代硫酸盐的化学反应速率实验、不同水质的浊度比较等实验</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相对湿度传感器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相对湿度传感器采用模块化设计，配合通用接口，通过Lightning接口与采集器连接，支持正反盲插，具有热插拔功能，连接传输稳定。搭配采集器通过有线、无线方式连接电脑、手机或平板等终端进行数据采集，在终端上实时显示并记录湿度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一体式传感器，Lightning接口。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1.用于测量空气的相对湿度。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4.无需校准，即连即用。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1.量程：0~100%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2.精度：±4%（10%~90%RH）</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对人体吸入的空气和呼出的气体的探究、生活环境中湿度的测量、对蜡烛燃烧的探究、浓硫酸的吸水性、空气质量检测、植物的蒸腾作用、影响鼠妇分布的非生物因素、证明空气中含有水蒸气、测量环境湿度等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色度计</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色度计通过USB接口直接与电脑终端连接进行数据采集，在终端上实时显示并记录透光率的变化，绘制相应图像。可切换红、绿、蓝、紫4种入射光。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传感器正面为电源按钮、显示屏、传感器名称、型号及量程范围，前部为测量窗口，可放入比色皿进行测量，后端为USB接口。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1.用于测量溶液的透光率，测量灵敏、精确，反应快速。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2.通过USB接口直连计算机采集数据，无需外接数据采集器。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3.通过短按电源按钮可快速切换入射光频率。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4.支持USB2.0、USB3.0通讯协议。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 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红光（645nm）：透光率0~100%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绿光（520nm）：透光率0~100%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蓝光（470nm）：透光率0~100%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紫光（430nm）：透光率0~100%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红光（645nm）：透光率±2%F.S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绿光（520nm）：透光率±2%F.S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蓝光（470nm）：透光率±2%F.S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紫光（430nm）：透光率±2%F.S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红光（645nm）：透光率0.1%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绿光（520nm）：透光率0.1%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蓝光（470nm）：透光率0.1%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紫光（430nm）：透光率0.1%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使用硫代硫酸盐研究化学反应速率、高锰酸钾溶液与草酸溶液的褪色反应、硫代硫酸钠与浓硫酸反应、果汁中维生素C含量的测定、溶液中物质浓度的测定（比尔定律）等实验</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通用接口</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通用接口正面为电源指示灯，前端、后端为Lightning接口，用于跟传感器的连接。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1.用于传感器与采集器的连接。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3.具有通电指示灯，可以快速判断是否正确连接。</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手提式实验箱</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提式箱式设计，可翻盖，采用ABS材质，外形尺寸：不低于以下参数（长宽高）：437mm*327mm*170mm（两箱叠加高度H=330mm），最大承重：30-35公斤；箱体底部设有底部凸起，与上部设计凹槽相互咬合，通过独特的纽扣式锁止机构，实现箱子与箱子之前的锁合，可多个垒叠放置，便于携带和搬运，最多可垒5箱；内部含有内衬，保证每个器材都有对应的存放位置，便于快速、高效的整理和收纳；</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00"/>
        </w:trPr>
        <w:tc>
          <w:tcPr>
            <w:tcW w:w="72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学生端传感器</w:t>
            </w:r>
            <w:r/>
          </w:p>
        </w:tc>
        <w:tc>
          <w:tcPr>
            <w:tcW w:w="5232" w:type="dxa"/>
            <w:vAlign w:val="top"/>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2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4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智能数字实验盘</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数字实验盘是一款功能强大、小巧轻便的数字化实验采集器，可满足中小学各个学科的实验需求。采集器与传感器之间采用Lightning接口，采用环绕式可插拔设计，可任意更换传感器，无需数据线连接。为学生探索科学世界创建了一个简洁的实验环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1.一体化设计，7个传感器接口，支持7种传感器模块同时工作和数据显示，可自定义接入传感器的种类。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2.内置三轴加速度、GPS、环境温度、气压计、相对高度计等传感器。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3.显示屏：3.5英寸480*320TFT触摸屏，配有触控笔。</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4.最大采样速率：100kHz；采样解析度：12位分辨率。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5.最大数据存储量：6万点。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6.连接终端方式：USB、蓝牙。</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7.内置电池：1800mAh锂电池；待机时间：大于6个月；电源适配器：100V~240V，AC/5V，DC/1A。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8.正面设有电源指示灯，背面设有支脚架、固定螺纹孔、复位孔、触控笔笔槽。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9.支持平台：多个平台系统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10.支持无线连接计算机、手机、平板等终端设备。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11.支持独立采集模式、离线采集、支持外接终端采集、支持无线传输。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12.具有通用接口模块，可外扩其他类型的传感器，通用接口采用Lightning接口,外扩传感器插头采用双面设计，支持正反盲插接入通用接口，无需关心插入的方向，易插易用。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13.固件升级：固件可通过USB接口进行升级，无需拆开设备，开机长按功能键并插入USB连接线即可进行固件升级，无需厂商参与。</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温度传感器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温度传感器采用模块化设计，通过Lightning接口与采集器连接，具有热插拔功能，连接传输稳定。搭配采集器通过有线、无线方式连接电脑、手机或平板等终端进行数据采集，在终端上实时显示并记录温度的变化，绘制温度-时间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传感器正面为电源指示灯，前端为探头插孔，后端为Lightning接口，附件为温度探头。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1.用于测量物体表面、气体、酸碱等液体的温度。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2.传感器采用模块化设计，可任意组合，使用更换方便快捷。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3.温度探头为3.5mm耳机插头，耳机插孔式连接，连接稳定，无干扰。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5.传感器上具有通电指示灯，可以快速判断是否正确连接。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7.无需校准，即连即用。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1.量程：-40℃~135℃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2.精度：±0.6℃</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不同颜色物体的吸热散热研究实验、探究非生物因素对鼠妇分布的影响实验、不同液体的吸热散热研究、水的降温规律、摩擦做功、水的沸腾实验、沸点与压强关系、焦耳定律、酸碱反应热、铁的吸氧腐蚀等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绝对压强传感器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绝对压强传感器配有压强软管、鲁尔头和针筒，使用方便、保证实验的气密性；采用模块化设计，通过Lightning接口与采集器连接，具有热插拔功能，连接传输稳定。搭配采集器通过有线、无线方式连接电脑、手机或平板等终端进行数据采集，在终端上实时显示并记录压强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传感器正面为电源指示灯，前端为鲁尔接头母头，后端为Lightning接口，附件为软管、鲁尔公头、针筒。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1.用于测量大气环境下或密闭空间内的气体的压强。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2.传感器采用模块化设计，可任意组合，使用更换方便快捷。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4.传感器上具有通电指示灯，可以快速判断是否正确连接。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6.支持传感器校准。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1.量程：0~400kPa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3.分辨率：0.1kPa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测定空气里氧气的含量、二氧化锰对过氧化氢分解的影响、金属与酸的反应、酶催化的高效性、沸点与压强的关系、气体压强与受力面积、空气分子间的作用力、测量大气压强、探究压缩空气的力量、玻意耳定律、查理定律实验、查理定律、研究液体内部的压强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pH传感器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pH传感器采用模块化设计，配合通用接口，通过Lightning接口与采集器连接，支持正反盲插，具有热插拔功能，连接传输稳定。搭配采集器通过有线、无线方式连接电脑、手机或平板等终端进行数据采集，在终端上实时显示并记录溶液酸碱值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一体式传感器，Lightning接口。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1.pH探头由内部参比电极和玻璃电极构成，用于测量溶液的酸碱值。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4.支持标定功能。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1.量程：0~14</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2.精度：±0.2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不同浓度溶液的pH差异、浓氨水的挥发和氨气的溶解、探究二氧化碳与澄清石灰水的反应、土壤酸碱性的测量、测量自然水体的酸碱度、水体的理化性质测定、不同盐溶液的酸碱性、测量溶液的pH、二氧化碳的溶解性实验、二氧化碳和氢氧化钠的反应、不同物质的酸碱性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电导率传感器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导率传感器采用模块化设计，配合通用接口，通过Lightning接口与采集器连接，支持正反盲插，具有热插拔功能，连接传输稳定。搭配采集器通过有线、无线方式连接电脑、手机或平板等终端进行数据采集，在终端上实时显示并记录电导率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一体式传感器，Lightning接口。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1.用于测量溶液的电导率及其变化。</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4.支持标定功能。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1.量程：0~20000μS/cm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2.精度：±3%F.S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3.分辨率：6μS/cm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不同浓度溶液电导率的差异、水体的理化性质测定、测量水样的电导率等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溶氧气氧一体传感器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溶解氧-气中氧一体传感器采用模块化设计，配合通用接口，通过Lightning接口与采集器连接，支持正反盲插，具有热插拔功能，连接传输稳定。搭配采集器通过有线、无线方式连接电脑、手机或平板等终端进行数据采集，在终端上实时显示并记录氧含量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一体式传感器，Lightning接口，附件为填充液、校准液、电极帽。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1.用于测量气体、溶液中的氧含量。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4.可支持气中氧校准、溶解氧标定功能。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溶氧：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1.量程：0~20mg/L</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2.精度：±0.5mg/L</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3.分辨率：0.01mg/L</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气氧：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1.量程：0~100%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2.精度：±2%F.S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对人体吸入的空气和呼出的气体的探究、对蜡烛燃烧的探究、水体的理化性质测定、测定空气里氧气的含量、空气质量检测、酵母菌的呼吸作用、探究影响植物光合作用速率的因素、水中氧含量的测定、燃烧的秘密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二氧化碳传感器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氧化碳传感器是红外气体吸收检测型传感器，其具有很好的选择性，高灵敏度，无氧气依赖性，采用模块化设计，配合通用接口，通过Lightning接口与采集器连接，支持正反盲插，具有热插拔功能，连接传输稳定。搭配采集器通过有线、无线方式连接电脑、手机或平板等终端进行数据采集，在终端上实时显示并记录二氧化碳含量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一体式传感器，Lightning接口。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1.用于测量气体中二氧化碳的含量。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4.红外气体吸收检测型传感器，具有很好的选择性，高灵敏度，无氧气依赖性，寿命长，低功耗，无需预热等特点。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5.支持传感器复位，用于校准传感器。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1.量程：0~100000ppm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2.精度：3%(0~5000ppm)；4%(5000~50000ppm)；6%(50000~100000ppm)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3.分辨率：2ppm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对人体吸入的空气和呼出的气体的探究、对蜡烛燃烧的探究、空气质量检测、酵母菌的呼吸作用、种子的萌发产生二氧化碳、证明空气中含有二氧化碳、燃烧的秘密等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相对湿度传感器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相对湿度传感器采用模块化设计，配合通用接口，通过Lightning接口与采集器连接，支持正反盲插，具有热插拔功能，连接传输稳定。搭配采集器通过有线、无线方式连接电脑、手机或平板等终端进行数据采集，在终端上实时显示并记录湿度的变化，并绘制图像，可脱离终端独立采集记录所探测到的实验数据并加以保存，以供下载和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一体式传感器，Lightning接口。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1.用于测量空气的相对湿度。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3.搭配采集器可以在多个平台系统上进行数据采集。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4.无需校准，即连即用。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三、规格不低于以下参数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1.量程：0~100%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2.精度：±4%（10%~90%RH）</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四、实验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对人体吸入的空气和呼出的气体的探究、生活环境中湿度的测量、对蜡烛燃烧的探究、浓硫酸的吸水性、空气质量检测、植物的蒸腾作用、影响鼠妇分布的非生物因素、证明空气中含有水蒸气、测量环境湿度等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30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通用接口</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一、结构及外观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通用接口正面为电源指示灯，前端、后端为Lightning接口，用于跟传感器的连接。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1.用于传感器与采集器的连接。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2.外壳采用ABS工程塑料，具有耐火、耐高温、阻燃等特性。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3.具有通电指示灯，可以快速判断是否正确连接。</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化学准备室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准备台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尺寸：2400mm×1200mm×850mm±10mm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2、台面参数：采用12.7mm厚实芯理化板，具有耐酸碱腐蚀、抗污染、防水、防火特性，台面立面倒角、打磨，各处光滑。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台身参数：整体采用铝合金框架结构，铝合金型材规格≥30×38mm，主框架壁厚≥1.45mm，横梁规格≥35×25mm，壁厚≥1.45mm，采用工业级卡锁式连接方式组装；底脚高度可调，采用ABS工程塑料与金属螺杆一次注塑成型，确保整体承重，接缝严密，台身含多级柜门、抽屉，牢固耐用，门板镶装铝质合金一字隐藏式拉手。所有板材均采用16mm厚E0级生态免漆板制作，1.5mm厚塑制优质封边条机械封边（板材加工截面和开孔截面均应封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4、其他：五金件：国内品牌或同等质量其他品牌优质铰链和三节静音滑轨。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5、水槽：尺寸440mm×340mm×280mm±5mm 厚度4mm，数量1个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材料：高密度PP，耐强腐蚀。表面纹理：槽沿表面处理为皮纹，耐刻刮，与大部分台面板表面纹理一致，附件：高密度PP去水；含阻水盖、PP提笼。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6、台式三口鹅颈水龙头，数量1套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主体：加厚铜质，涂层：高亮度环氧树脂涂层，耐腐蚀、耐热、防紫外线辐射，陶瓷阀芯：90°旋转，使用寿命开关50万次，静态最大耐压20巴，附件：可拆卸铜质水嘴，可加接防溅滤水器，开关旋钮：高密度PP，人体工程学设计，手感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7、五孔插座一个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含电源安装：地上部分线路采用铝塑护套管，内穿塑铜线，有效固定。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滴水架</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尺寸：550mm×705mm×117mm±5mm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1、材质：高密度PP 类型：单面；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2、底部托盘中间设有排水孔 可拆卸式滴水棒，具有锁扣功能，方便使用。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试剂架</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尺寸：1600mm×300mm×690mm±5mm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1、专用喷塑铝合金型材（90mm×45mm×1.5㎜）表面喷涂高温固化乳白环氧树脂静电粉末喷涂理处理，具有较强的耐蚀性能；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2、上下带ABS模具堵头。8㎜玻璃隔板（双层）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尺寸：1000mm×500mm×2000mm±10mm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参数：铝合金框架规格：前侧腿≥25mm×35mm×1.2㎜，后侧腿≥35mm×35mm×1.2㎜，基材采用16mm厚E0级生态免漆板制作,其它部位采用1.5mm厚塑制优质封边条机械封边。上部板式对开门，内嵌4mm厚玻璃，柜身内设18mm厚隔板二层。下部为板式对开门，内设18mm厚隔板一层。隔板前端镶装铝合金模具成型U隔板槽，可插分色条，可将存放的物品按分类标识。隔板后端采用U型钢槽加固，中隔板下采用50×25×1.2mm厚钢制喷塑方管加固支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▲提供具有CMA认证认可的仪器柜检测报告复印件并加盖供应商公章，依据GB/T 35607-2024《绿色产品评价 家具》检测项至少包含家具涂层可迁移元素：铅（Pb)、镉（Cd）、铬（Cr)、汞（Hg）、锑（Sb）、钡（Ba、）硒（Se、）砷（As）。</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▲提供具有CMA认证认可的仪器柜检测报告复印件并加盖供应商公章，依据GB/T 3325-2024《金属家具通用技术条件》检测项至少包含有害物质限量，甲苯≤0.15mg/m³，二甲苯≤0.20mg/m³，总挥发性有机化合物(TVOC)≤0.50mg/m³</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箱式风机</w:t>
            </w:r>
            <w:r/>
          </w:p>
        </w:tc>
        <w:tc>
          <w:tcPr>
            <w:tcW w:w="523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1、风量：900-1200m3/h；</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2、噪音：40dB，最大静压：385Pa，功率：230W。</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万向吸风罩</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1、关节：高密度PP材质，可360°旋转调节方向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2、关节密封圈：不易老化之高密度橡胶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3、关节链接杆：304不锈钢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4、关节松紧旋钮：高密度PP材质，内嵌不锈钢轴承，与关节连接杆锁合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5、气流调节阀：手动调节外部阀门旋钮，控制进入之气流量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6、拱形/环形集气罩：高密度PP/PC材质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7、伸缩导管：Φ75mm铝合金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8、独有360°旋转装置：以固定架为中心最大活动半径可达1500mm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9、固定底座：高密度PVC材质，非粘接而成，模具注塑一体成型，牢度强，不脱底</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通风管道</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1、材质：UPVC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2、主管道壁厚为≥4mm (以柜\个计算)</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化学危化品室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易燃品安全柜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    称：化学品安全柜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外形尺寸：H1650*W1090*D460(mm)±10mm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内部尺寸：H1550*W1010*D380(mm)±10mm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容    积：45加仑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门 类 型：手动双开门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锁    具：三点联动机械锁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层    板：2块（可调高度）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接 地 线：一根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颜    色：黄色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用    途：用于存储易燃化学品，不可存储强酸强碱等腐蚀性化学品。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毒害品安全柜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    称：毒害品柜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外形尺寸：H1650*W1090*D460(mm)±10mm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内部尺寸：H1550*W1010*D380(mm)±10mm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容    积：45加仑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门 类 型：手动双开门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锁    具：电子密码锁+钥匙锁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层    板：2块（可调高度）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接 地 线：一根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颜    色：蓝色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用    途：用于存储易制毒、毒麻类化学品，不可存储强酸强碱等腐蚀性化学品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酸碱安全柜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    称：四门PP药品柜/PP器皿柜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外形尺寸：高1800mm*宽900mm*深450mm±10mm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门 类 型：手动四开门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锁    具：四把防腐挂锁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层    板：2块（可调高度）+1块固定隔断</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颜    色：瓷白色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用    途：用于存储酸碱等腐蚀性化学品、普通化学品（非易燃易爆）、药品及实验室器皿等。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产品简介：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1、整体材质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柜体：采用8mm瓷白色PP（聚丙烯）板制作，具有卓越的耐腐蚀性，经同色焊条无缝焊接处理，保证柜体之坚固及密封性。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柜门：采用15mm贴膜PP（聚丙烯）板制作，使用寿命长，质量有保证。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层板：采用瓷白色PP（聚丙烯）板制作，四周有立边。整体设计为活动式，可随意抽取放在合适的隔层，自由组合各层空间，四周立边可获得一定程度的防溢效果。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2、配件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桥式把手：采用耐酸碱PP（聚丙烯）材质，耐腐蚀性能好。铰链：采用经射出成型的PP（聚丙烯）材料制成，耐腐蚀性能好，外观精美。</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专用门吸：采用PP（聚丙烯）材料制成，使用寿命长，质量有保证。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警示标签：柜门贴有醒目的“腐蚀性”警示标示，提醒周围人群注意安全。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箱式风机</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1、风量：900-1200m3/h；</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2、噪音：40dB，最大静压：385Pa，功率：230W。</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通风管道</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1、材质：UPVC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2、主管道壁厚为≥4mm (以柜\个计算)</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废液桶</w:t>
            </w:r>
            <w:r/>
          </w:p>
        </w:tc>
        <w:tc>
          <w:tcPr>
            <w:tcW w:w="5232" w:type="dxa"/>
            <w:vAlign w:val="top"/>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290mm*270mm*420mm±10mm 25L 废液桶</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漏液盘</w:t>
            </w:r>
            <w:r/>
          </w:p>
        </w:tc>
        <w:tc>
          <w:tcPr>
            <w:tcW w:w="5232" w:type="dxa"/>
            <w:vAlign w:val="top"/>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1280mm*680mm*150mm±10mm 双桶平台可适合液压车使用  PE材质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灭火器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干粉</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沙箱</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优质加厚钢铁，电镀表层，高强度耐磨耐用；无磷环保，健康喷涂，表面涂层醒目亮眼。</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化学药品室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通风药品柜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尺寸：900mm×450mm×1800mm±10mm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柜体预留通风系统，可以与通风管路连接。柜体：侧板、顶底板采用ABS/PP材料模具一次成型，表面沙面和光面相结合处理，保证柜体之坚固及密封性，耐腐蚀性强，顶板、底板预留模具成型排风孔。底部镶嵌15mm*30*1.2mm钢制横梁，承重力强。背板采用9mm厚中密度纤维板贴进口三聚氰胺纸，握螺钉力强，垂直板面≥1150N,平行板面≥660N，板件静曲强度≥17.2MP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上柜柜门：内框采用ABS/PP材质模具一次成型，外嵌5mm厚钢化烤漆玻璃，中间烤漆镂空制作。上下拉手及三角对称五点固定，防止玻璃的松动或开合。伸缩式PP旋转门轴，四角圆弧倒角，内侧弧形圆边。颜色可选配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下柜柜门：内框采用ABS/PP材质模具一次成型，外嵌5mm厚钢化烤漆玻璃。上下拉手及三角对称五点固定，防止玻璃的松动或开合。伸缩式ABS旋转门轴，四角圆弧倒角，内侧弧形圆边。颜色可选配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层板：上柜配置两块阶梯层板，下柜配置一块活动层板，层板全部采用优质SPCC钢板经过进口数控型材模具一次性成型，壁厚≥1.0mm；表面采用进口静电粉末，经高温粉体固化，附着力强，不脱漆。涂层需无漏喷、锈蚀；涂层需光滑均匀，色泽一致，底部有加强筋，承重力强。整体设计为活动式，可随意抽取放在合适的隔层，自由组合各层空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拉手：采用ABS材料模具一次成型，直角梯形四周倒圆与柜门平行，开启方便。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门铰链：采用ABS材料模具一次成型，伸缩式PP旋转门轴，永不生锈，耐腐蚀性好。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螺丝：不锈钢304材质。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备注：可以用于各种腐蚀性化学品的储藏，如硫酸、盐酸、硝酸、乙酸、硫磺酸等。</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通风管道</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1、材质：UPVC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2、主管道壁厚为≥4mm (以柜\个计算)</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垂直引风管道</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1、材质：UPVC</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2尺寸：φ300mm</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全室通风机</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1、4-72型AC式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2、5#离心式通风机，每小时换气20次，噪声要求按行业标准＜55分贝，材质采用玻璃钢制作，带进出口消音器，防水帽，电机，电机防护罩，减震器等。电动机功率2.2KW</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gridSpan w:val="5"/>
            <w:shd w:val="clear" w:color="auto" w:fill="fee796"/>
            <w:tcW w:w="919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融合教室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学生椅（团体）</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实木椅，使用水性漆环保材料，无任何有害物质，尺寸：52*29*28cm±3%。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椅类耐久性要求：座面加载不小于950N,椅背加载不小于330N，加载次数不少于50000次，测试完成后仍能满足标准的技术要求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团体桌</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实木桌椅，尺寸：120cmx60cmx55cm±3%，使用水性漆环保材料，无任何有害物质；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桌面水平耐久性要求：加载力不小于150N，加载次数不少于15000次，测试完成后仍能满足标准的技术要求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砂磨桌</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尺寸：80×60×71cm±3%，沙磨板面积75×55cm±3%,沙磨板角度0°～50°±3%可调节，不少于4只附件，用途：训练功能上肢稳定性、协调性功能。提高上肢的日常活动，磨砂桌面设计，增大桌面摩擦力。</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液压踏步器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下肢关节活动度及肌力训练，88×76×110±3%, 扶手杆宽45cm±3%,高扶手杆高80cm±3%，低扶手杆高60cm±3%,油缸阻力12档可调，液压踏步器属于康复训练器械。</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助行器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用于助行训练，材质钢和塑料，尺寸不小于746x530x80mm。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疲劳试验要求：垂直施加800N的循环载荷，循环不少于200000次，不应产生任何裂纹、破损等损坏，并仍满足标准的各项功能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静载试验要求：施加1500N的垂直载荷，保持5S，卸载后助行架不产生裂纹和断裂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主动训练脚踏车</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外形尺寸（长×宽×高）：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80㎝×54×120㎝±3%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座位上下调节范围：67㎝～87㎝±3%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阻尼调节档数：不低于7档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产品用途：适用于下肢关节活动度、肌力及协调功能的训练。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特点和功能：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采用类自行车踩踏运动锻炼下肢关节活动功能；运动阻力可调；前扶手架角度及座位上下高度可调，可进行骑式训练，并适合不同身高人群使用；可显示训练时间、速度、距离、热量等数据。</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髋关节旋转训练器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通过足的画圈运动，改善髋关节的旋转功能，用于髋关节活动受限的用户。124×92×53cm±3%，扶手高度调节范围，90～135cm±3%。</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重锤式手指肌力训练桌</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重锤式手指肌力训练桌属于康复训练器械，用于手指肌力训练和手指关节活动度康复训练，外形尺寸/cm：80×60×111.5±3%，重锤质量±3%：100g、200g、300g、500g，桌面额定承载：750N±3%。</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上下转盘</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材质：高级塑胶ABS、PE，高级热塑橡胶TPR；尺寸：15X15X30cm±3%； 组件明细不少于：转盘1个、球1个增进全身动作协调性，促进手部大小肌肉发展，加强动作协调性与灵活度，提升手眼协调能力及反应力。</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平衡板（带扶手）</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80×60×15cm±3%，面板摆动角度-13°～+13°±3%，额定载荷不小于135kg，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偏瘫、脑瘫等运动失调用户进行平衡、协调训练。</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万象组合套装</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半砖：高级塑胶PP/PE/ABS，数量不少于12个；全砖：高级塑胶PP/PE/ABS，</w:t>
            </w:r>
            <w:r>
              <w:rPr>
                <w:rFonts w:hint="eastAsia" w:ascii="宋体" w:hAnsi="宋体" w:eastAsia="宋体" w:cs="宋体"/>
                <w:i w:val="0"/>
                <w:iCs w:val="0"/>
                <w:color w:val="000000"/>
                <w:sz w:val="22"/>
                <w:szCs w:val="22"/>
                <w:highlight w:val="none"/>
                <w:u w:val="none"/>
                <w:lang w:val="en-US" w:eastAsia="zh-CN" w:bidi="ar"/>
              </w:rPr>
              <w:t xml:space="preserve">数量不少于8个；平衡桥：高级塑胶PP/PE/ABS，数量不少于4个;体能环：高级塑胶PP/PE/ABS,直径35cm±3%，数量：不少于4个；体能环：高级塑胶PP/PE/ABS，直径59cm±3%，数量：不少于4个;体能棒：高级塑胶PP/PE/ABS，长35cm±3%，数量：不少于16根；体能棒：高级塑胶PP/PE/ABS，长70cm±3%，数量：不少于8根;棒夹：高级塑胶PP/PE/ABS，数量：不少于12个；环夹：高级塑胶PP/PE/ABS，数量：不少于12个；豆袋：布制+塑料粒子、数量：不少于10个。</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高跷组合</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硬橡胶手柄提供了一个良好的抓地力</w:t>
            </w:r>
            <w:r>
              <w:rPr>
                <w:rFonts w:hint="eastAsia" w:ascii="宋体" w:hAnsi="宋体" w:eastAsia="宋体" w:cs="宋体"/>
                <w:i w:val="0"/>
                <w:iCs w:val="0"/>
                <w:color w:val="000000"/>
                <w:sz w:val="22"/>
                <w:szCs w:val="22"/>
                <w:highlight w:val="none"/>
                <w:u w:val="none"/>
                <w:lang w:val="en-US" w:eastAsia="zh-CN" w:bidi="ar"/>
              </w:rPr>
              <w:t xml:space="preserve">，可以适应学生的高度，进行平衡觉的训练。                                                                                1.本产品带踩压形状的塑料底座，合成橡胶的手柄。由不低于4个塑料部分制成；                                                                               2.尺寸：260x160x700mm±3%；材料：PP 塑料, TPE合成橡胶。</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平衡触觉板</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由塑料横杆组成的步道，不少于8片曲线+8片直线,不少于4个墩。触觉板组合的步数.触点提供神经刺激讯号.加强儿童触觉学习,亦可与组合系列配合,做平衡动作训练。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产品规格/cm：49长*13.5宽*8高±3%。</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刷身刷</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进行触觉训练；包括不少于2个刷身刷。</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摇晃岛玩具</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可以设计有趣和挑战性的平衡训练，锻炼学生的平衡、本体感觉。底部盘是处于活动的，需要学生专注在保持平衡，同时进行平衡游戏；底部的圆盘由不少于2个硬的塑料部件，中间是厚的而且可以活动的橡胶铰链连接，随着学生的重心改变而移动；货物尺寸：直径210mm±3%*高度160mm±3%。</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充气玩具-悬浮板</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尺寸：Φ35cm；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材质：无添加塑胶PVC；</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两种不同的触感设计。一面可当坐垫，一面可提供触觉按摩刺激，协助端正坐姿，也是触觉刺激的实用工具。</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跳袋</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色彩鲜艳，牛津布袋；锻炼孩子的平衡及本体觉能力。尺寸：30*60cm±3%。</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独脚凳</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进行感觉统合训练能促进大脑功能的发展和成熟，提高孩子的学习技能和体能。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材质：木质（椅面有一定柔软度，保护保护孩子脊柱）。尺寸：23*20cm±3%。</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团队协力板/4人</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用于学生下肢平衡以及身体协调能力训练，同时可进行团队训练，锻炼团体的凝聚力等；环保塑料：39.5x12.5x2.5cm±3%</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奥尔夫乐器</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以节奏乐器为主，材质要求环保、无毒。分四类：1、皮革类：所有的鼓类；2、散响类：砂锤、砂蛋以及铃铛类；3、木质类：质地为木质，声音清脆；4、金属类：所有的铜质、铁质等金属打击乐器。共不少于33件/套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2.产品设计合理，能够满足特殊教育随班就读学生的实际需求并保证学生使用安全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盲文写字板</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适用：盲校学习用品，盲人写字；材质为塑料。规格：27行30方，尺寸：303x219x6mm±3%，重量不小于：309克。</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盲文笔</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使用钢尖头按盲文书写规则，在盲文写字板凹槽内打点。塑料手柄，钢质笔头；重量约7.8克</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助写板</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低视力助写板22.5*13.8cm±3%</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生物小组实验室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演示台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尺寸2400mm×700mm×850mm±10mm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2、台面参数：采用12.7mm厚实芯理化板，具有耐酸碱腐蚀、抗污染、防水、防火特性，台面立面倒角、打磨，各处光滑。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台身结构参数：前柜门4樘后柜门4樘共计8樘柜门，抽屉3个，键盘位1个、水槽位1组，并预留总控电源位置1个和多媒体设备（如显示器、主机、实物展台等多媒体设备）储存空间1个；台身采用16mm厚E0级生态免漆板制作，1.5mm厚塑制优质封边条机械封边（板材加工截面均应封边），开孔部位均采用专业磨具成型的配件封堵。实验台下裙条（高度≥78mm）采用铝合金模具成型，铝合金内部卡扣镶嵌18mm厚生态免漆板材，内层板材据地不低于20mm，增加强度，具有良好的支撑特性。底部稳固平整，产品整体美观立体、防水耐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4、其他参数：阻尼铰链、机械滑轨：采用优质铰链和三节静音滑轨。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5、水槽：尺寸440mm×340mm×280mm±5mm 厚度4mm，数量1个。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材料：高密度PP，耐强腐蚀。表面纹理：槽沿表面处理为皮纹，耐刻刮，与大部分台面板表面纹理一致，附件：高密度PP去水；含阻水盖、PP提笼。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6、台式三口鹅颈水龙头，数量1套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主体：加厚铜质，涂层：高亮度环氧树脂涂层，耐腐蚀、耐热、防紫外线辐射，陶瓷阀芯：90°旋转，使用寿命开关50万次，静态最大耐压20巴，附件：可拆卸铜质水嘴，可加接防溅滤水器，开关旋钮：高密度PP，人体工程学设计，手感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7、五孔插座一个。</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水槽边台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尺寸：7840mm×600mm×750mm±10mm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2、台面参数：采用12.7mm厚实芯理化板，具有耐酸碱腐蚀、抗污染、防水、防火特性，四周边缘双倍加厚25.4mm，台面立面倒角、打磨，各处光滑。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台身参数：对开门柜体。采用16mm厚E0级三聚氰胺环保板，1.5mm厚塑制优质封边条机械封边,专用连接件连接，所有开孔部位均采用专业模具成型的配件封堵，不可将板材断面直接裸露在外。所有板材加工截面必须封边，避免甲醛随意释放，确保达到环保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实验台下裙条（高度≥78mm）采用铝合金模具成型，铝合金内部卡扣镶嵌18mm厚生态免漆板材，内层板材据地不低于20mm，增加强度，具有良好的支撑特性。底部稳固平整，产品整体美观立体、防水耐用。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4、水槽：尺寸440mm×340mm×280mm±5mm 厚度4mm，数量9个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材料：高密度PP，耐强腐蚀。表面纹理：槽沿表面处理为皮纹，耐刻刮，与大部分台面板表面纹理一致，附件：高密度PP去水；含阻水盖、PP提笼。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5、台式三口鹅颈水龙头，数量9套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主体：加厚铜质，涂层：高亮度环氧树脂涂层，耐腐蚀、耐热、防紫外线辐射，陶瓷阀芯：90°旋转，使用寿命开关50万次，静态最大耐压20巴，附件：可拆卸铜质水嘴，可加接防溅滤水器，开关旋钮：高密度PP，人体工程学设计，手感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7.84</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142875</wp:posOffset>
                      </wp:positionH>
                      <wp:positionV relativeFrom="paragraph">
                        <wp:posOffset>704850</wp:posOffset>
                      </wp:positionV>
                      <wp:extent cx="1081405" cy="0"/>
                      <wp:effectExtent l="0" t="0" r="0" b="0"/>
                      <wp:wrapNone/>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8"/>
                              <a:stretch/>
                            </pic:blipFill>
                            <pic:spPr bwMode="auto">
                              <a:xfrm>
                                <a:off x="0" y="0"/>
                                <a:ext cx="10814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1.2pt;mso-position-horizontal:absolute;mso-position-vertical-relative:text;margin-top:55.5pt;mso-position-vertical:absolute;width:85.1pt;height:0.0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i w:val="0"/>
                <w:iCs w:val="0"/>
                <w:color w:val="000000"/>
                <w:sz w:val="22"/>
                <w:szCs w:val="22"/>
                <w:highlight w:val="none"/>
                <w:u w:val="none"/>
                <w:lang w:val="en-US" w:eastAsia="zh-CN" w:bidi="ar"/>
              </w:rPr>
              <w:t xml:space="preserve">3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八边形学生实验台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2、台面参数：采用12.7mm厚实芯理化板，具有耐酸碱腐蚀、抗污染、防水、防火特性，台面立面倒角、打磨，各处光滑。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3、台身参数：采用16mm厚E0级生态免漆板加工制作正八边形桌设有柜门。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4、实验台下裙条（≥78mm）采用铝合金模具成型，铝合金内部卡扣镶嵌18mm厚生态免漆板材，内层板材据地不低于20mm，增加强度，具有良好的支撑特性。底部稳固平整，产品整体美观立体、防水耐用。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学生凳</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尺寸345×245×420mm±10mm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2、凳面参数：凳面尺寸≥345×245mm±5mm  凳面采用共聚丙烯工程塑料模具注塑成型，凳面内镶嵌四颗≥Φ6螺杆，要求螺栓与凳面在注塑过程中一体成型，凳面造型符合人体工程学。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3、凳身参数：凳体采用全钢框架，钢管壁厚≥1.2mm,经酸洗磷化处理，表面喷塑，底脚采用专业ABS模具成型。</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教师主控</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1,钢制抽屉式结构，PVC面膜轻触开关，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2,实验用总电源开关带漏电保护功能，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3,液晶显示刷卡定插孔时开关，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4,可设置关机时间，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5,控制四路插座和四路光源开关，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6,五孔交流220V插座输出，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7,5V充电USB插孔。</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生物灯</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尺寸:600mm*90mm*220mm±5mm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材质：新ABS注塑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光源采用高亮LED灯珠色温6500K，光源角度上下180度可调。</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学生桌电源</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二三孔插座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含电源安装：地上部分线路采用铝塑护套管，内穿塑铜线，有效固定。</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 </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生物显微镜实验室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演示台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尺寸2400mm×700mm×850mm±10mm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2、台面参数：采用12.7mm厚实芯理化板，具有耐酸碱腐蚀、抗污染、防水、防火特性，台面立面倒角、打磨，各处光滑。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台身结构参数：前柜门4樘后柜门4樘共计8樘柜门，抽屉3个，键盘位1个、水槽位1组，并预留总控电源位置1个和多媒体设备（如显示器、主机、实物展台等多媒体设备）储存空间1个；台身采用16mm厚E0级生态免漆板制作，1.5mm厚塑制优质封边条机械封边（板材加工截面均应封边），开孔部位均采用专业磨具成型的配件封堵。实验台下裙条（高度≥78mm）采用铝合金模具成型，铝合金内部卡扣镶嵌18mm厚生态免漆板材，内层板材据地不低于20mm，增加强度，具有良好的支撑特性。底部稳固平整，产品整体美观立体、防水耐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4、其他参数：阻尼铰链、机械滑轨：采用优质铰链和三节静音滑轨。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5、水槽：尺寸440mm×340mm×280mm±5mm 厚度4mm，数量1个。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材料：高密度PP，耐强腐蚀。表面纹理：槽沿表面处理为皮纹，耐刻刮，与大部分台面板表面纹理一致，附件：高密度PP去水；含阻水盖、PP提笼。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6、台式三口鹅颈水龙头，数量1套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主体：加厚铜质，涂层：高亮度环氧树脂涂层，耐腐蚀、耐热、防紫外线辐射，陶瓷阀芯：90°旋转，使用寿命开关50万次，静态最大耐压20巴，附件：可拆卸铜质水嘴，可加接防溅滤水器，开关旋钮：高密度PP，人体工程学设计，手感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7、五孔插座一个。</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学生实验桌（学生实验台 ）</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尺寸1200mm×600mm×780mm±10mm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w:t>
            </w:r>
            <w:r>
              <w:rPr>
                <w:rFonts w:hint="eastAsia" w:ascii="宋体" w:hAnsi="宋体" w:cs="宋体"/>
                <w:i w:val="0"/>
                <w:iCs w:val="0"/>
                <w:color w:val="000000"/>
                <w:sz w:val="22"/>
                <w:szCs w:val="22"/>
                <w:highlight w:val="none"/>
                <w:u w:val="none"/>
                <w:shd w:val="clear" w:color="auto" w:fill="ffff00"/>
                <w:lang w:val="en-US" w:eastAsia="zh-CN" w:bidi="ar"/>
              </w:rPr>
              <w:t xml:space="preserve">或铝塑</w:t>
            </w:r>
            <w:r>
              <w:rPr>
                <w:rFonts w:hint="eastAsia" w:ascii="宋体" w:hAnsi="宋体" w:eastAsia="宋体" w:cs="宋体"/>
                <w:i w:val="0"/>
                <w:iCs w:val="0"/>
                <w:color w:val="000000"/>
                <w:sz w:val="22"/>
                <w:szCs w:val="22"/>
                <w:highlight w:val="none"/>
                <w:u w:val="none"/>
                <w:lang w:val="en-US" w:eastAsia="zh-CN" w:bidi="ar"/>
              </w:rPr>
              <w:t xml:space="preserve">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抗污染、防水、防火特性，台面立面倒角、打磨，各处光滑。台面围栏采用铝合金型材，规格尺寸为：高85mm×8mm×1.5mm；台面底的矩形托架采用规格为30mm×20mm×1.0mm钢管加工制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身参数：立腿采用40mm×80mm×1.5mm厚钢管加工制作，表面经高压静电喷涂环氧树脂防护层，耐酸碱，耐腐蚀处理。立腿上端采用PA6增强尼龙一次性注塑成型的连接件，整体成T形，尺寸≥380mm×41mm×245mm，预埋3个M6铜质螺母便于整体连接；斜腿支脚采用40mm×80mm×1.5mm厚钢管焊接，底脚采用PA6一体注塑成型支撑脚，内部设计固定孔，通过膨胀螺栓固定桌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3、桌脚：采用优质实验室专用可调脚，整体可拆装；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4、书斗：书包斗采用注塑模具一次成型，尺寸为398mm×465mm×125mm，整体壁厚≥4mm。</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功能柱</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尺寸300mm*180mm*760mm ±10mm                                                                                                           </w:t>
            </w:r>
            <w:r>
              <w:rPr>
                <w:rFonts w:hint="eastAsia" w:ascii="宋体" w:hAnsi="宋体" w:eastAsia="宋体" w:cs="宋体"/>
                <w:i w:val="0"/>
                <w:iCs w:val="0"/>
                <w:color w:val="000000"/>
                <w:sz w:val="22"/>
                <w:szCs w:val="22"/>
                <w:highlight w:val="none"/>
                <w:u w:val="none"/>
                <w:lang w:val="en-US" w:eastAsia="zh-CN" w:bidi="ar"/>
              </w:rPr>
              <w:t xml:space="preserve">                         1.产品结构：全钢结构 。                                                                                                                                                          2.壳体及底座：采用1.0mm优质镀锌钢板，外形呈多边形样式上下两段式，上部前后壳体采用挂钩滑槽孔方便安装；下部底座为焊接组合件</w:t>
            </w:r>
            <w:r>
              <w:rPr>
                <w:rFonts w:hint="eastAsia" w:ascii="宋体" w:hAnsi="宋体" w:eastAsia="宋体" w:cs="宋体"/>
                <w:i w:val="0"/>
                <w:iCs w:val="0"/>
                <w:color w:val="000000"/>
                <w:sz w:val="22"/>
                <w:szCs w:val="22"/>
                <w:highlight w:val="none"/>
                <w:u w:val="none"/>
                <w:lang w:val="en-US" w:eastAsia="zh-CN" w:bidi="ar"/>
              </w:rPr>
              <w:t xml:space="preserve">，底部钢板预留膨胀螺栓孔与地面固定，所有钢制部件经激光下料、折弯、CO2保护焊焊接，打磨处理，表面经耐酸碱EPOXY粉末烤漆处理（烤漆膜厚度平均值≥70μm），                                                                                                                                              3.功能：中空壳体内部可满足桌面排风、数字化设备、布管线等扩展需求。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学生凳</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尺寸345×245×420mm±10mm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2、凳面参数：凳面尺寸≥345×245mm±5mm  凳面采用共聚丙烯工程塑料模具注塑成型，凳面内镶嵌四颗≥Φ6螺杆，要求螺栓与凳面在注塑过程中一体成型，凳面造型符合人体工程学。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3、凳身参数：凳体采用全钢框架，钢管壁厚≥1.2mm,经酸洗磷化处理，表面喷塑，底脚采用专业ABS模具成型。</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水槽柜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1、钢塑结构，分为柜体、水槽、底脚三部分。外接触面均做圆角处理，无安全隐患。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2、水槽尺寸585×440×230mm±10mm，采用共聚PP材料，一体注塑成型，具有良好的耐酸碱、耐高温、耐腐蚀的特性。壁厚≥2.0mm，内凹造型，水槽内部置抗腐蚀金属过滤网，网格尺寸355x100x1.5mm±3%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3、柜体采用1.0mm优质冷轧钢板制作，表面喷塑处理，钢板壁厚不低于1.0mm。柜门及柜身圆弧设计。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4、地脚：采用PP材质，磨具一次成型，耐酸碱腐蚀。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单联龙头</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单联台式鹅颈水龙头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1、主体：加厚铜质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2、涂层：高亮度环氧树脂涂层，耐腐蚀、耐热、防紫外线辐射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3、陶瓷阀芯：90°旋转，使用寿命开关50万次，静态最大耐压20巴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4、附件：可拆卸铜质水嘴，可加接防溅滤水器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5、开关旋钮：高密度PP，人体工程学设计，手感舒适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教师主控</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1,钢制抽屉式结构，PVC面膜轻触开关，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2,实验用总电源开关带漏电保护功能，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3,液晶显示刷卡定插孔时开关，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4,可设置关机时间，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5,控制四路插座和四路光源开关，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6,五孔交流220V插座输出，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7,5V充电USB插孔。</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学生电源</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1，ABS塑制桌面镶嵌结构，PC面板。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2，额定电流2A，两组五孔交流220V插座或一组五孔交流220V插加一个光源开关。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3，面板包含usb、Type-c充电插口。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含电源安装：地上部分线路采用铝塑护套管，内穿塑铜线，有效固定。</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生物灯</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尺寸:600mm*90mm*220mm±5mm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材质：新ABS注塑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光源采用高亮LED灯珠色温6500K，光源角度上下180度可调。</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 </w:t>
            </w:r>
            <w:r/>
          </w:p>
        </w:tc>
        <w:tc>
          <w:tcPr>
            <w:tcW w:w="16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数码教师液晶显微镜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shd w:val="clear" w:color="auto" w:fill="ffff00"/>
                <w:lang w:val="en-US" w:eastAsia="zh-CN" w:bidi="ar"/>
              </w:rPr>
              <w:t xml:space="preserve">数码生物显微镜</w:t>
            </w:r>
            <w:r>
              <w:rPr>
                <w:rFonts w:hint="eastAsia" w:ascii="宋体" w:hAnsi="宋体" w:eastAsia="宋体" w:cs="宋体"/>
                <w:i w:val="0"/>
                <w:iCs w:val="0"/>
                <w:color w:val="000000"/>
                <w:sz w:val="22"/>
                <w:szCs w:val="22"/>
                <w:highlight w:val="none"/>
                <w:u w:val="none"/>
                <w:lang w:val="en-US" w:eastAsia="zh-CN" w:bidi="ar"/>
              </w:rPr>
              <w:t xml:space="preserve">参数（800万像素-4K）：</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1、全金属结构三目数码生物显微镜，光学放大倍数：40-1000X,整机防霉处理；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2、采用Sony高清高灵敏度CMOS图像传感器，传感器尺寸：1/1.8，输出分辨率：3840*2160；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3、用HDMI线连接高清显示器，通过相机双USB口接鼠标和U盘实现图像的抓取或录制；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4、视频录制格式及分辨率：2k录像:1920*1080@30FPS；4K录像:3840*2160@30FPS;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5、显微成像系统自带Youngwin OS系统，可以通过系统设置白平衡、对比度、饱和度、伽马、锐度、降噪等参数；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6、双输出信号：HDMI+USB3.0@ 30FPS，支持接电视机、显示器、大屏一体机等智慧设备，USB2.0支持YUV422视频传输协议，可以对接主流中考考试系统；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7、显微镜与摄像头为一体供电，DC12V ,4A, 3C电源适配器；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8、数码视野范围不小于75.5%，观察、拍照、传输等方便快捷；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9、双目镜筒，三目倾斜30°，视度可调节，双目瞳距：48-75 mm，可360度旋转观察，0.5X带光学玻璃摄像接筒；▲目镜筒作360度旋转时目镜焦平面上像中心的位移≤0.15mm，左右系统放大率差≤±0.50%，左右光学系统像面方位差≤10，左右视场中心偏差上下≤0.10mm、左右内侧≤0.12mm，左右光轴平行度垂直交叉≤10分，零视度时，左右系统的目镜端面位置差≤0.18mm。提供有CMA标识的第三方检测报告验证符合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10、广角目镜：WF10X；目镜可锁紧在目镜筒上，目镜目镜放大率准确度不超过±1.02%。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11、▲高衬度色差慧差校准物镜：4X（成像直径圆≥15.1mm）；10X（成像直径圆≥15.0mm）；40X（成像直径圆≥15.2mm）； 100X（弹簧，油镜）（成像直径圆≥14.9mm），10倍→4倍齐焦不超过0.017mm,10倍→40倍齐焦不超过0.012mm,40倍→100倍齐焦不超过0.008mm,所有物镜均保证齐焦；提供CMA按国标标准检验的检测报告佐证符合要求。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12、物镜转换器：四孔转换器，转动舒适，响声定位明晰可靠；</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13、粗微调：同轴粗微调（带上限位及松紧调节环），三角导轨，交叉滚柱导向机构，粗调范围：25mm，微调每转：0.2 mm，微调最小格值：2μm，具有过载保护自动卸力装置；人机工程学设计：调焦手轮与载物台移动手柄位置较低，位于同一水平高度可单手舒适操作，且两者离操作者距离相同，使操作者无需扭曲身体即可用单手以自然姿态轻松操作，微调机构空回≤0.006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14、双层机械载物台：面积：110×115 mm以上，行程为76mm×52mm，右手控制，游标刻度为0.1mm；载物台受5N水平方向作用力最大位移≤0.016mm；不重复性≤0.003mm；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15、阿贝式聚光镜：NA=1.25阿贝聚光镜， 带孔径光栏；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16、▲显微镜主机上带液晶显示窗，可显示色温值，电池容量、侧光源、透射光源亮度等信息，提供实物图片佐证符合要求；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17、双光源A：透射光源：长寿命、高亮度复眼透镜1W LED灯，电池仓结构供电，节能、绿色、环保；</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18、▲双光源B：侧光源：侧光源固定在镜体内，可以观察实体标本并具有辅助照明功能，可以作为体视显微镜使用，提供实物图片佐证符合要求；</w:t>
            </w:r>
            <w:r/>
          </w:p>
        </w:tc>
        <w:tc>
          <w:tcPr>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学生生物显微镜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主要技术指标：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生物显微镜的规格和教学性能要求须符合教育部发布的《初中生物学教学装备配置标准》（JY/T 0621－2019），其主要技术参数和性能为：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1.生物显微镜为一体化设计， 仪器拆包装箱接上电源及即可使用，无需再进行目镜、物镜及其他部件的组装；整机的电源接口只有一个，仪器本身各部件间不能有外部连接线，成像装置必须内置于显微镜机身中；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2.为确保使用者人身安全，仪器应为低压供电，配备电源适配器，仪器使用电压不高于19V；</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3.机身上方设置明确提手，提起时仪器正置以避免目镜及载物台上的物体跌落，确保仪器挪动过程中的安全性；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4.为确保仪器使用过程中供电的稳定性和安全性，电源接口必须设置在仪器底座上；</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5.一机多功能：既有生物显微镜功能，又有实体显微镜功能；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6.配备三孔外倾物镜转换器, 适应实体观察需求；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7.生物显微镜物镜：有限远平场消色差4×、有限远平场消色差10×、有限远平场消色差40×（弹簧）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8.目镜：10X/Φ18mm目镜2个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9.调焦机构：粗微动同轴调焦，左右两侧均有粗调与微调手轮，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10.双照明装置：内置LED底光源 、内置LED侧光源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11.仪器底座设置按压式无极旋钮开关，实现光源切换，亮度调整等功能。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12.载物台：双层移动平台；</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生物实验室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演示台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尺寸2400mm×700mm×850mm±10mm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2、台面参数：采用12.7mm厚实芯理化板，具有耐酸碱腐蚀、抗污染、防水、防火特性，台面立面倒角、打磨，各处光滑。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台身结构参数：前柜门4樘后柜门4樘共计8樘柜门，抽屉3个，键盘位1个、水槽位1组，并预留总控电源位置1个和多媒体设备（如显示器、主机、实物展台等多媒体设备）储存空间1个；台身采用16mm厚E0级生态免漆板制作，1.5mm厚塑制优质封边条机械封边（板材加工截面均应封边），开孔部位均采用专业磨具成型的配件封堵。实验台下裙条（高度≥78mm）采用铝合金模具成型，铝合金内部卡扣镶嵌18mm厚生态免漆板材，内层板材据地不低于20mm，增加强度，具有良好的支撑特性。底部稳固平整，产品整体美观立体、防水耐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4、其他参数：阻尼铰链、机械滑轨：采用优质铰链和三节静音滑轨。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5、水槽：尺寸440mm×340mm×280mm±5mm 厚度4mm，数量1个。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材料：高密度PP，耐强腐蚀。表面纹理：槽沿表面处理为皮纹，耐刻刮，与大部分台面板表面纹理一致，附件：高密度PP去水；含阻水盖、PP提笼。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6、台式三口鹅颈水龙头，数量1套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主体：加厚铜质，涂层：高亮度环氧树脂涂层，耐腐蚀、耐热、防紫外线辐射，陶瓷阀芯：90°旋转，使用寿命开关50万次，静态最大耐压20巴，附件：可拆卸铜质水嘴，可加接防溅滤水器，开关旋钮：高密度PP，人体工程学设计，手感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7、五孔插座一个。</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水槽边台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尺寸：7840mm×600mm×750mm±10mm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2、台面参数：采用12.7mm厚实芯理化板，具有耐酸碱腐蚀、抗污染、防水、防火特性，四周边缘双倍加厚25.4mm，台面立面倒角、打磨，各处光滑。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台身参数：对开门柜体。采用16mm厚E0级三聚氰胺环保板，1.5mm厚塑制优质封边条机械封边,专用连接件连接，所有开孔部位均采用专业模具成型的配件封堵，不可将板材断面直接裸露在外。所有板材加工截面必须封边，避免甲醛随意释放，确保达到环保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实验台下裙条（高度≥78mm）采用铝合金模具成型，铝合金内部卡扣镶嵌18mm厚生态免漆板材，内层板材据地不低于20mm，增加强度，具有良好的支撑特性。底部稳固平整，产品整体美观立体、防水耐用。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4、水槽：尺寸440mm×340mm×280mm±5mm 厚度4mm，数量9个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材料：高密度PP，耐强腐蚀。表面纹理：槽沿表面处理为皮纹，耐刻刮，与大部分台面板表面纹理一致，附件：高密度PP去水；含阻水盖、PP提笼。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5、台式三口鹅颈水龙头，数量9套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主体：加厚铜质，涂层：高亮度环氧树脂涂层，耐腐蚀、耐热、防紫外线辐射，陶瓷阀芯：90°旋转，使用寿命开关50万次，静态最大耐压20巴，附件：可拆卸铜质水嘴，可加接防溅滤水器，开关旋钮：高密度PP，人体工程学设计，手感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7.84</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学生实验桌（学生实验台 ）</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尺寸1200mm×600mm×780mm±10mm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w:t>
            </w:r>
            <w:r>
              <w:rPr>
                <w:rFonts w:hint="eastAsia" w:ascii="宋体" w:hAnsi="宋体" w:cs="宋体"/>
                <w:i w:val="0"/>
                <w:iCs w:val="0"/>
                <w:color w:val="000000"/>
                <w:sz w:val="22"/>
                <w:szCs w:val="22"/>
                <w:highlight w:val="none"/>
                <w:u w:val="none"/>
                <w:shd w:val="clear" w:color="auto" w:fill="ffff00"/>
                <w:lang w:val="en-US" w:eastAsia="zh-CN" w:bidi="ar"/>
              </w:rPr>
              <w:t xml:space="preserve">或铝塑</w:t>
            </w:r>
            <w:r>
              <w:rPr>
                <w:rFonts w:hint="eastAsia" w:ascii="宋体" w:hAnsi="宋体" w:eastAsia="宋体" w:cs="宋体"/>
                <w:i w:val="0"/>
                <w:iCs w:val="0"/>
                <w:color w:val="000000"/>
                <w:sz w:val="22"/>
                <w:szCs w:val="22"/>
                <w:highlight w:val="none"/>
                <w:u w:val="none"/>
                <w:lang w:val="en-US" w:eastAsia="zh-CN" w:bidi="ar"/>
              </w:rPr>
              <w:t xml:space="preserve">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抗污染、防水、防火特性，台面立面倒角、打磨，各处光滑。台面围栏采用铝合金型材，规格尺寸为：高85mm×8mm×1.5mm；台面底的矩形托架采用规格为30mm×20mm×1.0mm钢管加工制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身参数：立腿采用40mm×80mm×1.5mm厚钢管加工制作，表面经高压静电喷涂环氧树脂防护层，耐酸碱，耐腐蚀处理。立腿上端采用PA6增强尼龙一次性注塑成型的连接件，整体成T形，尺寸≥380mm×41mm×245mm，预埋3个M6铜质螺母便于整体连接；斜腿支脚采用40mm×80mm×1.5mm厚钢管焊接，底脚采用PA6一体注塑成型支撑脚，内部设计固定孔，通过膨胀螺栓固定桌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3、桌脚：采用优质实验室专用可调脚，整体可拆装；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4、书斗：书包斗采用注塑模具一次成型，尺寸为398mm×465mm×125mm，整体壁厚≥4mm。</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学生凳</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尺寸345×245×420mm±10mm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2、凳面参数：凳面尺寸≥345×245mm±5mm  凳面采用共聚丙烯工程塑料模具注塑成型，凳面内镶嵌四颗≥Φ6螺杆，要求螺栓与凳面在注塑过程中一体成型，凳面造型符合人体工程学。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3、凳身参数：凳体采用全钢框架，钢管壁厚≥1.2mm,经酸洗磷化处理，表面喷塑，底脚采用专业ABS模具成型。</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 </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生物准备室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准备台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尺寸:2400mm×700mm×850mm±10mm</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2、台面参数：采用12.7mm厚实芯理化板，抗污染、防水、防火特性，台面立面倒角、打磨，各处光滑。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台身参数：整体采用铝合金框架结构，铝合金型材规格≥30×38mm，主框架壁厚≥1.45mm，横梁规格≥35×25mm，壁厚≥1.45mm，采用工业级卡锁式连接方式组装；底脚高度可调，采用ABS工程塑料与金属螺杆一次注塑成型，确保整体承重，接缝严密，台身含多级柜门、抽屉，牢固耐用，门板镶装铝质合金一字隐藏式拉手。所有板材均采用16mm厚E0级生态免漆板制作，1.5mm厚塑制优质封边条机械封边（板材加工截面和开孔截面均应封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4、其他：五金件：国内知名品牌或同等质量其他品牌优质铰链和三节静音滑轨。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5、水槽：尺寸440mm×340mm×280mm±5mm 厚度4mm，数量1个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材料：高密度PP，耐强腐蚀。表面纹理：槽沿表面处理为皮纹，耐刻刮，与大部分台面板表面纹理一致，附件：高密度PP去水；含阻水盖、PP提笼。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6、台式三口鹅颈水龙头，数量1套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主体：加厚铜质，涂层：高亮度环氧树脂涂层，耐腐蚀、耐热、防紫外线辐射，陶瓷阀芯：90°旋转，使用寿命开关50万次，静态最大耐压20巴，附件：可拆卸铜质水嘴，可加接防溅滤水器，开关旋钮：高密度PP，人体工程学设计，手感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滴水架</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尺寸：550mm×705mm×117mm±5mm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1、材质：高密度PP 类型：单面；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2、底部托盘中间设有排水孔 可拆卸式滴水棒，具有锁扣功能，方便使用。</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试剂架</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尺寸：1600mm×300mm×690mm±5mm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1、专用喷塑铝合金型材（90×45×1.5㎜）表面喷涂高温固化乳白环氧树脂静电粉末喷涂理处理，具有较强的耐蚀性能；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2、上下带ABS模具堵头。8㎜玻璃隔板（双层）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尺寸：1000mm×500mm×2000mm±10mm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参数：铝合金框架规格：前侧腿≥25×35×1.2㎜，后侧腿≥35×35×1.2㎜，基材采用16mm厚E0级生态免漆板制作,其它部位采用1.5mm厚塑制优质封边条机械封边。上部板式对开门，内嵌4mm厚玻璃，柜身内设18mm厚隔板二层。下部为板式对开门，内设18mm厚隔板一层。隔板前端镶装铝合金模具成型U隔板槽，可插分色条，可将存放的物品按分类标识。隔板后端采用U型钢槽加固，中隔板下采用50×25×1.2mm厚钢制喷塑方管加固支撑。</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生物仪器室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尺寸：1000mm×500mm×2000mm±10mm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参数：铝合金框架规格：前侧腿≥25×35×1.2㎜，后侧腿≥35×35×1.2㎜，基材采用16mm厚E0级生态免漆板制作,其它部位采用1.5mm厚塑制优质封边条机械封边。上部板式对开门，内嵌4mm厚玻璃，柜身内设18mm厚隔板二层。下部为板式对开门，内设18mm厚隔板一层。隔板前端镶装铝合金模具成型U隔板槽，可插分色条，可将存放的物品按分类标识。隔板后端采用U型钢槽加固，中隔板下采用50×25×1.2mm厚钢制喷塑方管加固支撑。</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物理实验室（利旧）</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室内地上给排水辅材</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给水采用优质金属软连接与龙头连接，地上每套水嘴设一控制阀门。排水采用优质PVC管，连接处密封。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室内地上配电辅材</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地上采用铝塑护套管，内穿塑铜线，有效固定。</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物理实验室（新建）</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演示台</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尺寸2400mm×700mm×850mm±10mm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1、产品结构：铝木结构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2、台面参数：采用12.7mm厚实芯理化板，具有耐酸碱腐蚀、抗污染、防水、防火特性，台面立面倒角、打磨，各处光滑。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台身结构参数：前柜门4樘后柜门4樘共计8樘柜门，抽屉3个，键盘位1个、水槽位1组，并预留总控电源位置1个和多媒体设备（如显示器、主机、实物展台等多媒体设备）储存空间1个；台身采用16mm厚E0级生态免漆板制作，1.5mm厚塑制优质封边条机械封边（板材加工截面均应封边），开孔部位均采用专业磨具成型的配件封堵。实验台下裙条（高度≥78mm）采用铝合金模具成型，铝合金内部卡扣镶嵌18mm厚生态免漆板材，内层板材据地不低于20mm，增加强度，具有良好的支撑特性。底部稳固平整，产品整体美观立体、防水耐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4、其他参数：阻尼铰链、机械滑轨：采用优质铰链和三节静音滑轨。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5、水槽：尺寸440mm×340mm×280mm±5mm 厚度4mm，数量1个。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材料：高密度PP，耐强腐蚀。表面纹理：槽沿表面处理为皮纹，耐刻刮，与大部分台面板表面纹理一致，附件：高密度PP去水；含阻水盖、PP提笼。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6、台式三口鹅颈水龙头，数量1套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主体：加厚铜质，涂层：高亮度环氧树脂涂层，耐腐蚀、耐热、防紫外线辐射，陶瓷阀芯：90°旋转，使用寿命开关50万次，静态最大耐压20巴，附件：可拆卸铜质水嘴，可加接防溅滤水器，开关旋钮：高密度PP，人体工程学设计，手感舒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给水采用优质金属软连接与龙头连接，排水采用优质PVC管，连接处密封。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7、五孔插座一个。</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学生实验桌（学生实验台 ）</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尺寸1200mm×600mm×780mm±10mm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w:t>
            </w:r>
            <w:r>
              <w:rPr>
                <w:rFonts w:hint="eastAsia" w:ascii="宋体" w:hAnsi="宋体" w:cs="宋体"/>
                <w:i w:val="0"/>
                <w:iCs w:val="0"/>
                <w:color w:val="000000"/>
                <w:sz w:val="22"/>
                <w:szCs w:val="22"/>
                <w:highlight w:val="none"/>
                <w:u w:val="none"/>
                <w:shd w:val="clear" w:color="auto" w:fill="ffff00"/>
                <w:lang w:val="en-US" w:eastAsia="zh-CN" w:bidi="ar"/>
              </w:rPr>
              <w:t xml:space="preserve">或铝塑</w:t>
            </w:r>
            <w:r>
              <w:rPr>
                <w:rFonts w:hint="eastAsia" w:ascii="宋体" w:hAnsi="宋体" w:eastAsia="宋体" w:cs="宋体"/>
                <w:i w:val="0"/>
                <w:iCs w:val="0"/>
                <w:color w:val="000000"/>
                <w:sz w:val="22"/>
                <w:szCs w:val="22"/>
                <w:highlight w:val="none"/>
                <w:u w:val="none"/>
                <w:lang w:val="en-US" w:eastAsia="zh-CN" w:bidi="ar"/>
              </w:rPr>
              <w:t xml:space="preserve">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面参数：采用12.7mm厚实芯理化板，具有抗污染、防水、防火特性，台面立面倒角、打磨，各处光滑。台面围栏采用铝合金型材，规格尺寸为：高85mm×8mm×1.5mm；台面底的矩形托架采用规格为30mm×20mm×1.0mm钢管加工制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台身参数：立腿采用40mm×80mm×1.5mm厚钢管加工制作，表面经高压静电喷涂环氧树脂防护层，耐酸碱，耐腐蚀处理。立腿上端采用PA6增强尼龙一次性注塑成型的连接件，整体成T形，尺寸≥380mm×41mm×245mm，预埋3个M6铜质螺母便于整体连接；斜腿支脚采用40mm×80mm×1.5mm厚钢管焊接，底脚采用PA6一体注塑成型支撑脚，内部设计固定孔，通过膨胀螺栓固定桌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3、桌脚：采用优质实验室专用可调脚，整体可拆装；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4、书斗：书包斗采用注塑模具一次成型，尺寸为398mm×465mm×125mm，整体壁厚≥4mm。</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功能柱</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尺寸300mm*180mm*760mm ±10mm                                                                                                           </w:t>
            </w:r>
            <w:r>
              <w:rPr>
                <w:rFonts w:hint="eastAsia" w:ascii="宋体" w:hAnsi="宋体" w:eastAsia="宋体" w:cs="宋体"/>
                <w:i w:val="0"/>
                <w:iCs w:val="0"/>
                <w:color w:val="000000"/>
                <w:sz w:val="22"/>
                <w:szCs w:val="22"/>
                <w:highlight w:val="none"/>
                <w:u w:val="none"/>
                <w:lang w:val="en-US" w:eastAsia="zh-CN" w:bidi="ar"/>
              </w:rPr>
              <w:t xml:space="preserve">                         1.产品结构：全钢结构 。                                                                                                                                                          2.壳体及底座：采用1.0mm优质镀锌钢板，外形呈多边形样式上下两段式，上部前后壳体采用挂钩滑槽孔方便安装；下部底座为焊接组合件</w:t>
            </w:r>
            <w:r>
              <w:rPr>
                <w:rFonts w:hint="eastAsia" w:ascii="宋体" w:hAnsi="宋体" w:eastAsia="宋体" w:cs="宋体"/>
                <w:i w:val="0"/>
                <w:iCs w:val="0"/>
                <w:color w:val="000000"/>
                <w:sz w:val="22"/>
                <w:szCs w:val="22"/>
                <w:highlight w:val="none"/>
                <w:u w:val="none"/>
                <w:lang w:val="en-US" w:eastAsia="zh-CN" w:bidi="ar"/>
              </w:rPr>
              <w:t xml:space="preserve">，底部钢板预留膨胀螺栓孔与地面固定，所有钢制部件经激光下料、折弯、CO2保护焊焊接，打磨处理，表面经耐酸碱EPOXY粉末烤漆处理（烤漆膜厚度平均值≥70μm），                                                                                                                                              3.功能：中空壳体内部可满足桌面排风、数字化设备、布管线等扩展需求。</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学生凳</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尺寸345×245×420mm±10mm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1、产品结构：钢塑结构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2、凳面参数：凳面尺寸≥345×245mm±5mm  凳面采用共聚丙烯工程塑料模具注塑成型，凳面内镶嵌四颗≥Φ6螺杆，要求螺栓与凳面在注塑过程中一体成型，凳面造型符合人体工程学。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3、凳身参数：凳体采用全钢框架，钢管壁厚≥1.2mm,经酸洗磷化处理，表面喷塑，底脚采用专业ABS模具成型。</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教师主控</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1,钢制抽屉式结构，PVC面膜，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2,具有教师总电源开关带漏电保护功能，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3,液晶显示交直流低压电压，电压0—24调节，低压交流正玄输出，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4,可控制学生低压最高输出电压，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5,触摸按键调节电压升降，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6,过载自动保护复位功能，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7,五孔插座输出220V电压，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8,具有防雷击保护功能。</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学生电源</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shd w:val="clear" w:color="auto" w:fill="ffff00"/>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1、ABS塑制可翻转书斗镶嵌结构。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2、PC面板液晶显示，触摸按键调节电压。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3、工作过载液晶屏幕显示。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学生低压交流电源压调节范围0～24V电压，最小调节单元可达0.1V,额定电流2A，加载电流0～2A时，输出电压稳定，误差范围0.1V之内，具有过载保护智能检测功能（电流高于过载点则自动保护，电流低于过载点则手动恢复至设定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shd w:val="clear" w:color="auto" w:fill="ffff00"/>
                <w:lang w:val="en-US" w:eastAsia="zh-CN" w:bidi="ar"/>
              </w:rPr>
              <w:t xml:space="preserve">▲当交流输出电流在额定电流值的1.05倍~1.1倍时，电源应能过载保护，并能恢复输出</w:t>
            </w:r>
            <w:r/>
          </w:p>
          <w:p>
            <w:pPr>
              <w:jc w:val="left"/>
              <w:keepLines w:val="0"/>
              <w:keepNext w:val="0"/>
              <w:widowControl/>
              <w:rPr>
                <w:rFonts w:hint="eastAsia" w:ascii="宋体" w:hAnsi="宋体" w:eastAsia="宋体" w:cs="宋体"/>
                <w:i w:val="0"/>
                <w:iCs w:val="0"/>
                <w:color w:val="000000"/>
                <w:sz w:val="22"/>
                <w:szCs w:val="22"/>
                <w:highlight w:val="none"/>
                <w:u w:val="none"/>
                <w:shd w:val="clear" w:color="auto" w:fill="ffff00"/>
                <w:lang w:val="en-US" w:eastAsia="zh-CN" w:bidi="ar"/>
              </w:rPr>
              <w:suppressLineNumbers w:val="0"/>
            </w:pPr>
            <w:r>
              <w:rPr>
                <w:rFonts w:hint="eastAsia" w:ascii="宋体" w:hAnsi="宋体" w:eastAsia="宋体" w:cs="宋体"/>
                <w:i w:val="0"/>
                <w:iCs w:val="0"/>
                <w:color w:val="000000"/>
                <w:sz w:val="22"/>
                <w:szCs w:val="22"/>
                <w:highlight w:val="none"/>
                <w:u w:val="none"/>
                <w:shd w:val="clear" w:color="auto" w:fill="ffff00"/>
                <w:lang w:val="en-US" w:eastAsia="zh-CN" w:bidi="ar"/>
              </w:rPr>
              <w:t xml:space="preserve">当直流输出电流在额定电流值的1.05倍~1.1倍时，电源应能过载保护，并能恢复输出(所投产品制造商提供满足检测标准:JY/T0374-200</w:t>
            </w:r>
            <w:r>
              <w:rPr>
                <w:rFonts w:hint="eastAsia" w:ascii="宋体" w:hAnsi="宋体" w:cs="宋体"/>
                <w:i w:val="0"/>
                <w:iCs w:val="0"/>
                <w:color w:val="000000"/>
                <w:sz w:val="22"/>
                <w:szCs w:val="22"/>
                <w:highlight w:val="none"/>
                <w:u w:val="none"/>
                <w:shd w:val="clear" w:color="auto" w:fill="ffff00"/>
                <w:lang w:val="en-US" w:eastAsia="zh-CN" w:bidi="ar"/>
              </w:rPr>
              <w:t xml:space="preserve">4</w:t>
            </w:r>
            <w:r>
              <w:rPr>
                <w:rFonts w:hint="eastAsia" w:ascii="宋体" w:hAnsi="宋体" w:eastAsia="宋体" w:cs="宋体"/>
                <w:i w:val="0"/>
                <w:iCs w:val="0"/>
                <w:color w:val="000000"/>
                <w:sz w:val="22"/>
                <w:szCs w:val="22"/>
                <w:highlight w:val="none"/>
                <w:u w:val="none"/>
                <w:shd w:val="clear" w:color="auto" w:fill="ffff00"/>
                <w:lang w:val="en-US" w:eastAsia="zh-CN" w:bidi="ar"/>
              </w:rPr>
              <w:t xml:space="preserve">《教学实验室设备电源系统》的具有CMA标志的检测报告)。</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6、▲当输入电压在198v-242v间变化，在额定电流输出时低压交流电压变化量≤(2%U标 +0.1)V。(所投产品制造商提供满足检测标准：JY/T0374-2004《教学实验室设备电源系统》的具有CMA标志的检测报告）。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7、五孔交流220V插座输出。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 含电源安装：地上部分线路采用铝塑护套管，内穿塑铜线，有效固定。</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r>
      <w:tr>
        <w:trPr>
          <w:trHeight w:val="380"/>
        </w:trPr>
        <w:tc>
          <w:tcPr>
            <w:gridSpan w:val="5"/>
            <w:shd w:val="clear" w:color="auto" w:fill="fee796"/>
            <w:tcW w:w="91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物理准备室（利旧）</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室内地上给排水辅材</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给水采用优质金属软连接与龙头连接，地上每套水嘴设一控制阀门。排水采用优质PVC管，连接处密封。</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室内地上配电辅材</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地上采用铝塑护套管，内穿塑铜线，有效固定。</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p>
        </w:tc>
      </w:tr>
      <w:tr>
        <w:trPr>
          <w:trHeight w:val="380"/>
        </w:trPr>
        <w:tc>
          <w:tcPr>
            <w:gridSpan w:val="5"/>
            <w:shd w:val="clear" w:color="auto" w:fill="fee796"/>
            <w:tcW w:w="919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心理团体辅导室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墙布面墙</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墙布规格：32140*2900mm；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工艺：UV打印,将设计好的图案和字体以浮雕的形式打印到宣绒布上；聚合物腻子三遍、砂纸打磨。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宣绒布墙布；环保安全：基材无甲醛添加，生产过程少用化学剂，符合E0级环保标准。物理性能卓越：透气防潮：棉纤维结构避免墙面返潮、发霉，适合潮湿地区。耐久性强：抗紫外线褪色，色彩保真度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画面：与采购人确认</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护墙板</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规格：22500*1200mm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工艺：木饰面护墙板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材质：竹木纤维集成墙板（主流环保快装型）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材质构成：以竹木纤维粉、轻质钙粉、PVC树脂为主，高温挤压成型，无胶水粘合。核心特性：环保与安全：生产过程无醛，达E0级标准；。功能优势：防潮防腐：抗酸碱、不霉变，适用厨卫等潮湿区。</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墙面造型留言板</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规格：920*680mm；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工艺：8mm高密度雪弗板粘贴在3mm瓷白板UV画面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墙面文化1</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规格：1500*900mm；1020*140mm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工艺：5mm透明亚克力UV</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墙面文化2</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规格：5210*1250mm；3270*920mm；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工艺：8mm高密度雪弗板+3mm亚克力UV画面及亚克力字组合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多功能培训会议办公椅</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规格：高850mm*坐高430mm，坐垫宽450mm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材质：尼龙外框、透气网布、金属椅脚</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矮柜收纳柜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规格：柜体尺寸为1120*400*700mm；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工艺材质：主体采用E0级环保免漆板，承重性强，耐高温，耐酸碱，耐潮湿符合安全标准，不易变形。简约现代风格。</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r>
      <w:tr>
        <w:trPr>
          <w:trHeight w:val="380"/>
        </w:trPr>
        <w:tc>
          <w:tcPr>
            <w:gridSpan w:val="5"/>
            <w:shd w:val="clear" w:color="auto" w:fill="fee796"/>
            <w:tcW w:w="919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情绪疏导室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墙面文化1</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规格：2070*1500mm；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工艺：8mm高密度雪弗板+3mm亚克力UV画面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软包</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规格：50mm厚度*总高2000mm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材质：表面使用加厚环保超纤PU皮，防裂透气网格布，加大超纤PU皮的韧性，中间采用高回弹海绵，底板使用E0级环保中纤板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工艺：15厘阻燃板基层，皮革软包</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墙面文化2-3</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规格：1860*390mm2套；450*450mm4个；2150*670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工艺：8mm高密度雪弗板UV画面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收纳凳</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规格：800*400*400mm，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材质：主体实木材质，外包材质PU皮，耐磨防滑，耐擦洗。</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智能情绪调节释压系统</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规格：上部高1400mm，底座直径680mm，高400mm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1、智能情绪调节释压系统材料组成部分包括底座、衣服、填充物、头套、内衬等组成部分，整体打造温馨舒适的体验效果；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2、系统采用高性能主控芯片，有效保证系统稳定及高速运算能力；高性能解码芯片，实现MP3音频格式快速解码，播放流畅，音质清晰；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3、系统提供了丰富的积极阳光正能量的语音内容，可满足不同情绪问题的正向引导；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4、系统自带传感器3轴振动检测，可对操作进行检测，防止使用者过度使用，实现系统自我保护作用。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5、智能语音提醒功能：当使用一定时间后语音提醒，防止过度使用；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6、系统采用DC12V电压供电，电流输出稳定且简易安全；自带功放，直接接喇叭，功率可达30W，确保良好的音质输出。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产品配置：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1、智能情绪调节释压系统硬件设备1个，上部高1400mm，底座直径680mm，高400mm。卡通外形，材料无毒环保，高弹性海绵，产品人性化设计结构简单，安装容易，击打时，摆动小，持久耐用、手感好，可击打可拥抱。</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2、护手套2对，采用了轻型耐用材料，可有效的缓冲打击时的撞击。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3、摔打释压球2个，橡胶材质，充气使用，回弹性好，可坐和摔打。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4、立式释压球1个，立式不倒整体1100-1450mm可根据使用情况进行调节。上部实心球体，外层高级仿皮材料，经打耐用。底座高≥210mm,直径≥460mm。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5、充气释压棒2根，长800mm，锥型，充气使用，内胆防水材质，外套蓝色保护套。</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gridSpan w:val="5"/>
            <w:shd w:val="clear" w:color="auto" w:fill="fee796"/>
            <w:tcW w:w="919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音乐放松室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墙布面墙</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墙布规格：13400*2900mm；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工艺：UV打印,将设计好的图案和字体以浮雕的形式打印到宣绒布上；聚合物腻子三遍、砂纸打磨。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宣绒布墙布；环保安全：基材无甲醛添加，生产过程少用化学剂，符合E0级环保标准。物理性能卓越：透气防潮：棉纤维结构避免墙面返潮、发霉，适合潮湿地区。耐久性强：抗紫外线褪色，色彩保真度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画面：与采购人确认</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38.86</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墙面文化1</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规格：2600*1110mm；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工艺：5mm亚克力字及迷你发光字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墙面文化2-3</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规格：1890*660mm；850*930mm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工艺：8mm雪弗板+3mm亚克力UV画面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懒人沙发</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规格：底部圆直径500mm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材质：填充物为进口EPP颗粒，隐藏拉链可拆洗，占地约500-600mm宽;约750-800mm</w:t>
            </w:r>
            <w:r/>
          </w:p>
        </w:tc>
        <w:tc>
          <w:tcPr>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3D音乐按摩椅</w:t>
            </w:r>
            <w:r/>
          </w:p>
        </w:tc>
        <w:tc>
          <w:tcPr>
            <w:tcW w:w="523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1、音乐按摩椅尺寸直立尺寸：1560X750X1000mm，平躺尺寸：1700X750X850mm，额定功率60W，可承受重量及身高：100kg/180cm，毛重/净重：62/74.5kg，表层材质：PU皮，采用背部揉捶双头机芯，电机个数：5个电机 （颈部机芯2个电机，背部2个电机，电动推杆1个），噪音级别：&lt;55分贝，音响配置：蓝牙音响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2、气囊数：肩部4个，手臂8个， 臀部2个，腿部8个；气阀：1组3联气阀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3、按摩手法：揉捏 、锤打、推拿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4、按摩程序：总裁养生，女王纤体，肩周改善，腰背呵护，安享睡眠，零重力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5、按摩强度：三档可调，气囊强度：三档可调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6、按摩方式：座部按摩：臀部滚轮按摩，足部按摩：气囊+脚底滚轮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7、采用安卓系统，≥10.1寸屏幕，系统内存：≥6G；储存空间：≥128G；支持任意格式音乐、心理文章，心理图片、心理电影播放，可连接WiFi。运行速度流畅，多点式触摸屏，使用方便，携带方便，视觉体验出众。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8、音乐放松管理系统简介：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音乐放松管理系统是一款集心理影音、心理训练和心理助手等功能于一身的综合性系统。它不仅提供了丰富多样的心理音乐、心理图片和心理电影资源，还能帮助你学习心理学知识、放松身心和提高专注力。使用这个系统，可以有效的改善用户的心理健康状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系统主要分为心理影音、心理训练、放松助手、个人中心四大模块。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-1心理影音包括大量心理图片，其中包括：风景放松图、光学错觉图、几何错觉图，视觉动态图，心理错觉图；心理电影及讲座；心理百科内含心理放松图片，通过卡通漫画配以文字介绍，通俗易懂，简单直观地让用户了解日常释压食物及放松方法，从而达到快速排解心理压力，其中图片包括体育运动类、心理放松疗法、心理减压组合餐推荐，释压的水果、花草及茶点，多种肢体放松行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10大心理音乐，包括：</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（1）改善失眠、促进睡眠 ：脑波音乐、深度睡眠音乐，放松音乐等；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（2）消除寂寞、减少失落感 ：心灵音乐馆之-谣風、池清凉、唱遍山月、春芽等；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（3）消除悲伤、抚慰心灵：α脑波音乐；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（4）消除愤怒、消除心灵淤塞:纯音乐之-你的笑颜、夕阳箫鼓、小霓裳等；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（5）消除浮躁、促进内心平静：大自然背景声（小桥流水、鸟语花香、荷塘月色、寂静山林等）；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（6）消除紧张、焦虑：自信训练。（减压音乐等）；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（7）消除自卑、提升自信：（冥想合放松音乐）；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（8）缓解身心疲劳：（天韵五行音乐等）；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（9）接触忧郁、情绪：（嘎达梅林、假日海滩、云水禅心等）；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（10）陶冶心情、醒脑提神：（旺盛的自愈力、自律与决心、释放压力、内在调和等）。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-2心理训练包括三大真人放松训练、专注度训练、社交投射训练（共分为爱心、鼓励、问候、笑脸、谢谢5大类别，由不少于20个学生运用语言、行为传递积极向上的正能量，从而潜移默化达到提升用户社交能力、增强自我自信品质效果）；趣味测试内不少于10个趣味量表测试，通过趣味诙谐的语言和正面肯定的模式让用户增进用户自我自信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-3放松助手包括呼吸助手与睡眠训练助手，呼吸助手按舒缓、稍快两种训练模式，通过动画将语音提示形象展现，用户根据语音提示的节奏进行模仿训练，可有效地缓解压力，预防心肺问题，适合所有人群，尤指运动极少，轻度焦虑者；睡眠训练助手内置36种场景音乐，8种不同播放时长选择，用户可根据需求选择相应的场景音乐及播放时长进行想象放松，缓解躯体紧张，帮助大脑放松。</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8-4个人中心：管理员可查看用户信息、用户记录可查看用户的报告时间及报告类型。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产品配置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1、音乐按摩椅1台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2、支架1个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3、音乐放松管理系统1套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4、遮光眼罩2个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5、音乐导论书籍1本</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gridSpan w:val="5"/>
            <w:shd w:val="clear" w:color="auto" w:fill="fee796"/>
            <w:tcW w:w="919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心理咨询办公接待室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墙面文化1</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规格：2070*1280mm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工艺：8mm高密度雪弗板+3mm亚克力UV画面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墙面文化2</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规格：2040*500mm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工艺：8mm高密度雪弗板+3mm亚克力UV画面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定制办公桌椅</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规格:1400*800*740mm；宽大桌面，厚度50mm,颜色浅纹色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商品材质：E0级环保板材，机器封边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椅子尺寸：520*440*1180mm,颜色：曜黑；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材质：双杆操控3mm加厚处理；椅脚：精镀铝合金；网布：龙纹特网；背框：高分子尼龙加纤</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定制落地文件柜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规格：800*320*1800mm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材质：选用优质冷轧钢钢板，表面颜色为白色，基层：采用静电粉末喷塑，无有机溶液，E0级环保漆无污染。</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定制沙发茶几</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规格：1+3沙发：单人位尺寸700*600*560mm；三人位尺寸：1750*600*560mm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面料: 超纤皮，E0级环保板材框架，海绵填充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茶几规格：800*500*450mm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材质：E0级环保板材，岩板桌面</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隔断</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尺寸：2000*2900mm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工艺：铁艺烤漆造型；激光切割机精准裁切勾槽机折边、焊接形成立体轮廓，精细打磨。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材质：E0级环保漆；主体采用镀锌钢板（防锈）厚度1.2mm，兼顾强度与可塑性。  </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gridSpan w:val="5"/>
            <w:shd w:val="clear" w:color="auto" w:fill="fee796"/>
            <w:tcW w:w="919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心理咨询研讨督导室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墙面文化1</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规格：1730*840mm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工艺：8mm+3mm亚克力UV画面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墙面文化2</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规格：600*800mm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工艺：8mm高密度雪弗板+3mm亚克力UV画面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墙布面墙</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墙布规格：14860*2900mm；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工艺：UV打印,将设计好的图案和字体以浮雕的形式打印到宣绒布上；聚合物腻子三遍、砂纸打磨。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宣绒布墙布；环保安全：基材无甲醛添加，生产过程少用化学剂，符合E0级环保标准。物理性能卓越：透气防潮：棉纤维结构避免墙面返潮、发霉，适合潮湿地区。耐久性强：抗紫外线褪色，色彩保真度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画面：与采购人确认</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沙发茶几</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沙发规格：双人位1500*600*560mm；（1张）；单人位700*600*560mm；（1张）</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沙发工艺：3.6蛇簧搭配皮筋扣定线固定；实木腿；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沙发材质：面料科技布，高密度回弹发泡海绵填充，内架采用E0级环保板材作为木架，多层夹板封板；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茶几规格：800*500*450mm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工艺：30-40mm加粗木腿；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茶几材质：整体采用E0级环保板材；</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会议桌椅</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会议桌规格：整体尺寸1800*800*750mm；桌面板25mm；6椅6人位桌椅；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会议桌工艺：烤漆钢架+实木板材；受力面大 承重力强 （含配件五金）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会议桌材质：1.2mm加厚内壁加固框架、工程级用钢；抗污耐脏、E0级环保板材、易清洁 防刮蹭</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会议椅规格：整体尺寸：椅面离地430mm；整体椅960mm；座深：450mm；单人椅净宽475mm，带扶手总宽520mm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会议椅工艺材质：PE+龙纹涤纶网（防褪色）；PP固定扶手；镀铬钢架框架；加厚乳胶座垫（含配件五金）</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阅览区矮柜+多层格子柜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规格：整体尺寸2400*1950mm,深350mm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工艺：主体采用E0级环保原木色免漆板；矮柜 (底座)：位于组合底部，提供封闭式大容量储物空间。多层格子柜：位于矮柜上方，由多层开放式隔板构成，便于书籍分类展示与快速取阅。模块化拼装，结构稳固，风格统一。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材质：E0级环保原木色免漆板，免漆饰面抗污耐磨，日常清洁简便含配件五金</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办公室矮柜</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规格：整体尺寸：2000*400深*800mm（双门800*400*800mm 、双门四抽1200*400*800mm）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工艺：主体采用E0级环保原木色免漆板；抽屉：静音缓冲滑轨抽屉面板与柜体同色同材质，单抽屉承重≥15kg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材质：E0级环保原木色免漆板，含配件五金</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gridSpan w:val="5"/>
            <w:shd w:val="clear" w:color="auto" w:fill="fee796"/>
            <w:tcW w:w="919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沙盘游戏室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墙布面墙</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墙布规格：15600*2900mm；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工艺：UV打印,将设计好的图案和字体以浮雕的形式打印到宣绒布上；聚合物腻子三遍、砂纸打磨。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宣绒布墙布；环保安全：基材无甲醛添加，生产过程少用化学剂，符合E0级环保标准。物理性能卓越：透气防潮：棉纤维结构避免墙面返潮、发霉，适合潮湿地区。耐久性强：抗紫外线褪色，色彩保真度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画面：与采购人确认</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墙面文化1</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尺寸：1440*730mm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工艺：8mm高密度雪弗板+3mm亚克力UV画面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沙盘凳</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规格：310*310mm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材质：E0级环保板材榫卯结构，高回弹海绵，可拆洗棉麻材质。</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标准版实木心理沙盘</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一、2个个体实木心理沙盘，使用尺寸：≥长 720mm×宽 570mm×深70mm，边框厚度≥15mm，沙盘含架子整体高度≥750mm。专用三底两面环保漆；内侧底与边框、底部为蓝色，外部为实木色，表面光滑不伤手、防水、耐磨不掉色。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二、2个实木沙具柜，沙具柜规格：≥1500mm×300mm×980mm，柜体采用5层8阶设计，既美观又便于分类摆放选取沙具。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三、1000个沙具种类：18 大类（宗教类、风车、灯塔等标志类、公共标识类、交通工具类、公共建筑类、桥栅栏类、日月等自然物类、贝壳山石类、现实中人物类、空想人物类虚拟人物、恐龙怪兽类、家具、日用品类、水生动物、野生动物类、家禽家畜类、草坪类、植物类、军队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四、沙盘游戏书籍1本。</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五、精选原色水洗砂20公斤，颗粒光滑、大小均匀、高温消毒 。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六、沙具选取框1套 （沙具选取框2个，清理刷2个）。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七、含3天专业沙盘培训1人次名额（培训地点及开课时间统一通知，交通食宿费用自理）。</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gridSpan w:val="5"/>
            <w:shd w:val="clear" w:color="auto" w:fill="fee796"/>
            <w:tcW w:w="919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心理个体辅导室</w:t>
            </w:r>
            <w:r/>
          </w:p>
        </w:tc>
      </w:tr>
      <w:tr>
        <w:trPr>
          <w:trHeight w:val="380"/>
        </w:trPr>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d9d9d9"/>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d9d9d9"/>
            <w:tcW w:w="52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shd w:val="clear" w:color="auto" w:fill="d9d9d9"/>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d9d9d9"/>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墙面文化1</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尺寸：2650*910mm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工艺：8mm高密度雪弗板+瓷白板UV画面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6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墙面文化2</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尺寸：1090*2650mm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工艺：8mm高密度雪弗板+3mm亚克力UV画面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材质：1、雪弗板：重量轻盈，加工极其简单快捷。 防水防潮，耐腐蚀；性价比高；具有一定的强度和刚性。2、亚克力：超高透光率； 视觉失真小；优异的耐候性： 抗紫外线能力强，保光保色性好。高强度和韧性，不易碎裂。具有较好的机械强度。易加工成型：易于切割、雕刻（CNC）、钻孔、打磨。 易于粘接。易于抛光至镜面效果。耐化学性优异： 耐稀酸、稀碱、油脂等；良好的电绝缘性。</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380"/>
        </w:trPr>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定制沙发茶几</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定制边几</w:t>
            </w:r>
            <w:r/>
          </w:p>
        </w:tc>
        <w:tc>
          <w:tcPr>
            <w:tcW w:w="5232"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1+2沙发：单人位尺寸：700*600*560mm；双人位尺寸：1500*600*560mm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沙发工艺：3.6蛇簧搭配皮筋扣定线固定；实木腿；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沙发材质：面料科技布，高密度回弹发泡海绵填充，内架采用E0级环保板材做木架，多层夹板封板；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茶几规格：800*500*450mm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材质：主体材料为E0级环保板材，岩板桌面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边几规格：400*700*520mm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材质：主体材料为E0级环保板材，岩板桌面，带金属滚轮可移动</w:t>
            </w:r>
            <w:r/>
          </w:p>
        </w:tc>
        <w:tc>
          <w:tcPr>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bl>
    <w:p>
      <w:pPr>
        <w:pStyle w:val="1276"/>
        <w:contextualSpacing/>
        <w:ind w:firstLine="0"/>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br w:type="page" w:clear="all"/>
      </w:r>
      <w:r>
        <w:rPr>
          <w:rFonts w:hint="eastAsia" w:ascii="宋体" w:hAnsi="宋体"/>
          <w:b/>
          <w:bCs/>
          <w:color w:val="000000"/>
          <w:sz w:val="24"/>
          <w:szCs w:val="24"/>
          <w:highlight w:val="none"/>
        </w:rPr>
        <w:t xml:space="preserve">三、报价方式</w:t>
      </w:r>
      <w:r/>
    </w:p>
    <w:p>
      <w:pPr>
        <w:ind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本项目投标报价为</w:t>
      </w:r>
      <w:r>
        <w:rPr>
          <w:rFonts w:hint="eastAsia" w:ascii="宋体" w:hAnsi="宋体" w:eastAsia="宋体" w:cs="宋体"/>
          <w:b/>
          <w:bCs/>
          <w:color w:val="000000"/>
          <w:sz w:val="24"/>
          <w:highlight w:val="none"/>
        </w:rPr>
        <w:t xml:space="preserve">固定总价</w:t>
      </w:r>
      <w:r>
        <w:rPr>
          <w:rFonts w:hint="eastAsia" w:ascii="宋体" w:hAnsi="宋体" w:eastAsia="宋体" w:cs="宋体"/>
          <w:color w:val="000000"/>
          <w:sz w:val="24"/>
          <w:highlight w:val="none"/>
        </w:rPr>
        <w:t xml:space="preserve">，须包含所有设备、上下水、电、气路的安装调试</w:t>
      </w:r>
      <w:r>
        <w:rPr>
          <w:rFonts w:hint="eastAsia" w:ascii="宋体" w:hAnsi="宋体"/>
          <w:color w:val="000000"/>
          <w:sz w:val="24"/>
          <w:highlight w:val="none"/>
          <w:lang w:val="en-US" w:eastAsia="zh-CN"/>
        </w:rPr>
        <w:t xml:space="preserve">及物理实验室、</w:t>
      </w:r>
      <w:r>
        <w:rPr>
          <w:rFonts w:hint="eastAsia" w:ascii="宋体" w:hAnsi="宋体" w:eastAsia="宋体" w:cs="宋体"/>
          <w:i w:val="0"/>
          <w:iCs w:val="0"/>
          <w:color w:val="000000"/>
          <w:sz w:val="24"/>
          <w:szCs w:val="24"/>
          <w:highlight w:val="none"/>
          <w:u w:val="none"/>
          <w:lang w:val="en-US" w:eastAsia="zh-CN" w:bidi="ar"/>
        </w:rPr>
        <w:t xml:space="preserve">物理准备室、物理仪器室、生物标本室利旧家</w:t>
      </w:r>
      <w:r>
        <w:rPr>
          <w:rFonts w:hint="eastAsia" w:ascii="宋体" w:hAnsi="宋体" w:cs="宋体"/>
          <w:i w:val="0"/>
          <w:iCs w:val="0"/>
          <w:color w:val="000000"/>
          <w:sz w:val="24"/>
          <w:szCs w:val="24"/>
          <w:highlight w:val="none"/>
          <w:u w:val="none"/>
          <w:lang w:val="en-US" w:eastAsia="zh-CN" w:bidi="ar"/>
        </w:rPr>
        <w:t xml:space="preserve">具</w:t>
      </w:r>
      <w:r>
        <w:rPr>
          <w:rFonts w:hint="eastAsia" w:ascii="宋体" w:hAnsi="宋体" w:eastAsia="宋体" w:cs="宋体"/>
          <w:i w:val="0"/>
          <w:iCs w:val="0"/>
          <w:color w:val="000000"/>
          <w:sz w:val="24"/>
          <w:szCs w:val="24"/>
          <w:highlight w:val="none"/>
          <w:u w:val="none"/>
          <w:lang w:val="en-US" w:eastAsia="zh-CN" w:bidi="ar"/>
        </w:rPr>
        <w:t xml:space="preserve">移装</w:t>
      </w:r>
      <w:r>
        <w:rPr>
          <w:rFonts w:hint="eastAsia" w:ascii="宋体" w:hAnsi="宋体" w:cs="宋体"/>
          <w:i w:val="0"/>
          <w:iCs w:val="0"/>
          <w:color w:val="000000"/>
          <w:sz w:val="24"/>
          <w:szCs w:val="24"/>
          <w:highlight w:val="none"/>
          <w:u w:val="none"/>
          <w:lang w:val="en-US" w:eastAsia="zh-CN" w:bidi="ar"/>
        </w:rPr>
        <w:t xml:space="preserve">费用（具体数量以现场实际勘察情况为准）</w:t>
      </w:r>
      <w:r>
        <w:rPr>
          <w:rFonts w:hint="eastAsia" w:ascii="宋体" w:hAnsi="宋体" w:eastAsia="宋体" w:cs="宋体"/>
          <w:color w:val="000000"/>
          <w:sz w:val="24"/>
          <w:highlight w:val="none"/>
        </w:rPr>
        <w:t xml:space="preserve">。投标报价应包括招标文件所确定的招标范围相应货物和服务的供货、</w:t>
      </w:r>
      <w:r>
        <w:rPr>
          <w:rFonts w:hint="eastAsia" w:ascii="宋体" w:hAnsi="宋体" w:eastAsia="宋体" w:cs="宋体"/>
          <w:sz w:val="24"/>
          <w:highlight w:val="none"/>
        </w:rPr>
        <w:t xml:space="preserve">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付实际使用人的时间。</w:t>
      </w:r>
      <w:r/>
    </w:p>
    <w:p>
      <w:pPr>
        <w:pStyle w:val="1276"/>
        <w:contextualSpacing/>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有安装过程中及调试验收移交过程中的水、电、气、燃油等，均由中标人承担，各系统移交采购人之后发生的水、电、气、燃油费用，均有采购人承担。各系统均需经过检测，且达到设计要求及验收规范要求后，才能移交给采购人。</w:t>
      </w:r>
      <w:r/>
    </w:p>
    <w:p>
      <w:pPr>
        <w:pStyle w:val="1276"/>
        <w:contextualSpacing/>
        <w:ind w:firstLine="480"/>
        <w:jc w:val="left"/>
        <w:spacing w:line="360" w:lineRule="auto"/>
        <w:rPr>
          <w:rFonts w:ascii="宋体" w:hAnsi="宋体"/>
          <w:b/>
          <w:bCs/>
          <w:color w:val="000000"/>
          <w:sz w:val="24"/>
          <w:szCs w:val="24"/>
          <w:highlight w:val="none"/>
        </w:rPr>
      </w:pPr>
      <w:r>
        <w:rPr>
          <w:rFonts w:hint="eastAsia" w:ascii="宋体" w:hAnsi="宋体" w:eastAsia="宋体" w:cs="宋体"/>
          <w:sz w:val="24"/>
          <w:szCs w:val="24"/>
          <w:highlight w:val="none"/>
        </w:rPr>
        <w:t xml:space="preserve">报价货币为人民币，评审时以人民币为准。</w:t>
      </w:r>
      <w:r/>
    </w:p>
    <w:p>
      <w:pPr>
        <w:pStyle w:val="1276"/>
        <w:contextualSpacing/>
        <w:ind w:firstLine="0"/>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四、交货期及交货地点</w:t>
      </w:r>
      <w:r/>
    </w:p>
    <w:p>
      <w:pPr>
        <w:pStyle w:val="1276"/>
        <w:contextualSpacing/>
        <w:ind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color w:val="000000"/>
          <w:sz w:val="24"/>
          <w:highlight w:val="none"/>
        </w:rPr>
        <w:t xml:space="preserve">1、交货期：</w:t>
      </w:r>
      <w:r>
        <w:rPr>
          <w:rFonts w:hint="eastAsia" w:ascii="宋体" w:hAnsi="宋体" w:eastAsia="宋体" w:cs="宋体"/>
          <w:color w:val="000000"/>
          <w:sz w:val="24"/>
          <w:highlight w:val="none"/>
          <w:lang w:val="en-US" w:eastAsia="zh-CN"/>
        </w:rPr>
        <w:t xml:space="preserve">同签订后60日历天内完成供货、安装、调试并通过验收。</w:t>
      </w:r>
      <w:r/>
    </w:p>
    <w:p>
      <w:pPr>
        <w:pStyle w:val="1276"/>
        <w:contextualSpacing/>
        <w:ind w:firstLine="480"/>
        <w:jc w:val="left"/>
        <w:spacing w:line="360" w:lineRule="auto"/>
        <w:rPr>
          <w:rFonts w:ascii="宋体" w:hAnsi="宋体"/>
          <w:b/>
          <w:bCs/>
          <w:color w:val="000000"/>
          <w:sz w:val="24"/>
          <w:szCs w:val="24"/>
          <w:highlight w:val="none"/>
        </w:rPr>
      </w:pPr>
      <w:r>
        <w:rPr>
          <w:rFonts w:hint="eastAsia" w:ascii="宋体" w:hAnsi="宋体"/>
          <w:color w:val="000000"/>
          <w:sz w:val="24"/>
          <w:highlight w:val="none"/>
        </w:rPr>
        <w:t xml:space="preserve">2、交货地点：中标人负责将货物运到采购人指定地点和楼层，由中标人负责办理运输和装卸等，费用由中标人承担。</w:t>
      </w:r>
      <w:r/>
    </w:p>
    <w:p>
      <w:pPr>
        <w:pStyle w:val="1276"/>
        <w:contextualSpacing/>
        <w:ind w:firstLine="0"/>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五、验收要求</w:t>
      </w:r>
      <w:r/>
    </w:p>
    <w:p>
      <w:pPr>
        <w:pStyle w:val="1276"/>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产品必须是全新、未使用过的原装合格正品，完全符合招标文件规定的质量、规格和性能的要求，达到国家或行业规定的标准。由采购人组织进行抽检，检验不合格或不符合质量要求的，中标人应负责相应检测费用并在规定时间内进行整改，未在规定时间内进行整改的，中标人除无条件退货外，还须承担采购人的一切损失。</w:t>
      </w:r>
      <w:r/>
    </w:p>
    <w:p>
      <w:pPr>
        <w:pStyle w:val="1276"/>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2、投标人提供的产品必须能够满足规范及招标文件的要求，同时还必须满足使用要求；产品必须能通过采购人的质量验收等各类验收。</w:t>
      </w:r>
      <w:r/>
    </w:p>
    <w:p>
      <w:pPr>
        <w:pStyle w:val="1276"/>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3、经双方共同验收，产品性能参数达不到招标合同要求的，采购人可以要求供应商在规定时间内进行整改，否则采购人有权解除合同。</w:t>
      </w:r>
      <w:r/>
    </w:p>
    <w:p>
      <w:pPr>
        <w:pStyle w:val="1276"/>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4、验收标准：设备到货安装调试结束后，采购方按国家标准及厂方标准进行质量验收。中标人应向采购方提供详细的产品检测报告等证明材料。当双方对验收标准有争议时，可委托双方一致认可的国家相关权威检测中心进行检测，费用由供应商承担，只有在设备完全正常运转和采购方确认后，设备的安装工作才能认为已全部完成。</w:t>
      </w:r>
      <w:r/>
    </w:p>
    <w:p>
      <w:pPr>
        <w:pStyle w:val="1276"/>
        <w:contextualSpacing/>
        <w:ind w:firstLine="480"/>
        <w:jc w:val="left"/>
        <w:spacing w:line="360" w:lineRule="auto"/>
        <w:rPr>
          <w:color w:val="000000"/>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、新北区实验室设备等验收规范按新北区教育局最新相关规定执行。</w:t>
      </w:r>
      <w:r/>
    </w:p>
    <w:p>
      <w:pPr>
        <w:pStyle w:val="1276"/>
        <w:contextualSpacing/>
        <w:ind w:firstLine="0"/>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六、质保及售后服务要求</w:t>
      </w:r>
      <w:r/>
    </w:p>
    <w:p>
      <w:pPr>
        <w:pStyle w:val="1190"/>
        <w:ind w:firstLine="480"/>
        <w:spacing w:line="360" w:lineRule="auto"/>
        <w:rPr>
          <w:rFonts w:hAnsi="宋体" w:cs="Times New Roman"/>
          <w:color w:val="000000"/>
          <w:highlight w:val="none"/>
        </w:rPr>
      </w:pPr>
      <w:r>
        <w:rPr>
          <w:rFonts w:hint="eastAsia" w:hAnsi="宋体" w:cs="Times New Roman"/>
          <w:color w:val="000000"/>
          <w:highlight w:val="none"/>
        </w:rPr>
        <w:t xml:space="preserve">1、质保期：本项目产品的免费质保期为三年。质保期内根据采购人需要提供免费更换零配件（非人为原因），质保期自设备验收合格之日起计算，终身负责维修，保证零配件的供给。</w:t>
      </w:r>
      <w:r/>
    </w:p>
    <w:p>
      <w:pPr>
        <w:pStyle w:val="1190"/>
        <w:ind w:firstLine="480"/>
        <w:spacing w:line="360" w:lineRule="auto"/>
        <w:rPr>
          <w:rFonts w:hAnsi="宋体" w:cs="Times New Roman"/>
          <w:color w:val="000000"/>
          <w:highlight w:val="none"/>
        </w:rPr>
      </w:pPr>
      <w:r>
        <w:rPr>
          <w:rFonts w:hint="eastAsia" w:hAnsi="宋体" w:cs="Times New Roman"/>
          <w:color w:val="000000"/>
          <w:highlight w:val="none"/>
        </w:rPr>
        <w:t xml:space="preserve">2、售后服务：投标报价中应包含调试费，中标人需提供免费的调试服务。</w:t>
      </w:r>
      <w:r/>
    </w:p>
    <w:p>
      <w:pPr>
        <w:pStyle w:val="1190"/>
        <w:ind w:firstLine="480"/>
        <w:spacing w:line="360" w:lineRule="auto"/>
        <w:rPr>
          <w:rFonts w:hAnsi="宋体" w:cs="Times New Roman"/>
          <w:color w:val="000000"/>
          <w:highlight w:val="none"/>
        </w:rPr>
      </w:pPr>
      <w:r>
        <w:rPr>
          <w:rFonts w:hint="eastAsia" w:hAnsi="宋体" w:cs="Times New Roman"/>
          <w:color w:val="000000"/>
          <w:highlight w:val="none"/>
        </w:rPr>
        <w:t xml:space="preserve">3、修复时间（质保期内）：中标人接到报修请求，维修应在半小时内响应，2 小时内维修人员到达现场，排除故障；48 小时内解决故障问题，恢复设备正常使用，必要时应向采购人提供应急备用设备。如无法修复正常运行的，须标明赔偿标准。在维修期间免费提供备用品。</w:t>
      </w:r>
      <w:r/>
    </w:p>
    <w:p>
      <w:pPr>
        <w:pStyle w:val="1190"/>
        <w:ind w:firstLine="480"/>
        <w:spacing w:line="360" w:lineRule="auto"/>
        <w:rPr>
          <w:rFonts w:hint="eastAsia" w:hAnsi="宋体" w:cs="Times New Roman"/>
          <w:color w:val="000000"/>
          <w:highlight w:val="none"/>
        </w:rPr>
      </w:pPr>
      <w:r>
        <w:rPr>
          <w:rFonts w:hint="eastAsia" w:hAnsi="宋体" w:cs="Times New Roman"/>
          <w:color w:val="000000"/>
          <w:highlight w:val="none"/>
        </w:rPr>
        <w:t xml:space="preserve">4、在质保期满后，只收取配件费，不收取人工费及其他费用，中标人需长期提供优惠价格的主要零配件（提供主要零配件清单及供应价格）；提供维修部负责人名单及联系方式。</w:t>
      </w:r>
      <w:r/>
    </w:p>
    <w:p>
      <w:pPr>
        <w:pStyle w:val="1190"/>
        <w:spacing w:line="360" w:lineRule="auto"/>
        <w:rPr>
          <w:rFonts w:hAnsi="宋体" w:cs="Times New Roman"/>
          <w:b/>
          <w:color w:val="000000"/>
          <w:highlight w:val="none"/>
        </w:rPr>
      </w:pPr>
      <w:r>
        <w:rPr>
          <w:rFonts w:hint="eastAsia" w:hAnsi="宋体" w:cs="Times New Roman"/>
          <w:b/>
          <w:color w:val="000000"/>
          <w:highlight w:val="none"/>
        </w:rPr>
        <w:t xml:space="preserve">七、综合说明：</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投标人</w:t>
      </w:r>
      <w:r>
        <w:rPr>
          <w:rFonts w:ascii="宋体" w:hAnsi="宋体"/>
          <w:color w:val="000000"/>
          <w:sz w:val="24"/>
          <w:highlight w:val="none"/>
        </w:rPr>
        <w:t xml:space="preserve">须明确所投设备生产厂家、品牌、型号、规格和外形、尺寸等；提供设备的配置清单，并提供详细的技术参数和性能说明书。</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投标人</w:t>
      </w:r>
      <w:r>
        <w:rPr>
          <w:rFonts w:ascii="宋体" w:hAnsi="宋体"/>
          <w:color w:val="000000"/>
          <w:sz w:val="24"/>
          <w:highlight w:val="none"/>
        </w:rPr>
        <w:t xml:space="preserve">必须承诺采购文件中提出的全部技术规格与要求，如果以其中某些条款不响应时，应在文件中逐条列出，未列出的视同响应。</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、投标总价</w:t>
      </w:r>
      <w:r>
        <w:rPr>
          <w:rFonts w:ascii="宋体" w:hAnsi="宋体"/>
          <w:color w:val="000000"/>
          <w:sz w:val="24"/>
          <w:highlight w:val="none"/>
        </w:rPr>
        <w:t xml:space="preserve">包括</w:t>
      </w:r>
      <w:r>
        <w:rPr>
          <w:rFonts w:hint="eastAsia" w:ascii="宋体" w:hAnsi="宋体"/>
          <w:color w:val="000000"/>
          <w:sz w:val="24"/>
          <w:highlight w:val="none"/>
        </w:rPr>
        <w:t xml:space="preserve">全部产品价格（包括全套产品、辅配件、随设备应提交的资料等费用）、包装、运输、装卸、保险、技术培训、质保期服务、税金、专利技术、劳务、利润，以及上述未提及但有关于本次采购设备的供货、安装、调试，直至验收合格交付及质保期间所发生的所有费用。</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4、须提供质量保证，在质量保证期内该设备或产品出现质量问题（人为除外），无条件更换。</w:t>
      </w:r>
      <w:r/>
    </w:p>
    <w:p>
      <w:pPr>
        <w:ind w:firstLine="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除清单内容外，项目内容还包含支架、辅件及顶装安装、电器安装（包含电路改造、电器设备安装）、系统调试、室内地上给排水安装（给水采用优质金属软连接与龙头连接，地上每套水嘴设一控制阀门。排水采用优质PVC管，连接处密封）及地上配电安装（地上采用铝塑护套管，内穿塑铜线，有效固定）等涉及到的辅材、综合布线、安装调试内容。</w:t>
      </w:r>
      <w:r/>
    </w:p>
    <w:p>
      <w:pPr>
        <w:pStyle w:val="1276"/>
        <w:contextualSpacing/>
        <w:ind w:firstLine="0"/>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八、付款方式</w:t>
      </w:r>
      <w:r/>
    </w:p>
    <w:p>
      <w:pPr>
        <w:ind w:firstLine="48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1.合同签订生效后30日内，采购人支付合同金额的30%；所有货物安装调试完毕，通过采购人验收合格后付至合同金额的</w:t>
      </w:r>
      <w:r>
        <w:rPr>
          <w:rFonts w:hint="eastAsia" w:ascii="宋体" w:hAnsi="宋体"/>
          <w:color w:val="000000"/>
          <w:sz w:val="24"/>
          <w:highlight w:val="none"/>
          <w:lang w:val="en-US" w:eastAsia="zh-CN"/>
        </w:rPr>
        <w:t xml:space="preserve">100</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w:t>
      </w:r>
      <w:r/>
    </w:p>
    <w:p>
      <w:pPr>
        <w:ind w:firstLine="480"/>
        <w:spacing w:line="360" w:lineRule="auto"/>
        <w:rPr>
          <w:rFonts w:ascii="等线" w:hAnsi="等线"/>
          <w:color w:val="000000"/>
          <w:sz w:val="24"/>
          <w:highlight w:val="none"/>
        </w:rPr>
      </w:pPr>
      <w:r>
        <w:rPr>
          <w:rFonts w:hint="eastAsia" w:ascii="宋体" w:hAnsi="宋体"/>
          <w:color w:val="000000"/>
          <w:sz w:val="24"/>
          <w:highlight w:val="none"/>
        </w:rPr>
        <w:t xml:space="preserve">2.中标人需提供等额的符合采购人要求的增值税发票（税率与投标税率一致）。</w:t>
      </w:r>
      <w:r/>
    </w:p>
    <w:p>
      <w:pPr>
        <w:pStyle w:val="119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九、样品清单及要求</w:t>
      </w:r>
      <w:r/>
    </w:p>
    <w:tbl>
      <w:tblPr>
        <w:tblStyle w:val="839"/>
        <w:tblW w:w="48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80"/>
        <w:gridCol w:w="921"/>
        <w:gridCol w:w="1809"/>
        <w:gridCol w:w="2935"/>
      </w:tblGrid>
      <w:tr>
        <w:trPr>
          <w:jc w:val="center"/>
          <w:trHeight w:val="230"/>
        </w:trPr>
        <w:tc>
          <w:tcPr>
            <w:tcW w:w="1868" w:type="dxa"/>
            <w:vAlign w:val="center"/>
            <w:textDirection w:val="lrTb"/>
            <w:noWrap w:val="false"/>
          </w:tcPr>
          <w:p>
            <w:pPr>
              <w:jc w:val="center"/>
              <w:spacing w:line="360" w:lineRule="auto"/>
              <w:shd w:val="clear" w:color="auto" w:fill="ffffff"/>
              <w:rPr>
                <w:rStyle w:val="1272"/>
                <w:rFonts w:hint="eastAsia" w:ascii="宋体" w:hAnsi="宋体" w:eastAsia="宋体" w:cs="宋体"/>
                <w:b/>
                <w:bCs/>
                <w:color w:val="000000"/>
                <w:sz w:val="24"/>
                <w:szCs w:val="24"/>
                <w:highlight w:val="none"/>
              </w:rPr>
            </w:pPr>
            <w:r>
              <w:rPr>
                <w:rStyle w:val="1272"/>
                <w:rFonts w:hint="eastAsia" w:ascii="宋体" w:hAnsi="宋体" w:eastAsia="宋体" w:cs="宋体"/>
                <w:b/>
                <w:bCs/>
                <w:color w:val="000000"/>
                <w:sz w:val="24"/>
                <w:szCs w:val="24"/>
                <w:highlight w:val="none"/>
              </w:rPr>
              <w:t xml:space="preserve">样品名称</w:t>
            </w:r>
            <w:r/>
          </w:p>
        </w:tc>
        <w:tc>
          <w:tcPr>
            <w:tcW w:w="509" w:type="dxa"/>
            <w:vAlign w:val="center"/>
            <w:textDirection w:val="lrTb"/>
            <w:noWrap w:val="false"/>
          </w:tcPr>
          <w:p>
            <w:pPr>
              <w:jc w:val="center"/>
              <w:spacing w:line="360" w:lineRule="auto"/>
              <w:shd w:val="clear" w:color="auto" w:fill="ffffff"/>
              <w:rPr>
                <w:rStyle w:val="1272"/>
                <w:rFonts w:hint="eastAsia" w:ascii="宋体" w:hAnsi="宋体" w:eastAsia="宋体" w:cs="宋体"/>
                <w:b/>
                <w:bCs/>
                <w:color w:val="000000"/>
                <w:sz w:val="24"/>
                <w:szCs w:val="24"/>
                <w:highlight w:val="none"/>
              </w:rPr>
            </w:pPr>
            <w:r>
              <w:rPr>
                <w:rStyle w:val="1272"/>
                <w:rFonts w:hint="eastAsia" w:ascii="宋体" w:hAnsi="宋体" w:eastAsia="宋体" w:cs="宋体"/>
                <w:b/>
                <w:bCs/>
                <w:color w:val="000000"/>
                <w:sz w:val="24"/>
                <w:szCs w:val="24"/>
                <w:highlight w:val="none"/>
              </w:rPr>
              <w:t xml:space="preserve">数量</w:t>
            </w:r>
            <w:r/>
          </w:p>
        </w:tc>
        <w:tc>
          <w:tcPr>
            <w:tcW w:w="1000" w:type="dxa"/>
            <w:vAlign w:val="center"/>
            <w:textDirection w:val="lrTb"/>
            <w:noWrap w:val="false"/>
          </w:tcPr>
          <w:p>
            <w:pPr>
              <w:jc w:val="center"/>
              <w:spacing w:line="360" w:lineRule="auto"/>
              <w:shd w:val="clear" w:color="auto" w:fill="ffffff"/>
              <w:rPr>
                <w:rStyle w:val="1272"/>
                <w:rFonts w:hint="eastAsia" w:ascii="宋体" w:hAnsi="宋体" w:eastAsia="宋体" w:cs="宋体"/>
                <w:b/>
                <w:bCs/>
                <w:color w:val="000000"/>
                <w:sz w:val="24"/>
                <w:szCs w:val="24"/>
                <w:highlight w:val="none"/>
              </w:rPr>
            </w:pPr>
            <w:r>
              <w:rPr>
                <w:rStyle w:val="1272"/>
                <w:rFonts w:hint="eastAsia" w:ascii="宋体" w:hAnsi="宋体" w:eastAsia="宋体" w:cs="宋体"/>
                <w:b/>
                <w:bCs/>
                <w:color w:val="000000"/>
                <w:sz w:val="24"/>
                <w:szCs w:val="24"/>
                <w:highlight w:val="none"/>
              </w:rPr>
              <w:t xml:space="preserve">要求</w:t>
            </w:r>
            <w:r/>
          </w:p>
        </w:tc>
        <w:tc>
          <w:tcPr>
            <w:tcW w:w="1622" w:type="dxa"/>
            <w:vAlign w:val="top"/>
            <w:textDirection w:val="lrTb"/>
            <w:noWrap w:val="false"/>
          </w:tcPr>
          <w:p>
            <w:pPr>
              <w:jc w:val="center"/>
              <w:spacing w:line="360" w:lineRule="auto"/>
              <w:shd w:val="clear" w:color="auto" w:fill="ffffff"/>
              <w:rPr>
                <w:rStyle w:val="1272"/>
                <w:rFonts w:hint="eastAsia" w:ascii="宋体" w:hAnsi="宋体" w:eastAsia="宋体" w:cs="宋体"/>
                <w:b/>
                <w:bCs/>
                <w:color w:val="000000"/>
                <w:sz w:val="24"/>
                <w:szCs w:val="24"/>
                <w:highlight w:val="none"/>
              </w:rPr>
            </w:pPr>
            <w:r>
              <w:rPr>
                <w:rStyle w:val="1272"/>
                <w:rFonts w:hint="eastAsia" w:ascii="宋体" w:hAnsi="宋体" w:eastAsia="宋体" w:cs="宋体"/>
                <w:b/>
                <w:bCs/>
                <w:color w:val="000000"/>
                <w:sz w:val="24"/>
                <w:szCs w:val="24"/>
                <w:highlight w:val="none"/>
              </w:rPr>
              <w:t xml:space="preserve">备注</w:t>
            </w:r>
            <w:r/>
          </w:p>
        </w:tc>
      </w:tr>
      <w:tr>
        <w:trPr>
          <w:jc w:val="center"/>
          <w:trHeight w:val="83"/>
        </w:trPr>
        <w:tc>
          <w:tcPr>
            <w:tcW w:w="1868" w:type="dxa"/>
            <w:vAlign w:val="center"/>
            <w:textDirection w:val="lrTb"/>
            <w:noWrap w:val="false"/>
          </w:tcPr>
          <w:p>
            <w:pPr>
              <w:jc w:val="center"/>
              <w:spacing w:line="360" w:lineRule="auto"/>
              <w:shd w:val="clear" w:color="auto" w:fill="ffff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学生实验桌（学生实验台）</w:t>
            </w:r>
            <w:r/>
          </w:p>
        </w:tc>
        <w:tc>
          <w:tcPr>
            <w:tcW w:w="509" w:type="dxa"/>
            <w:vAlign w:val="center"/>
            <w:textDirection w:val="lrTb"/>
            <w:noWrap w:val="false"/>
          </w:tcPr>
          <w:p>
            <w:pPr>
              <w:jc w:val="center"/>
              <w:spacing w:line="360" w:lineRule="auto"/>
              <w:shd w:val="clear" w:color="auto" w:fill="ffff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1套</w:t>
            </w:r>
            <w:r/>
          </w:p>
        </w:tc>
        <w:tc>
          <w:tcPr>
            <w:tcW w:w="1000" w:type="dxa"/>
            <w:vAlign w:val="center"/>
            <w:textDirection w:val="lrTb"/>
            <w:noWrap w:val="false"/>
          </w:tcPr>
          <w:p>
            <w:pPr>
              <w:jc w:val="center"/>
              <w:spacing w:line="360" w:lineRule="auto"/>
              <w:shd w:val="clear" w:color="auto" w:fill="ffff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详见采购清单</w:t>
            </w:r>
            <w:r/>
          </w:p>
        </w:tc>
        <w:tc>
          <w:tcPr>
            <w:tcW w:w="1622" w:type="dxa"/>
            <w:vAlign w:val="center"/>
            <w:textDirection w:val="lrTb"/>
            <w:noWrap w:val="false"/>
          </w:tcPr>
          <w:p>
            <w:pPr>
              <w:jc w:val="center"/>
              <w:spacing w:line="360" w:lineRule="auto"/>
              <w:shd w:val="clear" w:color="auto" w:fill="ffff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用于化学实验室</w:t>
            </w:r>
            <w:r/>
          </w:p>
        </w:tc>
      </w:tr>
      <w:tr>
        <w:trPr>
          <w:jc w:val="center"/>
          <w:trHeight w:val="279"/>
        </w:trPr>
        <w:tc>
          <w:tcPr>
            <w:tcW w:w="1868" w:type="dxa"/>
            <w:vAlign w:val="center"/>
            <w:textDirection w:val="lrTb"/>
            <w:noWrap w:val="false"/>
          </w:tcPr>
          <w:p>
            <w:pPr>
              <w:jc w:val="center"/>
              <w:spacing w:line="360" w:lineRule="auto"/>
              <w:shd w:val="clear" w:color="auto" w:fill="ffff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学生凳</w:t>
            </w:r>
            <w:r/>
          </w:p>
        </w:tc>
        <w:tc>
          <w:tcPr>
            <w:tcW w:w="509" w:type="dxa"/>
            <w:vAlign w:val="center"/>
            <w:textDirection w:val="lrTb"/>
            <w:noWrap w:val="false"/>
          </w:tcPr>
          <w:p>
            <w:pPr>
              <w:jc w:val="center"/>
              <w:spacing w:line="360" w:lineRule="auto"/>
              <w:shd w:val="clear" w:color="auto" w:fill="ffffff"/>
              <w:rPr>
                <w:rFonts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1个</w:t>
            </w:r>
            <w:r/>
          </w:p>
        </w:tc>
        <w:tc>
          <w:tcPr>
            <w:tcW w:w="1000" w:type="dxa"/>
            <w:vAlign w:val="center"/>
            <w:textDirection w:val="lrTb"/>
            <w:noWrap w:val="false"/>
          </w:tcPr>
          <w:p>
            <w:pPr>
              <w:jc w:val="center"/>
              <w:spacing w:line="360" w:lineRule="auto"/>
              <w:shd w:val="clear" w:color="auto" w:fill="ffff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详见采购清单</w:t>
            </w:r>
            <w:r/>
          </w:p>
        </w:tc>
        <w:tc>
          <w:tcPr>
            <w:tcW w:w="1622" w:type="dxa"/>
            <w:vAlign w:val="center"/>
            <w:textDirection w:val="lrTb"/>
            <w:noWrap w:val="false"/>
          </w:tcPr>
          <w:p>
            <w:pPr>
              <w:jc w:val="center"/>
              <w:spacing w:line="360" w:lineRule="auto"/>
              <w:shd w:val="clear" w:color="auto" w:fill="ffff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用于化学实验室</w:t>
            </w:r>
            <w:r/>
          </w:p>
        </w:tc>
      </w:tr>
    </w:tbl>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各投标人提供的样品不能出现投标人的标志、标记，否则无效响应。每份样品外须粘贴标签（标签不大于10cm×8cm，格式参考如下），在标签上注明项目名称、投标人名称并加盖投标人公章；该标签须粘贴牢固，并用不透明白纸将标签沿四周粘贴遮盖。</w:t>
      </w:r>
      <w:r/>
    </w:p>
    <w:tbl>
      <w:tblPr>
        <w:tblStyle w:val="839"/>
        <w:tblW w:w="4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4"/>
      </w:tblGrid>
      <w:tr>
        <w:trPr>
          <w:jc w:val="center"/>
          <w:trHeight w:val="311"/>
        </w:trPr>
        <w:tc>
          <w:tcPr>
            <w:tcW w:w="469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样品标签</w:t>
            </w:r>
            <w:r/>
          </w:p>
        </w:tc>
      </w:tr>
      <w:tr>
        <w:trPr>
          <w:jc w:val="center"/>
          <w:trHeight w:val="623"/>
        </w:trPr>
        <w:tc>
          <w:tcPr>
            <w:tcW w:w="4694"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项目名称：xxxxxxxxxxxxx</w:t>
            </w:r>
            <w:r/>
          </w:p>
        </w:tc>
      </w:tr>
      <w:tr>
        <w:trPr>
          <w:jc w:val="center"/>
          <w:trHeight w:val="1556"/>
        </w:trPr>
        <w:tc>
          <w:tcPr>
            <w:tcW w:w="4694"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（公章）</w:t>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eastAsia="zh-CN"/>
              </w:rPr>
              <w:t xml:space="preserve">2026</w:t>
            </w:r>
            <w:r>
              <w:rPr>
                <w:rFonts w:hint="eastAsia" w:ascii="宋体" w:hAnsi="宋体" w:eastAsia="宋体" w:cs="宋体"/>
                <w:color w:val="000000"/>
                <w:sz w:val="24"/>
                <w:szCs w:val="24"/>
                <w:highlight w:val="none"/>
              </w:rPr>
              <w:t xml:space="preserve">年  月  日</w:t>
            </w:r>
            <w:r/>
          </w:p>
        </w:tc>
      </w:tr>
    </w:tbl>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2、各投标人的样品送样后进行编号登记，评委以编号为单位进行独立评定，评委有权对其样品进行破坏性检测，样品制作及运输费用由供应商自行承担，投标样品所有费用由投标人自行承担。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3、为保证各投标人的产品专利权，各供应商位不允许查看其它单位样品。现场不能进行拍照或者录像，否则取消相关单位投标资格，相关后果自负。</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标单位的样品将不予退回，待成交单位领取中标（成交）通知书时自行将封存样品送至采购人处，作为最终验收的依据之一。其余样品在采购结果公告发出后七个工作日到采购代理机构领回，如需要可能会延长样品保管期限。各投标人逾期未领回样品的，采购代理机构将不再替投标人保存其样品，直接自行处理。</w:t>
      </w:r>
      <w:r/>
    </w:p>
    <w:p>
      <w:pPr>
        <w:pStyle w:val="1080"/>
        <w:ind w:left="0" w:firstLine="480"/>
        <w:keepLines w:val="0"/>
        <w:keepNext w:val="0"/>
        <w:pageBreakBefore w:val="0"/>
        <w:spacing w:before="0" w:line="360" w:lineRule="auto"/>
        <w:widowControl w:val="off"/>
        <w:rPr>
          <w:rFonts w:hint="eastAsia" w:ascii="宋体" w:hAnsi="宋体" w:eastAsia="宋体" w:cs="宋体"/>
          <w:strike w:val="0"/>
          <w:color w:val="000000"/>
          <w:sz w:val="24"/>
          <w:highlight w:val="none"/>
          <w:u w:val="none"/>
          <w:lang w:eastAsia="zh-CN"/>
        </w:rPr>
      </w:pPr>
      <w:r>
        <w:rPr>
          <w:rFonts w:hint="eastAsia" w:ascii="宋体" w:hAnsi="宋体" w:eastAsia="宋体" w:cs="宋体"/>
          <w:strike w:val="0"/>
          <w:color w:val="000000"/>
          <w:sz w:val="24"/>
          <w:highlight w:val="none"/>
          <w:lang w:val="en-US" w:eastAsia="zh-CN"/>
        </w:rPr>
        <w:t xml:space="preserve">5.</w:t>
      </w:r>
      <w:r>
        <w:rPr>
          <w:rFonts w:hint="eastAsia" w:ascii="宋体" w:hAnsi="宋体" w:eastAsia="宋体" w:cs="宋体"/>
          <w:strike w:val="0"/>
          <w:color w:val="000000"/>
          <w:sz w:val="24"/>
          <w:highlight w:val="none"/>
        </w:rPr>
        <w:t xml:space="preserve">其他要求:</w:t>
      </w:r>
      <w:r>
        <w:rPr>
          <w:rFonts w:hint="eastAsia" w:ascii="宋体" w:hAnsi="宋体" w:eastAsia="宋体" w:cs="宋体"/>
          <w:strike w:val="0"/>
          <w:color w:val="000000"/>
          <w:sz w:val="24"/>
          <w:highlight w:val="none"/>
          <w:u w:val="none"/>
        </w:rPr>
        <w:t xml:space="preserve">送样时提供送样表</w:t>
      </w:r>
      <w:r>
        <w:rPr>
          <w:rFonts w:hint="eastAsia" w:ascii="宋体" w:hAnsi="宋体" w:eastAsia="宋体" w:cs="宋体"/>
          <w:strike w:val="0"/>
          <w:color w:val="000000"/>
          <w:sz w:val="24"/>
          <w:highlight w:val="none"/>
          <w:u w:val="none"/>
          <w:lang w:eastAsia="zh-CN"/>
        </w:rPr>
        <w:t xml:space="preserve">，</w:t>
      </w:r>
      <w:r>
        <w:rPr>
          <w:rFonts w:hint="eastAsia" w:ascii="宋体" w:hAnsi="宋体" w:eastAsia="宋体" w:cs="宋体"/>
          <w:strike w:val="0"/>
          <w:color w:val="000000"/>
          <w:sz w:val="24"/>
          <w:highlight w:val="none"/>
          <w:u w:val="none"/>
        </w:rPr>
        <w:t xml:space="preserve">格式</w:t>
      </w:r>
      <w:r>
        <w:rPr>
          <w:rFonts w:hint="eastAsia" w:ascii="宋体" w:hAnsi="宋体" w:eastAsia="宋体" w:cs="宋体"/>
          <w:strike w:val="0"/>
          <w:color w:val="000000"/>
          <w:sz w:val="24"/>
          <w:highlight w:val="none"/>
          <w:u w:val="none"/>
          <w:lang w:eastAsia="zh-CN"/>
        </w:rPr>
        <w:t xml:space="preserve">如下。</w:t>
      </w:r>
      <w:r/>
    </w:p>
    <w:tbl>
      <w:tblPr>
        <w:tblStyle w:val="8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763"/>
        <w:gridCol w:w="1320"/>
        <w:gridCol w:w="348"/>
        <w:gridCol w:w="1265"/>
        <w:gridCol w:w="1662"/>
        <w:gridCol w:w="1836"/>
      </w:tblGrid>
      <w:tr>
        <w:trPr>
          <w:jc w:val="center"/>
          <w:trHeight w:val="495"/>
        </w:trPr>
        <w:tc>
          <w:tcPr>
            <w:gridSpan w:val="7"/>
            <w:tcW w:w="9962" w:type="dxa"/>
            <w:vAlign w:val="center"/>
            <w:textDirection w:val="lrTb"/>
            <w:noWrap w:val="false"/>
          </w:tcPr>
          <w:p>
            <w:pPr>
              <w:pStyle w:val="1073"/>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b/>
                <w:bCs/>
                <w:strike w:val="0"/>
                <w:color w:val="000000"/>
                <w:sz w:val="44"/>
                <w:szCs w:val="44"/>
                <w:highlight w:val="none"/>
              </w:rPr>
              <w:t xml:space="preserve">送  样  表</w:t>
            </w:r>
            <w:r/>
          </w:p>
        </w:tc>
      </w:tr>
      <w:tr>
        <w:trPr>
          <w:jc w:val="center"/>
          <w:trHeight w:val="838"/>
        </w:trPr>
        <w:tc>
          <w:tcPr>
            <w:gridSpan w:val="3"/>
            <w:tcW w:w="4851" w:type="dxa"/>
            <w:vAlign w:val="center"/>
            <w:textDirection w:val="lrTb"/>
            <w:noWrap w:val="false"/>
          </w:tcPr>
          <w:p>
            <w:pPr>
              <w:pStyle w:val="1073"/>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eastAsia="zh-CN"/>
              </w:rPr>
            </w:pPr>
            <w:r>
              <w:rPr>
                <w:rFonts w:hint="eastAsia" w:ascii="宋体" w:hAnsi="宋体" w:eastAsia="宋体" w:cs="宋体"/>
                <w:strike w:val="0"/>
                <w:color w:val="000000"/>
                <w:sz w:val="24"/>
                <w:szCs w:val="24"/>
                <w:highlight w:val="none"/>
              </w:rPr>
              <w:t xml:space="preserve">项目名称:</w:t>
            </w:r>
            <w:r/>
          </w:p>
        </w:tc>
        <w:tc>
          <w:tcPr>
            <w:gridSpan w:val="4"/>
            <w:tcW w:w="5111" w:type="dxa"/>
            <w:vAlign w:val="center"/>
            <w:textDirection w:val="lrTb"/>
            <w:noWrap w:val="false"/>
          </w:tcPr>
          <w:p>
            <w:pPr>
              <w:pStyle w:val="1073"/>
              <w:ind w:firstLine="240"/>
              <w:jc w:val="left"/>
              <w:keepLines w:val="0"/>
              <w:keepNext w:val="0"/>
              <w:pageBreakBefore w:val="0"/>
              <w:spacing w:before="0" w:beforeAutospacing="0" w:after="0" w:afterAutospacing="0" w:line="240" w:lineRule="auto"/>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项目编号:</w:t>
            </w:r>
            <w:r/>
          </w:p>
        </w:tc>
      </w:tr>
      <w:tr>
        <w:trPr>
          <w:jc w:val="center"/>
          <w:trHeight w:val="704"/>
        </w:trPr>
        <w:tc>
          <w:tcPr>
            <w:gridSpan w:val="7"/>
            <w:tcW w:w="9962" w:type="dxa"/>
            <w:vAlign w:val="center"/>
            <w:textDirection w:val="lrTb"/>
            <w:noWrap w:val="false"/>
          </w:tcPr>
          <w:p>
            <w:pPr>
              <w:pStyle w:val="1073"/>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投标单位</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盖章</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w:t>
            </w:r>
            <w:r/>
          </w:p>
        </w:tc>
      </w:tr>
      <w:tr>
        <w:trPr>
          <w:jc w:val="center"/>
          <w:trHeight w:val="1083"/>
        </w:trPr>
        <w:tc>
          <w:tcPr>
            <w:tcW w:w="768" w:type="dxa"/>
            <w:vAlign w:val="center"/>
            <w:textDirection w:val="lrTb"/>
            <w:noWrap w:val="false"/>
          </w:tcPr>
          <w:p>
            <w:pPr>
              <w:pStyle w:val="1073"/>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序号</w:t>
            </w:r>
            <w:r/>
          </w:p>
        </w:tc>
        <w:tc>
          <w:tcPr>
            <w:tcW w:w="2763" w:type="dxa"/>
            <w:vAlign w:val="center"/>
            <w:textDirection w:val="lrTb"/>
            <w:noWrap w:val="false"/>
          </w:tcPr>
          <w:p>
            <w:pPr>
              <w:pStyle w:val="1073"/>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eastAsia="zh-CN"/>
              </w:rPr>
            </w:pPr>
            <w:r>
              <w:rPr>
                <w:rFonts w:hint="eastAsia" w:ascii="宋体" w:hAnsi="宋体" w:eastAsia="宋体" w:cs="宋体"/>
                <w:strike w:val="0"/>
                <w:color w:val="000000"/>
                <w:sz w:val="24"/>
                <w:szCs w:val="24"/>
                <w:highlight w:val="none"/>
              </w:rPr>
              <w:t xml:space="preserve">样品名称</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按照招标文件样品要求填写</w:t>
            </w:r>
            <w:r>
              <w:rPr>
                <w:rFonts w:hint="eastAsia" w:ascii="宋体" w:hAnsi="宋体" w:eastAsia="宋体" w:cs="宋体"/>
                <w:strike w:val="0"/>
                <w:color w:val="000000"/>
                <w:sz w:val="24"/>
                <w:szCs w:val="24"/>
                <w:highlight w:val="none"/>
                <w:lang w:eastAsia="zh-CN"/>
              </w:rPr>
              <w:t xml:space="preserve">)</w:t>
            </w:r>
            <w:r/>
          </w:p>
        </w:tc>
        <w:tc>
          <w:tcPr>
            <w:gridSpan w:val="2"/>
            <w:tcW w:w="1668" w:type="dxa"/>
            <w:vAlign w:val="center"/>
            <w:textDirection w:val="lrTb"/>
            <w:noWrap w:val="false"/>
          </w:tcPr>
          <w:p>
            <w:pPr>
              <w:pStyle w:val="1073"/>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送样数量</w:t>
            </w:r>
            <w:r/>
          </w:p>
        </w:tc>
        <w:tc>
          <w:tcPr>
            <w:tcW w:w="1265" w:type="dxa"/>
            <w:vAlign w:val="center"/>
            <w:textDirection w:val="lrTb"/>
            <w:noWrap w:val="false"/>
          </w:tcPr>
          <w:p>
            <w:pPr>
              <w:pStyle w:val="1073"/>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送样人</w:t>
            </w:r>
            <w:r/>
          </w:p>
        </w:tc>
        <w:tc>
          <w:tcPr>
            <w:tcW w:w="1662" w:type="dxa"/>
            <w:vAlign w:val="center"/>
            <w:textDirection w:val="lrTb"/>
            <w:noWrap w:val="false"/>
          </w:tcPr>
          <w:p>
            <w:pPr>
              <w:pStyle w:val="1073"/>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联系电话</w:t>
            </w:r>
            <w:r/>
          </w:p>
        </w:tc>
        <w:tc>
          <w:tcPr>
            <w:tcW w:w="1836" w:type="dxa"/>
            <w:vAlign w:val="center"/>
            <w:textDirection w:val="lrTb"/>
            <w:noWrap w:val="false"/>
          </w:tcPr>
          <w:p>
            <w:pPr>
              <w:pStyle w:val="1073"/>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备注</w:t>
            </w:r>
            <w:r/>
          </w:p>
        </w:tc>
      </w:tr>
      <w:tr>
        <w:trPr>
          <w:jc w:val="center"/>
          <w:trHeight w:val="687"/>
        </w:trPr>
        <w:tc>
          <w:tcPr>
            <w:tcW w:w="768" w:type="dxa"/>
            <w:vAlign w:val="center"/>
            <w:textDirection w:val="lrTb"/>
            <w:noWrap w:val="false"/>
          </w:tcPr>
          <w:p>
            <w:pPr>
              <w:pStyle w:val="1073"/>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1</w:t>
            </w:r>
            <w:r/>
          </w:p>
        </w:tc>
        <w:tc>
          <w:tcPr>
            <w:tcW w:w="2763" w:type="dxa"/>
            <w:vAlign w:val="center"/>
            <w:textDirection w:val="lrTb"/>
            <w:noWrap w:val="false"/>
          </w:tcPr>
          <w:p>
            <w:pPr>
              <w:pStyle w:val="1073"/>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c>
          <w:tcPr>
            <w:gridSpan w:val="2"/>
            <w:tcW w:w="1668" w:type="dxa"/>
            <w:vAlign w:val="center"/>
            <w:textDirection w:val="lrTb"/>
            <w:noWrap w:val="false"/>
          </w:tcPr>
          <w:p>
            <w:pPr>
              <w:pStyle w:val="1073"/>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c>
          <w:tcPr>
            <w:tcW w:w="1265" w:type="dxa"/>
            <w:vAlign w:val="center"/>
            <w:vMerge w:val="restart"/>
            <w:textDirection w:val="lrTb"/>
            <w:noWrap w:val="false"/>
          </w:tcPr>
          <w:p>
            <w:pPr>
              <w:pStyle w:val="1073"/>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c>
          <w:tcPr>
            <w:tcW w:w="1662" w:type="dxa"/>
            <w:vAlign w:val="center"/>
            <w:vMerge w:val="restart"/>
            <w:textDirection w:val="lrTb"/>
            <w:noWrap w:val="false"/>
          </w:tcPr>
          <w:p>
            <w:pPr>
              <w:pStyle w:val="1073"/>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c>
          <w:tcPr>
            <w:tcW w:w="1836" w:type="dxa"/>
            <w:vAlign w:val="center"/>
            <w:vMerge w:val="restart"/>
            <w:textDirection w:val="lrTb"/>
            <w:noWrap w:val="false"/>
          </w:tcPr>
          <w:p>
            <w:pPr>
              <w:pStyle w:val="1073"/>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r>
      <w:tr>
        <w:trPr>
          <w:jc w:val="center"/>
          <w:trHeight w:val="753"/>
        </w:trPr>
        <w:tc>
          <w:tcPr>
            <w:tcW w:w="768" w:type="dxa"/>
            <w:vAlign w:val="center"/>
            <w:textDirection w:val="lrTb"/>
            <w:noWrap w:val="false"/>
          </w:tcPr>
          <w:p>
            <w:pPr>
              <w:pStyle w:val="1073"/>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2</w:t>
            </w:r>
            <w:r/>
          </w:p>
        </w:tc>
        <w:tc>
          <w:tcPr>
            <w:tcW w:w="2763" w:type="dxa"/>
            <w:vAlign w:val="center"/>
            <w:textDirection w:val="lrTb"/>
            <w:noWrap w:val="false"/>
          </w:tcPr>
          <w:p>
            <w:pPr>
              <w:pStyle w:val="1073"/>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c>
          <w:tcPr>
            <w:gridSpan w:val="2"/>
            <w:tcW w:w="1668" w:type="dxa"/>
            <w:vAlign w:val="center"/>
            <w:textDirection w:val="lrTb"/>
            <w:noWrap w:val="false"/>
          </w:tcPr>
          <w:p>
            <w:pPr>
              <w:pStyle w:val="1073"/>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c>
          <w:tcPr>
            <w:tcW w:w="1265" w:type="dxa"/>
            <w:vAlign w:val="center"/>
            <w:vMerge w:val="continue"/>
            <w:textDirection w:val="lrTb"/>
            <w:noWrap w:val="false"/>
          </w:tcPr>
          <w:p>
            <w:pPr>
              <w:keepLines w:val="0"/>
              <w:keepNext w:val="0"/>
              <w:pageBreakBefore w:val="0"/>
              <w:spacing w:line="500" w:lineRule="exact"/>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r>
            <w:r/>
          </w:p>
        </w:tc>
        <w:tc>
          <w:tcPr>
            <w:tcW w:w="1662" w:type="dxa"/>
            <w:vAlign w:val="center"/>
            <w:vMerge w:val="continue"/>
            <w:textDirection w:val="lrTb"/>
            <w:noWrap w:val="false"/>
          </w:tcPr>
          <w:p>
            <w:pPr>
              <w:keepLines w:val="0"/>
              <w:keepNext w:val="0"/>
              <w:pageBreakBefore w:val="0"/>
              <w:spacing w:line="500" w:lineRule="exact"/>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r>
            <w:r/>
          </w:p>
        </w:tc>
        <w:tc>
          <w:tcPr>
            <w:tcW w:w="1836" w:type="dxa"/>
            <w:vAlign w:val="center"/>
            <w:vMerge w:val="restart"/>
            <w:textDirection w:val="lrTb"/>
            <w:noWrap w:val="false"/>
          </w:tcPr>
          <w:p>
            <w:pPr>
              <w:pStyle w:val="1073"/>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r>
      <w:tr>
        <w:trPr>
          <w:jc w:val="center"/>
          <w:trHeight w:val="873"/>
        </w:trPr>
        <w:tc>
          <w:tcPr>
            <w:tcW w:w="768" w:type="dxa"/>
            <w:vAlign w:val="center"/>
            <w:textDirection w:val="lrTb"/>
            <w:noWrap w:val="false"/>
          </w:tcPr>
          <w:p>
            <w:pPr>
              <w:pStyle w:val="1073"/>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lang w:val="en-US" w:eastAsia="zh-CN"/>
              </w:rPr>
              <w:t xml:space="preserve">3</w:t>
            </w:r>
            <w:r>
              <w:rPr>
                <w:rFonts w:hint="eastAsia" w:ascii="宋体" w:hAnsi="宋体" w:eastAsia="宋体" w:cs="宋体"/>
                <w:strike w:val="0"/>
                <w:color w:val="000000"/>
                <w:sz w:val="24"/>
                <w:szCs w:val="24"/>
                <w:highlight w:val="none"/>
              </w:rPr>
              <w:t xml:space="preserve"> </w:t>
            </w:r>
            <w:r/>
          </w:p>
        </w:tc>
        <w:tc>
          <w:tcPr>
            <w:tcW w:w="2763" w:type="dxa"/>
            <w:vAlign w:val="center"/>
            <w:textDirection w:val="lrTb"/>
            <w:noWrap w:val="false"/>
          </w:tcPr>
          <w:p>
            <w:pPr>
              <w:pStyle w:val="1073"/>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c>
          <w:tcPr>
            <w:gridSpan w:val="2"/>
            <w:tcW w:w="1668" w:type="dxa"/>
            <w:vAlign w:val="center"/>
            <w:textDirection w:val="lrTb"/>
            <w:noWrap w:val="false"/>
          </w:tcPr>
          <w:p>
            <w:pPr>
              <w:pStyle w:val="1073"/>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c>
          <w:tcPr>
            <w:tcW w:w="1265" w:type="dxa"/>
            <w:vAlign w:val="center"/>
            <w:vMerge w:val="continue"/>
            <w:textDirection w:val="lrTb"/>
            <w:noWrap w:val="false"/>
          </w:tcPr>
          <w:p>
            <w:pPr>
              <w:keepLines w:val="0"/>
              <w:keepNext w:val="0"/>
              <w:pageBreakBefore w:val="0"/>
              <w:spacing w:line="500" w:lineRule="exact"/>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r>
            <w:r/>
          </w:p>
        </w:tc>
        <w:tc>
          <w:tcPr>
            <w:tcW w:w="1662" w:type="dxa"/>
            <w:vAlign w:val="center"/>
            <w:vMerge w:val="continue"/>
            <w:textDirection w:val="lrTb"/>
            <w:noWrap w:val="false"/>
          </w:tcPr>
          <w:p>
            <w:pPr>
              <w:keepLines w:val="0"/>
              <w:keepNext w:val="0"/>
              <w:pageBreakBefore w:val="0"/>
              <w:spacing w:line="500" w:lineRule="exact"/>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r>
            <w:r/>
          </w:p>
        </w:tc>
        <w:tc>
          <w:tcPr>
            <w:tcW w:w="1836" w:type="dxa"/>
            <w:vAlign w:val="center"/>
            <w:vMerge w:val="restart"/>
            <w:textDirection w:val="lrTb"/>
            <w:noWrap w:val="false"/>
          </w:tcPr>
          <w:p>
            <w:pPr>
              <w:pStyle w:val="1073"/>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　</w:t>
            </w:r>
            <w:r/>
          </w:p>
        </w:tc>
      </w:tr>
      <w:tr>
        <w:trPr>
          <w:jc w:val="center"/>
          <w:trHeight w:val="668"/>
        </w:trPr>
        <w:tc>
          <w:tcPr>
            <w:tcW w:w="768" w:type="dxa"/>
            <w:vAlign w:val="center"/>
            <w:textDirection w:val="lrTb"/>
            <w:noWrap w:val="false"/>
          </w:tcPr>
          <w:p>
            <w:pPr>
              <w:pStyle w:val="1073"/>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rPr>
            </w:pPr>
            <w:r>
              <w:rPr>
                <w:rFonts w:hint="eastAsia" w:ascii="宋体" w:hAnsi="宋体" w:eastAsia="宋体" w:cs="宋体"/>
                <w:strike w:val="0"/>
                <w:color w:val="000000"/>
                <w:sz w:val="24"/>
                <w:szCs w:val="24"/>
                <w:highlight w:val="none"/>
                <w:lang w:val="en-US" w:eastAsia="zh-CN"/>
              </w:rPr>
              <w:t xml:space="preserve">……</w:t>
            </w:r>
            <w:r/>
          </w:p>
        </w:tc>
        <w:tc>
          <w:tcPr>
            <w:tcW w:w="2763" w:type="dxa"/>
            <w:vAlign w:val="center"/>
            <w:textDirection w:val="lrTb"/>
            <w:noWrap w:val="false"/>
          </w:tcPr>
          <w:p>
            <w:pPr>
              <w:pStyle w:val="1073"/>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r>
            <w:r/>
          </w:p>
        </w:tc>
        <w:tc>
          <w:tcPr>
            <w:gridSpan w:val="2"/>
            <w:tcW w:w="1668" w:type="dxa"/>
            <w:vAlign w:val="center"/>
            <w:textDirection w:val="lrTb"/>
            <w:noWrap w:val="false"/>
          </w:tcPr>
          <w:p>
            <w:pPr>
              <w:pStyle w:val="1073"/>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r>
            <w:r/>
          </w:p>
        </w:tc>
        <w:tc>
          <w:tcPr>
            <w:tcW w:w="1265" w:type="dxa"/>
            <w:vAlign w:val="center"/>
            <w:vMerge w:val="continue"/>
            <w:textDirection w:val="lrTb"/>
            <w:noWrap w:val="false"/>
          </w:tcPr>
          <w:p>
            <w:pPr>
              <w:keepLines w:val="0"/>
              <w:keepNext w:val="0"/>
              <w:pageBreakBefore w:val="0"/>
              <w:spacing w:line="500" w:lineRule="exact"/>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r>
            <w:r/>
          </w:p>
        </w:tc>
        <w:tc>
          <w:tcPr>
            <w:tcW w:w="1662" w:type="dxa"/>
            <w:vAlign w:val="center"/>
            <w:vMerge w:val="continue"/>
            <w:textDirection w:val="lrTb"/>
            <w:noWrap w:val="false"/>
          </w:tcPr>
          <w:p>
            <w:pPr>
              <w:keepLines w:val="0"/>
              <w:keepNext w:val="0"/>
              <w:pageBreakBefore w:val="0"/>
              <w:spacing w:line="500" w:lineRule="exact"/>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r>
            <w:r/>
          </w:p>
        </w:tc>
        <w:tc>
          <w:tcPr>
            <w:tcW w:w="1836" w:type="dxa"/>
            <w:vAlign w:val="center"/>
            <w:textDirection w:val="lrTb"/>
            <w:noWrap w:val="false"/>
          </w:tcPr>
          <w:p>
            <w:pPr>
              <w:pStyle w:val="1073"/>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r>
            <w:r/>
          </w:p>
        </w:tc>
      </w:tr>
      <w:tr>
        <w:trPr>
          <w:jc w:val="center"/>
          <w:trHeight w:val="526"/>
        </w:trPr>
        <w:tc>
          <w:tcPr>
            <w:gridSpan w:val="7"/>
            <w:tcW w:w="9962" w:type="dxa"/>
            <w:vAlign w:val="center"/>
            <w:textDirection w:val="lrTb"/>
            <w:noWrap w:val="false"/>
          </w:tcPr>
          <w:p>
            <w:pPr>
              <w:pStyle w:val="1073"/>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送达时间:      年   月    日    时   分</w:t>
            </w:r>
            <w:r/>
          </w:p>
        </w:tc>
      </w:tr>
      <w:tr>
        <w:trPr>
          <w:jc w:val="center"/>
          <w:trHeight w:val="562"/>
        </w:trPr>
        <w:tc>
          <w:tcPr>
            <w:gridSpan w:val="7"/>
            <w:tcW w:w="9962" w:type="dxa"/>
            <w:vAlign w:val="center"/>
            <w:textDirection w:val="lrTb"/>
            <w:noWrap w:val="false"/>
          </w:tcPr>
          <w:p>
            <w:pPr>
              <w:pStyle w:val="1073"/>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接收人</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签字</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                              送样人确认</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签字</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w:t>
            </w:r>
            <w:r/>
          </w:p>
        </w:tc>
      </w:tr>
      <w:tr>
        <w:trPr>
          <w:jc w:val="center"/>
          <w:trHeight w:val="870"/>
        </w:trPr>
        <w:tc>
          <w:tcPr>
            <w:gridSpan w:val="7"/>
            <w:tcW w:w="9962" w:type="dxa"/>
            <w:vAlign w:val="center"/>
            <w:textDirection w:val="lrTb"/>
            <w:noWrap w:val="false"/>
          </w:tcPr>
          <w:p>
            <w:pPr>
              <w:pStyle w:val="1073"/>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eastAsia="zh-CN"/>
              </w:rPr>
            </w:pPr>
            <w:r>
              <w:rPr>
                <w:rStyle w:val="1083"/>
                <w:rFonts w:hint="eastAsia" w:ascii="宋体" w:hAnsi="宋体" w:eastAsia="宋体" w:cs="宋体"/>
                <w:bCs/>
                <w:strike w:val="0"/>
                <w:color w:val="000000"/>
                <w:sz w:val="24"/>
                <w:szCs w:val="24"/>
                <w:highlight w:val="none"/>
              </w:rPr>
              <w:t xml:space="preserve">注:此表填写后一式两份</w:t>
            </w:r>
            <w:r>
              <w:rPr>
                <w:rStyle w:val="1083"/>
                <w:rFonts w:hint="eastAsia" w:ascii="宋体" w:hAnsi="宋体" w:eastAsia="宋体" w:cs="宋体"/>
                <w:bCs/>
                <w:strike w:val="0"/>
                <w:color w:val="000000"/>
                <w:sz w:val="24"/>
                <w:szCs w:val="24"/>
                <w:highlight w:val="none"/>
                <w:lang w:eastAsia="zh-CN"/>
              </w:rPr>
              <w:t xml:space="preserve">(</w:t>
            </w:r>
            <w:r>
              <w:rPr>
                <w:rStyle w:val="1083"/>
                <w:rFonts w:hint="eastAsia" w:ascii="宋体" w:hAnsi="宋体" w:eastAsia="宋体" w:cs="宋体"/>
                <w:bCs/>
                <w:strike w:val="0"/>
                <w:color w:val="000000"/>
                <w:sz w:val="24"/>
                <w:szCs w:val="24"/>
                <w:highlight w:val="none"/>
              </w:rPr>
              <w:t xml:space="preserve">投标人与招标人各一份</w:t>
            </w:r>
            <w:r>
              <w:rPr>
                <w:rStyle w:val="1083"/>
                <w:rFonts w:hint="eastAsia" w:ascii="宋体" w:hAnsi="宋体" w:eastAsia="宋体" w:cs="宋体"/>
                <w:bCs/>
                <w:strike w:val="0"/>
                <w:color w:val="000000"/>
                <w:sz w:val="24"/>
                <w:szCs w:val="24"/>
                <w:highlight w:val="none"/>
                <w:lang w:eastAsia="zh-CN"/>
              </w:rPr>
              <w:t xml:space="preserve">)</w:t>
            </w:r>
            <w:r/>
          </w:p>
        </w:tc>
      </w:tr>
    </w:tbl>
    <w:p>
      <w:pPr>
        <w:ind w:firstLine="480"/>
        <w:spacing w:line="360" w:lineRule="auto"/>
        <w:rPr>
          <w:rFonts w:hint="eastAsia" w:ascii="宋体" w:hAnsi="宋体" w:eastAsia="宋体" w:cs="宋体"/>
          <w:strike w:val="0"/>
          <w:color w:val="000000"/>
          <w:sz w:val="24"/>
          <w:szCs w:val="24"/>
          <w:highlight w:val="none"/>
          <w:lang w:val="en-US" w:eastAsia="zh-CN"/>
        </w:rPr>
      </w:pPr>
      <w:r>
        <w:rPr>
          <w:rFonts w:hint="eastAsia" w:ascii="宋体" w:hAnsi="宋体" w:eastAsia="宋体" w:cs="宋体"/>
          <w:strike w:val="0"/>
          <w:color w:val="000000"/>
          <w:sz w:val="24"/>
          <w:szCs w:val="24"/>
          <w:highlight w:val="none"/>
          <w:lang w:val="en-US" w:eastAsia="zh-CN"/>
        </w:rPr>
      </w:r>
      <w:r/>
    </w:p>
    <w:p>
      <w:pPr>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十、实验室平面图纸</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链接: https://pan.baidu.com/s/1eTlZWBkSq5SUrj4inKjjew?pwd=pn96 </w:t>
      </w:r>
      <w:r/>
    </w:p>
    <w:p>
      <w:pPr>
        <w:ind w:firstLine="480"/>
        <w:spacing w:line="360" w:lineRule="auto"/>
        <w:rPr>
          <w:rFonts w:hint="eastAsia" w:ascii="宋体" w:hAnsi="宋体" w:eastAsia="宋体" w:cs="宋体"/>
          <w:color w:val="000000"/>
          <w:sz w:val="24"/>
          <w:szCs w:val="24"/>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000000"/>
          <w:sz w:val="24"/>
          <w:szCs w:val="24"/>
          <w:highlight w:val="none"/>
          <w:lang w:val="en-US" w:eastAsia="zh-CN"/>
        </w:rPr>
        <w:t xml:space="preserve">提取码: pn96</w:t>
      </w:r>
      <w:r/>
    </w:p>
    <w:p>
      <w:pPr>
        <w:ind w:firstLine="480"/>
        <w:keepLines w:val="0"/>
        <w:keepNext w:val="0"/>
        <w:pageBreakBefore w:val="0"/>
        <w:spacing w:line="360" w:lineRule="auto"/>
        <w:widowControl w:val="off"/>
        <w:rPr>
          <w:rFonts w:hint="eastAsia" w:ascii="宋体" w:hAnsi="宋体" w:eastAsia="宋体" w:cs="宋体"/>
          <w:strike w:val="0"/>
          <w:color w:val="000000"/>
          <w:sz w:val="24"/>
          <w:szCs w:val="24"/>
          <w:highlight w:val="none"/>
          <w:lang w:val="en-US" w:eastAsia="zh-CN"/>
        </w:rPr>
      </w:pPr>
      <w:r>
        <w:rPr>
          <w:rFonts w:hint="eastAsia" w:ascii="宋体" w:hAnsi="宋体" w:eastAsia="宋体" w:cs="宋体"/>
          <w:strike w:val="0"/>
          <w:color w:val="000000"/>
          <w:sz w:val="24"/>
          <w:szCs w:val="24"/>
          <w:highlight w:val="none"/>
          <w:lang w:val="en-US" w:eastAsia="zh-CN"/>
        </w:rPr>
      </w:r>
      <w:r/>
    </w:p>
    <w:p>
      <w:pPr>
        <w:rPr>
          <w:rFonts w:hint="eastAsia" w:ascii="宋体" w:hAnsi="宋体" w:eastAsia="宋体" w:cs="宋体"/>
          <w:strike w:val="0"/>
          <w:color w:val="000000"/>
          <w:sz w:val="24"/>
          <w:szCs w:val="24"/>
          <w:highlight w:val="none"/>
          <w:lang w:val="en-US" w:eastAsia="zh-CN"/>
        </w:rPr>
      </w:pPr>
      <w:r>
        <w:rPr>
          <w:rFonts w:hint="eastAsia" w:ascii="宋体" w:hAnsi="宋体" w:eastAsia="宋体" w:cs="宋体"/>
          <w:strike w:val="0"/>
          <w:color w:val="000000"/>
          <w:sz w:val="24"/>
          <w:szCs w:val="24"/>
          <w:highlight w:val="none"/>
          <w:lang w:val="en-US" w:eastAsia="zh-CN"/>
        </w:rPr>
      </w:r>
      <w:r/>
    </w:p>
    <w:p>
      <w:pPr>
        <w:jc w:val="center"/>
        <w:spacing w:line="360" w:lineRule="auto"/>
        <w:rPr>
          <w:rFonts w:hint="eastAsia" w:ascii="宋体" w:hAnsi="宋体" w:eastAsia="宋体" w:cs="宋体"/>
          <w:b/>
          <w:color w:val="000000"/>
          <w:sz w:val="32"/>
          <w:highlight w:val="none"/>
        </w:rPr>
        <w:outlineLvl w:val="0"/>
      </w:pPr>
      <w:r/>
      <w:bookmarkStart w:id="238" w:name="_Toc31542"/>
      <w:r>
        <w:rPr>
          <w:rFonts w:hint="eastAsia" w:ascii="宋体" w:hAnsi="宋体" w:eastAsia="宋体" w:cs="宋体"/>
          <w:b/>
          <w:color w:val="000000"/>
          <w:sz w:val="36"/>
          <w:szCs w:val="36"/>
          <w:highlight w:val="none"/>
        </w:rPr>
        <w:t xml:space="preserve">第六章   合同草案条款</w:t>
      </w:r>
      <w:bookmarkEnd w:id="238"/>
      <w:r/>
      <w:bookmarkStart w:id="239" w:name="_Toc45560609"/>
      <w:r/>
      <w:bookmarkEnd w:id="239"/>
      <w:r/>
      <w:r/>
    </w:p>
    <w:p>
      <w:pPr>
        <w:spacing w:line="360" w:lineRule="auto"/>
        <w:tabs>
          <w:tab w:val="left" w:pos="900" w:leader="none"/>
          <w:tab w:val="left" w:pos="1080" w:leader="none"/>
        </w:tabs>
        <w:rPr>
          <w:rFonts w:hint="eastAsia" w:ascii="宋体" w:hAnsi="宋体" w:eastAsia="宋体" w:cs="宋体"/>
          <w:color w:val="000000"/>
          <w:sz w:val="18"/>
          <w:szCs w:val="18"/>
          <w:highlight w:val="none"/>
        </w:rPr>
      </w:pPr>
      <w:r/>
      <w:bookmarkStart w:id="240" w:name="_Toc45560610"/>
      <w:r/>
      <w:r/>
    </w:p>
    <w:p>
      <w:pPr>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合同编号：</w:t>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政府采购合同</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第一部分  合同书</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before="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960"/>
        <w:spacing w:before="1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u w:val="single"/>
        </w:rPr>
        <w:t xml:space="preserve">                                   </w:t>
      </w:r>
      <w:r/>
    </w:p>
    <w:p>
      <w:pPr>
        <w:pStyle w:val="1270"/>
        <w:spacing w:before="120" w:line="24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ind w:left="960"/>
        <w:spacing w:before="1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p>
    <w:p>
      <w:pPr>
        <w:pStyle w:val="1270"/>
        <w:spacing w:before="120" w:line="24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ind w:left="960"/>
        <w:spacing w:before="12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甲方：</w:t>
      </w:r>
      <w:r>
        <w:rPr>
          <w:rFonts w:hint="eastAsia" w:ascii="宋体" w:hAnsi="宋体" w:eastAsia="宋体" w:cs="宋体"/>
          <w:color w:val="000000"/>
          <w:sz w:val="24"/>
          <w:highlight w:val="none"/>
          <w:u w:val="single"/>
        </w:rPr>
        <w:t xml:space="preserve">                                       </w:t>
      </w:r>
      <w:r/>
    </w:p>
    <w:p>
      <w:pPr>
        <w:spacing w:before="1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960"/>
        <w:spacing w:before="12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乙方：</w:t>
      </w:r>
      <w:r>
        <w:rPr>
          <w:rFonts w:hint="eastAsia" w:ascii="宋体" w:hAnsi="宋体" w:eastAsia="宋体" w:cs="宋体"/>
          <w:color w:val="000000"/>
          <w:sz w:val="24"/>
          <w:highlight w:val="none"/>
          <w:u w:val="single"/>
        </w:rPr>
        <w:t xml:space="preserve">                                       </w:t>
      </w:r>
      <w:r/>
    </w:p>
    <w:p>
      <w:pPr>
        <w:spacing w:before="1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960"/>
        <w:spacing w:before="12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签订地：</w:t>
      </w:r>
      <w:r>
        <w:rPr>
          <w:rFonts w:hint="eastAsia" w:ascii="宋体" w:hAnsi="宋体" w:eastAsia="宋体" w:cs="宋体"/>
          <w:color w:val="000000"/>
          <w:sz w:val="24"/>
          <w:highlight w:val="none"/>
          <w:u w:val="single"/>
        </w:rPr>
        <w:t xml:space="preserve">                                     </w:t>
      </w:r>
      <w:r/>
    </w:p>
    <w:p>
      <w:pPr>
        <w:spacing w:before="1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960"/>
        <w:spacing w:before="120"/>
        <w:rPr>
          <w:rFonts w:hint="eastAsia" w:ascii="宋体" w:hAnsi="宋体" w:eastAsia="宋体" w:cs="宋体"/>
          <w:color w:val="000000"/>
          <w:sz w:val="24"/>
          <w:szCs w:val="24"/>
          <w:highlight w:val="none"/>
          <w:u w:val="single"/>
        </w:rPr>
      </w:pPr>
      <w:r>
        <w:rPr>
          <w:rFonts w:hint="eastAsia" w:ascii="宋体" w:hAnsi="宋体" w:eastAsia="宋体" w:cs="宋体"/>
          <w:color w:val="000000"/>
          <w:sz w:val="24"/>
          <w:highlight w:val="none"/>
        </w:rPr>
        <w:t xml:space="preserve">签订日期：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p>
    <w:p>
      <w:pPr>
        <w:ind w:firstLine="640"/>
        <w:jc w:val="center"/>
        <w:rPr>
          <w:rFonts w:hint="eastAsia" w:ascii="宋体" w:hAnsi="宋体" w:eastAsia="宋体" w:cs="宋体"/>
          <w:color w:val="000000"/>
          <w:sz w:val="24"/>
          <w:highlight w:val="none"/>
        </w:rPr>
        <w:sectPr>
          <w:footnotePr/>
          <w:endnotePr/>
          <w:type w:val="nextPage"/>
          <w:pgSz w:w="11905"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4"/>
          <w:highlight w:val="none"/>
        </w:rPr>
      </w:r>
      <w:r/>
    </w:p>
    <w:p>
      <w:pPr>
        <w:ind w:left="0" w:firstLine="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highlight w:val="none"/>
          <w:u w:val="single"/>
          <w:lang w:val="zh-CN"/>
        </w:rPr>
        <w:t xml:space="preserve">        </w:t>
      </w:r>
      <w:r>
        <w:rPr>
          <w:rFonts w:hint="eastAsia" w:ascii="宋体" w:hAnsi="宋体" w:eastAsia="宋体" w:cs="宋体"/>
          <w:color w:val="000000"/>
          <w:sz w:val="24"/>
          <w:highlight w:val="none"/>
          <w:lang w:val="zh-CN"/>
        </w:rPr>
        <w:t xml:space="preserve">年</w:t>
      </w:r>
      <w:r>
        <w:rPr>
          <w:rFonts w:hint="eastAsia" w:ascii="宋体" w:hAnsi="宋体" w:eastAsia="宋体" w:cs="宋体"/>
          <w:color w:val="000000"/>
          <w:sz w:val="24"/>
          <w:highlight w:val="none"/>
          <w:u w:val="single"/>
          <w:lang w:val="zh-CN"/>
        </w:rPr>
        <w:t xml:space="preserve">    </w:t>
      </w:r>
      <w:r>
        <w:rPr>
          <w:rFonts w:hint="eastAsia" w:ascii="宋体" w:hAnsi="宋体" w:eastAsia="宋体" w:cs="宋体"/>
          <w:color w:val="000000"/>
          <w:sz w:val="24"/>
          <w:highlight w:val="none"/>
          <w:lang w:val="zh-CN"/>
        </w:rPr>
        <w:t xml:space="preserve">月</w:t>
      </w:r>
      <w:r>
        <w:rPr>
          <w:rFonts w:hint="eastAsia" w:ascii="宋体" w:hAnsi="宋体" w:eastAsia="宋体" w:cs="宋体"/>
          <w:color w:val="000000"/>
          <w:sz w:val="24"/>
          <w:highlight w:val="none"/>
          <w:u w:val="single"/>
          <w:lang w:val="zh-CN"/>
        </w:rPr>
        <w:t xml:space="preserve">    </w:t>
      </w:r>
      <w:r>
        <w:rPr>
          <w:rFonts w:hint="eastAsia" w:ascii="宋体" w:hAnsi="宋体" w:eastAsia="宋体" w:cs="宋体"/>
          <w:color w:val="000000"/>
          <w:sz w:val="24"/>
          <w:highlight w:val="none"/>
          <w:lang w:val="zh-CN"/>
        </w:rPr>
        <w:t xml:space="preserve">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u w:val="single"/>
        </w:rPr>
        <w:t xml:space="preserve">  （采购人名称）  </w:t>
      </w:r>
      <w:r>
        <w:rPr>
          <w:rFonts w:hint="eastAsia" w:ascii="宋体" w:hAnsi="宋体" w:eastAsia="宋体" w:cs="宋体"/>
          <w:color w:val="000000"/>
          <w:sz w:val="24"/>
          <w:szCs w:val="24"/>
          <w:highlight w:val="none"/>
        </w:rPr>
        <w:t xml:space="preserve">以</w:t>
      </w:r>
      <w:r>
        <w:rPr>
          <w:rFonts w:hint="eastAsia" w:ascii="宋体" w:hAnsi="宋体" w:eastAsia="宋体" w:cs="宋体"/>
          <w:color w:val="000000"/>
          <w:sz w:val="24"/>
          <w:szCs w:val="24"/>
          <w:highlight w:val="none"/>
          <w:u w:val="single"/>
        </w:rPr>
        <w:t xml:space="preserve"> 公开招标方式 </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项目</w:t>
      </w:r>
      <w:r>
        <w:rPr>
          <w:rFonts w:hint="eastAsia" w:ascii="宋体" w:hAnsi="宋体" w:eastAsia="宋体" w:cs="宋体"/>
          <w:color w:val="000000"/>
          <w:sz w:val="24"/>
          <w:szCs w:val="24"/>
          <w:highlight w:val="none"/>
        </w:rPr>
        <w:t xml:space="preserve">进行了采购。经评定，</w:t>
      </w:r>
      <w:r>
        <w:rPr>
          <w:rFonts w:hint="eastAsia" w:ascii="宋体" w:hAnsi="宋体" w:eastAsia="宋体" w:cs="宋体"/>
          <w:color w:val="000000"/>
          <w:sz w:val="24"/>
          <w:szCs w:val="24"/>
          <w:highlight w:val="none"/>
          <w:u w:val="single"/>
        </w:rPr>
        <w:t xml:space="preserve">（中标人名称）</w:t>
      </w:r>
      <w:r>
        <w:rPr>
          <w:rFonts w:hint="eastAsia" w:ascii="宋体" w:hAnsi="宋体" w:eastAsia="宋体" w:cs="宋体"/>
          <w:color w:val="000000"/>
          <w:sz w:val="24"/>
          <w:szCs w:val="24"/>
          <w:highlight w:val="none"/>
        </w:rPr>
        <w:t xml:space="preserve">为该项目中标人。现于中标通知书发出之日起三十日内，按照招标文件确定的事项签订本合同。</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根据《中华人民共和国</w:t>
      </w:r>
      <w:r>
        <w:rPr>
          <w:rFonts w:hint="eastAsia" w:ascii="宋体" w:hAnsi="宋体" w:eastAsia="宋体" w:cs="宋体"/>
          <w:color w:val="000000"/>
          <w:sz w:val="24"/>
          <w:szCs w:val="24"/>
          <w:highlight w:val="none"/>
        </w:rPr>
        <w:t xml:space="preserve">民法典</w:t>
      </w:r>
      <w:r>
        <w:rPr>
          <w:rFonts w:hint="eastAsia" w:ascii="宋体" w:hAnsi="宋体" w:eastAsia="宋体" w:cs="宋体"/>
          <w:color w:val="000000"/>
          <w:sz w:val="24"/>
          <w:szCs w:val="24"/>
          <w:highlight w:val="none"/>
          <w:lang w:val="zh-CN"/>
        </w:rPr>
        <w:t xml:space="preserve">》、《中华人民共和国政府采购法》等相关法律法规之规定，按照平等、自愿、公平和诚实信用的原则，经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highlight w:val="none"/>
          <w:u w:val="single"/>
        </w:rPr>
        <w:t xml:space="preserve">（采购人名称）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(以下简称：甲方)和</w:t>
      </w:r>
      <w:r>
        <w:rPr>
          <w:rFonts w:hint="eastAsia" w:ascii="宋体" w:hAnsi="宋体" w:eastAsia="宋体" w:cs="宋体"/>
          <w:color w:val="000000"/>
          <w:sz w:val="24"/>
          <w:szCs w:val="24"/>
          <w:highlight w:val="none"/>
          <w:u w:val="single"/>
        </w:rPr>
        <w:t xml:space="preserve">（中标人名称）</w:t>
      </w:r>
      <w:r>
        <w:rPr>
          <w:rFonts w:hint="eastAsia" w:ascii="宋体" w:hAnsi="宋体" w:eastAsia="宋体" w:cs="宋体"/>
          <w:color w:val="000000"/>
          <w:sz w:val="24"/>
          <w:szCs w:val="24"/>
          <w:highlight w:val="none"/>
          <w:lang w:val="zh-CN"/>
        </w:rPr>
        <w:t xml:space="preserve">(以下简称：乙方)协商一致，约定以下合同</w:t>
      </w:r>
      <w:r>
        <w:rPr>
          <w:rFonts w:hint="eastAsia" w:ascii="宋体" w:hAnsi="宋体" w:eastAsia="宋体" w:cs="宋体"/>
          <w:color w:val="000000"/>
          <w:sz w:val="24"/>
          <w:szCs w:val="24"/>
          <w:highlight w:val="none"/>
        </w:rPr>
        <w:t xml:space="preserve">条款，以兹共同遵守、全面履行。</w:t>
      </w:r>
      <w:r/>
    </w:p>
    <w:p>
      <w:pPr>
        <w:ind w:firstLine="482"/>
        <w:spacing w:line="400" w:lineRule="exact"/>
        <w:rPr>
          <w:rFonts w:hint="eastAsia" w:ascii="宋体" w:hAnsi="宋体" w:eastAsia="宋体" w:cs="宋体"/>
          <w:b/>
          <w:color w:val="000000"/>
          <w:sz w:val="24"/>
          <w:szCs w:val="24"/>
          <w:highlight w:val="none"/>
        </w:rPr>
      </w:pPr>
      <w:r/>
      <w:bookmarkStart w:id="241" w:name="_Toc2232"/>
      <w:r/>
      <w:bookmarkStart w:id="242" w:name="_Toc24059"/>
      <w:r/>
      <w:bookmarkStart w:id="243" w:name="_Toc3029"/>
      <w:r>
        <w:rPr>
          <w:rFonts w:hint="eastAsia" w:ascii="宋体" w:hAnsi="宋体" w:eastAsia="宋体" w:cs="宋体"/>
          <w:b/>
          <w:color w:val="000000"/>
          <w:sz w:val="24"/>
          <w:szCs w:val="24"/>
          <w:highlight w:val="none"/>
        </w:rPr>
        <w:t xml:space="preserve">1.1 合同组成部分</w:t>
      </w:r>
      <w:bookmarkEnd w:id="241"/>
      <w:r/>
      <w:bookmarkEnd w:id="242"/>
      <w:r/>
      <w:bookmarkEnd w:id="243"/>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本合同及其补充合同、变更协议；</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中标通知书；</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投标文件（含澄清或者说明文件）；</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招标文件（含澄清或者修改文件）；</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 其他相关招标文件。</w:t>
      </w:r>
      <w:r/>
    </w:p>
    <w:p>
      <w:pPr>
        <w:ind w:firstLine="482"/>
        <w:spacing w:line="400" w:lineRule="exact"/>
        <w:rPr>
          <w:rFonts w:hint="eastAsia" w:ascii="宋体" w:hAnsi="宋体" w:eastAsia="宋体" w:cs="宋体"/>
          <w:b/>
          <w:color w:val="000000"/>
          <w:sz w:val="24"/>
          <w:szCs w:val="24"/>
          <w:highlight w:val="none"/>
        </w:rPr>
      </w:pPr>
      <w:r/>
      <w:bookmarkStart w:id="244" w:name="_Toc24300"/>
      <w:r/>
      <w:bookmarkStart w:id="245" w:name="_Toc27126"/>
      <w:r/>
      <w:bookmarkStart w:id="246" w:name="_Toc21295"/>
      <w:r>
        <w:rPr>
          <w:rFonts w:hint="eastAsia" w:ascii="宋体" w:hAnsi="宋体" w:eastAsia="宋体" w:cs="宋体"/>
          <w:b/>
          <w:color w:val="000000"/>
          <w:sz w:val="24"/>
          <w:szCs w:val="24"/>
          <w:highlight w:val="none"/>
        </w:rPr>
        <w:t xml:space="preserve">1.2 </w:t>
      </w:r>
      <w:bookmarkEnd w:id="244"/>
      <w:r/>
      <w:bookmarkEnd w:id="245"/>
      <w:r/>
      <w:bookmarkEnd w:id="246"/>
      <w:r>
        <w:rPr>
          <w:rFonts w:hint="eastAsia" w:ascii="宋体" w:hAnsi="宋体" w:eastAsia="宋体" w:cs="宋体"/>
          <w:b/>
          <w:color w:val="000000"/>
          <w:sz w:val="24"/>
          <w:szCs w:val="24"/>
          <w:highlight w:val="none"/>
        </w:rPr>
        <w:t xml:space="preserve">标的</w:t>
      </w:r>
      <w:r/>
    </w:p>
    <w:p>
      <w:pPr>
        <w:ind w:firstLine="480"/>
        <w:spacing w:line="400" w:lineRule="exact"/>
        <w:rPr>
          <w:rFonts w:hint="eastAsia" w:ascii="宋体" w:hAnsi="宋体" w:eastAsia="宋体" w:cs="宋体"/>
          <w:color w:val="000000"/>
          <w:sz w:val="24"/>
          <w:highlight w:val="none"/>
          <w:u w:val="single"/>
        </w:rPr>
      </w:pPr>
      <w:r/>
      <w:bookmarkStart w:id="247" w:name="_Toc21631"/>
      <w:r/>
      <w:bookmarkStart w:id="248" w:name="_Toc21551"/>
      <w:r/>
      <w:bookmarkStart w:id="249" w:name="_Toc23292"/>
      <w:r>
        <w:rPr>
          <w:rFonts w:hint="eastAsia" w:ascii="宋体" w:hAnsi="宋体" w:eastAsia="宋体" w:cs="宋体"/>
          <w:color w:val="000000"/>
          <w:sz w:val="24"/>
          <w:highlight w:val="none"/>
        </w:rPr>
        <w:t xml:space="preserve">1.2.1 标的名称：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firstLine="480"/>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1.2.2 标的数量：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1.2.3 标的质量：</w:t>
      </w:r>
      <w:r>
        <w:rPr>
          <w:rFonts w:hint="eastAsia" w:ascii="宋体" w:hAnsi="宋体" w:eastAsia="宋体" w:cs="宋体"/>
          <w:color w:val="000000"/>
          <w:sz w:val="24"/>
          <w:highlight w:val="none"/>
          <w:u w:val="single"/>
        </w:rPr>
        <w:t xml:space="preserve">　　　　　　　  合格              </w:t>
      </w:r>
      <w:r>
        <w:rPr>
          <w:rFonts w:hint="eastAsia" w:ascii="宋体" w:hAnsi="宋体" w:eastAsia="宋体" w:cs="宋体"/>
          <w:color w:val="000000"/>
          <w:sz w:val="24"/>
          <w:highlight w:val="none"/>
        </w:rPr>
        <w:t xml:space="preserve">。</w:t>
      </w:r>
      <w:r/>
    </w:p>
    <w:p>
      <w:pPr>
        <w:ind w:firstLine="482"/>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1.3 价款</w:t>
      </w:r>
      <w:bookmarkEnd w:id="247"/>
      <w:r/>
      <w:bookmarkEnd w:id="248"/>
      <w:r/>
      <w:bookmarkEnd w:id="249"/>
      <w:r>
        <w:rPr>
          <w:rFonts w:hint="eastAsia" w:ascii="宋体" w:hAnsi="宋体" w:eastAsia="宋体" w:cs="宋体"/>
          <w:b/>
          <w:color w:val="000000"/>
          <w:sz w:val="24"/>
          <w:szCs w:val="24"/>
          <w:highlight w:val="none"/>
        </w:rPr>
        <w:t xml:space="preserve"> </w:t>
      </w:r>
      <w:r/>
    </w:p>
    <w:p>
      <w:p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本合同总价为：￥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元人民币）。</w:t>
      </w:r>
      <w:r/>
    </w:p>
    <w:p>
      <w:p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合同价格</w:t>
      </w:r>
      <w:r>
        <w:rPr>
          <w:rFonts w:hint="eastAsia" w:ascii="宋体" w:hAnsi="宋体" w:eastAsia="宋体" w:cs="宋体"/>
          <w:color w:val="000000"/>
          <w:sz w:val="24"/>
          <w:highlight w:val="none"/>
          <w:lang w:val="en-US" w:eastAsia="zh-CN"/>
        </w:rPr>
        <w:t xml:space="preserve">包括</w:t>
      </w:r>
      <w:r>
        <w:rPr>
          <w:rFonts w:hint="eastAsia" w:ascii="宋体" w:hAnsi="宋体" w:eastAsia="宋体" w:cs="宋体"/>
          <w:color w:val="000000"/>
          <w:sz w:val="24"/>
          <w:highlight w:val="none"/>
        </w:rPr>
        <w:t xml:space="preserve">但不限于</w:t>
      </w:r>
      <w:r>
        <w:rPr>
          <w:rFonts w:hint="eastAsia" w:ascii="宋体" w:hAnsi="宋体" w:eastAsia="宋体" w:cs="宋体"/>
          <w:color w:val="000000"/>
          <w:sz w:val="24"/>
          <w:highlight w:val="none"/>
          <w:lang w:val="en-US" w:eastAsia="zh-CN"/>
        </w:rPr>
        <w:t xml:space="preserve">完成</w:t>
      </w:r>
      <w:r>
        <w:rPr>
          <w:rFonts w:hint="eastAsia" w:ascii="宋体" w:hAnsi="宋体" w:eastAsia="宋体" w:cs="宋体"/>
          <w:color w:val="000000"/>
          <w:sz w:val="24"/>
          <w:highlight w:val="none"/>
        </w:rPr>
        <w:t xml:space="preserve">采购文件及其基本技术要求范围内</w:t>
      </w:r>
      <w:r>
        <w:rPr>
          <w:rFonts w:hint="eastAsia" w:ascii="宋体" w:hAnsi="宋体" w:eastAsia="宋体" w:cs="宋体"/>
          <w:color w:val="000000"/>
          <w:sz w:val="24"/>
          <w:szCs w:val="24"/>
          <w:highlight w:val="none"/>
        </w:rPr>
        <w:t xml:space="preserve">供货、包装、运输、保险、</w:t>
      </w:r>
      <w:r>
        <w:rPr>
          <w:rFonts w:hint="eastAsia" w:ascii="宋体" w:hAnsi="宋体" w:eastAsia="宋体" w:cs="宋体"/>
          <w:color w:val="000000"/>
          <w:sz w:val="24"/>
          <w:szCs w:val="24"/>
          <w:highlight w:val="none"/>
          <w:lang w:bidi="ar"/>
        </w:rPr>
        <w:t xml:space="preserve">布线、施工、</w:t>
      </w:r>
      <w:r>
        <w:rPr>
          <w:rFonts w:hint="eastAsia" w:ascii="宋体" w:hAnsi="宋体" w:eastAsia="宋体" w:cs="宋体"/>
          <w:color w:val="000000"/>
          <w:sz w:val="24"/>
          <w:szCs w:val="24"/>
          <w:highlight w:val="none"/>
        </w:rPr>
        <w:t xml:space="preserve">安装、调试、</w:t>
      </w:r>
      <w:r>
        <w:rPr>
          <w:rFonts w:hint="eastAsia" w:ascii="宋体" w:hAnsi="宋体" w:eastAsia="宋体" w:cs="宋体"/>
          <w:color w:val="000000"/>
          <w:sz w:val="24"/>
          <w:szCs w:val="24"/>
          <w:highlight w:val="none"/>
          <w:lang w:val="en-US" w:eastAsia="zh-CN"/>
        </w:rPr>
        <w:t xml:space="preserve">运维服务、人工、</w:t>
      </w:r>
      <w:r>
        <w:rPr>
          <w:rFonts w:hint="eastAsia" w:ascii="宋体" w:hAnsi="宋体" w:eastAsia="宋体" w:cs="宋体"/>
          <w:color w:val="000000"/>
          <w:sz w:val="24"/>
          <w:szCs w:val="24"/>
          <w:highlight w:val="none"/>
        </w:rPr>
        <w:t xml:space="preserve">管理、劳务、设备、工具、耗材、运送、质保、售后、夜间加班及企业利润、风险、税金及政策性文件规定等各项应有费用，以及为完成该项目所涉及到的一切相关费用。</w:t>
      </w:r>
      <w:r>
        <w:rPr>
          <w:rFonts w:hint="eastAsia" w:ascii="宋体" w:hAnsi="宋体" w:eastAsia="宋体" w:cs="宋体"/>
          <w:color w:val="000000"/>
          <w:sz w:val="24"/>
          <w:highlight w:val="none"/>
        </w:rPr>
        <w:t xml:space="preserve">若项目实施过程中产生任何其他费用，均由</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支付，</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highlight w:val="none"/>
        </w:rPr>
        <w:t xml:space="preserve">不再额外支付任何费用。同时，除非合同条款中另有规定，否则，</w:t>
      </w:r>
      <w:r>
        <w:rPr>
          <w:rFonts w:hint="eastAsia" w:ascii="宋体" w:hAnsi="宋体" w:eastAsia="宋体" w:cs="宋体"/>
          <w:color w:val="000000"/>
          <w:sz w:val="24"/>
          <w:highlight w:val="none"/>
          <w:lang w:val="en-US" w:eastAsia="zh-CN"/>
        </w:rPr>
        <w:t xml:space="preserve">合同单价</w:t>
      </w:r>
      <w:r>
        <w:rPr>
          <w:rFonts w:hint="eastAsia" w:ascii="宋体" w:hAnsi="宋体" w:eastAsia="宋体" w:cs="宋体"/>
          <w:color w:val="000000"/>
          <w:sz w:val="24"/>
          <w:highlight w:val="none"/>
        </w:rPr>
        <w:t xml:space="preserve">在合同实施期间不因市场变化因素而变动。</w:t>
      </w:r>
      <w:r/>
    </w:p>
    <w:p>
      <w:pPr>
        <w:pStyle w:val="1011"/>
        <w:keepLines w:val="0"/>
        <w:keepNext w:val="0"/>
        <w:pageBreakBefore w:val="0"/>
        <w:spacing w:line="24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清单如下：</w:t>
      </w:r>
      <w:r/>
    </w:p>
    <w:tbl>
      <w:tblPr>
        <w:tblStyle w:val="839"/>
        <w:tblW w:w="4986" w:type="pct"/>
        <w:jc w:val="center"/>
        <w:tblLayout w:type="autofit"/>
        <w:tblCellMar>
          <w:left w:w="108" w:type="dxa"/>
          <w:top w:w="0" w:type="dxa"/>
          <w:right w:w="108" w:type="dxa"/>
          <w:bottom w:w="0" w:type="dxa"/>
        </w:tblCellMar>
        <w:tblLook w:val="04A0" w:firstRow="1" w:lastRow="0" w:firstColumn="1" w:lastColumn="0" w:noHBand="0" w:noVBand="1"/>
      </w:tblPr>
      <w:tblGrid>
        <w:gridCol w:w="638"/>
        <w:gridCol w:w="449"/>
        <w:gridCol w:w="442"/>
        <w:gridCol w:w="2281"/>
        <w:gridCol w:w="1290"/>
        <w:gridCol w:w="451"/>
        <w:gridCol w:w="427"/>
        <w:gridCol w:w="427"/>
        <w:gridCol w:w="2857"/>
      </w:tblGrid>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rPr>
            </w:pPr>
            <w:r/>
            <w:bookmarkStart w:id="250" w:name="_Toc1814"/>
            <w:r/>
            <w:bookmarkStart w:id="251" w:name="_Toc10340"/>
            <w:r/>
            <w:bookmarkStart w:id="252" w:name="_Toc22618"/>
            <w:r>
              <w:rPr>
                <w:rFonts w:hint="eastAsia" w:ascii="宋体" w:hAnsi="宋体" w:eastAsia="宋体" w:cs="宋体"/>
                <w:b/>
                <w:bCs/>
                <w:color w:val="000000"/>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品牌</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型号</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eastAsia="zh-CN" w:bidi="ar"/>
              </w:rPr>
              <w:t xml:space="preserve">规格</w:t>
            </w:r>
            <w:r>
              <w:rPr>
                <w:rFonts w:hint="eastAsia" w:ascii="宋体" w:hAnsi="宋体" w:eastAsia="宋体" w:cs="宋体"/>
                <w:b/>
                <w:bCs/>
                <w:color w:val="000000"/>
                <w:szCs w:val="21"/>
                <w:highlight w:val="none"/>
                <w:lang w:bidi="ar"/>
              </w:rPr>
              <w:t xml:space="preserve">参数</w:t>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单价</w:t>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小计</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eastAsia="zh-CN" w:bidi="ar"/>
              </w:rPr>
            </w:pPr>
            <w:r>
              <w:rPr>
                <w:rFonts w:hint="eastAsia" w:ascii="宋体" w:hAnsi="宋体" w:eastAsia="宋体" w:cs="宋体"/>
                <w:b/>
                <w:bCs/>
                <w:color w:val="000000"/>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gridSpan w:val="4"/>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spacing w:line="3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总价</w:t>
            </w:r>
            <w:r/>
          </w:p>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color w:val="000000"/>
                <w:szCs w:val="21"/>
                <w:highlight w:val="none"/>
              </w:rPr>
              <w:t xml:space="preserve">(人民币:元)</w:t>
            </w:r>
            <w:r/>
          </w:p>
        </w:tc>
        <w:tc>
          <w:tcPr>
            <w:gridSpan w:val="5"/>
            <w:tcBorders>
              <w:top w:val="single" w:color="000000" w:sz="4" w:space="0"/>
              <w:left w:val="single" w:color="000000" w:sz="4" w:space="0"/>
              <w:bottom w:val="single" w:color="000000" w:sz="4" w:space="0"/>
              <w:right w:val="single" w:color="000000" w:sz="4" w:space="0"/>
            </w:tcBorders>
            <w:tcW w:w="5608" w:type="dxa"/>
            <w:vAlign w:val="center"/>
            <w:textDirection w:val="lrTb"/>
            <w:noWrap w:val="false"/>
          </w:tcPr>
          <w:p>
            <w:pPr>
              <w:jc w:val="center"/>
              <w:spacing w:line="48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小写: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元；</w:t>
            </w:r>
            <w:r/>
          </w:p>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color w:val="000000"/>
                <w:szCs w:val="21"/>
                <w:highlight w:val="none"/>
              </w:rPr>
              <w:t xml:space="preserve">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元。</w:t>
            </w:r>
            <w:r/>
          </w:p>
        </w:tc>
      </w:tr>
    </w:tbl>
    <w:p>
      <w:pPr>
        <w:ind w:firstLine="482"/>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1.4 付款方式和发票开具方式</w:t>
      </w:r>
      <w:bookmarkEnd w:id="250"/>
      <w:r/>
      <w:bookmarkEnd w:id="251"/>
      <w:r/>
      <w:bookmarkEnd w:id="252"/>
      <w:r/>
      <w:r/>
    </w:p>
    <w:p>
      <w:pPr>
        <w:ind w:firstLine="480"/>
        <w:spacing w:line="400" w:lineRule="exact"/>
        <w:rPr>
          <w:rFonts w:hint="eastAsia" w:ascii="宋体" w:hAnsi="宋体" w:eastAsia="宋体" w:cs="宋体"/>
          <w:color w:val="000000"/>
          <w:sz w:val="24"/>
          <w:highlight w:val="none"/>
          <w:u w:val="single"/>
          <w:lang w:val="en-US" w:eastAsia="zh-CN"/>
        </w:rPr>
      </w:pPr>
      <w:r/>
      <w:bookmarkStart w:id="253" w:name="_Toc32071"/>
      <w:r/>
      <w:bookmarkStart w:id="254" w:name="_Toc2846"/>
      <w:r/>
      <w:bookmarkStart w:id="255" w:name="_Toc19304"/>
      <w:r>
        <w:rPr>
          <w:rFonts w:hint="eastAsia" w:ascii="宋体" w:hAnsi="宋体" w:eastAsia="宋体" w:cs="宋体"/>
          <w:color w:val="000000"/>
          <w:sz w:val="24"/>
          <w:highlight w:val="none"/>
        </w:rPr>
        <w:t xml:space="preserve">1.4.1 付款方式：</w:t>
      </w:r>
      <w:r>
        <w:rPr>
          <w:rFonts w:hint="eastAsia" w:ascii="宋体" w:hAnsi="宋体" w:eastAsia="宋体" w:cs="宋体"/>
          <w:color w:val="000000"/>
          <w:sz w:val="24"/>
          <w:highlight w:val="none"/>
          <w:u w:val="single"/>
        </w:rPr>
        <w:t xml:space="preserve">1.合同签订生效后30日内，采购人支付合同金额的30%；所有货物安装调试完毕，通过采购人验收合格后付至合同金额的</w:t>
      </w:r>
      <w:r>
        <w:rPr>
          <w:rFonts w:hint="eastAsia" w:ascii="宋体" w:hAnsi="宋体" w:eastAsia="宋体" w:cs="宋体"/>
          <w:color w:val="000000"/>
          <w:sz w:val="24"/>
          <w:highlight w:val="none"/>
          <w:u w:val="single"/>
          <w:lang w:val="en-US" w:eastAsia="zh-CN"/>
        </w:rPr>
        <w:t xml:space="preserve">100</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w:t>
      </w:r>
      <w:r/>
    </w:p>
    <w:p>
      <w:p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lang w:val="en-US" w:eastAsia="zh-CN"/>
        </w:rPr>
        <w:t xml:space="preserve">2.中标人需提供等额的符合采购人要求的增值税发票（税率与投标税率一致）</w:t>
      </w:r>
      <w:r>
        <w:rPr>
          <w:rFonts w:hint="eastAsia" w:ascii="宋体" w:hAnsi="宋体" w:eastAsia="宋体" w:cs="宋体"/>
          <w:color w:val="000000"/>
          <w:sz w:val="24"/>
          <w:highlight w:val="none"/>
        </w:rPr>
        <w:t xml:space="preserve">。</w:t>
      </w:r>
      <w:r/>
    </w:p>
    <w:p>
      <w:p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1.4.2 发票开具方式：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增值税发票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firstLine="482"/>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1.5 货物交付期限、地点和方式</w:t>
      </w:r>
      <w:bookmarkEnd w:id="253"/>
      <w:r/>
      <w:bookmarkEnd w:id="254"/>
      <w:r/>
      <w:bookmarkEnd w:id="255"/>
      <w:r/>
      <w:r/>
    </w:p>
    <w:p>
      <w:pPr>
        <w:ind w:firstLine="480"/>
        <w:spacing w:line="4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1.5.1 交付期限：</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交付地点：</w:t>
      </w:r>
      <w:r>
        <w:rPr>
          <w:rFonts w:hint="eastAsia" w:ascii="宋体" w:hAnsi="宋体" w:eastAsia="宋体" w:cs="宋体"/>
          <w:color w:val="000000"/>
          <w:sz w:val="24"/>
          <w:szCs w:val="24"/>
          <w:highlight w:val="none"/>
          <w:u w:val="single"/>
        </w:rPr>
        <w:t xml:space="preserve">甲方指定地点  </w:t>
      </w:r>
      <w:r>
        <w:rPr>
          <w:rFonts w:hint="eastAsia" w:ascii="宋体" w:hAnsi="宋体" w:eastAsia="宋体" w:cs="宋体"/>
          <w:color w:val="000000"/>
          <w:sz w:val="24"/>
          <w:szCs w:val="24"/>
          <w:highlight w:val="none"/>
        </w:rPr>
        <w:t xml:space="preserve">；</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 交付方式：</w:t>
      </w:r>
      <w:r>
        <w:rPr>
          <w:rFonts w:hint="eastAsia" w:ascii="宋体" w:hAnsi="宋体" w:eastAsia="宋体" w:cs="宋体"/>
          <w:color w:val="000000"/>
          <w:sz w:val="24"/>
          <w:highlight w:val="none"/>
          <w:u w:val="single"/>
        </w:rPr>
        <w:t xml:space="preserve">乙方负责所有货物的运输、安装、调试、培训等</w:t>
      </w:r>
      <w:r>
        <w:rPr>
          <w:rFonts w:hint="eastAsia" w:ascii="宋体" w:hAnsi="宋体" w:eastAsia="宋体" w:cs="宋体"/>
          <w:color w:val="000000"/>
          <w:sz w:val="24"/>
          <w:szCs w:val="24"/>
          <w:highlight w:val="none"/>
        </w:rPr>
        <w:t xml:space="preserve">。</w:t>
      </w:r>
      <w:r/>
    </w:p>
    <w:p>
      <w:pPr>
        <w:ind w:firstLine="482"/>
        <w:spacing w:line="400" w:lineRule="exact"/>
        <w:rPr>
          <w:rFonts w:hint="eastAsia" w:ascii="宋体" w:hAnsi="宋体" w:eastAsia="宋体" w:cs="宋体"/>
          <w:b/>
          <w:color w:val="000000"/>
          <w:sz w:val="24"/>
          <w:szCs w:val="24"/>
          <w:highlight w:val="none"/>
        </w:rPr>
      </w:pPr>
      <w:r/>
      <w:bookmarkStart w:id="256" w:name="_Toc19554"/>
      <w:r/>
      <w:bookmarkStart w:id="257" w:name="_Toc21423"/>
      <w:r/>
      <w:bookmarkStart w:id="258" w:name="_Toc27250"/>
      <w:r>
        <w:rPr>
          <w:rFonts w:hint="eastAsia" w:ascii="宋体" w:hAnsi="宋体" w:eastAsia="宋体" w:cs="宋体"/>
          <w:b/>
          <w:color w:val="000000"/>
          <w:sz w:val="24"/>
          <w:szCs w:val="24"/>
          <w:highlight w:val="none"/>
        </w:rPr>
        <w:t xml:space="preserve">1.6 违约责任</w:t>
      </w:r>
      <w:bookmarkEnd w:id="256"/>
      <w:r/>
      <w:bookmarkEnd w:id="257"/>
      <w:r/>
      <w:bookmarkEnd w:id="258"/>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eastAsia="宋体" w:cs="宋体"/>
          <w:color w:val="000000"/>
          <w:sz w:val="24"/>
          <w:szCs w:val="24"/>
          <w:highlight w:val="none"/>
          <w:u w:val="single"/>
        </w:rPr>
        <w:t xml:space="preserve"> 0.5 </w:t>
      </w:r>
      <w:r>
        <w:rPr>
          <w:rFonts w:hint="eastAsia" w:ascii="宋体" w:hAnsi="宋体" w:eastAsia="宋体" w:cs="宋体"/>
          <w:color w:val="000000"/>
          <w:sz w:val="24"/>
          <w:szCs w:val="24"/>
          <w:highlight w:val="none"/>
        </w:rPr>
        <w:t xml:space="preserve">%计算，最高限额为本合同总价的</w:t>
      </w:r>
      <w:r>
        <w:rPr>
          <w:rFonts w:hint="eastAsia" w:ascii="宋体" w:hAnsi="宋体" w:eastAsia="宋体" w:cs="宋体"/>
          <w:color w:val="000000"/>
          <w:sz w:val="24"/>
          <w:szCs w:val="24"/>
          <w:highlight w:val="none"/>
          <w:u w:val="single"/>
        </w:rPr>
        <w:t xml:space="preserve"> 10 </w:t>
      </w:r>
      <w:r>
        <w:rPr>
          <w:rFonts w:hint="eastAsia" w:ascii="宋体" w:hAnsi="宋体" w:eastAsia="宋体" w:cs="宋体"/>
          <w:color w:val="000000"/>
          <w:sz w:val="24"/>
          <w:szCs w:val="24"/>
          <w:highlight w:val="none"/>
        </w:rPr>
        <w:t xml:space="preserve">%；迟延交付货物的违约金计算数额达到前述最高限额之日起，甲方有权在要求乙方支付违约金的同时，书面通知乙方解除本合同；</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eastAsia="宋体" w:cs="宋体"/>
          <w:color w:val="000000"/>
          <w:sz w:val="24"/>
          <w:szCs w:val="24"/>
          <w:highlight w:val="none"/>
          <w:u w:val="single"/>
        </w:rPr>
        <w:t xml:space="preserve"> 0.02 </w:t>
      </w:r>
      <w:r>
        <w:rPr>
          <w:rFonts w:hint="eastAsia" w:ascii="宋体" w:hAnsi="宋体" w:eastAsia="宋体" w:cs="宋体"/>
          <w:color w:val="000000"/>
          <w:sz w:val="24"/>
          <w:szCs w:val="24"/>
          <w:highlight w:val="none"/>
        </w:rPr>
        <w:t xml:space="preserve">%计算，最高限额为本合同总价的</w:t>
      </w:r>
      <w:r>
        <w:rPr>
          <w:rFonts w:hint="eastAsia" w:ascii="宋体" w:hAnsi="宋体" w:eastAsia="宋体" w:cs="宋体"/>
          <w:color w:val="000000"/>
          <w:sz w:val="24"/>
          <w:szCs w:val="24"/>
          <w:highlight w:val="none"/>
          <w:u w:val="single"/>
        </w:rPr>
        <w:t xml:space="preserve"> 5 </w:t>
      </w:r>
      <w:r>
        <w:rPr>
          <w:rFonts w:hint="eastAsia" w:ascii="宋体" w:hAnsi="宋体" w:eastAsia="宋体" w:cs="宋体"/>
          <w:color w:val="000000"/>
          <w:sz w:val="24"/>
          <w:szCs w:val="24"/>
          <w:highlight w:val="none"/>
        </w:rPr>
        <w:t xml:space="preserve">%；迟延付款的违约金计算数额达到前述最高限额之日起，乙方有权在要求甲方支付违约金的同时，书面通知甲方解除本合同；</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400" w:lineRule="exact"/>
        <w:rPr>
          <w:rFonts w:hint="eastAsia" w:ascii="宋体" w:hAnsi="宋体" w:eastAsia="宋体" w:cs="宋体"/>
          <w:b/>
          <w:color w:val="000000"/>
          <w:sz w:val="24"/>
          <w:szCs w:val="24"/>
          <w:highlight w:val="none"/>
        </w:rPr>
      </w:pPr>
      <w:r/>
      <w:bookmarkStart w:id="259" w:name="_Toc15583"/>
      <w:r/>
      <w:bookmarkStart w:id="260" w:name="_Toc28375"/>
      <w:r/>
      <w:bookmarkStart w:id="261" w:name="_Toc16021"/>
      <w:r>
        <w:rPr>
          <w:rFonts w:hint="eastAsia" w:ascii="宋体" w:hAnsi="宋体" w:eastAsia="宋体" w:cs="宋体"/>
          <w:b/>
          <w:color w:val="000000"/>
          <w:sz w:val="24"/>
          <w:szCs w:val="24"/>
          <w:highlight w:val="none"/>
        </w:rPr>
        <w:t xml:space="preserve">1.7 合同争议的解决</w:t>
      </w:r>
      <w:bookmarkEnd w:id="259"/>
      <w:r/>
      <w:bookmarkEnd w:id="260"/>
      <w:r/>
      <w:bookmarkEnd w:id="261"/>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eastAsia="宋体" w:cs="宋体"/>
          <w:color w:val="000000"/>
          <w:sz w:val="24"/>
          <w:szCs w:val="24"/>
          <w:highlight w:val="none"/>
          <w:u w:val="single"/>
        </w:rPr>
        <w:t xml:space="preserve"> 1.7.1 </w:t>
      </w:r>
      <w:r>
        <w:rPr>
          <w:rFonts w:hint="eastAsia" w:ascii="宋体" w:hAnsi="宋体" w:eastAsia="宋体" w:cs="宋体"/>
          <w:color w:val="000000"/>
          <w:sz w:val="24"/>
          <w:szCs w:val="24"/>
          <w:highlight w:val="none"/>
        </w:rPr>
        <w:t xml:space="preserve">种方式解决：</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将争议提交</w:t>
      </w:r>
      <w:r>
        <w:rPr>
          <w:rFonts w:hint="eastAsia" w:ascii="宋体" w:hAnsi="宋体" w:eastAsia="宋体" w:cs="宋体"/>
          <w:color w:val="000000"/>
          <w:sz w:val="24"/>
          <w:highlight w:val="none"/>
          <w:u w:val="single"/>
        </w:rPr>
        <w:t xml:space="preserve">常州</w:t>
      </w:r>
      <w:r>
        <w:rPr>
          <w:rFonts w:hint="eastAsia" w:ascii="宋体" w:hAnsi="宋体" w:eastAsia="宋体" w:cs="宋体"/>
          <w:color w:val="000000"/>
          <w:sz w:val="24"/>
          <w:szCs w:val="24"/>
          <w:highlight w:val="none"/>
        </w:rPr>
        <w:t xml:space="preserve">仲裁委员会依申请仲裁时其现行有效的仲裁规则裁决；</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 向</w:t>
      </w:r>
      <w:r>
        <w:rPr>
          <w:rFonts w:hint="eastAsia" w:ascii="宋体" w:hAnsi="宋体" w:eastAsia="宋体" w:cs="宋体"/>
          <w:color w:val="000000"/>
          <w:sz w:val="24"/>
          <w:szCs w:val="24"/>
          <w:highlight w:val="none"/>
          <w:u w:val="single"/>
        </w:rPr>
        <w:t xml:space="preserve">甲方所在地</w:t>
      </w:r>
      <w:r>
        <w:rPr>
          <w:rFonts w:hint="eastAsia" w:ascii="宋体" w:hAnsi="宋体" w:eastAsia="宋体" w:cs="宋体"/>
          <w:color w:val="000000"/>
          <w:sz w:val="24"/>
          <w:szCs w:val="24"/>
          <w:highlight w:val="none"/>
        </w:rPr>
        <w:t xml:space="preserve">人民法院起诉。</w:t>
      </w:r>
      <w:r/>
    </w:p>
    <w:p>
      <w:pPr>
        <w:ind w:firstLine="482"/>
        <w:spacing w:line="400" w:lineRule="exact"/>
        <w:rPr>
          <w:rFonts w:hint="eastAsia" w:ascii="宋体" w:hAnsi="宋体" w:eastAsia="宋体" w:cs="宋体"/>
          <w:b/>
          <w:color w:val="000000"/>
          <w:sz w:val="24"/>
          <w:szCs w:val="24"/>
          <w:highlight w:val="none"/>
        </w:rPr>
      </w:pPr>
      <w:r/>
      <w:bookmarkStart w:id="262" w:name="_Toc11173"/>
      <w:r/>
      <w:bookmarkStart w:id="263" w:name="_Toc7245"/>
      <w:r/>
      <w:bookmarkStart w:id="264" w:name="_Toc15322"/>
      <w:r>
        <w:rPr>
          <w:rFonts w:hint="eastAsia" w:ascii="宋体" w:hAnsi="宋体" w:eastAsia="宋体" w:cs="宋体"/>
          <w:b/>
          <w:color w:val="000000"/>
          <w:sz w:val="24"/>
          <w:szCs w:val="24"/>
          <w:highlight w:val="none"/>
        </w:rPr>
        <w:t xml:space="preserve">1.8 合同生效</w:t>
      </w:r>
      <w:bookmarkEnd w:id="262"/>
      <w:r/>
      <w:bookmarkEnd w:id="263"/>
      <w:r/>
      <w:bookmarkEnd w:id="264"/>
      <w:r/>
      <w:r/>
    </w:p>
    <w:p>
      <w:pPr>
        <w:ind w:firstLine="480"/>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本合同自双方当事人盖章或者签字时生效。</w:t>
      </w:r>
      <w:r/>
    </w:p>
    <w:p>
      <w:pPr>
        <w:spacing w:line="400" w:lineRule="exact"/>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spacing w:line="400" w:lineRule="exact"/>
        <w:rPr>
          <w:rFonts w:hint="eastAsia" w:ascii="宋体" w:hAnsi="宋体" w:eastAsia="宋体" w:cs="宋体"/>
          <w:color w:val="000000"/>
          <w:sz w:val="24"/>
          <w:highlight w:val="none"/>
          <w:lang w:val="zh-CN"/>
        </w:rPr>
      </w:pPr>
      <w:r>
        <w:rPr>
          <w:rFonts w:hint="eastAsia" w:ascii="宋体" w:hAnsi="宋体" w:eastAsia="宋体" w:cs="宋体"/>
          <w:b/>
          <w:color w:val="000000"/>
          <w:sz w:val="24"/>
          <w:highlight w:val="none"/>
          <w:lang w:val="zh-CN"/>
        </w:rPr>
        <w:t xml:space="preserve">甲方</w:t>
      </w:r>
      <w:r>
        <w:rPr>
          <w:rFonts w:hint="eastAsia" w:ascii="宋体" w:hAnsi="宋体" w:eastAsia="宋体" w:cs="宋体"/>
          <w:color w:val="000000"/>
          <w:sz w:val="24"/>
          <w:highlight w:val="none"/>
          <w:lang w:val="zh-CN"/>
        </w:rPr>
        <w:t xml:space="preserve">：                             </w:t>
      </w:r>
      <w:r>
        <w:rPr>
          <w:rFonts w:hint="eastAsia" w:ascii="宋体" w:hAnsi="宋体" w:eastAsia="宋体" w:cs="宋体"/>
          <w:b/>
          <w:color w:val="000000"/>
          <w:sz w:val="24"/>
          <w:highlight w:val="none"/>
          <w:lang w:val="zh-CN"/>
        </w:rPr>
        <w:t xml:space="preserve">      乙方</w:t>
      </w:r>
      <w:r>
        <w:rPr>
          <w:rFonts w:hint="eastAsia" w:ascii="宋体" w:hAnsi="宋体" w:eastAsia="宋体" w:cs="宋体"/>
          <w:color w:val="000000"/>
          <w:sz w:val="24"/>
          <w:highlight w:val="none"/>
          <w:lang w:val="zh-CN"/>
        </w:rPr>
        <w:t xml:space="preserve">：</w:t>
      </w:r>
      <w:r/>
    </w:p>
    <w:p>
      <w:pPr>
        <w:spacing w:line="4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法定代表人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t xml:space="preserve">法定代表人</w:t>
      </w:r>
      <w:r/>
    </w:p>
    <w:p>
      <w:pPr>
        <w:spacing w:line="4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或授权代表（签字）：                     或授权代表（签字）: </w:t>
      </w:r>
      <w:r/>
    </w:p>
    <w:p>
      <w:pPr>
        <w:spacing w:line="4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联系人：                                 联系人：</w:t>
      </w:r>
      <w:r/>
    </w:p>
    <w:p>
      <w:pPr>
        <w:spacing w:line="4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地址：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t xml:space="preserve">地址：</w:t>
      </w:r>
      <w:r/>
    </w:p>
    <w:p>
      <w:pPr>
        <w:spacing w:line="4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邮政编码：                               邮政编码：</w:t>
      </w:r>
      <w:r/>
    </w:p>
    <w:p>
      <w:pPr>
        <w:spacing w:line="4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电话:                                    电话: </w:t>
      </w:r>
      <w:r/>
    </w:p>
    <w:p>
      <w:pPr>
        <w:spacing w:line="40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传真:                                    传真:</w:t>
      </w:r>
      <w:r/>
    </w:p>
    <w:p>
      <w:pP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电子邮箱：                               电子邮箱：</w:t>
      </w:r>
      <w:r/>
    </w:p>
    <w:p>
      <w:pP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开户银行：                               开户银行： </w:t>
      </w:r>
      <w:r/>
    </w:p>
    <w:p>
      <w:pP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开户名称：                               开户名称： </w:t>
      </w:r>
      <w:r/>
    </w:p>
    <w:p>
      <w:pP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开户账号：</w:t>
      </w: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rPr>
        <w:t xml:space="preserve">开户账号：</w:t>
      </w:r>
      <w:r/>
    </w:p>
    <w:p>
      <w:pPr>
        <w:pStyle w:val="1041"/>
        <w:ind w:left="0"/>
        <w:spacing w:after="0" w:line="400" w:lineRule="exact"/>
        <w:rPr>
          <w:rFonts w:hint="eastAsia" w:ascii="宋体" w:hAnsi="宋体" w:eastAsia="宋体" w:cs="宋体"/>
          <w:b/>
          <w:color w:val="000000"/>
          <w:sz w:val="24"/>
          <w:highlight w:val="none"/>
        </w:rPr>
      </w:pPr>
      <w:r>
        <w:rPr>
          <w:rFonts w:hint="eastAsia" w:ascii="宋体" w:hAnsi="宋体" w:eastAsia="宋体" w:cs="宋体"/>
          <w:color w:val="000000"/>
          <w:sz w:val="24"/>
          <w:highlight w:val="none"/>
          <w:lang w:val="zh-CN"/>
        </w:rPr>
        <w:t xml:space="preserve"> </w:t>
      </w:r>
      <w:r/>
    </w:p>
    <w:p>
      <w:pPr>
        <w:ind w:firstLine="480"/>
        <w:jc w:val="center"/>
        <w:keepLines w:val="0"/>
        <w:keepNext w:val="0"/>
        <w:pageBreakBefore w:val="0"/>
        <w:spacing w:line="360" w:lineRule="auto"/>
        <w:widowControl w:val="off"/>
        <w:rPr>
          <w:rFonts w:hint="eastAsia" w:ascii="宋体" w:hAnsi="宋体" w:eastAsia="宋体" w:cs="宋体"/>
          <w:b/>
          <w:color w:val="000000"/>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000000"/>
          <w:highlight w:val="none"/>
        </w:rPr>
      </w:r>
      <w:r/>
    </w:p>
    <w:p>
      <w:pPr>
        <w:pStyle w:val="1271"/>
        <w:ind w:firstLine="482"/>
        <w:jc w:val="center"/>
        <w:spacing w:line="400" w:lineRule="exact"/>
        <w:rPr>
          <w:rFonts w:hint="eastAsia" w:ascii="宋体" w:hAnsi="宋体" w:eastAsia="宋体" w:cs="宋体"/>
          <w:b/>
          <w:color w:val="000000"/>
          <w:highlight w:val="none"/>
        </w:rPr>
      </w:pPr>
      <w:r>
        <w:rPr>
          <w:rFonts w:hint="eastAsia" w:ascii="宋体" w:hAnsi="宋体" w:eastAsia="宋体" w:cs="宋体"/>
          <w:b/>
          <w:color w:val="000000"/>
          <w:highlight w:val="none"/>
        </w:rPr>
        <w:t xml:space="preserve">第二部分  合同一般条款</w:t>
      </w:r>
      <w:r/>
    </w:p>
    <w:p>
      <w:pPr>
        <w:ind w:firstLine="482"/>
        <w:spacing w:line="400" w:lineRule="exact"/>
        <w:rPr>
          <w:rFonts w:hint="eastAsia" w:ascii="宋体" w:hAnsi="宋体" w:eastAsia="宋体" w:cs="宋体"/>
          <w:b/>
          <w:color w:val="000000"/>
          <w:sz w:val="24"/>
          <w:szCs w:val="24"/>
          <w:highlight w:val="none"/>
        </w:rPr>
      </w:pPr>
      <w:r/>
      <w:bookmarkStart w:id="265" w:name="_Ref467378499"/>
      <w:r/>
      <w:bookmarkStart w:id="266" w:name="_Toc279701240"/>
      <w:r/>
      <w:bookmarkStart w:id="267" w:name="_Ref467379225"/>
      <w:r/>
      <w:bookmarkStart w:id="268" w:name="_Ref467379205"/>
      <w:r/>
      <w:bookmarkStart w:id="269" w:name="_Ref467379101"/>
      <w:r/>
      <w:bookmarkStart w:id="270" w:name="_Ref467379094"/>
      <w:r/>
      <w:bookmarkStart w:id="271" w:name="_Toc16917"/>
      <w:r/>
      <w:bookmarkStart w:id="272" w:name="_Toc28763"/>
      <w:r/>
      <w:bookmarkStart w:id="273" w:name="_Toc19614"/>
      <w:r/>
      <w:bookmarkStart w:id="274" w:name="_Ref467378463"/>
      <w:r/>
      <w:bookmarkStart w:id="275" w:name="_Toc487900349"/>
      <w:r/>
      <w:bookmarkStart w:id="276" w:name="_Ref467379214"/>
      <w:r/>
      <w:bookmarkStart w:id="277" w:name="_Ref467378404"/>
      <w:r/>
      <w:bookmarkStart w:id="278" w:name="_Toc259093669"/>
      <w:r/>
      <w:bookmarkStart w:id="279" w:name="_Ref467379109"/>
      <w:r/>
      <w:bookmarkStart w:id="280" w:name="_Ref467379195"/>
      <w:r>
        <w:rPr>
          <w:rFonts w:hint="eastAsia" w:ascii="宋体" w:hAnsi="宋体" w:eastAsia="宋体" w:cs="宋体"/>
          <w:b/>
          <w:color w:val="000000"/>
          <w:sz w:val="24"/>
          <w:szCs w:val="24"/>
          <w:highlight w:val="none"/>
        </w:rPr>
        <w:t xml:space="preserve">2.1 定义</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本合同中的下列词语应按以下内容进行解释：</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“合同”系指采购人和中标人签订的载明双方当事人所达成的协议，并包括所有的附件、附录和构成合同的其他文件。</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“合同价”系指根据合同约定，中标人在完全履行合同义务后，采购人应支付给中标人的价格。</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 “货物”系指中标人根据合同约定应向采购人交付的一切各种形态和种类的物品，包括原材料、燃料、设备、机械、仪表、备件、计算机软件、产品等，并包括工具、手册等其他相关资料。</w:t>
      </w:r>
      <w:r/>
    </w:p>
    <w:p>
      <w:pPr>
        <w:ind w:firstLine="480"/>
        <w:spacing w:line="400" w:lineRule="exact"/>
        <w:rPr>
          <w:rFonts w:hint="eastAsia" w:ascii="宋体" w:hAnsi="宋体" w:eastAsia="宋体" w:cs="宋体"/>
          <w:color w:val="000000"/>
          <w:sz w:val="24"/>
          <w:szCs w:val="24"/>
          <w:highlight w:val="none"/>
        </w:rPr>
      </w:pPr>
      <w:r/>
      <w:bookmarkStart w:id="281" w:name="_Ref467378840"/>
      <w:r>
        <w:rPr>
          <w:rFonts w:hint="eastAsia" w:ascii="宋体" w:hAnsi="宋体" w:eastAsia="宋体" w:cs="宋体"/>
          <w:color w:val="000000"/>
          <w:sz w:val="24"/>
          <w:szCs w:val="24"/>
          <w:highlight w:val="none"/>
        </w:rPr>
        <w:t xml:space="preserve">2.1.4 “甲方”系指与中标人签署合同的</w:t>
      </w:r>
      <w:bookmarkEnd w:id="281"/>
      <w:r>
        <w:rPr>
          <w:rFonts w:hint="eastAsia" w:ascii="宋体" w:hAnsi="宋体" w:eastAsia="宋体" w:cs="宋体"/>
          <w:color w:val="000000"/>
          <w:sz w:val="24"/>
          <w:szCs w:val="24"/>
          <w:highlight w:val="none"/>
        </w:rPr>
        <w:t xml:space="preserve">采购人；采购人委托采购代理机构代表其与乙方签订合同的，采购人的授权委托书作为合同附件。</w:t>
      </w:r>
      <w:r/>
    </w:p>
    <w:p>
      <w:pPr>
        <w:ind w:firstLine="480"/>
        <w:spacing w:line="400" w:lineRule="exact"/>
        <w:rPr>
          <w:rFonts w:hint="eastAsia" w:ascii="宋体" w:hAnsi="宋体" w:eastAsia="宋体" w:cs="宋体"/>
          <w:color w:val="000000"/>
          <w:sz w:val="24"/>
          <w:szCs w:val="24"/>
          <w:highlight w:val="none"/>
        </w:rPr>
      </w:pPr>
      <w:r/>
      <w:bookmarkStart w:id="282" w:name="_Ref467379400"/>
      <w:r>
        <w:rPr>
          <w:rFonts w:hint="eastAsia" w:ascii="宋体" w:hAnsi="宋体" w:eastAsia="宋体" w:cs="宋体"/>
          <w:color w:val="000000"/>
          <w:sz w:val="24"/>
          <w:szCs w:val="24"/>
          <w:highlight w:val="none"/>
        </w:rPr>
        <w:t xml:space="preserve">2.1.5 “乙方”系指根据合同约定交付货物的</w:t>
      </w:r>
      <w:bookmarkEnd w:id="282"/>
      <w:r>
        <w:rPr>
          <w:rFonts w:hint="eastAsia" w:ascii="宋体" w:hAnsi="宋体" w:eastAsia="宋体" w:cs="宋体"/>
          <w:color w:val="000000"/>
          <w:sz w:val="24"/>
          <w:szCs w:val="24"/>
          <w:highlight w:val="none"/>
        </w:rPr>
        <w:t xml:space="preserve">中标人；两个以上的自然人、法人或者其他组织组成一个联合体，以一个投标人的身份共同参加政府采购的，联合体各方均应为乙方或者与乙方相同地位的合同当事人，并就合同约定的事项对甲方承担连带责任。</w:t>
      </w:r>
      <w:r/>
    </w:p>
    <w:p>
      <w:pPr>
        <w:ind w:firstLine="480"/>
        <w:spacing w:line="400" w:lineRule="exact"/>
        <w:rPr>
          <w:rFonts w:hint="eastAsia" w:ascii="宋体" w:hAnsi="宋体" w:eastAsia="宋体" w:cs="宋体"/>
          <w:color w:val="000000"/>
          <w:sz w:val="24"/>
          <w:szCs w:val="24"/>
          <w:highlight w:val="none"/>
        </w:rPr>
      </w:pPr>
      <w:r/>
      <w:bookmarkStart w:id="283" w:name="_Ref467379436"/>
      <w:r>
        <w:rPr>
          <w:rFonts w:hint="eastAsia" w:ascii="宋体" w:hAnsi="宋体" w:eastAsia="宋体" w:cs="宋体"/>
          <w:color w:val="000000"/>
          <w:sz w:val="24"/>
          <w:szCs w:val="24"/>
          <w:highlight w:val="none"/>
        </w:rPr>
        <w:t xml:space="preserve">2.1.6 “现场”系指合同约定货物将要运至或者安装的地点。</w:t>
      </w:r>
      <w:bookmarkEnd w:id="283"/>
      <w:r/>
      <w:r/>
    </w:p>
    <w:p>
      <w:pPr>
        <w:ind w:firstLine="482"/>
        <w:spacing w:line="400" w:lineRule="exact"/>
        <w:rPr>
          <w:rFonts w:hint="eastAsia" w:ascii="宋体" w:hAnsi="宋体" w:eastAsia="宋体" w:cs="宋体"/>
          <w:b/>
          <w:color w:val="000000"/>
          <w:sz w:val="24"/>
          <w:szCs w:val="24"/>
          <w:highlight w:val="none"/>
        </w:rPr>
      </w:pPr>
      <w:r/>
      <w:bookmarkStart w:id="284" w:name="_Toc13336"/>
      <w:r/>
      <w:bookmarkStart w:id="285" w:name="_Toc32504"/>
      <w:r/>
      <w:bookmarkStart w:id="286" w:name="_Toc27635"/>
      <w:r/>
      <w:bookmarkStart w:id="287" w:name="_Toc279701241"/>
      <w:r/>
      <w:bookmarkStart w:id="288" w:name="_Toc259093670"/>
      <w:r/>
      <w:bookmarkStart w:id="289" w:name="_Toc487900350"/>
      <w:r>
        <w:rPr>
          <w:rFonts w:hint="eastAsia" w:ascii="宋体" w:hAnsi="宋体" w:eastAsia="宋体" w:cs="宋体"/>
          <w:b/>
          <w:color w:val="000000"/>
          <w:sz w:val="24"/>
          <w:szCs w:val="24"/>
          <w:highlight w:val="none"/>
        </w:rPr>
        <w:t xml:space="preserve">2.2 技术规范</w:t>
      </w:r>
      <w:bookmarkEnd w:id="284"/>
      <w:r/>
      <w:bookmarkEnd w:id="285"/>
      <w:r/>
      <w:bookmarkEnd w:id="286"/>
      <w:r/>
      <w:bookmarkEnd w:id="287"/>
      <w:r/>
      <w:bookmarkEnd w:id="288"/>
      <w:r/>
      <w:bookmarkEnd w:id="289"/>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所应遵守的技术规范应与招标文件规定的技术规范和技术规范附件(如果有的话)及其技术规范偏差表(如果被甲方接受的话)相一致；如果招标文件中没有技术规范的相应说明，那么应以国家有关部门最新颁布的相应标准和规范为准。</w:t>
      </w:r>
      <w:r/>
    </w:p>
    <w:p>
      <w:pPr>
        <w:ind w:firstLine="482"/>
        <w:spacing w:line="400" w:lineRule="exact"/>
        <w:rPr>
          <w:rFonts w:hint="eastAsia" w:ascii="宋体" w:hAnsi="宋体" w:eastAsia="宋体" w:cs="宋体"/>
          <w:b/>
          <w:color w:val="000000"/>
          <w:sz w:val="24"/>
          <w:szCs w:val="24"/>
          <w:highlight w:val="none"/>
        </w:rPr>
      </w:pPr>
      <w:r/>
      <w:bookmarkStart w:id="290" w:name="_Toc259093671"/>
      <w:r/>
      <w:bookmarkStart w:id="291" w:name="_Toc31634"/>
      <w:r/>
      <w:bookmarkStart w:id="292" w:name="_Toc279701242"/>
      <w:r/>
      <w:bookmarkStart w:id="293" w:name="_Toc487900351"/>
      <w:r/>
      <w:bookmarkStart w:id="294" w:name="_Toc9829"/>
      <w:r/>
      <w:bookmarkStart w:id="295" w:name="_Toc27853"/>
      <w:r>
        <w:rPr>
          <w:rFonts w:hint="eastAsia" w:ascii="宋体" w:hAnsi="宋体" w:eastAsia="宋体" w:cs="宋体"/>
          <w:b/>
          <w:color w:val="000000"/>
          <w:sz w:val="24"/>
          <w:szCs w:val="24"/>
          <w:highlight w:val="none"/>
        </w:rPr>
        <w:t xml:space="preserve">2.3 知识产权</w:t>
      </w:r>
      <w:bookmarkEnd w:id="290"/>
      <w:r/>
      <w:bookmarkEnd w:id="291"/>
      <w:r/>
      <w:bookmarkEnd w:id="292"/>
      <w:r/>
      <w:bookmarkEnd w:id="293"/>
      <w:r/>
      <w:bookmarkEnd w:id="294"/>
      <w:r/>
      <w:bookmarkEnd w:id="295"/>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2.3.2具有知识产权的计算机软件等货物的知识产权归属，详见</w:t>
      </w:r>
      <w:r>
        <w:rPr>
          <w:rFonts w:hint="eastAsia" w:ascii="宋体" w:hAnsi="宋体" w:eastAsia="宋体" w:cs="宋体"/>
          <w:b/>
          <w:color w:val="000000"/>
          <w:sz w:val="24"/>
          <w:szCs w:val="24"/>
          <w:highlight w:val="none"/>
          <w:u w:val="single"/>
        </w:rPr>
        <w:t xml:space="preserve">合同专用条款</w:t>
      </w:r>
      <w:r>
        <w:rPr>
          <w:rFonts w:hint="eastAsia" w:ascii="宋体" w:hAnsi="宋体" w:eastAsia="宋体" w:cs="宋体"/>
          <w:color w:val="000000"/>
          <w:sz w:val="24"/>
          <w:szCs w:val="24"/>
          <w:highlight w:val="none"/>
        </w:rPr>
        <w:t xml:space="preserve">。</w:t>
      </w:r>
      <w:r/>
    </w:p>
    <w:p>
      <w:pPr>
        <w:ind w:firstLine="482"/>
        <w:spacing w:line="400" w:lineRule="exact"/>
        <w:rPr>
          <w:rFonts w:hint="eastAsia" w:ascii="宋体" w:hAnsi="宋体" w:eastAsia="宋体" w:cs="宋体"/>
          <w:b/>
          <w:color w:val="000000"/>
          <w:sz w:val="24"/>
          <w:szCs w:val="24"/>
          <w:highlight w:val="none"/>
        </w:rPr>
      </w:pPr>
      <w:r/>
      <w:bookmarkStart w:id="296" w:name="_Toc29149"/>
      <w:r/>
      <w:bookmarkStart w:id="297" w:name="_Toc11932"/>
      <w:r/>
      <w:bookmarkStart w:id="298" w:name="_Toc4194"/>
      <w:r>
        <w:rPr>
          <w:rFonts w:hint="eastAsia" w:ascii="宋体" w:hAnsi="宋体" w:eastAsia="宋体" w:cs="宋体"/>
          <w:b/>
          <w:color w:val="000000"/>
          <w:sz w:val="24"/>
          <w:szCs w:val="24"/>
          <w:highlight w:val="none"/>
        </w:rPr>
        <w:t xml:space="preserve">2.4 包装和装运</w:t>
      </w:r>
      <w:bookmarkEnd w:id="296"/>
      <w:r/>
      <w:bookmarkEnd w:id="297"/>
      <w:r/>
      <w:bookmarkEnd w:id="298"/>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2.4.1除</w:t>
      </w:r>
      <w:r>
        <w:rPr>
          <w:rFonts w:hint="eastAsia" w:ascii="宋体" w:hAnsi="宋体" w:eastAsia="宋体" w:cs="宋体"/>
          <w:b/>
          <w:color w:val="000000"/>
          <w:sz w:val="24"/>
          <w:szCs w:val="24"/>
          <w:highlight w:val="none"/>
          <w:u w:val="single"/>
        </w:rPr>
        <w:t xml:space="preserve">合同专用条款</w:t>
      </w:r>
      <w:r>
        <w:rPr>
          <w:rFonts w:hint="eastAsia" w:ascii="宋体" w:hAnsi="宋体" w:eastAsia="宋体" w:cs="宋体"/>
          <w:color w:val="000000"/>
          <w:sz w:val="24"/>
          <w:szCs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 装运货物的要求和通知，详见</w:t>
      </w:r>
      <w:r>
        <w:rPr>
          <w:rFonts w:hint="eastAsia" w:ascii="宋体" w:hAnsi="宋体" w:eastAsia="宋体" w:cs="宋体"/>
          <w:b/>
          <w:color w:val="000000"/>
          <w:sz w:val="24"/>
          <w:szCs w:val="24"/>
          <w:highlight w:val="none"/>
          <w:u w:val="single"/>
        </w:rPr>
        <w:t xml:space="preserve">合同专用条款</w:t>
      </w:r>
      <w:r>
        <w:rPr>
          <w:rFonts w:hint="eastAsia" w:ascii="宋体" w:hAnsi="宋体" w:eastAsia="宋体" w:cs="宋体"/>
          <w:color w:val="000000"/>
          <w:sz w:val="24"/>
          <w:szCs w:val="24"/>
          <w:highlight w:val="none"/>
        </w:rPr>
        <w:t xml:space="preserve">。</w:t>
      </w:r>
      <w:r/>
    </w:p>
    <w:p>
      <w:pPr>
        <w:ind w:firstLine="482"/>
        <w:spacing w:line="400" w:lineRule="exact"/>
        <w:rPr>
          <w:rFonts w:hint="eastAsia" w:ascii="宋体" w:hAnsi="宋体" w:eastAsia="宋体" w:cs="宋体"/>
          <w:b/>
          <w:color w:val="000000"/>
          <w:sz w:val="24"/>
          <w:szCs w:val="24"/>
          <w:highlight w:val="none"/>
        </w:rPr>
      </w:pPr>
      <w:r/>
      <w:bookmarkStart w:id="299" w:name="_Ref467378591"/>
      <w:r/>
      <w:bookmarkStart w:id="300" w:name="_Toc279701245"/>
      <w:r/>
      <w:bookmarkStart w:id="301" w:name="_Toc259093674"/>
      <w:r/>
      <w:bookmarkStart w:id="302" w:name="_Toc487900354"/>
      <w:r/>
      <w:bookmarkStart w:id="303" w:name="_Ref467379536"/>
      <w:r/>
      <w:bookmarkStart w:id="304" w:name="_Ref467378541"/>
      <w:r/>
      <w:bookmarkStart w:id="305" w:name="_Ref467379527"/>
      <w:r/>
      <w:bookmarkStart w:id="306" w:name="_Ref467379542"/>
      <w:r/>
      <w:bookmarkStart w:id="307" w:name="_Toc26182"/>
      <w:r/>
      <w:bookmarkStart w:id="308" w:name="_Toc19074"/>
      <w:r/>
      <w:bookmarkStart w:id="309" w:name="_Toc30272"/>
      <w:r>
        <w:rPr>
          <w:rFonts w:hint="eastAsia" w:ascii="宋体" w:hAnsi="宋体" w:eastAsia="宋体" w:cs="宋体"/>
          <w:b/>
          <w:color w:val="000000"/>
          <w:sz w:val="24"/>
          <w:szCs w:val="24"/>
          <w:highlight w:val="none"/>
        </w:rPr>
        <w:t xml:space="preserve">2.</w:t>
      </w:r>
      <w:bookmarkEnd w:id="299"/>
      <w:r/>
      <w:bookmarkEnd w:id="300"/>
      <w:r/>
      <w:bookmarkEnd w:id="301"/>
      <w:r/>
      <w:bookmarkEnd w:id="302"/>
      <w:r/>
      <w:bookmarkEnd w:id="303"/>
      <w:r/>
      <w:bookmarkEnd w:id="304"/>
      <w:r/>
      <w:bookmarkEnd w:id="305"/>
      <w:r/>
      <w:bookmarkEnd w:id="306"/>
      <w:r>
        <w:rPr>
          <w:rFonts w:hint="eastAsia" w:ascii="宋体" w:hAnsi="宋体" w:eastAsia="宋体" w:cs="宋体"/>
          <w:b/>
          <w:color w:val="000000"/>
          <w:sz w:val="24"/>
          <w:szCs w:val="24"/>
          <w:highlight w:val="none"/>
        </w:rPr>
        <w:t xml:space="preserve">5 履约检查和问题反馈</w:t>
      </w:r>
      <w:bookmarkEnd w:id="307"/>
      <w:r/>
      <w:bookmarkEnd w:id="308"/>
      <w:r/>
      <w:bookmarkEnd w:id="309"/>
      <w:r/>
      <w:r/>
    </w:p>
    <w:p>
      <w:pPr>
        <w:ind w:firstLine="480"/>
        <w:spacing w:line="400" w:lineRule="exact"/>
        <w:rPr>
          <w:rFonts w:hint="eastAsia" w:ascii="宋体" w:hAnsi="宋体" w:eastAsia="宋体" w:cs="宋体"/>
          <w:color w:val="000000"/>
          <w:sz w:val="24"/>
          <w:szCs w:val="24"/>
          <w:highlight w:val="none"/>
        </w:rPr>
      </w:pPr>
      <w:r/>
      <w:bookmarkStart w:id="310" w:name="_Ref467379657"/>
      <w:r>
        <w:rPr>
          <w:rFonts w:hint="eastAsia" w:ascii="宋体" w:hAnsi="宋体" w:eastAsia="宋体" w:cs="宋体"/>
          <w:color w:val="000000"/>
          <w:sz w:val="24"/>
          <w:szCs w:val="24"/>
          <w:highlight w:val="none"/>
        </w:rPr>
        <w:t xml:space="preserve">2.5.1</w:t>
      </w:r>
      <w:bookmarkEnd w:id="310"/>
      <w:r/>
      <w:bookmarkStart w:id="311" w:name="_Toc186431854"/>
      <w:r/>
      <w:bookmarkStart w:id="312" w:name="_Ref467379793"/>
      <w:r/>
      <w:bookmarkStart w:id="313" w:name="_Ref467379807"/>
      <w:r/>
      <w:bookmarkStart w:id="314" w:name="_Toc259093676"/>
      <w:r/>
      <w:bookmarkStart w:id="315" w:name="_Toc279701247"/>
      <w:r/>
      <w:bookmarkStart w:id="316" w:name="_Toc487900357"/>
      <w:r>
        <w:rPr>
          <w:rFonts w:hint="eastAsia" w:ascii="宋体" w:hAnsi="宋体" w:eastAsia="宋体" w:cs="宋体"/>
          <w:color w:val="000000"/>
          <w:sz w:val="24"/>
          <w:szCs w:val="24"/>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合同履行期间，甲方有权将履行过程中出现的问题反馈给乙方，双方当事人应以书面形式约定需要完善和改进的内容</w:t>
      </w:r>
      <w:bookmarkEnd w:id="311"/>
      <w:r/>
      <w:bookmarkStart w:id="317" w:name="_Toc186431855"/>
      <w:r>
        <w:rPr>
          <w:rFonts w:hint="eastAsia" w:ascii="宋体" w:hAnsi="宋体" w:eastAsia="宋体" w:cs="宋体"/>
          <w:color w:val="000000"/>
          <w:sz w:val="24"/>
          <w:szCs w:val="24"/>
          <w:highlight w:val="none"/>
        </w:rPr>
        <w:t xml:space="preserve">。</w:t>
      </w:r>
      <w:bookmarkEnd w:id="317"/>
      <w:r/>
      <w:r/>
    </w:p>
    <w:p>
      <w:pPr>
        <w:ind w:firstLine="482"/>
        <w:spacing w:line="400" w:lineRule="exact"/>
        <w:rPr>
          <w:rFonts w:hint="eastAsia" w:ascii="宋体" w:hAnsi="宋体" w:eastAsia="宋体" w:cs="宋体"/>
          <w:b/>
          <w:color w:val="000000"/>
          <w:sz w:val="24"/>
          <w:szCs w:val="24"/>
          <w:highlight w:val="none"/>
        </w:rPr>
      </w:pPr>
      <w:r/>
      <w:bookmarkStart w:id="318" w:name="_Toc28451"/>
      <w:r/>
      <w:bookmarkStart w:id="319" w:name="_Toc19219"/>
      <w:r/>
      <w:bookmarkStart w:id="320" w:name="_Toc7836"/>
      <w:r>
        <w:rPr>
          <w:rFonts w:hint="eastAsia" w:ascii="宋体" w:hAnsi="宋体" w:eastAsia="宋体" w:cs="宋体"/>
          <w:b/>
          <w:color w:val="000000"/>
          <w:sz w:val="24"/>
          <w:szCs w:val="24"/>
          <w:highlight w:val="none"/>
        </w:rPr>
        <w:t xml:space="preserve">2.6 结算方式和付款条件</w:t>
      </w:r>
      <w:bookmarkEnd w:id="312"/>
      <w:r/>
      <w:bookmarkEnd w:id="313"/>
      <w:r/>
      <w:bookmarkEnd w:id="314"/>
      <w:r/>
      <w:bookmarkEnd w:id="315"/>
      <w:r/>
      <w:bookmarkEnd w:id="316"/>
      <w:r/>
      <w:bookmarkEnd w:id="318"/>
      <w:r/>
      <w:bookmarkEnd w:id="319"/>
      <w:r/>
      <w:bookmarkEnd w:id="320"/>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w:t>
      </w:r>
      <w:r>
        <w:rPr>
          <w:rFonts w:hint="eastAsia" w:ascii="宋体" w:hAnsi="宋体" w:eastAsia="宋体" w:cs="宋体"/>
          <w:b/>
          <w:color w:val="000000"/>
          <w:sz w:val="24"/>
          <w:szCs w:val="24"/>
          <w:highlight w:val="none"/>
          <w:u w:val="single"/>
        </w:rPr>
        <w:t xml:space="preserve">第一部分合同书</w:t>
      </w:r>
      <w:r>
        <w:rPr>
          <w:rFonts w:hint="eastAsia" w:ascii="宋体" w:hAnsi="宋体" w:eastAsia="宋体" w:cs="宋体"/>
          <w:color w:val="000000"/>
          <w:sz w:val="24"/>
          <w:szCs w:val="24"/>
          <w:highlight w:val="none"/>
        </w:rPr>
        <w:t xml:space="preserve">。</w:t>
      </w:r>
      <w:r/>
    </w:p>
    <w:p>
      <w:pPr>
        <w:ind w:firstLine="482"/>
        <w:spacing w:line="400" w:lineRule="exact"/>
        <w:rPr>
          <w:rFonts w:hint="eastAsia" w:ascii="宋体" w:hAnsi="宋体" w:eastAsia="宋体" w:cs="宋体"/>
          <w:b/>
          <w:color w:val="000000"/>
          <w:sz w:val="24"/>
          <w:szCs w:val="24"/>
          <w:highlight w:val="none"/>
        </w:rPr>
      </w:pPr>
      <w:r/>
      <w:bookmarkStart w:id="321" w:name="_Ref467379923"/>
      <w:r/>
      <w:bookmarkStart w:id="322" w:name="_Toc259093677"/>
      <w:r/>
      <w:bookmarkStart w:id="323" w:name="_Ref467379852"/>
      <w:r/>
      <w:bookmarkStart w:id="324" w:name="_Ref467379863"/>
      <w:r/>
      <w:bookmarkStart w:id="325" w:name="_Toc487900358"/>
      <w:r/>
      <w:bookmarkStart w:id="326" w:name="_Toc279701248"/>
      <w:r/>
      <w:bookmarkStart w:id="327" w:name="_Toc3225"/>
      <w:r/>
      <w:bookmarkStart w:id="328" w:name="_Toc774"/>
      <w:r/>
      <w:bookmarkStart w:id="329" w:name="_Toc16110"/>
      <w:r>
        <w:rPr>
          <w:rFonts w:hint="eastAsia" w:ascii="宋体" w:hAnsi="宋体" w:eastAsia="宋体" w:cs="宋体"/>
          <w:b/>
          <w:color w:val="000000"/>
          <w:sz w:val="24"/>
          <w:szCs w:val="24"/>
          <w:highlight w:val="none"/>
        </w:rPr>
        <w:t xml:space="preserve">2.7 技术资料</w:t>
      </w:r>
      <w:bookmarkEnd w:id="321"/>
      <w:r/>
      <w:bookmarkEnd w:id="322"/>
      <w:r/>
      <w:bookmarkEnd w:id="323"/>
      <w:r/>
      <w:bookmarkEnd w:id="324"/>
      <w:r/>
      <w:bookmarkEnd w:id="325"/>
      <w:r/>
      <w:bookmarkEnd w:id="326"/>
      <w:r>
        <w:rPr>
          <w:rFonts w:hint="eastAsia" w:ascii="宋体" w:hAnsi="宋体" w:eastAsia="宋体" w:cs="宋体"/>
          <w:b/>
          <w:color w:val="000000"/>
          <w:sz w:val="24"/>
          <w:szCs w:val="24"/>
          <w:highlight w:val="none"/>
        </w:rPr>
        <w:t xml:space="preserve">和保密义务</w:t>
      </w:r>
      <w:bookmarkEnd w:id="327"/>
      <w:r/>
      <w:bookmarkEnd w:id="328"/>
      <w:r/>
      <w:bookmarkEnd w:id="329"/>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 乙方有权依据合同约定和项目需要，向甲方了解有关情况，调阅有关资料等，甲方应予积极配合；</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 乙方有义务妥善保管和保护由甲方提供的前款信息和资料等；</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400" w:lineRule="exact"/>
        <w:rPr>
          <w:rFonts w:hint="eastAsia" w:ascii="宋体" w:hAnsi="宋体" w:eastAsia="宋体" w:cs="宋体"/>
          <w:b/>
          <w:color w:val="000000"/>
          <w:sz w:val="24"/>
          <w:szCs w:val="24"/>
          <w:highlight w:val="none"/>
        </w:rPr>
      </w:pPr>
      <w:r/>
      <w:bookmarkStart w:id="330" w:name="_Toc7860"/>
      <w:r>
        <w:rPr>
          <w:rFonts w:hint="eastAsia" w:ascii="宋体" w:hAnsi="宋体" w:eastAsia="宋体" w:cs="宋体"/>
          <w:b/>
          <w:color w:val="000000"/>
          <w:sz w:val="24"/>
          <w:szCs w:val="24"/>
          <w:highlight w:val="none"/>
        </w:rPr>
        <w:t xml:space="preserve">2.8 质量保证</w:t>
      </w:r>
      <w:bookmarkEnd w:id="330"/>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乙方应建立和完善履行合同的内部质量保证体系，并提供相关内部规章制度给甲方，以便甲方进行监督检查；</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乙方应保证履行合同的人员数量和素质、软件和硬件设备的配置、场地、环境和设施等满足全面履行合同的要求，并应接受甲方的监督检查。</w:t>
      </w:r>
      <w:r/>
    </w:p>
    <w:p>
      <w:pPr>
        <w:ind w:firstLine="482"/>
        <w:spacing w:line="400" w:lineRule="exact"/>
        <w:rPr>
          <w:rFonts w:hint="eastAsia" w:ascii="宋体" w:hAnsi="宋体" w:eastAsia="宋体" w:cs="宋体"/>
          <w:b/>
          <w:color w:val="000000"/>
          <w:sz w:val="24"/>
          <w:szCs w:val="24"/>
          <w:highlight w:val="none"/>
        </w:rPr>
      </w:pPr>
      <w:r/>
      <w:bookmarkStart w:id="331" w:name="_Toc17244"/>
      <w:r/>
      <w:bookmarkStart w:id="332" w:name="_Toc259093681"/>
      <w:r/>
      <w:bookmarkStart w:id="333" w:name="_Toc279701252"/>
      <w:r/>
      <w:bookmarkStart w:id="334" w:name="_Toc487900362"/>
      <w:r>
        <w:rPr>
          <w:rFonts w:hint="eastAsia" w:ascii="宋体" w:hAnsi="宋体" w:eastAsia="宋体" w:cs="宋体"/>
          <w:b/>
          <w:color w:val="000000"/>
          <w:sz w:val="24"/>
          <w:szCs w:val="24"/>
          <w:highlight w:val="none"/>
        </w:rPr>
        <w:t xml:space="preserve">2.9 货物的风险负担</w:t>
      </w:r>
      <w:bookmarkEnd w:id="331"/>
      <w:r/>
      <w:r/>
    </w:p>
    <w:p>
      <w:pPr>
        <w:ind w:firstLine="480"/>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货物或者在途货物或者交付给第一承运人后的货物毁损、灭失的风险负担详见</w:t>
      </w:r>
      <w:r>
        <w:rPr>
          <w:rFonts w:hint="eastAsia" w:ascii="宋体" w:hAnsi="宋体" w:eastAsia="宋体" w:cs="宋体"/>
          <w:b/>
          <w:color w:val="000000"/>
          <w:sz w:val="24"/>
          <w:szCs w:val="24"/>
          <w:highlight w:val="none"/>
          <w:u w:val="single"/>
        </w:rPr>
        <w:t xml:space="preserve">合同专用条款</w:t>
      </w:r>
      <w:r>
        <w:rPr>
          <w:rFonts w:hint="eastAsia" w:ascii="宋体" w:hAnsi="宋体" w:eastAsia="宋体" w:cs="宋体"/>
          <w:color w:val="000000"/>
          <w:sz w:val="24"/>
          <w:szCs w:val="24"/>
          <w:highlight w:val="none"/>
        </w:rPr>
        <w:t xml:space="preserve">。</w:t>
      </w:r>
      <w:r/>
    </w:p>
    <w:p>
      <w:pPr>
        <w:ind w:firstLine="482"/>
        <w:spacing w:line="400" w:lineRule="exact"/>
        <w:rPr>
          <w:rFonts w:hint="eastAsia" w:ascii="宋体" w:hAnsi="宋体" w:eastAsia="宋体" w:cs="宋体"/>
          <w:b/>
          <w:color w:val="000000"/>
          <w:sz w:val="24"/>
          <w:szCs w:val="24"/>
          <w:highlight w:val="none"/>
        </w:rPr>
      </w:pPr>
      <w:r/>
      <w:bookmarkStart w:id="335" w:name="_Toc14055"/>
      <w:r>
        <w:rPr>
          <w:rFonts w:hint="eastAsia" w:ascii="宋体" w:hAnsi="宋体" w:eastAsia="宋体" w:cs="宋体"/>
          <w:b/>
          <w:color w:val="000000"/>
          <w:sz w:val="24"/>
          <w:szCs w:val="24"/>
          <w:highlight w:val="none"/>
        </w:rPr>
        <w:t xml:space="preserve">2.10 延迟交货</w:t>
      </w:r>
      <w:bookmarkEnd w:id="332"/>
      <w:r/>
      <w:bookmarkEnd w:id="333"/>
      <w:r/>
      <w:bookmarkEnd w:id="334"/>
      <w:r/>
      <w:bookmarkEnd w:id="335"/>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spacing w:line="400" w:lineRule="exact"/>
        <w:rPr>
          <w:rFonts w:hint="eastAsia" w:ascii="宋体" w:hAnsi="宋体" w:eastAsia="宋体" w:cs="宋体"/>
          <w:b/>
          <w:color w:val="000000"/>
          <w:sz w:val="24"/>
          <w:szCs w:val="24"/>
          <w:highlight w:val="none"/>
        </w:rPr>
      </w:pPr>
      <w:r/>
      <w:bookmarkStart w:id="336" w:name="_Toc7502"/>
      <w:r/>
      <w:bookmarkStart w:id="337" w:name="_Toc487900364"/>
      <w:r/>
      <w:bookmarkStart w:id="338" w:name="_Toc279701254"/>
      <w:r/>
      <w:bookmarkStart w:id="339" w:name="_Ref467378121"/>
      <w:r/>
      <w:bookmarkStart w:id="340" w:name="_Toc259093683"/>
      <w:r>
        <w:rPr>
          <w:rFonts w:hint="eastAsia" w:ascii="宋体" w:hAnsi="宋体" w:eastAsia="宋体" w:cs="宋体"/>
          <w:b/>
          <w:color w:val="000000"/>
          <w:sz w:val="24"/>
          <w:szCs w:val="24"/>
          <w:highlight w:val="none"/>
        </w:rPr>
        <w:t xml:space="preserve">2.11 合同变更</w:t>
      </w:r>
      <w:bookmarkEnd w:id="336"/>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2.11.1双方当事人协商一致，可以签订书面补充合同的形式变更合同，但不得违背招标文件确定的事项，且如果系追加与合同标的相同的货物的，那么所有补充合同的采购金额不得超过原合同价的10%；</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 合同继续履行将损害国家利益和社会公共利益的，双方当事人应当以书面形式变更合同。有过错的一方应当承担赔偿责任，双方当事人都有过错的，各自承担相应的责任。</w:t>
      </w:r>
      <w:bookmarkStart w:id="341" w:name="_Toc487900369"/>
      <w:r/>
      <w:bookmarkStart w:id="342" w:name="_Toc279701259"/>
      <w:r/>
      <w:bookmarkStart w:id="343" w:name="_Toc259093688"/>
      <w:r/>
      <w:r/>
    </w:p>
    <w:p>
      <w:pPr>
        <w:ind w:firstLine="482"/>
        <w:spacing w:line="400" w:lineRule="exact"/>
        <w:rPr>
          <w:rFonts w:hint="eastAsia" w:ascii="宋体" w:hAnsi="宋体" w:eastAsia="宋体" w:cs="宋体"/>
          <w:b/>
          <w:color w:val="000000"/>
          <w:sz w:val="24"/>
          <w:szCs w:val="24"/>
          <w:highlight w:val="none"/>
        </w:rPr>
      </w:pPr>
      <w:r/>
      <w:bookmarkStart w:id="344" w:name="_Toc15237"/>
      <w:r/>
      <w:bookmarkStart w:id="345" w:name="_Toc22955"/>
      <w:r/>
      <w:bookmarkStart w:id="346" w:name="_Toc10366"/>
      <w:r>
        <w:rPr>
          <w:rFonts w:hint="eastAsia" w:ascii="宋体" w:hAnsi="宋体" w:eastAsia="宋体" w:cs="宋体"/>
          <w:b/>
          <w:color w:val="000000"/>
          <w:sz w:val="24"/>
          <w:szCs w:val="24"/>
          <w:highlight w:val="none"/>
        </w:rPr>
        <w:t xml:space="preserve">2.12 合同转让</w:t>
      </w:r>
      <w:bookmarkEnd w:id="341"/>
      <w:r/>
      <w:bookmarkEnd w:id="342"/>
      <w:r/>
      <w:bookmarkEnd w:id="343"/>
      <w:r>
        <w:rPr>
          <w:rFonts w:hint="eastAsia" w:ascii="宋体" w:hAnsi="宋体" w:eastAsia="宋体" w:cs="宋体"/>
          <w:b/>
          <w:color w:val="000000"/>
          <w:sz w:val="24"/>
          <w:szCs w:val="24"/>
          <w:highlight w:val="none"/>
        </w:rPr>
        <w:t xml:space="preserve">和分包</w:t>
      </w:r>
      <w:bookmarkEnd w:id="344"/>
      <w:r/>
      <w:bookmarkEnd w:id="345"/>
      <w:r/>
      <w:bookmarkEnd w:id="346"/>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r/>
    </w:p>
    <w:p>
      <w:pPr>
        <w:ind w:firstLine="482"/>
        <w:spacing w:line="400" w:lineRule="exact"/>
        <w:rPr>
          <w:rFonts w:hint="eastAsia" w:ascii="宋体" w:hAnsi="宋体" w:eastAsia="宋体" w:cs="宋体"/>
          <w:b/>
          <w:color w:val="000000"/>
          <w:sz w:val="24"/>
          <w:szCs w:val="24"/>
          <w:highlight w:val="none"/>
        </w:rPr>
      </w:pPr>
      <w:r/>
      <w:bookmarkStart w:id="347" w:name="_Toc13566"/>
      <w:r/>
      <w:bookmarkStart w:id="348" w:name="_Toc16508"/>
      <w:r/>
      <w:bookmarkStart w:id="349" w:name="_Toc14066"/>
      <w:r>
        <w:rPr>
          <w:rFonts w:hint="eastAsia" w:ascii="宋体" w:hAnsi="宋体" w:eastAsia="宋体" w:cs="宋体"/>
          <w:b/>
          <w:color w:val="000000"/>
          <w:sz w:val="24"/>
          <w:szCs w:val="24"/>
          <w:highlight w:val="none"/>
        </w:rPr>
        <w:t xml:space="preserve">2.13 不可抗力</w:t>
      </w:r>
      <w:bookmarkEnd w:id="347"/>
      <w:r/>
      <w:bookmarkEnd w:id="348"/>
      <w:r/>
      <w:bookmarkEnd w:id="349"/>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2.13.1如果任何一方遭遇法律规定的不可抗力，致使合同履行受阻时，履行合同的期限应予延长，延长的期限应相当于不可抗力所影响的时间；</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2.13.2 因不可抗力致使不能实现合同目的的，当事人可以解除合同；</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2.13.3 因不可抗力致使合同有变更必要的，双方当事人应在</w:t>
      </w:r>
      <w:r>
        <w:rPr>
          <w:rFonts w:hint="eastAsia" w:ascii="宋体" w:hAnsi="宋体" w:eastAsia="宋体" w:cs="宋体"/>
          <w:b/>
          <w:color w:val="000000"/>
          <w:sz w:val="24"/>
          <w:szCs w:val="24"/>
          <w:highlight w:val="none"/>
          <w:u w:val="single"/>
        </w:rPr>
        <w:t xml:space="preserve">5日</w:t>
      </w:r>
      <w:r>
        <w:rPr>
          <w:rFonts w:hint="eastAsia" w:ascii="宋体" w:hAnsi="宋体" w:eastAsia="宋体" w:cs="宋体"/>
          <w:color w:val="000000"/>
          <w:sz w:val="24"/>
          <w:szCs w:val="24"/>
          <w:highlight w:val="none"/>
        </w:rPr>
        <w:t xml:space="preserve">内以书面形式变更合同；</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2.13.4受不可抗力影响的一方在不可抗力发生后，应在</w:t>
      </w:r>
      <w:r>
        <w:rPr>
          <w:rFonts w:hint="eastAsia" w:ascii="宋体" w:hAnsi="宋体" w:eastAsia="宋体" w:cs="宋体"/>
          <w:b/>
          <w:color w:val="000000"/>
          <w:sz w:val="24"/>
          <w:szCs w:val="24"/>
          <w:highlight w:val="none"/>
          <w:u w:val="single"/>
        </w:rPr>
        <w:t xml:space="preserve">5日</w:t>
      </w:r>
      <w:r>
        <w:rPr>
          <w:rFonts w:hint="eastAsia" w:ascii="宋体" w:hAnsi="宋体" w:eastAsia="宋体" w:cs="宋体"/>
          <w:color w:val="000000"/>
          <w:sz w:val="24"/>
          <w:szCs w:val="24"/>
          <w:highlight w:val="none"/>
        </w:rPr>
        <w:t xml:space="preserve">内以书面形式通知对方当事人，并在</w:t>
      </w:r>
      <w:r>
        <w:rPr>
          <w:rFonts w:hint="eastAsia" w:ascii="宋体" w:hAnsi="宋体" w:eastAsia="宋体" w:cs="宋体"/>
          <w:b/>
          <w:color w:val="000000"/>
          <w:sz w:val="24"/>
          <w:szCs w:val="24"/>
          <w:highlight w:val="none"/>
          <w:u w:val="single"/>
        </w:rPr>
        <w:t xml:space="preserve">5日</w:t>
      </w:r>
      <w:r>
        <w:rPr>
          <w:rFonts w:hint="eastAsia" w:ascii="宋体" w:hAnsi="宋体" w:eastAsia="宋体" w:cs="宋体"/>
          <w:color w:val="000000"/>
          <w:sz w:val="24"/>
          <w:szCs w:val="24"/>
          <w:highlight w:val="none"/>
        </w:rPr>
        <w:t xml:space="preserve">内，将有关部门出具的证明文件送达对方当事人。</w:t>
      </w:r>
      <w:r/>
    </w:p>
    <w:p>
      <w:pPr>
        <w:ind w:firstLine="482"/>
        <w:spacing w:line="400" w:lineRule="exact"/>
        <w:rPr>
          <w:rFonts w:hint="eastAsia" w:ascii="宋体" w:hAnsi="宋体" w:eastAsia="宋体" w:cs="宋体"/>
          <w:b/>
          <w:color w:val="000000"/>
          <w:sz w:val="24"/>
          <w:szCs w:val="24"/>
          <w:highlight w:val="none"/>
        </w:rPr>
      </w:pPr>
      <w:r/>
      <w:bookmarkStart w:id="350" w:name="_Toc279701255"/>
      <w:r/>
      <w:bookmarkStart w:id="351" w:name="_Toc259093684"/>
      <w:r/>
      <w:bookmarkStart w:id="352" w:name="_Toc6969"/>
      <w:r/>
      <w:bookmarkStart w:id="353" w:name="_Toc487900365"/>
      <w:r/>
      <w:bookmarkStart w:id="354" w:name="_Toc689"/>
      <w:r/>
      <w:bookmarkStart w:id="355" w:name="_Toc30676"/>
      <w:r>
        <w:rPr>
          <w:rFonts w:hint="eastAsia" w:ascii="宋体" w:hAnsi="宋体" w:eastAsia="宋体" w:cs="宋体"/>
          <w:b/>
          <w:color w:val="000000"/>
          <w:sz w:val="24"/>
          <w:szCs w:val="24"/>
          <w:highlight w:val="none"/>
        </w:rPr>
        <w:t xml:space="preserve">2.14 税费</w:t>
      </w:r>
      <w:bookmarkEnd w:id="350"/>
      <w:r/>
      <w:bookmarkEnd w:id="351"/>
      <w:r/>
      <w:bookmarkEnd w:id="352"/>
      <w:r/>
      <w:bookmarkEnd w:id="353"/>
      <w:r/>
      <w:bookmarkEnd w:id="354"/>
      <w:r/>
      <w:bookmarkEnd w:id="355"/>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与合同有关的一切税费，均按照中华人民共和国法律的相关规定。</w:t>
      </w:r>
      <w:r/>
    </w:p>
    <w:p>
      <w:pPr>
        <w:ind w:firstLine="482"/>
        <w:spacing w:line="400" w:lineRule="exact"/>
        <w:rPr>
          <w:rFonts w:hint="eastAsia" w:ascii="宋体" w:hAnsi="宋体" w:eastAsia="宋体" w:cs="宋体"/>
          <w:b/>
          <w:color w:val="000000"/>
          <w:sz w:val="24"/>
          <w:szCs w:val="24"/>
          <w:highlight w:val="none"/>
        </w:rPr>
      </w:pPr>
      <w:r/>
      <w:bookmarkStart w:id="356" w:name="_Toc16959"/>
      <w:r/>
      <w:bookmarkStart w:id="357" w:name="_Toc487900368"/>
      <w:r/>
      <w:bookmarkStart w:id="358" w:name="_Toc279701258"/>
      <w:r/>
      <w:bookmarkStart w:id="359" w:name="_Toc259093687"/>
      <w:r/>
      <w:bookmarkStart w:id="360" w:name="_Toc8298"/>
      <w:r/>
      <w:bookmarkStart w:id="361" w:name="_Toc7102"/>
      <w:r>
        <w:rPr>
          <w:rFonts w:hint="eastAsia" w:ascii="宋体" w:hAnsi="宋体" w:eastAsia="宋体" w:cs="宋体"/>
          <w:b/>
          <w:color w:val="000000"/>
          <w:sz w:val="24"/>
          <w:szCs w:val="24"/>
          <w:highlight w:val="none"/>
        </w:rPr>
        <w:t xml:space="preserve">2.15 乙方破产</w:t>
      </w:r>
      <w:bookmarkEnd w:id="356"/>
      <w:r/>
      <w:bookmarkEnd w:id="357"/>
      <w:r/>
      <w:bookmarkEnd w:id="358"/>
      <w:r/>
      <w:bookmarkEnd w:id="359"/>
      <w:r/>
      <w:bookmarkEnd w:id="360"/>
      <w:r/>
      <w:bookmarkEnd w:id="361"/>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400" w:lineRule="exact"/>
        <w:rPr>
          <w:rFonts w:hint="eastAsia" w:ascii="宋体" w:hAnsi="宋体" w:eastAsia="宋体" w:cs="宋体"/>
          <w:b/>
          <w:color w:val="000000"/>
          <w:sz w:val="24"/>
          <w:szCs w:val="24"/>
          <w:highlight w:val="none"/>
        </w:rPr>
      </w:pPr>
      <w:r/>
      <w:bookmarkStart w:id="362" w:name="_Toc29333"/>
      <w:r/>
      <w:bookmarkStart w:id="363" w:name="_Toc6134"/>
      <w:r/>
      <w:bookmarkStart w:id="364" w:name="_Toc15387"/>
      <w:r>
        <w:rPr>
          <w:rFonts w:hint="eastAsia" w:ascii="宋体" w:hAnsi="宋体" w:eastAsia="宋体" w:cs="宋体"/>
          <w:b/>
          <w:color w:val="000000"/>
          <w:sz w:val="24"/>
          <w:szCs w:val="24"/>
          <w:highlight w:val="none"/>
        </w:rPr>
        <w:t xml:space="preserve">2.16 合同中止、终止</w:t>
      </w:r>
      <w:bookmarkEnd w:id="362"/>
      <w:r/>
      <w:bookmarkEnd w:id="363"/>
      <w:r/>
      <w:bookmarkEnd w:id="364"/>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2.16.1 双方当事人不得擅自中止或者终止合同；</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2.16.2合同继续履行将损害国家利益和社会公共利益的，双方当事人应当中止或者终止合同。有过错的一方应当承担赔偿责任，双方当事人都有过错的，各自承担相应的责任。</w:t>
      </w:r>
      <w:r/>
    </w:p>
    <w:p>
      <w:pPr>
        <w:ind w:firstLine="482"/>
        <w:spacing w:line="400" w:lineRule="exact"/>
        <w:rPr>
          <w:rFonts w:hint="eastAsia" w:ascii="宋体" w:hAnsi="宋体" w:eastAsia="宋体" w:cs="宋体"/>
          <w:b/>
          <w:color w:val="000000"/>
          <w:sz w:val="24"/>
          <w:szCs w:val="24"/>
          <w:highlight w:val="none"/>
        </w:rPr>
      </w:pPr>
      <w:r/>
      <w:bookmarkStart w:id="365" w:name="_Toc6596"/>
      <w:r/>
      <w:bookmarkStart w:id="366" w:name="_Toc14563"/>
      <w:r/>
      <w:bookmarkStart w:id="367" w:name="_Toc1125"/>
      <w:r>
        <w:rPr>
          <w:rFonts w:hint="eastAsia" w:ascii="宋体" w:hAnsi="宋体" w:eastAsia="宋体" w:cs="宋体"/>
          <w:b/>
          <w:color w:val="000000"/>
          <w:sz w:val="24"/>
          <w:szCs w:val="24"/>
          <w:highlight w:val="none"/>
        </w:rPr>
        <w:t xml:space="preserve">2.17 检验和验收</w:t>
      </w:r>
      <w:bookmarkEnd w:id="365"/>
      <w:r/>
      <w:bookmarkEnd w:id="366"/>
      <w:r/>
      <w:bookmarkEnd w:id="367"/>
      <w:r/>
      <w:r/>
    </w:p>
    <w:p>
      <w:pPr>
        <w:ind w:firstLine="480"/>
        <w:spacing w:line="400" w:lineRule="exact"/>
        <w:tabs>
          <w:tab w:val="left" w:pos="360" w:leader="none"/>
          <w:tab w:val="left" w:pos="540" w:leader="none"/>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2.17.1货物交付前，乙方应对货物的质量、数量等方面进行详细、全面的检验，并向甲方出具证明货物符合合同约定的文件；货物交付时，乙方在</w:t>
      </w:r>
      <w:r>
        <w:rPr>
          <w:rFonts w:hint="eastAsia" w:ascii="宋体" w:hAnsi="宋体" w:eastAsia="宋体" w:cs="宋体"/>
          <w:b/>
          <w:color w:val="000000"/>
          <w:sz w:val="24"/>
          <w:szCs w:val="24"/>
          <w:highlight w:val="none"/>
          <w:u w:val="single"/>
        </w:rPr>
        <w:t xml:space="preserve">合同专用条款</w:t>
      </w:r>
      <w:r>
        <w:rPr>
          <w:rFonts w:hint="eastAsia" w:ascii="宋体" w:hAnsi="宋体" w:eastAsia="宋体" w:cs="宋体"/>
          <w:color w:val="000000"/>
          <w:sz w:val="24"/>
          <w:szCs w:val="24"/>
          <w:highlight w:val="none"/>
        </w:rPr>
        <w:t xml:space="preserve">约定时间内组织验收，并可依法邀请相关方参加，验收应出具验收书。</w:t>
      </w:r>
      <w:r/>
    </w:p>
    <w:p>
      <w:pPr>
        <w:ind w:firstLine="480"/>
        <w:spacing w:line="400" w:lineRule="exact"/>
        <w:tabs>
          <w:tab w:val="left" w:pos="360" w:leader="none"/>
          <w:tab w:val="left" w:pos="540" w:leader="none"/>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2.17.2合同期满或者履行完毕后，甲方有权组织（包括依法邀请国家认可的质量检测机构参加）对乙方履约的验收，即：按照合同约定的技术、服务、安全标准，组织对每一项技术、服务、安全标准的履约情况的验收，并出具验收书。</w:t>
      </w:r>
      <w:r/>
    </w:p>
    <w:p>
      <w:pPr>
        <w:ind w:firstLine="480"/>
        <w:spacing w:line="400" w:lineRule="exact"/>
        <w:tabs>
          <w:tab w:val="left" w:pos="360" w:leader="none"/>
          <w:tab w:val="left" w:pos="540" w:leader="none"/>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2.17.3 检验和验收标准、程序等具体内容以及前述验收书的效力详见</w:t>
      </w:r>
      <w:r>
        <w:rPr>
          <w:rFonts w:hint="eastAsia" w:ascii="宋体" w:hAnsi="宋体" w:eastAsia="宋体" w:cs="宋体"/>
          <w:b/>
          <w:color w:val="000000"/>
          <w:sz w:val="24"/>
          <w:szCs w:val="24"/>
          <w:highlight w:val="none"/>
          <w:u w:val="single"/>
        </w:rPr>
        <w:t xml:space="preserve">合同专用条款</w:t>
      </w:r>
      <w:r>
        <w:rPr>
          <w:rFonts w:hint="eastAsia" w:ascii="宋体" w:hAnsi="宋体" w:eastAsia="宋体" w:cs="宋体"/>
          <w:color w:val="000000"/>
          <w:sz w:val="24"/>
          <w:szCs w:val="24"/>
          <w:highlight w:val="none"/>
        </w:rPr>
        <w:t xml:space="preserve">。</w:t>
      </w:r>
      <w:bookmarkEnd w:id="337"/>
      <w:r/>
      <w:bookmarkEnd w:id="338"/>
      <w:r/>
      <w:bookmarkEnd w:id="339"/>
      <w:r/>
      <w:bookmarkEnd w:id="340"/>
      <w:r/>
      <w:r/>
    </w:p>
    <w:p>
      <w:pPr>
        <w:ind w:firstLine="482"/>
        <w:spacing w:line="400" w:lineRule="exact"/>
        <w:rPr>
          <w:rFonts w:hint="eastAsia" w:ascii="宋体" w:hAnsi="宋体" w:eastAsia="宋体" w:cs="宋体"/>
          <w:b/>
          <w:color w:val="000000"/>
          <w:sz w:val="24"/>
          <w:szCs w:val="24"/>
          <w:highlight w:val="none"/>
        </w:rPr>
      </w:pPr>
      <w:r/>
      <w:bookmarkStart w:id="368" w:name="_Toc279701261"/>
      <w:r/>
      <w:bookmarkStart w:id="369" w:name="_Toc487900371"/>
      <w:r/>
      <w:bookmarkStart w:id="370" w:name="_Toc259093690"/>
      <w:r/>
      <w:bookmarkStart w:id="371" w:name="_Toc11284"/>
      <w:r/>
      <w:bookmarkStart w:id="372" w:name="_Toc25182"/>
      <w:r/>
      <w:bookmarkStart w:id="373" w:name="_Toc19604"/>
      <w:r>
        <w:rPr>
          <w:rFonts w:hint="eastAsia" w:ascii="宋体" w:hAnsi="宋体" w:eastAsia="宋体" w:cs="宋体"/>
          <w:b/>
          <w:color w:val="000000"/>
          <w:sz w:val="24"/>
          <w:szCs w:val="24"/>
          <w:highlight w:val="none"/>
        </w:rPr>
        <w:t xml:space="preserve">2.18 通知</w:t>
      </w:r>
      <w:bookmarkEnd w:id="368"/>
      <w:r/>
      <w:bookmarkEnd w:id="369"/>
      <w:r/>
      <w:bookmarkEnd w:id="370"/>
      <w:r>
        <w:rPr>
          <w:rFonts w:hint="eastAsia" w:ascii="宋体" w:hAnsi="宋体" w:eastAsia="宋体" w:cs="宋体"/>
          <w:b/>
          <w:color w:val="000000"/>
          <w:sz w:val="24"/>
          <w:szCs w:val="24"/>
          <w:highlight w:val="none"/>
        </w:rPr>
        <w:t xml:space="preserve">和送达</w:t>
      </w:r>
      <w:bookmarkEnd w:id="371"/>
      <w:r/>
      <w:bookmarkEnd w:id="372"/>
      <w:r/>
      <w:bookmarkEnd w:id="373"/>
      <w:r/>
      <w:r/>
    </w:p>
    <w:p>
      <w:pPr>
        <w:ind w:firstLine="480"/>
        <w:spacing w:line="400" w:lineRule="exact"/>
        <w:rPr>
          <w:rFonts w:hint="eastAsia" w:ascii="宋体" w:hAnsi="宋体" w:eastAsia="宋体" w:cs="宋体"/>
          <w:color w:val="000000"/>
          <w:sz w:val="24"/>
          <w:szCs w:val="24"/>
          <w:highlight w:val="none"/>
        </w:rPr>
      </w:pPr>
      <w:r/>
      <w:bookmarkStart w:id="374" w:name="_Toc6698"/>
      <w:r/>
      <w:bookmarkStart w:id="375" w:name="_Toc3135"/>
      <w:r/>
      <w:bookmarkStart w:id="376" w:name="_Toc487900372"/>
      <w:r/>
      <w:bookmarkStart w:id="377" w:name="_Toc279701262"/>
      <w:r/>
      <w:bookmarkStart w:id="378" w:name="_Toc259093691"/>
      <w:r>
        <w:rPr>
          <w:rFonts w:hint="eastAsia" w:ascii="宋体" w:hAnsi="宋体" w:eastAsia="宋体" w:cs="宋体"/>
          <w:color w:val="000000"/>
          <w:sz w:val="24"/>
          <w:szCs w:val="24"/>
          <w:highlight w:val="none"/>
        </w:rPr>
        <w:t xml:space="preserve">2.18.1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bookmarkEnd w:id="374"/>
      <w:r/>
      <w:bookmarkEnd w:id="375"/>
      <w:r/>
      <w:r/>
    </w:p>
    <w:p>
      <w:pPr>
        <w:ind w:firstLine="480"/>
        <w:spacing w:line="400" w:lineRule="exact"/>
        <w:rPr>
          <w:rFonts w:hint="eastAsia" w:ascii="宋体" w:hAnsi="宋体" w:eastAsia="宋体" w:cs="宋体"/>
          <w:color w:val="000000"/>
          <w:sz w:val="24"/>
          <w:szCs w:val="24"/>
          <w:highlight w:val="none"/>
        </w:rPr>
      </w:pPr>
      <w:r/>
      <w:bookmarkStart w:id="379" w:name="_Toc23294"/>
      <w:r/>
      <w:bookmarkStart w:id="380" w:name="_Toc23128"/>
      <w:r>
        <w:rPr>
          <w:rFonts w:hint="eastAsia" w:ascii="宋体" w:hAnsi="宋体" w:eastAsia="宋体" w:cs="宋体"/>
          <w:color w:val="000000"/>
          <w:sz w:val="24"/>
          <w:szCs w:val="24"/>
          <w:highlight w:val="none"/>
        </w:rPr>
        <w:t xml:space="preserve">2.18.2以当面交付方式送达的，交付之时视为送达；以电子邮件方式送达的，发出电子邮件之时视为送达；以传真方式送达的，发出传真之时视为送达；以邮寄方式送达的，邮件挂号寄出或者交邮之日之次日视为送达。</w:t>
      </w:r>
      <w:bookmarkEnd w:id="379"/>
      <w:r/>
      <w:bookmarkEnd w:id="380"/>
      <w:r/>
      <w:r/>
    </w:p>
    <w:p>
      <w:pPr>
        <w:ind w:firstLine="482"/>
        <w:spacing w:line="400" w:lineRule="exact"/>
        <w:rPr>
          <w:rFonts w:hint="eastAsia" w:ascii="宋体" w:hAnsi="宋体" w:eastAsia="宋体" w:cs="宋体"/>
          <w:b/>
          <w:color w:val="000000"/>
          <w:sz w:val="24"/>
          <w:szCs w:val="24"/>
          <w:highlight w:val="none"/>
        </w:rPr>
      </w:pPr>
      <w:r/>
      <w:bookmarkStart w:id="381" w:name="_Toc4355"/>
      <w:r/>
      <w:bookmarkStart w:id="382" w:name="_Toc30599"/>
      <w:r/>
      <w:bookmarkStart w:id="383" w:name="_Toc18540"/>
      <w:r>
        <w:rPr>
          <w:rFonts w:hint="eastAsia" w:ascii="宋体" w:hAnsi="宋体" w:eastAsia="宋体" w:cs="宋体"/>
          <w:b/>
          <w:color w:val="000000"/>
          <w:sz w:val="24"/>
          <w:szCs w:val="24"/>
          <w:highlight w:val="none"/>
        </w:rPr>
        <w:t xml:space="preserve">2.19 计量单位</w:t>
      </w:r>
      <w:bookmarkEnd w:id="376"/>
      <w:r/>
      <w:bookmarkEnd w:id="377"/>
      <w:r/>
      <w:bookmarkEnd w:id="378"/>
      <w:r/>
      <w:bookmarkEnd w:id="381"/>
      <w:r/>
      <w:bookmarkEnd w:id="382"/>
      <w:r/>
      <w:bookmarkEnd w:id="383"/>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除技术规范中另有规定外,合同的计量单位均使用国家法定计量单位。</w:t>
      </w:r>
      <w:r/>
    </w:p>
    <w:p>
      <w:pPr>
        <w:ind w:firstLine="482"/>
        <w:spacing w:line="400" w:lineRule="exact"/>
        <w:rPr>
          <w:rFonts w:hint="eastAsia" w:ascii="宋体" w:hAnsi="宋体" w:eastAsia="宋体" w:cs="宋体"/>
          <w:b/>
          <w:color w:val="000000"/>
          <w:sz w:val="24"/>
          <w:szCs w:val="24"/>
          <w:highlight w:val="none"/>
        </w:rPr>
      </w:pPr>
      <w:r/>
      <w:bookmarkStart w:id="384" w:name="_Toc279701263"/>
      <w:r/>
      <w:bookmarkStart w:id="385" w:name="_Toc259093692"/>
      <w:r/>
      <w:bookmarkStart w:id="386" w:name="_Toc18567"/>
      <w:r/>
      <w:bookmarkStart w:id="387" w:name="_Toc12773"/>
      <w:r/>
      <w:bookmarkStart w:id="388" w:name="_Toc487900373"/>
      <w:r/>
      <w:bookmarkStart w:id="389" w:name="_Toc10330"/>
      <w:r>
        <w:rPr>
          <w:rFonts w:hint="eastAsia" w:ascii="宋体" w:hAnsi="宋体" w:eastAsia="宋体" w:cs="宋体"/>
          <w:b/>
          <w:color w:val="000000"/>
          <w:sz w:val="24"/>
          <w:szCs w:val="24"/>
          <w:highlight w:val="none"/>
        </w:rPr>
        <w:t xml:space="preserve">2.20 合同使用的文字和适用的法律</w:t>
      </w:r>
      <w:bookmarkEnd w:id="384"/>
      <w:r/>
      <w:bookmarkEnd w:id="385"/>
      <w:r/>
      <w:bookmarkEnd w:id="386"/>
      <w:r/>
      <w:bookmarkEnd w:id="387"/>
      <w:r/>
      <w:bookmarkEnd w:id="388"/>
      <w:r/>
      <w:bookmarkEnd w:id="389"/>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2.20.1 合同使用汉语书就、变更和解释；</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2.20.2 合同适用中华人民共和国法律。</w:t>
      </w:r>
      <w:r/>
    </w:p>
    <w:p>
      <w:pPr>
        <w:ind w:firstLine="482"/>
        <w:spacing w:line="400" w:lineRule="exact"/>
        <w:rPr>
          <w:rFonts w:hint="eastAsia" w:ascii="宋体" w:hAnsi="宋体" w:eastAsia="宋体" w:cs="宋体"/>
          <w:b/>
          <w:color w:val="000000"/>
          <w:sz w:val="24"/>
          <w:szCs w:val="24"/>
          <w:highlight w:val="none"/>
        </w:rPr>
      </w:pPr>
      <w:r/>
      <w:bookmarkStart w:id="390" w:name="_Toc16673"/>
      <w:r/>
      <w:bookmarkStart w:id="391" w:name="_Toc279701264"/>
      <w:r/>
      <w:bookmarkStart w:id="392" w:name="_Toc3148"/>
      <w:r/>
      <w:bookmarkStart w:id="393" w:name="_Toc259093693"/>
      <w:r/>
      <w:bookmarkStart w:id="394" w:name="_Toc12004"/>
      <w:r/>
      <w:bookmarkStart w:id="395" w:name="_Toc487900374"/>
      <w:r>
        <w:rPr>
          <w:rFonts w:hint="eastAsia" w:ascii="宋体" w:hAnsi="宋体" w:eastAsia="宋体" w:cs="宋体"/>
          <w:b/>
          <w:color w:val="000000"/>
          <w:sz w:val="24"/>
          <w:szCs w:val="24"/>
          <w:highlight w:val="none"/>
        </w:rPr>
        <w:t xml:space="preserve">2.21 履约保证金</w:t>
      </w:r>
      <w:bookmarkEnd w:id="390"/>
      <w:r/>
      <w:bookmarkEnd w:id="391"/>
      <w:r/>
      <w:bookmarkEnd w:id="392"/>
      <w:r/>
      <w:bookmarkEnd w:id="393"/>
      <w:r/>
      <w:bookmarkEnd w:id="394"/>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2.21.1 招标文件要求乙方提交履约保证金的，乙方应按</w:t>
      </w:r>
      <w:r>
        <w:rPr>
          <w:rFonts w:hint="eastAsia" w:ascii="宋体" w:hAnsi="宋体" w:eastAsia="宋体" w:cs="宋体"/>
          <w:b/>
          <w:color w:val="000000"/>
          <w:sz w:val="24"/>
          <w:szCs w:val="24"/>
          <w:highlight w:val="none"/>
          <w:u w:val="single"/>
        </w:rPr>
        <w:t xml:space="preserve">合同专用条款</w:t>
      </w:r>
      <w:r>
        <w:rPr>
          <w:rFonts w:hint="eastAsia" w:ascii="宋体" w:hAnsi="宋体" w:eastAsia="宋体" w:cs="宋体"/>
          <w:color w:val="000000"/>
          <w:sz w:val="24"/>
          <w:szCs w:val="24"/>
          <w:highlight w:val="none"/>
        </w:rPr>
        <w:t xml:space="preserve">约定的方式，以支票、汇票、本票或者金融机构、担保机构出具的保函等非现金形式提交履约保证金。</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2.21.2 履约保证金在</w:t>
      </w:r>
      <w:r>
        <w:rPr>
          <w:rFonts w:hint="eastAsia" w:ascii="宋体" w:hAnsi="宋体" w:eastAsia="宋体" w:cs="宋体"/>
          <w:b/>
          <w:color w:val="000000"/>
          <w:sz w:val="24"/>
          <w:szCs w:val="24"/>
          <w:highlight w:val="none"/>
          <w:u w:val="single"/>
        </w:rPr>
        <w:t xml:space="preserve">合同专用条款</w:t>
      </w:r>
      <w:r>
        <w:rPr>
          <w:rFonts w:hint="eastAsia" w:ascii="宋体" w:hAnsi="宋体" w:eastAsia="宋体" w:cs="宋体"/>
          <w:color w:val="000000"/>
          <w:sz w:val="24"/>
          <w:szCs w:val="24"/>
          <w:highlight w:val="none"/>
        </w:rPr>
        <w:t xml:space="preserve">约定期间内或者项目验收合格前不予退还或者应完全有效，前述约定期间届满或者项目验收合格后，甲方应将履约保证金退还乙方。</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2.21.3 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395"/>
      <w:r/>
      <w:r/>
    </w:p>
    <w:p>
      <w:pPr>
        <w:ind w:firstLine="482"/>
        <w:spacing w:line="400" w:lineRule="exact"/>
        <w:rPr>
          <w:rFonts w:hint="eastAsia" w:ascii="宋体" w:hAnsi="宋体" w:eastAsia="宋体" w:cs="宋体"/>
          <w:b/>
          <w:color w:val="000000"/>
          <w:sz w:val="24"/>
          <w:szCs w:val="24"/>
          <w:highlight w:val="none"/>
        </w:rPr>
      </w:pPr>
      <w:r/>
      <w:bookmarkStart w:id="396" w:name="_Toc6885"/>
      <w:r/>
      <w:bookmarkStart w:id="397" w:name="_Toc14001"/>
      <w:r/>
      <w:bookmarkStart w:id="398" w:name="_Toc19890"/>
      <w:r>
        <w:rPr>
          <w:rFonts w:hint="eastAsia" w:ascii="宋体" w:hAnsi="宋体" w:eastAsia="宋体" w:cs="宋体"/>
          <w:b/>
          <w:color w:val="000000"/>
          <w:sz w:val="24"/>
          <w:szCs w:val="24"/>
          <w:highlight w:val="none"/>
        </w:rPr>
        <w:t xml:space="preserve">2.22 合同份数</w:t>
      </w:r>
      <w:bookmarkEnd w:id="396"/>
      <w:r/>
      <w:bookmarkEnd w:id="397"/>
      <w:r/>
      <w:bookmarkEnd w:id="398"/>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合同份数按</w:t>
      </w:r>
      <w:r>
        <w:rPr>
          <w:rFonts w:hint="eastAsia" w:ascii="宋体" w:hAnsi="宋体" w:eastAsia="宋体" w:cs="宋体"/>
          <w:b/>
          <w:color w:val="000000"/>
          <w:sz w:val="24"/>
          <w:szCs w:val="24"/>
          <w:highlight w:val="none"/>
          <w:u w:val="single"/>
        </w:rPr>
        <w:t xml:space="preserve">合同专用条款</w:t>
      </w:r>
      <w:r>
        <w:rPr>
          <w:rFonts w:hint="eastAsia" w:ascii="宋体" w:hAnsi="宋体" w:eastAsia="宋体" w:cs="宋体"/>
          <w:color w:val="000000"/>
          <w:sz w:val="24"/>
          <w:szCs w:val="24"/>
          <w:highlight w:val="none"/>
        </w:rPr>
        <w:t xml:space="preserve">规定，每份均具有同等法律效力。</w:t>
      </w:r>
      <w:r/>
    </w:p>
    <w:p>
      <w:pPr>
        <w:pStyle w:val="1271"/>
        <w:ind w:firstLine="480"/>
        <w:jc w:val="center"/>
        <w:spacing w:line="400" w:lineRule="exact"/>
        <w:rPr>
          <w:rFonts w:hint="eastAsia" w:ascii="宋体" w:hAnsi="宋体" w:eastAsia="宋体" w:cs="宋体"/>
          <w:b/>
          <w:color w:val="000000"/>
          <w:highlight w:val="none"/>
        </w:rPr>
      </w:pPr>
      <w:r>
        <w:rPr>
          <w:rFonts w:hint="eastAsia" w:ascii="宋体" w:hAnsi="宋体" w:eastAsia="宋体" w:cs="宋体"/>
          <w:color w:val="000000"/>
          <w:highlight w:val="none"/>
        </w:rPr>
        <w:br w:type="page" w:clear="all"/>
      </w:r>
      <w:bookmarkStart w:id="399" w:name="_Toc331685784"/>
      <w:r>
        <w:rPr>
          <w:rFonts w:hint="eastAsia" w:ascii="宋体" w:hAnsi="宋体" w:eastAsia="宋体" w:cs="宋体"/>
          <w:b/>
          <w:color w:val="000000"/>
          <w:highlight w:val="none"/>
        </w:rPr>
        <w:t xml:space="preserve">第三部分  合同专用条款</w:t>
      </w:r>
      <w:bookmarkEnd w:id="399"/>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839"/>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748"/>
        <w:gridCol w:w="8378"/>
      </w:tblGrid>
      <w:tr>
        <w:trPr>
          <w:jc w:val="center"/>
          <w:trHeight w:val="283"/>
        </w:trPr>
        <w:tc>
          <w:tcPr>
            <w:tcW w:w="410" w:type="dxa"/>
            <w:vAlign w:val="center"/>
            <w:textDirection w:val="lrTb"/>
            <w:noWrap w:val="false"/>
          </w:tcPr>
          <w:p>
            <w:pPr>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条款号</w:t>
            </w:r>
            <w:r/>
          </w:p>
        </w:tc>
        <w:tc>
          <w:tcPr>
            <w:tcW w:w="4589" w:type="dxa"/>
            <w:vAlign w:val="center"/>
            <w:textDirection w:val="lrTb"/>
            <w:noWrap w:val="false"/>
          </w:tcPr>
          <w:p>
            <w:pPr>
              <w:ind w:firstLine="482"/>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约定内容</w:t>
            </w:r>
            <w:r/>
          </w:p>
        </w:tc>
      </w:tr>
      <w:tr>
        <w:trPr>
          <w:jc w:val="center"/>
          <w:trHeight w:val="283"/>
        </w:trPr>
        <w:tc>
          <w:tcPr>
            <w:tcW w:w="410"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589" w:type="dxa"/>
            <w:vAlign w:val="center"/>
            <w:textDirection w:val="lrTb"/>
            <w:noWrap w:val="false"/>
          </w:tcPr>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83"/>
        </w:trPr>
        <w:tc>
          <w:tcPr>
            <w:tcW w:w="410" w:type="dxa"/>
            <w:vAlign w:val="center"/>
            <w:textDirection w:val="lrTb"/>
            <w:noWrap w:val="false"/>
          </w:tcPr>
          <w:p>
            <w:pPr>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4589" w:type="dxa"/>
            <w:vAlign w:val="center"/>
            <w:textDirection w:val="lrTb"/>
            <w:noWrap w:val="false"/>
          </w:tcPr>
          <w:p>
            <w:pP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jc w:val="center"/>
          <w:trHeight w:val="283"/>
        </w:trPr>
        <w:tc>
          <w:tcPr>
            <w:tcW w:w="410"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589" w:type="dxa"/>
            <w:vAlign w:val="center"/>
            <w:textDirection w:val="lrTb"/>
            <w:noWrap w:val="false"/>
          </w:tcPr>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b/>
          <w:bCs/>
          <w:color w:val="000000"/>
          <w:sz w:val="28"/>
          <w:szCs w:val="28"/>
          <w:highlight w:val="none"/>
        </w:rPr>
      </w:pPr>
      <w:r>
        <w:rPr>
          <w:rFonts w:hint="eastAsia" w:ascii="宋体" w:hAnsi="宋体" w:eastAsia="宋体" w:cs="宋体"/>
          <w:b/>
          <w:bCs/>
          <w:color w:val="000000"/>
          <w:sz w:val="24"/>
          <w:highlight w:val="none"/>
        </w:rPr>
        <w:t xml:space="preserve">注：上述格式及内容仅供参考，具体以甲方签订合同时内容为准。</w:t>
      </w:r>
      <w:r/>
    </w:p>
    <w:p>
      <w:pPr>
        <w:spacing w:line="360" w:lineRule="auto"/>
        <w:tabs>
          <w:tab w:val="left" w:pos="900" w:leader="none"/>
          <w:tab w:val="left" w:pos="1080" w:leader="none"/>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jc w:val="left"/>
        <w:keepLines w:val="0"/>
        <w:keepNext w:val="0"/>
        <w:pageBreakBefore w:val="0"/>
        <w:spacing w:line="360" w:lineRule="auto"/>
        <w:widowControl w:val="off"/>
        <w:rPr>
          <w:rFonts w:hint="eastAsia" w:ascii="宋体" w:hAnsi="宋体" w:eastAsia="宋体" w:cs="宋体"/>
          <w:b/>
          <w:color w:val="000000"/>
          <w:sz w:val="24"/>
          <w:highlight w:val="none"/>
        </w:rPr>
        <w:outlineLvl w:val="9"/>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24"/>
          <w:highlight w:val="none"/>
        </w:rPr>
        <w:t xml:space="preserve">附件</w:t>
      </w:r>
      <w:r>
        <w:rPr>
          <w:rFonts w:hint="eastAsia" w:ascii="宋体" w:hAnsi="宋体" w:eastAsia="宋体" w:cs="宋体"/>
          <w:b/>
          <w:color w:val="000000"/>
          <w:sz w:val="24"/>
          <w:highlight w:val="none"/>
          <w:lang w:val="en-US" w:eastAsia="zh-CN"/>
        </w:rPr>
        <w:t xml:space="preserve">1</w:t>
      </w:r>
      <w:r>
        <w:rPr>
          <w:rFonts w:hint="eastAsia" w:ascii="宋体" w:hAnsi="宋体" w:eastAsia="宋体" w:cs="宋体"/>
          <w:b/>
          <w:color w:val="000000"/>
          <w:sz w:val="24"/>
          <w:highlight w:val="none"/>
        </w:rPr>
        <w:t xml:space="preserve">：</w:t>
      </w:r>
      <w:r/>
    </w:p>
    <w:p>
      <w:pPr>
        <w:jc w:val="center"/>
        <w:keepLines/>
        <w:keepNext/>
        <w:pageBreakBefore w:val="0"/>
        <w:spacing w:before="340" w:after="330"/>
        <w:widowControl/>
        <w:tabs>
          <w:tab w:val="center" w:pos="4153" w:leader="none"/>
        </w:tabs>
        <w:rPr>
          <w:rFonts w:hint="eastAsia" w:ascii="宋体" w:hAnsi="宋体" w:eastAsia="宋体" w:cs="宋体"/>
          <w:b/>
          <w:color w:val="000000"/>
          <w:sz w:val="28"/>
          <w:szCs w:val="28"/>
          <w:highlight w:val="none"/>
        </w:rPr>
        <w:outlineLvl w:val="9"/>
      </w:pPr>
      <w:r>
        <w:rPr>
          <w:rFonts w:hint="eastAsia" w:ascii="宋体" w:hAnsi="宋体" w:eastAsia="宋体" w:cs="宋体"/>
          <w:b/>
          <w:color w:val="000000"/>
          <w:sz w:val="28"/>
          <w:szCs w:val="28"/>
          <w:highlight w:val="none"/>
        </w:rPr>
        <w:t xml:space="preserve">安全文明施工责任书</w:t>
      </w:r>
      <w:r/>
    </w:p>
    <w:p>
      <w:p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w:t>
      </w:r>
      <w:r/>
    </w:p>
    <w:p>
      <w:pPr>
        <w:jc w:val="left"/>
        <w:spacing w:line="360" w:lineRule="auto"/>
        <w:widowControl/>
        <w:rPr>
          <w:rFonts w:hint="eastAsia" w:ascii="宋体" w:hAnsi="宋体" w:eastAsia="宋体" w:cs="宋体"/>
          <w:bCs/>
          <w:color w:val="000000"/>
          <w:sz w:val="24"/>
          <w:highlight w:val="none"/>
          <w:u w:val="single"/>
          <w:lang w:val="en-US" w:eastAsia="zh-CN"/>
        </w:rPr>
      </w:pPr>
      <w:r>
        <w:rPr>
          <w:rFonts w:hint="eastAsia" w:ascii="宋体" w:hAnsi="宋体" w:eastAsia="宋体" w:cs="宋体"/>
          <w:color w:val="000000"/>
          <w:sz w:val="24"/>
          <w:highlight w:val="none"/>
        </w:rPr>
        <w:t xml:space="preserve">承包人：</w:t>
      </w:r>
      <w:r>
        <w:rPr>
          <w:rFonts w:hint="eastAsia" w:ascii="宋体" w:hAnsi="宋体" w:eastAsia="宋体" w:cs="宋体"/>
          <w:bCs/>
          <w:color w:val="000000"/>
          <w:sz w:val="24"/>
          <w:highlight w:val="none"/>
          <w:u w:val="single"/>
          <w:lang w:val="en-US" w:eastAsia="zh-CN"/>
        </w:rPr>
        <w:t xml:space="preserve">                             </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  安全文明施工目的</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为维护甲乙双方的共同利益，保证乙方承接的</w:t>
      </w:r>
      <w:r>
        <w:rPr>
          <w:rFonts w:hint="eastAsia" w:ascii="宋体" w:hAnsi="宋体" w:eastAsia="宋体" w:cs="宋体"/>
          <w:color w:val="000000"/>
          <w:sz w:val="24"/>
          <w:highlight w:val="none"/>
          <w:u w:val="single"/>
          <w:lang w:eastAsia="zh-CN"/>
        </w:rPr>
        <w:t xml:space="preserve">常州市新北区龙虎塘中学改扩建项目实验室及专用教室设备采购</w:t>
      </w:r>
      <w:r>
        <w:rPr>
          <w:rFonts w:hint="eastAsia" w:ascii="宋体" w:hAnsi="宋体" w:eastAsia="宋体" w:cs="宋体"/>
          <w:color w:val="000000"/>
          <w:sz w:val="24"/>
          <w:highlight w:val="none"/>
        </w:rPr>
        <w:t xml:space="preserve">（工程名称）施工质量和安全，保持良好的工作秩序，保护施工人员的安全，经甲乙双方平等协商，签定本施工安全生产责任书。</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  安全文明施工内容：</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进场后应熟悉并能自觉遵守、执行建设部《建筑施工安全检查标准》以及相关的各项规范；自觉遵守当地政府有关安全施工的各项规定和行业主管部门颁布实施的有关安全生产的法律、法规、规范、标准及各项规定，并且积极参加各种有关促进安全生产的各项活动，切实保障施工工作人员的安全与健康。</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2、乙方应强化本施工队伍的安全生产教育，严格按操作规程施工，不乱搭乱拉电路管线，不私自安装电源插座，不强行、违章施工，严格杜绝火灾等其他安全事故的发生。否则由乙方承担由此产生之全部责任。</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3、进场施工前，乙方应对其所有工作人员进行三级安全教育，经考试合格后方可上岗，所有人员持证上岗；乙方必须执行安全技术交底制度、班前安全讲话制度，并做好跟踪检查管理工作。</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4、乙方施工队负责人或临时班、组长是施工队伍的第一安全责任者，对施工过程中的安全负全责。同时乙方必须明确安全生产责任制，指定现场安全员制定可靠的安全措施及技术措施。</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乙方应在指定工作范围和双方约定的时间内进行工作。乙方应服从甲方的管理，不得违章作业和违反本协议的有关规定，如乙方有违章行为或违反甲方的管理规定甲方有权停止乙方的工作，造成一定后果的乙方应负全部责任。</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乙方应在施工区域设置明显标志，配备所需交通安全标志牌、安全围挡、指示牌和指示灯等交通安全设施，对于时间较长的集中性施工项目应设围挡做封闭处理，围挡上挂设照明灯，引导夜间车辆行人出行；施工人员应在施工区域内活动，不得随意进入非施工区域，并且必须符合我市有关道路施工操作规程及相关法律规定，以确保安全、文明施工，否则由此造成之一切后果均由乙方自行负责，相关费用由乙方白承担。</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7、施工过程中甲方实行公司、项目部、随时进行检查，有权制止违章作业，责令施工队伍停工整顿。甲方有权有权对违反安全规定的行为进行处罚或</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8、乙方必须在施工过程中应遵守下列规定：</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设立现场工作负责人和安全监督员，对现场施工安全进行全过程监督，对工作地点的临近带电部位，要设有专人监护。</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施工人员进入施工现场必须佩带施工证，工人必须佩带安全帽，确使用合格的安全防护用具，防止发生物体打击，高空物体坠落事故，统一着装，做到文明、安全施工、工完场清，特种作业人员还必须携带特种作业操作证。</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施工机器进出场或在场内作业应遵守相关规定，注意安全；施工人员场内作业或场外活动应注意交通安全；车辆进场应降低车速；需要断路施工时，应设隔离措施，并须有专人引导，施工用料和工器具应按规定地点摆放整齐，不得随意乱堆乱放。</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施工过程中如需变压器高低压过线穿越作业，应由施工单位向甲方有关单位、部门提出申请，并向供电部门办理停电手续，施工前必须按操作规程对高低压线路进行安全验电和对变压器设备做接地处理后，方可施工；施工结束后，必须撤除接地装置。</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  使用临时电源时，必须配置合格的漏电保护装置，应经常检查漏电保护装置的可靠性。</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  使用电动工具前，必须认真检查其是否完好，有无漏电，禁止使用不合格的工器具。</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  电气焊作业人员应持证上岗，应具备一定水平的电气焊作业的安全知识和技能。</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  搬运梯子和长物时，必须放倒搬运，防止触碰带电设备。</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  在进行通信管道施工过程中，应主动认真了解施工区域其他管线的现状，谨慎、细心施工，防止开挖时损坏其他管线单位原有管道及线路，若造成一切安全事故及经济责任由乙方自行负责。</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 进入旧有管线检查井工作时，应注意通风防止缺氧及有毒气体对人员造成影响或事故。在电缆通道内使用手持电动工具应有防工具受潮造成漏电的措施，须做好消防措施。</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乙方应认真学习和贯彻国家颁布的《卫生防疫法》，做好预防非典、 防禽流感等传染病，保证饮食卫生，防止食物中毒。</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  乙方在雨季应做好防汛工作，夏季应做好防暑降温，冬季采取冬施措施，保证生产人员健康安全，保证工程质量。</w:t>
      </w:r>
      <w:r/>
    </w:p>
    <w:p>
      <w:pPr>
        <w:numPr>
          <w:ilvl w:val="0"/>
          <w:numId w:val="11"/>
        </w:num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乙方每个施工人员必须购买意外伤害保险，并出具证明。对于高危职业工种还应购买人身意外保险。</w:t>
      </w:r>
      <w:r/>
    </w:p>
    <w:p>
      <w:pPr>
        <w:numPr>
          <w:ilvl w:val="0"/>
          <w:numId w:val="11"/>
        </w:num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其它额外事宜由甲乙双方协商解决。</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三、乙方应按有关规定，采取严格的安全防护措施，否则由于自身安全措施不力而造成事故的责任由乙方自行承担。本责任书一式捌份，发包人</w:t>
      </w:r>
      <w:r>
        <w:rPr>
          <w:rFonts w:hint="eastAsia" w:ascii="宋体" w:hAnsi="宋体" w:eastAsia="宋体" w:cs="宋体"/>
          <w:color w:val="000000"/>
          <w:sz w:val="24"/>
          <w:highlight w:val="none"/>
          <w:lang w:val="en-US" w:eastAsia="zh-CN"/>
        </w:rPr>
        <w:t xml:space="preserve">执伍份，</w:t>
      </w:r>
      <w:r>
        <w:rPr>
          <w:rFonts w:hint="eastAsia" w:ascii="宋体" w:hAnsi="宋体" w:eastAsia="宋体" w:cs="宋体"/>
          <w:color w:val="000000"/>
          <w:sz w:val="24"/>
          <w:highlight w:val="none"/>
        </w:rPr>
        <w:t xml:space="preserve">承包人执</w:t>
      </w:r>
      <w:r>
        <w:rPr>
          <w:rFonts w:hint="eastAsia" w:ascii="宋体" w:hAnsi="宋体" w:eastAsia="宋体" w:cs="宋体"/>
          <w:color w:val="000000"/>
          <w:sz w:val="24"/>
          <w:highlight w:val="none"/>
          <w:lang w:val="en-US" w:eastAsia="zh-CN"/>
        </w:rPr>
        <w:t xml:space="preserve">贰</w:t>
      </w:r>
      <w:r>
        <w:rPr>
          <w:rFonts w:hint="eastAsia" w:ascii="宋体" w:hAnsi="宋体" w:eastAsia="宋体" w:cs="宋体"/>
          <w:color w:val="000000"/>
          <w:sz w:val="24"/>
          <w:highlight w:val="none"/>
        </w:rPr>
        <w:t xml:space="preserve">份，</w:t>
      </w:r>
      <w:r>
        <w:rPr>
          <w:rFonts w:hint="eastAsia" w:ascii="宋体" w:hAnsi="宋体" w:eastAsia="宋体" w:cs="宋体"/>
          <w:color w:val="000000"/>
          <w:sz w:val="24"/>
          <w:highlight w:val="none"/>
          <w:lang w:val="en-US" w:eastAsia="zh-CN"/>
        </w:rPr>
        <w:t xml:space="preserve">代理单位执壹份，</w:t>
      </w:r>
      <w:r>
        <w:rPr>
          <w:rFonts w:hint="eastAsia" w:ascii="宋体" w:hAnsi="宋体" w:eastAsia="宋体" w:cs="宋体"/>
          <w:color w:val="000000"/>
          <w:sz w:val="24"/>
          <w:highlight w:val="none"/>
        </w:rPr>
        <w:t xml:space="preserve">具有同等效力。</w:t>
      </w:r>
      <w:r/>
    </w:p>
    <w:p>
      <w:pPr>
        <w:ind w:left="5520" w:hanging="5520"/>
        <w:jc w:val="left"/>
        <w:spacing w:line="360" w:lineRule="auto"/>
        <w:widowControl/>
        <w:tabs>
          <w:tab w:val="left" w:pos="50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5520" w:hanging="5520"/>
        <w:jc w:val="left"/>
        <w:spacing w:line="360" w:lineRule="auto"/>
        <w:widowControl/>
        <w:tabs>
          <w:tab w:val="left" w:pos="50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5520" w:hanging="5520"/>
        <w:jc w:val="left"/>
        <w:spacing w:line="360" w:lineRule="auto"/>
        <w:widowControl/>
        <w:tabs>
          <w:tab w:val="left" w:pos="50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甲方单位（盖章）：                      乙方单位（盖章）：</w:t>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法定代表人或授权委托人：                法定代表人或授权委托人：：</w:t>
      </w:r>
      <w:r/>
    </w:p>
    <w:p>
      <w:pPr>
        <w:jc w:val="both"/>
        <w:spacing w:line="360" w:lineRule="auto"/>
        <w:rPr>
          <w:rFonts w:hint="eastAsia" w:ascii="宋体" w:hAnsi="宋体" w:eastAsia="宋体" w:cs="宋体"/>
          <w:b/>
          <w:bCs/>
          <w:color w:val="000000"/>
          <w:sz w:val="32"/>
          <w:szCs w:val="32"/>
          <w:highlight w:val="none"/>
        </w:rPr>
      </w:pPr>
      <w:r>
        <w:rPr>
          <w:rFonts w:hint="eastAsia" w:ascii="宋体" w:hAnsi="宋体" w:eastAsia="宋体" w:cs="宋体"/>
          <w:color w:val="000000"/>
          <w:sz w:val="24"/>
          <w:szCs w:val="24"/>
          <w:highlight w:val="none"/>
        </w:rPr>
        <w:t xml:space="preserve">日  期：                                日  期：</w:t>
      </w:r>
      <w:r/>
    </w:p>
    <w:p>
      <w:pPr>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12"/>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br w:type="page" w:clear="all"/>
      </w:r>
      <w:r/>
    </w:p>
    <w:p>
      <w:pPr>
        <w:jc w:val="left"/>
        <w:keepLines w:val="0"/>
        <w:keepNext w:val="0"/>
        <w:pageBreakBefore w:val="0"/>
        <w:spacing w:line="360" w:lineRule="auto"/>
        <w:widowControl w:val="off"/>
        <w:rPr>
          <w:rFonts w:hint="eastAsia" w:ascii="宋体" w:hAnsi="宋体" w:eastAsia="宋体" w:cs="宋体"/>
          <w:b/>
          <w:color w:val="000000"/>
          <w:sz w:val="24"/>
          <w:highlight w:val="none"/>
          <w:lang w:eastAsia="zh-CN"/>
        </w:rPr>
        <w:outlineLvl w:val="9"/>
      </w:pPr>
      <w:r>
        <w:rPr>
          <w:rFonts w:hint="eastAsia" w:ascii="宋体" w:hAnsi="宋体" w:eastAsia="宋体" w:cs="宋体"/>
          <w:b/>
          <w:color w:val="000000"/>
          <w:sz w:val="24"/>
          <w:highlight w:val="none"/>
        </w:rPr>
        <w:t xml:space="preserve">附件</w:t>
      </w:r>
      <w:r>
        <w:rPr>
          <w:rFonts w:hint="eastAsia" w:ascii="宋体" w:hAnsi="宋体" w:eastAsia="宋体" w:cs="宋体"/>
          <w:b/>
          <w:color w:val="000000"/>
          <w:sz w:val="24"/>
          <w:highlight w:val="none"/>
          <w:lang w:val="en-US" w:eastAsia="zh-CN"/>
        </w:rPr>
        <w:t xml:space="preserve">2</w:t>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廉政责任书</w:t>
      </w:r>
      <w:r/>
    </w:p>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为进一步加强政府采购项目的廉政建设，甲方（</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）、乙方（</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）特订立如下协议。</w:t>
      </w:r>
      <w:r/>
    </w:p>
    <w:p>
      <w:pPr>
        <w:ind w:firstLine="482"/>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一、甲、乙双方的权利和义务</w:t>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甲、乙双方应严格遵守党的政策规定和国家有关法律法规。</w:t>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甲、乙双方应严格执行项目的合同文件，自觉按合同办事。</w:t>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甲、乙双方的业务活动应坚持公开、公平、公正、诚信、透明的原则。</w:t>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甲、乙双方不得以任何理由向对方工作人员行贿或馈赠礼金、有价证券、贵重礼品。不得在对方报销任何应由个人支付的费用。</w:t>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 甲乙双方不得以任何理由违反廉洁自律的有关规定。</w:t>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 甲乙双方发现对方严重违反本协议条款的行为，有及时提醒对方、向其上级有关部门举报、建议给予处理并要求告知处理结果的权利。</w:t>
      </w:r>
      <w:r/>
    </w:p>
    <w:p>
      <w:pPr>
        <w:ind w:firstLine="482"/>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二、违约责任</w:t>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甲、乙双方及其工作人员违反本协议有关规定的，按管理权限，依据有关规定给予经济处罚或追究党纪政纪责任；涉嫌犯罪的，移交司法机关追究刑事责任；给双方单位造成经济损失的，应予以赔偿。</w:t>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2．本协议一式</w:t>
      </w:r>
      <w:r>
        <w:rPr>
          <w:rFonts w:hint="eastAsia" w:ascii="宋体" w:hAnsi="宋体" w:eastAsia="宋体" w:cs="宋体"/>
          <w:color w:val="000000"/>
          <w:sz w:val="24"/>
          <w:highlight w:val="none"/>
          <w:lang w:val="en-US" w:eastAsia="zh-CN"/>
        </w:rPr>
        <w:t xml:space="preserve">捌</w:t>
      </w:r>
      <w:r>
        <w:rPr>
          <w:rFonts w:hint="eastAsia" w:ascii="宋体" w:hAnsi="宋体" w:eastAsia="宋体" w:cs="宋体"/>
          <w:color w:val="000000"/>
          <w:sz w:val="24"/>
          <w:highlight w:val="none"/>
        </w:rPr>
        <w:t xml:space="preserve">份，均具有同等法律效力，甲方执</w:t>
      </w:r>
      <w:r>
        <w:rPr>
          <w:rFonts w:hint="eastAsia" w:ascii="宋体" w:hAnsi="宋体" w:eastAsia="宋体" w:cs="宋体"/>
          <w:color w:val="000000"/>
          <w:sz w:val="24"/>
          <w:highlight w:val="none"/>
          <w:lang w:val="en-US" w:eastAsia="zh-CN"/>
        </w:rPr>
        <w:t xml:space="preserve">伍</w:t>
      </w:r>
      <w:r>
        <w:rPr>
          <w:rFonts w:hint="eastAsia" w:ascii="宋体" w:hAnsi="宋体" w:eastAsia="宋体" w:cs="宋体"/>
          <w:color w:val="000000"/>
          <w:sz w:val="24"/>
          <w:highlight w:val="none"/>
        </w:rPr>
        <w:t xml:space="preserve">份，乙方执贰份，代理机构壹份。</w:t>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甲方单位（盖章）：                      乙方单位（盖章）：</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法定代表人或授权委托人：                法定代表人或授权委托人：：</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                                日  期：</w:t>
      </w:r>
      <w:r/>
    </w:p>
    <w:p>
      <w:pPr>
        <w:pStyle w:val="1039"/>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center"/>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36"/>
          <w:szCs w:val="36"/>
          <w:highlight w:val="none"/>
        </w:rPr>
        <w:br w:type="page" w:clear="all"/>
      </w:r>
      <w:bookmarkEnd w:id="240"/>
      <w:r>
        <w:rPr>
          <w:rFonts w:hint="eastAsia" w:ascii="宋体" w:hAnsi="宋体" w:eastAsia="宋体" w:cs="宋体"/>
          <w:b/>
          <w:color w:val="000000"/>
          <w:sz w:val="36"/>
          <w:szCs w:val="36"/>
          <w:highlight w:val="none"/>
        </w:rPr>
        <w:t xml:space="preserve">第七章   投标文件格式</w:t>
      </w:r>
      <w:r/>
    </w:p>
    <w:p>
      <w:pPr>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投标人编制文件须知</w:t>
      </w:r>
      <w:r/>
    </w:p>
    <w:p>
      <w:pPr>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4、实行电子化不见面交易方式的，加盖公章、签名等均通过投标文件编制工具加盖电子公章、</w:t>
      </w:r>
      <w:r>
        <w:rPr>
          <w:rFonts w:hint="eastAsia" w:ascii="宋体" w:hAnsi="宋体" w:eastAsia="宋体" w:cs="宋体"/>
          <w:color w:val="000000"/>
          <w:sz w:val="24"/>
          <w:szCs w:val="20"/>
          <w:highlight w:val="none"/>
        </w:rPr>
        <w:t xml:space="preserve">签字、签章或印鉴</w:t>
      </w:r>
      <w:r>
        <w:rPr>
          <w:rFonts w:hint="eastAsia" w:ascii="宋体" w:hAnsi="宋体" w:eastAsia="宋体" w:cs="宋体"/>
          <w:color w:val="000000"/>
          <w:sz w:val="24"/>
          <w:highlight w:val="none"/>
        </w:rPr>
        <w:t xml:space="preserve">。</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
    </w:p>
    <w:p>
      <w:pPr>
        <w:jc w:val="left"/>
        <w:keepLines/>
        <w:keepNext/>
        <w:spacing w:before="120" w:line="300" w:lineRule="auto"/>
        <w:rPr>
          <w:rFonts w:hint="eastAsia" w:ascii="宋体" w:hAnsi="宋体" w:eastAsia="宋体" w:cs="宋体"/>
          <w:b/>
          <w:color w:val="000000"/>
          <w:sz w:val="30"/>
          <w:szCs w:val="20"/>
          <w:highlight w:val="none"/>
        </w:rPr>
        <w:outlineLvl w:val="1"/>
      </w:pPr>
      <w:r>
        <w:rPr>
          <w:rFonts w:hint="eastAsia" w:ascii="宋体" w:hAnsi="宋体" w:eastAsia="宋体" w:cs="宋体"/>
          <w:b/>
          <w:color w:val="000000"/>
          <w:spacing w:val="20"/>
          <w:sz w:val="24"/>
          <w:highlight w:val="none"/>
        </w:rPr>
        <w:t xml:space="preserve">一、资格证明文件格式</w:t>
      </w:r>
      <w:r/>
    </w:p>
    <w:p>
      <w:pPr>
        <w:rPr>
          <w:rFonts w:hint="eastAsia" w:ascii="宋体" w:hAnsi="宋体" w:eastAsia="宋体" w:cs="宋体"/>
          <w:b/>
          <w:color w:val="000000"/>
          <w:spacing w:val="20"/>
          <w:szCs w:val="21"/>
          <w:highlight w:val="none"/>
        </w:rPr>
      </w:pPr>
      <w:r>
        <w:rPr>
          <w:rFonts w:hint="eastAsia" w:ascii="宋体" w:hAnsi="宋体" w:eastAsia="宋体" w:cs="宋体"/>
          <w:b/>
          <w:color w:val="000000"/>
          <w:spacing w:val="20"/>
          <w:szCs w:val="21"/>
          <w:highlight w:val="none"/>
        </w:rPr>
      </w:r>
      <w:r/>
    </w:p>
    <w:p>
      <w:pPr>
        <w:rPr>
          <w:rFonts w:hint="eastAsia" w:ascii="宋体" w:hAnsi="宋体" w:eastAsia="宋体" w:cs="宋体"/>
          <w:b/>
          <w:color w:val="000000"/>
          <w:sz w:val="24"/>
          <w:highlight w:val="none"/>
        </w:rPr>
      </w:pPr>
      <w:r>
        <w:rPr>
          <w:rFonts w:hint="eastAsia" w:ascii="宋体" w:hAnsi="宋体" w:eastAsia="宋体" w:cs="宋体"/>
          <w:b/>
          <w:color w:val="000000"/>
          <w:spacing w:val="20"/>
          <w:sz w:val="24"/>
          <w:highlight w:val="none"/>
        </w:rPr>
        <w:t xml:space="preserve">投标文件</w:t>
      </w:r>
      <w:r>
        <w:rPr>
          <w:rFonts w:hint="eastAsia" w:ascii="宋体" w:hAnsi="宋体" w:eastAsia="宋体" w:cs="宋体"/>
          <w:b/>
          <w:color w:val="000000"/>
          <w:sz w:val="24"/>
          <w:highlight w:val="none"/>
        </w:rPr>
        <w:t xml:space="preserve">封面（非实质性格式）</w:t>
      </w:r>
      <w:r/>
    </w:p>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center"/>
        <w:rPr>
          <w:rFonts w:hint="eastAsia" w:ascii="宋体" w:hAnsi="宋体" w:eastAsia="宋体" w:cs="宋体"/>
          <w:b/>
          <w:color w:val="000000"/>
          <w:spacing w:val="60"/>
          <w:sz w:val="84"/>
          <w:szCs w:val="84"/>
          <w:highlight w:val="none"/>
        </w:rPr>
      </w:pPr>
      <w:r>
        <w:rPr>
          <w:rFonts w:hint="eastAsia" w:ascii="宋体" w:hAnsi="宋体" w:eastAsia="宋体" w:cs="宋体"/>
          <w:b/>
          <w:color w:val="000000"/>
          <w:spacing w:val="60"/>
          <w:sz w:val="84"/>
          <w:szCs w:val="84"/>
          <w:highlight w:val="none"/>
        </w:rPr>
        <w:t xml:space="preserve">投 标 文 件</w:t>
      </w:r>
      <w:r/>
    </w:p>
    <w:p>
      <w:pPr>
        <w:ind w:firstLine="963"/>
        <w:rPr>
          <w:rFonts w:hint="eastAsia" w:ascii="宋体" w:hAnsi="宋体" w:eastAsia="宋体" w:cs="宋体"/>
          <w:b/>
          <w:color w:val="000000"/>
          <w:spacing w:val="60"/>
          <w:sz w:val="52"/>
          <w:szCs w:val="52"/>
          <w:highlight w:val="none"/>
        </w:rPr>
      </w:pPr>
      <w:r>
        <w:rPr>
          <w:rFonts w:hint="eastAsia" w:ascii="宋体" w:hAnsi="宋体" w:eastAsia="宋体" w:cs="宋体"/>
          <w:b/>
          <w:color w:val="000000"/>
          <w:spacing w:val="60"/>
          <w:sz w:val="52"/>
          <w:szCs w:val="52"/>
          <w:highlight w:val="none"/>
        </w:rPr>
      </w:r>
      <w:r/>
    </w:p>
    <w:p>
      <w:pPr>
        <w:ind w:firstLine="963"/>
        <w:rPr>
          <w:rFonts w:hint="eastAsia" w:ascii="宋体" w:hAnsi="宋体" w:eastAsia="宋体" w:cs="宋体"/>
          <w:b/>
          <w:color w:val="000000"/>
          <w:spacing w:val="60"/>
          <w:sz w:val="52"/>
          <w:szCs w:val="52"/>
          <w:highlight w:val="none"/>
        </w:rPr>
      </w:pPr>
      <w:r>
        <w:rPr>
          <w:rFonts w:hint="eastAsia" w:ascii="宋体" w:hAnsi="宋体" w:eastAsia="宋体" w:cs="宋体"/>
          <w:b/>
          <w:color w:val="000000"/>
          <w:spacing w:val="60"/>
          <w:sz w:val="52"/>
          <w:szCs w:val="52"/>
          <w:highlight w:val="none"/>
        </w:rPr>
      </w:r>
      <w:r/>
    </w:p>
    <w:p>
      <w:pPr>
        <w:ind w:firstLine="542"/>
        <w:rPr>
          <w:rFonts w:hint="eastAsia" w:ascii="宋体" w:hAnsi="宋体" w:eastAsia="宋体" w:cs="宋体"/>
          <w:b/>
          <w:color w:val="000000"/>
          <w:spacing w:val="20"/>
          <w:sz w:val="32"/>
          <w:szCs w:val="32"/>
          <w:highlight w:val="none"/>
        </w:rPr>
      </w:pPr>
      <w:r>
        <w:rPr>
          <w:rFonts w:hint="eastAsia" w:ascii="宋体" w:hAnsi="宋体" w:eastAsia="宋体" w:cs="宋体"/>
          <w:b/>
          <w:color w:val="000000"/>
          <w:spacing w:val="20"/>
          <w:sz w:val="32"/>
          <w:szCs w:val="32"/>
          <w:highlight w:val="none"/>
        </w:rPr>
      </w:r>
      <w:r/>
    </w:p>
    <w:p>
      <w:pPr>
        <w:ind w:firstLine="542"/>
        <w:rPr>
          <w:rFonts w:hint="eastAsia" w:ascii="宋体" w:hAnsi="宋体" w:eastAsia="宋体" w:cs="宋体"/>
          <w:b/>
          <w:color w:val="000000"/>
          <w:spacing w:val="20"/>
          <w:sz w:val="32"/>
          <w:szCs w:val="32"/>
          <w:highlight w:val="none"/>
        </w:rPr>
      </w:pPr>
      <w:r>
        <w:rPr>
          <w:rFonts w:hint="eastAsia" w:ascii="宋体" w:hAnsi="宋体" w:eastAsia="宋体" w:cs="宋体"/>
          <w:b/>
          <w:color w:val="000000"/>
          <w:spacing w:val="20"/>
          <w:sz w:val="32"/>
          <w:szCs w:val="32"/>
          <w:highlight w:val="none"/>
        </w:rPr>
      </w:r>
      <w:r/>
    </w:p>
    <w:p>
      <w:pPr>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p>
    <w:p>
      <w:pPr>
        <w:ind w:firstLine="1084"/>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p>
    <w:p>
      <w:pPr>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投标人名称 ：</w:t>
      </w:r>
      <w:r>
        <w:rPr>
          <w:rFonts w:hint="eastAsia" w:ascii="宋体" w:hAnsi="宋体" w:eastAsia="宋体" w:cs="宋体"/>
          <w:b/>
          <w:color w:val="000000"/>
          <w:sz w:val="36"/>
          <w:highlight w:val="none"/>
          <w:u w:val="single"/>
        </w:rPr>
        <w:t xml:space="preserve">               </w:t>
      </w:r>
      <w:r/>
    </w:p>
    <w:p>
      <w:pP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pacing w:val="20"/>
          <w:sz w:val="32"/>
          <w:szCs w:val="32"/>
          <w:highlight w:val="none"/>
        </w:rPr>
        <w:br w:type="page" w:clear="all"/>
      </w:r>
      <w:r>
        <w:rPr>
          <w:rFonts w:hint="eastAsia" w:ascii="宋体" w:hAnsi="宋体" w:eastAsia="宋体" w:cs="宋体"/>
          <w:b/>
          <w:color w:val="000000"/>
          <w:sz w:val="32"/>
          <w:szCs w:val="32"/>
          <w:highlight w:val="none"/>
        </w:rPr>
        <w:t xml:space="preserve">一、资格证明文件</w:t>
      </w:r>
      <w:r/>
    </w:p>
    <w:p>
      <w:pPr>
        <w:rPr>
          <w:rFonts w:hint="eastAsia" w:ascii="宋体" w:hAnsi="宋体" w:eastAsia="宋体" w:cs="宋体"/>
          <w:b/>
          <w:color w:val="000000"/>
          <w:highlight w:val="none"/>
        </w:rPr>
      </w:pPr>
      <w:r>
        <w:rPr>
          <w:rFonts w:hint="eastAsia" w:ascii="宋体" w:hAnsi="宋体" w:eastAsia="宋体" w:cs="宋体"/>
          <w:b/>
          <w:color w:val="00000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1 </w:t>
      </w:r>
      <w:r>
        <w:rPr>
          <w:rFonts w:hint="eastAsia" w:ascii="宋体" w:hAnsi="宋体" w:eastAsia="宋体" w:cs="宋体"/>
          <w:color w:val="000000"/>
          <w:sz w:val="24"/>
          <w:highlight w:val="none"/>
        </w:rPr>
        <w:t xml:space="preserve">满足《中华人民共和国政府采购法》第二十二条规定及法律法规的其他规定</w:t>
      </w:r>
      <w:r/>
    </w:p>
    <w:p>
      <w:pPr>
        <w:pStyle w:val="1012"/>
        <w:rPr>
          <w:rFonts w:hint="eastAsia" w:ascii="宋体" w:hAnsi="宋体" w:eastAsia="宋体" w:cs="宋体"/>
          <w:b w:val="0"/>
          <w:color w:val="000000"/>
          <w:sz w:val="28"/>
          <w:szCs w:val="28"/>
          <w:highlight w:val="none"/>
        </w:rPr>
      </w:pPr>
      <w:r>
        <w:rPr>
          <w:rFonts w:hint="eastAsia" w:ascii="宋体" w:hAnsi="宋体" w:eastAsia="宋体" w:cs="宋体"/>
          <w:b w:val="0"/>
          <w:color w:val="000000"/>
          <w:highlight w:val="none"/>
          <w:u w:val="none"/>
        </w:rPr>
        <w:t xml:space="preserve">1-1 投标人资格声明函（实质性格式）</w:t>
      </w:r>
      <w:r/>
    </w:p>
    <w:p>
      <w:pPr>
        <w:jc w:val="center"/>
        <w:spacing w:before="120" w:line="360" w:lineRule="auto"/>
        <w:widowControl/>
        <w:rPr>
          <w:rFonts w:hint="eastAsia" w:ascii="宋体" w:hAnsi="宋体" w:eastAsia="宋体" w:cs="宋体"/>
          <w:color w:val="000000"/>
          <w:highlight w:val="none"/>
        </w:rPr>
      </w:pPr>
      <w:r>
        <w:rPr>
          <w:rFonts w:hint="eastAsia" w:ascii="宋体" w:hAnsi="宋体" w:eastAsia="宋体" w:cs="宋体"/>
          <w:b/>
          <w:color w:val="000000"/>
          <w:sz w:val="28"/>
          <w:szCs w:val="28"/>
          <w:highlight w:val="none"/>
        </w:rPr>
        <w:t xml:space="preserve">投标人资格声明函</w:t>
      </w:r>
      <w:r/>
    </w:p>
    <w:p>
      <w:pPr>
        <w:pStyle w:val="1011"/>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致：江苏建达全过程工程咨询有限公司</w:t>
      </w:r>
      <w:r/>
    </w:p>
    <w:p>
      <w:pPr>
        <w:pStyle w:val="1011"/>
        <w:ind w:firstLine="960"/>
        <w:spacing w:line="4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t xml:space="preserve">（采购人名称）</w:t>
      </w:r>
      <w:r/>
    </w:p>
    <w:p>
      <w:pPr>
        <w:pStyle w:val="1011"/>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1"/>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按照《中华人民共和国政府采购法》第二十二条和招标文件的规定，我单位郑重声明如下：</w:t>
      </w:r>
      <w:r/>
    </w:p>
    <w:p>
      <w:pPr>
        <w:pStyle w:val="1011"/>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一、我单位是按照中华人民共和国法律规定登记注册的，注册地点为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，统一社会信用代码为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，法定代表人（单位负责人）为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，具有独立承担民事责任的能力</w:t>
      </w:r>
      <w:r>
        <w:rPr>
          <w:rFonts w:hint="eastAsia" w:ascii="宋体" w:hAnsi="宋体" w:eastAsia="宋体" w:cs="宋体"/>
          <w:b/>
          <w:color w:val="000000"/>
          <w:highlight w:val="none"/>
        </w:rPr>
        <w:t xml:space="preserve">（如属于分公司经总公司授权参与项目，由总公司承担民事责任的，需提供总公司项目授权书）</w:t>
      </w:r>
      <w:r>
        <w:rPr>
          <w:rFonts w:hint="eastAsia" w:ascii="宋体" w:hAnsi="宋体" w:eastAsia="宋体" w:cs="宋体"/>
          <w:color w:val="000000"/>
          <w:highlight w:val="none"/>
        </w:rPr>
        <w:t xml:space="preserve">。</w:t>
      </w:r>
      <w:r/>
    </w:p>
    <w:p>
      <w:pPr>
        <w:pStyle w:val="1011"/>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二、我单位具有良好的商业信誉（指投标人经营状况良好，无本资格声明第十条情形）和健全的财务会计制度。</w:t>
      </w:r>
      <w:r/>
    </w:p>
    <w:p>
      <w:pPr>
        <w:pStyle w:val="1011"/>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三、我单位依法进行纳税和社会保险申报并实际履行了义务。</w:t>
      </w:r>
      <w:r/>
    </w:p>
    <w:p>
      <w:pPr>
        <w:pStyle w:val="1011"/>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四、我单位具有履行本项目采购合同所必需的设备和专业技术能力，并具有履行合同的良好记录。为履行本项采购合同我单位具备如下主要设备和主要专业技术能力:</w:t>
      </w:r>
      <w:r/>
    </w:p>
    <w:p>
      <w:pPr>
        <w:pStyle w:val="1011"/>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p>
    <w:p>
      <w:pPr>
        <w:pStyle w:val="1011"/>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p>
    <w:p>
      <w:pPr>
        <w:pStyle w:val="1011"/>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11"/>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六、我单位具备法律、行政法规规定的其他条件。</w:t>
      </w:r>
      <w:r/>
    </w:p>
    <w:p>
      <w:pPr>
        <w:pStyle w:val="1011"/>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七、与我单位存在“单位负责人为同一人或者存在直接控股、管理关系”的其他单位信息如下（如无此情形的，填写“无”）：</w:t>
      </w:r>
      <w:r/>
    </w:p>
    <w:p>
      <w:pPr>
        <w:pStyle w:val="1011"/>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1、与我单位的法定代表人（单位负责人）为同一人的其他单位如下：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p>
    <w:p>
      <w:pPr>
        <w:pStyle w:val="1011"/>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2、我单位直接控股的其他单位如下：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p>
    <w:p>
      <w:pPr>
        <w:pStyle w:val="1011"/>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3、与我单位存在管理关系的其他单位如下：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p>
    <w:p>
      <w:pPr>
        <w:pStyle w:val="1011"/>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八、我单位不属于为本项目提供整体设计、规范编制或者项目管理、监理、检测等服务的投标人。</w:t>
      </w:r>
      <w:r/>
    </w:p>
    <w:p>
      <w:pPr>
        <w:pStyle w:val="1011"/>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九、我单位无以下不良信用记录情形：</w:t>
      </w:r>
      <w:r/>
    </w:p>
    <w:p>
      <w:pPr>
        <w:pStyle w:val="1011"/>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1、在“信用中国”网站被列入失信被执行人和重大税收违法案件当事人名单；</w:t>
      </w:r>
      <w:r/>
    </w:p>
    <w:p>
      <w:pPr>
        <w:pStyle w:val="1011"/>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2、在“中国政府采购网”网站被列入政府采购严重违法失信行为记录名单；</w:t>
      </w:r>
      <w:r/>
    </w:p>
    <w:p>
      <w:pPr>
        <w:pStyle w:val="1011"/>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3、不符合《政府采购法》第二十二条规定的条件。</w:t>
      </w:r>
      <w:r/>
    </w:p>
    <w:p>
      <w:pPr>
        <w:pStyle w:val="1011"/>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1"/>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我单位保证上述声明的事项都是真实的，如有虚假，我单位愿意承担相应的法律责任，并承担因此所造成的一切损失。</w:t>
      </w:r>
      <w:r/>
    </w:p>
    <w:p>
      <w:pPr>
        <w:pStyle w:val="1011"/>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1"/>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1"/>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投标人：（加盖公章）</w:t>
      </w:r>
      <w:r/>
    </w:p>
    <w:p>
      <w:pPr>
        <w:pStyle w:val="1011"/>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法定代表人（或单位负责人）签字或盖章：</w:t>
      </w:r>
      <w:r/>
    </w:p>
    <w:p>
      <w:pPr>
        <w:pStyle w:val="1011"/>
        <w:ind w:firstLine="492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说明：供应商承诺不实的，依据《政府采购法》第七十七条“提供虚假材料谋取中标、成交的”有关规定予以处理。</w:t>
      </w:r>
      <w:r/>
    </w:p>
    <w:p>
      <w:pPr>
        <w:spacing w:line="360" w:lineRule="auto"/>
        <w:tabs>
          <w:tab w:val="left" w:pos="5580" w:leader="none"/>
        </w:tabs>
        <w:rPr>
          <w:rFonts w:hint="eastAsia" w:ascii="宋体" w:hAnsi="宋体" w:eastAsia="宋体" w:cs="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2 落实政府采购政策需满足的资格要求（如有）</w:t>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2-1中小企业声明函</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3"/>
        <w:ind w:left="0" w:right="0" w:firstLine="240"/>
        <w:jc w:val="center"/>
        <w:keepLines w:val="0"/>
        <w:keepNext w:val="0"/>
        <w:spacing w:before="0" w:beforeAutospacing="0" w:after="0" w:afterAutospacing="0" w:line="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中小微企业声明函（货物类项目）（采购包号：**）</w:t>
      </w:r>
      <w:r/>
    </w:p>
    <w:p>
      <w:pPr>
        <w:pStyle w:val="1073"/>
        <w:ind w:left="0" w:firstLine="240"/>
        <w:jc w:val="center"/>
        <w:keepLines w:val="0"/>
        <w:keepNext w:val="0"/>
        <w:spacing w:before="0" w:beforeAutospacing="0" w:after="0" w:afterAutospacing="0" w:line="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p>
      <w:pPr>
        <w:pStyle w:val="1073"/>
        <w:ind w:left="0" w:firstLine="360"/>
        <w:jc w:val="both"/>
        <w:keepLines w:val="0"/>
        <w:keepNext w:val="0"/>
        <w:spacing w:before="0" w:beforeAutospacing="0" w:after="0" w:afterAutospacing="0" w:line="360" w:lineRule="auto"/>
        <w:widowControl w:val="off"/>
        <w:rPr>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2"/>
          <w:szCs w:val="22"/>
          <w:highlight w:val="none"/>
          <w:u w:val="single"/>
        </w:rPr>
        <w:t xml:space="preserve">（单位名称）</w:t>
      </w:r>
      <w:r>
        <w:rPr>
          <w:rFonts w:hint="eastAsia" w:ascii="宋体" w:hAnsi="宋体" w:eastAsia="宋体" w:cs="宋体"/>
          <w:color w:val="000000"/>
          <w:sz w:val="22"/>
          <w:szCs w:val="22"/>
          <w:highlight w:val="none"/>
        </w:rPr>
        <w:t xml:space="preserve">采购编号为</w:t>
      </w:r>
      <w:r>
        <w:rPr>
          <w:rFonts w:hint="eastAsia" w:ascii="宋体" w:hAnsi="宋体" w:eastAsia="宋体" w:cs="宋体"/>
          <w:color w:val="000000"/>
          <w:sz w:val="22"/>
          <w:szCs w:val="22"/>
          <w:highlight w:val="none"/>
          <w:u w:val="single"/>
        </w:rPr>
        <w:t xml:space="preserve">（采购编号）</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pStyle w:val="1073"/>
        <w:ind w:left="0" w:firstLine="360"/>
        <w:jc w:val="both"/>
        <w:keepLines w:val="0"/>
        <w:keepNext w:val="0"/>
        <w:spacing w:before="0" w:beforeAutospacing="0" w:after="0" w:afterAutospacing="0" w:line="360" w:lineRule="auto"/>
        <w:widowControl w:val="off"/>
        <w:rPr>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u w:val="single"/>
        </w:rPr>
        <w:t xml:space="preserve">（标的名称）</w:t>
      </w:r>
      <w:r>
        <w:rPr>
          <w:rFonts w:hint="eastAsia" w:ascii="宋体" w:hAnsi="宋体" w:eastAsia="宋体" w:cs="宋体"/>
          <w:i/>
          <w:iCs/>
          <w:color w:val="000000"/>
          <w:sz w:val="22"/>
          <w:szCs w:val="22"/>
          <w:highlight w:val="none"/>
        </w:rPr>
        <w:t xml:space="preserve">，</w:t>
      </w:r>
      <w:r>
        <w:rPr>
          <w:rFonts w:hint="eastAsia" w:ascii="宋体" w:hAnsi="宋体" w:eastAsia="宋体" w:cs="宋体"/>
          <w:color w:val="000000"/>
          <w:sz w:val="22"/>
          <w:szCs w:val="22"/>
          <w:highlight w:val="none"/>
        </w:rPr>
        <w:t xml:space="preserve">属于</w:t>
      </w:r>
      <w:r>
        <w:rPr>
          <w:rFonts w:hint="eastAsia" w:ascii="宋体" w:hAnsi="宋体" w:eastAsia="宋体" w:cs="宋体"/>
          <w:color w:val="000000"/>
          <w:sz w:val="22"/>
          <w:szCs w:val="22"/>
          <w:highlight w:val="none"/>
          <w:u w:val="single"/>
        </w:rPr>
        <w:t xml:space="preserve">（供应商填写招标文件中明确的所属行业）</w:t>
      </w:r>
      <w:r>
        <w:rPr>
          <w:rFonts w:hint="eastAsia" w:ascii="宋体" w:hAnsi="宋体" w:eastAsia="宋体" w:cs="宋体"/>
          <w:color w:val="000000"/>
          <w:sz w:val="22"/>
          <w:szCs w:val="22"/>
          <w:highlight w:val="none"/>
        </w:rPr>
        <w:t xml:space="preserve">行业；投标产品制造商为</w:t>
      </w:r>
      <w:r>
        <w:rPr>
          <w:rFonts w:hint="eastAsia" w:ascii="宋体" w:hAnsi="宋体" w:eastAsia="宋体" w:cs="宋体"/>
          <w:color w:val="000000"/>
          <w:sz w:val="22"/>
          <w:szCs w:val="22"/>
          <w:highlight w:val="none"/>
          <w:u w:val="single"/>
        </w:rPr>
        <w:t xml:space="preserve">（企业名称）</w:t>
      </w:r>
      <w:r>
        <w:rPr>
          <w:rFonts w:hint="eastAsia" w:ascii="宋体" w:hAnsi="宋体" w:eastAsia="宋体" w:cs="宋体"/>
          <w:color w:val="000000"/>
          <w:sz w:val="22"/>
          <w:szCs w:val="22"/>
          <w:highlight w:val="none"/>
        </w:rPr>
        <w:t xml:space="preserve">，从业人员</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人，营业收入为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万元，资产总额为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万元，属于</w:t>
      </w:r>
      <w:r>
        <w:rPr>
          <w:rFonts w:hint="eastAsia" w:ascii="宋体" w:hAnsi="宋体" w:eastAsia="宋体" w:cs="宋体"/>
          <w:color w:val="000000"/>
          <w:sz w:val="22"/>
          <w:szCs w:val="22"/>
          <w:highlight w:val="none"/>
          <w:u w:val="single"/>
        </w:rPr>
        <w:t xml:space="preserve">（□中型企业 □小型企业 □微型企业）；</w:t>
      </w:r>
      <w:r/>
    </w:p>
    <w:p>
      <w:pPr>
        <w:pStyle w:val="1073"/>
        <w:ind w:left="0" w:firstLine="360"/>
        <w:jc w:val="both"/>
        <w:keepLines w:val="0"/>
        <w:keepNext w:val="0"/>
        <w:spacing w:before="0" w:beforeAutospacing="0" w:after="0" w:afterAutospacing="0" w:line="360" w:lineRule="auto"/>
        <w:widowControl w:val="off"/>
        <w:rPr>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u w:val="single"/>
        </w:rPr>
        <w:t xml:space="preserve">（标的名称）</w:t>
      </w:r>
      <w:r>
        <w:rPr>
          <w:rFonts w:hint="eastAsia" w:ascii="宋体" w:hAnsi="宋体" w:eastAsia="宋体" w:cs="宋体"/>
          <w:i/>
          <w:iCs/>
          <w:color w:val="000000"/>
          <w:sz w:val="22"/>
          <w:szCs w:val="22"/>
          <w:highlight w:val="none"/>
        </w:rPr>
        <w:t xml:space="preserve">，</w:t>
      </w:r>
      <w:r>
        <w:rPr>
          <w:rFonts w:hint="eastAsia" w:ascii="宋体" w:hAnsi="宋体" w:eastAsia="宋体" w:cs="宋体"/>
          <w:color w:val="000000"/>
          <w:sz w:val="22"/>
          <w:szCs w:val="22"/>
          <w:highlight w:val="none"/>
        </w:rPr>
        <w:t xml:space="preserve">属于</w:t>
      </w:r>
      <w:r>
        <w:rPr>
          <w:rFonts w:hint="eastAsia" w:ascii="宋体" w:hAnsi="宋体" w:eastAsia="宋体" w:cs="宋体"/>
          <w:color w:val="000000"/>
          <w:sz w:val="22"/>
          <w:szCs w:val="22"/>
          <w:highlight w:val="none"/>
          <w:u w:val="single"/>
        </w:rPr>
        <w:t xml:space="preserve">（供应商填写招标文件中明确的所属行业）</w:t>
      </w:r>
      <w:r>
        <w:rPr>
          <w:rFonts w:hint="eastAsia" w:ascii="宋体" w:hAnsi="宋体" w:eastAsia="宋体" w:cs="宋体"/>
          <w:color w:val="000000"/>
          <w:sz w:val="22"/>
          <w:szCs w:val="22"/>
          <w:highlight w:val="none"/>
        </w:rPr>
        <w:t xml:space="preserve">行业；投标产品制造商为</w:t>
      </w:r>
      <w:r>
        <w:rPr>
          <w:rFonts w:hint="eastAsia" w:ascii="宋体" w:hAnsi="宋体" w:eastAsia="宋体" w:cs="宋体"/>
          <w:color w:val="000000"/>
          <w:sz w:val="22"/>
          <w:szCs w:val="22"/>
          <w:highlight w:val="none"/>
          <w:u w:val="single"/>
        </w:rPr>
        <w:t xml:space="preserve">（企业名称）</w:t>
      </w:r>
      <w:r>
        <w:rPr>
          <w:rFonts w:hint="eastAsia" w:ascii="宋体" w:hAnsi="宋体" w:eastAsia="宋体" w:cs="宋体"/>
          <w:color w:val="000000"/>
          <w:sz w:val="22"/>
          <w:szCs w:val="22"/>
          <w:highlight w:val="none"/>
        </w:rPr>
        <w:t xml:space="preserve">，从业人员</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人，营业收入为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万元，资产总额为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万元，属于</w:t>
      </w:r>
      <w:r>
        <w:rPr>
          <w:rFonts w:hint="eastAsia" w:ascii="宋体" w:hAnsi="宋体" w:eastAsia="宋体" w:cs="宋体"/>
          <w:color w:val="000000"/>
          <w:sz w:val="22"/>
          <w:szCs w:val="22"/>
          <w:highlight w:val="none"/>
          <w:u w:val="single"/>
        </w:rPr>
        <w:t xml:space="preserve">（□中型企业 □小型企业 □微型企业）；</w:t>
      </w:r>
      <w:r/>
    </w:p>
    <w:p>
      <w:pPr>
        <w:pStyle w:val="1073"/>
        <w:ind w:left="0" w:firstLine="360"/>
        <w:jc w:val="both"/>
        <w:keepLines w:val="0"/>
        <w:keepNext w:val="0"/>
        <w:spacing w:before="0" w:beforeAutospacing="0" w:after="0" w:afterAutospacing="0" w:line="360" w:lineRule="auto"/>
        <w:widowControl w:val="off"/>
        <w:rPr>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rPr>
        <w:t xml:space="preserve">……</w:t>
      </w:r>
      <w:r/>
    </w:p>
    <w:p>
      <w:pPr>
        <w:pStyle w:val="1073"/>
        <w:ind w:left="0" w:firstLine="360"/>
        <w:jc w:val="both"/>
        <w:keepLines w:val="0"/>
        <w:keepNext w:val="0"/>
        <w:spacing w:before="0" w:beforeAutospacing="0" w:after="0" w:afterAutospacing="0" w:line="360" w:lineRule="auto"/>
        <w:widowControl w:val="off"/>
        <w:rPr>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rPr>
        <w:t xml:space="preserve">以上企业，不属于大企业的分支机构，不存在控股股东为大企业的情形，也不存在与大企业的负责人为同一人的情形。</w:t>
      </w:r>
      <w:r/>
    </w:p>
    <w:p>
      <w:pPr>
        <w:pStyle w:val="1073"/>
        <w:ind w:left="0" w:firstLine="360"/>
        <w:jc w:val="both"/>
        <w:keepLines w:val="0"/>
        <w:keepNext w:val="0"/>
        <w:spacing w:before="0" w:beforeAutospacing="0" w:after="0" w:afterAutospacing="0" w:line="360" w:lineRule="auto"/>
        <w:widowControl w:val="off"/>
        <w:rPr>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rPr>
        <w:t xml:space="preserve">本企业对上述声明内容的真实性负责。如有虚假，将依法承担相应责任</w:t>
      </w:r>
      <w:r/>
    </w:p>
    <w:p>
      <w:pPr>
        <w:pStyle w:val="1073"/>
        <w:ind w:right="720"/>
        <w:jc w:val="both"/>
        <w:keepLines w:val="0"/>
        <w:keepNext w:val="0"/>
        <w:spacing w:before="0" w:beforeAutospacing="0" w:after="0" w:afterAutospacing="0" w:line="360" w:lineRule="auto"/>
        <w:widowControl w:val="off"/>
        <w:rPr>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2"/>
          <w:szCs w:val="22"/>
          <w:highlight w:val="none"/>
        </w:rPr>
        <w:t xml:space="preserve"> </w:t>
      </w:r>
      <w:r/>
    </w:p>
    <w:p>
      <w:pPr>
        <w:pStyle w:val="1073"/>
        <w:ind w:left="0" w:right="180" w:firstLine="360"/>
        <w:jc w:val="center"/>
        <w:keepLines w:val="0"/>
        <w:keepNext w:val="0"/>
        <w:spacing w:before="0" w:beforeAutospacing="0" w:after="0" w:afterAutospacing="0" w:line="360" w:lineRule="auto"/>
        <w:widowControl w:val="off"/>
        <w:rPr>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rPr>
        <w:t xml:space="preserve">                                  企业名称（加盖CA电子公章）：</w:t>
      </w:r>
      <w:r/>
    </w:p>
    <w:p>
      <w:pPr>
        <w:pStyle w:val="1073"/>
        <w:ind w:left="0" w:right="480" w:firstLine="4560"/>
        <w:jc w:val="both"/>
        <w:keepLines w:val="0"/>
        <w:keepNext w:val="0"/>
        <w:spacing w:before="0" w:beforeAutospacing="0" w:after="0" w:afterAutospacing="0" w:line="360" w:lineRule="auto"/>
        <w:widowControl w:val="off"/>
        <w:rPr>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rPr>
        <w:t xml:space="preserve">日  期：___年____月____日</w:t>
      </w:r>
      <w:r/>
    </w:p>
    <w:p>
      <w:pPr>
        <w:pStyle w:val="1073"/>
        <w:jc w:val="both"/>
        <w:keepLines w:val="0"/>
        <w:keepNext w:val="0"/>
        <w:spacing w:before="0" w:beforeAutospacing="0" w:after="0" w:afterAutospacing="0" w:line="0" w:lineRule="atLeast"/>
        <w:widowControl w:val="off"/>
        <w:rPr>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2"/>
          <w:szCs w:val="22"/>
          <w:highlight w:val="none"/>
        </w:rPr>
        <w:t xml:space="preserve"> </w:t>
      </w:r>
      <w:r/>
    </w:p>
    <w:p>
      <w:pPr>
        <w:pStyle w:val="1073"/>
        <w:ind w:left="0" w:firstLine="480"/>
        <w:jc w:val="both"/>
        <w:keepLines w:val="0"/>
        <w:keepNext w:val="0"/>
        <w:spacing w:before="0" w:beforeAutospacing="0" w:after="0" w:afterAutospacing="0" w:line="0" w:lineRule="atLeast"/>
        <w:widowControl w:val="off"/>
        <w:rPr>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rPr>
        <w:t xml:space="preserve">备注：</w:t>
      </w:r>
      <w:r/>
    </w:p>
    <w:p>
      <w:pPr>
        <w:pStyle w:val="1073"/>
        <w:ind w:left="0" w:firstLine="480"/>
        <w:jc w:val="both"/>
        <w:keepLines w:val="0"/>
        <w:keepNext w:val="0"/>
        <w:spacing w:before="0" w:beforeAutospacing="0" w:after="0" w:afterAutospacing="0" w:line="0" w:lineRule="atLeast"/>
        <w:widowControl w:val="off"/>
        <w:rPr>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rPr>
        <w:t xml:space="preserve">1.从业人员、营业收入、资产总额填报上一年度数据，无上一年度数据的新成立企业可不填报。</w:t>
      </w:r>
      <w:r/>
    </w:p>
    <w:p>
      <w:pPr>
        <w:pStyle w:val="1073"/>
        <w:ind w:left="0" w:firstLine="480"/>
        <w:jc w:val="both"/>
        <w:keepLines w:val="0"/>
        <w:keepNext w:val="0"/>
        <w:spacing w:before="0" w:beforeAutospacing="0" w:after="0" w:afterAutospacing="0" w:line="0" w:lineRule="atLeast"/>
        <w:widowControl w:val="off"/>
        <w:rPr>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1073"/>
        <w:ind w:left="540" w:hanging="120"/>
        <w:jc w:val="both"/>
        <w:keepLines w:val="0"/>
        <w:keepNext w:val="0"/>
        <w:spacing w:before="0" w:beforeAutospacing="0" w:after="0" w:afterAutospacing="0" w:line="0" w:lineRule="atLeast"/>
        <w:widowControl w:val="off"/>
        <w:rPr>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rPr>
        <w:t xml:space="preserve">3.供应商应对照《工业和信息化部、国家统计局、国家发展和改革委员会、</w:t>
      </w:r>
      <w:r/>
    </w:p>
    <w:p>
      <w:pPr>
        <w:pStyle w:val="1073"/>
        <w:jc w:val="both"/>
        <w:keepLines w:val="0"/>
        <w:keepNext w:val="0"/>
        <w:spacing w:before="0" w:beforeAutospacing="0" w:after="0" w:afterAutospacing="0"/>
        <w:widowControl w:val="off"/>
        <w:rPr>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left"/>
        <w:rPr>
          <w:rFonts w:hint="eastAsia" w:ascii="宋体" w:hAnsi="宋体" w:eastAsia="宋体" w:cs="宋体"/>
          <w:color w:val="000000"/>
          <w:szCs w:val="21"/>
          <w:highlight w:val="none"/>
          <w:vertAlign w:val="superscript"/>
        </w:rPr>
      </w:pPr>
      <w:r>
        <w:rPr>
          <w:rFonts w:hint="eastAsia" w:ascii="宋体" w:hAnsi="宋体" w:eastAsia="宋体" w:cs="宋体"/>
          <w:color w:val="000000"/>
          <w:szCs w:val="21"/>
          <w:highlight w:val="none"/>
          <w:vertAlign w:val="superscript"/>
        </w:rPr>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1073"/>
        <w:ind w:left="0" w:right="0"/>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残疾人福利性单位声明函（货物类项目）（采购包号：**）</w:t>
      </w:r>
      <w:r/>
    </w:p>
    <w:p>
      <w:pPr>
        <w:pStyle w:val="1073"/>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p>
      <w:pPr>
        <w:pStyle w:val="1073"/>
        <w:ind w:left="0" w:firstLine="48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（采购编号）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项目（项目名称）（采购包号：**）采购活动提供本单位制造的货物，或者提供其他残疾人福利性单位制造的货物（不包括使用非残疾人福利性单位注册商标的货物）。</w:t>
      </w:r>
      <w:r/>
    </w:p>
    <w:p>
      <w:pPr>
        <w:pStyle w:val="1073"/>
        <w:ind w:left="0" w:firstLine="48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本单位对上述声明的真实性负责。如有虚假，将依法承担相应责任。</w:t>
      </w:r>
      <w:r/>
    </w:p>
    <w:p>
      <w:pPr>
        <w:pStyle w:val="1073"/>
        <w:ind w:left="0" w:firstLine="48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p>
      <w:pPr>
        <w:pStyle w:val="1073"/>
        <w:ind w:left="0" w:firstLine="48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备注：</w:t>
      </w:r>
      <w:r/>
    </w:p>
    <w:p>
      <w:pPr>
        <w:pStyle w:val="1073"/>
        <w:ind w:left="0" w:firstLine="48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1073"/>
        <w:ind w:left="0" w:firstLine="48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 非专门面向中小微型企业采购的项目，供应商如不提供此声明函，价格将不做相应扣除。</w:t>
      </w:r>
      <w:r/>
    </w:p>
    <w:p>
      <w:pPr>
        <w:pStyle w:val="1073"/>
        <w:ind w:left="0" w:firstLine="48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3.中标/成交供应商为残疾人福利性单位的，此声明函将随中标/成交结果同时公告，接受社会监督。</w:t>
      </w:r>
      <w:r/>
    </w:p>
    <w:p>
      <w:pPr>
        <w:pStyle w:val="1073"/>
        <w:ind w:left="0" w:firstLine="624"/>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p>
      <w:pPr>
        <w:pStyle w:val="1073"/>
        <w:ind w:left="0" w:right="1559" w:firstLine="624"/>
        <w:jc w:val="center"/>
        <w:keepLines w:val="0"/>
        <w:keepNext w:val="0"/>
        <w:spacing w:before="0" w:beforeAutospacing="0" w:after="0" w:afterAutospacing="0" w:line="360" w:lineRule="auto"/>
        <w:widowControl w:val="off"/>
        <w:tabs>
          <w:tab w:val="left" w:pos="4864" w:leader="none"/>
        </w:tabs>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30"/>
          <w:szCs w:val="30"/>
          <w:highlight w:val="none"/>
        </w:rPr>
        <w:t xml:space="preserve">           </w:t>
      </w:r>
      <w:r>
        <w:rPr>
          <w:rFonts w:hint="eastAsia" w:ascii="宋体" w:hAnsi="宋体" w:eastAsia="宋体" w:cs="宋体"/>
          <w:color w:val="000000"/>
          <w:sz w:val="24"/>
          <w:szCs w:val="24"/>
          <w:highlight w:val="none"/>
        </w:rPr>
        <w:t xml:space="preserve"> 供应商全称（加盖CA电子公章）：</w:t>
      </w:r>
      <w:r/>
    </w:p>
    <w:p>
      <w:pPr>
        <w:pStyle w:val="1073"/>
        <w:ind w:left="0" w:right="1559" w:firstLine="480"/>
        <w:jc w:val="center"/>
        <w:keepLines w:val="0"/>
        <w:keepNext w:val="0"/>
        <w:spacing w:before="0" w:beforeAutospacing="0" w:after="0" w:afterAutospacing="0" w:line="360" w:lineRule="auto"/>
        <w:widowControl w:val="off"/>
        <w:tabs>
          <w:tab w:val="left" w:pos="4864" w:leader="none"/>
        </w:tabs>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日  期：___年____月____日</w:t>
      </w:r>
      <w:r>
        <w:rPr>
          <w:rFonts w:hint="eastAsia" w:ascii="宋体" w:hAnsi="宋体" w:eastAsia="宋体" w:cs="宋体"/>
          <w:color w:val="000000"/>
          <w:sz w:val="24"/>
          <w:szCs w:val="24"/>
          <w:highlight w:val="none"/>
          <w:shd w:val="clear" w:color="auto" w:fill="ffffff"/>
        </w:rPr>
        <w:t xml:space="preserve"> </w:t>
      </w:r>
      <w:r/>
    </w:p>
    <w:p>
      <w:pPr>
        <w:ind w:right="1560" w:firstLine="504"/>
        <w:jc w:val="center"/>
        <w:spacing w:line="588" w:lineRule="exact"/>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ind w:right="1560" w:firstLine="504"/>
        <w:jc w:val="center"/>
        <w:spacing w:line="588" w:lineRule="exact"/>
        <w:tabs>
          <w:tab w:val="left" w:pos="4860" w:leader="none"/>
        </w:tabs>
        <w:rPr>
          <w:rFonts w:hint="eastAsia" w:ascii="宋体" w:hAnsi="宋体" w:eastAsia="宋体" w:cs="宋体"/>
          <w:color w:val="000000"/>
          <w:spacing w:val="6"/>
          <w:sz w:val="24"/>
          <w:highlight w:val="none"/>
        </w:rPr>
        <w:sectPr>
          <w:headerReference w:type="even" r:id="rId10"/>
          <w:headerReference w:type="first" r:id="rId11"/>
          <w:footerReference w:type="even" r:id="rId15"/>
          <w:footerReference w:type="first" r:id="rId16"/>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000000"/>
          <w:spacing w:val="6"/>
          <w:sz w:val="24"/>
          <w:highlight w:val="none"/>
        </w:rPr>
      </w:r>
      <w:r/>
    </w:p>
    <w:p>
      <w:pPr>
        <w:pStyle w:val="1073"/>
        <w:ind w:left="0" w:right="0"/>
        <w:jc w:val="center"/>
        <w:keepLines w:val="0"/>
        <w:keepNext w:val="0"/>
        <w:spacing w:before="15" w:beforeAutospacing="0" w:after="15" w:afterAutospacing="0"/>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highlight w:val="none"/>
          <w:shd w:val="clear" w:color="auto" w:fill="ffffff"/>
        </w:rPr>
        <w:t xml:space="preserve">关于符合本国产品标准的声明函</w:t>
      </w:r>
      <w:r/>
    </w:p>
    <w:p>
      <w:pPr>
        <w:pStyle w:val="1073"/>
        <w:ind w:left="0" w:firstLine="420"/>
        <w:keepLines w:val="0"/>
        <w:keepNext w:val="0"/>
        <w:spacing w:before="15" w:beforeAutospacing="0" w:after="15" w:afterAutospacing="0"/>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p>
    <w:p>
      <w:pPr>
        <w:pStyle w:val="1073"/>
        <w:ind w:left="0" w:firstLine="420"/>
        <w:keepLines w:val="0"/>
        <w:keepNext w:val="0"/>
        <w:spacing w:before="0" w:beforeAutospacing="0" w:after="0" w:afterAutospacing="0" w:line="360" w:lineRule="auto"/>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73"/>
        <w:ind w:left="0" w:firstLine="420"/>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p>
    <w:p>
      <w:pPr>
        <w:pStyle w:val="1073"/>
        <w:ind w:left="0" w:firstLine="420"/>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2.</w:t>
      </w:r>
      <w:r>
        <w:rPr>
          <w:rFonts w:hint="eastAsia" w:ascii="宋体" w:hAnsi="宋体" w:eastAsia="宋体" w:cs="宋体"/>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在中国境内完成。</w:t>
      </w:r>
      <w:r/>
    </w:p>
    <w:p>
      <w:pPr>
        <w:pStyle w:val="1073"/>
        <w:ind w:left="0" w:firstLine="420"/>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w:t>
      </w:r>
      <w:r/>
    </w:p>
    <w:p>
      <w:pPr>
        <w:pStyle w:val="1073"/>
        <w:ind w:left="0" w:firstLine="420"/>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p>
    <w:p>
      <w:pPr>
        <w:pStyle w:val="1073"/>
        <w:keepLines w:val="0"/>
        <w:keepNext w:val="0"/>
        <w:spacing w:before="30" w:beforeAutospacing="0" w:after="30" w:afterAutospacing="0" w:line="0" w:lineRule="atLeast"/>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p>
    <w:p>
      <w:pPr>
        <w:pStyle w:val="1073"/>
        <w:jc w:val="right"/>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公司（单位）名称（加盖CA电子公章）：         </w:t>
      </w:r>
      <w:r/>
    </w:p>
    <w:p>
      <w:pPr>
        <w:pStyle w:val="1073"/>
        <w:jc w:val="center"/>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日期：      年   月   日         </w:t>
      </w:r>
      <w:r/>
    </w:p>
    <w:p>
      <w:pPr>
        <w:pStyle w:val="1073"/>
        <w:keepLines w:val="0"/>
        <w:keepNext w:val="0"/>
        <w:spacing w:before="30" w:beforeAutospacing="0" w:after="30" w:afterAutospacing="0" w:line="0" w:lineRule="atLeast"/>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p>
    <w:p>
      <w:pPr>
        <w:pStyle w:val="1073"/>
        <w:keepLines w:val="0"/>
        <w:keepNext w:val="0"/>
        <w:spacing w:before="30" w:beforeAutospacing="0" w:after="30" w:afterAutospacing="0" w:line="0" w:lineRule="atLeast"/>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p>
    <w:p>
      <w:pPr>
        <w:pStyle w:val="1073"/>
        <w:keepLines w:val="0"/>
        <w:keepNext w:val="0"/>
        <w:spacing w:before="30" w:beforeAutospacing="0" w:after="30" w:afterAutospacing="0" w:line="0" w:lineRule="atLeast"/>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_________________</w:t>
      </w:r>
      <w:r/>
    </w:p>
    <w:p>
      <w:pPr>
        <w:pStyle w:val="1073"/>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1.产品如有型号，请在“产品名称”栏一并填写。</w:t>
      </w:r>
      <w:r/>
    </w:p>
    <w:p>
      <w:pPr>
        <w:pStyle w:val="1073"/>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p>
    <w:p>
      <w:pPr>
        <w:pStyle w:val="1073"/>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p>
    <w:p>
      <w:pPr>
        <w:pStyle w:val="1073"/>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p>
    <w:p>
      <w:pPr>
        <w:pStyle w:val="1073"/>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p>
    <w:p>
      <w:pPr>
        <w:pStyle w:val="1073"/>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6.《声明函》中标注“</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”的地方无需填写。</w:t>
      </w:r>
      <w:r/>
    </w:p>
    <w:p>
      <w:pPr>
        <w:ind w:right="1560" w:firstLine="504"/>
        <w:jc w:val="center"/>
        <w:spacing w:line="588" w:lineRule="exact"/>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ind w:right="1560" w:firstLine="504"/>
        <w:jc w:val="center"/>
        <w:spacing w:line="588" w:lineRule="exact"/>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br w:type="page" w:clear="all"/>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2-3 </w:t>
      </w:r>
      <w:r>
        <w:rPr>
          <w:rFonts w:hint="eastAsia" w:ascii="宋体" w:hAnsi="宋体" w:eastAsia="宋体" w:cs="宋体"/>
          <w:color w:val="000000"/>
          <w:sz w:val="24"/>
          <w:highlight w:val="none"/>
        </w:rPr>
        <w:t xml:space="preserve">其它落实政府采购政策的资格要求</w:t>
      </w:r>
      <w:r>
        <w:rPr>
          <w:rFonts w:hint="eastAsia" w:ascii="宋体" w:hAnsi="宋体" w:eastAsia="宋体" w:cs="宋体"/>
          <w:color w:val="000000"/>
          <w:sz w:val="24"/>
          <w:szCs w:val="20"/>
          <w:highlight w:val="none"/>
        </w:rPr>
        <w:t xml:space="preserve">（如有）</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szCs w:val="20"/>
          <w:highlight w:val="none"/>
        </w:rPr>
        <w:t xml:space="preserve">3-2其他特定资格要求</w:t>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both"/>
        <w:widowControl/>
        <w:rPr>
          <w:rFonts w:hint="eastAsia" w:ascii="宋体" w:hAnsi="宋体" w:eastAsia="宋体" w:cs="宋体"/>
          <w:b/>
          <w:color w:val="000000"/>
          <w:sz w:val="32"/>
          <w:szCs w:val="32"/>
          <w:highlight w:val="none"/>
        </w:rPr>
      </w:pPr>
      <w:r>
        <w:rPr>
          <w:rFonts w:hint="eastAsia" w:ascii="宋体" w:hAnsi="宋体" w:eastAsia="宋体" w:cs="宋体"/>
          <w:color w:val="000000"/>
          <w:sz w:val="24"/>
          <w:szCs w:val="20"/>
          <w:highlight w:val="none"/>
        </w:rPr>
        <w:br w:type="page" w:clear="all"/>
      </w:r>
      <w:r>
        <w:rPr>
          <w:rFonts w:hint="eastAsia" w:ascii="宋体" w:hAnsi="宋体" w:eastAsia="宋体" w:cs="宋体"/>
          <w:b/>
          <w:color w:val="000000"/>
          <w:sz w:val="32"/>
          <w:szCs w:val="32"/>
          <w:highlight w:val="none"/>
        </w:rPr>
        <w:t xml:space="preserve">二、商务技术文件格式</w:t>
      </w:r>
      <w:bookmarkStart w:id="400" w:name="_Toc520356217"/>
      <w:r/>
      <w:bookmarkStart w:id="401" w:name="_Ref467988698"/>
      <w:r/>
      <w:bookmarkStart w:id="402" w:name="_Toc226965829"/>
      <w:r/>
      <w:bookmarkStart w:id="403" w:name="_Toc480942349"/>
      <w:r/>
      <w:bookmarkStart w:id="404" w:name="_Toc195842921"/>
      <w:r/>
      <w:bookmarkStart w:id="405" w:name="_Toc226337252"/>
      <w:r/>
      <w:bookmarkStart w:id="406" w:name="_Toc150774761"/>
      <w:r/>
      <w:bookmarkStart w:id="407" w:name="_Toc226309800"/>
      <w:r/>
      <w:bookmarkStart w:id="408" w:name="_Toc150480794"/>
      <w:r/>
      <w:bookmarkStart w:id="409" w:name="_Toc226965746"/>
      <w:r/>
      <w:bookmarkStart w:id="410" w:name="_Toc142311058"/>
      <w:r/>
      <w:bookmarkStart w:id="411" w:name="_Toc127151556"/>
      <w:r/>
      <w:r/>
    </w:p>
    <w:p>
      <w:pPr>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highlight w:val="none"/>
        </w:rPr>
        <w:t xml:space="preserve">投标</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Pr>
          <w:rFonts w:hint="eastAsia" w:ascii="宋体" w:hAnsi="宋体" w:eastAsia="宋体" w:cs="宋体"/>
          <w:color w:val="000000"/>
          <w:sz w:val="24"/>
          <w:highlight w:val="none"/>
        </w:rPr>
        <w:t xml:space="preserve">函</w:t>
      </w:r>
      <w:r>
        <w:rPr>
          <w:rFonts w:hint="eastAsia" w:ascii="宋体" w:hAnsi="宋体" w:eastAsia="宋体" w:cs="宋体"/>
          <w:color w:val="000000"/>
          <w:sz w:val="24"/>
          <w:szCs w:val="20"/>
          <w:highlight w:val="none"/>
        </w:rPr>
        <w:t xml:space="preserve">（实质性格式）</w:t>
      </w:r>
      <w:r/>
    </w:p>
    <w:p>
      <w:pPr>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投标函</w:t>
      </w:r>
      <w:r/>
    </w:p>
    <w:p>
      <w:pPr>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（采购人或采购代理机构）</w:t>
      </w:r>
      <w:r/>
    </w:p>
    <w:p>
      <w:pPr>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408"/>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 我方</w:t>
      </w:r>
      <w:r>
        <w:rPr>
          <w:rFonts w:hint="eastAsia" w:ascii="宋体" w:hAnsi="宋体" w:eastAsia="宋体" w:cs="宋体"/>
          <w:color w:val="000000"/>
          <w:sz w:val="24"/>
          <w:highlight w:val="none"/>
        </w:rPr>
        <w:t xml:space="preserve">已详细审查全部招标文件</w:t>
      </w:r>
      <w:r>
        <w:rPr>
          <w:rFonts w:hint="eastAsia" w:ascii="宋体" w:hAnsi="宋体" w:eastAsia="宋体" w:cs="宋体"/>
          <w:color w:val="000000"/>
          <w:sz w:val="24"/>
          <w:szCs w:val="20"/>
          <w:highlight w:val="none"/>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（1）本投标有效期为自提交投标文件的截止之日起</w:t>
      </w:r>
      <w:r>
        <w:rPr>
          <w:rFonts w:hint="eastAsia" w:ascii="宋体" w:hAnsi="宋体" w:eastAsia="宋体" w:cs="宋体"/>
          <w:color w:val="000000"/>
          <w:sz w:val="24"/>
          <w:highlight w:val="none"/>
        </w:rPr>
        <w:t xml:space="preserve">60</w:t>
      </w:r>
      <w:r>
        <w:rPr>
          <w:rFonts w:hint="eastAsia" w:ascii="宋体" w:hAnsi="宋体" w:eastAsia="宋体" w:cs="宋体"/>
          <w:color w:val="000000"/>
          <w:sz w:val="24"/>
          <w:szCs w:val="20"/>
          <w:highlight w:val="none"/>
        </w:rPr>
        <w:t xml:space="preserve">个日历日。</w:t>
      </w:r>
      <w:r/>
    </w:p>
    <w:p>
      <w:pPr>
        <w:ind w:left="360" w:firstLine="72"/>
        <w:spacing w:line="360" w:lineRule="auto"/>
        <w:tabs>
          <w:tab w:val="left" w:pos="720" w:leader="none"/>
          <w:tab w:val="left" w:pos="90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其他补充条款（如有）：</w:t>
      </w:r>
      <w:r>
        <w:rPr>
          <w:rFonts w:hint="eastAsia" w:ascii="宋体" w:hAnsi="宋体" w:eastAsia="宋体" w:cs="宋体"/>
          <w:color w:val="000000"/>
          <w:sz w:val="24"/>
          <w:szCs w:val="20"/>
          <w:highlight w:val="none"/>
        </w:rPr>
        <w:t xml:space="preserve">___________</w:t>
      </w:r>
      <w:r>
        <w:rPr>
          <w:rFonts w:hint="eastAsia" w:ascii="宋体" w:hAnsi="宋体" w:eastAsia="宋体" w:cs="宋体"/>
          <w:color w:val="000000"/>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与本投标有关的一切正式往来信函请寄：</w:t>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地址_________________________     传真____________________________</w:t>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电话_________________________     电子函件________________________</w:t>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投标人名称（加盖</w:t>
      </w:r>
      <w:r>
        <w:rPr>
          <w:rFonts w:hint="eastAsia" w:ascii="宋体" w:hAnsi="宋体" w:eastAsia="宋体" w:cs="宋体"/>
          <w:color w:val="000000"/>
          <w:sz w:val="24"/>
          <w:szCs w:val="20"/>
          <w:highlight w:val="none"/>
          <w:lang w:eastAsia="zh-CN"/>
        </w:rPr>
        <w:t xml:space="preserve">电子</w:t>
      </w:r>
      <w:r>
        <w:rPr>
          <w:rFonts w:hint="eastAsia" w:ascii="宋体" w:hAnsi="宋体" w:eastAsia="宋体" w:cs="宋体"/>
          <w:color w:val="000000"/>
          <w:sz w:val="24"/>
          <w:szCs w:val="20"/>
          <w:highlight w:val="none"/>
        </w:rPr>
        <w:t xml:space="preserve">公章） ___________</w:t>
      </w:r>
      <w:r/>
    </w:p>
    <w:p>
      <w:pPr>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日期：_____年______月______日    </w:t>
      </w:r>
      <w:r/>
    </w:p>
    <w:p>
      <w:pPr>
        <w:ind w:left="420"/>
        <w:spacing w:line="360" w:lineRule="auto"/>
        <w:tabs>
          <w:tab w:val="left" w:pos="5580" w:leader="none"/>
        </w:tabs>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r>
      <w:r/>
    </w:p>
    <w:p>
      <w:pPr>
        <w:jc w:val="left"/>
        <w:widowControl/>
        <w:rPr>
          <w:rFonts w:hint="eastAsia" w:ascii="宋体" w:hAnsi="宋体" w:eastAsia="宋体" w:cs="宋体"/>
          <w:color w:val="000000"/>
          <w:sz w:val="24"/>
          <w:highlight w:val="none"/>
        </w:rPr>
      </w:pPr>
      <w:r/>
      <w:bookmarkStart w:id="412" w:name="_Hlt520356243"/>
      <w:r/>
      <w:bookmarkEnd w:id="412"/>
      <w:r/>
      <w:bookmarkStart w:id="413" w:name="_Hlt520355938"/>
      <w:r/>
      <w:bookmarkEnd w:id="413"/>
      <w:r>
        <w:rPr>
          <w:rFonts w:hint="eastAsia" w:ascii="宋体" w:hAnsi="宋体" w:eastAsia="宋体" w:cs="宋体"/>
          <w:color w:val="000000"/>
          <w:sz w:val="24"/>
          <w:highlight w:val="none"/>
        </w:rPr>
        <w:br w:type="page" w:clear="all"/>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法定代表人资格证明书</w:t>
      </w:r>
      <w:r>
        <w:rPr>
          <w:rFonts w:hint="eastAsia" w:ascii="宋体" w:hAnsi="宋体" w:eastAsia="宋体" w:cs="宋体"/>
          <w:color w:val="000000"/>
          <w:sz w:val="24"/>
          <w:szCs w:val="20"/>
          <w:highlight w:val="none"/>
        </w:rPr>
        <w:t xml:space="preserve">（实质性格式）</w:t>
      </w:r>
      <w:r/>
    </w:p>
    <w:p>
      <w:p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法定代表人资格证明书</w:t>
      </w:r>
      <w:r/>
    </w:p>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w:t>
      </w:r>
      <w:r/>
    </w:p>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w:t>
      </w:r>
      <w:r/>
    </w:p>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     性别:       年龄:      职务:</w:t>
      </w:r>
      <w:r/>
    </w:p>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u w:val="single"/>
        </w:rPr>
        <w:t xml:space="preserve">（投标单位名称）</w:t>
      </w:r>
      <w:r>
        <w:rPr>
          <w:rFonts w:hint="eastAsia" w:ascii="宋体" w:hAnsi="宋体" w:eastAsia="宋体" w:cs="宋体"/>
          <w:color w:val="000000"/>
          <w:sz w:val="24"/>
          <w:highlight w:val="none"/>
        </w:rPr>
        <w:t xml:space="preserve">的法定代表人。为参与</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的政府采购活动，</w:t>
      </w:r>
      <w:r>
        <w:rPr>
          <w:rFonts w:hint="eastAsia" w:ascii="宋体" w:hAnsi="宋体" w:eastAsia="宋体" w:cs="宋体"/>
          <w:color w:val="000000"/>
          <w:sz w:val="24"/>
          <w:szCs w:val="20"/>
          <w:highlight w:val="none"/>
        </w:rPr>
        <w:t xml:space="preserve">签署、澄清确认、递交、撤回、修改</w:t>
      </w:r>
      <w:r>
        <w:rPr>
          <w:rFonts w:hint="eastAsia" w:ascii="宋体" w:hAnsi="宋体" w:eastAsia="宋体" w:cs="宋体"/>
          <w:color w:val="000000"/>
          <w:sz w:val="24"/>
          <w:highlight w:val="none"/>
        </w:rPr>
        <w:t xml:space="preserve">上述项目的投标文件、进行合同谈判、签署合同和处理与之有关的一切事务。</w:t>
      </w:r>
      <w:r/>
    </w:p>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特此证明。</w:t>
      </w:r>
      <w:r/>
    </w:p>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9"/>
        <w:ind w:right="-46"/>
        <w:spacing w:line="583" w:lineRule="auto"/>
        <w:rPr>
          <w:rFonts w:hint="eastAsia" w:ascii="宋体" w:hAnsi="宋体" w:eastAsia="宋体" w:cs="宋体"/>
          <w:color w:val="000000"/>
          <w:spacing w:val="-3"/>
          <w:highlight w:val="none"/>
        </w:rPr>
      </w:pPr>
      <w:r>
        <w:rPr>
          <w:rFonts w:hint="eastAsia" w:ascii="宋体" w:hAnsi="宋体" w:eastAsia="宋体" w:cs="宋体"/>
          <w:color w:val="000000"/>
          <w:highlight w:val="none"/>
        </w:rPr>
        <w:t xml:space="preserve">附：</w:t>
      </w:r>
      <w:r>
        <w:rPr>
          <w:rFonts w:hint="eastAsia" w:ascii="宋体" w:hAnsi="宋体" w:eastAsia="宋体" w:cs="宋体"/>
          <w:color w:val="000000"/>
          <w:spacing w:val="-3"/>
          <w:highlight w:val="none"/>
        </w:rPr>
        <w:t xml:space="preserve">法</w:t>
      </w:r>
      <w:r>
        <w:rPr>
          <w:rFonts w:hint="eastAsia" w:ascii="宋体" w:hAnsi="宋体" w:eastAsia="宋体" w:cs="宋体"/>
          <w:color w:val="000000"/>
          <w:highlight w:val="none"/>
        </w:rPr>
        <w:t xml:space="preserve">定</w:t>
      </w:r>
      <w:r>
        <w:rPr>
          <w:rFonts w:hint="eastAsia" w:ascii="宋体" w:hAnsi="宋体" w:eastAsia="宋体" w:cs="宋体"/>
          <w:color w:val="000000"/>
          <w:spacing w:val="-3"/>
          <w:highlight w:val="none"/>
        </w:rPr>
        <w:t xml:space="preserve">代</w:t>
      </w:r>
      <w:r>
        <w:rPr>
          <w:rFonts w:hint="eastAsia" w:ascii="宋体" w:hAnsi="宋体" w:eastAsia="宋体" w:cs="宋体"/>
          <w:color w:val="000000"/>
          <w:highlight w:val="none"/>
        </w:rPr>
        <w:t xml:space="preserve">表</w:t>
      </w:r>
      <w:r>
        <w:rPr>
          <w:rFonts w:hint="eastAsia" w:ascii="宋体" w:hAnsi="宋体" w:eastAsia="宋体" w:cs="宋体"/>
          <w:color w:val="000000"/>
          <w:spacing w:val="-3"/>
          <w:highlight w:val="none"/>
        </w:rPr>
        <w:t xml:space="preserve">人</w:t>
      </w:r>
      <w:r>
        <w:rPr>
          <w:rFonts w:hint="eastAsia" w:ascii="宋体" w:hAnsi="宋体" w:eastAsia="宋体" w:cs="宋体"/>
          <w:color w:val="000000"/>
          <w:highlight w:val="none"/>
        </w:rPr>
        <w:t xml:space="preserve">（</w:t>
      </w:r>
      <w:r>
        <w:rPr>
          <w:rFonts w:hint="eastAsia" w:ascii="宋体" w:hAnsi="宋体" w:eastAsia="宋体" w:cs="宋体"/>
          <w:color w:val="000000"/>
          <w:spacing w:val="-3"/>
          <w:highlight w:val="none"/>
        </w:rPr>
        <w:t xml:space="preserve">单</w:t>
      </w:r>
      <w:r>
        <w:rPr>
          <w:rFonts w:hint="eastAsia" w:ascii="宋体" w:hAnsi="宋体" w:eastAsia="宋体" w:cs="宋体"/>
          <w:color w:val="000000"/>
          <w:highlight w:val="none"/>
        </w:rPr>
        <w:t xml:space="preserve">位</w:t>
      </w:r>
      <w:r>
        <w:rPr>
          <w:rFonts w:hint="eastAsia" w:ascii="宋体" w:hAnsi="宋体" w:eastAsia="宋体" w:cs="宋体"/>
          <w:color w:val="000000"/>
          <w:spacing w:val="-3"/>
          <w:highlight w:val="none"/>
        </w:rPr>
        <w:t xml:space="preserve">负</w:t>
      </w:r>
      <w:r>
        <w:rPr>
          <w:rFonts w:hint="eastAsia" w:ascii="宋体" w:hAnsi="宋体" w:eastAsia="宋体" w:cs="宋体"/>
          <w:color w:val="000000"/>
          <w:highlight w:val="none"/>
        </w:rPr>
        <w:t xml:space="preserve">责人</w:t>
      </w:r>
      <w:r>
        <w:rPr>
          <w:rFonts w:hint="eastAsia" w:ascii="宋体" w:hAnsi="宋体" w:eastAsia="宋体" w:cs="宋体"/>
          <w:color w:val="000000"/>
          <w:spacing w:val="-3"/>
          <w:highlight w:val="none"/>
        </w:rPr>
        <w:t xml:space="preserve">）有效期内的身份证正反面电子件。</w:t>
      </w:r>
      <w:r/>
    </w:p>
    <w:tbl>
      <w:tblPr>
        <w:tblStyle w:val="83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投标人：（加盖</w:t>
      </w:r>
      <w:r>
        <w:rPr>
          <w:rFonts w:hint="eastAsia" w:ascii="宋体" w:hAnsi="宋体" w:eastAsia="宋体" w:cs="宋体"/>
          <w:color w:val="000000"/>
          <w:sz w:val="24"/>
          <w:highlight w:val="none"/>
          <w:lang w:eastAsia="zh-CN"/>
        </w:rPr>
        <w:t xml:space="preserve">电子</w:t>
      </w:r>
      <w:r>
        <w:rPr>
          <w:rFonts w:hint="eastAsia" w:ascii="宋体" w:hAnsi="宋体" w:eastAsia="宋体" w:cs="宋体"/>
          <w:color w:val="000000"/>
          <w:sz w:val="24"/>
          <w:highlight w:val="none"/>
        </w:rPr>
        <w:t xml:space="preserve">公章）</w:t>
      </w:r>
      <w:r/>
    </w:p>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法定代表人</w:t>
      </w:r>
      <w:r>
        <w:rPr>
          <w:rFonts w:hint="eastAsia" w:ascii="宋体" w:hAnsi="宋体" w:eastAsia="宋体" w:cs="宋体"/>
          <w:color w:val="000000"/>
          <w:sz w:val="24"/>
          <w:szCs w:val="20"/>
          <w:highlight w:val="none"/>
        </w:rPr>
        <w:t xml:space="preserve">签字、签章或印鉴</w:t>
      </w:r>
      <w:r>
        <w:rPr>
          <w:rFonts w:hint="eastAsia" w:ascii="宋体" w:hAnsi="宋体" w:eastAsia="宋体" w:cs="宋体"/>
          <w:color w:val="000000"/>
          <w:sz w:val="24"/>
          <w:highlight w:val="none"/>
        </w:rPr>
        <w:t xml:space="preserve">：</w:t>
      </w:r>
      <w:r/>
    </w:p>
    <w:p>
      <w:pPr>
        <w:ind w:firstLine="432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说明：</w:t>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1.若供应商为事业单位或其他组织或分支机构（仅当招标文件注明允许分支机构投标的），则法定代表人（单位负责人）处的签署人可为单位负责人。</w:t>
      </w:r>
      <w:r/>
    </w:p>
    <w:p>
      <w:pPr>
        <w:jc w:val="left"/>
        <w:spacing w:line="360" w:lineRule="auto"/>
        <w:tabs>
          <w:tab w:val="left" w:pos="5580" w:leader="none"/>
        </w:tabs>
        <w:rPr>
          <w:rFonts w:hint="eastAsia" w:ascii="宋体" w:hAnsi="宋体" w:eastAsia="宋体" w:cs="宋体"/>
          <w:i/>
          <w:color w:val="000000"/>
          <w:sz w:val="24"/>
          <w:szCs w:val="20"/>
          <w:highlight w:val="none"/>
          <w:u w:val="single"/>
        </w:rPr>
      </w:pPr>
      <w:r>
        <w:rPr>
          <w:rFonts w:hint="eastAsia" w:ascii="宋体" w:hAnsi="宋体" w:eastAsia="宋体" w:cs="宋体"/>
          <w:color w:val="000000"/>
          <w:sz w:val="24"/>
          <w:szCs w:val="20"/>
          <w:highlight w:val="none"/>
        </w:rPr>
        <w:t xml:space="preserve">3.供应商为自然人的情形，可不提供本《授权委托书》。</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政府采购供应商信用承诺书</w:t>
      </w:r>
      <w:r>
        <w:rPr>
          <w:rFonts w:hint="eastAsia" w:ascii="宋体" w:hAnsi="宋体" w:eastAsia="宋体" w:cs="宋体"/>
          <w:color w:val="000000"/>
          <w:sz w:val="24"/>
          <w:szCs w:val="20"/>
          <w:highlight w:val="none"/>
        </w:rPr>
        <w:t xml:space="preserve">（实质性格式）</w:t>
      </w:r>
      <w:r/>
    </w:p>
    <w:p>
      <w:pPr>
        <w:ind w:firstLine="321"/>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政府采购供应商信用承诺书</w:t>
      </w:r>
      <w:r/>
    </w:p>
    <w:p>
      <w:pPr>
        <w:ind w:firstLine="64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五、承诺本单位自觉接受行政管理部门、行业组织、社会公众、新闻舆论的监督。 </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七、承诺本单位在信用中国（江苏）网站中无违法违规、较重或严重失信记录。 </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八、承诺本单位提出政府采购质疑和投诉坚持依法依规、诚实信用原则。</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九、根据政府采购相关法律法规的规定需要作出的其他承诺。 </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十一、承诺本单位同意将以上承诺事项上网公示，违背承诺约定行为将作为失信信息，记录到常州市公共信用信息系统，并予以公开。</w:t>
      </w:r>
      <w:r/>
    </w:p>
    <w:p>
      <w:pPr>
        <w:pStyle w:val="1259"/>
        <w:ind w:right="1050" w:firstLine="2880"/>
        <w:jc w:val="both"/>
        <w:spacing w:line="276"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w:t>
      </w:r>
      <w:r>
        <w:rPr>
          <w:rFonts w:hint="eastAsia" w:ascii="宋体" w:hAnsi="宋体" w:eastAsia="宋体" w:cs="宋体"/>
          <w:color w:val="000000"/>
          <w:sz w:val="24"/>
          <w:highlight w:val="none"/>
          <w:lang w:eastAsia="zh-CN"/>
        </w:rPr>
        <w:t xml:space="preserve">电子</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lang w:val="zh-CN"/>
        </w:rPr>
        <w:t xml:space="preserve">：____________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jc w:val="left"/>
        <w:widowControl/>
        <w:rPr>
          <w:rFonts w:hint="eastAsia" w:ascii="宋体" w:hAnsi="宋体" w:eastAsia="宋体" w:cs="宋体"/>
          <w:color w:val="000000"/>
          <w:sz w:val="24"/>
          <w:szCs w:val="20"/>
          <w:highlight w:val="none"/>
        </w:rPr>
      </w:pPr>
      <w:r/>
      <w:bookmarkStart w:id="414" w:name="_Hlt520355504"/>
      <w:r/>
      <w:bookmarkEnd w:id="414"/>
      <w:r/>
      <w:bookmarkStart w:id="415" w:name="_Hlt520274065"/>
      <w:r/>
      <w:bookmarkEnd w:id="415"/>
      <w:r/>
      <w:bookmarkStart w:id="416" w:name="_Hlt520274407"/>
      <w:r/>
      <w:bookmarkEnd w:id="416"/>
      <w:r/>
      <w:bookmarkStart w:id="417" w:name="_Hlt520350918"/>
      <w:r/>
      <w:bookmarkEnd w:id="417"/>
      <w:r/>
      <w:bookmarkStart w:id="418" w:name="_Hlt520343392"/>
      <w:r/>
      <w:bookmarkEnd w:id="418"/>
      <w:r/>
      <w:bookmarkStart w:id="419" w:name="_Hlt520271212"/>
      <w:r/>
      <w:bookmarkEnd w:id="419"/>
      <w:r/>
      <w:bookmarkStart w:id="420" w:name="_Hlt520343000"/>
      <w:r/>
      <w:bookmarkEnd w:id="420"/>
      <w:r/>
      <w:bookmarkStart w:id="421" w:name="_Hlt520274393"/>
      <w:r/>
      <w:bookmarkEnd w:id="421"/>
      <w:r/>
      <w:bookmarkStart w:id="422" w:name="_Hlt520273711"/>
      <w:r/>
      <w:bookmarkEnd w:id="422"/>
      <w:r/>
      <w:bookmarkStart w:id="423" w:name="_Hlt520274121"/>
      <w:r/>
      <w:bookmarkEnd w:id="423"/>
      <w:r/>
      <w:bookmarkStart w:id="424" w:name="_Toc127151557"/>
      <w:r/>
      <w:bookmarkStart w:id="425" w:name="_Toc305158825"/>
      <w:r/>
      <w:bookmarkStart w:id="426" w:name="_Toc264969247"/>
      <w:r/>
      <w:bookmarkStart w:id="427" w:name="_Toc150480795"/>
      <w:r/>
      <w:bookmarkStart w:id="428" w:name="_Ref467988705"/>
      <w:r/>
      <w:bookmarkStart w:id="429" w:name="_Toc226965747"/>
      <w:r/>
      <w:bookmarkStart w:id="430" w:name="_Toc520356218"/>
      <w:r/>
      <w:bookmarkStart w:id="431" w:name="_Toc226337253"/>
      <w:r/>
      <w:bookmarkStart w:id="432" w:name="_Toc226965830"/>
      <w:r/>
      <w:bookmarkStart w:id="433" w:name="_Toc150774762"/>
      <w:r/>
      <w:bookmarkStart w:id="434" w:name="_Toc480942350"/>
      <w:r/>
      <w:bookmarkStart w:id="435" w:name="_Toc305158899"/>
      <w:r/>
      <w:bookmarkStart w:id="436" w:name="_Toc226309801"/>
      <w:r/>
      <w:bookmarkStart w:id="437" w:name="_Toc265228395"/>
      <w:r/>
      <w:bookmarkStart w:id="438" w:name="_Toc195842922"/>
      <w:r/>
      <w:bookmarkStart w:id="439" w:name="_Toc142311059"/>
      <w:r>
        <w:rPr>
          <w:rFonts w:hint="eastAsia" w:ascii="宋体" w:hAnsi="宋体" w:eastAsia="宋体" w:cs="宋体"/>
          <w:color w:val="000000"/>
          <w:sz w:val="24"/>
          <w:szCs w:val="20"/>
          <w:highlight w:val="none"/>
        </w:rPr>
        <w:br w:type="page" w:clear="all"/>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4  开标一览表</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rPr>
          <w:rFonts w:hint="eastAsia" w:ascii="宋体" w:hAnsi="宋体" w:eastAsia="宋体" w:cs="宋体"/>
          <w:color w:val="000000"/>
          <w:sz w:val="24"/>
          <w:szCs w:val="20"/>
          <w:highlight w:val="none"/>
        </w:rPr>
        <w:t xml:space="preserve">（实质性格式）</w:t>
      </w:r>
      <w:r/>
    </w:p>
    <w:p>
      <w:pPr>
        <w:jc w:val="center"/>
        <w:spacing w:line="360" w:lineRule="auto"/>
        <w:rPr>
          <w:rFonts w:hint="eastAsia" w:ascii="宋体" w:hAnsi="宋体" w:eastAsia="宋体" w:cs="宋体"/>
          <w:b/>
          <w:color w:val="000000"/>
          <w:sz w:val="36"/>
          <w:szCs w:val="36"/>
          <w:highlight w:val="none"/>
        </w:rPr>
      </w:pPr>
      <w:r/>
      <w:bookmarkStart w:id="440" w:name="_Toc305158901"/>
      <w:r/>
      <w:bookmarkStart w:id="441" w:name="_Toc226965832"/>
      <w:r/>
      <w:bookmarkStart w:id="442" w:name="_Toc150774763"/>
      <w:r/>
      <w:bookmarkStart w:id="443" w:name="_Toc305158827"/>
      <w:r/>
      <w:bookmarkStart w:id="444" w:name="_Toc142311060"/>
      <w:r/>
      <w:bookmarkStart w:id="445" w:name="_Toc264969249"/>
      <w:r/>
      <w:bookmarkStart w:id="446" w:name="_Toc226309803"/>
      <w:r/>
      <w:bookmarkStart w:id="447" w:name="_Toc127151558"/>
      <w:r/>
      <w:bookmarkStart w:id="448" w:name="_Toc265228397"/>
      <w:r/>
      <w:bookmarkStart w:id="449" w:name="_Toc150480796"/>
      <w:r/>
      <w:bookmarkStart w:id="450" w:name="_Toc195842924"/>
      <w:r/>
      <w:bookmarkStart w:id="451" w:name="_Toc226965749"/>
      <w:r/>
      <w:bookmarkStart w:id="452" w:name="_Toc226337255"/>
      <w:r>
        <w:rPr>
          <w:rFonts w:hint="eastAsia" w:ascii="宋体" w:hAnsi="宋体" w:eastAsia="宋体" w:cs="宋体"/>
          <w:b/>
          <w:color w:val="000000"/>
          <w:sz w:val="36"/>
          <w:szCs w:val="36"/>
          <w:highlight w:val="none"/>
        </w:rPr>
        <w:t xml:space="preserve">开标一览表</w:t>
      </w:r>
      <w:r/>
    </w:p>
    <w:p>
      <w:pPr>
        <w:jc w:val="left"/>
        <w:spacing w:line="360" w:lineRule="auto"/>
        <w:tabs>
          <w:tab w:val="left" w:pos="1800" w:leader="none"/>
          <w:tab w:val="left" w:pos="5580" w:leader="none"/>
        </w:tabs>
        <w:rPr>
          <w:rFonts w:hint="eastAsia" w:ascii="宋体" w:hAnsi="宋体" w:eastAsia="宋体" w:cs="宋体"/>
          <w:i/>
          <w:color w:val="000000"/>
          <w:sz w:val="24"/>
          <w:highlight w:val="none"/>
        </w:rPr>
      </w:pPr>
      <w:r>
        <w:rPr>
          <w:rFonts w:hint="eastAsia" w:ascii="宋体" w:hAnsi="宋体" w:eastAsia="宋体" w:cs="宋体"/>
          <w:i/>
          <w:color w:val="000000"/>
          <w:sz w:val="24"/>
          <w:highlight w:val="none"/>
        </w:rPr>
      </w:r>
      <w:r/>
    </w:p>
    <w:p>
      <w:pPr>
        <w:ind w:firstLine="240"/>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项目编号/包号：_____________________     项目名称：____________</w:t>
      </w:r>
      <w:r/>
    </w:p>
    <w:p>
      <w:pPr>
        <w:ind w:firstLine="6240"/>
        <w:jc w:val="both"/>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报价单位：人民币元</w:t>
      </w:r>
      <w:r/>
    </w:p>
    <w:tbl>
      <w:tblPr>
        <w:tblStyle w:val="839"/>
        <w:tblW w:w="83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78"/>
        <w:gridCol w:w="5196"/>
      </w:tblGrid>
      <w:tr>
        <w:trPr>
          <w:jc w:val="center"/>
          <w:trHeight w:val="1130"/>
        </w:trPr>
        <w:tc>
          <w:tcPr>
            <w:tcW w:w="3178"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rPr>
              <w:t xml:space="preserve">投标报价</w:t>
            </w:r>
            <w:r/>
          </w:p>
        </w:tc>
        <w:tc>
          <w:tcPr>
            <w:tcW w:w="5196"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ascii="宋体" w:hAnsi="宋体" w:eastAsia="宋体" w:cs="宋体"/>
                <w:b/>
                <w:bCs/>
                <w:color w:val="000000"/>
                <w:sz w:val="24"/>
                <w:szCs w:val="24"/>
                <w:highlight w:val="none"/>
                <w:lang w:val="en-US" w:eastAsia="zh-CN"/>
              </w:rPr>
              <w:suppressLineNumbers w:val="0"/>
            </w:pP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u w:val="single"/>
                <w:lang w:val="en-US" w:eastAsia="zh-CN"/>
              </w:rPr>
              <w:t xml:space="preserve">        </w:t>
            </w:r>
            <w:r/>
          </w:p>
        </w:tc>
      </w:tr>
    </w:tbl>
    <w:p>
      <w:pPr>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keepLines w:val="0"/>
        <w:keepNext w:val="0"/>
        <w:pageBreakBefore w:val="0"/>
        <w:spacing w:line="400" w:lineRule="exact"/>
        <w:widowControl w:val="off"/>
        <w:rPr>
          <w:rFonts w:hint="eastAsia" w:ascii="宋体" w:hAnsi="宋体" w:eastAsia="宋体" w:cs="宋体"/>
          <w:color w:val="000000"/>
          <w:sz w:val="24"/>
          <w:szCs w:val="20"/>
          <w:highlight w:val="none"/>
        </w:rPr>
      </w:pPr>
      <w:r>
        <w:rPr>
          <w:rFonts w:hint="eastAsia" w:ascii="宋体" w:hAnsi="宋体" w:eastAsia="宋体" w:cs="宋体"/>
          <w:color w:val="000000"/>
          <w:sz w:val="24"/>
          <w:highlight w:val="none"/>
        </w:rPr>
        <w:t xml:space="preserve">注：1</w:t>
      </w:r>
      <w:r>
        <w:rPr>
          <w:rFonts w:hint="eastAsia" w:ascii="宋体" w:hAnsi="宋体" w:eastAsia="宋体" w:cs="宋体"/>
          <w:color w:val="000000"/>
          <w:sz w:val="24"/>
          <w:szCs w:val="20"/>
          <w:highlight w:val="none"/>
        </w:rPr>
        <w:t xml:space="preserve">.此表中，每包的投标报价应和《投标分项报价表》中的总价相一致。</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w:t>
      </w:r>
      <w:r>
        <w:rPr>
          <w:rFonts w:hint="eastAsia" w:ascii="宋体" w:hAnsi="宋体" w:eastAsia="宋体" w:cs="宋体"/>
          <w:color w:val="000000"/>
          <w:sz w:val="24"/>
          <w:highlight w:val="none"/>
          <w:lang w:eastAsia="zh-CN"/>
        </w:rPr>
        <w:t xml:space="preserve">电子</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lang w:val="zh-CN"/>
        </w:rPr>
        <w:t xml:space="preserve">：____________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b/>
          <w:color w:val="000000"/>
          <w:sz w:val="32"/>
          <w:szCs w:val="32"/>
          <w:highlight w:val="none"/>
        </w:rPr>
        <w:br w:type="page" w:clear="all"/>
      </w:r>
      <w:r>
        <w:rPr>
          <w:rFonts w:hint="eastAsia" w:ascii="宋体" w:hAnsi="宋体" w:eastAsia="宋体" w:cs="宋体"/>
          <w:color w:val="000000"/>
          <w:sz w:val="24"/>
          <w:szCs w:val="20"/>
          <w:highlight w:val="none"/>
        </w:rPr>
        <w:t xml:space="preserve">5  投标</w:t>
      </w:r>
      <w:r>
        <w:rPr>
          <w:rFonts w:hint="eastAsia" w:ascii="宋体" w:hAnsi="宋体" w:eastAsia="宋体" w:cs="宋体"/>
          <w:color w:val="000000"/>
          <w:sz w:val="24"/>
          <w:szCs w:val="20"/>
          <w:highlight w:val="none"/>
          <w:lang w:eastAsia="zh-CN"/>
        </w:rPr>
        <w:t xml:space="preserve">清单</w:t>
      </w:r>
      <w:r>
        <w:rPr>
          <w:rFonts w:hint="eastAsia" w:ascii="宋体" w:hAnsi="宋体" w:eastAsia="宋体" w:cs="宋体"/>
          <w:color w:val="000000"/>
          <w:sz w:val="24"/>
          <w:szCs w:val="20"/>
          <w:highlight w:val="none"/>
        </w:rPr>
        <w:t xml:space="preserve">报价表</w:t>
      </w:r>
      <w:r/>
    </w:p>
    <w:p>
      <w:pPr>
        <w:numPr>
          <w:ilvl w:val="0"/>
          <w:numId w:val="12"/>
        </w:num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投标</w:t>
      </w:r>
      <w:r>
        <w:rPr>
          <w:rFonts w:hint="eastAsia" w:ascii="宋体" w:hAnsi="宋体" w:eastAsia="宋体" w:cs="宋体"/>
          <w:b/>
          <w:color w:val="000000"/>
          <w:sz w:val="32"/>
          <w:szCs w:val="32"/>
          <w:highlight w:val="none"/>
          <w:lang w:eastAsia="zh-CN"/>
        </w:rPr>
        <w:t xml:space="preserve">清单</w:t>
      </w:r>
      <w:r>
        <w:rPr>
          <w:rFonts w:hint="eastAsia" w:ascii="宋体" w:hAnsi="宋体" w:cs="宋体"/>
          <w:b/>
          <w:color w:val="000000"/>
          <w:sz w:val="32"/>
          <w:szCs w:val="32"/>
          <w:highlight w:val="none"/>
          <w:lang w:eastAsia="zh-CN"/>
        </w:rPr>
        <w:t xml:space="preserve">汇总</w:t>
      </w:r>
      <w:r>
        <w:rPr>
          <w:rFonts w:hint="eastAsia" w:ascii="宋体" w:hAnsi="宋体" w:eastAsia="宋体" w:cs="宋体"/>
          <w:b/>
          <w:color w:val="000000"/>
          <w:sz w:val="32"/>
          <w:szCs w:val="32"/>
          <w:highlight w:val="none"/>
        </w:rPr>
        <w:t xml:space="preserve">表</w:t>
      </w:r>
      <w:r/>
    </w:p>
    <w:p>
      <w:pPr>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项目编号:_____________________     项目名称:_______________________</w:t>
      </w:r>
      <w:r/>
    </w:p>
    <w:tbl>
      <w:tblPr>
        <w:tblStyle w:val="839"/>
        <w:tblW w:w="10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5"/>
        <w:gridCol w:w="2378"/>
        <w:gridCol w:w="2935"/>
        <w:gridCol w:w="1250"/>
        <w:gridCol w:w="1250"/>
        <w:gridCol w:w="1250"/>
      </w:tblGrid>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单价（元）</w:t>
            </w:r>
            <w:r/>
          </w:p>
        </w:tc>
        <w:tc>
          <w:tcPr>
            <w:tcW w:w="1250" w:type="dxa"/>
            <w:vAlign w:val="center"/>
            <w:textDirection w:val="lrTb"/>
            <w:noWrap/>
          </w:tcPr>
          <w:p>
            <w:pPr>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小计（元）</w:t>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化学上排风实验室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化学实验室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化学传感器</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项</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化学准备室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化学危化品室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化学药品室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融合教室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生物小组实验室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生物显微镜实验室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生物实验室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生物准备室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生物仪器室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生物标本室（利旧）</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物理实验室（利旧）</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物理实验室（新建）</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物理准备室（利旧）</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物理仪器室（利旧）</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tcW w:w="23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物理仪器室2（利旧）</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tcW w:w="237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心理团体辅导室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tcW w:w="237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情绪疏导室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tcW w:w="237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音乐放松室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tcW w:w="237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心理咨询办公接待室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tcW w:w="237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心理咨询研讨督导室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tcW w:w="237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沙盘游戏室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tcW w:w="1025"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tcW w:w="237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心理个体辅导室</w:t>
            </w:r>
            <w:r/>
          </w:p>
        </w:tc>
        <w:tc>
          <w:tcPr>
            <w:tcW w:w="29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间</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340"/>
        </w:trPr>
        <w:tc>
          <w:tcPr>
            <w:gridSpan w:val="5"/>
            <w:tcW w:w="8838" w:type="dxa"/>
            <w:vAlign w:val="center"/>
            <w:textDirection w:val="lrTb"/>
            <w:noWrap/>
          </w:tcPr>
          <w:p>
            <w:pPr>
              <w:jc w:val="center"/>
              <w:keepLines w:val="0"/>
              <w:keepNext w:val="0"/>
              <w:widowControl/>
              <w:tabs>
                <w:tab w:val="left" w:pos="5135" w:leader="none"/>
              </w:tabs>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合计（元）</w:t>
            </w:r>
            <w:r/>
          </w:p>
        </w:tc>
        <w:tc>
          <w:tcPr>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bl>
    <w:p>
      <w:pPr>
        <w:spacing w:before="25" w:after="25"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highlight w:val="none"/>
        </w:rPr>
        <w:t xml:space="preserve">投标人名称(加盖电子公章)</w:t>
      </w:r>
      <w:r>
        <w:rPr>
          <w:rFonts w:hint="eastAsia" w:ascii="宋体" w:hAnsi="宋体" w:eastAsia="宋体" w:cs="宋体"/>
          <w:color w:val="000000"/>
          <w:sz w:val="24"/>
          <w:highlight w:val="none"/>
          <w:lang w:val="zh-CN"/>
        </w:rPr>
        <w:t xml:space="preserve">:____________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cs="宋体"/>
          <w:b/>
          <w:color w:val="000000"/>
          <w:sz w:val="32"/>
          <w:szCs w:val="32"/>
          <w:highlight w:val="none"/>
          <w:lang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color w:val="000000"/>
          <w:sz w:val="32"/>
          <w:szCs w:val="32"/>
          <w:highlight w:val="none"/>
          <w:lang w:eastAsia="zh-CN"/>
        </w:rPr>
      </w:r>
      <w:r/>
    </w:p>
    <w:p>
      <w:pPr>
        <w:jc w:val="center"/>
        <w:rPr>
          <w:rFonts w:hint="eastAsia" w:ascii="宋体" w:hAnsi="宋体" w:eastAsia="宋体" w:cs="宋体"/>
          <w:color w:val="000000"/>
          <w:sz w:val="24"/>
          <w:highlight w:val="none"/>
        </w:rPr>
      </w:pPr>
      <w:r>
        <w:rPr>
          <w:rFonts w:hint="eastAsia" w:ascii="宋体" w:hAnsi="宋体" w:cs="宋体"/>
          <w:b/>
          <w:color w:val="000000"/>
          <w:sz w:val="32"/>
          <w:szCs w:val="32"/>
          <w:highlight w:val="none"/>
          <w:lang w:eastAsia="zh-CN"/>
        </w:rPr>
        <w:t xml:space="preserve">（</w:t>
      </w:r>
      <w:r>
        <w:rPr>
          <w:rFonts w:hint="eastAsia" w:ascii="宋体" w:hAnsi="宋体" w:cs="宋体"/>
          <w:b/>
          <w:color w:val="000000"/>
          <w:sz w:val="32"/>
          <w:szCs w:val="32"/>
          <w:highlight w:val="none"/>
          <w:lang w:val="en-US" w:eastAsia="zh-CN"/>
        </w:rPr>
        <w:t xml:space="preserve">2</w:t>
      </w:r>
      <w:r>
        <w:rPr>
          <w:rFonts w:hint="eastAsia" w:ascii="宋体" w:hAnsi="宋体" w:cs="宋体"/>
          <w:b/>
          <w:color w:val="000000"/>
          <w:sz w:val="32"/>
          <w:szCs w:val="32"/>
          <w:highlight w:val="none"/>
          <w:lang w:eastAsia="zh-CN"/>
        </w:rPr>
        <w:t xml:space="preserve">）</w:t>
      </w:r>
      <w:r>
        <w:rPr>
          <w:rFonts w:hint="eastAsia" w:ascii="宋体" w:hAnsi="宋体" w:eastAsia="宋体" w:cs="宋体"/>
          <w:b/>
          <w:color w:val="000000"/>
          <w:sz w:val="32"/>
          <w:szCs w:val="32"/>
          <w:highlight w:val="none"/>
        </w:rPr>
        <w:t xml:space="preserve">投标报价</w:t>
      </w:r>
      <w:r>
        <w:rPr>
          <w:rFonts w:hint="eastAsia" w:ascii="宋体" w:hAnsi="宋体" w:cs="宋体"/>
          <w:b/>
          <w:color w:val="000000"/>
          <w:sz w:val="32"/>
          <w:szCs w:val="32"/>
          <w:highlight w:val="none"/>
          <w:lang w:eastAsia="zh-CN"/>
        </w:rPr>
        <w:t xml:space="preserve">明细</w:t>
      </w:r>
      <w:r>
        <w:rPr>
          <w:rFonts w:hint="eastAsia" w:ascii="宋体" w:hAnsi="宋体" w:eastAsia="宋体" w:cs="宋体"/>
          <w:b/>
          <w:color w:val="000000"/>
          <w:sz w:val="32"/>
          <w:szCs w:val="32"/>
          <w:highlight w:val="none"/>
        </w:rPr>
        <w:t xml:space="preserve">表</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
    </w:p>
    <w:p>
      <w:pPr>
        <w:jc w:val="left"/>
        <w:spacing w:line="360" w:lineRule="auto"/>
        <w:tabs>
          <w:tab w:val="left" w:pos="1800" w:leader="none"/>
          <w:tab w:val="left" w:pos="5580" w:leader="none"/>
        </w:tabs>
        <w:rPr>
          <w:rFonts w:hint="eastAsia" w:ascii="宋体" w:hAnsi="宋体" w:eastAsia="宋体" w:cs="宋体"/>
          <w:color w:val="000000"/>
          <w:sz w:val="24"/>
          <w:highlight w:val="none"/>
          <w:lang w:val="zh-CN"/>
        </w:rPr>
      </w:pPr>
      <w:r/>
      <w:bookmarkStart w:id="453" w:name="_Toc226965752"/>
      <w:r/>
      <w:bookmarkStart w:id="454" w:name="_Toc226965835"/>
      <w:r/>
      <w:bookmarkStart w:id="455" w:name="_Toc305158904"/>
      <w:r/>
      <w:bookmarkStart w:id="456" w:name="_Toc226309806"/>
      <w:r/>
      <w:bookmarkStart w:id="457" w:name="_Toc265228400"/>
      <w:r/>
      <w:bookmarkStart w:id="458" w:name="_Toc226337258"/>
      <w:r/>
      <w:bookmarkStart w:id="459" w:name="_Toc195842927"/>
      <w:r/>
      <w:bookmarkStart w:id="460" w:name="_Toc264969252"/>
      <w:r/>
      <w:bookmarkStart w:id="461" w:name="_Toc142311062"/>
      <w:r/>
      <w:bookmarkStart w:id="462" w:name="_Toc150480798"/>
      <w:r/>
      <w:bookmarkStart w:id="463" w:name="_Toc150774765"/>
      <w:r/>
      <w:bookmarkStart w:id="464" w:name="_Toc127151562"/>
      <w:r/>
      <w:bookmarkStart w:id="465" w:name="_Toc305158830"/>
      <w:r/>
      <w:bookmarkStart w:id="466" w:name="_Toc264969251"/>
      <w:r/>
      <w:bookmarkStart w:id="467" w:name="_Toc265228399"/>
      <w:r/>
      <w:bookmarkStart w:id="468" w:name="_Toc226965751"/>
      <w:r/>
      <w:bookmarkStart w:id="469" w:name="_Toc142311061"/>
      <w:r/>
      <w:bookmarkStart w:id="470" w:name="_Toc150480797"/>
      <w:r/>
      <w:bookmarkStart w:id="471" w:name="_Toc305158829"/>
      <w:r/>
      <w:bookmarkStart w:id="472" w:name="_Toc226309805"/>
      <w:r/>
      <w:bookmarkStart w:id="473" w:name="_Toc150774764"/>
      <w:r/>
      <w:bookmarkStart w:id="474" w:name="_Toc305158903"/>
      <w:r/>
      <w:bookmarkStart w:id="475" w:name="_Toc226337257"/>
      <w:r/>
      <w:bookmarkStart w:id="476" w:name="_Toc226965834"/>
      <w:r/>
      <w:bookmarkStart w:id="477" w:name="_Toc127151561"/>
      <w:r/>
      <w:bookmarkStart w:id="478" w:name="_Toc195842926"/>
      <w:r>
        <w:rPr>
          <w:rFonts w:hint="eastAsia" w:ascii="宋体" w:hAnsi="宋体" w:eastAsia="宋体" w:cs="宋体"/>
          <w:color w:val="000000"/>
          <w:sz w:val="24"/>
          <w:highlight w:val="none"/>
        </w:rPr>
        <w:t xml:space="preserve">项目编号:_____________________     项目名称:_______________________</w:t>
      </w:r>
      <w:r/>
    </w:p>
    <w:tbl>
      <w:tblPr>
        <w:tblStyle w:val="839"/>
        <w:tblW w:w="4986" w:type="pct"/>
        <w:jc w:val="center"/>
        <w:tblLayout w:type="autofit"/>
        <w:tblCellMar>
          <w:left w:w="108" w:type="dxa"/>
          <w:top w:w="0" w:type="dxa"/>
          <w:right w:w="108" w:type="dxa"/>
          <w:bottom w:w="0" w:type="dxa"/>
        </w:tblCellMar>
        <w:tblLook w:val="04A0" w:firstRow="1" w:lastRow="0" w:firstColumn="1" w:lastColumn="0" w:noHBand="0" w:noVBand="1"/>
      </w:tblPr>
      <w:tblGrid>
        <w:gridCol w:w="638"/>
        <w:gridCol w:w="449"/>
        <w:gridCol w:w="442"/>
        <w:gridCol w:w="2281"/>
        <w:gridCol w:w="1290"/>
        <w:gridCol w:w="451"/>
        <w:gridCol w:w="427"/>
        <w:gridCol w:w="427"/>
        <w:gridCol w:w="2857"/>
      </w:tblGrid>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品牌</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型号</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eastAsia="zh-CN" w:bidi="ar"/>
              </w:rPr>
              <w:t xml:space="preserve">规格</w:t>
            </w:r>
            <w:r>
              <w:rPr>
                <w:rFonts w:hint="eastAsia" w:ascii="宋体" w:hAnsi="宋体" w:eastAsia="宋体" w:cs="宋体"/>
                <w:b/>
                <w:bCs/>
                <w:color w:val="000000"/>
                <w:szCs w:val="21"/>
                <w:highlight w:val="none"/>
                <w:lang w:bidi="ar"/>
              </w:rPr>
              <w:t xml:space="preserve">参数</w:t>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单价</w:t>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小计</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jc w:val="center"/>
              <w:widowControl/>
              <w:rPr>
                <w:rFonts w:hint="eastAsia" w:ascii="宋体" w:hAnsi="宋体" w:eastAsia="宋体" w:cs="宋体"/>
                <w:b/>
                <w:bCs/>
                <w:color w:val="000000"/>
                <w:szCs w:val="21"/>
                <w:highlight w:val="none"/>
                <w:lang w:eastAsia="zh-CN" w:bidi="ar"/>
              </w:rPr>
            </w:pPr>
            <w:r>
              <w:rPr>
                <w:rFonts w:hint="eastAsia" w:ascii="宋体" w:hAnsi="宋体" w:eastAsia="宋体" w:cs="宋体"/>
                <w:b/>
                <w:bCs/>
                <w:color w:val="000000"/>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tc>
      </w:tr>
      <w:tr>
        <w:trPr>
          <w:jc w:val="center"/>
          <w:trHeight w:val="312"/>
        </w:trPr>
        <w:tc>
          <w:tcPr>
            <w:gridSpan w:val="4"/>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spacing w:line="3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总价</w:t>
            </w:r>
            <w:r/>
          </w:p>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color w:val="000000"/>
                <w:szCs w:val="21"/>
                <w:highlight w:val="none"/>
              </w:rPr>
              <w:t xml:space="preserve">(人民币:元)</w:t>
            </w:r>
            <w:r/>
          </w:p>
        </w:tc>
        <w:tc>
          <w:tcPr>
            <w:gridSpan w:val="5"/>
            <w:tcBorders>
              <w:top w:val="single" w:color="000000" w:sz="4" w:space="0"/>
              <w:left w:val="single" w:color="000000" w:sz="4" w:space="0"/>
              <w:bottom w:val="single" w:color="000000" w:sz="4" w:space="0"/>
              <w:right w:val="single" w:color="000000" w:sz="4" w:space="0"/>
            </w:tcBorders>
            <w:tcW w:w="5608" w:type="dxa"/>
            <w:vAlign w:val="center"/>
            <w:textDirection w:val="lrTb"/>
            <w:noWrap w:val="false"/>
          </w:tcPr>
          <w:p>
            <w:pPr>
              <w:jc w:val="center"/>
              <w:spacing w:line="480" w:lineRule="auto"/>
              <w:widowControl/>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小写: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元；</w:t>
            </w:r>
            <w:r/>
          </w:p>
          <w:p>
            <w:pPr>
              <w:jc w:val="center"/>
              <w:widowControl/>
              <w:rPr>
                <w:rFonts w:hint="eastAsia" w:ascii="宋体" w:hAnsi="宋体" w:eastAsia="宋体" w:cs="宋体"/>
                <w:b/>
                <w:bCs/>
                <w:color w:val="000000"/>
                <w:szCs w:val="21"/>
                <w:highlight w:val="none"/>
                <w:lang w:bidi="ar"/>
              </w:rPr>
            </w:pPr>
            <w:r>
              <w:rPr>
                <w:rFonts w:hint="eastAsia" w:ascii="宋体" w:hAnsi="宋体" w:eastAsia="宋体" w:cs="宋体"/>
                <w:color w:val="000000"/>
                <w:szCs w:val="21"/>
                <w:highlight w:val="none"/>
              </w:rPr>
              <w:t xml:space="preserve">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元。</w:t>
            </w:r>
            <w:r/>
          </w:p>
        </w:tc>
      </w:tr>
    </w:tbl>
    <w:p>
      <w:pPr>
        <w:spacing w:before="25" w:after="25"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zh-CN"/>
        </w:rPr>
        <w:t xml:space="preserve">注：格式仅供参考，投标人可自行修改。</w:t>
      </w:r>
      <w:r/>
    </w:p>
    <w:p>
      <w:pPr>
        <w:spacing w:before="25" w:after="25"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highlight w:val="none"/>
        </w:rPr>
        <w:t xml:space="preserve">投标人名称(加盖电子公章)</w:t>
      </w:r>
      <w:r>
        <w:rPr>
          <w:rFonts w:hint="eastAsia" w:ascii="宋体" w:hAnsi="宋体" w:eastAsia="宋体" w:cs="宋体"/>
          <w:color w:val="000000"/>
          <w:sz w:val="24"/>
          <w:highlight w:val="none"/>
          <w:lang w:val="zh-CN"/>
        </w:rPr>
        <w:t xml:space="preserve">:____________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jc w:val="left"/>
        <w:spacing w:line="360" w:lineRule="auto"/>
        <w:tabs>
          <w:tab w:val="left" w:pos="1800" w:leader="none"/>
          <w:tab w:val="left" w:pos="5580" w:leader="none"/>
        </w:tabs>
        <w:rPr>
          <w:rFonts w:hint="eastAsia" w:ascii="宋体" w:hAnsi="宋体" w:eastAsia="宋体" w:cs="宋体"/>
          <w:color w:val="000000"/>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6  合同条款偏离表</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Pr>
          <w:rFonts w:hint="eastAsia" w:ascii="宋体" w:hAnsi="宋体" w:eastAsia="宋体" w:cs="宋体"/>
          <w:color w:val="000000"/>
          <w:sz w:val="24"/>
          <w:szCs w:val="20"/>
          <w:highlight w:val="none"/>
        </w:rPr>
        <w:t xml:space="preserve">（实质性格式）</w:t>
      </w:r>
      <w:r/>
    </w:p>
    <w:p>
      <w:pPr>
        <w:jc w:val="center"/>
        <w:spacing w:line="360" w:lineRule="auto"/>
        <w:tabs>
          <w:tab w:val="left" w:pos="2775" w:leader="none"/>
          <w:tab w:val="center" w:pos="4153" w:leader="none"/>
        </w:tabs>
        <w:rPr>
          <w:rFonts w:hint="eastAsia" w:ascii="宋体" w:hAnsi="宋体" w:eastAsia="宋体" w:cs="宋体"/>
          <w:color w:val="000000"/>
          <w:sz w:val="24"/>
          <w:szCs w:val="20"/>
          <w:highlight w:val="none"/>
        </w:rPr>
      </w:pPr>
      <w:r>
        <w:rPr>
          <w:rFonts w:hint="eastAsia" w:ascii="宋体" w:hAnsi="宋体" w:eastAsia="宋体" w:cs="宋体"/>
          <w:b/>
          <w:color w:val="000000"/>
          <w:sz w:val="36"/>
          <w:szCs w:val="36"/>
          <w:highlight w:val="none"/>
        </w:rPr>
        <w:t xml:space="preserve">合同条款偏离表</w:t>
      </w:r>
      <w:r/>
    </w:p>
    <w:p>
      <w:pPr>
        <w:ind w:firstLine="360"/>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项目编号/包号：_____________________     项目名称：_____________</w:t>
      </w:r>
      <w:r/>
    </w:p>
    <w:tbl>
      <w:tblPr>
        <w:tblStyle w:val="8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对本项目合同条款的偏离情况（请进行勾选）：</w:t>
            </w:r>
            <w:r/>
          </w:p>
          <w:p>
            <w:pPr>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□无偏离</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1"/>
                <w:highlight w:val="none"/>
              </w:rPr>
              <w:t xml:space="preserve">如无偏离，仅勾选无偏离即可</w:t>
            </w:r>
            <w:r>
              <w:rPr>
                <w:rFonts w:hint="eastAsia" w:ascii="宋体" w:hAnsi="宋体" w:eastAsia="宋体" w:cs="宋体"/>
                <w:color w:val="000000"/>
                <w:sz w:val="24"/>
                <w:highlight w:val="none"/>
              </w:rPr>
              <w:t xml:space="preserve">）</w:t>
            </w:r>
            <w:r/>
          </w:p>
          <w:p>
            <w:pPr>
              <w:jc w:val="lef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□有偏离</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1"/>
                <w:highlight w:val="none"/>
              </w:rPr>
              <w:t xml:space="preserve">如有偏离，</w:t>
            </w:r>
            <w:r>
              <w:rPr>
                <w:rFonts w:hint="eastAsia" w:ascii="宋体" w:hAnsi="宋体" w:eastAsia="宋体" w:cs="宋体"/>
                <w:color w:val="000000"/>
                <w:sz w:val="24"/>
                <w:highlight w:val="none"/>
              </w:rPr>
              <w:t xml:space="preserve">则应在本表中对偏离项逐一列明）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招标文件</w:t>
            </w:r>
            <w:r>
              <w:rPr>
                <w:rFonts w:hint="eastAsia" w:ascii="宋体" w:hAnsi="宋体" w:eastAsia="宋体" w:cs="宋体"/>
                <w:color w:val="000000"/>
                <w:sz w:val="24"/>
                <w:highlight w:val="none"/>
              </w:rPr>
              <w:t xml:space="preserve">条目号（页码）</w:t>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招标文件</w:t>
            </w:r>
            <w:r>
              <w:rPr>
                <w:rFonts w:hint="eastAsia" w:ascii="宋体" w:hAnsi="宋体" w:eastAsia="宋体" w:cs="宋体"/>
                <w:color w:val="000000"/>
                <w:sz w:val="24"/>
                <w:highlight w:val="none"/>
              </w:rPr>
              <w:t xml:space="preserve">要求</w:t>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投标文件内容</w:t>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偏离情况</w:t>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“偏离情况”列应据实填写“正偏离”或“负偏离”。</w:t>
      </w:r>
      <w:r/>
    </w:p>
    <w:p>
      <w:pPr>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w:t>
      </w:r>
      <w:r>
        <w:rPr>
          <w:rFonts w:hint="eastAsia" w:ascii="宋体" w:hAnsi="宋体" w:eastAsia="宋体" w:cs="宋体"/>
          <w:color w:val="000000"/>
          <w:sz w:val="24"/>
          <w:highlight w:val="none"/>
          <w:lang w:eastAsia="zh-CN"/>
        </w:rPr>
        <w:t xml:space="preserve">电子</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lang w:val="zh-CN"/>
        </w:rPr>
        <w:t xml:space="preserve">：    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rPr>
        <w:t xml:space="preserve">7  </w:t>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hint="eastAsia" w:ascii="宋体" w:hAnsi="宋体" w:eastAsia="宋体" w:cs="宋体"/>
          <w:color w:val="000000"/>
          <w:sz w:val="24"/>
          <w:szCs w:val="20"/>
          <w:highlight w:val="none"/>
        </w:rPr>
        <w:t xml:space="preserve">采购需求偏离表（实质性格式）</w:t>
      </w:r>
      <w:r/>
    </w:p>
    <w:p>
      <w:pPr>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采购需求偏离表</w:t>
      </w:r>
      <w:r/>
    </w:p>
    <w:p>
      <w:pPr>
        <w:ind w:firstLine="36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项目编号/包号：_____________________     项目名称：____________</w:t>
      </w:r>
      <w:r/>
    </w:p>
    <w:tbl>
      <w:tblPr>
        <w:tblStyle w:val="839"/>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招标文件条目号(页码)</w:t>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招标文件要求</w:t>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投标响应内容</w:t>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偏离情况</w:t>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p>
        </w:tc>
        <w:tc>
          <w:tcPr>
            <w:tcW w:w="148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ind w:firstLine="36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对招标文件中的所有商务、技术要求，除本表所列明的所有偏离外，均视作供应商已对之理解和响应。此表中若无任何文字说明，内容为空白，</w:t>
      </w:r>
      <w:r>
        <w:rPr>
          <w:rFonts w:hint="eastAsia" w:ascii="宋体" w:hAnsi="宋体" w:eastAsia="宋体" w:cs="宋体"/>
          <w:b/>
          <w:color w:val="000000"/>
          <w:sz w:val="24"/>
          <w:highlight w:val="none"/>
        </w:rPr>
        <w:t xml:space="preserve">投标无效。</w:t>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2.“偏离情况”列应据实填写“正偏离”或“负偏离”。</w:t>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w:t>
      </w:r>
      <w:r>
        <w:rPr>
          <w:rFonts w:hint="eastAsia" w:ascii="宋体" w:hAnsi="宋体" w:eastAsia="宋体" w:cs="宋体"/>
          <w:color w:val="000000"/>
          <w:sz w:val="24"/>
          <w:highlight w:val="none"/>
          <w:lang w:eastAsia="zh-CN"/>
        </w:rPr>
        <w:t xml:space="preserve">电子</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lang w:val="zh-CN"/>
        </w:rPr>
        <w:t xml:space="preserve">：    ____________</w:t>
      </w:r>
      <w:r/>
    </w:p>
    <w:p>
      <w:pPr>
        <w:spacing w:before="25" w:after="25" w:line="360" w:lineRule="auto"/>
        <w:rPr>
          <w:rFonts w:hint="eastAsia" w:ascii="宋体" w:hAnsi="宋体" w:eastAsia="宋体" w:cs="宋体"/>
          <w:color w:val="000000"/>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000000"/>
          <w:sz w:val="24"/>
          <w:szCs w:val="20"/>
          <w:highlight w:val="none"/>
        </w:rPr>
        <w:t xml:space="preserve">日期：_____年______月______日   </w:t>
      </w:r>
      <w:r/>
    </w:p>
    <w:p>
      <w:pPr>
        <w:pStyle w:val="1041"/>
        <w:ind w:left="0" w:firstLine="0"/>
        <w:rPr>
          <w:rFonts w:eastAsia="宋体"/>
          <w:color w:val="000000"/>
          <w:highlight w:val="none"/>
          <w:lang w:val="en-US" w:eastAsia="zh-CN"/>
        </w:rPr>
      </w:pPr>
      <w:r>
        <w:rPr>
          <w:rFonts w:hint="eastAsia"/>
          <w:color w:val="000000"/>
          <w:highlight w:val="none"/>
          <w:lang w:val="en-US" w:eastAsia="zh-CN"/>
        </w:rPr>
        <w:t xml:space="preserve">8技术偏离表</w:t>
      </w:r>
      <w:r/>
    </w:p>
    <w:p>
      <w:pPr>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技术偏离表</w:t>
      </w:r>
      <w:r/>
    </w:p>
    <w:p>
      <w:pPr>
        <w:jc w:val="center"/>
        <w:rPr>
          <w:color w:val="000000"/>
          <w:sz w:val="36"/>
          <w:szCs w:val="36"/>
          <w:highlight w:val="none"/>
        </w:rPr>
      </w:pPr>
      <w:r>
        <w:rPr>
          <w:color w:val="000000"/>
          <w:sz w:val="36"/>
          <w:szCs w:val="36"/>
          <w:highlight w:val="none"/>
        </w:rPr>
      </w:r>
      <w:r/>
    </w:p>
    <w:p>
      <w:pPr>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w:t>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项目名称：_______________________</w:t>
      </w:r>
      <w:r/>
    </w:p>
    <w:tbl>
      <w:tblPr>
        <w:tblStyle w:val="839"/>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color w:val="000000"/>
                <w:sz w:val="24"/>
                <w:highlight w:val="none"/>
              </w:rPr>
            </w:pPr>
            <w:r>
              <w:rPr>
                <w:rFonts w:hint="eastAsia"/>
                <w:b/>
                <w:bCs/>
                <w:color w:val="000000"/>
                <w:sz w:val="24"/>
                <w:highlight w:val="none"/>
              </w:rPr>
              <w:t xml:space="preserve">对本项目采购文件要求的偏离情况</w:t>
            </w:r>
            <w:r>
              <w:rPr>
                <w:b/>
                <w:bCs/>
                <w:color w:val="000000"/>
                <w:sz w:val="24"/>
                <w:highlight w:val="none"/>
              </w:rPr>
              <w:t xml:space="preserve">(</w:t>
            </w:r>
            <w:r>
              <w:rPr>
                <w:rFonts w:hint="eastAsia"/>
                <w:b/>
                <w:bCs/>
                <w:color w:val="000000"/>
                <w:sz w:val="24"/>
                <w:highlight w:val="none"/>
              </w:rPr>
              <w:t xml:space="preserve">请进行勾选</w:t>
            </w:r>
            <w:r>
              <w:rPr>
                <w:b/>
                <w:bCs/>
                <w:color w:val="000000"/>
                <w:sz w:val="24"/>
                <w:highlight w:val="none"/>
              </w:rPr>
              <w:t xml:space="preserve">)</w:t>
            </w:r>
            <w:r>
              <w:rPr>
                <w:rFonts w:hint="eastAsia"/>
                <w:b/>
                <w:bCs/>
                <w:color w:val="000000"/>
                <w:sz w:val="24"/>
                <w:highlight w:val="none"/>
              </w:rPr>
              <w:t xml:space="preserve">：</w:t>
            </w:r>
            <w:r/>
          </w:p>
          <w:p>
            <w:pPr>
              <w:rPr>
                <w:color w:val="000000"/>
                <w:sz w:val="24"/>
                <w:highlight w:val="none"/>
              </w:rPr>
            </w:pPr>
            <w:r>
              <w:rPr>
                <w:rFonts w:hint="eastAsia"/>
                <w:color w:val="000000"/>
                <w:sz w:val="24"/>
                <w:highlight w:val="none"/>
              </w:rPr>
              <w:t xml:space="preserve">□无偏离（如无偏离，仅勾选无偏离即可）</w:t>
            </w:r>
            <w:r/>
          </w:p>
          <w:p>
            <w:pPr>
              <w:rPr>
                <w:color w:val="000000"/>
                <w:sz w:val="24"/>
                <w:highlight w:val="none"/>
              </w:rPr>
            </w:pPr>
            <w:r>
              <w:rPr>
                <w:rFonts w:hint="eastAsia"/>
                <w:color w:val="000000"/>
                <w:sz w:val="24"/>
                <w:highlight w:val="none"/>
              </w:rPr>
              <w:t xml:space="preserve">□有偏离（如有偏离，则应在本表中对</w:t>
            </w:r>
            <w:r>
              <w:rPr>
                <w:rFonts w:hint="eastAsia"/>
                <w:b/>
                <w:bCs/>
                <w:color w:val="000000"/>
                <w:sz w:val="24"/>
                <w:highlight w:val="none"/>
              </w:rPr>
              <w:t xml:space="preserve">偏离项</w:t>
            </w:r>
            <w:r>
              <w:rPr>
                <w:rFonts w:hint="eastAsia"/>
                <w:color w:val="000000"/>
                <w:sz w:val="24"/>
                <w:highlight w:val="none"/>
              </w:rPr>
              <w:t xml:space="preserve">逐一罗列）</w:t>
            </w:r>
            <w:r/>
          </w:p>
        </w:tc>
      </w:tr>
      <w:tr>
        <w:trPr>
          <w:jc w:val="center"/>
          <w:trHeight w:val="1053"/>
        </w:trPr>
        <w:tc>
          <w:tcPr>
            <w:tcW w:w="775"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482" w:type="dxa"/>
            <w:vAlign w:val="center"/>
            <w:textDirection w:val="lrTb"/>
            <w:noWrap w:val="false"/>
          </w:tcPr>
          <w:p>
            <w:pPr>
              <w:jc w:val="center"/>
              <w:rPr>
                <w:color w:val="000000"/>
                <w:sz w:val="24"/>
                <w:highlight w:val="none"/>
              </w:rPr>
            </w:pPr>
            <w:r>
              <w:rPr>
                <w:rFonts w:hint="eastAsia"/>
                <w:color w:val="000000"/>
                <w:sz w:val="24"/>
                <w:highlight w:val="none"/>
              </w:rPr>
              <w:t xml:space="preserve">招标</w:t>
            </w:r>
            <w:r>
              <w:rPr>
                <w:color w:val="000000"/>
                <w:sz w:val="24"/>
                <w:highlight w:val="none"/>
              </w:rPr>
              <w:t xml:space="preserve">文件条目号(页码)</w:t>
            </w:r>
            <w:r/>
          </w:p>
        </w:tc>
        <w:tc>
          <w:tcPr>
            <w:tcW w:w="2384" w:type="dxa"/>
            <w:vAlign w:val="center"/>
            <w:textDirection w:val="lrTb"/>
            <w:noWrap w:val="false"/>
          </w:tcPr>
          <w:p>
            <w:pPr>
              <w:jc w:val="center"/>
              <w:rPr>
                <w:color w:val="000000"/>
                <w:sz w:val="24"/>
                <w:highlight w:val="none"/>
              </w:rPr>
            </w:pPr>
            <w:r>
              <w:rPr>
                <w:rFonts w:hint="eastAsia"/>
                <w:color w:val="000000"/>
                <w:sz w:val="24"/>
                <w:highlight w:val="none"/>
              </w:rPr>
              <w:t xml:space="preserve">招标</w:t>
            </w:r>
            <w:r>
              <w:rPr>
                <w:color w:val="000000"/>
                <w:sz w:val="24"/>
                <w:highlight w:val="none"/>
              </w:rPr>
              <w:t xml:space="preserve">文件要求</w:t>
            </w:r>
            <w:r/>
          </w:p>
        </w:tc>
        <w:tc>
          <w:tcPr>
            <w:tcW w:w="2126" w:type="dxa"/>
            <w:vAlign w:val="center"/>
            <w:textDirection w:val="lrTb"/>
            <w:noWrap w:val="false"/>
          </w:tcPr>
          <w:p>
            <w:pPr>
              <w:jc w:val="center"/>
              <w:rPr>
                <w:color w:val="000000"/>
                <w:sz w:val="24"/>
                <w:highlight w:val="none"/>
              </w:rPr>
            </w:pPr>
            <w:r>
              <w:rPr>
                <w:color w:val="000000"/>
                <w:sz w:val="24"/>
                <w:highlight w:val="none"/>
              </w:rPr>
              <w:t xml:space="preserve">响应内容</w:t>
            </w:r>
            <w:r/>
          </w:p>
        </w:tc>
        <w:tc>
          <w:tcPr>
            <w:tcW w:w="1875" w:type="dxa"/>
            <w:vAlign w:val="center"/>
            <w:textDirection w:val="lrTb"/>
            <w:noWrap w:val="false"/>
          </w:tcPr>
          <w:p>
            <w:pPr>
              <w:jc w:val="center"/>
              <w:rPr>
                <w:color w:val="000000"/>
                <w:sz w:val="24"/>
                <w:highlight w:val="none"/>
              </w:rPr>
            </w:pPr>
            <w:r>
              <w:rPr>
                <w:color w:val="000000"/>
                <w:sz w:val="24"/>
                <w:highlight w:val="none"/>
              </w:rPr>
              <w:t xml:space="preserve">偏离情况</w:t>
            </w:r>
            <w:r/>
          </w:p>
          <w:p>
            <w:pPr>
              <w:jc w:val="center"/>
              <w:rPr>
                <w:color w:val="000000"/>
                <w:sz w:val="24"/>
                <w:highlight w:val="none"/>
              </w:rPr>
            </w:pPr>
            <w:r>
              <w:rPr>
                <w:color w:val="000000"/>
                <w:sz w:val="24"/>
                <w:szCs w:val="21"/>
                <w:highlight w:val="none"/>
              </w:rPr>
              <w:t xml:space="preserve">（据实填写）</w:t>
            </w:r>
            <w:r/>
          </w:p>
        </w:tc>
        <w:tc>
          <w:tcPr>
            <w:tcW w:w="1009"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w:t>
      </w:r>
      <w:r>
        <w:rPr>
          <w:rFonts w:hint="eastAsia"/>
          <w:color w:val="000000"/>
          <w:sz w:val="24"/>
          <w:highlight w:val="none"/>
        </w:rPr>
        <w:t xml:space="preserve">招标</w:t>
      </w:r>
      <w:r>
        <w:rPr>
          <w:color w:val="000000"/>
          <w:sz w:val="24"/>
          <w:highlight w:val="none"/>
        </w:rPr>
        <w:t xml:space="preserve">文件中的所有</w:t>
      </w:r>
      <w:r>
        <w:rPr>
          <w:rFonts w:hint="eastAsia"/>
          <w:color w:val="000000"/>
          <w:sz w:val="24"/>
          <w:highlight w:val="none"/>
        </w:rPr>
        <w:t xml:space="preserve">技术参数</w:t>
      </w:r>
      <w:r>
        <w:rPr>
          <w:color w:val="000000"/>
          <w:sz w:val="24"/>
          <w:highlight w:val="none"/>
        </w:rPr>
        <w:t xml:space="preserve">要求，除本表所列明的所有偏离外，均视作</w:t>
      </w:r>
      <w:r>
        <w:rPr>
          <w:rFonts w:hint="eastAsia"/>
          <w:color w:val="000000"/>
          <w:sz w:val="24"/>
          <w:highlight w:val="none"/>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p>
    <w:p>
      <w:pPr>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“偏离情况”列应据实填写“正偏离”或“负偏离”。</w:t>
      </w:r>
      <w:r/>
    </w:p>
    <w:p>
      <w:pPr>
        <w:rPr>
          <w:color w:val="000000"/>
          <w:highlight w:val="none"/>
        </w:rPr>
      </w:pPr>
      <w:r>
        <w:rPr>
          <w:color w:val="00000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ind w:left="4200" w:firstLine="420"/>
        <w:spacing w:line="360" w:lineRule="auto"/>
        <w:rPr>
          <w:rFonts w:hint="eastAsia" w:ascii="宋体" w:hAnsi="宋体" w:cs="黑体"/>
          <w:bCs/>
          <w:color w:val="000000"/>
          <w:sz w:val="24"/>
          <w:highlight w:val="none"/>
          <w:lang w:bidi="ar"/>
        </w:rPr>
      </w:pPr>
      <w:r>
        <w:rPr>
          <w:rFonts w:hint="eastAsia" w:ascii="宋体" w:hAnsi="宋体" w:eastAsia="宋体" w:cs="宋体"/>
          <w:color w:val="000000"/>
          <w:sz w:val="24"/>
          <w:highlight w:val="none"/>
        </w:rPr>
        <w:t xml:space="preserve">投标人名称</w:t>
      </w:r>
      <w:r>
        <w:rPr>
          <w:rFonts w:hint="eastAsia" w:ascii="宋体" w:hAnsi="宋体" w:cs="黑体"/>
          <w:bCs/>
          <w:color w:val="000000"/>
          <w:sz w:val="24"/>
          <w:highlight w:val="none"/>
          <w:lang w:bidi="ar"/>
        </w:rPr>
        <w:t xml:space="preserve">：（加盖电子公章）  </w:t>
      </w:r>
      <w:r/>
    </w:p>
    <w:p>
      <w:pPr>
        <w:ind w:firstLine="4800"/>
        <w:spacing w:line="360" w:lineRule="auto"/>
        <w:rPr>
          <w:rFonts w:hint="eastAsia" w:ascii="宋体" w:hAnsi="宋体" w:cs="黑体"/>
          <w:bCs/>
          <w:color w:val="000000"/>
          <w:sz w:val="24"/>
          <w:highlight w:val="none"/>
          <w:lang w:bidi="ar"/>
        </w:rPr>
      </w:pPr>
      <w:r>
        <w:rPr>
          <w:rFonts w:ascii="宋体" w:hAnsi="宋体" w:cs="黑体"/>
          <w:bCs/>
          <w:color w:val="000000"/>
          <w:sz w:val="24"/>
          <w:highlight w:val="none"/>
          <w:lang w:bidi="ar"/>
        </w:rPr>
        <w:t xml:space="preserve">日期：_____年______月______日</w:t>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br w:type="page" w:clear="all"/>
      </w:r>
      <w: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val="en-US" w:eastAsia="zh-CN"/>
        </w:rPr>
        <w:t xml:space="preserve">9</w:t>
      </w:r>
      <w:r>
        <w:rPr>
          <w:rFonts w:hint="eastAsia" w:ascii="宋体" w:hAnsi="宋体" w:eastAsia="宋体" w:cs="宋体"/>
          <w:color w:val="000000"/>
          <w:sz w:val="24"/>
          <w:szCs w:val="20"/>
          <w:highlight w:val="none"/>
        </w:rPr>
        <w:t xml:space="preserve">  参加本项目人员一览表</w:t>
      </w:r>
      <w:r/>
    </w:p>
    <w:p>
      <w:p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参加本项目人员一览表</w:t>
      </w:r>
      <w:r/>
    </w:p>
    <w:p>
      <w:pPr>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p>
    <w:tbl>
      <w:tblPr>
        <w:tblStyle w:val="839"/>
        <w:tblW w:w="850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tblGrid>
      <w:tr>
        <w:trPr>
          <w:jc w:val="center"/>
        </w:trPr>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注册证书</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注册证号</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注册专业</w:t>
            </w:r>
            <w:r/>
          </w:p>
        </w:tc>
        <w:tc>
          <w:tcPr>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责任</w:t>
            </w:r>
            <w:r/>
          </w:p>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或分工</w:t>
            </w:r>
            <w:r/>
          </w:p>
        </w:tc>
      </w:tr>
      <w:tr>
        <w:trPr>
          <w:jc w:val="cente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r>
      <w:tr>
        <w:trPr>
          <w:jc w:val="cente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r>
      <w:tr>
        <w:trPr>
          <w:jc w:val="cente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tc>
      </w:tr>
    </w:tbl>
    <w:p>
      <w:pPr>
        <w:tabs>
          <w:tab w:val="left" w:pos="9765" w:leader="none"/>
        </w:tabs>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r>
      <w:r/>
    </w:p>
    <w:p>
      <w:pPr>
        <w:spacing w:line="360" w:lineRule="auto"/>
        <w:tabs>
          <w:tab w:val="left" w:pos="9765"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zh-CN"/>
        </w:rPr>
        <w:t xml:space="preserve">注：参加本项目人员须是投标人正式职工。</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w:t>
      </w:r>
      <w:r>
        <w:rPr>
          <w:rFonts w:hint="eastAsia" w:ascii="宋体" w:hAnsi="宋体" w:eastAsia="宋体" w:cs="宋体"/>
          <w:color w:val="000000"/>
          <w:sz w:val="24"/>
          <w:highlight w:val="none"/>
          <w:lang w:eastAsia="zh-CN"/>
        </w:rPr>
        <w:t xml:space="preserve">电子</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lang w:val="zh-CN"/>
        </w:rPr>
        <w:t xml:space="preserve">：    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rPr>
          <w:rFonts w:hint="eastAsia" w:ascii="宋体" w:hAnsi="宋体" w:eastAsia="宋体" w:cs="宋体"/>
          <w:color w:val="000000"/>
          <w:sz w:val="22"/>
          <w:highlight w:val="none"/>
        </w:rPr>
      </w:pPr>
      <w:r>
        <w:rPr>
          <w:rFonts w:hint="eastAsia" w:ascii="宋体" w:hAnsi="宋体" w:eastAsia="宋体" w:cs="宋体"/>
          <w:color w:val="000000"/>
          <w:sz w:val="22"/>
          <w:highlight w:val="none"/>
        </w:rPr>
        <w:br w:type="page" w:clear="all"/>
      </w:r>
      <w:bookmarkStart w:id="479" w:name="_Toc288738839"/>
      <w:r/>
      <w:bookmarkStart w:id="480" w:name="_Toc288738397"/>
      <w:r/>
      <w: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val="en-US" w:eastAsia="zh-CN"/>
        </w:rPr>
        <w:t xml:space="preserve">10</w:t>
      </w:r>
      <w:r>
        <w:rPr>
          <w:rFonts w:hint="eastAsia" w:ascii="宋体" w:hAnsi="宋体" w:eastAsia="宋体" w:cs="宋体"/>
          <w:color w:val="000000"/>
          <w:sz w:val="24"/>
          <w:szCs w:val="20"/>
          <w:highlight w:val="none"/>
        </w:rPr>
        <w:t xml:space="preserve">  相关业绩案例一览表</w:t>
      </w:r>
      <w: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相关业绩案例一览表</w:t>
      </w:r>
      <w:bookmarkEnd w:id="479"/>
      <w:r/>
      <w:bookmarkEnd w:id="480"/>
      <w:r/>
      <w:r/>
    </w:p>
    <w:p>
      <w:pPr>
        <w:jc w:val="center"/>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p>
    <w:tbl>
      <w:tblPr>
        <w:tblStyle w:val="83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w:t>
      </w:r>
      <w:r>
        <w:rPr>
          <w:rFonts w:hint="eastAsia" w:ascii="宋体" w:hAnsi="宋体" w:eastAsia="宋体" w:cs="宋体"/>
          <w:color w:val="000000"/>
          <w:sz w:val="24"/>
          <w:highlight w:val="none"/>
          <w:lang w:eastAsia="zh-CN"/>
        </w:rPr>
        <w:t xml:space="preserve">电子</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lang w:val="zh-CN"/>
        </w:rPr>
        <w:t xml:space="preserve">：    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lang w:val="en-US" w:eastAsia="zh-CN"/>
        </w:rPr>
        <w:outlineLvl w:val="2"/>
      </w:pPr>
      <w:r>
        <w:rPr>
          <w:rFonts w:hint="eastAsia" w:ascii="宋体" w:hAnsi="宋体" w:eastAsia="宋体" w:cs="宋体"/>
          <w:color w:val="000000"/>
          <w:sz w:val="24"/>
          <w:szCs w:val="20"/>
          <w:highlight w:val="none"/>
          <w:lang w:val="en-US" w:eastAsia="zh-CN"/>
        </w:rPr>
        <w:t xml:space="preserve">11 承诺函</w:t>
      </w:r>
      <w:r/>
    </w:p>
    <w:p>
      <w:pPr>
        <w:jc w:val="center"/>
        <w:rPr>
          <w:rFonts w:ascii="宋体" w:hAnsi="宋体" w:eastAsia="宋体" w:cs="宋体"/>
          <w:b/>
          <w:color w:val="000000"/>
          <w:sz w:val="32"/>
          <w:szCs w:val="32"/>
          <w:highlight w:val="none"/>
          <w:lang w:val="en-US" w:eastAsia="zh-CN"/>
        </w:rPr>
      </w:pPr>
      <w:r>
        <w:rPr>
          <w:rFonts w:ascii="宋体" w:hAnsi="宋体" w:eastAsia="宋体" w:cs="宋体"/>
          <w:b/>
          <w:color w:val="000000"/>
          <w:sz w:val="32"/>
          <w:szCs w:val="32"/>
          <w:highlight w:val="none"/>
          <w:lang w:val="en-US" w:eastAsia="zh-CN"/>
        </w:rPr>
      </w:r>
      <w:r/>
    </w:p>
    <w:p>
      <w:pPr>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 xml:space="preserve">承诺函</w:t>
      </w:r>
      <w:r/>
    </w:p>
    <w:p>
      <w:pPr>
        <w:ind w:firstLine="480"/>
        <w:keepLines w:val="0"/>
        <w:keepNext w:val="0"/>
        <w:pageBreakBefore w:val="0"/>
        <w:spacing w:line="360" w:lineRule="auto"/>
        <w:widowControl w:val="off"/>
        <w:rPr>
          <w:rFonts w:hint="eastAsia" w:ascii="宋体" w:hAnsi="宋体" w:eastAsia="宋体" w:cs="宋体"/>
          <w:color w:val="000000"/>
          <w:sz w:val="24"/>
          <w:szCs w:val="20"/>
          <w:highlight w:val="none"/>
          <w:lang w:eastAsia="zh-CN"/>
        </w:rPr>
        <w:outlineLvl w:val="9"/>
      </w:pPr>
      <w:r>
        <w:rPr>
          <w:rFonts w:hint="eastAsia" w:ascii="宋体" w:hAnsi="宋体" w:eastAsia="宋体" w:cs="宋体"/>
          <w:color w:val="000000"/>
          <w:sz w:val="24"/>
          <w:szCs w:val="20"/>
          <w:highlight w:val="none"/>
          <w:lang w:eastAsia="zh-CN"/>
        </w:rPr>
        <w:t xml:space="preserve">我公司承诺：</w:t>
      </w:r>
      <w:r/>
    </w:p>
    <w:p>
      <w:pPr>
        <w:ind w:firstLine="480"/>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rPr>
        <w:outlineLvl w:val="9"/>
      </w:pPr>
      <w:r>
        <w:rPr>
          <w:rFonts w:hint="eastAsia" w:ascii="宋体" w:hAnsi="宋体" w:eastAsia="宋体" w:cs="宋体"/>
          <w:color w:val="000000"/>
          <w:sz w:val="24"/>
          <w:szCs w:val="20"/>
          <w:highlight w:val="none"/>
          <w:lang w:val="en-US" w:eastAsia="zh-CN"/>
        </w:rPr>
        <w:t xml:space="preserve">1、在免费质保三年的基础上，再延长</w:t>
      </w:r>
      <w:r>
        <w:rPr>
          <w:rFonts w:hint="eastAsia" w:ascii="宋体" w:hAnsi="宋体" w:eastAsia="宋体" w:cs="宋体"/>
          <w:color w:val="000000"/>
          <w:sz w:val="24"/>
          <w:szCs w:val="20"/>
          <w:highlight w:val="none"/>
          <w:u w:val="single"/>
          <w:lang w:val="en-US" w:eastAsia="zh-CN"/>
        </w:rPr>
        <w:t xml:space="preserve">    </w:t>
      </w:r>
      <w:r>
        <w:rPr>
          <w:rFonts w:hint="eastAsia" w:ascii="宋体" w:hAnsi="宋体" w:eastAsia="宋体" w:cs="宋体"/>
          <w:color w:val="000000"/>
          <w:sz w:val="24"/>
          <w:szCs w:val="20"/>
          <w:highlight w:val="none"/>
          <w:lang w:val="en-US" w:eastAsia="zh-CN"/>
        </w:rPr>
        <w:t xml:space="preserve">年，共计</w:t>
      </w:r>
      <w:r>
        <w:rPr>
          <w:rFonts w:hint="eastAsia" w:ascii="宋体" w:hAnsi="宋体" w:eastAsia="宋体" w:cs="宋体"/>
          <w:color w:val="000000"/>
          <w:sz w:val="24"/>
          <w:szCs w:val="20"/>
          <w:highlight w:val="none"/>
          <w:u w:val="single"/>
          <w:lang w:val="en-US" w:eastAsia="zh-CN"/>
        </w:rPr>
        <w:t xml:space="preserve">   </w:t>
      </w:r>
      <w:r>
        <w:rPr>
          <w:rFonts w:hint="eastAsia" w:ascii="宋体" w:hAnsi="宋体" w:eastAsia="宋体" w:cs="宋体"/>
          <w:color w:val="000000"/>
          <w:sz w:val="24"/>
          <w:szCs w:val="20"/>
          <w:highlight w:val="none"/>
          <w:lang w:val="en-US" w:eastAsia="zh-CN"/>
        </w:rPr>
        <w:t xml:space="preserve">年免费质保期。</w:t>
      </w:r>
      <w:r/>
    </w:p>
    <w:p>
      <w:pPr>
        <w:ind w:firstLine="480"/>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rPr>
        <w:outlineLvl w:val="9"/>
      </w:pPr>
      <w:r>
        <w:rPr>
          <w:rFonts w:hint="eastAsia" w:ascii="宋体" w:hAnsi="宋体" w:eastAsia="宋体" w:cs="宋体"/>
          <w:color w:val="000000"/>
          <w:sz w:val="24"/>
          <w:szCs w:val="20"/>
          <w:highlight w:val="none"/>
          <w:lang w:val="en-US" w:eastAsia="zh-CN"/>
        </w:rPr>
        <w:t xml:space="preserve">2、（如有其他承诺条款，自行填写）。</w:t>
      </w:r>
      <w:r/>
    </w:p>
    <w:p>
      <w:pPr>
        <w:ind w:firstLine="480"/>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rPr>
        <w:outlineLvl w:val="9"/>
      </w:pPr>
      <w:r>
        <w:rPr>
          <w:rFonts w:hint="eastAsia" w:ascii="宋体" w:hAnsi="宋体" w:eastAsia="宋体" w:cs="宋体"/>
          <w:color w:val="000000"/>
          <w:sz w:val="24"/>
          <w:szCs w:val="20"/>
          <w:highlight w:val="none"/>
          <w:lang w:val="en-US" w:eastAsia="zh-CN"/>
        </w:rPr>
      </w:r>
      <w:r/>
    </w:p>
    <w:p>
      <w:pPr>
        <w:ind w:firstLine="480"/>
        <w:keepLines w:val="0"/>
        <w:keepNext w:val="0"/>
        <w:pageBreakBefore w:val="0"/>
        <w:spacing w:line="360" w:lineRule="auto"/>
        <w:widowControl w:val="off"/>
        <w:rPr>
          <w:rFonts w:ascii="宋体" w:hAnsi="宋体" w:eastAsia="宋体" w:cs="宋体"/>
          <w:color w:val="000000"/>
          <w:sz w:val="24"/>
          <w:szCs w:val="20"/>
          <w:highlight w:val="none"/>
          <w:lang w:val="en-US" w:eastAsia="zh-CN"/>
        </w:rPr>
        <w:outlineLvl w:val="9"/>
      </w:pPr>
      <w:r>
        <w:rPr>
          <w:rFonts w:ascii="宋体" w:hAnsi="宋体" w:eastAsia="宋体" w:cs="宋体"/>
          <w:color w:val="000000"/>
          <w:sz w:val="24"/>
          <w:szCs w:val="20"/>
          <w:highlight w:val="none"/>
          <w:lang w:val="en-US" w:eastAsia="zh-CN"/>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w:t>
      </w:r>
      <w:r>
        <w:rPr>
          <w:rFonts w:hint="eastAsia" w:ascii="宋体" w:hAnsi="宋体" w:eastAsia="宋体" w:cs="宋体"/>
          <w:color w:val="000000"/>
          <w:sz w:val="24"/>
          <w:highlight w:val="none"/>
          <w:lang w:eastAsia="zh-CN"/>
        </w:rPr>
        <w:t xml:space="preserve">电子</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lang w:val="zh-CN"/>
        </w:rPr>
        <w:t xml:space="preserve">：    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rPr>
        <w:t xml:space="preserve">1</w:t>
      </w:r>
      <w:r>
        <w:rPr>
          <w:rFonts w:hint="eastAsia" w:ascii="宋体" w:hAnsi="宋体" w:eastAsia="宋体" w:cs="宋体"/>
          <w:color w:val="000000"/>
          <w:sz w:val="24"/>
          <w:szCs w:val="20"/>
          <w:highlight w:val="none"/>
          <w:lang w:val="en-US" w:eastAsia="zh-CN"/>
        </w:rPr>
        <w:t xml:space="preserve">2</w:t>
      </w:r>
      <w:r>
        <w:rPr>
          <w:rFonts w:hint="eastAsia" w:ascii="宋体" w:hAnsi="宋体" w:eastAsia="宋体" w:cs="宋体"/>
          <w:color w:val="000000"/>
          <w:sz w:val="24"/>
          <w:szCs w:val="20"/>
          <w:highlight w:val="none"/>
        </w:rPr>
        <w:t xml:space="preserve">  招标文件要求提供或投标人认为应附的其他材料</w:t>
      </w:r>
      <w:r/>
    </w:p>
    <w:p>
      <w:pPr>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7"/>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7"/>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rPr>
        <w:rStyle w:val="109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267"/>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center"/>
      <w:tabs>
        <w:tab w:val="right" w:pos="8307" w:leader="none"/>
      </w:tabs>
    </w:pPr>
    <w:r>
      <w:fldChar w:fldCharType="begin"/>
    </w:r>
    <w:r>
      <w:instrText xml:space="preserve">PAGE   \* MERGEFORMAT</w:instrText>
    </w:r>
    <w:r>
      <w:fldChar w:fldCharType="separate"/>
    </w:r>
    <w:r>
      <w:rPr>
        <w:lang w:val="zh-CN"/>
      </w:rPr>
      <w:t xml:space="preserve">18</w:t>
    </w:r>
    <w:r>
      <w:rPr>
        <w:lang w:val="zh-CN"/>
      </w:rPr>
      <w:fldChar w:fldCharType="end"/>
    </w:r>
    <w:r/>
  </w:p>
  <w:p>
    <w:pPr>
      <w:pStyle w:val="1059"/>
      <w:tabs>
        <w:tab w:val="right" w:pos="830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rPr>
        <w:rStyle w:val="1084"/>
      </w:rPr>
      <w:framePr w:wrap="around" w:vAnchor="text" w:hAnchor="margin" w:xAlign="right" w:y="1"/>
    </w:pPr>
    <w:r>
      <w:rPr>
        <w:rStyle w:val="1084"/>
      </w:rPr>
      <w:fldChar w:fldCharType="begin"/>
    </w:r>
    <w:r>
      <w:rPr>
        <w:rStyle w:val="1084"/>
      </w:rPr>
      <w:instrText xml:space="preserve">PAGE  </w:instrText>
    </w:r>
    <w:r>
      <w:rPr>
        <w:rStyle w:val="1084"/>
      </w:rPr>
      <w:fldChar w:fldCharType="end"/>
    </w:r>
    <w:r/>
  </w:p>
  <w:p>
    <w:pPr>
      <w:pStyle w:val="1059"/>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right"/>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2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11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bullet"/>
      <w:pStyle w:val="1089"/>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pStyle w:val="1051"/>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20"/>
      <w:isLgl w:val="false"/>
      <w:suff w:val="tab"/>
      <w:lvlText w:val="%1"/>
      <w:lvlJc w:val="left"/>
      <w:pPr>
        <w:ind w:left="680" w:hanging="680"/>
      </w:pPr>
      <w:rPr>
        <w:rFonts w:hint="eastAsia" w:ascii="宋体" w:hAnsi="宋体" w:eastAsia="宋体"/>
      </w:rPr>
    </w:lvl>
    <w:lvl w:ilvl="1">
      <w:start w:val="1"/>
      <w:numFmt w:val="decimal"/>
      <w:pStyle w:val="1221"/>
      <w:isLgl w:val="false"/>
      <w:suff w:val="tab"/>
      <w:lvlText w:val="%1.%2"/>
      <w:lvlJc w:val="left"/>
      <w:pPr>
        <w:ind w:left="851" w:hanging="851"/>
      </w:pPr>
      <w:rPr>
        <w:rFonts w:hint="eastAsia" w:ascii="宋体" w:hAnsi="宋体" w:eastAsia="宋体"/>
        <w:color w:val="000000"/>
      </w:rPr>
    </w:lvl>
    <w:lvl w:ilvl="2">
      <w:start w:val="1"/>
      <w:numFmt w:val="decimal"/>
      <w:pStyle w:val="122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5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7">
    <w:multiLevelType w:val="hybridMultilevel"/>
    <w:lvl w:ilvl="0">
      <w:start w:val="1"/>
      <w:numFmt w:val="decimal"/>
      <w:pStyle w:val="116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14"/>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13"/>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50"/>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49"/>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58"/>
      <w:isLgl w:val="false"/>
      <w:suff w:val="nothing"/>
      <w:lvlText w:val="%1.%2.%3.%4.%5.%6　"/>
      <w:lvlJc w:val="left"/>
      <w:pPr>
        <w:ind w:left="-25" w:firstLine="0"/>
      </w:pPr>
      <w:rPr>
        <w:rFonts w:ascii="Times New Roman" w:hAnsi="Times New Roman" w:eastAsia="宋体"/>
        <w:b/>
        <w:i w:val="0"/>
        <w:sz w:val="28"/>
      </w:rPr>
    </w:lvl>
    <w:lvl w:ilvl="6">
      <w:start w:val="1"/>
      <w:numFmt w:val="lowerLetter"/>
      <w:pStyle w:val="1171"/>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34"/>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1">
    <w:multiLevelType w:val="hybridMultilevel"/>
    <w:lvl w:ilvl="0">
      <w:start w:val="1"/>
      <w:numFmt w:val="lowerLetter"/>
      <w:pStyle w:val="1195"/>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default="1">
    <w:name w:val="Normal"/>
    <w:link w:val="12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9">
    <w:name w:val="Heading 1"/>
    <w:basedOn w:val="828"/>
    <w:next w:val="828"/>
    <w:link w:val="861"/>
    <w:uiPriority w:val="9"/>
    <w:qFormat/>
    <w:pPr>
      <w:keepLines/>
      <w:keepNext/>
      <w:spacing w:before="480" w:after="200"/>
      <w:outlineLvl w:val="0"/>
    </w:pPr>
    <w:rPr>
      <w:rFonts w:ascii="Arial" w:hAnsi="Arial" w:eastAsia="Arial" w:cs="Arial"/>
      <w:sz w:val="40"/>
      <w:szCs w:val="40"/>
    </w:rPr>
  </w:style>
  <w:style w:type="paragraph" w:styleId="830">
    <w:name w:val="Heading 2"/>
    <w:basedOn w:val="828"/>
    <w:next w:val="828"/>
    <w:link w:val="862"/>
    <w:uiPriority w:val="9"/>
    <w:unhideWhenUsed/>
    <w:qFormat/>
    <w:pPr>
      <w:keepLines/>
      <w:keepNext/>
      <w:spacing w:before="360" w:after="200"/>
      <w:outlineLvl w:val="1"/>
    </w:pPr>
    <w:rPr>
      <w:rFonts w:ascii="Arial" w:hAnsi="Arial" w:eastAsia="Arial" w:cs="Arial"/>
      <w:sz w:val="34"/>
    </w:rPr>
  </w:style>
  <w:style w:type="paragraph" w:styleId="831">
    <w:name w:val="Heading 3"/>
    <w:basedOn w:val="828"/>
    <w:next w:val="828"/>
    <w:link w:val="863"/>
    <w:uiPriority w:val="9"/>
    <w:unhideWhenUsed/>
    <w:qFormat/>
    <w:pPr>
      <w:keepLines/>
      <w:keepNext/>
      <w:spacing w:before="320" w:after="200"/>
      <w:outlineLvl w:val="2"/>
    </w:pPr>
    <w:rPr>
      <w:rFonts w:ascii="Arial" w:hAnsi="Arial" w:eastAsia="Arial" w:cs="Arial"/>
      <w:sz w:val="30"/>
      <w:szCs w:val="30"/>
    </w:rPr>
  </w:style>
  <w:style w:type="paragraph" w:styleId="832">
    <w:name w:val="Heading 4"/>
    <w:basedOn w:val="828"/>
    <w:next w:val="828"/>
    <w:link w:val="864"/>
    <w:uiPriority w:val="9"/>
    <w:unhideWhenUsed/>
    <w:qFormat/>
    <w:pPr>
      <w:keepLines/>
      <w:keepNext/>
      <w:spacing w:before="320" w:after="200"/>
      <w:outlineLvl w:val="3"/>
    </w:pPr>
    <w:rPr>
      <w:rFonts w:ascii="Arial" w:hAnsi="Arial" w:eastAsia="Arial" w:cs="Arial"/>
      <w:b/>
      <w:bCs/>
      <w:sz w:val="26"/>
      <w:szCs w:val="26"/>
    </w:rPr>
  </w:style>
  <w:style w:type="paragraph" w:styleId="833">
    <w:name w:val="Heading 5"/>
    <w:basedOn w:val="828"/>
    <w:next w:val="828"/>
    <w:link w:val="865"/>
    <w:uiPriority w:val="9"/>
    <w:unhideWhenUsed/>
    <w:qFormat/>
    <w:pPr>
      <w:keepLines/>
      <w:keepNext/>
      <w:spacing w:before="320" w:after="200"/>
      <w:outlineLvl w:val="4"/>
    </w:pPr>
    <w:rPr>
      <w:rFonts w:ascii="Arial" w:hAnsi="Arial" w:eastAsia="Arial" w:cs="Arial"/>
      <w:b/>
      <w:bCs/>
      <w:sz w:val="24"/>
      <w:szCs w:val="24"/>
    </w:rPr>
  </w:style>
  <w:style w:type="paragraph" w:styleId="834">
    <w:name w:val="Heading 6"/>
    <w:basedOn w:val="828"/>
    <w:next w:val="828"/>
    <w:link w:val="866"/>
    <w:uiPriority w:val="9"/>
    <w:unhideWhenUsed/>
    <w:qFormat/>
    <w:pPr>
      <w:keepLines/>
      <w:keepNext/>
      <w:spacing w:before="320" w:after="200"/>
      <w:outlineLvl w:val="5"/>
    </w:pPr>
    <w:rPr>
      <w:rFonts w:ascii="Arial" w:hAnsi="Arial" w:eastAsia="Arial" w:cs="Arial"/>
      <w:b/>
      <w:bCs/>
      <w:sz w:val="22"/>
      <w:szCs w:val="22"/>
    </w:rPr>
  </w:style>
  <w:style w:type="paragraph" w:styleId="835">
    <w:name w:val="Heading 7"/>
    <w:basedOn w:val="828"/>
    <w:next w:val="828"/>
    <w:link w:val="867"/>
    <w:uiPriority w:val="9"/>
    <w:unhideWhenUsed/>
    <w:qFormat/>
    <w:pPr>
      <w:keepLines/>
      <w:keepNext/>
      <w:spacing w:before="320" w:after="200"/>
      <w:outlineLvl w:val="6"/>
    </w:pPr>
    <w:rPr>
      <w:rFonts w:ascii="Arial" w:hAnsi="Arial" w:eastAsia="Arial" w:cs="Arial"/>
      <w:b/>
      <w:bCs/>
      <w:i/>
      <w:iCs/>
      <w:sz w:val="22"/>
      <w:szCs w:val="22"/>
    </w:rPr>
  </w:style>
  <w:style w:type="paragraph" w:styleId="836">
    <w:name w:val="Heading 8"/>
    <w:basedOn w:val="828"/>
    <w:next w:val="828"/>
    <w:link w:val="868"/>
    <w:uiPriority w:val="9"/>
    <w:unhideWhenUsed/>
    <w:qFormat/>
    <w:pPr>
      <w:keepLines/>
      <w:keepNext/>
      <w:spacing w:before="320" w:after="200"/>
      <w:outlineLvl w:val="7"/>
    </w:pPr>
    <w:rPr>
      <w:rFonts w:ascii="Arial" w:hAnsi="Arial" w:eastAsia="Arial" w:cs="Arial"/>
      <w:i/>
      <w:iCs/>
      <w:sz w:val="22"/>
      <w:szCs w:val="22"/>
    </w:rPr>
  </w:style>
  <w:style w:type="paragraph" w:styleId="837">
    <w:name w:val="Heading 9"/>
    <w:basedOn w:val="828"/>
    <w:next w:val="828"/>
    <w:link w:val="869"/>
    <w:uiPriority w:val="9"/>
    <w:unhideWhenUsed/>
    <w:qFormat/>
    <w:pPr>
      <w:keepLines/>
      <w:keepNext/>
      <w:spacing w:before="320" w:after="200"/>
      <w:outlineLvl w:val="8"/>
    </w:pPr>
    <w:rPr>
      <w:rFonts w:ascii="Arial" w:hAnsi="Arial" w:eastAsia="Arial" w:cs="Arial"/>
      <w:i/>
      <w:iCs/>
      <w:sz w:val="21"/>
      <w:szCs w:val="21"/>
    </w:r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toc 7"/>
    <w:basedOn w:val="828"/>
    <w:next w:val="828"/>
    <w:uiPriority w:val="39"/>
    <w:unhideWhenUsed/>
    <w:qFormat/>
    <w:pPr>
      <w:ind w:left="1701" w:right="0" w:firstLine="0"/>
      <w:spacing w:after="57"/>
    </w:pPr>
  </w:style>
  <w:style w:type="paragraph" w:styleId="841">
    <w:name w:val="Caption"/>
    <w:basedOn w:val="828"/>
    <w:next w:val="828"/>
    <w:uiPriority w:val="35"/>
    <w:semiHidden/>
    <w:unhideWhenUsed/>
    <w:qFormat/>
    <w:pPr>
      <w:spacing w:line="276" w:lineRule="auto"/>
    </w:pPr>
    <w:rPr>
      <w:b/>
      <w:bCs/>
      <w:color w:val="4f81bd" w:themeColor="accent1"/>
      <w:sz w:val="18"/>
      <w:szCs w:val="18"/>
    </w:rPr>
  </w:style>
  <w:style w:type="paragraph" w:styleId="842">
    <w:name w:val="toc 5"/>
    <w:basedOn w:val="828"/>
    <w:next w:val="828"/>
    <w:uiPriority w:val="39"/>
    <w:unhideWhenUsed/>
    <w:qFormat/>
    <w:pPr>
      <w:ind w:left="1134" w:right="0" w:firstLine="0"/>
      <w:spacing w:after="57"/>
    </w:pPr>
  </w:style>
  <w:style w:type="paragraph" w:styleId="843">
    <w:name w:val="toc 3"/>
    <w:basedOn w:val="828"/>
    <w:next w:val="828"/>
    <w:uiPriority w:val="39"/>
    <w:unhideWhenUsed/>
    <w:qFormat/>
    <w:pPr>
      <w:ind w:left="567" w:right="0" w:firstLine="0"/>
      <w:spacing w:after="57"/>
    </w:pPr>
  </w:style>
  <w:style w:type="paragraph" w:styleId="844">
    <w:name w:val="toc 8"/>
    <w:basedOn w:val="828"/>
    <w:next w:val="828"/>
    <w:uiPriority w:val="39"/>
    <w:unhideWhenUsed/>
    <w:qFormat/>
    <w:pPr>
      <w:ind w:left="1984" w:right="0" w:firstLine="0"/>
      <w:spacing w:after="57"/>
    </w:pPr>
  </w:style>
  <w:style w:type="paragraph" w:styleId="845">
    <w:name w:val="endnote text"/>
    <w:basedOn w:val="828"/>
    <w:link w:val="1007"/>
    <w:uiPriority w:val="99"/>
    <w:semiHidden/>
    <w:unhideWhenUsed/>
    <w:qFormat/>
    <w:pPr>
      <w:spacing w:after="0" w:line="240" w:lineRule="auto"/>
    </w:pPr>
    <w:rPr>
      <w:sz w:val="20"/>
    </w:rPr>
  </w:style>
  <w:style w:type="paragraph" w:styleId="846">
    <w:name w:val="Footer"/>
    <w:basedOn w:val="828"/>
    <w:link w:val="880"/>
    <w:uiPriority w:val="99"/>
    <w:unhideWhenUsed/>
    <w:qFormat/>
    <w:pPr>
      <w:spacing w:after="0" w:line="240" w:lineRule="auto"/>
      <w:tabs>
        <w:tab w:val="center" w:pos="7143" w:leader="none"/>
        <w:tab w:val="right" w:pos="14287" w:leader="none"/>
      </w:tabs>
    </w:pPr>
  </w:style>
  <w:style w:type="paragraph" w:styleId="847">
    <w:name w:val="Header"/>
    <w:basedOn w:val="828"/>
    <w:link w:val="878"/>
    <w:uiPriority w:val="99"/>
    <w:unhideWhenUsed/>
    <w:qFormat/>
    <w:pPr>
      <w:spacing w:after="0" w:line="240" w:lineRule="auto"/>
      <w:tabs>
        <w:tab w:val="center" w:pos="7143" w:leader="none"/>
        <w:tab w:val="right" w:pos="14287" w:leader="none"/>
      </w:tabs>
    </w:pPr>
  </w:style>
  <w:style w:type="paragraph" w:styleId="848">
    <w:name w:val="toc 1"/>
    <w:basedOn w:val="828"/>
    <w:next w:val="828"/>
    <w:uiPriority w:val="39"/>
    <w:unhideWhenUsed/>
    <w:qFormat/>
    <w:pPr>
      <w:ind w:left="0" w:right="0" w:firstLine="0"/>
      <w:spacing w:after="57"/>
    </w:pPr>
  </w:style>
  <w:style w:type="paragraph" w:styleId="849">
    <w:name w:val="toc 4"/>
    <w:basedOn w:val="828"/>
    <w:next w:val="828"/>
    <w:uiPriority w:val="39"/>
    <w:unhideWhenUsed/>
    <w:qFormat/>
    <w:pPr>
      <w:ind w:left="850" w:right="0" w:firstLine="0"/>
      <w:spacing w:after="57"/>
    </w:pPr>
  </w:style>
  <w:style w:type="paragraph" w:styleId="850">
    <w:name w:val="Subtitle"/>
    <w:basedOn w:val="828"/>
    <w:next w:val="828"/>
    <w:link w:val="873"/>
    <w:uiPriority w:val="11"/>
    <w:qFormat/>
    <w:pPr>
      <w:spacing w:before="200" w:after="200"/>
    </w:pPr>
    <w:rPr>
      <w:sz w:val="24"/>
      <w:szCs w:val="24"/>
    </w:rPr>
  </w:style>
  <w:style w:type="paragraph" w:styleId="851">
    <w:name w:val="footnote text"/>
    <w:basedOn w:val="828"/>
    <w:link w:val="1006"/>
    <w:uiPriority w:val="99"/>
    <w:semiHidden/>
    <w:unhideWhenUsed/>
    <w:qFormat/>
    <w:pPr>
      <w:spacing w:after="40" w:line="240" w:lineRule="auto"/>
    </w:pPr>
    <w:rPr>
      <w:sz w:val="18"/>
    </w:rPr>
  </w:style>
  <w:style w:type="paragraph" w:styleId="852">
    <w:name w:val="toc 6"/>
    <w:basedOn w:val="828"/>
    <w:next w:val="828"/>
    <w:uiPriority w:val="39"/>
    <w:unhideWhenUsed/>
    <w:qFormat/>
    <w:pPr>
      <w:ind w:left="1417" w:right="0" w:firstLine="0"/>
      <w:spacing w:after="57"/>
    </w:pPr>
  </w:style>
  <w:style w:type="paragraph" w:styleId="853">
    <w:name w:val="table of figures"/>
    <w:basedOn w:val="828"/>
    <w:next w:val="828"/>
    <w:uiPriority w:val="99"/>
    <w:unhideWhenUsed/>
    <w:qFormat/>
    <w:pPr>
      <w:spacing w:after="0" w:afterAutospacing="0"/>
    </w:pPr>
  </w:style>
  <w:style w:type="paragraph" w:styleId="854">
    <w:name w:val="toc 2"/>
    <w:basedOn w:val="828"/>
    <w:next w:val="828"/>
    <w:uiPriority w:val="39"/>
    <w:unhideWhenUsed/>
    <w:qFormat/>
    <w:pPr>
      <w:ind w:left="283" w:right="0" w:firstLine="0"/>
      <w:spacing w:after="57"/>
    </w:pPr>
  </w:style>
  <w:style w:type="paragraph" w:styleId="855">
    <w:name w:val="toc 9"/>
    <w:basedOn w:val="828"/>
    <w:next w:val="828"/>
    <w:uiPriority w:val="39"/>
    <w:unhideWhenUsed/>
    <w:qFormat/>
    <w:pPr>
      <w:ind w:left="2268" w:right="0" w:firstLine="0"/>
      <w:spacing w:after="57"/>
    </w:pPr>
  </w:style>
  <w:style w:type="paragraph" w:styleId="856">
    <w:name w:val="Title"/>
    <w:basedOn w:val="828"/>
    <w:next w:val="828"/>
    <w:link w:val="872"/>
    <w:uiPriority w:val="10"/>
    <w:qFormat/>
    <w:pPr>
      <w:contextualSpacing/>
      <w:spacing w:before="300" w:after="200"/>
    </w:pPr>
    <w:rPr>
      <w:sz w:val="48"/>
      <w:szCs w:val="48"/>
    </w:rPr>
  </w:style>
  <w:style w:type="table" w:styleId="85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8">
    <w:name w:val="endnote reference"/>
    <w:uiPriority w:val="99"/>
    <w:semiHidden/>
    <w:unhideWhenUsed/>
    <w:qFormat/>
    <w:rPr>
      <w:vertAlign w:val="superscript"/>
    </w:rPr>
  </w:style>
  <w:style w:type="character" w:styleId="859">
    <w:name w:val="Hyperlink"/>
    <w:uiPriority w:val="99"/>
    <w:unhideWhenUsed/>
    <w:qFormat/>
    <w:rPr>
      <w:color w:val="0000ff" w:themeColor="hyperlink"/>
      <w:u w:val="single"/>
    </w:rPr>
  </w:style>
  <w:style w:type="character" w:styleId="860">
    <w:name w:val="footnote reference"/>
    <w:uiPriority w:val="99"/>
    <w:unhideWhenUsed/>
    <w:qFormat/>
    <w:rPr>
      <w:vertAlign w:val="superscript"/>
    </w:rPr>
  </w:style>
  <w:style w:type="character" w:styleId="861" w:customStyle="1">
    <w:name w:val="Heading 1 Char"/>
    <w:link w:val="829"/>
    <w:uiPriority w:val="9"/>
    <w:qFormat/>
    <w:rPr>
      <w:rFonts w:ascii="Arial" w:hAnsi="Arial" w:eastAsia="Arial" w:cs="Arial"/>
      <w:sz w:val="40"/>
      <w:szCs w:val="40"/>
    </w:rPr>
  </w:style>
  <w:style w:type="character" w:styleId="862" w:customStyle="1">
    <w:name w:val="Heading 2 Char"/>
    <w:link w:val="830"/>
    <w:uiPriority w:val="9"/>
    <w:qFormat/>
    <w:rPr>
      <w:rFonts w:ascii="Arial" w:hAnsi="Arial" w:eastAsia="Arial" w:cs="Arial"/>
      <w:sz w:val="34"/>
    </w:rPr>
  </w:style>
  <w:style w:type="character" w:styleId="863" w:customStyle="1">
    <w:name w:val="Heading 3 Char"/>
    <w:link w:val="831"/>
    <w:uiPriority w:val="9"/>
    <w:qFormat/>
    <w:rPr>
      <w:rFonts w:ascii="Arial" w:hAnsi="Arial" w:eastAsia="Arial" w:cs="Arial"/>
      <w:sz w:val="30"/>
      <w:szCs w:val="30"/>
    </w:rPr>
  </w:style>
  <w:style w:type="character" w:styleId="864" w:customStyle="1">
    <w:name w:val="Heading 4 Char"/>
    <w:link w:val="832"/>
    <w:uiPriority w:val="9"/>
    <w:qFormat/>
    <w:rPr>
      <w:rFonts w:ascii="Arial" w:hAnsi="Arial" w:eastAsia="Arial" w:cs="Arial"/>
      <w:b/>
      <w:bCs/>
      <w:sz w:val="26"/>
      <w:szCs w:val="26"/>
    </w:rPr>
  </w:style>
  <w:style w:type="character" w:styleId="865" w:customStyle="1">
    <w:name w:val="Heading 5 Char"/>
    <w:link w:val="833"/>
    <w:uiPriority w:val="9"/>
    <w:qFormat/>
    <w:rPr>
      <w:rFonts w:ascii="Arial" w:hAnsi="Arial" w:eastAsia="Arial" w:cs="Arial"/>
      <w:b/>
      <w:bCs/>
      <w:sz w:val="24"/>
      <w:szCs w:val="24"/>
    </w:rPr>
  </w:style>
  <w:style w:type="character" w:styleId="866" w:customStyle="1">
    <w:name w:val="Heading 6 Char"/>
    <w:link w:val="834"/>
    <w:uiPriority w:val="9"/>
    <w:qFormat/>
    <w:rPr>
      <w:rFonts w:ascii="Arial" w:hAnsi="Arial" w:eastAsia="Arial" w:cs="Arial"/>
      <w:b/>
      <w:bCs/>
      <w:sz w:val="22"/>
      <w:szCs w:val="22"/>
    </w:rPr>
  </w:style>
  <w:style w:type="character" w:styleId="867" w:customStyle="1">
    <w:name w:val="Heading 7 Char"/>
    <w:link w:val="835"/>
    <w:uiPriority w:val="9"/>
    <w:qFormat/>
    <w:rPr>
      <w:rFonts w:ascii="Arial" w:hAnsi="Arial" w:eastAsia="Arial" w:cs="Arial"/>
      <w:b/>
      <w:bCs/>
      <w:i/>
      <w:iCs/>
      <w:sz w:val="22"/>
      <w:szCs w:val="22"/>
    </w:rPr>
  </w:style>
  <w:style w:type="character" w:styleId="868" w:customStyle="1">
    <w:name w:val="Heading 8 Char"/>
    <w:link w:val="836"/>
    <w:uiPriority w:val="9"/>
    <w:qFormat/>
    <w:rPr>
      <w:rFonts w:ascii="Arial" w:hAnsi="Arial" w:eastAsia="Arial" w:cs="Arial"/>
      <w:i/>
      <w:iCs/>
      <w:sz w:val="22"/>
      <w:szCs w:val="22"/>
    </w:rPr>
  </w:style>
  <w:style w:type="character" w:styleId="869" w:customStyle="1">
    <w:name w:val="Heading 9 Char"/>
    <w:link w:val="837"/>
    <w:uiPriority w:val="9"/>
    <w:qFormat/>
    <w:rPr>
      <w:rFonts w:ascii="Arial" w:hAnsi="Arial" w:eastAsia="Arial" w:cs="Arial"/>
      <w:i/>
      <w:iCs/>
      <w:sz w:val="21"/>
      <w:szCs w:val="21"/>
    </w:rPr>
  </w:style>
  <w:style w:type="paragraph" w:styleId="870">
    <w:name w:val="List Paragraph"/>
    <w:basedOn w:val="828"/>
    <w:uiPriority w:val="34"/>
    <w:qFormat/>
    <w:pPr>
      <w:contextualSpacing/>
      <w:ind w:left="720"/>
    </w:pPr>
  </w:style>
  <w:style w:type="paragraph" w:styleId="871">
    <w:name w:val="No Spacing"/>
    <w:uiPriority w:val="1"/>
    <w:qFormat/>
    <w:pPr>
      <w:spacing w:before="0" w:after="0" w:line="240" w:lineRule="auto"/>
    </w:pPr>
    <w:rPr>
      <w:rFonts w:hint="default" w:ascii="Times New Roman" w:hAnsi="Times New Roman" w:eastAsia="宋体" w:cs="Times New Roman"/>
    </w:rPr>
  </w:style>
  <w:style w:type="character" w:styleId="872" w:customStyle="1">
    <w:name w:val="Title Char"/>
    <w:link w:val="856"/>
    <w:uiPriority w:val="10"/>
    <w:qFormat/>
    <w:rPr>
      <w:sz w:val="48"/>
      <w:szCs w:val="48"/>
    </w:rPr>
  </w:style>
  <w:style w:type="character" w:styleId="873" w:customStyle="1">
    <w:name w:val="Subtitle Char"/>
    <w:link w:val="850"/>
    <w:uiPriority w:val="11"/>
    <w:qFormat/>
    <w:rPr>
      <w:sz w:val="24"/>
      <w:szCs w:val="24"/>
    </w:rPr>
  </w:style>
  <w:style w:type="paragraph" w:styleId="874">
    <w:name w:val="Quote"/>
    <w:basedOn w:val="828"/>
    <w:next w:val="828"/>
    <w:link w:val="875"/>
    <w:uiPriority w:val="29"/>
    <w:qFormat/>
    <w:pPr>
      <w:ind w:left="720" w:right="720"/>
    </w:pPr>
    <w:rPr>
      <w:i/>
    </w:rPr>
  </w:style>
  <w:style w:type="character" w:styleId="875" w:customStyle="1">
    <w:name w:val="Quote Char"/>
    <w:link w:val="874"/>
    <w:uiPriority w:val="29"/>
    <w:qFormat/>
    <w:rPr>
      <w:i/>
    </w:rPr>
  </w:style>
  <w:style w:type="paragraph" w:styleId="876">
    <w:name w:val="Intense Quote"/>
    <w:basedOn w:val="828"/>
    <w:next w:val="828"/>
    <w:link w:val="8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customStyle="1">
    <w:name w:val="Intense Quote Char"/>
    <w:link w:val="876"/>
    <w:uiPriority w:val="30"/>
    <w:qFormat/>
    <w:rPr>
      <w:i/>
    </w:rPr>
  </w:style>
  <w:style w:type="character" w:styleId="878" w:customStyle="1">
    <w:name w:val="Header Char"/>
    <w:link w:val="847"/>
    <w:uiPriority w:val="99"/>
    <w:qFormat/>
  </w:style>
  <w:style w:type="character" w:styleId="879" w:customStyle="1">
    <w:name w:val="Footer Char"/>
    <w:link w:val="846"/>
    <w:uiPriority w:val="99"/>
    <w:qFormat/>
  </w:style>
  <w:style w:type="character" w:styleId="880" w:customStyle="1">
    <w:name w:val="Caption Char"/>
    <w:link w:val="846"/>
    <w:uiPriority w:val="99"/>
    <w:qFormat/>
  </w:style>
  <w:style w:type="table" w:styleId="88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2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2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2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2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2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6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6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6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7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7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7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7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7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7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7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7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7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6" w:customStyle="1">
    <w:name w:val="Footnote Text Char"/>
    <w:link w:val="851"/>
    <w:uiPriority w:val="99"/>
    <w:qFormat/>
    <w:rPr>
      <w:sz w:val="18"/>
    </w:rPr>
  </w:style>
  <w:style w:type="character" w:styleId="1007" w:customStyle="1">
    <w:name w:val="Endnote Text Char"/>
    <w:link w:val="845"/>
    <w:uiPriority w:val="99"/>
    <w:qFormat/>
    <w:rPr>
      <w:sz w:val="20"/>
    </w:rPr>
  </w:style>
  <w:style w:type="paragraph" w:styleId="1008" w:customStyle="1">
    <w:name w:val="TOC Heading"/>
    <w:uiPriority w:val="39"/>
    <w:unhideWhenUsed/>
    <w:qFormat/>
    <w:rPr>
      <w:rFonts w:hint="default" w:ascii="Times New Roman" w:hAnsi="Times New Roman" w:eastAsia="宋体" w:cs="Times New Roman"/>
    </w:rPr>
  </w:style>
  <w:style w:type="paragraph" w:styleId="1009" w:customStyle="1">
    <w:name w:val="标题 11"/>
    <w:basedOn w:val="828"/>
    <w:next w:val="828"/>
    <w:link w:val="1021"/>
    <w:uiPriority w:val="0"/>
    <w:qFormat/>
    <w:pPr>
      <w:jc w:val="center"/>
      <w:keepLines/>
      <w:keepNext/>
      <w:spacing w:before="240" w:after="120" w:line="300" w:lineRule="auto"/>
      <w:outlineLvl w:val="0"/>
    </w:pPr>
    <w:rPr>
      <w:rFonts w:ascii="宋体"/>
      <w:b/>
      <w:sz w:val="32"/>
      <w:szCs w:val="20"/>
    </w:rPr>
  </w:style>
  <w:style w:type="paragraph" w:styleId="1010" w:customStyle="1">
    <w:name w:val="标题 21"/>
    <w:basedOn w:val="828"/>
    <w:next w:val="1011"/>
    <w:link w:val="1022"/>
    <w:uiPriority w:val="0"/>
    <w:qFormat/>
    <w:pPr>
      <w:jc w:val="center"/>
      <w:keepLines/>
      <w:keepNext/>
      <w:spacing w:before="120" w:line="300" w:lineRule="auto"/>
      <w:outlineLvl w:val="1"/>
    </w:pPr>
    <w:rPr>
      <w:rFonts w:ascii="Arial" w:hAnsi="Arial" w:eastAsia="黑体"/>
      <w:b/>
      <w:sz w:val="30"/>
      <w:szCs w:val="20"/>
    </w:rPr>
  </w:style>
  <w:style w:type="paragraph" w:styleId="1011" w:customStyle="1">
    <w:name w:val="正文缩进1111"/>
    <w:basedOn w:val="828"/>
    <w:link w:val="1023"/>
    <w:uiPriority w:val="0"/>
    <w:qFormat/>
    <w:pPr>
      <w:ind w:firstLine="420"/>
      <w:jc w:val="left"/>
    </w:pPr>
    <w:rPr>
      <w:rFonts w:ascii="宋体"/>
      <w:sz w:val="24"/>
    </w:rPr>
  </w:style>
  <w:style w:type="paragraph" w:styleId="1012" w:customStyle="1">
    <w:name w:val="标题 31"/>
    <w:basedOn w:val="828"/>
    <w:next w:val="828"/>
    <w:link w:val="1024"/>
    <w:uiPriority w:val="0"/>
    <w:qFormat/>
    <w:pPr>
      <w:jc w:val="left"/>
      <w:keepLines/>
      <w:keepNext/>
      <w:spacing w:before="360" w:after="120"/>
      <w:outlineLvl w:val="2"/>
    </w:pPr>
    <w:rPr>
      <w:rFonts w:ascii="宋体"/>
      <w:b/>
      <w:sz w:val="24"/>
      <w:szCs w:val="20"/>
      <w:u w:val="single"/>
    </w:rPr>
  </w:style>
  <w:style w:type="paragraph" w:styleId="1013" w:customStyle="1">
    <w:name w:val="标题 41"/>
    <w:basedOn w:val="828"/>
    <w:next w:val="828"/>
    <w:link w:val="1025"/>
    <w:uiPriority w:val="0"/>
    <w:qFormat/>
    <w:pPr>
      <w:keepLines/>
      <w:keepNext/>
      <w:spacing w:before="280" w:after="290" w:line="376" w:lineRule="atLeast"/>
      <w:outlineLvl w:val="3"/>
    </w:pPr>
    <w:rPr>
      <w:rFonts w:ascii="Arial" w:hAnsi="Arial" w:eastAsia="黑体"/>
      <w:b/>
      <w:sz w:val="28"/>
      <w:szCs w:val="20"/>
    </w:rPr>
  </w:style>
  <w:style w:type="paragraph" w:styleId="1014" w:customStyle="1">
    <w:name w:val="标题 51"/>
    <w:basedOn w:val="828"/>
    <w:next w:val="828"/>
    <w:link w:val="1026"/>
    <w:uiPriority w:val="0"/>
    <w:qFormat/>
    <w:pPr>
      <w:keepLines/>
      <w:keepNext/>
      <w:spacing w:before="280" w:after="290" w:line="376" w:lineRule="atLeast"/>
      <w:outlineLvl w:val="4"/>
    </w:pPr>
    <w:rPr>
      <w:b/>
      <w:sz w:val="28"/>
      <w:szCs w:val="20"/>
    </w:rPr>
  </w:style>
  <w:style w:type="paragraph" w:styleId="1015" w:customStyle="1">
    <w:name w:val="标题 61"/>
    <w:basedOn w:val="828"/>
    <w:next w:val="828"/>
    <w:link w:val="1027"/>
    <w:uiPriority w:val="0"/>
    <w:qFormat/>
    <w:pPr>
      <w:keepLines/>
      <w:keepNext/>
      <w:spacing w:before="240" w:after="64" w:line="320" w:lineRule="atLeast"/>
      <w:outlineLvl w:val="5"/>
    </w:pPr>
    <w:rPr>
      <w:rFonts w:ascii="Arial" w:hAnsi="Arial" w:eastAsia="黑体"/>
      <w:b/>
      <w:sz w:val="24"/>
      <w:szCs w:val="20"/>
    </w:rPr>
  </w:style>
  <w:style w:type="paragraph" w:styleId="1016" w:customStyle="1">
    <w:name w:val="标题 71"/>
    <w:basedOn w:val="828"/>
    <w:next w:val="828"/>
    <w:link w:val="1028"/>
    <w:uiPriority w:val="0"/>
    <w:qFormat/>
    <w:pPr>
      <w:keepLines/>
      <w:keepNext/>
      <w:spacing w:before="240" w:after="64" w:line="320" w:lineRule="atLeast"/>
      <w:outlineLvl w:val="6"/>
    </w:pPr>
    <w:rPr>
      <w:b/>
      <w:sz w:val="24"/>
      <w:szCs w:val="20"/>
    </w:rPr>
  </w:style>
  <w:style w:type="paragraph" w:styleId="1017" w:customStyle="1">
    <w:name w:val="标题 81"/>
    <w:basedOn w:val="828"/>
    <w:next w:val="828"/>
    <w:link w:val="1029"/>
    <w:uiPriority w:val="0"/>
    <w:qFormat/>
    <w:pPr>
      <w:keepLines/>
      <w:keepNext/>
      <w:spacing w:before="240" w:after="64" w:line="320" w:lineRule="atLeast"/>
      <w:outlineLvl w:val="7"/>
    </w:pPr>
    <w:rPr>
      <w:rFonts w:ascii="Arial" w:hAnsi="Arial" w:eastAsia="黑体"/>
      <w:sz w:val="24"/>
      <w:szCs w:val="20"/>
    </w:rPr>
  </w:style>
  <w:style w:type="paragraph" w:styleId="1018" w:customStyle="1">
    <w:name w:val="标题 91"/>
    <w:basedOn w:val="828"/>
    <w:next w:val="828"/>
    <w:link w:val="1030"/>
    <w:uiPriority w:val="0"/>
    <w:qFormat/>
    <w:pPr>
      <w:keepLines/>
      <w:keepNext/>
      <w:spacing w:before="240" w:after="64" w:line="320" w:lineRule="atLeast"/>
      <w:outlineLvl w:val="8"/>
    </w:pPr>
    <w:rPr>
      <w:rFonts w:ascii="Arial" w:hAnsi="Arial" w:eastAsia="黑体"/>
      <w:szCs w:val="20"/>
    </w:rPr>
  </w:style>
  <w:style w:type="character" w:styleId="1019" w:customStyle="1">
    <w:name w:val="默认段落字体1"/>
    <w:link w:val="828"/>
    <w:uiPriority w:val="1"/>
    <w:unhideWhenUsed/>
    <w:qFormat/>
  </w:style>
  <w:style w:type="table" w:styleId="1020" w:customStyle="1">
    <w:name w:val="普通表格1"/>
    <w:uiPriority w:val="99"/>
    <w:unhideWhenUsed/>
    <w:qFormat/>
    <w:tblPr/>
  </w:style>
  <w:style w:type="character" w:styleId="1021" w:customStyle="1">
    <w:name w:val="标题 1 Char"/>
    <w:basedOn w:val="1019"/>
    <w:link w:val="1009"/>
    <w:uiPriority w:val="0"/>
    <w:qFormat/>
    <w:rPr>
      <w:rFonts w:ascii="宋体"/>
      <w:b/>
      <w:sz w:val="32"/>
    </w:rPr>
  </w:style>
  <w:style w:type="character" w:styleId="1022" w:customStyle="1">
    <w:name w:val="标题 2 Char1"/>
    <w:link w:val="1010"/>
    <w:uiPriority w:val="0"/>
    <w:qFormat/>
    <w:rPr>
      <w:rFonts w:ascii="Arial" w:hAnsi="Arial" w:eastAsia="黑体"/>
      <w:b/>
      <w:sz w:val="30"/>
      <w:lang w:val="en-US" w:eastAsia="zh-CN" w:bidi="ar-SA"/>
    </w:rPr>
  </w:style>
  <w:style w:type="character" w:styleId="1023" w:customStyle="1">
    <w:name w:val="正文缩进 Char1"/>
    <w:link w:val="1011"/>
    <w:uiPriority w:val="0"/>
    <w:qFormat/>
    <w:rPr>
      <w:rFonts w:ascii="宋体" w:eastAsia="宋体"/>
      <w:sz w:val="24"/>
      <w:szCs w:val="24"/>
      <w:lang w:val="en-US" w:eastAsia="zh-CN" w:bidi="ar-SA"/>
    </w:rPr>
  </w:style>
  <w:style w:type="character" w:styleId="1024" w:customStyle="1">
    <w:name w:val="标题 3 Char1"/>
    <w:link w:val="1012"/>
    <w:uiPriority w:val="0"/>
    <w:qFormat/>
    <w:rPr>
      <w:rFonts w:ascii="宋体" w:eastAsia="宋体"/>
      <w:b/>
      <w:sz w:val="24"/>
      <w:u w:val="single"/>
      <w:lang w:val="en-US" w:eastAsia="zh-CN" w:bidi="ar-SA"/>
    </w:rPr>
  </w:style>
  <w:style w:type="character" w:styleId="1025" w:customStyle="1">
    <w:name w:val="标题 4 Char"/>
    <w:basedOn w:val="1019"/>
    <w:link w:val="1013"/>
    <w:uiPriority w:val="0"/>
    <w:qFormat/>
    <w:rPr>
      <w:rFonts w:ascii="Arial" w:hAnsi="Arial" w:eastAsia="黑体"/>
      <w:b/>
      <w:sz w:val="28"/>
    </w:rPr>
  </w:style>
  <w:style w:type="character" w:styleId="1026" w:customStyle="1">
    <w:name w:val="标题 5 Char"/>
    <w:basedOn w:val="1019"/>
    <w:link w:val="1014"/>
    <w:uiPriority w:val="0"/>
    <w:qFormat/>
    <w:rPr>
      <w:b/>
      <w:sz w:val="28"/>
    </w:rPr>
  </w:style>
  <w:style w:type="character" w:styleId="1027" w:customStyle="1">
    <w:name w:val="标题 6 Char"/>
    <w:basedOn w:val="1019"/>
    <w:link w:val="1015"/>
    <w:uiPriority w:val="0"/>
    <w:qFormat/>
    <w:rPr>
      <w:rFonts w:ascii="Arial" w:hAnsi="Arial" w:eastAsia="黑体"/>
      <w:b/>
      <w:sz w:val="24"/>
    </w:rPr>
  </w:style>
  <w:style w:type="character" w:styleId="1028" w:customStyle="1">
    <w:name w:val="标题 7 Char"/>
    <w:basedOn w:val="1019"/>
    <w:link w:val="1016"/>
    <w:uiPriority w:val="0"/>
    <w:qFormat/>
    <w:rPr>
      <w:b/>
      <w:sz w:val="24"/>
    </w:rPr>
  </w:style>
  <w:style w:type="character" w:styleId="1029" w:customStyle="1">
    <w:name w:val="标题 8 Char"/>
    <w:basedOn w:val="1019"/>
    <w:link w:val="1017"/>
    <w:uiPriority w:val="0"/>
    <w:qFormat/>
    <w:rPr>
      <w:rFonts w:ascii="Arial" w:hAnsi="Arial" w:eastAsia="黑体"/>
      <w:sz w:val="24"/>
    </w:rPr>
  </w:style>
  <w:style w:type="character" w:styleId="1030" w:customStyle="1">
    <w:name w:val="标题 9 Char"/>
    <w:basedOn w:val="1019"/>
    <w:link w:val="1018"/>
    <w:uiPriority w:val="0"/>
    <w:qFormat/>
    <w:rPr>
      <w:rFonts w:ascii="Arial" w:hAnsi="Arial" w:eastAsia="黑体"/>
      <w:sz w:val="21"/>
    </w:rPr>
  </w:style>
  <w:style w:type="paragraph" w:styleId="1031" w:customStyle="1">
    <w:name w:val="目录 71"/>
    <w:basedOn w:val="828"/>
    <w:next w:val="828"/>
    <w:uiPriority w:val="0"/>
    <w:qFormat/>
    <w:pPr>
      <w:ind w:left="2520"/>
    </w:pPr>
  </w:style>
  <w:style w:type="paragraph" w:styleId="1032" w:customStyle="1">
    <w:name w:val="题注1"/>
    <w:basedOn w:val="828"/>
    <w:next w:val="828"/>
    <w:uiPriority w:val="0"/>
    <w:qFormat/>
    <w:pPr>
      <w:spacing w:line="480" w:lineRule="auto"/>
    </w:pPr>
    <w:rPr>
      <w:rFonts w:ascii="华文中宋" w:hAnsi="华文中宋" w:eastAsia="华文中宋"/>
      <w:sz w:val="36"/>
      <w:szCs w:val="20"/>
    </w:rPr>
  </w:style>
  <w:style w:type="paragraph" w:styleId="1033" w:customStyle="1">
    <w:name w:val="文档结构图1"/>
    <w:basedOn w:val="828"/>
    <w:link w:val="1034"/>
    <w:uiPriority w:val="0"/>
    <w:qFormat/>
    <w:pPr>
      <w:shd w:val="clear" w:color="auto" w:fill="000080"/>
    </w:pPr>
  </w:style>
  <w:style w:type="character" w:styleId="1034" w:customStyle="1">
    <w:name w:val="文档结构图 Char"/>
    <w:basedOn w:val="1019"/>
    <w:link w:val="1033"/>
    <w:uiPriority w:val="0"/>
    <w:qFormat/>
    <w:rPr>
      <w:sz w:val="21"/>
      <w:szCs w:val="24"/>
      <w:shd w:val="clear" w:color="auto" w:fill="000080"/>
    </w:rPr>
  </w:style>
  <w:style w:type="paragraph" w:styleId="1035" w:customStyle="1">
    <w:name w:val="批注文字1"/>
    <w:basedOn w:val="828"/>
    <w:link w:val="1036"/>
    <w:uiPriority w:val="99"/>
    <w:qFormat/>
    <w:pPr>
      <w:jc w:val="left"/>
    </w:pPr>
  </w:style>
  <w:style w:type="character" w:styleId="1036" w:customStyle="1">
    <w:name w:val="批注文字 Char1"/>
    <w:link w:val="1035"/>
    <w:uiPriority w:val="99"/>
    <w:qFormat/>
    <w:rPr>
      <w:sz w:val="21"/>
      <w:szCs w:val="24"/>
    </w:rPr>
  </w:style>
  <w:style w:type="paragraph" w:styleId="1037" w:customStyle="1">
    <w:name w:val="正文文本 31"/>
    <w:basedOn w:val="828"/>
    <w:link w:val="1038"/>
    <w:uiPriority w:val="0"/>
    <w:qFormat/>
    <w:pPr>
      <w:spacing w:after="120"/>
    </w:pPr>
    <w:rPr>
      <w:sz w:val="16"/>
      <w:szCs w:val="16"/>
    </w:rPr>
  </w:style>
  <w:style w:type="character" w:styleId="1038" w:customStyle="1">
    <w:name w:val="正文文本 3 Char"/>
    <w:basedOn w:val="1019"/>
    <w:link w:val="1037"/>
    <w:uiPriority w:val="0"/>
    <w:qFormat/>
    <w:rPr>
      <w:sz w:val="16"/>
      <w:szCs w:val="16"/>
    </w:rPr>
  </w:style>
  <w:style w:type="paragraph" w:styleId="1039" w:customStyle="1">
    <w:name w:val="正文文本1"/>
    <w:basedOn w:val="828"/>
    <w:next w:val="828"/>
    <w:link w:val="1040"/>
    <w:uiPriority w:val="0"/>
    <w:qFormat/>
    <w:pPr>
      <w:spacing w:before="120" w:line="22" w:lineRule="atLeast"/>
      <w:tabs>
        <w:tab w:val="left" w:pos="567" w:leader="none"/>
      </w:tabs>
    </w:pPr>
    <w:rPr>
      <w:rFonts w:ascii="宋体" w:hAnsi="宋体"/>
      <w:sz w:val="24"/>
    </w:rPr>
  </w:style>
  <w:style w:type="character" w:styleId="1040" w:customStyle="1">
    <w:name w:val="正文文本 Char"/>
    <w:basedOn w:val="1019"/>
    <w:link w:val="1039"/>
    <w:uiPriority w:val="0"/>
    <w:qFormat/>
    <w:rPr>
      <w:rFonts w:ascii="宋体" w:hAnsi="宋体"/>
      <w:sz w:val="24"/>
      <w:szCs w:val="24"/>
    </w:rPr>
  </w:style>
  <w:style w:type="paragraph" w:styleId="1041" w:customStyle="1">
    <w:name w:val="正文文本缩进11"/>
    <w:basedOn w:val="828"/>
    <w:next w:val="1042"/>
    <w:link w:val="1043"/>
    <w:uiPriority w:val="0"/>
    <w:qFormat/>
    <w:pPr>
      <w:ind w:firstLine="570"/>
      <w:spacing w:line="360" w:lineRule="auto"/>
    </w:pPr>
    <w:rPr>
      <w:sz w:val="24"/>
    </w:rPr>
  </w:style>
  <w:style w:type="paragraph" w:styleId="1042" w:customStyle="1">
    <w:name w:val="正文首行缩进 21"/>
    <w:basedOn w:val="1041"/>
    <w:next w:val="828"/>
    <w:link w:val="1044"/>
    <w:uiPriority w:val="0"/>
    <w:qFormat/>
    <w:pPr>
      <w:ind w:left="420" w:firstLine="420"/>
      <w:spacing w:after="120" w:line="480" w:lineRule="exact"/>
    </w:pPr>
    <w:rPr>
      <w:szCs w:val="20"/>
    </w:rPr>
  </w:style>
  <w:style w:type="character" w:styleId="1043" w:customStyle="1">
    <w:name w:val="正文文本缩进 Char2"/>
    <w:link w:val="1041"/>
    <w:uiPriority w:val="0"/>
    <w:qFormat/>
    <w:rPr>
      <w:rFonts w:eastAsia="宋体"/>
      <w:sz w:val="24"/>
      <w:szCs w:val="24"/>
      <w:lang w:val="en-US" w:eastAsia="zh-CN" w:bidi="ar-SA"/>
    </w:rPr>
  </w:style>
  <w:style w:type="character" w:styleId="1044" w:customStyle="1">
    <w:name w:val="正文首行缩进 2 Char"/>
    <w:basedOn w:val="1043"/>
    <w:link w:val="1042"/>
    <w:uiPriority w:val="0"/>
    <w:qFormat/>
    <w:rPr>
      <w:rFonts w:eastAsia="宋体"/>
      <w:sz w:val="24"/>
      <w:szCs w:val="24"/>
      <w:lang w:val="en-US" w:eastAsia="zh-CN" w:bidi="ar-SA"/>
    </w:rPr>
  </w:style>
  <w:style w:type="paragraph" w:styleId="1045" w:customStyle="1">
    <w:name w:val="列表 21"/>
    <w:basedOn w:val="828"/>
    <w:uiPriority w:val="0"/>
    <w:qFormat/>
    <w:pPr>
      <w:ind w:left="100" w:hanging="200"/>
    </w:pPr>
  </w:style>
  <w:style w:type="paragraph" w:styleId="1046" w:customStyle="1">
    <w:name w:val="文本块1"/>
    <w:basedOn w:val="828"/>
    <w:uiPriority w:val="0"/>
    <w:qFormat/>
    <w:pPr>
      <w:ind w:left="480" w:right="-341" w:firstLine="513"/>
      <w:widowControl/>
    </w:pPr>
    <w:rPr>
      <w:sz w:val="24"/>
      <w:szCs w:val="20"/>
    </w:rPr>
  </w:style>
  <w:style w:type="paragraph" w:styleId="1047" w:customStyle="1">
    <w:name w:val="目录 51"/>
    <w:basedOn w:val="828"/>
    <w:next w:val="828"/>
    <w:uiPriority w:val="0"/>
    <w:qFormat/>
    <w:pPr>
      <w:ind w:left="1680"/>
    </w:pPr>
  </w:style>
  <w:style w:type="paragraph" w:styleId="1048" w:customStyle="1">
    <w:name w:val="目录 31"/>
    <w:basedOn w:val="828"/>
    <w:next w:val="828"/>
    <w:uiPriority w:val="39"/>
    <w:qFormat/>
    <w:pPr>
      <w:ind w:left="840"/>
    </w:pPr>
  </w:style>
  <w:style w:type="paragraph" w:styleId="1049" w:customStyle="1">
    <w:name w:val="纯文本11"/>
    <w:basedOn w:val="828"/>
    <w:link w:val="1050"/>
    <w:uiPriority w:val="99"/>
    <w:qFormat/>
    <w:rPr>
      <w:rFonts w:hint="eastAsia" w:ascii="宋体" w:hAnsi="Courier New"/>
      <w:szCs w:val="20"/>
    </w:rPr>
  </w:style>
  <w:style w:type="character" w:styleId="1050" w:customStyle="1">
    <w:name w:val="纯文本 Char"/>
    <w:basedOn w:val="1019"/>
    <w:link w:val="1049"/>
    <w:uiPriority w:val="0"/>
    <w:qFormat/>
    <w:rPr>
      <w:rFonts w:hint="eastAsia" w:ascii="宋体" w:hAnsi="Courier New" w:eastAsia="宋体" w:cs="宋体"/>
      <w:sz w:val="21"/>
    </w:rPr>
  </w:style>
  <w:style w:type="paragraph" w:styleId="1051" w:customStyle="1">
    <w:name w:val="列表项目符号 511"/>
    <w:basedOn w:val="828"/>
    <w:uiPriority w:val="0"/>
    <w:qFormat/>
    <w:pPr>
      <w:numPr>
        <w:ilvl w:val="0"/>
        <w:numId w:val="1"/>
      </w:numPr>
    </w:pPr>
  </w:style>
  <w:style w:type="paragraph" w:styleId="1052" w:customStyle="1">
    <w:name w:val="目录 81"/>
    <w:basedOn w:val="828"/>
    <w:next w:val="828"/>
    <w:uiPriority w:val="0"/>
    <w:qFormat/>
    <w:pPr>
      <w:ind w:left="2940"/>
    </w:pPr>
  </w:style>
  <w:style w:type="paragraph" w:styleId="1053" w:customStyle="1">
    <w:name w:val="日期1"/>
    <w:basedOn w:val="828"/>
    <w:next w:val="828"/>
    <w:link w:val="1054"/>
    <w:uiPriority w:val="0"/>
    <w:qFormat/>
    <w:pPr>
      <w:ind w:left="100"/>
    </w:pPr>
    <w:rPr>
      <w:rFonts w:ascii="仿宋_GB2312" w:hAnsi="宋体" w:eastAsia="仿宋_GB2312"/>
      <w:color w:val="000000"/>
      <w:sz w:val="24"/>
    </w:rPr>
  </w:style>
  <w:style w:type="character" w:styleId="1054" w:customStyle="1">
    <w:name w:val="日期 Char"/>
    <w:basedOn w:val="1019"/>
    <w:link w:val="1053"/>
    <w:uiPriority w:val="0"/>
    <w:qFormat/>
    <w:rPr>
      <w:rFonts w:ascii="仿宋_GB2312" w:hAnsi="宋体" w:eastAsia="仿宋_GB2312"/>
      <w:color w:val="000000"/>
      <w:sz w:val="24"/>
      <w:szCs w:val="24"/>
    </w:rPr>
  </w:style>
  <w:style w:type="paragraph" w:styleId="1055" w:customStyle="1">
    <w:name w:val="正文文本缩进 21"/>
    <w:basedOn w:val="828"/>
    <w:link w:val="1056"/>
    <w:uiPriority w:val="0"/>
    <w:qFormat/>
    <w:pPr>
      <w:ind w:firstLine="480"/>
    </w:pPr>
    <w:rPr>
      <w:rFonts w:ascii="仿宋_GB2312" w:eastAsia="仿宋_GB2312"/>
      <w:sz w:val="24"/>
    </w:rPr>
  </w:style>
  <w:style w:type="character" w:styleId="1056" w:customStyle="1">
    <w:name w:val="正文文本缩进 2 Char"/>
    <w:basedOn w:val="1019"/>
    <w:link w:val="1055"/>
    <w:uiPriority w:val="0"/>
    <w:qFormat/>
    <w:rPr>
      <w:rFonts w:ascii="仿宋_GB2312" w:eastAsia="仿宋_GB2312"/>
      <w:sz w:val="24"/>
      <w:szCs w:val="24"/>
    </w:rPr>
  </w:style>
  <w:style w:type="paragraph" w:styleId="1057" w:customStyle="1">
    <w:name w:val="批注框文本1"/>
    <w:basedOn w:val="828"/>
    <w:link w:val="1058"/>
    <w:uiPriority w:val="0"/>
    <w:qFormat/>
    <w:rPr>
      <w:sz w:val="18"/>
      <w:szCs w:val="18"/>
    </w:rPr>
  </w:style>
  <w:style w:type="character" w:styleId="1058" w:customStyle="1">
    <w:name w:val="批注框文本 Char"/>
    <w:basedOn w:val="1019"/>
    <w:link w:val="1057"/>
    <w:uiPriority w:val="0"/>
    <w:qFormat/>
    <w:rPr>
      <w:sz w:val="18"/>
      <w:szCs w:val="18"/>
    </w:rPr>
  </w:style>
  <w:style w:type="paragraph" w:styleId="1059" w:customStyle="1">
    <w:name w:val="页脚11"/>
    <w:basedOn w:val="828"/>
    <w:link w:val="1060"/>
    <w:uiPriority w:val="99"/>
    <w:qFormat/>
    <w:pPr>
      <w:jc w:val="left"/>
      <w:tabs>
        <w:tab w:val="center" w:pos="4153" w:leader="none"/>
        <w:tab w:val="right" w:pos="8306" w:leader="none"/>
      </w:tabs>
    </w:pPr>
    <w:rPr>
      <w:rFonts w:ascii="宋体"/>
      <w:sz w:val="18"/>
      <w:szCs w:val="20"/>
    </w:rPr>
  </w:style>
  <w:style w:type="character" w:styleId="1060" w:customStyle="1">
    <w:name w:val="页脚 Char1"/>
    <w:link w:val="1059"/>
    <w:uiPriority w:val="99"/>
    <w:qFormat/>
    <w:rPr>
      <w:rFonts w:ascii="宋体" w:eastAsia="宋体"/>
      <w:sz w:val="18"/>
      <w:lang w:val="en-US" w:eastAsia="zh-CN" w:bidi="ar-SA"/>
    </w:rPr>
  </w:style>
  <w:style w:type="paragraph" w:styleId="1061" w:customStyle="1">
    <w:name w:val="寄信人地址1"/>
    <w:basedOn w:val="828"/>
    <w:uiPriority w:val="99"/>
    <w:unhideWhenUsed/>
    <w:qFormat/>
    <w:rPr>
      <w:rFonts w:ascii="Arial" w:hAnsi="Arial"/>
    </w:rPr>
  </w:style>
  <w:style w:type="paragraph" w:styleId="1062" w:customStyle="1">
    <w:name w:val="页眉11"/>
    <w:basedOn w:val="828"/>
    <w:link w:val="1063"/>
    <w:uiPriority w:val="0"/>
    <w:qFormat/>
    <w:pPr>
      <w:jc w:val="center"/>
      <w:tabs>
        <w:tab w:val="center" w:pos="4153" w:leader="none"/>
        <w:tab w:val="right" w:pos="8306" w:leader="none"/>
      </w:tabs>
      <w:pBdr>
        <w:bottom w:val="single" w:color="000000" w:sz="6" w:space="1"/>
      </w:pBdr>
    </w:pPr>
    <w:rPr>
      <w:sz w:val="18"/>
      <w:szCs w:val="18"/>
    </w:rPr>
  </w:style>
  <w:style w:type="character" w:styleId="1063" w:customStyle="1">
    <w:name w:val="页眉 Char1"/>
    <w:link w:val="1062"/>
    <w:uiPriority w:val="0"/>
    <w:qFormat/>
    <w:rPr>
      <w:rFonts w:eastAsia="宋体"/>
      <w:sz w:val="18"/>
      <w:szCs w:val="18"/>
      <w:lang w:val="en-US" w:eastAsia="zh-CN" w:bidi="ar-SA"/>
    </w:rPr>
  </w:style>
  <w:style w:type="paragraph" w:styleId="1064" w:customStyle="1">
    <w:name w:val="目录 11"/>
    <w:basedOn w:val="828"/>
    <w:next w:val="828"/>
    <w:uiPriority w:val="39"/>
    <w:qFormat/>
    <w:pPr>
      <w:spacing w:line="300" w:lineRule="auto"/>
      <w:tabs>
        <w:tab w:val="left" w:pos="1050" w:leader="none"/>
        <w:tab w:val="right" w:pos="8937" w:leader="dot"/>
      </w:tabs>
    </w:pPr>
    <w:rPr>
      <w:rFonts w:ascii="宋体" w:hAnsi="宋体"/>
      <w:b/>
      <w:sz w:val="24"/>
    </w:rPr>
  </w:style>
  <w:style w:type="paragraph" w:styleId="1065" w:customStyle="1">
    <w:name w:val="目录 41"/>
    <w:basedOn w:val="828"/>
    <w:next w:val="828"/>
    <w:uiPriority w:val="0"/>
    <w:qFormat/>
    <w:pPr>
      <w:ind w:left="1260"/>
    </w:pPr>
  </w:style>
  <w:style w:type="paragraph" w:styleId="1066" w:customStyle="1">
    <w:name w:val="目录 61"/>
    <w:basedOn w:val="828"/>
    <w:next w:val="828"/>
    <w:uiPriority w:val="0"/>
    <w:qFormat/>
    <w:pPr>
      <w:ind w:left="2100"/>
    </w:pPr>
  </w:style>
  <w:style w:type="paragraph" w:styleId="1067" w:customStyle="1">
    <w:name w:val="正文文本缩进 31"/>
    <w:basedOn w:val="828"/>
    <w:link w:val="1068"/>
    <w:uiPriority w:val="0"/>
    <w:qFormat/>
    <w:pPr>
      <w:ind w:left="720" w:firstLine="480"/>
      <w:jc w:val="left"/>
      <w:spacing w:before="120" w:line="22" w:lineRule="atLeast"/>
    </w:pPr>
    <w:rPr>
      <w:rFonts w:ascii="宋体"/>
      <w:sz w:val="24"/>
      <w:szCs w:val="20"/>
    </w:rPr>
  </w:style>
  <w:style w:type="character" w:styleId="1068" w:customStyle="1">
    <w:name w:val="正文文本缩进 3 Char"/>
    <w:basedOn w:val="1019"/>
    <w:link w:val="1067"/>
    <w:uiPriority w:val="0"/>
    <w:qFormat/>
    <w:rPr>
      <w:rFonts w:ascii="宋体"/>
      <w:sz w:val="24"/>
    </w:rPr>
  </w:style>
  <w:style w:type="paragraph" w:styleId="1069" w:customStyle="1">
    <w:name w:val="目录 21"/>
    <w:basedOn w:val="828"/>
    <w:next w:val="828"/>
    <w:uiPriority w:val="39"/>
    <w:qFormat/>
    <w:pPr>
      <w:ind w:left="420"/>
      <w:spacing w:line="312" w:lineRule="auto"/>
      <w:tabs>
        <w:tab w:val="right" w:pos="8937" w:leader="dot"/>
      </w:tabs>
    </w:pPr>
  </w:style>
  <w:style w:type="paragraph" w:styleId="1070" w:customStyle="1">
    <w:name w:val="目录 91"/>
    <w:basedOn w:val="828"/>
    <w:next w:val="828"/>
    <w:uiPriority w:val="0"/>
    <w:qFormat/>
    <w:pPr>
      <w:ind w:left="3360"/>
    </w:pPr>
  </w:style>
  <w:style w:type="paragraph" w:styleId="1071" w:customStyle="1">
    <w:name w:val="HTML 预设格式1"/>
    <w:basedOn w:val="828"/>
    <w:link w:val="107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72" w:customStyle="1">
    <w:name w:val="HTML 预设格式 Char"/>
    <w:basedOn w:val="1019"/>
    <w:link w:val="1071"/>
    <w:uiPriority w:val="0"/>
    <w:qFormat/>
    <w:rPr>
      <w:rFonts w:ascii="宋体" w:hAnsi="宋体" w:cs="宋体"/>
      <w:sz w:val="24"/>
      <w:szCs w:val="24"/>
    </w:rPr>
  </w:style>
  <w:style w:type="paragraph" w:styleId="1073" w:customStyle="1">
    <w:name w:val="普通(网站)1"/>
    <w:basedOn w:val="828"/>
    <w:uiPriority w:val="99"/>
    <w:unhideWhenUsed/>
    <w:qFormat/>
    <w:pPr>
      <w:jc w:val="left"/>
      <w:spacing w:before="100" w:beforeAutospacing="1" w:after="100" w:afterAutospacing="1"/>
      <w:widowControl/>
    </w:pPr>
    <w:rPr>
      <w:rFonts w:ascii="宋体" w:hAnsi="宋体" w:cs="宋体"/>
      <w:sz w:val="24"/>
    </w:rPr>
  </w:style>
  <w:style w:type="paragraph" w:styleId="1074" w:customStyle="1">
    <w:name w:val="索引 111"/>
    <w:basedOn w:val="828"/>
    <w:next w:val="828"/>
    <w:uiPriority w:val="0"/>
    <w:qFormat/>
    <w:rPr>
      <w:szCs w:val="20"/>
    </w:rPr>
  </w:style>
  <w:style w:type="paragraph" w:styleId="1075" w:customStyle="1">
    <w:name w:val="标题1"/>
    <w:basedOn w:val="828"/>
    <w:link w:val="1076"/>
    <w:uiPriority w:val="0"/>
    <w:qFormat/>
    <w:pPr>
      <w:jc w:val="center"/>
      <w:outlineLvl w:val="0"/>
    </w:pPr>
    <w:rPr>
      <w:b/>
      <w:sz w:val="32"/>
      <w:szCs w:val="20"/>
    </w:rPr>
  </w:style>
  <w:style w:type="character" w:styleId="1076" w:customStyle="1">
    <w:name w:val="标题 Char1"/>
    <w:link w:val="1075"/>
    <w:uiPriority w:val="0"/>
    <w:qFormat/>
    <w:rPr>
      <w:b/>
      <w:sz w:val="32"/>
    </w:rPr>
  </w:style>
  <w:style w:type="paragraph" w:styleId="1077" w:customStyle="1">
    <w:name w:val="批注主题1"/>
    <w:basedOn w:val="1035"/>
    <w:next w:val="1035"/>
    <w:link w:val="1078"/>
    <w:uiPriority w:val="0"/>
    <w:qFormat/>
    <w:rPr>
      <w:b/>
      <w:bCs/>
    </w:rPr>
  </w:style>
  <w:style w:type="character" w:styleId="1078" w:customStyle="1">
    <w:name w:val="批注主题 Char"/>
    <w:basedOn w:val="1079"/>
    <w:link w:val="1077"/>
    <w:uiPriority w:val="0"/>
    <w:qFormat/>
    <w:rPr>
      <w:rFonts w:ascii="Times New Roman" w:hAnsi="Times New Roman" w:eastAsia="宋体" w:cs="Times New Roman"/>
      <w:b/>
      <w:bCs/>
      <w:sz w:val="21"/>
      <w:szCs w:val="24"/>
      <w:lang w:val="en-US" w:eastAsia="zh-CN" w:bidi="ar-SA"/>
    </w:rPr>
  </w:style>
  <w:style w:type="character" w:styleId="1079" w:customStyle="1">
    <w:name w:val="批注文字 字符"/>
    <w:link w:val="828"/>
    <w:uiPriority w:val="99"/>
    <w:qFormat/>
    <w:rPr>
      <w:rFonts w:ascii="Times New Roman" w:hAnsi="Times New Roman" w:eastAsia="宋体" w:cs="Times New Roman"/>
      <w:sz w:val="24"/>
      <w:lang w:val="en-US" w:eastAsia="zh-CN" w:bidi="ar-SA"/>
    </w:rPr>
  </w:style>
  <w:style w:type="paragraph" w:styleId="1080" w:customStyle="1">
    <w:name w:val="正文首行缩进1"/>
    <w:basedOn w:val="1039"/>
    <w:next w:val="828"/>
    <w:uiPriority w:val="99"/>
    <w:unhideWhenUsed/>
    <w:qFormat/>
    <w:pPr>
      <w:ind w:firstLine="420"/>
    </w:pPr>
  </w:style>
  <w:style w:type="table" w:styleId="1081" w:customStyle="1">
    <w:name w:val="网格型1"/>
    <w:basedOn w:val="1020"/>
    <w:uiPriority w:val="39"/>
    <w:qFormat/>
    <w:tblPr/>
  </w:style>
  <w:style w:type="table" w:styleId="1082" w:customStyle="1">
    <w:name w:val="中等深浅网格 1 - 强调文字颜色 21"/>
    <w:basedOn w:val="1020"/>
    <w:uiPriority w:val="0"/>
    <w:qFormat/>
    <w:rPr>
      <w:sz w:val="21"/>
      <w:szCs w:val="24"/>
    </w:rPr>
    <w:tblPr/>
  </w:style>
  <w:style w:type="character" w:styleId="1083" w:customStyle="1">
    <w:name w:val="要点1"/>
    <w:basedOn w:val="1019"/>
    <w:link w:val="828"/>
    <w:uiPriority w:val="0"/>
    <w:qFormat/>
    <w:rPr>
      <w:b/>
      <w:bCs/>
    </w:rPr>
  </w:style>
  <w:style w:type="character" w:styleId="1084" w:customStyle="1">
    <w:name w:val="页码11"/>
    <w:basedOn w:val="1019"/>
    <w:link w:val="828"/>
    <w:uiPriority w:val="0"/>
    <w:qFormat/>
  </w:style>
  <w:style w:type="character" w:styleId="1085" w:customStyle="1">
    <w:name w:val="超链接1"/>
    <w:basedOn w:val="1019"/>
    <w:link w:val="828"/>
    <w:uiPriority w:val="99"/>
    <w:qFormat/>
    <w:rPr>
      <w:color w:val="0000ff"/>
      <w:u w:val="single"/>
    </w:rPr>
  </w:style>
  <w:style w:type="character" w:styleId="1086" w:customStyle="1">
    <w:name w:val="批注引用1"/>
    <w:link w:val="828"/>
    <w:uiPriority w:val="99"/>
    <w:qFormat/>
    <w:rPr>
      <w:sz w:val="21"/>
      <w:szCs w:val="21"/>
    </w:rPr>
  </w:style>
  <w:style w:type="character" w:styleId="1087" w:customStyle="1">
    <w:name w:val="HTML 引文1"/>
    <w:link w:val="828"/>
    <w:uiPriority w:val="0"/>
    <w:qFormat/>
    <w:rPr>
      <w:i/>
      <w:iCs/>
    </w:rPr>
  </w:style>
  <w:style w:type="paragraph" w:styleId="1088" w:customStyle="1">
    <w:name w:val="正文文本11"/>
    <w:basedOn w:val="828"/>
    <w:next w:val="1089"/>
    <w:uiPriority w:val="0"/>
    <w:qFormat/>
    <w:pPr>
      <w:spacing w:before="120" w:line="22" w:lineRule="atLeast"/>
      <w:tabs>
        <w:tab w:val="left" w:pos="567" w:leader="none"/>
      </w:tabs>
    </w:pPr>
    <w:rPr>
      <w:rFonts w:ascii="宋体" w:hAnsi="宋体"/>
      <w:sz w:val="24"/>
    </w:rPr>
  </w:style>
  <w:style w:type="paragraph" w:styleId="1089" w:customStyle="1">
    <w:name w:val="列表项目符号 51"/>
    <w:basedOn w:val="828"/>
    <w:uiPriority w:val="0"/>
    <w:qFormat/>
    <w:pPr>
      <w:numPr>
        <w:ilvl w:val="0"/>
        <w:numId w:val="2"/>
      </w:numPr>
    </w:pPr>
  </w:style>
  <w:style w:type="character" w:styleId="1090" w:customStyle="1">
    <w:name w:val="页码1"/>
    <w:link w:val="828"/>
    <w:uiPriority w:val="0"/>
    <w:qFormat/>
    <w:rPr>
      <w:sz w:val="21"/>
      <w:szCs w:val="24"/>
      <w:lang w:val="en-US" w:eastAsia="zh-CN" w:bidi="ar-SA"/>
    </w:rPr>
  </w:style>
  <w:style w:type="character" w:styleId="1091" w:customStyle="1">
    <w:name w:val="c21"/>
    <w:link w:val="828"/>
    <w:uiPriority w:val="0"/>
    <w:qFormat/>
    <w:rPr>
      <w:rFonts w:ascii="ˎ̥" w:hAnsi="ˎ̥"/>
      <w:color w:val="000000"/>
      <w:sz w:val="20"/>
      <w:szCs w:val="20"/>
      <w:u w:val="none"/>
    </w:rPr>
  </w:style>
  <w:style w:type="character" w:styleId="1092" w:customStyle="1">
    <w:name w:val="title4"/>
    <w:link w:val="828"/>
    <w:uiPriority w:val="0"/>
    <w:qFormat/>
    <w:rPr>
      <w:b/>
      <w:bCs/>
      <w:color w:val="1d87b3"/>
      <w:sz w:val="15"/>
      <w:szCs w:val="15"/>
    </w:rPr>
  </w:style>
  <w:style w:type="character" w:styleId="1093" w:customStyle="1">
    <w:name w:val="标题 2 Char Char"/>
    <w:link w:val="828"/>
    <w:uiPriority w:val="0"/>
    <w:qFormat/>
    <w:rPr>
      <w:rFonts w:ascii="Arial" w:hAnsi="Arial" w:eastAsia="黑体"/>
      <w:b/>
      <w:bCs/>
      <w:sz w:val="32"/>
      <w:szCs w:val="32"/>
      <w:lang w:val="en-US" w:eastAsia="zh-CN" w:bidi="ar-SA"/>
    </w:rPr>
  </w:style>
  <w:style w:type="character" w:styleId="1094" w:customStyle="1">
    <w:name w:val="black1"/>
    <w:link w:val="828"/>
    <w:uiPriority w:val="0"/>
    <w:qFormat/>
    <w:rPr>
      <w:color w:val="000000"/>
    </w:rPr>
  </w:style>
  <w:style w:type="character" w:styleId="1095" w:customStyle="1">
    <w:name w:val="street-address"/>
    <w:basedOn w:val="1019"/>
    <w:link w:val="828"/>
    <w:uiPriority w:val="0"/>
    <w:qFormat/>
  </w:style>
  <w:style w:type="character" w:styleId="1096" w:customStyle="1">
    <w:name w:val="locality"/>
    <w:basedOn w:val="1019"/>
    <w:link w:val="828"/>
    <w:uiPriority w:val="0"/>
    <w:qFormat/>
  </w:style>
  <w:style w:type="character" w:styleId="1097" w:customStyle="1">
    <w:name w:val="正文文本缩进 Char1"/>
    <w:link w:val="1098"/>
    <w:uiPriority w:val="0"/>
    <w:qFormat/>
    <w:rPr>
      <w:rFonts w:ascii="宋体" w:hAnsi="宋体" w:eastAsia="宋体"/>
      <w:sz w:val="24"/>
      <w:szCs w:val="24"/>
      <w:lang w:bidi="ar-SA"/>
    </w:rPr>
  </w:style>
  <w:style w:type="paragraph" w:styleId="1098" w:customStyle="1">
    <w:name w:val="正文文本缩进1"/>
    <w:basedOn w:val="828"/>
    <w:link w:val="1097"/>
    <w:uiPriority w:val="0"/>
    <w:qFormat/>
    <w:pPr>
      <w:ind w:firstLine="480"/>
      <w:spacing w:line="480" w:lineRule="exact"/>
    </w:pPr>
    <w:rPr>
      <w:rFonts w:ascii="宋体" w:hAnsi="宋体"/>
      <w:sz w:val="24"/>
    </w:rPr>
  </w:style>
  <w:style w:type="character" w:styleId="1099" w:customStyle="1">
    <w:name w:val="Char Char11"/>
    <w:link w:val="828"/>
    <w:uiPriority w:val="0"/>
    <w:qFormat/>
    <w:rPr>
      <w:rFonts w:ascii="宋体" w:eastAsia="宋体"/>
      <w:b/>
      <w:sz w:val="24"/>
      <w:u w:val="single"/>
      <w:lang w:val="en-US" w:eastAsia="zh-CN" w:bidi="ar-SA"/>
    </w:rPr>
  </w:style>
  <w:style w:type="character" w:styleId="1100" w:customStyle="1">
    <w:name w:val="txt"/>
    <w:basedOn w:val="1019"/>
    <w:link w:val="828"/>
    <w:uiPriority w:val="0"/>
    <w:qFormat/>
  </w:style>
  <w:style w:type="character" w:styleId="1101" w:customStyle="1">
    <w:name w:val="正文缩进 Char Char"/>
    <w:link w:val="1102"/>
    <w:uiPriority w:val="0"/>
    <w:qFormat/>
    <w:rPr>
      <w:rFonts w:ascii="宋体" w:eastAsia="宋体"/>
      <w:color w:val="000000"/>
      <w:sz w:val="28"/>
      <w:lang w:bidi="ar-SA"/>
    </w:rPr>
  </w:style>
  <w:style w:type="paragraph" w:styleId="1102" w:customStyle="1">
    <w:name w:val="正文缩进1"/>
    <w:basedOn w:val="828"/>
    <w:link w:val="1101"/>
    <w:uiPriority w:val="0"/>
    <w:qFormat/>
    <w:pPr>
      <w:ind w:firstLine="567"/>
      <w:spacing w:line="480" w:lineRule="exact"/>
      <w:widowControl/>
    </w:pPr>
    <w:rPr>
      <w:rFonts w:ascii="宋体"/>
      <w:color w:val="000000"/>
      <w:sz w:val="28"/>
      <w:szCs w:val="20"/>
    </w:rPr>
  </w:style>
  <w:style w:type="character" w:styleId="1103" w:customStyle="1">
    <w:name w:val="普通文字1 Char1"/>
    <w:link w:val="828"/>
    <w:uiPriority w:val="0"/>
    <w:qFormat/>
    <w:rPr>
      <w:rFonts w:ascii="宋体" w:hAnsi="Courier New" w:eastAsia="宋体"/>
      <w:sz w:val="21"/>
      <w:lang w:val="en-US" w:eastAsia="zh-CN" w:bidi="ar-SA"/>
    </w:rPr>
  </w:style>
  <w:style w:type="character" w:styleId="1104" w:customStyle="1">
    <w:name w:val="chanpin1"/>
    <w:link w:val="828"/>
    <w:uiPriority w:val="0"/>
    <w:qFormat/>
    <w:rPr>
      <w:rFonts w:ascii="ˎ̥" w:hAnsi="ˎ̥"/>
      <w:color w:val="000000"/>
      <w:sz w:val="20"/>
      <w:szCs w:val="20"/>
      <w:u w:val="none"/>
    </w:rPr>
  </w:style>
  <w:style w:type="character" w:styleId="1105" w:customStyle="1">
    <w:name w:val="列出段落 Char1"/>
    <w:link w:val="1106"/>
    <w:uiPriority w:val="34"/>
    <w:qFormat/>
    <w:rPr>
      <w:rFonts w:ascii="Calibri" w:hAnsi="Calibri" w:eastAsia="宋体"/>
      <w:sz w:val="21"/>
      <w:szCs w:val="22"/>
      <w:lang w:val="en-US" w:eastAsia="zh-CN" w:bidi="ar-SA"/>
    </w:rPr>
  </w:style>
  <w:style w:type="paragraph" w:styleId="1106" w:customStyle="1">
    <w:name w:val="列出段落"/>
    <w:basedOn w:val="828"/>
    <w:link w:val="1105"/>
    <w:uiPriority w:val="34"/>
    <w:qFormat/>
    <w:pPr>
      <w:ind w:firstLine="420"/>
    </w:pPr>
    <w:rPr>
      <w:rFonts w:ascii="Calibri" w:hAnsi="Calibri"/>
      <w:szCs w:val="22"/>
    </w:rPr>
  </w:style>
  <w:style w:type="character" w:styleId="1107" w:customStyle="1">
    <w:name w:val="标题 3 Char Char"/>
    <w:link w:val="828"/>
    <w:uiPriority w:val="0"/>
    <w:qFormat/>
    <w:rPr>
      <w:rFonts w:eastAsia="宋体"/>
      <w:b/>
      <w:bCs/>
      <w:sz w:val="32"/>
      <w:szCs w:val="32"/>
      <w:lang w:val="en-US" w:eastAsia="zh-CN" w:bidi="ar-SA"/>
    </w:rPr>
  </w:style>
  <w:style w:type="character" w:styleId="1108" w:customStyle="1">
    <w:name w:val="段1 Char"/>
    <w:link w:val="828"/>
    <w:uiPriority w:val="0"/>
    <w:qFormat/>
    <w:rPr>
      <w:rFonts w:ascii="宋体" w:eastAsia="宋体"/>
      <w:sz w:val="24"/>
      <w:lang w:val="en-US" w:eastAsia="zh-CN" w:bidi="ar-SA"/>
    </w:rPr>
  </w:style>
  <w:style w:type="character" w:styleId="1109" w:customStyle="1">
    <w:name w:val="chanpin拷贝"/>
    <w:basedOn w:val="1019"/>
    <w:link w:val="828"/>
    <w:uiPriority w:val="0"/>
    <w:qFormat/>
  </w:style>
  <w:style w:type="character" w:styleId="1110" w:customStyle="1">
    <w:name w:val="纯文本 Char1"/>
    <w:link w:val="828"/>
    <w:uiPriority w:val="0"/>
    <w:qFormat/>
    <w:rPr>
      <w:rFonts w:ascii="宋体" w:hAnsi="Courier New" w:eastAsia="宋体"/>
      <w:sz w:val="21"/>
      <w:lang w:val="en-US" w:eastAsia="zh-CN" w:bidi="ar-SA"/>
    </w:rPr>
  </w:style>
  <w:style w:type="character" w:styleId="1111" w:customStyle="1">
    <w:name w:val="apple-style-span"/>
    <w:link w:val="828"/>
    <w:uiPriority w:val="0"/>
    <w:qFormat/>
    <w:rPr>
      <w:rFonts w:cs="Times New Roman"/>
    </w:rPr>
  </w:style>
  <w:style w:type="paragraph" w:styleId="1112" w:customStyle="1">
    <w:name w:val="二级条标题"/>
    <w:basedOn w:val="1113"/>
    <w:next w:val="82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13" w:customStyle="1">
    <w:name w:val="一级条标题"/>
    <w:basedOn w:val="1114"/>
    <w:next w:val="828"/>
    <w:uiPriority w:val="0"/>
    <w:qFormat/>
    <w:pPr>
      <w:numPr>
        <w:ilvl w:val="1"/>
      </w:numPr>
      <w:ind w:left="0" w:hanging="840"/>
      <w:tabs>
        <w:tab w:val="left" w:pos="360" w:leader="none"/>
        <w:tab w:val="left" w:pos="840" w:leader="none"/>
      </w:tabs>
      <w:outlineLvl w:val="1"/>
    </w:pPr>
  </w:style>
  <w:style w:type="paragraph" w:styleId="1114" w:customStyle="1">
    <w:name w:val="章标题"/>
    <w:next w:val="828"/>
    <w:uiPriority w:val="0"/>
    <w:qFormat/>
    <w:pPr>
      <w:numPr>
        <w:ilvl w:val="0"/>
        <w:numId w:val="3"/>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15" w:customStyle="1">
    <w:name w:val="font7"/>
    <w:basedOn w:val="828"/>
    <w:uiPriority w:val="0"/>
    <w:qFormat/>
    <w:pPr>
      <w:jc w:val="left"/>
      <w:spacing w:before="100" w:beforeAutospacing="1" w:after="100" w:afterAutospacing="1"/>
      <w:widowControl/>
    </w:pPr>
    <w:rPr>
      <w:rFonts w:eastAsia="Arial Unicode MS"/>
      <w:b/>
      <w:bCs/>
      <w:color w:val="000000"/>
      <w:sz w:val="20"/>
      <w:szCs w:val="20"/>
    </w:rPr>
  </w:style>
  <w:style w:type="paragraph" w:styleId="1116" w:customStyle="1">
    <w:name w:val="字元 字元"/>
    <w:basedOn w:val="828"/>
    <w:uiPriority w:val="0"/>
    <w:qFormat/>
    <w:rPr>
      <w:rFonts w:ascii="Tahoma" w:hAnsi="Tahoma"/>
      <w:sz w:val="24"/>
      <w:szCs w:val="20"/>
    </w:rPr>
  </w:style>
  <w:style w:type="paragraph" w:styleId="1117" w:customStyle="1">
    <w:name w:val="Char3 Char Char Char"/>
    <w:basedOn w:val="828"/>
    <w:uiPriority w:val="0"/>
    <w:qFormat/>
    <w:rPr>
      <w:rFonts w:ascii="Tahoma" w:hAnsi="Tahoma"/>
      <w:sz w:val="24"/>
      <w:szCs w:val="20"/>
    </w:rPr>
  </w:style>
  <w:style w:type="paragraph" w:styleId="1118" w:customStyle="1">
    <w:name w:val="font6"/>
    <w:basedOn w:val="828"/>
    <w:uiPriority w:val="0"/>
    <w:qFormat/>
    <w:pPr>
      <w:jc w:val="left"/>
      <w:spacing w:before="100" w:beforeAutospacing="1" w:after="100" w:afterAutospacing="1"/>
      <w:widowControl/>
    </w:pPr>
    <w:rPr>
      <w:rFonts w:ascii="宋体" w:hAnsi="宋体" w:cs="宋体"/>
      <w:sz w:val="20"/>
      <w:szCs w:val="20"/>
    </w:rPr>
  </w:style>
  <w:style w:type="paragraph" w:styleId="1119" w:customStyle="1">
    <w:name w:val="项目编号2"/>
    <w:basedOn w:val="1120"/>
    <w:uiPriority w:val="0"/>
    <w:qFormat/>
    <w:pPr>
      <w:numPr>
        <w:numId w:val="4"/>
      </w:numPr>
    </w:pPr>
  </w:style>
  <w:style w:type="paragraph" w:styleId="1120" w:customStyle="1">
    <w:name w:val="项目编号1"/>
    <w:basedOn w:val="828"/>
    <w:uiPriority w:val="0"/>
    <w:qFormat/>
    <w:pPr>
      <w:numPr>
        <w:ilvl w:val="0"/>
        <w:numId w:val="5"/>
      </w:numPr>
      <w:spacing w:before="100" w:beforeAutospacing="1" w:after="100" w:afterAutospacing="1" w:line="360" w:lineRule="auto"/>
    </w:pPr>
    <w:rPr>
      <w:sz w:val="24"/>
    </w:rPr>
  </w:style>
  <w:style w:type="paragraph" w:styleId="1121" w:customStyle="1">
    <w:name w:val="图中文字"/>
    <w:basedOn w:val="828"/>
    <w:uiPriority w:val="0"/>
    <w:qFormat/>
    <w:pPr>
      <w:jc w:val="center"/>
      <w:spacing w:line="0" w:lineRule="atLeast"/>
    </w:pPr>
    <w:rPr>
      <w:sz w:val="24"/>
      <w:szCs w:val="20"/>
    </w:rPr>
  </w:style>
  <w:style w:type="paragraph" w:styleId="1122" w:customStyle="1">
    <w:name w:val="xl46"/>
    <w:basedOn w:val="82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3" w:customStyle="1">
    <w:name w:val="xl25"/>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4" w:customStyle="1">
    <w:name w:val="Char2"/>
    <w:basedOn w:val="828"/>
    <w:uiPriority w:val="0"/>
    <w:qFormat/>
    <w:rPr>
      <w:rFonts w:ascii="Tahoma" w:hAnsi="Tahoma"/>
      <w:sz w:val="24"/>
      <w:szCs w:val="20"/>
    </w:rPr>
  </w:style>
  <w:style w:type="paragraph" w:styleId="1125" w:customStyle="1">
    <w:name w:val="xl35"/>
    <w:basedOn w:val="82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6" w:customStyle="1">
    <w:name w:val="xl40"/>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7" w:customStyle="1">
    <w:name w:val="xl52"/>
    <w:basedOn w:val="8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28" w:customStyle="1">
    <w:name w:val="xl43"/>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9" w:customStyle="1">
    <w:name w:val="background1"/>
    <w:basedOn w:val="828"/>
    <w:uiPriority w:val="0"/>
    <w:qFormat/>
    <w:pPr>
      <w:jc w:val="left"/>
      <w:spacing w:before="100" w:beforeAutospacing="1" w:after="100" w:afterAutospacing="1"/>
      <w:widowControl/>
    </w:pPr>
    <w:rPr>
      <w:rFonts w:ascii="宋体" w:hAnsi="宋体" w:cs="宋体"/>
      <w:sz w:val="24"/>
    </w:rPr>
  </w:style>
  <w:style w:type="paragraph" w:styleId="1130" w:customStyle="1">
    <w:name w:val="Char Char Char Char Char Char Char"/>
    <w:basedOn w:val="828"/>
    <w:uiPriority w:val="0"/>
    <w:qFormat/>
    <w:pPr>
      <w:ind w:firstLine="200"/>
      <w:spacing w:line="360" w:lineRule="auto"/>
    </w:pPr>
    <w:rPr>
      <w:rFonts w:eastAsia="仿宋_GB2312"/>
      <w:sz w:val="24"/>
    </w:rPr>
  </w:style>
  <w:style w:type="paragraph" w:styleId="1131" w:customStyle="1">
    <w:name w:val="xl38"/>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2" w:customStyle="1">
    <w:name w:val="xl36"/>
    <w:basedOn w:val="82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3" w:customStyle="1">
    <w:name w:val="正文 + 宋体"/>
    <w:basedOn w:val="828"/>
    <w:uiPriority w:val="0"/>
    <w:qFormat/>
    <w:pPr>
      <w:ind w:left="360" w:hanging="360"/>
      <w:jc w:val="left"/>
      <w:widowControl/>
    </w:pPr>
    <w:rPr>
      <w:rFonts w:ascii="宋体" w:hAnsi="宋体" w:cs="宋体"/>
      <w:b/>
      <w:bCs/>
      <w:color w:val="000000"/>
      <w:sz w:val="18"/>
      <w:szCs w:val="18"/>
    </w:rPr>
  </w:style>
  <w:style w:type="paragraph" w:styleId="1134" w:customStyle="1">
    <w:name w:val="正文列项_数字"/>
    <w:basedOn w:val="828"/>
    <w:uiPriority w:val="0"/>
    <w:qFormat/>
    <w:pPr>
      <w:numPr>
        <w:ilvl w:val="7"/>
        <w:numId w:val="3"/>
      </w:numPr>
      <w:ind w:left="680" w:hanging="150"/>
      <w:spacing w:line="460" w:lineRule="exact"/>
      <w:tabs>
        <w:tab w:val="clear" w:pos="860" w:leader="none"/>
      </w:tabs>
      <w:outlineLvl w:val="7"/>
    </w:pPr>
    <w:rPr>
      <w:rFonts w:ascii="宋体"/>
      <w:sz w:val="28"/>
      <w:szCs w:val="20"/>
    </w:rPr>
  </w:style>
  <w:style w:type="paragraph" w:styleId="1135" w:customStyle="1">
    <w:name w:val="xl39"/>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6" w:customStyle="1">
    <w:name w:val="xl37"/>
    <w:basedOn w:val="82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7" w:customStyle="1">
    <w:name w:val="xl32"/>
    <w:basedOn w:val="8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8" w:customStyle="1">
    <w:name w:val="font8"/>
    <w:basedOn w:val="828"/>
    <w:uiPriority w:val="0"/>
    <w:qFormat/>
    <w:pPr>
      <w:jc w:val="left"/>
      <w:spacing w:before="100" w:beforeAutospacing="1" w:after="100" w:afterAutospacing="1"/>
      <w:widowControl/>
    </w:pPr>
    <w:rPr>
      <w:sz w:val="36"/>
      <w:szCs w:val="36"/>
    </w:rPr>
  </w:style>
  <w:style w:type="paragraph" w:styleId="1139" w:customStyle="1">
    <w:name w:val="Char"/>
    <w:basedOn w:val="828"/>
    <w:uiPriority w:val="0"/>
    <w:qFormat/>
    <w:pPr>
      <w:tabs>
        <w:tab w:val="left" w:pos="360" w:leader="none"/>
      </w:tabs>
    </w:pPr>
    <w:rPr>
      <w:sz w:val="24"/>
    </w:rPr>
  </w:style>
  <w:style w:type="paragraph" w:styleId="1140" w:customStyle="1">
    <w:name w:val="Char Char Char Char Char Char Char Char Char Char Char Char Char Char Char Char"/>
    <w:basedOn w:val="828"/>
    <w:uiPriority w:val="0"/>
    <w:qFormat/>
    <w:pPr>
      <w:jc w:val="center"/>
      <w:spacing w:after="160" w:line="240" w:lineRule="exact"/>
      <w:widowControl/>
    </w:pPr>
    <w:rPr>
      <w:rFonts w:ascii="宋体" w:hAnsi="宋体"/>
      <w:b/>
      <w:sz w:val="30"/>
      <w:szCs w:val="30"/>
      <w:lang w:eastAsia="en-US"/>
    </w:rPr>
  </w:style>
  <w:style w:type="paragraph" w:styleId="1141" w:customStyle="1">
    <w:name w:val="xl45"/>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2" w:customStyle="1">
    <w:name w:val="Char Char1 Char Char Char Char Char Char"/>
    <w:basedOn w:val="828"/>
    <w:uiPriority w:val="0"/>
    <w:qFormat/>
    <w:pPr>
      <w:jc w:val="left"/>
      <w:spacing w:after="160" w:line="240" w:lineRule="exact"/>
      <w:widowControl/>
    </w:pPr>
    <w:rPr>
      <w:rFonts w:ascii="Verdana" w:hAnsi="Verdana" w:eastAsia="仿宋_GB2312"/>
      <w:sz w:val="24"/>
      <w:szCs w:val="20"/>
      <w:lang w:eastAsia="en-US"/>
    </w:rPr>
  </w:style>
  <w:style w:type="paragraph" w:styleId="1143" w:customStyle="1">
    <w:name w:val="Char Char1"/>
    <w:basedOn w:val="1033"/>
    <w:uiPriority w:val="0"/>
    <w:qFormat/>
    <w:rPr>
      <w:rFonts w:ascii="Tahoma" w:hAnsi="Tahoma"/>
      <w:sz w:val="24"/>
    </w:rPr>
  </w:style>
  <w:style w:type="paragraph" w:styleId="1144" w:customStyle="1">
    <w:name w:val="xl26"/>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5" w:customStyle="1">
    <w:name w:val="xl30"/>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6" w:customStyle="1">
    <w:name w:val="xl41"/>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7" w:customStyle="1">
    <w:name w:val="样式 宋体 五号 行距: 单倍行距"/>
    <w:basedOn w:val="828"/>
    <w:uiPriority w:val="0"/>
    <w:qFormat/>
    <w:pPr>
      <w:jc w:val="left"/>
    </w:pPr>
    <w:rPr>
      <w:rFonts w:ascii="宋体" w:hAnsi="宋体"/>
      <w:szCs w:val="20"/>
    </w:rPr>
  </w:style>
  <w:style w:type="paragraph" w:styleId="1148" w:customStyle="1">
    <w:name w:val="Char1 Char Char Char1"/>
    <w:basedOn w:val="828"/>
    <w:uiPriority w:val="0"/>
    <w:qFormat/>
    <w:rPr>
      <w:rFonts w:ascii="Tahoma" w:hAnsi="Tahoma" w:cs="仿宋_GB2312"/>
      <w:sz w:val="24"/>
      <w:szCs w:val="28"/>
    </w:rPr>
  </w:style>
  <w:style w:type="paragraph" w:styleId="1149" w:customStyle="1">
    <w:name w:val="四级条标题"/>
    <w:basedOn w:val="1150"/>
    <w:next w:val="828"/>
    <w:uiPriority w:val="0"/>
    <w:qFormat/>
    <w:pPr>
      <w:numPr>
        <w:ilvl w:val="4"/>
      </w:numPr>
      <w:ind w:left="0" w:hanging="840"/>
      <w:tabs>
        <w:tab w:val="left" w:pos="360" w:leader="none"/>
        <w:tab w:val="left" w:pos="840" w:leader="none"/>
      </w:tabs>
      <w:outlineLvl w:val="4"/>
    </w:pPr>
  </w:style>
  <w:style w:type="paragraph" w:styleId="1150" w:customStyle="1">
    <w:name w:val="三级条标题"/>
    <w:basedOn w:val="1112"/>
    <w:next w:val="828"/>
    <w:uiPriority w:val="0"/>
    <w:qFormat/>
    <w:pPr>
      <w:numPr>
        <w:ilvl w:val="3"/>
        <w:numId w:val="3"/>
      </w:numPr>
      <w:ind w:left="0" w:hanging="840"/>
      <w:outlineLvl w:val="3"/>
    </w:pPr>
  </w:style>
  <w:style w:type="paragraph" w:styleId="1151"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52" w:customStyle="1">
    <w:name w:val="样式 标题 2 + 宋体 五号 行距: 单倍行距"/>
    <w:basedOn w:val="1010"/>
    <w:uiPriority w:val="0"/>
    <w:qFormat/>
    <w:pPr>
      <w:numPr>
        <w:ilvl w:val="1"/>
        <w:numId w:val="6"/>
      </w:numPr>
      <w:jc w:val="left"/>
      <w:spacing w:before="260" w:after="260" w:line="240" w:lineRule="auto"/>
    </w:pPr>
    <w:rPr>
      <w:rFonts w:ascii="宋体" w:hAnsi="宋体" w:eastAsia="宋体"/>
      <w:bCs/>
      <w:sz w:val="21"/>
    </w:rPr>
  </w:style>
  <w:style w:type="paragraph" w:styleId="1153" w:customStyle="1">
    <w:name w:val="List Paragraph1"/>
    <w:basedOn w:val="828"/>
    <w:uiPriority w:val="0"/>
    <w:qFormat/>
    <w:pPr>
      <w:ind w:firstLine="420"/>
    </w:pPr>
    <w:rPr>
      <w:rFonts w:ascii="Calibri" w:hAnsi="Calibri"/>
      <w:szCs w:val="22"/>
    </w:rPr>
  </w:style>
  <w:style w:type="paragraph" w:styleId="1154" w:customStyle="1">
    <w:name w:val="项目符号1"/>
    <w:basedOn w:val="1155"/>
    <w:uiPriority w:val="0"/>
    <w:qFormat/>
    <w:pPr>
      <w:ind w:left="-25" w:firstLine="0"/>
    </w:pPr>
  </w:style>
  <w:style w:type="paragraph" w:styleId="1155" w:customStyle="1">
    <w:name w:val="正文文本样式"/>
    <w:basedOn w:val="828"/>
    <w:uiPriority w:val="0"/>
    <w:qFormat/>
    <w:pPr>
      <w:ind w:firstLine="482"/>
      <w:spacing w:line="360" w:lineRule="auto"/>
    </w:pPr>
    <w:rPr>
      <w:rFonts w:cs="宋体"/>
      <w:sz w:val="24"/>
      <w:szCs w:val="20"/>
    </w:rPr>
  </w:style>
  <w:style w:type="paragraph" w:styleId="1156" w:customStyle="1">
    <w:name w:val="xl27"/>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7" w:customStyle="1">
    <w:name w:val="font5"/>
    <w:basedOn w:val="828"/>
    <w:uiPriority w:val="0"/>
    <w:qFormat/>
    <w:pPr>
      <w:jc w:val="left"/>
      <w:spacing w:before="100" w:beforeAutospacing="1" w:after="100" w:afterAutospacing="1"/>
      <w:widowControl/>
    </w:pPr>
    <w:rPr>
      <w:rFonts w:ascii="宋体" w:hAnsi="宋体" w:cs="宋体"/>
      <w:sz w:val="18"/>
      <w:szCs w:val="18"/>
    </w:rPr>
  </w:style>
  <w:style w:type="paragraph" w:styleId="1158" w:customStyle="1">
    <w:name w:val="五级条标题"/>
    <w:basedOn w:val="1149"/>
    <w:next w:val="828"/>
    <w:uiPriority w:val="0"/>
    <w:qFormat/>
    <w:pPr>
      <w:numPr>
        <w:ilvl w:val="5"/>
      </w:numPr>
      <w:ind w:left="0" w:hanging="840"/>
      <w:outlineLvl w:val="5"/>
    </w:pPr>
  </w:style>
  <w:style w:type="paragraph" w:styleId="1159" w:customStyle="1">
    <w:name w:val="xl49"/>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0" w:customStyle="1">
    <w:name w:val="文档正文"/>
    <w:basedOn w:val="828"/>
    <w:uiPriority w:val="0"/>
    <w:qFormat/>
    <w:pPr>
      <w:spacing w:before="120" w:after="120" w:line="180" w:lineRule="auto"/>
    </w:pPr>
    <w:rPr>
      <w:rFonts w:ascii="Arial" w:hAnsi="Arial"/>
      <w:szCs w:val="20"/>
    </w:rPr>
  </w:style>
  <w:style w:type="paragraph" w:styleId="1161" w:customStyle="1">
    <w:name w:val="xl33"/>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2" w:customStyle="1">
    <w:name w:val="xl42"/>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3" w:customStyle="1">
    <w:name w:val="Char Char Char1 Char"/>
    <w:basedOn w:val="828"/>
    <w:uiPriority w:val="0"/>
    <w:qFormat/>
    <w:rPr>
      <w:rFonts w:ascii="Tahoma" w:hAnsi="Tahoma"/>
      <w:sz w:val="24"/>
      <w:szCs w:val="20"/>
    </w:rPr>
  </w:style>
  <w:style w:type="paragraph" w:styleId="1164" w:customStyle="1">
    <w:name w:val="xl44"/>
    <w:basedOn w:val="82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5" w:customStyle="1">
    <w:name w:val="1名"/>
    <w:basedOn w:val="828"/>
    <w:uiPriority w:val="0"/>
    <w:qFormat/>
    <w:pPr>
      <w:numPr>
        <w:ilvl w:val="0"/>
        <w:numId w:val="7"/>
      </w:numPr>
      <w:spacing w:before="120"/>
    </w:pPr>
    <w:rPr>
      <w:rFonts w:ascii="宋体"/>
      <w:sz w:val="28"/>
      <w:szCs w:val="20"/>
    </w:rPr>
  </w:style>
  <w:style w:type="paragraph" w:styleId="1166" w:customStyle="1">
    <w:name w:val="font9"/>
    <w:basedOn w:val="82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67" w:customStyle="1">
    <w:name w:val="Char Char Char1 Char1"/>
    <w:basedOn w:val="828"/>
    <w:uiPriority w:val="0"/>
    <w:qFormat/>
    <w:rPr>
      <w:rFonts w:ascii="Tahoma" w:hAnsi="Tahoma"/>
      <w:sz w:val="24"/>
      <w:szCs w:val="20"/>
    </w:rPr>
  </w:style>
  <w:style w:type="paragraph" w:styleId="1168" w:customStyle="1">
    <w:name w:val="Char Char Char Char Char Char Char Char Char Char"/>
    <w:basedOn w:val="828"/>
    <w:uiPriority w:val="0"/>
    <w:qFormat/>
  </w:style>
  <w:style w:type="paragraph" w:styleId="1169" w:customStyle="1">
    <w:name w:val="Char Char1 Char Char Char Char Char Char Char Char"/>
    <w:basedOn w:val="828"/>
    <w:uiPriority w:val="0"/>
    <w:qFormat/>
    <w:pPr>
      <w:jc w:val="left"/>
      <w:spacing w:after="160" w:line="240" w:lineRule="exact"/>
      <w:widowControl/>
    </w:pPr>
    <w:rPr>
      <w:rFonts w:ascii="Verdana" w:hAnsi="Verdana"/>
      <w:sz w:val="20"/>
      <w:szCs w:val="20"/>
      <w:lang w:eastAsia="en-US"/>
    </w:rPr>
  </w:style>
  <w:style w:type="paragraph" w:styleId="1170" w:customStyle="1">
    <w:name w:val="Char1"/>
    <w:basedOn w:val="828"/>
    <w:uiPriority w:val="0"/>
    <w:qFormat/>
    <w:pPr>
      <w:tabs>
        <w:tab w:val="left" w:pos="360" w:leader="none"/>
      </w:tabs>
    </w:pPr>
    <w:rPr>
      <w:sz w:val="24"/>
    </w:rPr>
  </w:style>
  <w:style w:type="paragraph" w:styleId="1171" w:customStyle="1">
    <w:name w:val="正文列项_字母"/>
    <w:basedOn w:val="828"/>
    <w:uiPriority w:val="0"/>
    <w:qFormat/>
    <w:pPr>
      <w:numPr>
        <w:ilvl w:val="6"/>
        <w:numId w:val="3"/>
      </w:numPr>
      <w:ind w:left="480" w:hanging="180"/>
      <w:spacing w:line="460" w:lineRule="exact"/>
      <w:tabs>
        <w:tab w:val="clear" w:pos="635" w:leader="none"/>
      </w:tabs>
      <w:outlineLvl w:val="6"/>
    </w:pPr>
    <w:rPr>
      <w:rFonts w:ascii="宋体"/>
      <w:sz w:val="28"/>
      <w:szCs w:val="20"/>
    </w:rPr>
  </w:style>
  <w:style w:type="paragraph" w:styleId="1172" w:customStyle="1">
    <w:name w:val="xl28"/>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3" w:customStyle="1">
    <w:name w:val="xl47"/>
    <w:basedOn w:val="82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4" w:customStyle="1">
    <w:name w:val="默认段落字体 Para Char Char Char Char"/>
    <w:basedOn w:val="828"/>
    <w:uiPriority w:val="0"/>
    <w:qFormat/>
    <w:rPr>
      <w:rFonts w:ascii="Arial" w:hAnsi="Arial" w:cs="Arial"/>
      <w:szCs w:val="21"/>
    </w:rPr>
  </w:style>
  <w:style w:type="paragraph" w:styleId="1175" w:customStyle="1">
    <w:name w:val="xl48"/>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6" w:customStyle="1">
    <w:name w:val="xl31"/>
    <w:basedOn w:val="8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7" w:customStyle="1">
    <w:name w:val="xl53"/>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8" w:customStyle="1">
    <w:name w:val="Char Char Char"/>
    <w:basedOn w:val="828"/>
    <w:uiPriority w:val="0"/>
    <w:qFormat/>
    <w:rPr>
      <w:rFonts w:ascii="Tahoma" w:hAnsi="Tahoma"/>
      <w:sz w:val="24"/>
      <w:szCs w:val="20"/>
    </w:rPr>
  </w:style>
  <w:style w:type="paragraph" w:styleId="1179" w:customStyle="1">
    <w:name w:val="xl50"/>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0" w:customStyle="1">
    <w:name w:val="缺省文本"/>
    <w:basedOn w:val="828"/>
    <w:uiPriority w:val="0"/>
    <w:qFormat/>
    <w:pPr>
      <w:jc w:val="left"/>
    </w:pPr>
    <w:rPr>
      <w:sz w:val="24"/>
    </w:rPr>
  </w:style>
  <w:style w:type="paragraph" w:styleId="1181" w:customStyle="1">
    <w:name w:val="Char Char Char1"/>
    <w:basedOn w:val="828"/>
    <w:uiPriority w:val="0"/>
    <w:qFormat/>
    <w:rPr>
      <w:rFonts w:ascii="Tahoma" w:hAnsi="Tahoma"/>
      <w:sz w:val="24"/>
      <w:szCs w:val="20"/>
    </w:rPr>
  </w:style>
  <w:style w:type="paragraph" w:styleId="1182" w:customStyle="1">
    <w:name w:val="Char Char Char Char Char Char Char1"/>
    <w:basedOn w:val="828"/>
    <w:uiPriority w:val="0"/>
    <w:qFormat/>
    <w:pPr>
      <w:ind w:firstLine="200"/>
      <w:spacing w:line="360" w:lineRule="auto"/>
    </w:pPr>
    <w:rPr>
      <w:rFonts w:eastAsia="仿宋_GB2312"/>
      <w:sz w:val="24"/>
    </w:rPr>
  </w:style>
  <w:style w:type="paragraph" w:styleId="1183" w:customStyle="1">
    <w:name w:val="xl51"/>
    <w:basedOn w:val="8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customStyle="1">
    <w:name w:val="样式2"/>
    <w:basedOn w:val="1074"/>
    <w:uiPriority w:val="0"/>
    <w:qFormat/>
    <w:pPr>
      <w:jc w:val="center"/>
      <w:spacing w:line="360" w:lineRule="auto"/>
    </w:pPr>
    <w:rPr>
      <w:sz w:val="24"/>
    </w:rPr>
  </w:style>
  <w:style w:type="paragraph" w:styleId="1185" w:customStyle="1">
    <w:name w:val="xl24"/>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6" w:customStyle="1">
    <w:name w:val="xl29"/>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7" w:customStyle="1">
    <w:name w:val="正文 + 楷体_GB2312"/>
    <w:basedOn w:val="828"/>
    <w:uiPriority w:val="0"/>
    <w:qFormat/>
    <w:pPr>
      <w:jc w:val="left"/>
      <w:widowControl/>
    </w:pPr>
    <w:rPr>
      <w:rFonts w:ascii="楷体_GB2312" w:eastAsia="楷体_GB2312" w:cs="Arial"/>
      <w:sz w:val="24"/>
    </w:rPr>
  </w:style>
  <w:style w:type="paragraph" w:styleId="1188" w:customStyle="1">
    <w:name w:val="xl34"/>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89" w:customStyle="1">
    <w:name w:val="1 Char Char Char Char"/>
    <w:basedOn w:val="828"/>
    <w:uiPriority w:val="0"/>
    <w:qFormat/>
    <w:rPr>
      <w:rFonts w:ascii="Tahoma" w:hAnsi="Tahoma"/>
      <w:sz w:val="24"/>
      <w:szCs w:val="20"/>
    </w:rPr>
  </w:style>
  <w:style w:type="paragraph" w:styleId="1190"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191" w:customStyle="1">
    <w:name w:val="列出段落1"/>
    <w:basedOn w:val="828"/>
    <w:uiPriority w:val="0"/>
    <w:qFormat/>
    <w:pPr>
      <w:ind w:firstLine="420"/>
    </w:pPr>
    <w:rPr>
      <w:rFonts w:ascii="Calibri" w:hAnsi="Calibri"/>
      <w:szCs w:val="22"/>
    </w:rPr>
  </w:style>
  <w:style w:type="paragraph" w:styleId="1192" w:customStyle="1">
    <w:name w:val="default"/>
    <w:basedOn w:val="828"/>
    <w:uiPriority w:val="0"/>
    <w:qFormat/>
    <w:pPr>
      <w:jc w:val="left"/>
      <w:spacing w:before="100" w:beforeAutospacing="1" w:after="100" w:afterAutospacing="1"/>
      <w:widowControl/>
    </w:pPr>
    <w:rPr>
      <w:rFonts w:ascii="宋体" w:hAnsi="宋体" w:cs="宋体"/>
      <w:sz w:val="24"/>
    </w:rPr>
  </w:style>
  <w:style w:type="paragraph" w:styleId="1193" w:customStyle="1">
    <w:name w:val="字元 字元1"/>
    <w:basedOn w:val="828"/>
    <w:uiPriority w:val="0"/>
    <w:qFormat/>
    <w:rPr>
      <w:rFonts w:ascii="Tahoma" w:hAnsi="Tahoma"/>
      <w:sz w:val="24"/>
      <w:szCs w:val="20"/>
    </w:rPr>
  </w:style>
  <w:style w:type="paragraph" w:styleId="1194" w:customStyle="1">
    <w:name w:val="_Style 160"/>
    <w:uiPriority w:val="0"/>
    <w:qFormat/>
    <w:rPr>
      <w:rFonts w:hint="default" w:ascii="Times New Roman" w:hAnsi="Times New Roman" w:eastAsia="宋体" w:cs="Times New Roman"/>
      <w:sz w:val="21"/>
      <w:szCs w:val="24"/>
      <w:lang w:val="en-US" w:eastAsia="zh-CN" w:bidi="ar-SA"/>
    </w:rPr>
  </w:style>
  <w:style w:type="paragraph" w:styleId="1195" w:customStyle="1">
    <w:name w:val="项目编号3"/>
    <w:basedOn w:val="1155"/>
    <w:uiPriority w:val="0"/>
    <w:qFormat/>
    <w:pPr>
      <w:numPr>
        <w:ilvl w:val="0"/>
        <w:numId w:val="8"/>
      </w:numPr>
    </w:pPr>
  </w:style>
  <w:style w:type="paragraph" w:styleId="1196" w:customStyle="1">
    <w:name w:val="Char21"/>
    <w:basedOn w:val="828"/>
    <w:uiPriority w:val="0"/>
    <w:qFormat/>
    <w:rPr>
      <w:rFonts w:ascii="Tahoma" w:hAnsi="Tahoma"/>
      <w:sz w:val="24"/>
      <w:szCs w:val="20"/>
    </w:rPr>
  </w:style>
  <w:style w:type="paragraph" w:styleId="1197" w:customStyle="1">
    <w:name w:val="表格文字"/>
    <w:basedOn w:val="1041"/>
    <w:uiPriority w:val="0"/>
    <w:qFormat/>
    <w:pPr>
      <w:ind w:firstLine="0"/>
      <w:spacing w:before="20" w:after="20" w:line="240" w:lineRule="auto"/>
    </w:pPr>
    <w:rPr>
      <w:rFonts w:ascii="Century Gothic" w:hAnsi="Century Gothic"/>
      <w:sz w:val="20"/>
      <w:szCs w:val="20"/>
    </w:rPr>
  </w:style>
  <w:style w:type="paragraph" w:styleId="1198" w:customStyle="1">
    <w:name w:val="Char Char Char Char Char Char Char Char Char Char1"/>
    <w:basedOn w:val="828"/>
    <w:uiPriority w:val="0"/>
    <w:qFormat/>
    <w:rPr>
      <w:rFonts w:ascii="宋体" w:hAnsi="宋体" w:cs="Courier New"/>
      <w:sz w:val="32"/>
      <w:szCs w:val="32"/>
    </w:rPr>
  </w:style>
  <w:style w:type="paragraph" w:styleId="1199" w:customStyle="1">
    <w:name w:val="正文文本样式 加粗"/>
    <w:basedOn w:val="1155"/>
    <w:uiPriority w:val="0"/>
    <w:qFormat/>
    <w:rPr>
      <w:b/>
    </w:rPr>
  </w:style>
  <w:style w:type="paragraph" w:styleId="1200" w:customStyle="1">
    <w:name w:val="Char2 Char Char Char Char Char Char"/>
    <w:basedOn w:val="828"/>
    <w:uiPriority w:val="0"/>
    <w:qFormat/>
    <w:pPr>
      <w:jc w:val="center"/>
      <w:spacing w:line="400" w:lineRule="exact"/>
      <w:widowControl/>
    </w:pPr>
  </w:style>
  <w:style w:type="paragraph" w:styleId="1201" w:customStyle="1">
    <w:name w:val="Char Char4"/>
    <w:basedOn w:val="828"/>
    <w:uiPriority w:val="0"/>
    <w:qFormat/>
    <w:pPr>
      <w:jc w:val="center"/>
      <w:spacing w:line="400" w:lineRule="exact"/>
      <w:widowControl/>
    </w:pPr>
  </w:style>
  <w:style w:type="paragraph" w:styleId="1202" w:customStyle="1">
    <w:name w:val="Char3 Char Char Char1"/>
    <w:basedOn w:val="828"/>
    <w:uiPriority w:val="0"/>
    <w:qFormat/>
    <w:rPr>
      <w:rFonts w:ascii="Tahoma" w:hAnsi="Tahoma"/>
      <w:sz w:val="24"/>
      <w:szCs w:val="20"/>
    </w:rPr>
  </w:style>
  <w:style w:type="paragraph" w:styleId="1203"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4" w:customStyle="1">
    <w:name w:val="22222222222222"/>
    <w:basedOn w:val="828"/>
    <w:uiPriority w:val="0"/>
    <w:qFormat/>
    <w:pPr>
      <w:ind w:firstLine="480"/>
      <w:jc w:val="left"/>
      <w:spacing w:line="360" w:lineRule="auto"/>
      <w:widowControl/>
    </w:pPr>
    <w:rPr>
      <w:color w:val="ff0000"/>
      <w:sz w:val="24"/>
      <w:szCs w:val="20"/>
    </w:rPr>
  </w:style>
  <w:style w:type="character" w:styleId="1205" w:customStyle="1">
    <w:name w:val="中等深浅网格 1 - 强调文字颜色 2 Char"/>
    <w:link w:val="1206"/>
    <w:uiPriority w:val="0"/>
    <w:qFormat/>
    <w:rPr>
      <w:sz w:val="21"/>
      <w:szCs w:val="24"/>
      <w:lang w:val="zh-CN" w:eastAsia="zh-CN" w:bidi="ar-SA"/>
    </w:rPr>
  </w:style>
  <w:style w:type="paragraph" w:styleId="1206" w:customStyle="1">
    <w:name w:val="1"/>
    <w:link w:val="1205"/>
    <w:uiPriority w:val="0"/>
    <w:qFormat/>
    <w:rPr>
      <w:rFonts w:hint="default" w:ascii="Times New Roman" w:hAnsi="Times New Roman" w:eastAsia="宋体" w:cs="Times New Roman"/>
      <w:sz w:val="21"/>
      <w:szCs w:val="24"/>
      <w:lang w:val="zh-CN" w:eastAsia="zh-CN" w:bidi="ar-SA"/>
    </w:rPr>
  </w:style>
  <w:style w:type="paragraph" w:styleId="1207" w:customStyle="1">
    <w:name w:val="图文"/>
    <w:basedOn w:val="828"/>
    <w:uiPriority w:val="0"/>
    <w:qFormat/>
    <w:pPr>
      <w:spacing w:after="50" w:line="360" w:lineRule="auto"/>
    </w:pPr>
    <w:rPr>
      <w:sz w:val="24"/>
    </w:rPr>
  </w:style>
  <w:style w:type="paragraph" w:styleId="1208" w:customStyle="1">
    <w:name w:val="xl23"/>
    <w:basedOn w:val="828"/>
    <w:uiPriority w:val="0"/>
    <w:qFormat/>
    <w:pPr>
      <w:spacing w:before="100" w:beforeAutospacing="1" w:after="100" w:afterAutospacing="1" w:line="360" w:lineRule="auto"/>
      <w:widowControl/>
    </w:pPr>
    <w:rPr>
      <w:sz w:val="24"/>
      <w:szCs w:val="20"/>
    </w:rPr>
  </w:style>
  <w:style w:type="paragraph" w:styleId="1209" w:customStyle="1">
    <w:name w:val="正文表格"/>
    <w:basedOn w:val="828"/>
    <w:link w:val="1210"/>
    <w:uiPriority w:val="0"/>
    <w:qFormat/>
    <w:pPr>
      <w:jc w:val="left"/>
    </w:pPr>
    <w:rPr>
      <w:rFonts w:ascii="宋体" w:hAnsi="宋体"/>
      <w:color w:val="000000"/>
      <w:szCs w:val="21"/>
    </w:rPr>
  </w:style>
  <w:style w:type="character" w:styleId="1210" w:customStyle="1">
    <w:name w:val="正文表格 Char"/>
    <w:link w:val="1209"/>
    <w:uiPriority w:val="0"/>
    <w:qFormat/>
    <w:rPr>
      <w:rFonts w:ascii="宋体" w:hAnsi="宋体"/>
      <w:color w:val="000000"/>
      <w:sz w:val="21"/>
      <w:szCs w:val="21"/>
    </w:rPr>
  </w:style>
  <w:style w:type="paragraph" w:styleId="1211" w:customStyle="1">
    <w:name w:val="正文重点"/>
    <w:basedOn w:val="828"/>
    <w:link w:val="1212"/>
    <w:uiPriority w:val="0"/>
    <w:qFormat/>
    <w:pPr>
      <w:ind w:firstLine="482"/>
      <w:jc w:val="left"/>
      <w:spacing w:line="360" w:lineRule="auto"/>
    </w:pPr>
    <w:rPr>
      <w:b/>
      <w:sz w:val="24"/>
      <w:szCs w:val="20"/>
    </w:rPr>
  </w:style>
  <w:style w:type="character" w:styleId="1212" w:customStyle="1">
    <w:name w:val="正文重点 Char"/>
    <w:link w:val="1211"/>
    <w:uiPriority w:val="0"/>
    <w:qFormat/>
    <w:rPr>
      <w:b/>
      <w:sz w:val="24"/>
    </w:rPr>
  </w:style>
  <w:style w:type="paragraph" w:styleId="1213" w:customStyle="1">
    <w:name w:val="标题1-附件"/>
    <w:basedOn w:val="1009"/>
    <w:uiPriority w:val="0"/>
    <w:qFormat/>
    <w:pPr>
      <w:jc w:val="left"/>
    </w:pPr>
    <w:rPr>
      <w:sz w:val="24"/>
      <w:szCs w:val="24"/>
    </w:rPr>
  </w:style>
  <w:style w:type="paragraph" w:styleId="1214" w:customStyle="1">
    <w:name w:val="正文小标题"/>
    <w:basedOn w:val="828"/>
    <w:next w:val="1011"/>
    <w:link w:val="1215"/>
    <w:uiPriority w:val="0"/>
    <w:qFormat/>
    <w:pPr>
      <w:ind w:firstLine="482"/>
      <w:jc w:val="left"/>
      <w:spacing w:before="312" w:after="312"/>
    </w:pPr>
    <w:rPr>
      <w:rFonts w:ascii="宋体" w:hAnsi="宋体"/>
      <w:b/>
      <w:i/>
      <w:color w:val="ff0000"/>
      <w:sz w:val="24"/>
      <w:szCs w:val="20"/>
    </w:rPr>
  </w:style>
  <w:style w:type="character" w:styleId="1215" w:customStyle="1">
    <w:name w:val="正文小标题 Char"/>
    <w:link w:val="1214"/>
    <w:uiPriority w:val="0"/>
    <w:qFormat/>
    <w:rPr>
      <w:rFonts w:ascii="宋体" w:hAnsi="宋体"/>
      <w:b/>
      <w:i/>
      <w:color w:val="ff0000"/>
      <w:sz w:val="24"/>
    </w:rPr>
  </w:style>
  <w:style w:type="paragraph" w:styleId="1216" w:customStyle="1">
    <w:name w:val="正文大标题"/>
    <w:basedOn w:val="1214"/>
    <w:next w:val="1011"/>
    <w:link w:val="1217"/>
    <w:uiPriority w:val="0"/>
    <w:qFormat/>
    <w:pPr>
      <w:jc w:val="center"/>
    </w:pPr>
    <w:rPr>
      <w:i w:val="0"/>
      <w:color w:val="000000"/>
      <w:sz w:val="28"/>
      <w:szCs w:val="21"/>
    </w:rPr>
  </w:style>
  <w:style w:type="character" w:styleId="1217" w:customStyle="1">
    <w:name w:val="正文大标题 Char"/>
    <w:link w:val="1216"/>
    <w:uiPriority w:val="0"/>
    <w:qFormat/>
    <w:rPr>
      <w:rFonts w:ascii="宋体" w:hAnsi="宋体"/>
      <w:b/>
      <w:color w:val="000000"/>
      <w:sz w:val="28"/>
      <w:szCs w:val="21"/>
    </w:rPr>
  </w:style>
  <w:style w:type="paragraph" w:styleId="1218" w:customStyle="1">
    <w:name w:val="注释"/>
    <w:basedOn w:val="828"/>
    <w:link w:val="1219"/>
    <w:uiPriority w:val="0"/>
    <w:qFormat/>
    <w:pPr>
      <w:ind w:left="420" w:hanging="420"/>
      <w:jc w:val="left"/>
    </w:pPr>
    <w:rPr>
      <w:rFonts w:ascii="宋体" w:hAnsi="宋体"/>
      <w:szCs w:val="21"/>
    </w:rPr>
  </w:style>
  <w:style w:type="character" w:styleId="1219" w:customStyle="1">
    <w:name w:val="注释 Char"/>
    <w:link w:val="1218"/>
    <w:uiPriority w:val="0"/>
    <w:qFormat/>
    <w:rPr>
      <w:rFonts w:ascii="宋体" w:hAnsi="宋体"/>
      <w:sz w:val="21"/>
      <w:szCs w:val="21"/>
    </w:rPr>
  </w:style>
  <w:style w:type="paragraph" w:styleId="1220" w:customStyle="1">
    <w:name w:val="正文须知-1级"/>
    <w:basedOn w:val="828"/>
    <w:next w:val="828"/>
    <w:uiPriority w:val="0"/>
    <w:qFormat/>
    <w:pPr>
      <w:numPr>
        <w:ilvl w:val="0"/>
        <w:numId w:val="9"/>
      </w:numPr>
      <w:spacing w:line="300" w:lineRule="auto"/>
    </w:pPr>
    <w:rPr>
      <w:rFonts w:ascii="宋体" w:hAnsi="Calibri"/>
      <w:sz w:val="24"/>
      <w:szCs w:val="21"/>
    </w:rPr>
  </w:style>
  <w:style w:type="paragraph" w:styleId="1221" w:customStyle="1">
    <w:name w:val="正文须知-2级"/>
    <w:basedOn w:val="828"/>
    <w:uiPriority w:val="0"/>
    <w:qFormat/>
    <w:pPr>
      <w:numPr>
        <w:ilvl w:val="1"/>
        <w:numId w:val="9"/>
      </w:numPr>
      <w:spacing w:line="300" w:lineRule="auto"/>
    </w:pPr>
    <w:rPr>
      <w:rFonts w:ascii="宋体" w:hAnsi="Calibri"/>
      <w:sz w:val="24"/>
      <w:szCs w:val="21"/>
    </w:rPr>
  </w:style>
  <w:style w:type="paragraph" w:styleId="1222" w:customStyle="1">
    <w:name w:val="正文须知-3级"/>
    <w:basedOn w:val="828"/>
    <w:uiPriority w:val="0"/>
    <w:qFormat/>
    <w:pPr>
      <w:numPr>
        <w:ilvl w:val="2"/>
        <w:numId w:val="9"/>
      </w:numPr>
      <w:ind w:hanging="355"/>
      <w:spacing w:line="300" w:lineRule="auto"/>
    </w:pPr>
    <w:rPr>
      <w:rFonts w:ascii="宋体" w:hAnsi="Calibri"/>
      <w:sz w:val="24"/>
      <w:szCs w:val="21"/>
    </w:rPr>
  </w:style>
  <w:style w:type="character" w:styleId="1223" w:customStyle="1">
    <w:name w:val="纯文本 字符"/>
    <w:link w:val="828"/>
    <w:uiPriority w:val="99"/>
    <w:qFormat/>
    <w:rPr>
      <w:rFonts w:ascii="宋体" w:hAnsi="Courier New" w:eastAsia="宋体" w:cs="Times New Roman"/>
      <w:sz w:val="21"/>
      <w:szCs w:val="21"/>
      <w:lang w:val="en-US" w:eastAsia="zh-CN" w:bidi="ar-SA"/>
    </w:rPr>
  </w:style>
  <w:style w:type="paragraph" w:styleId="1224" w:customStyle="1">
    <w:name w:val="表格1"/>
    <w:basedOn w:val="828"/>
    <w:uiPriority w:val="0"/>
    <w:qFormat/>
    <w:pPr>
      <w:ind w:firstLine="480"/>
      <w:jc w:val="center"/>
    </w:pPr>
    <w:rPr>
      <w:sz w:val="24"/>
      <w:szCs w:val="20"/>
    </w:rPr>
  </w:style>
  <w:style w:type="character" w:styleId="1225" w:customStyle="1">
    <w:name w:val="纯文本 字符1"/>
    <w:link w:val="828"/>
    <w:uiPriority w:val="0"/>
    <w:qFormat/>
    <w:rPr>
      <w:rFonts w:ascii="宋体" w:hAnsi="Courier New"/>
    </w:rPr>
  </w:style>
  <w:style w:type="character" w:styleId="1226" w:customStyle="1">
    <w:name w:val="bjh-p"/>
    <w:link w:val="828"/>
    <w:uiPriority w:val="0"/>
    <w:qFormat/>
  </w:style>
  <w:style w:type="paragraph" w:styleId="1227" w:customStyle="1">
    <w:name w:val="无标题条"/>
    <w:next w:val="828"/>
    <w:uiPriority w:val="0"/>
    <w:qFormat/>
    <w:pPr>
      <w:jc w:val="both"/>
    </w:pPr>
    <w:rPr>
      <w:rFonts w:hint="default" w:ascii="Times New Roman" w:hAnsi="Times New Roman" w:eastAsia="宋体" w:cs="Times New Roman"/>
      <w:sz w:val="21"/>
      <w:lang w:val="en-US" w:eastAsia="zh-CN" w:bidi="ar-SA"/>
    </w:rPr>
  </w:style>
  <w:style w:type="character" w:styleId="1228" w:customStyle="1">
    <w:name w:val="正文格式 Char"/>
    <w:link w:val="1229"/>
    <w:uiPriority w:val="0"/>
    <w:qFormat/>
    <w:rPr>
      <w:rFonts w:ascii="宋体" w:hAnsi="宋体"/>
      <w:sz w:val="24"/>
      <w:szCs w:val="24"/>
      <w:lang w:val="en-GB"/>
    </w:rPr>
  </w:style>
  <w:style w:type="paragraph" w:styleId="1229" w:customStyle="1">
    <w:name w:val="正文格式"/>
    <w:basedOn w:val="828"/>
    <w:link w:val="1228"/>
    <w:uiPriority w:val="0"/>
    <w:qFormat/>
    <w:pPr>
      <w:ind w:firstLine="480"/>
      <w:spacing w:line="360" w:lineRule="auto"/>
    </w:pPr>
    <w:rPr>
      <w:rFonts w:ascii="宋体" w:hAnsi="宋体"/>
      <w:sz w:val="24"/>
      <w:lang w:val="en-GB"/>
    </w:rPr>
  </w:style>
  <w:style w:type="character" w:styleId="1230" w:customStyle="1">
    <w:name w:val="标题 3 Char"/>
    <w:link w:val="828"/>
    <w:uiPriority w:val="0"/>
    <w:qFormat/>
    <w:rPr>
      <w:rFonts w:ascii="宋体" w:eastAsia="宋体"/>
      <w:b/>
      <w:sz w:val="24"/>
      <w:u w:val="single"/>
      <w:lang w:val="en-US" w:eastAsia="zh-CN" w:bidi="ar-SA"/>
    </w:rPr>
  </w:style>
  <w:style w:type="character" w:styleId="1231" w:customStyle="1">
    <w:name w:val="正文缩进 Char"/>
    <w:link w:val="828"/>
    <w:uiPriority w:val="0"/>
    <w:qFormat/>
    <w:rPr>
      <w:rFonts w:ascii="宋体" w:eastAsia="宋体"/>
      <w:sz w:val="24"/>
      <w:szCs w:val="24"/>
      <w:lang w:val="en-US" w:eastAsia="zh-CN" w:bidi="ar-SA"/>
    </w:rPr>
  </w:style>
  <w:style w:type="character" w:styleId="1232" w:customStyle="1">
    <w:name w:val="Char Char111"/>
    <w:link w:val="828"/>
    <w:uiPriority w:val="0"/>
    <w:qFormat/>
    <w:rPr>
      <w:rFonts w:ascii="宋体" w:eastAsia="宋体"/>
      <w:b/>
      <w:sz w:val="24"/>
      <w:u w:val="single"/>
      <w:lang w:val="en-US" w:eastAsia="zh-CN" w:bidi="ar-SA"/>
    </w:rPr>
  </w:style>
  <w:style w:type="character" w:styleId="1233" w:customStyle="1">
    <w:name w:val="正文文本缩进 Char"/>
    <w:link w:val="828"/>
    <w:uiPriority w:val="0"/>
    <w:qFormat/>
    <w:rPr>
      <w:rFonts w:eastAsia="宋体"/>
      <w:sz w:val="24"/>
      <w:szCs w:val="24"/>
      <w:lang w:val="en-US" w:eastAsia="zh-CN" w:bidi="ar-SA"/>
    </w:rPr>
  </w:style>
  <w:style w:type="character" w:styleId="1234" w:customStyle="1">
    <w:name w:val="列出段落 Char"/>
    <w:link w:val="828"/>
    <w:uiPriority w:val="0"/>
    <w:qFormat/>
    <w:rPr>
      <w:rFonts w:ascii="Calibri" w:hAnsi="Calibri" w:eastAsia="宋体"/>
      <w:sz w:val="21"/>
      <w:szCs w:val="22"/>
      <w:lang w:val="en-US" w:eastAsia="zh-CN" w:bidi="ar-SA"/>
    </w:rPr>
  </w:style>
  <w:style w:type="character" w:styleId="1235" w:customStyle="1">
    <w:name w:val="页眉 Char"/>
    <w:link w:val="828"/>
    <w:uiPriority w:val="0"/>
    <w:qFormat/>
    <w:rPr>
      <w:rFonts w:eastAsia="宋体"/>
      <w:sz w:val="18"/>
      <w:szCs w:val="18"/>
      <w:lang w:val="en-US" w:eastAsia="zh-CN" w:bidi="ar-SA"/>
    </w:rPr>
  </w:style>
  <w:style w:type="character" w:styleId="1236" w:customStyle="1">
    <w:name w:val="标题 2 Char"/>
    <w:link w:val="828"/>
    <w:uiPriority w:val="0"/>
    <w:qFormat/>
    <w:rPr>
      <w:rFonts w:ascii="Arial" w:hAnsi="Arial" w:eastAsia="黑体"/>
      <w:b/>
      <w:sz w:val="30"/>
      <w:lang w:val="en-US" w:eastAsia="zh-CN" w:bidi="ar-SA"/>
    </w:rPr>
  </w:style>
  <w:style w:type="paragraph" w:styleId="1237" w:customStyle="1">
    <w:name w:val="字元 字元2"/>
    <w:basedOn w:val="828"/>
    <w:uiPriority w:val="0"/>
    <w:qFormat/>
    <w:rPr>
      <w:rFonts w:ascii="Tahoma" w:hAnsi="Tahoma"/>
      <w:sz w:val="24"/>
      <w:szCs w:val="20"/>
    </w:rPr>
  </w:style>
  <w:style w:type="paragraph" w:styleId="1238" w:customStyle="1">
    <w:name w:val="Char3 Char Char Char2"/>
    <w:basedOn w:val="828"/>
    <w:uiPriority w:val="0"/>
    <w:qFormat/>
    <w:rPr>
      <w:rFonts w:ascii="Tahoma" w:hAnsi="Tahoma"/>
      <w:sz w:val="24"/>
      <w:szCs w:val="20"/>
    </w:rPr>
  </w:style>
  <w:style w:type="paragraph" w:styleId="1239" w:customStyle="1">
    <w:name w:val="正文文本缩进2"/>
    <w:basedOn w:val="828"/>
    <w:uiPriority w:val="0"/>
    <w:qFormat/>
    <w:pPr>
      <w:ind w:firstLine="480"/>
      <w:spacing w:line="480" w:lineRule="exact"/>
    </w:pPr>
    <w:rPr>
      <w:rFonts w:ascii="宋体" w:hAnsi="宋体"/>
      <w:sz w:val="24"/>
      <w:lang w:val="zh-CN" w:eastAsia="zh-CN"/>
    </w:rPr>
  </w:style>
  <w:style w:type="paragraph" w:styleId="1240" w:customStyle="1">
    <w:name w:val="Char3"/>
    <w:basedOn w:val="828"/>
    <w:uiPriority w:val="0"/>
    <w:qFormat/>
    <w:pPr>
      <w:tabs>
        <w:tab w:val="left" w:pos="360" w:leader="none"/>
      </w:tabs>
    </w:pPr>
    <w:rPr>
      <w:sz w:val="24"/>
    </w:rPr>
  </w:style>
  <w:style w:type="paragraph" w:styleId="1241" w:customStyle="1">
    <w:name w:val="Char Char Char Char Char Char Char Char Char Char Char Char Char Char Char Char1"/>
    <w:basedOn w:val="828"/>
    <w:uiPriority w:val="0"/>
    <w:qFormat/>
    <w:pPr>
      <w:jc w:val="center"/>
      <w:spacing w:after="160" w:line="240" w:lineRule="exact"/>
      <w:widowControl/>
    </w:pPr>
    <w:rPr>
      <w:rFonts w:ascii="宋体" w:hAnsi="宋体"/>
      <w:b/>
      <w:sz w:val="30"/>
      <w:szCs w:val="30"/>
      <w:lang w:eastAsia="en-US"/>
    </w:rPr>
  </w:style>
  <w:style w:type="paragraph" w:styleId="1242" w:customStyle="1">
    <w:name w:val="Char Char1 Char Char Char Char Char Char1"/>
    <w:basedOn w:val="828"/>
    <w:uiPriority w:val="0"/>
    <w:qFormat/>
    <w:pPr>
      <w:jc w:val="left"/>
      <w:spacing w:after="160" w:line="240" w:lineRule="exact"/>
      <w:widowControl/>
    </w:pPr>
    <w:rPr>
      <w:rFonts w:ascii="Verdana" w:hAnsi="Verdana" w:eastAsia="仿宋_GB2312"/>
      <w:sz w:val="24"/>
      <w:szCs w:val="20"/>
      <w:lang w:eastAsia="en-US"/>
    </w:rPr>
  </w:style>
  <w:style w:type="paragraph" w:styleId="1243" w:customStyle="1">
    <w:name w:val="列出段落2"/>
    <w:basedOn w:val="828"/>
    <w:uiPriority w:val="0"/>
    <w:qFormat/>
    <w:pPr>
      <w:ind w:firstLine="420"/>
    </w:pPr>
    <w:rPr>
      <w:rFonts w:ascii="Calibri" w:hAnsi="Calibri"/>
      <w:szCs w:val="22"/>
    </w:rPr>
  </w:style>
  <w:style w:type="paragraph" w:styleId="1244" w:customStyle="1">
    <w:name w:val="Char Char Char1 Char2"/>
    <w:basedOn w:val="828"/>
    <w:uiPriority w:val="0"/>
    <w:qFormat/>
    <w:rPr>
      <w:rFonts w:ascii="Tahoma" w:hAnsi="Tahoma"/>
      <w:sz w:val="24"/>
      <w:szCs w:val="20"/>
    </w:rPr>
  </w:style>
  <w:style w:type="paragraph" w:styleId="1245" w:customStyle="1">
    <w:name w:val="Char Char Char2"/>
    <w:basedOn w:val="828"/>
    <w:uiPriority w:val="0"/>
    <w:qFormat/>
    <w:rPr>
      <w:rFonts w:ascii="Tahoma" w:hAnsi="Tahoma"/>
      <w:sz w:val="24"/>
      <w:szCs w:val="20"/>
    </w:rPr>
  </w:style>
  <w:style w:type="paragraph" w:styleId="1246" w:customStyle="1">
    <w:name w:val="Char Char Char Char Char Char Char2"/>
    <w:basedOn w:val="828"/>
    <w:uiPriority w:val="0"/>
    <w:qFormat/>
    <w:pPr>
      <w:ind w:firstLine="200"/>
      <w:spacing w:line="360" w:lineRule="auto"/>
    </w:pPr>
    <w:rPr>
      <w:rFonts w:eastAsia="仿宋_GB2312"/>
      <w:sz w:val="24"/>
    </w:rPr>
  </w:style>
  <w:style w:type="paragraph" w:styleId="1247" w:customStyle="1">
    <w:name w:val="正文缩进2"/>
    <w:basedOn w:val="828"/>
    <w:uiPriority w:val="0"/>
    <w:qFormat/>
    <w:pPr>
      <w:ind w:firstLine="567"/>
      <w:spacing w:line="480" w:lineRule="exact"/>
      <w:widowControl/>
    </w:pPr>
    <w:rPr>
      <w:rFonts w:ascii="宋体"/>
      <w:color w:val="000000"/>
      <w:sz w:val="28"/>
      <w:szCs w:val="20"/>
      <w:lang w:val="zh-CN" w:eastAsia="zh-CN"/>
    </w:rPr>
  </w:style>
  <w:style w:type="paragraph" w:styleId="1248" w:customStyle="1">
    <w:name w:val="Revision"/>
    <w:uiPriority w:val="0"/>
    <w:qFormat/>
    <w:rPr>
      <w:rFonts w:hint="default" w:ascii="Times New Roman" w:hAnsi="Times New Roman" w:eastAsia="宋体" w:cs="Times New Roman"/>
      <w:sz w:val="21"/>
      <w:szCs w:val="24"/>
      <w:lang w:val="en-US" w:eastAsia="zh-CN" w:bidi="ar-SA"/>
    </w:rPr>
  </w:style>
  <w:style w:type="paragraph" w:styleId="1249" w:customStyle="1">
    <w:name w:val="Char22"/>
    <w:basedOn w:val="828"/>
    <w:uiPriority w:val="0"/>
    <w:qFormat/>
    <w:rPr>
      <w:rFonts w:ascii="Tahoma" w:hAnsi="Tahoma"/>
      <w:sz w:val="24"/>
      <w:szCs w:val="20"/>
    </w:rPr>
  </w:style>
  <w:style w:type="paragraph" w:styleId="1250" w:customStyle="1">
    <w:name w:val="Char Char Char Char Char Char Char Char Char Char2"/>
    <w:basedOn w:val="828"/>
    <w:uiPriority w:val="0"/>
    <w:qFormat/>
    <w:rPr>
      <w:rFonts w:ascii="宋体" w:hAnsi="宋体" w:cs="Courier New"/>
      <w:sz w:val="32"/>
      <w:szCs w:val="32"/>
    </w:rPr>
  </w:style>
  <w:style w:type="paragraph" w:styleId="1251" w:customStyle="1">
    <w:name w:val="Char2 Char Char Char Char Char Char1"/>
    <w:basedOn w:val="828"/>
    <w:uiPriority w:val="0"/>
    <w:qFormat/>
    <w:pPr>
      <w:jc w:val="center"/>
      <w:spacing w:line="400" w:lineRule="exact"/>
      <w:widowControl/>
    </w:pPr>
  </w:style>
  <w:style w:type="character" w:styleId="1252" w:customStyle="1">
    <w:name w:val="页脚 Char"/>
    <w:link w:val="828"/>
    <w:uiPriority w:val="0"/>
    <w:qFormat/>
    <w:rPr>
      <w:rFonts w:ascii="宋体" w:eastAsia="宋体"/>
      <w:sz w:val="18"/>
      <w:lang w:val="en-US" w:eastAsia="zh-CN" w:bidi="ar-SA"/>
    </w:rPr>
  </w:style>
  <w:style w:type="paragraph" w:styleId="1253" w:customStyle="1">
    <w:name w:val="Char Char41"/>
    <w:basedOn w:val="828"/>
    <w:uiPriority w:val="0"/>
    <w:qFormat/>
    <w:pPr>
      <w:jc w:val="center"/>
      <w:spacing w:line="400" w:lineRule="exact"/>
      <w:widowControl/>
    </w:pPr>
  </w:style>
  <w:style w:type="character" w:styleId="1254" w:customStyle="1">
    <w:name w:val="批注文字 Char"/>
    <w:link w:val="828"/>
    <w:uiPriority w:val="99"/>
    <w:qFormat/>
    <w:rPr>
      <w:sz w:val="21"/>
      <w:szCs w:val="24"/>
    </w:rPr>
  </w:style>
  <w:style w:type="character" w:styleId="1255" w:customStyle="1">
    <w:name w:val="标题 Char"/>
    <w:link w:val="828"/>
    <w:uiPriority w:val="0"/>
    <w:qFormat/>
    <w:rPr>
      <w:b/>
      <w:sz w:val="32"/>
    </w:rPr>
  </w:style>
  <w:style w:type="paragraph" w:styleId="1256" w:customStyle="1">
    <w:name w:val="图例"/>
    <w:basedOn w:val="828"/>
    <w:uiPriority w:val="0"/>
    <w:qFormat/>
    <w:pPr>
      <w:jc w:val="center"/>
      <w:spacing w:before="120" w:after="120" w:line="360" w:lineRule="auto"/>
    </w:pPr>
    <w:rPr>
      <w:rFonts w:eastAsia="仿宋_GB2312"/>
      <w:b/>
      <w:sz w:val="24"/>
      <w:szCs w:val="20"/>
    </w:rPr>
  </w:style>
  <w:style w:type="table" w:styleId="1257" w:customStyle="1">
    <w:name w:val="Table Normal"/>
    <w:uiPriority w:val="2"/>
    <w:unhideWhenUsed/>
    <w:qFormat/>
    <w:pPr>
      <w:widowControl w:val="off"/>
    </w:pPr>
    <w:rPr>
      <w:rFonts w:ascii="Calibri" w:hAnsi="Calibri"/>
      <w:sz w:val="22"/>
      <w:szCs w:val="22"/>
      <w:lang w:val="en-US" w:eastAsia="en-US" w:bidi="ar-SA"/>
    </w:rPr>
    <w:tblPr/>
  </w:style>
  <w:style w:type="paragraph" w:styleId="1258" w:customStyle="1">
    <w:name w:val="Table Paragraph"/>
    <w:basedOn w:val="828"/>
    <w:uiPriority w:val="1"/>
    <w:qFormat/>
    <w:pPr>
      <w:jc w:val="left"/>
    </w:pPr>
    <w:rPr>
      <w:rFonts w:ascii="宋体" w:hAnsi="宋体" w:cs="宋体"/>
      <w:sz w:val="22"/>
      <w:szCs w:val="22"/>
      <w:lang w:eastAsia="en-US"/>
    </w:rPr>
  </w:style>
  <w:style w:type="paragraph" w:styleId="1259" w:customStyle="1">
    <w:name w:val="成文日期"/>
    <w:basedOn w:val="828"/>
    <w:link w:val="1260"/>
    <w:uiPriority w:val="0"/>
    <w:qFormat/>
    <w:pPr>
      <w:ind w:right="400" w:firstLine="200"/>
      <w:jc w:val="right"/>
      <w:spacing w:line="570" w:lineRule="exact"/>
    </w:pPr>
    <w:rPr>
      <w:rFonts w:ascii="仿宋_GB2312" w:eastAsia="仿宋_GB2312"/>
      <w:sz w:val="32"/>
      <w:szCs w:val="20"/>
    </w:rPr>
  </w:style>
  <w:style w:type="character" w:styleId="1260" w:customStyle="1">
    <w:name w:val="成文日期 Char"/>
    <w:link w:val="1259"/>
    <w:uiPriority w:val="0"/>
    <w:qFormat/>
    <w:rPr>
      <w:rFonts w:ascii="仿宋_GB2312" w:eastAsia="仿宋_GB2312"/>
      <w:sz w:val="32"/>
    </w:rPr>
  </w:style>
  <w:style w:type="paragraph" w:styleId="1261"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262" w:customStyle="1">
    <w:name w:val="_Style 39"/>
    <w:basedOn w:val="828"/>
    <w:next w:val="828"/>
    <w:uiPriority w:val="39"/>
    <w:qFormat/>
    <w:pPr>
      <w:spacing w:line="300" w:lineRule="auto"/>
      <w:tabs>
        <w:tab w:val="left" w:pos="1050" w:leader="none"/>
        <w:tab w:val="right" w:pos="8937" w:leader="dot"/>
      </w:tabs>
    </w:pPr>
    <w:rPr>
      <w:rFonts w:ascii="宋体" w:hAnsi="宋体" w:eastAsia="宋体"/>
      <w:b/>
      <w:sz w:val="24"/>
      <w:szCs w:val="24"/>
    </w:rPr>
  </w:style>
  <w:style w:type="character" w:styleId="1263" w:customStyle="1">
    <w:name w:val="content-right_8zs401"/>
    <w:basedOn w:val="1019"/>
    <w:link w:val="828"/>
    <w:uiPriority w:val="0"/>
    <w:qFormat/>
  </w:style>
  <w:style w:type="paragraph" w:styleId="1264" w:customStyle="1">
    <w:name w:val="图名"/>
    <w:basedOn w:val="828"/>
    <w:uiPriority w:val="0"/>
    <w:qFormat/>
    <w:pPr>
      <w:ind w:firstLine="0"/>
      <w:jc w:val="center"/>
    </w:pPr>
    <w:rPr>
      <w:b/>
      <w:sz w:val="21"/>
    </w:rPr>
  </w:style>
  <w:style w:type="paragraph" w:styleId="1265" w:customStyle="1">
    <w:name w:val="wl-表名"/>
    <w:basedOn w:val="1039"/>
    <w:next w:val="828"/>
    <w:uiPriority w:val="0"/>
    <w:qFormat/>
    <w:pPr>
      <w:ind w:firstLine="0"/>
      <w:jc w:val="center"/>
      <w:spacing w:after="0" w:line="440" w:lineRule="exact"/>
    </w:pPr>
    <w:rPr>
      <w:b/>
      <w:sz w:val="21"/>
    </w:rPr>
  </w:style>
  <w:style w:type="paragraph" w:styleId="1266" w:customStyle="1">
    <w:name w:val="纯文本1"/>
    <w:basedOn w:val="828"/>
    <w:uiPriority w:val="0"/>
    <w:qFormat/>
    <w:rPr>
      <w:rFonts w:hint="eastAsia" w:ascii="宋体" w:hAnsi="Courier New"/>
      <w:szCs w:val="20"/>
    </w:rPr>
  </w:style>
  <w:style w:type="paragraph" w:styleId="1267" w:customStyle="1">
    <w:name w:val="页脚1"/>
    <w:basedOn w:val="828"/>
    <w:uiPriority w:val="99"/>
    <w:qFormat/>
    <w:pPr>
      <w:jc w:val="left"/>
      <w:tabs>
        <w:tab w:val="center" w:pos="4153" w:leader="none"/>
        <w:tab w:val="right" w:pos="8306" w:leader="none"/>
      </w:tabs>
    </w:pPr>
    <w:rPr>
      <w:rFonts w:ascii="宋体"/>
      <w:sz w:val="18"/>
      <w:szCs w:val="20"/>
    </w:rPr>
  </w:style>
  <w:style w:type="paragraph" w:styleId="1268" w:customStyle="1">
    <w:name w:val="Normal_0"/>
    <w:uiPriority w:val="0"/>
    <w:qFormat/>
    <w:rPr>
      <w:rFonts w:hint="default" w:ascii="Times New Roman" w:hAnsi="Times New Roman" w:eastAsia="宋体" w:cs="Times New Roman"/>
      <w:sz w:val="24"/>
      <w:szCs w:val="24"/>
      <w:lang w:val="en-US" w:eastAsia="zh-CN" w:bidi="ar-SA"/>
    </w:rPr>
  </w:style>
  <w:style w:type="paragraph" w:styleId="1269"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270" w:customStyle="1">
    <w:name w:val="索引 11"/>
    <w:basedOn w:val="828"/>
    <w:next w:val="828"/>
    <w:uiPriority w:val="0"/>
    <w:qFormat/>
    <w:pPr>
      <w:spacing w:line="360" w:lineRule="auto"/>
    </w:pPr>
    <w:rPr>
      <w:rFonts w:ascii="仿宋_GB2312" w:eastAsia="仿宋_GB2312"/>
      <w:sz w:val="24"/>
      <w:szCs w:val="20"/>
    </w:rPr>
  </w:style>
  <w:style w:type="paragraph" w:styleId="1271" w:customStyle="1">
    <w:name w:val="正文缩进11"/>
    <w:basedOn w:val="828"/>
    <w:uiPriority w:val="99"/>
    <w:qFormat/>
    <w:pPr>
      <w:ind w:firstLine="200"/>
    </w:pPr>
    <w:rPr>
      <w:sz w:val="24"/>
      <w:szCs w:val="24"/>
    </w:rPr>
  </w:style>
  <w:style w:type="character" w:styleId="1272" w:customStyle="1">
    <w:name w:val="NormalCharacter1"/>
    <w:link w:val="828"/>
    <w:uiPriority w:val="0"/>
    <w:qFormat/>
  </w:style>
  <w:style w:type="character" w:styleId="1273" w:customStyle="1">
    <w:name w:val="font21"/>
    <w:basedOn w:val="1019"/>
    <w:link w:val="828"/>
    <w:uiPriority w:val="0"/>
    <w:qFormat/>
    <w:rPr>
      <w:rFonts w:hint="eastAsia" w:ascii="宋体" w:hAnsi="宋体" w:eastAsia="宋体" w:cs="宋体"/>
      <w:color w:val="ff0000"/>
      <w:sz w:val="21"/>
      <w:szCs w:val="21"/>
      <w:u w:val="none"/>
    </w:rPr>
  </w:style>
  <w:style w:type="character" w:styleId="1274" w:customStyle="1">
    <w:name w:val="font11"/>
    <w:basedOn w:val="1019"/>
    <w:link w:val="828"/>
    <w:uiPriority w:val="0"/>
    <w:qFormat/>
    <w:rPr>
      <w:rFonts w:hint="eastAsia" w:ascii="宋体" w:hAnsi="宋体" w:eastAsia="宋体" w:cs="宋体"/>
      <w:color w:val="000000"/>
      <w:sz w:val="21"/>
      <w:szCs w:val="21"/>
      <w:u w:val="none"/>
    </w:rPr>
  </w:style>
  <w:style w:type="character" w:styleId="1275" w:customStyle="1">
    <w:name w:val="font31"/>
    <w:basedOn w:val="1019"/>
    <w:link w:val="828"/>
    <w:uiPriority w:val="0"/>
    <w:qFormat/>
    <w:rPr>
      <w:rFonts w:hint="eastAsia" w:ascii="宋体" w:hAnsi="宋体" w:eastAsia="宋体" w:cs="宋体"/>
      <w:strike/>
      <w:color w:val="ff0000"/>
      <w:sz w:val="21"/>
      <w:szCs w:val="21"/>
    </w:rPr>
  </w:style>
  <w:style w:type="paragraph" w:styleId="1276" w:customStyle="1">
    <w:name w:val="_Style 50"/>
    <w:basedOn w:val="828"/>
    <w:next w:val="1106"/>
    <w:uiPriority w:val="34"/>
    <w:qFormat/>
    <w:pPr>
      <w:ind w:firstLine="420"/>
    </w:pPr>
    <w:rPr>
      <w:szCs w:val="22"/>
    </w:rPr>
  </w:style>
  <w:style w:type="paragraph" w:styleId="1277" w:customStyle="1">
    <w:name w:val="标题 211"/>
    <w:basedOn w:val="828"/>
    <w:next w:val="1278"/>
    <w:uiPriority w:val="0"/>
    <w:qFormat/>
    <w:pPr>
      <w:jc w:val="center"/>
      <w:keepLines/>
      <w:keepNext/>
      <w:spacing w:before="120" w:line="300" w:lineRule="auto"/>
      <w:outlineLvl w:val="1"/>
    </w:pPr>
    <w:rPr>
      <w:rFonts w:ascii="Arial" w:hAnsi="Arial" w:eastAsia="黑体"/>
      <w:b/>
      <w:sz w:val="30"/>
      <w:szCs w:val="20"/>
    </w:rPr>
  </w:style>
  <w:style w:type="paragraph" w:styleId="1278" w:customStyle="1">
    <w:name w:val="正文缩进111"/>
    <w:basedOn w:val="828"/>
    <w:uiPriority w:val="0"/>
    <w:qFormat/>
    <w:pPr>
      <w:ind w:firstLine="420"/>
      <w:jc w:val="left"/>
    </w:pPr>
    <w:rPr>
      <w:rFonts w:ascii="宋体"/>
      <w:sz w:val="24"/>
    </w:rPr>
  </w:style>
  <w:style w:type="paragraph" w:styleId="1279" w:customStyle="1">
    <w:name w:val="页眉1"/>
    <w:basedOn w:val="828"/>
    <w:uiPriority w:val="0"/>
    <w:qFormat/>
    <w:pPr>
      <w:jc w:val="center"/>
      <w:tabs>
        <w:tab w:val="center" w:pos="4153" w:leader="none"/>
        <w:tab w:val="right" w:pos="8306" w:leader="none"/>
      </w:tabs>
      <w:pBdr>
        <w:bottom w:val="single" w:color="000000" w:sz="6" w:space="1"/>
      </w:pBdr>
    </w:pPr>
    <w:rPr>
      <w:sz w:val="18"/>
      <w:szCs w:val="18"/>
    </w:rPr>
  </w:style>
  <w:style w:type="numbering" w:styleId="12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沈佩铭</cp:lastModifiedBy>
  <cp:revision>10</cp:revision>
  <dcterms:created xsi:type="dcterms:W3CDTF">2024-12-30T01:04:00Z</dcterms:created>
  <dcterms:modified xsi:type="dcterms:W3CDTF">2026-06-01T08:29:10Z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eyJoZGlkIjoiNmI1OWM3MmMzOTVmZGY1ODlhN2U5NGI0YWMxNjhkMDIiLCJ1c2VySWQiOiI5MjQ4ODE5MzIifQ==</vt:lpwstr>
  </property>
  <property fmtid="{D5CDD505-2E9C-101B-9397-08002B2CF9AE}" pid="3" name="KSOProductBuildVer">
    <vt:lpwstr>2052-12.1.0.26375</vt:lpwstr>
  </property>
  <property fmtid="{D5CDD505-2E9C-101B-9397-08002B2CF9AE}" pid="4" name="ICV">
    <vt:lpwstr>52BCA8BF1E44476F83BBD6CC93ACDC4A_12</vt:lpwstr>
  </property>
</Properties>
</file>