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8B3303">
      <w:pPr>
        <w:rPr>
          <w:color w:val="auto"/>
          <w:highlight w:val="none"/>
        </w:rPr>
      </w:pPr>
    </w:p>
    <w:p w14:paraId="6830BCB3">
      <w:pPr>
        <w:rPr>
          <w:color w:val="auto"/>
          <w:highlight w:val="none"/>
        </w:rPr>
      </w:pPr>
    </w:p>
    <w:p w14:paraId="30C40B3A">
      <w:pPr>
        <w:rPr>
          <w:b/>
          <w:color w:val="auto"/>
          <w:sz w:val="96"/>
          <w:szCs w:val="96"/>
          <w:highlight w:val="none"/>
        </w:rPr>
      </w:pPr>
    </w:p>
    <w:p w14:paraId="6BEF6EA2">
      <w:pPr>
        <w:jc w:val="center"/>
        <w:rPr>
          <w:b/>
          <w:color w:val="auto"/>
          <w:sz w:val="96"/>
          <w:szCs w:val="96"/>
          <w:highlight w:val="none"/>
        </w:rPr>
      </w:pPr>
      <w:r>
        <w:rPr>
          <w:b/>
          <w:color w:val="auto"/>
          <w:sz w:val="96"/>
          <w:szCs w:val="96"/>
          <w:highlight w:val="none"/>
        </w:rPr>
        <w:t>招</w:t>
      </w:r>
      <w:r>
        <w:rPr>
          <w:rFonts w:hint="eastAsia"/>
          <w:b/>
          <w:color w:val="auto"/>
          <w:sz w:val="96"/>
          <w:szCs w:val="96"/>
          <w:highlight w:val="none"/>
        </w:rPr>
        <w:t xml:space="preserve"> </w:t>
      </w:r>
      <w:r>
        <w:rPr>
          <w:b/>
          <w:color w:val="auto"/>
          <w:sz w:val="96"/>
          <w:szCs w:val="96"/>
          <w:highlight w:val="none"/>
        </w:rPr>
        <w:t>标</w:t>
      </w:r>
      <w:r>
        <w:rPr>
          <w:rFonts w:hint="eastAsia"/>
          <w:b/>
          <w:color w:val="auto"/>
          <w:sz w:val="96"/>
          <w:szCs w:val="96"/>
          <w:highlight w:val="none"/>
        </w:rPr>
        <w:t xml:space="preserve"> </w:t>
      </w:r>
      <w:r>
        <w:rPr>
          <w:b/>
          <w:color w:val="auto"/>
          <w:sz w:val="96"/>
          <w:szCs w:val="96"/>
          <w:highlight w:val="none"/>
        </w:rPr>
        <w:t>文</w:t>
      </w:r>
      <w:r>
        <w:rPr>
          <w:rFonts w:hint="eastAsia"/>
          <w:b/>
          <w:color w:val="auto"/>
          <w:sz w:val="96"/>
          <w:szCs w:val="96"/>
          <w:highlight w:val="none"/>
        </w:rPr>
        <w:t xml:space="preserve"> </w:t>
      </w:r>
      <w:r>
        <w:rPr>
          <w:b/>
          <w:color w:val="auto"/>
          <w:sz w:val="96"/>
          <w:szCs w:val="96"/>
          <w:highlight w:val="none"/>
        </w:rPr>
        <w:t>件</w:t>
      </w:r>
    </w:p>
    <w:p w14:paraId="5B743064">
      <w:pPr>
        <w:rPr>
          <w:color w:val="auto"/>
          <w:highlight w:val="none"/>
        </w:rPr>
      </w:pPr>
    </w:p>
    <w:p w14:paraId="137149C4">
      <w:pPr>
        <w:rPr>
          <w:color w:val="auto"/>
          <w:highlight w:val="none"/>
        </w:rPr>
      </w:pPr>
    </w:p>
    <w:p w14:paraId="7C27AB15">
      <w:pPr>
        <w:rPr>
          <w:color w:val="auto"/>
          <w:highlight w:val="none"/>
        </w:rPr>
      </w:pPr>
    </w:p>
    <w:p w14:paraId="18DB3E64">
      <w:pPr>
        <w:rPr>
          <w:color w:val="auto"/>
          <w:highlight w:val="none"/>
        </w:rPr>
      </w:pPr>
    </w:p>
    <w:p w14:paraId="2DF53C40">
      <w:pPr>
        <w:rPr>
          <w:b/>
          <w:color w:val="auto"/>
          <w:sz w:val="44"/>
          <w:szCs w:val="44"/>
          <w:highlight w:val="none"/>
        </w:rPr>
      </w:pPr>
    </w:p>
    <w:p w14:paraId="34152663">
      <w:pPr>
        <w:rPr>
          <w:b/>
          <w:color w:val="auto"/>
          <w:sz w:val="44"/>
          <w:szCs w:val="44"/>
          <w:highlight w:val="none"/>
        </w:rPr>
      </w:pPr>
    </w:p>
    <w:p w14:paraId="2A6E7437">
      <w:pPr>
        <w:jc w:val="center"/>
        <w:rPr>
          <w:rFonts w:hint="eastAsia" w:eastAsia="宋体"/>
          <w:b/>
          <w:color w:val="auto"/>
          <w:sz w:val="44"/>
          <w:szCs w:val="44"/>
          <w:highlight w:val="none"/>
          <w:lang w:eastAsia="zh-CN"/>
        </w:rPr>
      </w:pPr>
      <w:r>
        <w:rPr>
          <w:b/>
          <w:color w:val="auto"/>
          <w:sz w:val="44"/>
          <w:szCs w:val="44"/>
          <w:highlight w:val="none"/>
        </w:rPr>
        <w:t>项目编号</w:t>
      </w:r>
      <w:r>
        <w:rPr>
          <w:rFonts w:hint="eastAsia"/>
          <w:b/>
          <w:color w:val="auto"/>
          <w:sz w:val="44"/>
          <w:szCs w:val="44"/>
          <w:highlight w:val="none"/>
        </w:rPr>
        <w:t>：</w:t>
      </w:r>
      <w:r>
        <w:rPr>
          <w:rFonts w:hint="eastAsia"/>
          <w:b/>
          <w:color w:val="auto"/>
          <w:sz w:val="44"/>
          <w:szCs w:val="44"/>
          <w:highlight w:val="none"/>
          <w:lang w:eastAsia="zh-CN"/>
        </w:rPr>
        <w:t>JSZC-320581-CSYD-G2026-0005</w:t>
      </w:r>
    </w:p>
    <w:p w14:paraId="6A6D2A0F">
      <w:pPr>
        <w:jc w:val="center"/>
        <w:rPr>
          <w:rFonts w:hint="eastAsia" w:eastAsia="宋体"/>
          <w:b/>
          <w:color w:val="auto"/>
          <w:sz w:val="44"/>
          <w:szCs w:val="44"/>
          <w:highlight w:val="none"/>
          <w:lang w:eastAsia="zh-CN"/>
        </w:rPr>
      </w:pPr>
      <w:r>
        <w:rPr>
          <w:b/>
          <w:color w:val="auto"/>
          <w:sz w:val="44"/>
          <w:szCs w:val="44"/>
          <w:highlight w:val="none"/>
        </w:rPr>
        <w:t>项目名称：</w:t>
      </w:r>
      <w:r>
        <w:rPr>
          <w:rFonts w:hint="eastAsia"/>
          <w:b/>
          <w:color w:val="auto"/>
          <w:sz w:val="44"/>
          <w:szCs w:val="44"/>
          <w:highlight w:val="none"/>
          <w:lang w:eastAsia="zh-CN"/>
        </w:rPr>
        <w:t>琴川街道社区卫生服务中心安全服务</w:t>
      </w:r>
    </w:p>
    <w:p w14:paraId="78F3779C">
      <w:pPr>
        <w:jc w:val="center"/>
        <w:rPr>
          <w:b/>
          <w:color w:val="auto"/>
          <w:sz w:val="44"/>
          <w:szCs w:val="44"/>
          <w:highlight w:val="none"/>
        </w:rPr>
      </w:pPr>
      <w:r>
        <w:rPr>
          <w:rFonts w:hint="eastAsia"/>
          <w:b/>
          <w:color w:val="auto"/>
          <w:sz w:val="44"/>
          <w:szCs w:val="44"/>
          <w:highlight w:val="none"/>
        </w:rPr>
        <w:t>项目属性：服务类项目</w:t>
      </w:r>
    </w:p>
    <w:p w14:paraId="2F4086AC">
      <w:pPr>
        <w:rPr>
          <w:b/>
          <w:color w:val="auto"/>
          <w:sz w:val="44"/>
          <w:szCs w:val="44"/>
          <w:highlight w:val="none"/>
        </w:rPr>
      </w:pPr>
    </w:p>
    <w:p w14:paraId="597B36A5">
      <w:pPr>
        <w:rPr>
          <w:b/>
          <w:color w:val="auto"/>
          <w:sz w:val="44"/>
          <w:szCs w:val="44"/>
          <w:highlight w:val="none"/>
        </w:rPr>
      </w:pPr>
    </w:p>
    <w:p w14:paraId="66EC40B0">
      <w:pPr>
        <w:rPr>
          <w:b/>
          <w:color w:val="auto"/>
          <w:sz w:val="44"/>
          <w:szCs w:val="44"/>
          <w:highlight w:val="none"/>
        </w:rPr>
      </w:pPr>
    </w:p>
    <w:p w14:paraId="107A9D98">
      <w:pPr>
        <w:pStyle w:val="13"/>
        <w:rPr>
          <w:color w:val="auto"/>
          <w:highlight w:val="none"/>
        </w:rPr>
      </w:pPr>
    </w:p>
    <w:p w14:paraId="4AFC9B26">
      <w:pPr>
        <w:pStyle w:val="13"/>
        <w:rPr>
          <w:color w:val="auto"/>
          <w:highlight w:val="none"/>
        </w:rPr>
      </w:pPr>
    </w:p>
    <w:p w14:paraId="57D8CCDB">
      <w:pPr>
        <w:rPr>
          <w:b/>
          <w:color w:val="auto"/>
          <w:sz w:val="44"/>
          <w:szCs w:val="44"/>
          <w:highlight w:val="none"/>
        </w:rPr>
      </w:pPr>
    </w:p>
    <w:p w14:paraId="3337D569">
      <w:pPr>
        <w:rPr>
          <w:b/>
          <w:color w:val="auto"/>
          <w:sz w:val="44"/>
          <w:szCs w:val="44"/>
          <w:highlight w:val="none"/>
        </w:rPr>
      </w:pPr>
    </w:p>
    <w:p w14:paraId="0002ED8C">
      <w:pPr>
        <w:spacing w:line="580" w:lineRule="exact"/>
        <w:jc w:val="center"/>
        <w:rPr>
          <w:b/>
          <w:color w:val="auto"/>
          <w:sz w:val="44"/>
          <w:szCs w:val="44"/>
          <w:highlight w:val="none"/>
        </w:rPr>
      </w:pPr>
      <w:r>
        <w:rPr>
          <w:b/>
          <w:color w:val="auto"/>
          <w:sz w:val="44"/>
          <w:szCs w:val="44"/>
          <w:highlight w:val="none"/>
        </w:rPr>
        <w:t>常熟虞东招标代理有限公司</w:t>
      </w:r>
    </w:p>
    <w:p w14:paraId="21011506">
      <w:pPr>
        <w:spacing w:line="580" w:lineRule="exact"/>
        <w:jc w:val="center"/>
        <w:rPr>
          <w:b/>
          <w:color w:val="auto"/>
          <w:sz w:val="44"/>
          <w:szCs w:val="44"/>
          <w:highlight w:val="none"/>
        </w:rPr>
      </w:pPr>
      <w:r>
        <w:rPr>
          <w:rFonts w:hint="eastAsia"/>
          <w:b/>
          <w:color w:val="auto"/>
          <w:sz w:val="44"/>
          <w:szCs w:val="44"/>
          <w:highlight w:val="none"/>
        </w:rPr>
        <w:t>202</w:t>
      </w:r>
      <w:r>
        <w:rPr>
          <w:rFonts w:hint="eastAsia"/>
          <w:b/>
          <w:color w:val="auto"/>
          <w:sz w:val="44"/>
          <w:szCs w:val="44"/>
          <w:highlight w:val="none"/>
          <w:lang w:val="en-US" w:eastAsia="zh-CN"/>
        </w:rPr>
        <w:t>6</w:t>
      </w:r>
      <w:r>
        <w:rPr>
          <w:rFonts w:hint="eastAsia"/>
          <w:b/>
          <w:color w:val="auto"/>
          <w:sz w:val="44"/>
          <w:szCs w:val="44"/>
          <w:highlight w:val="none"/>
        </w:rPr>
        <w:t>年</w:t>
      </w:r>
      <w:r>
        <w:rPr>
          <w:rFonts w:hint="eastAsia"/>
          <w:b/>
          <w:color w:val="auto"/>
          <w:sz w:val="44"/>
          <w:szCs w:val="44"/>
          <w:highlight w:val="none"/>
          <w:lang w:val="en-US" w:eastAsia="zh-CN"/>
        </w:rPr>
        <w:t>6</w:t>
      </w:r>
      <w:r>
        <w:rPr>
          <w:rFonts w:hint="eastAsia"/>
          <w:b/>
          <w:color w:val="auto"/>
          <w:sz w:val="44"/>
          <w:szCs w:val="44"/>
          <w:highlight w:val="none"/>
        </w:rPr>
        <w:t>月</w:t>
      </w:r>
    </w:p>
    <w:p w14:paraId="54BA643E">
      <w:pPr>
        <w:spacing w:line="580" w:lineRule="exact"/>
        <w:jc w:val="center"/>
        <w:rPr>
          <w:b/>
          <w:color w:val="auto"/>
          <w:sz w:val="36"/>
          <w:szCs w:val="36"/>
          <w:highlight w:val="none"/>
        </w:rPr>
        <w:sectPr>
          <w:headerReference r:id="rId3" w:type="default"/>
          <w:footerReference r:id="rId4" w:type="default"/>
          <w:footerReference r:id="rId5" w:type="even"/>
          <w:pgSz w:w="11907" w:h="16840"/>
          <w:pgMar w:top="1134" w:right="882" w:bottom="1134" w:left="1365" w:header="567" w:footer="794" w:gutter="0"/>
          <w:cols w:space="1701" w:num="1"/>
          <w:titlePg/>
          <w:docGrid w:linePitch="360" w:charSpace="0"/>
        </w:sectPr>
      </w:pPr>
    </w:p>
    <w:p w14:paraId="0B5FC384">
      <w:pPr>
        <w:spacing w:line="580" w:lineRule="exact"/>
        <w:jc w:val="center"/>
        <w:rPr>
          <w:color w:val="auto"/>
          <w:sz w:val="36"/>
          <w:szCs w:val="36"/>
          <w:highlight w:val="none"/>
        </w:rPr>
      </w:pPr>
      <w:r>
        <w:rPr>
          <w:b/>
          <w:color w:val="auto"/>
          <w:sz w:val="36"/>
          <w:szCs w:val="36"/>
          <w:highlight w:val="none"/>
        </w:rPr>
        <w:t>目录</w:t>
      </w:r>
      <w:bookmarkStart w:id="0" w:name="_Toc158691765"/>
    </w:p>
    <w:p w14:paraId="0CDDAB92">
      <w:pPr>
        <w:pStyle w:val="38"/>
        <w:tabs>
          <w:tab w:val="right" w:leader="dot" w:pos="9660"/>
        </w:tabs>
        <w:rPr>
          <w:b/>
          <w:bCs/>
          <w:color w:val="auto"/>
          <w:sz w:val="28"/>
          <w:szCs w:val="28"/>
          <w:highlight w:val="none"/>
        </w:rPr>
      </w:pPr>
      <w:r>
        <w:rPr>
          <w:bCs/>
          <w:caps/>
          <w:color w:val="auto"/>
          <w:sz w:val="24"/>
          <w:szCs w:val="24"/>
          <w:highlight w:val="none"/>
        </w:rPr>
        <w:fldChar w:fldCharType="begin"/>
      </w:r>
      <w:r>
        <w:rPr>
          <w:color w:val="auto"/>
          <w:sz w:val="24"/>
          <w:szCs w:val="24"/>
          <w:highlight w:val="none"/>
        </w:rPr>
        <w:instrText xml:space="preserve"> TOC \o "1-3" \h \z \u </w:instrText>
      </w:r>
      <w:r>
        <w:rPr>
          <w:bCs/>
          <w:caps/>
          <w:color w:val="auto"/>
          <w:sz w:val="24"/>
          <w:szCs w:val="24"/>
          <w:highlight w:val="none"/>
        </w:rPr>
        <w:fldChar w:fldCharType="separate"/>
      </w:r>
      <w:r>
        <w:rPr>
          <w:b/>
          <w:bCs/>
          <w:caps/>
          <w:color w:val="auto"/>
          <w:sz w:val="28"/>
          <w:szCs w:val="28"/>
          <w:highlight w:val="none"/>
        </w:rPr>
        <w:fldChar w:fldCharType="begin"/>
      </w:r>
      <w:r>
        <w:rPr>
          <w:b/>
          <w:bCs/>
          <w:caps/>
          <w:color w:val="auto"/>
          <w:sz w:val="28"/>
          <w:szCs w:val="28"/>
          <w:highlight w:val="none"/>
        </w:rPr>
        <w:instrText xml:space="preserve"> HYPERLINK \l _Toc1260 </w:instrText>
      </w:r>
      <w:r>
        <w:rPr>
          <w:b/>
          <w:bCs/>
          <w:caps/>
          <w:color w:val="auto"/>
          <w:sz w:val="28"/>
          <w:szCs w:val="28"/>
          <w:highlight w:val="none"/>
        </w:rPr>
        <w:fldChar w:fldCharType="separate"/>
      </w:r>
      <w:r>
        <w:rPr>
          <w:rFonts w:ascii="Times New Roman" w:hAnsi="Times New Roman"/>
          <w:b/>
          <w:bCs/>
          <w:color w:val="auto"/>
          <w:sz w:val="28"/>
          <w:szCs w:val="28"/>
          <w:highlight w:val="none"/>
        </w:rPr>
        <w:t>第一章</w:t>
      </w:r>
      <w:r>
        <w:rPr>
          <w:rFonts w:hint="eastAsia" w:ascii="Times New Roman" w:hAnsi="Times New Roman"/>
          <w:b/>
          <w:bCs/>
          <w:color w:val="auto"/>
          <w:sz w:val="28"/>
          <w:szCs w:val="28"/>
          <w:highlight w:val="none"/>
        </w:rPr>
        <w:t xml:space="preserve"> </w:t>
      </w:r>
      <w:r>
        <w:rPr>
          <w:rFonts w:ascii="Times New Roman" w:hAnsi="Times New Roman"/>
          <w:b/>
          <w:bCs/>
          <w:color w:val="auto"/>
          <w:sz w:val="28"/>
          <w:szCs w:val="28"/>
          <w:highlight w:val="none"/>
        </w:rPr>
        <w:t>投标邀请</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_Toc1260 \h </w:instrText>
      </w:r>
      <w:r>
        <w:rPr>
          <w:b/>
          <w:bCs/>
          <w:color w:val="auto"/>
          <w:sz w:val="28"/>
          <w:szCs w:val="28"/>
          <w:highlight w:val="none"/>
        </w:rPr>
        <w:fldChar w:fldCharType="separate"/>
      </w:r>
      <w:r>
        <w:rPr>
          <w:b/>
          <w:bCs/>
          <w:color w:val="auto"/>
          <w:sz w:val="28"/>
          <w:szCs w:val="28"/>
          <w:highlight w:val="none"/>
        </w:rPr>
        <w:t>2</w:t>
      </w:r>
      <w:r>
        <w:rPr>
          <w:b/>
          <w:bCs/>
          <w:color w:val="auto"/>
          <w:sz w:val="28"/>
          <w:szCs w:val="28"/>
          <w:highlight w:val="none"/>
        </w:rPr>
        <w:fldChar w:fldCharType="end"/>
      </w:r>
      <w:r>
        <w:rPr>
          <w:b/>
          <w:bCs/>
          <w:caps/>
          <w:color w:val="auto"/>
          <w:sz w:val="28"/>
          <w:szCs w:val="28"/>
          <w:highlight w:val="none"/>
        </w:rPr>
        <w:fldChar w:fldCharType="end"/>
      </w:r>
    </w:p>
    <w:p w14:paraId="06F214EC">
      <w:pPr>
        <w:pStyle w:val="38"/>
        <w:tabs>
          <w:tab w:val="right" w:leader="dot" w:pos="9660"/>
        </w:tabs>
        <w:rPr>
          <w:b/>
          <w:bCs/>
          <w:color w:val="auto"/>
          <w:sz w:val="28"/>
          <w:szCs w:val="28"/>
          <w:highlight w:val="none"/>
        </w:rPr>
      </w:pPr>
      <w:r>
        <w:rPr>
          <w:rFonts w:ascii="Times New Roman" w:hAnsi="Times New Roman"/>
          <w:b/>
          <w:bCs/>
          <w:color w:val="auto"/>
          <w:sz w:val="28"/>
          <w:szCs w:val="28"/>
          <w:highlight w:val="none"/>
        </w:rPr>
        <w:fldChar w:fldCharType="begin"/>
      </w:r>
      <w:r>
        <w:rPr>
          <w:rFonts w:ascii="Times New Roman" w:hAnsi="Times New Roman"/>
          <w:b/>
          <w:bCs/>
          <w:color w:val="auto"/>
          <w:sz w:val="28"/>
          <w:szCs w:val="28"/>
          <w:highlight w:val="none"/>
        </w:rPr>
        <w:instrText xml:space="preserve"> HYPERLINK \l _Toc11647 </w:instrText>
      </w:r>
      <w:r>
        <w:rPr>
          <w:rFonts w:ascii="Times New Roman" w:hAnsi="Times New Roman"/>
          <w:b/>
          <w:bCs/>
          <w:color w:val="auto"/>
          <w:sz w:val="28"/>
          <w:szCs w:val="28"/>
          <w:highlight w:val="none"/>
        </w:rPr>
        <w:fldChar w:fldCharType="separate"/>
      </w:r>
      <w:r>
        <w:rPr>
          <w:rFonts w:ascii="Times New Roman" w:hAnsi="Times New Roman"/>
          <w:b/>
          <w:bCs/>
          <w:color w:val="auto"/>
          <w:sz w:val="28"/>
          <w:szCs w:val="28"/>
          <w:highlight w:val="none"/>
        </w:rPr>
        <w:t>第二章</w:t>
      </w:r>
      <w:r>
        <w:rPr>
          <w:rFonts w:hint="eastAsia" w:ascii="Times New Roman" w:hAnsi="Times New Roman"/>
          <w:b/>
          <w:bCs/>
          <w:color w:val="auto"/>
          <w:sz w:val="28"/>
          <w:szCs w:val="28"/>
          <w:highlight w:val="none"/>
        </w:rPr>
        <w:t xml:space="preserve"> </w:t>
      </w:r>
      <w:r>
        <w:rPr>
          <w:rFonts w:ascii="Times New Roman" w:hAnsi="Times New Roman"/>
          <w:b/>
          <w:bCs/>
          <w:color w:val="auto"/>
          <w:sz w:val="28"/>
          <w:szCs w:val="28"/>
          <w:highlight w:val="none"/>
        </w:rPr>
        <w:t>投标人须知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_Toc11647 \h </w:instrText>
      </w:r>
      <w:r>
        <w:rPr>
          <w:b/>
          <w:bCs/>
          <w:color w:val="auto"/>
          <w:sz w:val="28"/>
          <w:szCs w:val="28"/>
          <w:highlight w:val="none"/>
        </w:rPr>
        <w:fldChar w:fldCharType="separate"/>
      </w:r>
      <w:r>
        <w:rPr>
          <w:b/>
          <w:bCs/>
          <w:color w:val="auto"/>
          <w:sz w:val="28"/>
          <w:szCs w:val="28"/>
          <w:highlight w:val="none"/>
        </w:rPr>
        <w:t>5</w:t>
      </w:r>
      <w:r>
        <w:rPr>
          <w:b/>
          <w:bCs/>
          <w:color w:val="auto"/>
          <w:sz w:val="28"/>
          <w:szCs w:val="28"/>
          <w:highlight w:val="none"/>
        </w:rPr>
        <w:fldChar w:fldCharType="end"/>
      </w:r>
      <w:r>
        <w:rPr>
          <w:rFonts w:ascii="Times New Roman" w:hAnsi="Times New Roman"/>
          <w:b/>
          <w:bCs/>
          <w:color w:val="auto"/>
          <w:sz w:val="28"/>
          <w:szCs w:val="28"/>
          <w:highlight w:val="none"/>
        </w:rPr>
        <w:fldChar w:fldCharType="end"/>
      </w:r>
    </w:p>
    <w:p w14:paraId="4CDF864B">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_Toc16304 </w:instrText>
      </w:r>
      <w:r>
        <w:rPr>
          <w:rFonts w:ascii="Times New Roman" w:hAnsi="Times New Roman"/>
          <w:color w:val="auto"/>
          <w:sz w:val="24"/>
          <w:szCs w:val="24"/>
          <w:highlight w:val="none"/>
        </w:rPr>
        <w:fldChar w:fldCharType="separate"/>
      </w:r>
      <w:r>
        <w:rPr>
          <w:color w:val="auto"/>
          <w:sz w:val="24"/>
          <w:szCs w:val="24"/>
          <w:highlight w:val="none"/>
        </w:rPr>
        <w:t>一、总则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_Toc16304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ascii="Times New Roman" w:hAnsi="Times New Roman"/>
          <w:color w:val="auto"/>
          <w:sz w:val="24"/>
          <w:szCs w:val="24"/>
          <w:highlight w:val="none"/>
        </w:rPr>
        <w:fldChar w:fldCharType="end"/>
      </w:r>
    </w:p>
    <w:p w14:paraId="4A905EFB">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_Toc6095 </w:instrText>
      </w:r>
      <w:r>
        <w:rPr>
          <w:rFonts w:ascii="Times New Roman" w:hAnsi="Times New Roman"/>
          <w:color w:val="auto"/>
          <w:sz w:val="24"/>
          <w:szCs w:val="24"/>
          <w:highlight w:val="none"/>
        </w:rPr>
        <w:fldChar w:fldCharType="separate"/>
      </w:r>
      <w:r>
        <w:rPr>
          <w:color w:val="auto"/>
          <w:sz w:val="24"/>
          <w:szCs w:val="24"/>
          <w:highlight w:val="none"/>
        </w:rPr>
        <w:t>二、招标文件的说明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_Toc6095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ascii="Times New Roman" w:hAnsi="Times New Roman"/>
          <w:color w:val="auto"/>
          <w:sz w:val="24"/>
          <w:szCs w:val="24"/>
          <w:highlight w:val="none"/>
        </w:rPr>
        <w:fldChar w:fldCharType="end"/>
      </w:r>
    </w:p>
    <w:p w14:paraId="5336B97B">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_Toc3084 </w:instrText>
      </w:r>
      <w:r>
        <w:rPr>
          <w:rFonts w:ascii="Times New Roman" w:hAnsi="Times New Roman"/>
          <w:color w:val="auto"/>
          <w:sz w:val="24"/>
          <w:szCs w:val="24"/>
          <w:highlight w:val="none"/>
        </w:rPr>
        <w:fldChar w:fldCharType="separate"/>
      </w:r>
      <w:r>
        <w:rPr>
          <w:color w:val="auto"/>
          <w:sz w:val="24"/>
          <w:szCs w:val="24"/>
          <w:highlight w:val="none"/>
        </w:rPr>
        <w:t>三、投标文件的编制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_Toc3084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ascii="Times New Roman" w:hAnsi="Times New Roman"/>
          <w:color w:val="auto"/>
          <w:sz w:val="24"/>
          <w:szCs w:val="24"/>
          <w:highlight w:val="none"/>
        </w:rPr>
        <w:fldChar w:fldCharType="end"/>
      </w:r>
    </w:p>
    <w:p w14:paraId="4CA460A3">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_Toc32634 </w:instrText>
      </w:r>
      <w:r>
        <w:rPr>
          <w:rFonts w:ascii="Times New Roman" w:hAnsi="Times New Roman"/>
          <w:color w:val="auto"/>
          <w:sz w:val="24"/>
          <w:szCs w:val="24"/>
          <w:highlight w:val="none"/>
        </w:rPr>
        <w:fldChar w:fldCharType="separate"/>
      </w:r>
      <w:r>
        <w:rPr>
          <w:color w:val="auto"/>
          <w:sz w:val="24"/>
          <w:szCs w:val="24"/>
          <w:highlight w:val="none"/>
        </w:rPr>
        <w:t>四、投标文件的提交</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_Toc32634 \h </w:instrText>
      </w:r>
      <w:r>
        <w:rPr>
          <w:color w:val="auto"/>
          <w:sz w:val="24"/>
          <w:szCs w:val="24"/>
          <w:highlight w:val="none"/>
        </w:rPr>
        <w:fldChar w:fldCharType="separate"/>
      </w:r>
      <w:r>
        <w:rPr>
          <w:color w:val="auto"/>
          <w:sz w:val="24"/>
          <w:szCs w:val="24"/>
          <w:highlight w:val="none"/>
        </w:rPr>
        <w:t>8</w:t>
      </w:r>
      <w:r>
        <w:rPr>
          <w:color w:val="auto"/>
          <w:sz w:val="24"/>
          <w:szCs w:val="24"/>
          <w:highlight w:val="none"/>
        </w:rPr>
        <w:fldChar w:fldCharType="end"/>
      </w:r>
      <w:r>
        <w:rPr>
          <w:rFonts w:ascii="Times New Roman" w:hAnsi="Times New Roman"/>
          <w:color w:val="auto"/>
          <w:sz w:val="24"/>
          <w:szCs w:val="24"/>
          <w:highlight w:val="none"/>
        </w:rPr>
        <w:fldChar w:fldCharType="end"/>
      </w:r>
    </w:p>
    <w:p w14:paraId="3EEF01A9">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_Toc8943 </w:instrText>
      </w:r>
      <w:r>
        <w:rPr>
          <w:rFonts w:ascii="Times New Roman" w:hAnsi="Times New Roman"/>
          <w:color w:val="auto"/>
          <w:sz w:val="24"/>
          <w:szCs w:val="24"/>
          <w:highlight w:val="none"/>
        </w:rPr>
        <w:fldChar w:fldCharType="separate"/>
      </w:r>
      <w:r>
        <w:rPr>
          <w:color w:val="auto"/>
          <w:sz w:val="24"/>
          <w:szCs w:val="24"/>
          <w:highlight w:val="none"/>
        </w:rPr>
        <w:t>五、开标与评标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_Toc8943 \h </w:instrText>
      </w:r>
      <w:r>
        <w:rPr>
          <w:color w:val="auto"/>
          <w:sz w:val="24"/>
          <w:szCs w:val="24"/>
          <w:highlight w:val="none"/>
        </w:rPr>
        <w:fldChar w:fldCharType="separate"/>
      </w:r>
      <w:r>
        <w:rPr>
          <w:color w:val="auto"/>
          <w:sz w:val="24"/>
          <w:szCs w:val="24"/>
          <w:highlight w:val="none"/>
        </w:rPr>
        <w:t>8</w:t>
      </w:r>
      <w:r>
        <w:rPr>
          <w:color w:val="auto"/>
          <w:sz w:val="24"/>
          <w:szCs w:val="24"/>
          <w:highlight w:val="none"/>
        </w:rPr>
        <w:fldChar w:fldCharType="end"/>
      </w:r>
      <w:r>
        <w:rPr>
          <w:rFonts w:ascii="Times New Roman" w:hAnsi="Times New Roman"/>
          <w:color w:val="auto"/>
          <w:sz w:val="24"/>
          <w:szCs w:val="24"/>
          <w:highlight w:val="none"/>
        </w:rPr>
        <w:fldChar w:fldCharType="end"/>
      </w:r>
    </w:p>
    <w:p w14:paraId="1756B853">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_Toc13507 </w:instrText>
      </w:r>
      <w:r>
        <w:rPr>
          <w:rFonts w:ascii="Times New Roman" w:hAnsi="Times New Roman"/>
          <w:color w:val="auto"/>
          <w:sz w:val="24"/>
          <w:szCs w:val="24"/>
          <w:highlight w:val="none"/>
        </w:rPr>
        <w:fldChar w:fldCharType="separate"/>
      </w:r>
      <w:r>
        <w:rPr>
          <w:color w:val="auto"/>
          <w:sz w:val="24"/>
          <w:szCs w:val="24"/>
          <w:highlight w:val="none"/>
        </w:rPr>
        <w:t>六、</w:t>
      </w:r>
      <w:r>
        <w:rPr>
          <w:rFonts w:hint="eastAsia"/>
          <w:color w:val="auto"/>
          <w:sz w:val="24"/>
          <w:szCs w:val="24"/>
          <w:highlight w:val="none"/>
        </w:rPr>
        <w:t>定标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_Toc13507 \h </w:instrText>
      </w:r>
      <w:r>
        <w:rPr>
          <w:color w:val="auto"/>
          <w:sz w:val="24"/>
          <w:szCs w:val="24"/>
          <w:highlight w:val="none"/>
        </w:rPr>
        <w:fldChar w:fldCharType="separate"/>
      </w:r>
      <w:r>
        <w:rPr>
          <w:color w:val="auto"/>
          <w:sz w:val="24"/>
          <w:szCs w:val="24"/>
          <w:highlight w:val="none"/>
        </w:rPr>
        <w:t>12</w:t>
      </w:r>
      <w:r>
        <w:rPr>
          <w:color w:val="auto"/>
          <w:sz w:val="24"/>
          <w:szCs w:val="24"/>
          <w:highlight w:val="none"/>
        </w:rPr>
        <w:fldChar w:fldCharType="end"/>
      </w:r>
      <w:r>
        <w:rPr>
          <w:rFonts w:ascii="Times New Roman" w:hAnsi="Times New Roman"/>
          <w:color w:val="auto"/>
          <w:sz w:val="24"/>
          <w:szCs w:val="24"/>
          <w:highlight w:val="none"/>
        </w:rPr>
        <w:fldChar w:fldCharType="end"/>
      </w:r>
    </w:p>
    <w:p w14:paraId="4C74F9D0">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_Toc27226 </w:instrText>
      </w:r>
      <w:r>
        <w:rPr>
          <w:rFonts w:ascii="Times New Roman" w:hAnsi="Times New Roman"/>
          <w:color w:val="auto"/>
          <w:sz w:val="24"/>
          <w:szCs w:val="24"/>
          <w:highlight w:val="none"/>
        </w:rPr>
        <w:fldChar w:fldCharType="separate"/>
      </w:r>
      <w:r>
        <w:rPr>
          <w:rFonts w:hint="eastAsia"/>
          <w:color w:val="auto"/>
          <w:sz w:val="24"/>
          <w:szCs w:val="24"/>
          <w:highlight w:val="none"/>
        </w:rPr>
        <w:t>七</w:t>
      </w:r>
      <w:r>
        <w:rPr>
          <w:color w:val="auto"/>
          <w:sz w:val="24"/>
          <w:szCs w:val="24"/>
          <w:highlight w:val="none"/>
        </w:rPr>
        <w:t>、授予合同</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_Toc27226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rFonts w:ascii="Times New Roman" w:hAnsi="Times New Roman"/>
          <w:color w:val="auto"/>
          <w:sz w:val="24"/>
          <w:szCs w:val="24"/>
          <w:highlight w:val="none"/>
        </w:rPr>
        <w:fldChar w:fldCharType="end"/>
      </w:r>
    </w:p>
    <w:p w14:paraId="1D0E69A6">
      <w:pPr>
        <w:pStyle w:val="38"/>
        <w:tabs>
          <w:tab w:val="right" w:leader="dot" w:pos="9660"/>
        </w:tabs>
        <w:rPr>
          <w:b/>
          <w:bCs/>
          <w:color w:val="auto"/>
          <w:sz w:val="28"/>
          <w:szCs w:val="28"/>
          <w:highlight w:val="none"/>
        </w:rPr>
      </w:pPr>
      <w:r>
        <w:rPr>
          <w:rFonts w:ascii="Times New Roman" w:hAnsi="Times New Roman"/>
          <w:b/>
          <w:bCs/>
          <w:color w:val="auto"/>
          <w:sz w:val="28"/>
          <w:szCs w:val="28"/>
          <w:highlight w:val="none"/>
        </w:rPr>
        <w:fldChar w:fldCharType="begin"/>
      </w:r>
      <w:r>
        <w:rPr>
          <w:rFonts w:ascii="Times New Roman" w:hAnsi="Times New Roman"/>
          <w:b/>
          <w:bCs/>
          <w:color w:val="auto"/>
          <w:sz w:val="28"/>
          <w:szCs w:val="28"/>
          <w:highlight w:val="none"/>
        </w:rPr>
        <w:instrText xml:space="preserve"> HYPERLINK \l _Toc10572 </w:instrText>
      </w:r>
      <w:r>
        <w:rPr>
          <w:rFonts w:ascii="Times New Roman" w:hAnsi="Times New Roman"/>
          <w:b/>
          <w:bCs/>
          <w:color w:val="auto"/>
          <w:sz w:val="28"/>
          <w:szCs w:val="28"/>
          <w:highlight w:val="none"/>
        </w:rPr>
        <w:fldChar w:fldCharType="separate"/>
      </w:r>
      <w:r>
        <w:rPr>
          <w:rFonts w:ascii="Times New Roman" w:hAnsi="Times New Roman"/>
          <w:b/>
          <w:bCs/>
          <w:color w:val="auto"/>
          <w:sz w:val="28"/>
          <w:szCs w:val="28"/>
          <w:highlight w:val="none"/>
        </w:rPr>
        <w:t>第</w:t>
      </w:r>
      <w:r>
        <w:rPr>
          <w:rFonts w:hint="eastAsia" w:ascii="Times New Roman" w:hAnsi="Times New Roman"/>
          <w:b/>
          <w:bCs/>
          <w:color w:val="auto"/>
          <w:sz w:val="28"/>
          <w:szCs w:val="28"/>
          <w:highlight w:val="none"/>
        </w:rPr>
        <w:t>三</w:t>
      </w:r>
      <w:r>
        <w:rPr>
          <w:rFonts w:ascii="Times New Roman" w:hAnsi="Times New Roman"/>
          <w:b/>
          <w:bCs/>
          <w:color w:val="auto"/>
          <w:sz w:val="28"/>
          <w:szCs w:val="28"/>
          <w:highlight w:val="none"/>
        </w:rPr>
        <w:t>章</w:t>
      </w:r>
      <w:r>
        <w:rPr>
          <w:rFonts w:hint="eastAsia" w:ascii="Times New Roman" w:hAnsi="Times New Roman"/>
          <w:b/>
          <w:bCs/>
          <w:color w:val="auto"/>
          <w:sz w:val="28"/>
          <w:szCs w:val="28"/>
          <w:highlight w:val="none"/>
        </w:rPr>
        <w:t xml:space="preserve"> </w:t>
      </w:r>
      <w:r>
        <w:rPr>
          <w:rFonts w:ascii="Times New Roman" w:hAnsi="Times New Roman"/>
          <w:b/>
          <w:bCs/>
          <w:color w:val="auto"/>
          <w:sz w:val="28"/>
          <w:szCs w:val="28"/>
          <w:highlight w:val="none"/>
        </w:rPr>
        <w:t>合同</w:t>
      </w:r>
      <w:r>
        <w:rPr>
          <w:rFonts w:hint="eastAsia" w:ascii="Times New Roman" w:hAnsi="Times New Roman"/>
          <w:b/>
          <w:bCs/>
          <w:color w:val="auto"/>
          <w:sz w:val="28"/>
          <w:szCs w:val="28"/>
          <w:highlight w:val="none"/>
        </w:rPr>
        <w:t>文本</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_Toc10572 \h </w:instrText>
      </w:r>
      <w:r>
        <w:rPr>
          <w:b/>
          <w:bCs/>
          <w:color w:val="auto"/>
          <w:sz w:val="28"/>
          <w:szCs w:val="28"/>
          <w:highlight w:val="none"/>
        </w:rPr>
        <w:fldChar w:fldCharType="separate"/>
      </w:r>
      <w:r>
        <w:rPr>
          <w:b/>
          <w:bCs/>
          <w:color w:val="auto"/>
          <w:sz w:val="28"/>
          <w:szCs w:val="28"/>
          <w:highlight w:val="none"/>
        </w:rPr>
        <w:t>15</w:t>
      </w:r>
      <w:r>
        <w:rPr>
          <w:b/>
          <w:bCs/>
          <w:color w:val="auto"/>
          <w:sz w:val="28"/>
          <w:szCs w:val="28"/>
          <w:highlight w:val="none"/>
        </w:rPr>
        <w:fldChar w:fldCharType="end"/>
      </w:r>
      <w:r>
        <w:rPr>
          <w:rFonts w:ascii="Times New Roman" w:hAnsi="Times New Roman"/>
          <w:b/>
          <w:bCs/>
          <w:color w:val="auto"/>
          <w:sz w:val="28"/>
          <w:szCs w:val="28"/>
          <w:highlight w:val="none"/>
        </w:rPr>
        <w:fldChar w:fldCharType="end"/>
      </w:r>
    </w:p>
    <w:p w14:paraId="392B9558">
      <w:pPr>
        <w:pStyle w:val="38"/>
        <w:tabs>
          <w:tab w:val="right" w:leader="dot" w:pos="9660"/>
        </w:tabs>
        <w:rPr>
          <w:b/>
          <w:bCs/>
          <w:color w:val="auto"/>
          <w:sz w:val="28"/>
          <w:szCs w:val="28"/>
          <w:highlight w:val="none"/>
        </w:rPr>
      </w:pPr>
      <w:r>
        <w:rPr>
          <w:rFonts w:ascii="Times New Roman" w:hAnsi="Times New Roman"/>
          <w:b/>
          <w:bCs/>
          <w:color w:val="auto"/>
          <w:sz w:val="28"/>
          <w:szCs w:val="28"/>
          <w:highlight w:val="none"/>
        </w:rPr>
        <w:fldChar w:fldCharType="begin"/>
      </w:r>
      <w:r>
        <w:rPr>
          <w:rFonts w:ascii="Times New Roman" w:hAnsi="Times New Roman"/>
          <w:b/>
          <w:bCs/>
          <w:color w:val="auto"/>
          <w:sz w:val="28"/>
          <w:szCs w:val="28"/>
          <w:highlight w:val="none"/>
        </w:rPr>
        <w:instrText xml:space="preserve"> HYPERLINK \l _Toc10885 </w:instrText>
      </w:r>
      <w:r>
        <w:rPr>
          <w:rFonts w:ascii="Times New Roman" w:hAnsi="Times New Roman"/>
          <w:b/>
          <w:bCs/>
          <w:color w:val="auto"/>
          <w:sz w:val="28"/>
          <w:szCs w:val="28"/>
          <w:highlight w:val="none"/>
        </w:rPr>
        <w:fldChar w:fldCharType="separate"/>
      </w:r>
      <w:r>
        <w:rPr>
          <w:rFonts w:ascii="Times New Roman" w:hAnsi="Times New Roman"/>
          <w:b/>
          <w:bCs/>
          <w:color w:val="auto"/>
          <w:sz w:val="28"/>
          <w:szCs w:val="28"/>
          <w:highlight w:val="none"/>
          <w:lang w:val="en-US" w:eastAsia="zh-CN"/>
        </w:rPr>
        <w:t>第四章</w:t>
      </w:r>
      <w:r>
        <w:rPr>
          <w:rFonts w:hint="eastAsia" w:ascii="Times New Roman" w:hAnsi="Times New Roman"/>
          <w:b/>
          <w:bCs/>
          <w:color w:val="auto"/>
          <w:sz w:val="28"/>
          <w:szCs w:val="28"/>
          <w:highlight w:val="none"/>
          <w:lang w:val="en-US" w:eastAsia="zh-CN"/>
        </w:rPr>
        <w:t xml:space="preserve"> 采购</w:t>
      </w:r>
      <w:r>
        <w:rPr>
          <w:rFonts w:ascii="Times New Roman" w:hAnsi="Times New Roman"/>
          <w:b/>
          <w:bCs/>
          <w:color w:val="auto"/>
          <w:sz w:val="28"/>
          <w:szCs w:val="28"/>
          <w:highlight w:val="none"/>
          <w:lang w:val="en-US" w:eastAsia="zh-CN"/>
        </w:rPr>
        <w:t>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_Toc10885 \h </w:instrText>
      </w:r>
      <w:r>
        <w:rPr>
          <w:b/>
          <w:bCs/>
          <w:color w:val="auto"/>
          <w:sz w:val="28"/>
          <w:szCs w:val="28"/>
          <w:highlight w:val="none"/>
        </w:rPr>
        <w:fldChar w:fldCharType="separate"/>
      </w:r>
      <w:r>
        <w:rPr>
          <w:b/>
          <w:bCs/>
          <w:color w:val="auto"/>
          <w:sz w:val="28"/>
          <w:szCs w:val="28"/>
          <w:highlight w:val="none"/>
        </w:rPr>
        <w:t>21</w:t>
      </w:r>
      <w:r>
        <w:rPr>
          <w:b/>
          <w:bCs/>
          <w:color w:val="auto"/>
          <w:sz w:val="28"/>
          <w:szCs w:val="28"/>
          <w:highlight w:val="none"/>
        </w:rPr>
        <w:fldChar w:fldCharType="end"/>
      </w:r>
      <w:r>
        <w:rPr>
          <w:rFonts w:ascii="Times New Roman" w:hAnsi="Times New Roman"/>
          <w:b/>
          <w:bCs/>
          <w:color w:val="auto"/>
          <w:sz w:val="28"/>
          <w:szCs w:val="28"/>
          <w:highlight w:val="none"/>
        </w:rPr>
        <w:fldChar w:fldCharType="end"/>
      </w:r>
    </w:p>
    <w:p w14:paraId="21008436">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_Toc5404 </w:instrText>
      </w:r>
      <w:r>
        <w:rPr>
          <w:rFonts w:ascii="Times New Roman" w:hAnsi="Times New Roman"/>
          <w:color w:val="auto"/>
          <w:sz w:val="24"/>
          <w:szCs w:val="24"/>
          <w:highlight w:val="none"/>
        </w:rPr>
        <w:fldChar w:fldCharType="separate"/>
      </w:r>
      <w:r>
        <w:rPr>
          <w:bCs/>
          <w:color w:val="auto"/>
          <w:sz w:val="24"/>
          <w:szCs w:val="24"/>
          <w:highlight w:val="none"/>
        </w:rPr>
        <w:t>一、项目说明：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_Toc5404 \h </w:instrText>
      </w:r>
      <w:r>
        <w:rPr>
          <w:color w:val="auto"/>
          <w:sz w:val="24"/>
          <w:szCs w:val="24"/>
          <w:highlight w:val="none"/>
        </w:rPr>
        <w:fldChar w:fldCharType="separate"/>
      </w:r>
      <w:r>
        <w:rPr>
          <w:color w:val="auto"/>
          <w:sz w:val="24"/>
          <w:szCs w:val="24"/>
          <w:highlight w:val="none"/>
        </w:rPr>
        <w:t>21</w:t>
      </w:r>
      <w:r>
        <w:rPr>
          <w:color w:val="auto"/>
          <w:sz w:val="24"/>
          <w:szCs w:val="24"/>
          <w:highlight w:val="none"/>
        </w:rPr>
        <w:fldChar w:fldCharType="end"/>
      </w:r>
      <w:r>
        <w:rPr>
          <w:rFonts w:ascii="Times New Roman" w:hAnsi="Times New Roman"/>
          <w:color w:val="auto"/>
          <w:sz w:val="24"/>
          <w:szCs w:val="24"/>
          <w:highlight w:val="none"/>
        </w:rPr>
        <w:fldChar w:fldCharType="end"/>
      </w:r>
    </w:p>
    <w:p w14:paraId="67FB6241">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_Toc20801 </w:instrText>
      </w:r>
      <w:r>
        <w:rPr>
          <w:rFonts w:ascii="Times New Roman" w:hAnsi="Times New Roman"/>
          <w:color w:val="auto"/>
          <w:sz w:val="24"/>
          <w:szCs w:val="24"/>
          <w:highlight w:val="none"/>
        </w:rPr>
        <w:fldChar w:fldCharType="separate"/>
      </w:r>
      <w:r>
        <w:rPr>
          <w:rFonts w:hint="eastAsia"/>
          <w:bCs/>
          <w:color w:val="auto"/>
          <w:sz w:val="24"/>
          <w:szCs w:val="24"/>
          <w:highlight w:val="none"/>
        </w:rPr>
        <w:t>二</w:t>
      </w:r>
      <w:r>
        <w:rPr>
          <w:bCs/>
          <w:color w:val="auto"/>
          <w:sz w:val="24"/>
          <w:szCs w:val="24"/>
          <w:highlight w:val="none"/>
        </w:rPr>
        <w:t>、</w:t>
      </w:r>
      <w:r>
        <w:rPr>
          <w:rFonts w:hint="eastAsia"/>
          <w:bCs/>
          <w:color w:val="auto"/>
          <w:sz w:val="24"/>
          <w:szCs w:val="24"/>
          <w:highlight w:val="none"/>
        </w:rPr>
        <w:t>项目配置要求</w:t>
      </w:r>
      <w:r>
        <w:rPr>
          <w:bCs/>
          <w:color w:val="auto"/>
          <w:sz w:val="24"/>
          <w:szCs w:val="24"/>
          <w:highlight w:val="none"/>
        </w:rPr>
        <w:t>：</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_Toc20801 \h </w:instrText>
      </w:r>
      <w:r>
        <w:rPr>
          <w:color w:val="auto"/>
          <w:sz w:val="24"/>
          <w:szCs w:val="24"/>
          <w:highlight w:val="none"/>
        </w:rPr>
        <w:fldChar w:fldCharType="separate"/>
      </w:r>
      <w:r>
        <w:rPr>
          <w:color w:val="auto"/>
          <w:sz w:val="24"/>
          <w:szCs w:val="24"/>
          <w:highlight w:val="none"/>
        </w:rPr>
        <w:t>22</w:t>
      </w:r>
      <w:r>
        <w:rPr>
          <w:color w:val="auto"/>
          <w:sz w:val="24"/>
          <w:szCs w:val="24"/>
          <w:highlight w:val="none"/>
        </w:rPr>
        <w:fldChar w:fldCharType="end"/>
      </w:r>
      <w:r>
        <w:rPr>
          <w:rFonts w:ascii="Times New Roman" w:hAnsi="Times New Roman"/>
          <w:color w:val="auto"/>
          <w:sz w:val="24"/>
          <w:szCs w:val="24"/>
          <w:highlight w:val="none"/>
        </w:rPr>
        <w:fldChar w:fldCharType="end"/>
      </w:r>
    </w:p>
    <w:p w14:paraId="70EE4A39">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_Toc5380 </w:instrText>
      </w:r>
      <w:r>
        <w:rPr>
          <w:rFonts w:ascii="Times New Roman" w:hAnsi="Times New Roman"/>
          <w:color w:val="auto"/>
          <w:sz w:val="24"/>
          <w:szCs w:val="24"/>
          <w:highlight w:val="none"/>
        </w:rPr>
        <w:fldChar w:fldCharType="separate"/>
      </w:r>
      <w:r>
        <w:rPr>
          <w:rFonts w:hint="eastAsia"/>
          <w:bCs/>
          <w:color w:val="auto"/>
          <w:sz w:val="24"/>
          <w:szCs w:val="24"/>
          <w:highlight w:val="none"/>
        </w:rPr>
        <w:t>三、</w:t>
      </w:r>
      <w:r>
        <w:rPr>
          <w:bCs/>
          <w:color w:val="auto"/>
          <w:sz w:val="24"/>
          <w:szCs w:val="24"/>
          <w:highlight w:val="none"/>
        </w:rPr>
        <w:t>项目服务要求：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_Toc5380 \h </w:instrText>
      </w:r>
      <w:r>
        <w:rPr>
          <w:color w:val="auto"/>
          <w:sz w:val="24"/>
          <w:szCs w:val="24"/>
          <w:highlight w:val="none"/>
        </w:rPr>
        <w:fldChar w:fldCharType="separate"/>
      </w:r>
      <w:r>
        <w:rPr>
          <w:color w:val="auto"/>
          <w:sz w:val="24"/>
          <w:szCs w:val="24"/>
          <w:highlight w:val="none"/>
        </w:rPr>
        <w:t>22</w:t>
      </w:r>
      <w:r>
        <w:rPr>
          <w:color w:val="auto"/>
          <w:sz w:val="24"/>
          <w:szCs w:val="24"/>
          <w:highlight w:val="none"/>
        </w:rPr>
        <w:fldChar w:fldCharType="end"/>
      </w:r>
      <w:r>
        <w:rPr>
          <w:rFonts w:ascii="Times New Roman" w:hAnsi="Times New Roman"/>
          <w:color w:val="auto"/>
          <w:sz w:val="24"/>
          <w:szCs w:val="24"/>
          <w:highlight w:val="none"/>
        </w:rPr>
        <w:fldChar w:fldCharType="end"/>
      </w:r>
    </w:p>
    <w:p w14:paraId="25EBABE2">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_Toc2277 </w:instrText>
      </w:r>
      <w:r>
        <w:rPr>
          <w:rFonts w:ascii="Times New Roman" w:hAnsi="Times New Roman"/>
          <w:color w:val="auto"/>
          <w:sz w:val="24"/>
          <w:szCs w:val="24"/>
          <w:highlight w:val="none"/>
        </w:rPr>
        <w:fldChar w:fldCharType="separate"/>
      </w:r>
      <w:r>
        <w:rPr>
          <w:rFonts w:hint="eastAsia"/>
          <w:bCs/>
          <w:color w:val="auto"/>
          <w:sz w:val="24"/>
          <w:szCs w:val="24"/>
          <w:highlight w:val="none"/>
        </w:rPr>
        <w:t>四</w:t>
      </w:r>
      <w:r>
        <w:rPr>
          <w:bCs/>
          <w:color w:val="auto"/>
          <w:sz w:val="24"/>
          <w:szCs w:val="24"/>
          <w:highlight w:val="none"/>
        </w:rPr>
        <w:t>、投标报价要求：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_Toc2277 \h </w:instrText>
      </w:r>
      <w:r>
        <w:rPr>
          <w:color w:val="auto"/>
          <w:sz w:val="24"/>
          <w:szCs w:val="24"/>
          <w:highlight w:val="none"/>
        </w:rPr>
        <w:fldChar w:fldCharType="separate"/>
      </w:r>
      <w:r>
        <w:rPr>
          <w:color w:val="auto"/>
          <w:sz w:val="24"/>
          <w:szCs w:val="24"/>
          <w:highlight w:val="none"/>
        </w:rPr>
        <w:t>26</w:t>
      </w:r>
      <w:r>
        <w:rPr>
          <w:color w:val="auto"/>
          <w:sz w:val="24"/>
          <w:szCs w:val="24"/>
          <w:highlight w:val="none"/>
        </w:rPr>
        <w:fldChar w:fldCharType="end"/>
      </w:r>
      <w:r>
        <w:rPr>
          <w:rFonts w:ascii="Times New Roman" w:hAnsi="Times New Roman"/>
          <w:color w:val="auto"/>
          <w:sz w:val="24"/>
          <w:szCs w:val="24"/>
          <w:highlight w:val="none"/>
        </w:rPr>
        <w:fldChar w:fldCharType="end"/>
      </w:r>
    </w:p>
    <w:p w14:paraId="7EAD5411">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_Toc19886 </w:instrText>
      </w:r>
      <w:r>
        <w:rPr>
          <w:rFonts w:ascii="Times New Roman" w:hAnsi="Times New Roman"/>
          <w:color w:val="auto"/>
          <w:sz w:val="24"/>
          <w:szCs w:val="24"/>
          <w:highlight w:val="none"/>
        </w:rPr>
        <w:fldChar w:fldCharType="separate"/>
      </w:r>
      <w:r>
        <w:rPr>
          <w:rFonts w:hint="eastAsia"/>
          <w:bCs/>
          <w:color w:val="auto"/>
          <w:sz w:val="24"/>
          <w:szCs w:val="24"/>
          <w:highlight w:val="none"/>
        </w:rPr>
        <w:t>五、其他要求：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_Toc19886 \h </w:instrText>
      </w:r>
      <w:r>
        <w:rPr>
          <w:color w:val="auto"/>
          <w:sz w:val="24"/>
          <w:szCs w:val="24"/>
          <w:highlight w:val="none"/>
        </w:rPr>
        <w:fldChar w:fldCharType="separate"/>
      </w:r>
      <w:r>
        <w:rPr>
          <w:color w:val="auto"/>
          <w:sz w:val="24"/>
          <w:szCs w:val="24"/>
          <w:highlight w:val="none"/>
        </w:rPr>
        <w:t>27</w:t>
      </w:r>
      <w:r>
        <w:rPr>
          <w:color w:val="auto"/>
          <w:sz w:val="24"/>
          <w:szCs w:val="24"/>
          <w:highlight w:val="none"/>
        </w:rPr>
        <w:fldChar w:fldCharType="end"/>
      </w:r>
      <w:r>
        <w:rPr>
          <w:rFonts w:ascii="Times New Roman" w:hAnsi="Times New Roman"/>
          <w:color w:val="auto"/>
          <w:sz w:val="24"/>
          <w:szCs w:val="24"/>
          <w:highlight w:val="none"/>
        </w:rPr>
        <w:fldChar w:fldCharType="end"/>
      </w:r>
    </w:p>
    <w:p w14:paraId="56CCF20F">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_Toc12423 </w:instrText>
      </w:r>
      <w:r>
        <w:rPr>
          <w:rFonts w:ascii="Times New Roman" w:hAnsi="Times New Roman"/>
          <w:color w:val="auto"/>
          <w:sz w:val="24"/>
          <w:szCs w:val="24"/>
          <w:highlight w:val="none"/>
        </w:rPr>
        <w:fldChar w:fldCharType="separate"/>
      </w:r>
      <w:r>
        <w:rPr>
          <w:rFonts w:hint="eastAsia"/>
          <w:bCs/>
          <w:color w:val="auto"/>
          <w:sz w:val="24"/>
          <w:szCs w:val="24"/>
          <w:highlight w:val="none"/>
        </w:rPr>
        <w:t>六、附件：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_Toc12423 \h </w:instrText>
      </w:r>
      <w:r>
        <w:rPr>
          <w:color w:val="auto"/>
          <w:sz w:val="24"/>
          <w:szCs w:val="24"/>
          <w:highlight w:val="none"/>
        </w:rPr>
        <w:fldChar w:fldCharType="separate"/>
      </w:r>
      <w:r>
        <w:rPr>
          <w:color w:val="auto"/>
          <w:sz w:val="24"/>
          <w:szCs w:val="24"/>
          <w:highlight w:val="none"/>
        </w:rPr>
        <w:t>27</w:t>
      </w:r>
      <w:r>
        <w:rPr>
          <w:color w:val="auto"/>
          <w:sz w:val="24"/>
          <w:szCs w:val="24"/>
          <w:highlight w:val="none"/>
        </w:rPr>
        <w:fldChar w:fldCharType="end"/>
      </w:r>
      <w:r>
        <w:rPr>
          <w:rFonts w:ascii="Times New Roman" w:hAnsi="Times New Roman"/>
          <w:color w:val="auto"/>
          <w:sz w:val="24"/>
          <w:szCs w:val="24"/>
          <w:highlight w:val="none"/>
        </w:rPr>
        <w:fldChar w:fldCharType="end"/>
      </w:r>
    </w:p>
    <w:p w14:paraId="457CC6C9">
      <w:pPr>
        <w:pStyle w:val="38"/>
        <w:tabs>
          <w:tab w:val="right" w:leader="dot" w:pos="9660"/>
        </w:tabs>
        <w:rPr>
          <w:b/>
          <w:bCs/>
          <w:color w:val="auto"/>
          <w:sz w:val="28"/>
          <w:szCs w:val="28"/>
          <w:highlight w:val="none"/>
        </w:rPr>
      </w:pPr>
      <w:r>
        <w:rPr>
          <w:rFonts w:ascii="Times New Roman" w:hAnsi="Times New Roman"/>
          <w:b/>
          <w:bCs/>
          <w:color w:val="auto"/>
          <w:sz w:val="28"/>
          <w:szCs w:val="28"/>
          <w:highlight w:val="none"/>
        </w:rPr>
        <w:fldChar w:fldCharType="begin"/>
      </w:r>
      <w:r>
        <w:rPr>
          <w:rFonts w:ascii="Times New Roman" w:hAnsi="Times New Roman"/>
          <w:b/>
          <w:bCs/>
          <w:color w:val="auto"/>
          <w:sz w:val="28"/>
          <w:szCs w:val="28"/>
          <w:highlight w:val="none"/>
        </w:rPr>
        <w:instrText xml:space="preserve"> HYPERLINK \l _Toc4113 </w:instrText>
      </w:r>
      <w:r>
        <w:rPr>
          <w:rFonts w:ascii="Times New Roman" w:hAnsi="Times New Roman"/>
          <w:b/>
          <w:bCs/>
          <w:color w:val="auto"/>
          <w:sz w:val="28"/>
          <w:szCs w:val="28"/>
          <w:highlight w:val="none"/>
        </w:rPr>
        <w:fldChar w:fldCharType="separate"/>
      </w:r>
      <w:r>
        <w:rPr>
          <w:rFonts w:ascii="Times New Roman" w:hAnsi="Times New Roman"/>
          <w:b/>
          <w:bCs/>
          <w:color w:val="auto"/>
          <w:sz w:val="28"/>
          <w:szCs w:val="28"/>
          <w:highlight w:val="none"/>
        </w:rPr>
        <w:t>第五章</w:t>
      </w:r>
      <w:r>
        <w:rPr>
          <w:rFonts w:hint="eastAsia" w:ascii="Times New Roman" w:hAnsi="Times New Roman"/>
          <w:b/>
          <w:bCs/>
          <w:color w:val="auto"/>
          <w:sz w:val="28"/>
          <w:szCs w:val="28"/>
          <w:highlight w:val="none"/>
        </w:rPr>
        <w:t xml:space="preserve"> 评标方法与评标标准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_Toc4113 \h </w:instrText>
      </w:r>
      <w:r>
        <w:rPr>
          <w:b/>
          <w:bCs/>
          <w:color w:val="auto"/>
          <w:sz w:val="28"/>
          <w:szCs w:val="28"/>
          <w:highlight w:val="none"/>
        </w:rPr>
        <w:fldChar w:fldCharType="separate"/>
      </w:r>
      <w:r>
        <w:rPr>
          <w:b/>
          <w:bCs/>
          <w:color w:val="auto"/>
          <w:sz w:val="28"/>
          <w:szCs w:val="28"/>
          <w:highlight w:val="none"/>
        </w:rPr>
        <w:t>29</w:t>
      </w:r>
      <w:r>
        <w:rPr>
          <w:b/>
          <w:bCs/>
          <w:color w:val="auto"/>
          <w:sz w:val="28"/>
          <w:szCs w:val="28"/>
          <w:highlight w:val="none"/>
        </w:rPr>
        <w:fldChar w:fldCharType="end"/>
      </w:r>
      <w:r>
        <w:rPr>
          <w:rFonts w:ascii="Times New Roman" w:hAnsi="Times New Roman"/>
          <w:b/>
          <w:bCs/>
          <w:color w:val="auto"/>
          <w:sz w:val="28"/>
          <w:szCs w:val="28"/>
          <w:highlight w:val="none"/>
        </w:rPr>
        <w:fldChar w:fldCharType="end"/>
      </w:r>
    </w:p>
    <w:p w14:paraId="0CBCE82B">
      <w:pPr>
        <w:pStyle w:val="38"/>
        <w:tabs>
          <w:tab w:val="right" w:leader="dot" w:pos="9660"/>
        </w:tabs>
        <w:rPr>
          <w:b/>
          <w:bCs/>
          <w:color w:val="auto"/>
          <w:sz w:val="28"/>
          <w:szCs w:val="28"/>
          <w:highlight w:val="none"/>
        </w:rPr>
      </w:pPr>
      <w:r>
        <w:rPr>
          <w:rFonts w:ascii="Times New Roman" w:hAnsi="Times New Roman"/>
          <w:b/>
          <w:bCs/>
          <w:color w:val="auto"/>
          <w:sz w:val="28"/>
          <w:szCs w:val="28"/>
          <w:highlight w:val="none"/>
        </w:rPr>
        <w:fldChar w:fldCharType="begin"/>
      </w:r>
      <w:r>
        <w:rPr>
          <w:rFonts w:ascii="Times New Roman" w:hAnsi="Times New Roman"/>
          <w:b/>
          <w:bCs/>
          <w:color w:val="auto"/>
          <w:sz w:val="28"/>
          <w:szCs w:val="28"/>
          <w:highlight w:val="none"/>
        </w:rPr>
        <w:instrText xml:space="preserve"> HYPERLINK \l _Toc17953 </w:instrText>
      </w:r>
      <w:r>
        <w:rPr>
          <w:rFonts w:ascii="Times New Roman" w:hAnsi="Times New Roman"/>
          <w:b/>
          <w:bCs/>
          <w:color w:val="auto"/>
          <w:sz w:val="28"/>
          <w:szCs w:val="28"/>
          <w:highlight w:val="none"/>
        </w:rPr>
        <w:fldChar w:fldCharType="separate"/>
      </w:r>
      <w:r>
        <w:rPr>
          <w:rFonts w:ascii="Times New Roman" w:hAnsi="Times New Roman"/>
          <w:b/>
          <w:bCs/>
          <w:color w:val="auto"/>
          <w:sz w:val="28"/>
          <w:szCs w:val="28"/>
          <w:highlight w:val="none"/>
        </w:rPr>
        <w:t>第</w:t>
      </w:r>
      <w:r>
        <w:rPr>
          <w:rFonts w:hint="eastAsia" w:ascii="Times New Roman" w:hAnsi="Times New Roman"/>
          <w:b/>
          <w:bCs/>
          <w:color w:val="auto"/>
          <w:sz w:val="28"/>
          <w:szCs w:val="28"/>
          <w:highlight w:val="none"/>
        </w:rPr>
        <w:t>六</w:t>
      </w:r>
      <w:r>
        <w:rPr>
          <w:rFonts w:ascii="Times New Roman" w:hAnsi="Times New Roman"/>
          <w:b/>
          <w:bCs/>
          <w:color w:val="auto"/>
          <w:sz w:val="28"/>
          <w:szCs w:val="28"/>
          <w:highlight w:val="none"/>
        </w:rPr>
        <w:t>章</w:t>
      </w:r>
      <w:r>
        <w:rPr>
          <w:rFonts w:hint="eastAsia" w:ascii="Times New Roman" w:hAnsi="Times New Roman"/>
          <w:b/>
          <w:bCs/>
          <w:color w:val="auto"/>
          <w:sz w:val="28"/>
          <w:szCs w:val="28"/>
          <w:highlight w:val="none"/>
        </w:rPr>
        <w:t xml:space="preserve"> 投标文件格式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_Toc17953 \h </w:instrText>
      </w:r>
      <w:r>
        <w:rPr>
          <w:b/>
          <w:bCs/>
          <w:color w:val="auto"/>
          <w:sz w:val="28"/>
          <w:szCs w:val="28"/>
          <w:highlight w:val="none"/>
        </w:rPr>
        <w:fldChar w:fldCharType="separate"/>
      </w:r>
      <w:r>
        <w:rPr>
          <w:b/>
          <w:bCs/>
          <w:color w:val="auto"/>
          <w:sz w:val="28"/>
          <w:szCs w:val="28"/>
          <w:highlight w:val="none"/>
        </w:rPr>
        <w:t>33</w:t>
      </w:r>
      <w:r>
        <w:rPr>
          <w:b/>
          <w:bCs/>
          <w:color w:val="auto"/>
          <w:sz w:val="28"/>
          <w:szCs w:val="28"/>
          <w:highlight w:val="none"/>
        </w:rPr>
        <w:fldChar w:fldCharType="end"/>
      </w:r>
      <w:r>
        <w:rPr>
          <w:rFonts w:ascii="Times New Roman" w:hAnsi="Times New Roman"/>
          <w:b/>
          <w:bCs/>
          <w:color w:val="auto"/>
          <w:sz w:val="28"/>
          <w:szCs w:val="28"/>
          <w:highlight w:val="none"/>
        </w:rPr>
        <w:fldChar w:fldCharType="end"/>
      </w:r>
    </w:p>
    <w:p w14:paraId="746E6E1B">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_Toc7962 </w:instrText>
      </w:r>
      <w:r>
        <w:rPr>
          <w:rFonts w:ascii="Times New Roman" w:hAnsi="Times New Roman"/>
          <w:color w:val="auto"/>
          <w:sz w:val="24"/>
          <w:szCs w:val="24"/>
          <w:highlight w:val="none"/>
        </w:rPr>
        <w:fldChar w:fldCharType="separate"/>
      </w:r>
      <w:r>
        <w:rPr>
          <w:rFonts w:hint="eastAsia"/>
          <w:color w:val="auto"/>
          <w:sz w:val="24"/>
          <w:szCs w:val="24"/>
          <w:highlight w:val="none"/>
        </w:rPr>
        <w:t>附件</w:t>
      </w:r>
      <w:r>
        <w:rPr>
          <w:color w:val="auto"/>
          <w:sz w:val="24"/>
          <w:szCs w:val="24"/>
          <w:highlight w:val="none"/>
        </w:rPr>
        <w:t>1开标一览表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_Toc7962 \h </w:instrText>
      </w:r>
      <w:r>
        <w:rPr>
          <w:color w:val="auto"/>
          <w:sz w:val="24"/>
          <w:szCs w:val="24"/>
          <w:highlight w:val="none"/>
        </w:rPr>
        <w:fldChar w:fldCharType="separate"/>
      </w:r>
      <w:r>
        <w:rPr>
          <w:color w:val="auto"/>
          <w:sz w:val="24"/>
          <w:szCs w:val="24"/>
          <w:highlight w:val="none"/>
        </w:rPr>
        <w:t>35</w:t>
      </w:r>
      <w:r>
        <w:rPr>
          <w:color w:val="auto"/>
          <w:sz w:val="24"/>
          <w:szCs w:val="24"/>
          <w:highlight w:val="none"/>
        </w:rPr>
        <w:fldChar w:fldCharType="end"/>
      </w:r>
      <w:r>
        <w:rPr>
          <w:rFonts w:ascii="Times New Roman" w:hAnsi="Times New Roman"/>
          <w:color w:val="auto"/>
          <w:sz w:val="24"/>
          <w:szCs w:val="24"/>
          <w:highlight w:val="none"/>
        </w:rPr>
        <w:fldChar w:fldCharType="end"/>
      </w:r>
    </w:p>
    <w:p w14:paraId="42E1E53C">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_Toc30498 </w:instrText>
      </w:r>
      <w:r>
        <w:rPr>
          <w:rFonts w:ascii="Times New Roman" w:hAnsi="Times New Roman"/>
          <w:color w:val="auto"/>
          <w:sz w:val="24"/>
          <w:szCs w:val="24"/>
          <w:highlight w:val="none"/>
        </w:rPr>
        <w:fldChar w:fldCharType="separate"/>
      </w:r>
      <w:r>
        <w:rPr>
          <w:rFonts w:hint="eastAsia" w:ascii="Times New Roman" w:hAnsi="Times New Roman" w:eastAsia="宋体" w:cs="Times New Roman"/>
          <w:color w:val="auto"/>
          <w:sz w:val="24"/>
          <w:szCs w:val="24"/>
          <w:highlight w:val="none"/>
        </w:rPr>
        <w:t>附件</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 xml:space="preserve"> 报价明细表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_Toc30498 \h </w:instrText>
      </w:r>
      <w:r>
        <w:rPr>
          <w:color w:val="auto"/>
          <w:sz w:val="24"/>
          <w:szCs w:val="24"/>
          <w:highlight w:val="none"/>
        </w:rPr>
        <w:fldChar w:fldCharType="separate"/>
      </w:r>
      <w:r>
        <w:rPr>
          <w:color w:val="auto"/>
          <w:sz w:val="24"/>
          <w:szCs w:val="24"/>
          <w:highlight w:val="none"/>
        </w:rPr>
        <w:t>36</w:t>
      </w:r>
      <w:r>
        <w:rPr>
          <w:color w:val="auto"/>
          <w:sz w:val="24"/>
          <w:szCs w:val="24"/>
          <w:highlight w:val="none"/>
        </w:rPr>
        <w:fldChar w:fldCharType="end"/>
      </w:r>
      <w:r>
        <w:rPr>
          <w:rFonts w:ascii="Times New Roman" w:hAnsi="Times New Roman"/>
          <w:color w:val="auto"/>
          <w:sz w:val="24"/>
          <w:szCs w:val="24"/>
          <w:highlight w:val="none"/>
        </w:rPr>
        <w:fldChar w:fldCharType="end"/>
      </w:r>
    </w:p>
    <w:p w14:paraId="078A81B5">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_Toc2279 </w:instrText>
      </w:r>
      <w:r>
        <w:rPr>
          <w:rFonts w:ascii="Times New Roman" w:hAnsi="Times New Roman"/>
          <w:color w:val="auto"/>
          <w:sz w:val="24"/>
          <w:szCs w:val="24"/>
          <w:highlight w:val="none"/>
        </w:rPr>
        <w:fldChar w:fldCharType="separate"/>
      </w:r>
      <w:r>
        <w:rPr>
          <w:rFonts w:hint="eastAsia" w:ascii="Times New Roman"/>
          <w:bCs/>
          <w:color w:val="auto"/>
          <w:sz w:val="24"/>
          <w:szCs w:val="24"/>
          <w:highlight w:val="none"/>
        </w:rPr>
        <w:t>附件</w:t>
      </w:r>
      <w:r>
        <w:rPr>
          <w:rFonts w:hint="eastAsia" w:ascii="Times New Roman"/>
          <w:bCs/>
          <w:color w:val="auto"/>
          <w:sz w:val="24"/>
          <w:szCs w:val="24"/>
          <w:highlight w:val="none"/>
          <w:lang w:val="en-US" w:eastAsia="zh-CN"/>
        </w:rPr>
        <w:t>3</w:t>
      </w:r>
      <w:r>
        <w:rPr>
          <w:rFonts w:hint="eastAsia" w:ascii="Times New Roman"/>
          <w:bCs/>
          <w:color w:val="auto"/>
          <w:sz w:val="24"/>
          <w:szCs w:val="24"/>
          <w:highlight w:val="none"/>
        </w:rPr>
        <w:t>投标人资格声明函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_Toc2279 \h </w:instrText>
      </w:r>
      <w:r>
        <w:rPr>
          <w:color w:val="auto"/>
          <w:sz w:val="24"/>
          <w:szCs w:val="24"/>
          <w:highlight w:val="none"/>
        </w:rPr>
        <w:fldChar w:fldCharType="separate"/>
      </w:r>
      <w:r>
        <w:rPr>
          <w:color w:val="auto"/>
          <w:sz w:val="24"/>
          <w:szCs w:val="24"/>
          <w:highlight w:val="none"/>
        </w:rPr>
        <w:t>37</w:t>
      </w:r>
      <w:r>
        <w:rPr>
          <w:color w:val="auto"/>
          <w:sz w:val="24"/>
          <w:szCs w:val="24"/>
          <w:highlight w:val="none"/>
        </w:rPr>
        <w:fldChar w:fldCharType="end"/>
      </w:r>
      <w:r>
        <w:rPr>
          <w:rFonts w:ascii="Times New Roman" w:hAnsi="Times New Roman"/>
          <w:color w:val="auto"/>
          <w:sz w:val="24"/>
          <w:szCs w:val="24"/>
          <w:highlight w:val="none"/>
        </w:rPr>
        <w:fldChar w:fldCharType="end"/>
      </w:r>
    </w:p>
    <w:p w14:paraId="14BF76E4">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_Toc32239 </w:instrText>
      </w:r>
      <w:r>
        <w:rPr>
          <w:rFonts w:ascii="Times New Roman" w:hAnsi="Times New Roman"/>
          <w:color w:val="auto"/>
          <w:sz w:val="24"/>
          <w:szCs w:val="24"/>
          <w:highlight w:val="none"/>
        </w:rPr>
        <w:fldChar w:fldCharType="separate"/>
      </w:r>
      <w:r>
        <w:rPr>
          <w:rFonts w:hint="eastAsia" w:ascii="Times New Roman"/>
          <w:bCs/>
          <w:color w:val="auto"/>
          <w:sz w:val="24"/>
          <w:szCs w:val="24"/>
          <w:highlight w:val="none"/>
        </w:rPr>
        <w:t>附件</w:t>
      </w:r>
      <w:r>
        <w:rPr>
          <w:rFonts w:hint="eastAsia" w:ascii="Times New Roman"/>
          <w:bCs/>
          <w:color w:val="auto"/>
          <w:sz w:val="24"/>
          <w:szCs w:val="24"/>
          <w:highlight w:val="none"/>
          <w:lang w:val="en-US" w:eastAsia="zh-CN"/>
        </w:rPr>
        <w:t>4</w:t>
      </w:r>
      <w:r>
        <w:rPr>
          <w:rFonts w:hint="eastAsia" w:ascii="Times New Roman"/>
          <w:bCs/>
          <w:color w:val="auto"/>
          <w:sz w:val="24"/>
          <w:szCs w:val="24"/>
          <w:highlight w:val="none"/>
        </w:rPr>
        <w:t>中小企业声明函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_Toc32239 \h </w:instrText>
      </w:r>
      <w:r>
        <w:rPr>
          <w:color w:val="auto"/>
          <w:sz w:val="24"/>
          <w:szCs w:val="24"/>
          <w:highlight w:val="none"/>
        </w:rPr>
        <w:fldChar w:fldCharType="separate"/>
      </w:r>
      <w:r>
        <w:rPr>
          <w:color w:val="auto"/>
          <w:sz w:val="24"/>
          <w:szCs w:val="24"/>
          <w:highlight w:val="none"/>
        </w:rPr>
        <w:t>38</w:t>
      </w:r>
      <w:r>
        <w:rPr>
          <w:color w:val="auto"/>
          <w:sz w:val="24"/>
          <w:szCs w:val="24"/>
          <w:highlight w:val="none"/>
        </w:rPr>
        <w:fldChar w:fldCharType="end"/>
      </w:r>
      <w:r>
        <w:rPr>
          <w:rFonts w:ascii="Times New Roman" w:hAnsi="Times New Roman"/>
          <w:color w:val="auto"/>
          <w:sz w:val="24"/>
          <w:szCs w:val="24"/>
          <w:highlight w:val="none"/>
        </w:rPr>
        <w:fldChar w:fldCharType="end"/>
      </w:r>
    </w:p>
    <w:p w14:paraId="3697BEFC">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_Toc30717 </w:instrText>
      </w:r>
      <w:r>
        <w:rPr>
          <w:rFonts w:ascii="Times New Roman" w:hAnsi="Times New Roman"/>
          <w:color w:val="auto"/>
          <w:sz w:val="24"/>
          <w:szCs w:val="24"/>
          <w:highlight w:val="none"/>
        </w:rPr>
        <w:fldChar w:fldCharType="separate"/>
      </w:r>
      <w:r>
        <w:rPr>
          <w:rFonts w:hint="eastAsia" w:ascii="Times New Roman"/>
          <w:bCs/>
          <w:color w:val="auto"/>
          <w:sz w:val="24"/>
          <w:szCs w:val="24"/>
          <w:highlight w:val="none"/>
        </w:rPr>
        <w:t>附件</w:t>
      </w:r>
      <w:r>
        <w:rPr>
          <w:rFonts w:hint="eastAsia" w:ascii="Times New Roman"/>
          <w:bCs/>
          <w:color w:val="auto"/>
          <w:sz w:val="24"/>
          <w:szCs w:val="24"/>
          <w:highlight w:val="none"/>
          <w:lang w:val="en-US" w:eastAsia="zh-CN"/>
        </w:rPr>
        <w:t>5</w:t>
      </w:r>
      <w:r>
        <w:rPr>
          <w:rFonts w:hint="eastAsia" w:ascii="Times New Roman"/>
          <w:bCs/>
          <w:color w:val="auto"/>
          <w:sz w:val="24"/>
          <w:szCs w:val="24"/>
          <w:highlight w:val="none"/>
        </w:rPr>
        <w:t>残疾人福利性单位声明函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_Toc30717 \h </w:instrText>
      </w:r>
      <w:r>
        <w:rPr>
          <w:color w:val="auto"/>
          <w:sz w:val="24"/>
          <w:szCs w:val="24"/>
          <w:highlight w:val="none"/>
        </w:rPr>
        <w:fldChar w:fldCharType="separate"/>
      </w:r>
      <w:r>
        <w:rPr>
          <w:color w:val="auto"/>
          <w:sz w:val="24"/>
          <w:szCs w:val="24"/>
          <w:highlight w:val="none"/>
        </w:rPr>
        <w:t>39</w:t>
      </w:r>
      <w:r>
        <w:rPr>
          <w:color w:val="auto"/>
          <w:sz w:val="24"/>
          <w:szCs w:val="24"/>
          <w:highlight w:val="none"/>
        </w:rPr>
        <w:fldChar w:fldCharType="end"/>
      </w:r>
      <w:r>
        <w:rPr>
          <w:rFonts w:ascii="Times New Roman" w:hAnsi="Times New Roman"/>
          <w:color w:val="auto"/>
          <w:sz w:val="24"/>
          <w:szCs w:val="24"/>
          <w:highlight w:val="none"/>
        </w:rPr>
        <w:fldChar w:fldCharType="end"/>
      </w:r>
    </w:p>
    <w:p w14:paraId="418F16D7">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_Toc13775 </w:instrText>
      </w:r>
      <w:r>
        <w:rPr>
          <w:rFonts w:ascii="Times New Roman" w:hAnsi="Times New Roman"/>
          <w:color w:val="auto"/>
          <w:sz w:val="24"/>
          <w:szCs w:val="24"/>
          <w:highlight w:val="none"/>
        </w:rPr>
        <w:fldChar w:fldCharType="separate"/>
      </w:r>
      <w:r>
        <w:rPr>
          <w:rFonts w:hint="eastAsia"/>
          <w:color w:val="auto"/>
          <w:sz w:val="24"/>
          <w:szCs w:val="24"/>
          <w:highlight w:val="none"/>
        </w:rPr>
        <w:t>附件</w:t>
      </w:r>
      <w:r>
        <w:rPr>
          <w:rFonts w:hint="eastAsia"/>
          <w:color w:val="auto"/>
          <w:sz w:val="24"/>
          <w:szCs w:val="24"/>
          <w:highlight w:val="none"/>
          <w:lang w:val="en-US" w:eastAsia="zh-CN"/>
        </w:rPr>
        <w:t>6</w:t>
      </w:r>
      <w:r>
        <w:rPr>
          <w:rFonts w:hint="eastAsia"/>
          <w:color w:val="auto"/>
          <w:sz w:val="24"/>
          <w:szCs w:val="24"/>
          <w:highlight w:val="none"/>
          <w:lang w:eastAsia="zh-CN"/>
        </w:rPr>
        <w:t>授权书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_Toc13775 \h </w:instrText>
      </w:r>
      <w:r>
        <w:rPr>
          <w:color w:val="auto"/>
          <w:sz w:val="24"/>
          <w:szCs w:val="24"/>
          <w:highlight w:val="none"/>
        </w:rPr>
        <w:fldChar w:fldCharType="separate"/>
      </w:r>
      <w:r>
        <w:rPr>
          <w:color w:val="auto"/>
          <w:sz w:val="24"/>
          <w:szCs w:val="24"/>
          <w:highlight w:val="none"/>
        </w:rPr>
        <w:t>40</w:t>
      </w:r>
      <w:r>
        <w:rPr>
          <w:color w:val="auto"/>
          <w:sz w:val="24"/>
          <w:szCs w:val="24"/>
          <w:highlight w:val="none"/>
        </w:rPr>
        <w:fldChar w:fldCharType="end"/>
      </w:r>
      <w:r>
        <w:rPr>
          <w:rFonts w:ascii="Times New Roman" w:hAnsi="Times New Roman"/>
          <w:color w:val="auto"/>
          <w:sz w:val="24"/>
          <w:szCs w:val="24"/>
          <w:highlight w:val="none"/>
        </w:rPr>
        <w:fldChar w:fldCharType="end"/>
      </w:r>
    </w:p>
    <w:p w14:paraId="313BB199">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_Toc4633 </w:instrText>
      </w:r>
      <w:r>
        <w:rPr>
          <w:rFonts w:ascii="Times New Roman" w:hAnsi="Times New Roman"/>
          <w:color w:val="auto"/>
          <w:sz w:val="24"/>
          <w:szCs w:val="24"/>
          <w:highlight w:val="none"/>
        </w:rPr>
        <w:fldChar w:fldCharType="separate"/>
      </w:r>
      <w:r>
        <w:rPr>
          <w:rFonts w:hint="eastAsia"/>
          <w:color w:val="auto"/>
          <w:sz w:val="24"/>
          <w:szCs w:val="24"/>
          <w:highlight w:val="none"/>
        </w:rPr>
        <w:t>附件</w:t>
      </w:r>
      <w:r>
        <w:rPr>
          <w:rFonts w:hint="eastAsia"/>
          <w:color w:val="auto"/>
          <w:sz w:val="24"/>
          <w:szCs w:val="24"/>
          <w:highlight w:val="none"/>
          <w:lang w:val="en-US" w:eastAsia="zh-CN"/>
        </w:rPr>
        <w:t>7</w:t>
      </w:r>
      <w:r>
        <w:rPr>
          <w:color w:val="auto"/>
          <w:sz w:val="24"/>
          <w:szCs w:val="24"/>
          <w:highlight w:val="none"/>
        </w:rPr>
        <w:t>投标函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_Toc4633 \h </w:instrText>
      </w:r>
      <w:r>
        <w:rPr>
          <w:color w:val="auto"/>
          <w:sz w:val="24"/>
          <w:szCs w:val="24"/>
          <w:highlight w:val="none"/>
        </w:rPr>
        <w:fldChar w:fldCharType="separate"/>
      </w:r>
      <w:r>
        <w:rPr>
          <w:color w:val="auto"/>
          <w:sz w:val="24"/>
          <w:szCs w:val="24"/>
          <w:highlight w:val="none"/>
        </w:rPr>
        <w:t>41</w:t>
      </w:r>
      <w:r>
        <w:rPr>
          <w:color w:val="auto"/>
          <w:sz w:val="24"/>
          <w:szCs w:val="24"/>
          <w:highlight w:val="none"/>
        </w:rPr>
        <w:fldChar w:fldCharType="end"/>
      </w:r>
      <w:r>
        <w:rPr>
          <w:rFonts w:ascii="Times New Roman" w:hAnsi="Times New Roman"/>
          <w:color w:val="auto"/>
          <w:sz w:val="24"/>
          <w:szCs w:val="24"/>
          <w:highlight w:val="none"/>
        </w:rPr>
        <w:fldChar w:fldCharType="end"/>
      </w:r>
    </w:p>
    <w:p w14:paraId="07EF9E0E">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_Toc12012 </w:instrText>
      </w:r>
      <w:r>
        <w:rPr>
          <w:rFonts w:ascii="Times New Roman" w:hAnsi="Times New Roman"/>
          <w:color w:val="auto"/>
          <w:sz w:val="24"/>
          <w:szCs w:val="24"/>
          <w:highlight w:val="none"/>
        </w:rPr>
        <w:fldChar w:fldCharType="separate"/>
      </w:r>
      <w:r>
        <w:rPr>
          <w:rFonts w:hint="eastAsia"/>
          <w:color w:val="auto"/>
          <w:sz w:val="24"/>
          <w:szCs w:val="24"/>
          <w:highlight w:val="none"/>
        </w:rPr>
        <w:t>附件</w:t>
      </w:r>
      <w:r>
        <w:rPr>
          <w:rFonts w:hint="eastAsia"/>
          <w:color w:val="auto"/>
          <w:sz w:val="24"/>
          <w:szCs w:val="24"/>
          <w:highlight w:val="none"/>
          <w:lang w:val="en-US" w:eastAsia="zh-CN"/>
        </w:rPr>
        <w:t>8</w:t>
      </w:r>
      <w:r>
        <w:rPr>
          <w:rFonts w:hint="eastAsia"/>
          <w:color w:val="auto"/>
          <w:sz w:val="24"/>
          <w:szCs w:val="24"/>
          <w:highlight w:val="none"/>
        </w:rPr>
        <w:t>实质性要求响应及偏离表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_Toc12012 \h </w:instrText>
      </w:r>
      <w:r>
        <w:rPr>
          <w:color w:val="auto"/>
          <w:sz w:val="24"/>
          <w:szCs w:val="24"/>
          <w:highlight w:val="none"/>
        </w:rPr>
        <w:fldChar w:fldCharType="separate"/>
      </w:r>
      <w:r>
        <w:rPr>
          <w:color w:val="auto"/>
          <w:sz w:val="24"/>
          <w:szCs w:val="24"/>
          <w:highlight w:val="none"/>
        </w:rPr>
        <w:t>42</w:t>
      </w:r>
      <w:r>
        <w:rPr>
          <w:color w:val="auto"/>
          <w:sz w:val="24"/>
          <w:szCs w:val="24"/>
          <w:highlight w:val="none"/>
        </w:rPr>
        <w:fldChar w:fldCharType="end"/>
      </w:r>
      <w:r>
        <w:rPr>
          <w:rFonts w:ascii="Times New Roman" w:hAnsi="Times New Roman"/>
          <w:color w:val="auto"/>
          <w:sz w:val="24"/>
          <w:szCs w:val="24"/>
          <w:highlight w:val="none"/>
        </w:rPr>
        <w:fldChar w:fldCharType="end"/>
      </w:r>
    </w:p>
    <w:p w14:paraId="180CA1BF">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_Toc10899 </w:instrText>
      </w:r>
      <w:r>
        <w:rPr>
          <w:rFonts w:ascii="Times New Roman" w:hAnsi="Times New Roman"/>
          <w:color w:val="auto"/>
          <w:sz w:val="24"/>
          <w:szCs w:val="24"/>
          <w:highlight w:val="none"/>
        </w:rPr>
        <w:fldChar w:fldCharType="separate"/>
      </w:r>
      <w:r>
        <w:rPr>
          <w:rFonts w:hint="eastAsia"/>
          <w:color w:val="auto"/>
          <w:sz w:val="24"/>
          <w:szCs w:val="24"/>
          <w:highlight w:val="none"/>
        </w:rPr>
        <w:t>附件</w:t>
      </w:r>
      <w:r>
        <w:rPr>
          <w:rFonts w:hint="eastAsia"/>
          <w:color w:val="auto"/>
          <w:sz w:val="24"/>
          <w:szCs w:val="24"/>
          <w:highlight w:val="none"/>
          <w:lang w:val="en-US" w:eastAsia="zh-CN"/>
        </w:rPr>
        <w:t>9</w:t>
      </w:r>
      <w:r>
        <w:rPr>
          <w:bCs w:val="0"/>
          <w:color w:val="auto"/>
          <w:sz w:val="24"/>
          <w:szCs w:val="24"/>
          <w:highlight w:val="none"/>
        </w:rPr>
        <w:t>项目服务要求响应及偏离表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_Toc10899 \h </w:instrText>
      </w:r>
      <w:r>
        <w:rPr>
          <w:color w:val="auto"/>
          <w:sz w:val="24"/>
          <w:szCs w:val="24"/>
          <w:highlight w:val="none"/>
        </w:rPr>
        <w:fldChar w:fldCharType="separate"/>
      </w:r>
      <w:r>
        <w:rPr>
          <w:color w:val="auto"/>
          <w:sz w:val="24"/>
          <w:szCs w:val="24"/>
          <w:highlight w:val="none"/>
        </w:rPr>
        <w:t>43</w:t>
      </w:r>
      <w:r>
        <w:rPr>
          <w:color w:val="auto"/>
          <w:sz w:val="24"/>
          <w:szCs w:val="24"/>
          <w:highlight w:val="none"/>
        </w:rPr>
        <w:fldChar w:fldCharType="end"/>
      </w:r>
      <w:r>
        <w:rPr>
          <w:rFonts w:ascii="Times New Roman" w:hAnsi="Times New Roman"/>
          <w:color w:val="auto"/>
          <w:sz w:val="24"/>
          <w:szCs w:val="24"/>
          <w:highlight w:val="none"/>
        </w:rPr>
        <w:fldChar w:fldCharType="end"/>
      </w:r>
    </w:p>
    <w:p w14:paraId="3DE5DF30">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_Toc19374 </w:instrText>
      </w:r>
      <w:r>
        <w:rPr>
          <w:rFonts w:ascii="Times New Roman" w:hAnsi="Times New Roman"/>
          <w:color w:val="auto"/>
          <w:sz w:val="24"/>
          <w:szCs w:val="24"/>
          <w:highlight w:val="none"/>
        </w:rPr>
        <w:fldChar w:fldCharType="separate"/>
      </w:r>
      <w:r>
        <w:rPr>
          <w:rFonts w:hint="eastAsia"/>
          <w:color w:val="auto"/>
          <w:sz w:val="24"/>
          <w:szCs w:val="24"/>
          <w:highlight w:val="none"/>
        </w:rPr>
        <w:t>附件</w:t>
      </w:r>
      <w:r>
        <w:rPr>
          <w:rFonts w:hint="eastAsia"/>
          <w:color w:val="auto"/>
          <w:sz w:val="24"/>
          <w:szCs w:val="24"/>
          <w:highlight w:val="none"/>
          <w:lang w:val="en-US" w:eastAsia="zh-CN"/>
        </w:rPr>
        <w:t>10</w:t>
      </w:r>
      <w:r>
        <w:rPr>
          <w:rFonts w:hint="eastAsia"/>
          <w:color w:val="auto"/>
          <w:sz w:val="24"/>
          <w:szCs w:val="24"/>
          <w:highlight w:val="none"/>
        </w:rPr>
        <w:t xml:space="preserve"> </w:t>
      </w:r>
      <w:r>
        <w:rPr>
          <w:color w:val="auto"/>
          <w:sz w:val="24"/>
          <w:szCs w:val="24"/>
          <w:highlight w:val="none"/>
        </w:rPr>
        <w:t>投入要素明细表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_Toc19374 \h </w:instrText>
      </w:r>
      <w:r>
        <w:rPr>
          <w:color w:val="auto"/>
          <w:sz w:val="24"/>
          <w:szCs w:val="24"/>
          <w:highlight w:val="none"/>
        </w:rPr>
        <w:fldChar w:fldCharType="separate"/>
      </w:r>
      <w:r>
        <w:rPr>
          <w:color w:val="auto"/>
          <w:sz w:val="24"/>
          <w:szCs w:val="24"/>
          <w:highlight w:val="none"/>
        </w:rPr>
        <w:t>44</w:t>
      </w:r>
      <w:r>
        <w:rPr>
          <w:color w:val="auto"/>
          <w:sz w:val="24"/>
          <w:szCs w:val="24"/>
          <w:highlight w:val="none"/>
        </w:rPr>
        <w:fldChar w:fldCharType="end"/>
      </w:r>
      <w:r>
        <w:rPr>
          <w:rFonts w:ascii="Times New Roman" w:hAnsi="Times New Roman"/>
          <w:color w:val="auto"/>
          <w:sz w:val="24"/>
          <w:szCs w:val="24"/>
          <w:highlight w:val="none"/>
        </w:rPr>
        <w:fldChar w:fldCharType="end"/>
      </w:r>
    </w:p>
    <w:p w14:paraId="1D76BF2E">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_Toc19675 </w:instrText>
      </w:r>
      <w:r>
        <w:rPr>
          <w:rFonts w:ascii="Times New Roman" w:hAnsi="Times New Roman"/>
          <w:color w:val="auto"/>
          <w:sz w:val="24"/>
          <w:szCs w:val="24"/>
          <w:highlight w:val="none"/>
        </w:rPr>
        <w:fldChar w:fldCharType="separate"/>
      </w:r>
      <w:r>
        <w:rPr>
          <w:rFonts w:hint="eastAsia"/>
          <w:color w:val="auto"/>
          <w:sz w:val="24"/>
          <w:szCs w:val="24"/>
          <w:highlight w:val="none"/>
        </w:rPr>
        <w:t>附件</w:t>
      </w:r>
      <w:r>
        <w:rPr>
          <w:rFonts w:hint="eastAsia"/>
          <w:color w:val="auto"/>
          <w:sz w:val="24"/>
          <w:szCs w:val="24"/>
          <w:highlight w:val="none"/>
          <w:lang w:val="en-US" w:eastAsia="zh-CN"/>
        </w:rPr>
        <w:t>11</w:t>
      </w:r>
      <w:r>
        <w:rPr>
          <w:rFonts w:hint="eastAsia"/>
          <w:color w:val="auto"/>
          <w:sz w:val="24"/>
          <w:szCs w:val="24"/>
          <w:highlight w:val="none"/>
        </w:rPr>
        <w:t>项目服务方案</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_Toc19675 \h </w:instrText>
      </w:r>
      <w:r>
        <w:rPr>
          <w:color w:val="auto"/>
          <w:sz w:val="24"/>
          <w:szCs w:val="24"/>
          <w:highlight w:val="none"/>
        </w:rPr>
        <w:fldChar w:fldCharType="separate"/>
      </w:r>
      <w:r>
        <w:rPr>
          <w:color w:val="auto"/>
          <w:sz w:val="24"/>
          <w:szCs w:val="24"/>
          <w:highlight w:val="none"/>
        </w:rPr>
        <w:t>45</w:t>
      </w:r>
      <w:r>
        <w:rPr>
          <w:color w:val="auto"/>
          <w:sz w:val="24"/>
          <w:szCs w:val="24"/>
          <w:highlight w:val="none"/>
        </w:rPr>
        <w:fldChar w:fldCharType="end"/>
      </w:r>
      <w:r>
        <w:rPr>
          <w:rFonts w:ascii="Times New Roman" w:hAnsi="Times New Roman"/>
          <w:color w:val="auto"/>
          <w:sz w:val="24"/>
          <w:szCs w:val="24"/>
          <w:highlight w:val="none"/>
        </w:rPr>
        <w:fldChar w:fldCharType="end"/>
      </w:r>
    </w:p>
    <w:p w14:paraId="44C39CD2">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_Toc31176 </w:instrText>
      </w:r>
      <w:r>
        <w:rPr>
          <w:rFonts w:ascii="Times New Roman" w:hAnsi="Times New Roman"/>
          <w:color w:val="auto"/>
          <w:sz w:val="24"/>
          <w:szCs w:val="24"/>
          <w:highlight w:val="none"/>
        </w:rPr>
        <w:fldChar w:fldCharType="separate"/>
      </w:r>
      <w:r>
        <w:rPr>
          <w:rFonts w:hint="eastAsia" w:ascii="Times New Roman"/>
          <w:bCs/>
          <w:color w:val="auto"/>
          <w:sz w:val="24"/>
          <w:szCs w:val="24"/>
          <w:highlight w:val="none"/>
        </w:rPr>
        <w:t>附件</w:t>
      </w:r>
      <w:r>
        <w:rPr>
          <w:rFonts w:hint="eastAsia" w:ascii="Times New Roman"/>
          <w:bCs/>
          <w:color w:val="auto"/>
          <w:sz w:val="24"/>
          <w:szCs w:val="24"/>
          <w:highlight w:val="none"/>
          <w:lang w:val="en-US" w:eastAsia="zh-CN"/>
        </w:rPr>
        <w:t>12</w:t>
      </w:r>
      <w:r>
        <w:rPr>
          <w:rFonts w:hint="eastAsia" w:ascii="Times New Roman"/>
          <w:bCs/>
          <w:color w:val="auto"/>
          <w:sz w:val="24"/>
          <w:szCs w:val="24"/>
          <w:highlight w:val="none"/>
        </w:rPr>
        <w:t>商务条件响应及偏离表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_Toc31176 \h </w:instrText>
      </w:r>
      <w:r>
        <w:rPr>
          <w:color w:val="auto"/>
          <w:sz w:val="24"/>
          <w:szCs w:val="24"/>
          <w:highlight w:val="none"/>
        </w:rPr>
        <w:fldChar w:fldCharType="separate"/>
      </w:r>
      <w:r>
        <w:rPr>
          <w:color w:val="auto"/>
          <w:sz w:val="24"/>
          <w:szCs w:val="24"/>
          <w:highlight w:val="none"/>
        </w:rPr>
        <w:t>46</w:t>
      </w:r>
      <w:r>
        <w:rPr>
          <w:color w:val="auto"/>
          <w:sz w:val="24"/>
          <w:szCs w:val="24"/>
          <w:highlight w:val="none"/>
        </w:rPr>
        <w:fldChar w:fldCharType="end"/>
      </w:r>
      <w:r>
        <w:rPr>
          <w:rFonts w:ascii="Times New Roman" w:hAnsi="Times New Roman"/>
          <w:color w:val="auto"/>
          <w:sz w:val="24"/>
          <w:szCs w:val="24"/>
          <w:highlight w:val="none"/>
        </w:rPr>
        <w:fldChar w:fldCharType="end"/>
      </w:r>
    </w:p>
    <w:p w14:paraId="729DCF83">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_Toc2006 </w:instrText>
      </w:r>
      <w:r>
        <w:rPr>
          <w:rFonts w:ascii="Times New Roman" w:hAnsi="Times New Roman"/>
          <w:color w:val="auto"/>
          <w:sz w:val="24"/>
          <w:szCs w:val="24"/>
          <w:highlight w:val="none"/>
        </w:rPr>
        <w:fldChar w:fldCharType="separate"/>
      </w:r>
      <w:r>
        <w:rPr>
          <w:rFonts w:hint="eastAsia"/>
          <w:bCs/>
          <w:color w:val="auto"/>
          <w:sz w:val="24"/>
          <w:szCs w:val="24"/>
          <w:highlight w:val="none"/>
        </w:rPr>
        <w:t>附件</w:t>
      </w:r>
      <w:r>
        <w:rPr>
          <w:rFonts w:hint="eastAsia"/>
          <w:bCs/>
          <w:color w:val="auto"/>
          <w:sz w:val="24"/>
          <w:szCs w:val="24"/>
          <w:highlight w:val="none"/>
          <w:lang w:val="en-US" w:eastAsia="zh-CN"/>
        </w:rPr>
        <w:t>13</w:t>
      </w:r>
      <w:r>
        <w:rPr>
          <w:rFonts w:hint="eastAsia"/>
          <w:bCs/>
          <w:color w:val="auto"/>
          <w:sz w:val="24"/>
          <w:szCs w:val="24"/>
          <w:highlight w:val="none"/>
        </w:rPr>
        <w:t>业绩一览表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_Toc2006 \h </w:instrText>
      </w:r>
      <w:r>
        <w:rPr>
          <w:color w:val="auto"/>
          <w:sz w:val="24"/>
          <w:szCs w:val="24"/>
          <w:highlight w:val="none"/>
        </w:rPr>
        <w:fldChar w:fldCharType="separate"/>
      </w:r>
      <w:r>
        <w:rPr>
          <w:color w:val="auto"/>
          <w:sz w:val="24"/>
          <w:szCs w:val="24"/>
          <w:highlight w:val="none"/>
        </w:rPr>
        <w:t>47</w:t>
      </w:r>
      <w:r>
        <w:rPr>
          <w:color w:val="auto"/>
          <w:sz w:val="24"/>
          <w:szCs w:val="24"/>
          <w:highlight w:val="none"/>
        </w:rPr>
        <w:fldChar w:fldCharType="end"/>
      </w:r>
      <w:r>
        <w:rPr>
          <w:rFonts w:ascii="Times New Roman" w:hAnsi="Times New Roman"/>
          <w:color w:val="auto"/>
          <w:sz w:val="24"/>
          <w:szCs w:val="24"/>
          <w:highlight w:val="none"/>
        </w:rPr>
        <w:fldChar w:fldCharType="end"/>
      </w:r>
    </w:p>
    <w:p w14:paraId="24CA8C3F">
      <w:pPr>
        <w:pStyle w:val="49"/>
        <w:tabs>
          <w:tab w:val="right" w:leader="dot" w:pos="9660"/>
        </w:tabs>
        <w:rPr>
          <w:color w:val="auto"/>
          <w:sz w:val="24"/>
          <w:szCs w:val="24"/>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HYPERLINK \l _Toc27804 </w:instrText>
      </w:r>
      <w:r>
        <w:rPr>
          <w:rFonts w:ascii="Times New Roman" w:hAnsi="Times New Roman"/>
          <w:color w:val="auto"/>
          <w:sz w:val="24"/>
          <w:szCs w:val="24"/>
          <w:highlight w:val="none"/>
        </w:rPr>
        <w:fldChar w:fldCharType="separate"/>
      </w:r>
      <w:r>
        <w:rPr>
          <w:rFonts w:hint="eastAsia"/>
          <w:bCs/>
          <w:color w:val="auto"/>
          <w:sz w:val="24"/>
          <w:szCs w:val="24"/>
          <w:highlight w:val="none"/>
        </w:rPr>
        <w:t>附件</w:t>
      </w:r>
      <w:r>
        <w:rPr>
          <w:rFonts w:hint="eastAsia"/>
          <w:bCs/>
          <w:color w:val="auto"/>
          <w:sz w:val="24"/>
          <w:szCs w:val="24"/>
          <w:highlight w:val="none"/>
          <w:lang w:val="en-US" w:eastAsia="zh-CN"/>
        </w:rPr>
        <w:t>14</w:t>
      </w:r>
      <w:r>
        <w:rPr>
          <w:rFonts w:hint="eastAsia"/>
          <w:bCs/>
          <w:color w:val="auto"/>
          <w:sz w:val="24"/>
          <w:szCs w:val="24"/>
          <w:highlight w:val="none"/>
        </w:rPr>
        <w:t>其他</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_Toc27804 \h </w:instrText>
      </w:r>
      <w:r>
        <w:rPr>
          <w:color w:val="auto"/>
          <w:sz w:val="24"/>
          <w:szCs w:val="24"/>
          <w:highlight w:val="none"/>
        </w:rPr>
        <w:fldChar w:fldCharType="separate"/>
      </w:r>
      <w:r>
        <w:rPr>
          <w:color w:val="auto"/>
          <w:sz w:val="24"/>
          <w:szCs w:val="24"/>
          <w:highlight w:val="none"/>
        </w:rPr>
        <w:t>48</w:t>
      </w:r>
      <w:r>
        <w:rPr>
          <w:color w:val="auto"/>
          <w:sz w:val="24"/>
          <w:szCs w:val="24"/>
          <w:highlight w:val="none"/>
        </w:rPr>
        <w:fldChar w:fldCharType="end"/>
      </w:r>
      <w:r>
        <w:rPr>
          <w:rFonts w:ascii="Times New Roman" w:hAnsi="Times New Roman"/>
          <w:color w:val="auto"/>
          <w:sz w:val="24"/>
          <w:szCs w:val="24"/>
          <w:highlight w:val="none"/>
        </w:rPr>
        <w:fldChar w:fldCharType="end"/>
      </w:r>
    </w:p>
    <w:p w14:paraId="1CD42FAD">
      <w:pPr>
        <w:pStyle w:val="2"/>
        <w:spacing w:line="400" w:lineRule="exact"/>
        <w:rPr>
          <w:rFonts w:ascii="Times New Roman" w:hAnsi="Times New Roman"/>
          <w:color w:val="auto"/>
          <w:highlight w:val="none"/>
        </w:rPr>
      </w:pPr>
      <w:r>
        <w:rPr>
          <w:rFonts w:ascii="Times New Roman" w:hAnsi="Times New Roman"/>
          <w:color w:val="auto"/>
          <w:sz w:val="24"/>
          <w:szCs w:val="24"/>
          <w:highlight w:val="none"/>
        </w:rPr>
        <w:fldChar w:fldCharType="end"/>
      </w:r>
      <w:bookmarkStart w:id="1" w:name="_Toc1260"/>
      <w:r>
        <w:rPr>
          <w:rFonts w:ascii="Times New Roman" w:hAnsi="Times New Roman"/>
          <w:color w:val="auto"/>
          <w:highlight w:val="none"/>
        </w:rPr>
        <w:br w:type="page" w:clear="all"/>
      </w:r>
      <w:bookmarkStart w:id="168" w:name="_GoBack"/>
      <w:bookmarkEnd w:id="168"/>
      <w:bookmarkStart w:id="2" w:name="_Toc315868049"/>
      <w:bookmarkStart w:id="3" w:name="_Toc315875312"/>
      <w:r>
        <w:rPr>
          <w:rFonts w:ascii="Times New Roman" w:hAnsi="Times New Roman"/>
          <w:color w:val="auto"/>
          <w:highlight w:val="none"/>
        </w:rPr>
        <w:t>第一章</w:t>
      </w:r>
      <w:r>
        <w:rPr>
          <w:rFonts w:hint="eastAsia" w:ascii="Times New Roman" w:hAnsi="Times New Roman"/>
          <w:color w:val="auto"/>
          <w:highlight w:val="none"/>
        </w:rPr>
        <w:t xml:space="preserve"> </w:t>
      </w:r>
      <w:r>
        <w:rPr>
          <w:rFonts w:ascii="Times New Roman" w:hAnsi="Times New Roman"/>
          <w:color w:val="auto"/>
          <w:highlight w:val="none"/>
        </w:rPr>
        <w:t>投标邀请</w:t>
      </w:r>
      <w:bookmarkEnd w:id="0"/>
      <w:bookmarkEnd w:id="1"/>
      <w:bookmarkEnd w:id="2"/>
      <w:bookmarkEnd w:id="3"/>
    </w:p>
    <w:tbl>
      <w:tblPr>
        <w:tblStyle w:val="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74"/>
      </w:tblGrid>
      <w:tr w14:paraId="07B0D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trPr>
        <w:tc>
          <w:tcPr>
            <w:tcW w:w="9774" w:type="dxa"/>
            <w:noWrap/>
          </w:tcPr>
          <w:p w14:paraId="116083F8">
            <w:pPr>
              <w:spacing w:line="410" w:lineRule="exact"/>
              <w:rPr>
                <w:b/>
                <w:bCs/>
                <w:color w:val="auto"/>
                <w:sz w:val="24"/>
                <w:szCs w:val="21"/>
                <w:highlight w:val="none"/>
              </w:rPr>
            </w:pPr>
            <w:r>
              <w:rPr>
                <w:b/>
                <w:bCs/>
                <w:color w:val="auto"/>
                <w:sz w:val="24"/>
                <w:szCs w:val="21"/>
                <w:highlight w:val="none"/>
              </w:rPr>
              <w:t>项目概况：</w:t>
            </w:r>
          </w:p>
          <w:p w14:paraId="3EB382E2">
            <w:pPr>
              <w:spacing w:line="410" w:lineRule="exact"/>
              <w:ind w:firstLine="420"/>
              <w:rPr>
                <w:color w:val="auto"/>
                <w:sz w:val="24"/>
                <w:szCs w:val="21"/>
                <w:highlight w:val="none"/>
              </w:rPr>
            </w:pPr>
            <w:r>
              <w:rPr>
                <w:rFonts w:hint="eastAsia"/>
                <w:color w:val="auto"/>
                <w:sz w:val="24"/>
                <w:szCs w:val="24"/>
                <w:highlight w:val="none"/>
                <w:u w:val="single"/>
                <w:lang w:eastAsia="zh-CN"/>
              </w:rPr>
              <w:t>琴川街道社区卫生服务中心安全服务</w:t>
            </w:r>
            <w:r>
              <w:rPr>
                <w:color w:val="auto"/>
                <w:sz w:val="24"/>
                <w:szCs w:val="24"/>
                <w:highlight w:val="none"/>
              </w:rPr>
              <w:t>招标项目的潜在投标人应</w:t>
            </w:r>
            <w:r>
              <w:rPr>
                <w:rFonts w:hint="eastAsia" w:ascii="宋体" w:hAnsi="宋体" w:cs="宋体"/>
                <w:color w:val="auto"/>
                <w:sz w:val="24"/>
                <w:szCs w:val="24"/>
                <w:highlight w:val="none"/>
              </w:rPr>
              <w:t>在“</w:t>
            </w:r>
            <w:r>
              <w:rPr>
                <w:color w:val="auto"/>
                <w:sz w:val="24"/>
                <w:szCs w:val="24"/>
                <w:highlight w:val="none"/>
              </w:rPr>
              <w:t>苏采云政府采购一体化平台</w:t>
            </w:r>
            <w:r>
              <w:rPr>
                <w:rFonts w:hint="eastAsia" w:ascii="宋体" w:hAnsi="宋体" w:cs="宋体"/>
                <w:color w:val="auto"/>
                <w:sz w:val="24"/>
                <w:szCs w:val="24"/>
                <w:highlight w:val="none"/>
              </w:rPr>
              <w:t>”</w:t>
            </w:r>
            <w:r>
              <w:rPr>
                <w:color w:val="auto"/>
                <w:sz w:val="24"/>
                <w:szCs w:val="24"/>
                <w:highlight w:val="none"/>
              </w:rPr>
              <w:t>中参与项目</w:t>
            </w:r>
            <w:r>
              <w:rPr>
                <w:rFonts w:hint="eastAsia"/>
                <w:color w:val="auto"/>
                <w:sz w:val="24"/>
                <w:szCs w:val="24"/>
                <w:highlight w:val="none"/>
              </w:rPr>
              <w:t>获取招标文件</w:t>
            </w:r>
            <w:r>
              <w:rPr>
                <w:color w:val="auto"/>
                <w:sz w:val="24"/>
                <w:szCs w:val="24"/>
                <w:highlight w:val="none"/>
              </w:rPr>
              <w:t>，并于</w:t>
            </w:r>
            <w:r>
              <w:rPr>
                <w:rFonts w:hint="eastAsia"/>
                <w:color w:val="auto"/>
                <w:sz w:val="24"/>
                <w:szCs w:val="24"/>
                <w:highlight w:val="none"/>
                <w:u w:val="single"/>
                <w:lang w:eastAsia="zh-CN"/>
              </w:rPr>
              <w:t>2026年6月26日9点00分</w:t>
            </w:r>
            <w:r>
              <w:rPr>
                <w:color w:val="auto"/>
                <w:sz w:val="24"/>
                <w:szCs w:val="24"/>
                <w:highlight w:val="none"/>
              </w:rPr>
              <w:t>（北京时间）前按规定提交投标文件。</w:t>
            </w:r>
          </w:p>
        </w:tc>
      </w:tr>
    </w:tbl>
    <w:p w14:paraId="2741DEA0">
      <w:pPr>
        <w:spacing w:line="440" w:lineRule="exact"/>
        <w:rPr>
          <w:b/>
          <w:color w:val="auto"/>
          <w:sz w:val="24"/>
          <w:szCs w:val="24"/>
          <w:highlight w:val="none"/>
        </w:rPr>
      </w:pPr>
      <w:bookmarkStart w:id="4" w:name="OLE_LINK4"/>
      <w:r>
        <w:rPr>
          <w:b/>
          <w:color w:val="auto"/>
          <w:sz w:val="24"/>
          <w:szCs w:val="24"/>
          <w:highlight w:val="none"/>
        </w:rPr>
        <w:t>一、项目基本情况：</w:t>
      </w:r>
    </w:p>
    <w:p w14:paraId="2506692F">
      <w:pPr>
        <w:spacing w:line="440" w:lineRule="exact"/>
        <w:ind w:firstLine="480"/>
        <w:rPr>
          <w:rFonts w:hint="eastAsia" w:eastAsia="宋体"/>
          <w:color w:val="auto"/>
          <w:sz w:val="24"/>
          <w:szCs w:val="24"/>
          <w:highlight w:val="none"/>
          <w:lang w:eastAsia="zh-CN"/>
        </w:rPr>
      </w:pPr>
      <w:r>
        <w:rPr>
          <w:rFonts w:hint="eastAsia"/>
          <w:color w:val="auto"/>
          <w:sz w:val="24"/>
          <w:szCs w:val="24"/>
          <w:highlight w:val="none"/>
        </w:rPr>
        <w:t>1、项目编号：</w:t>
      </w:r>
      <w:r>
        <w:rPr>
          <w:rFonts w:hint="eastAsia"/>
          <w:color w:val="auto"/>
          <w:sz w:val="24"/>
          <w:szCs w:val="24"/>
          <w:highlight w:val="none"/>
          <w:lang w:eastAsia="zh-CN"/>
        </w:rPr>
        <w:t>JSZC-320581-CSYD-G2026-0005</w:t>
      </w:r>
    </w:p>
    <w:p w14:paraId="01FDE760">
      <w:pPr>
        <w:spacing w:line="440" w:lineRule="exact"/>
        <w:ind w:firstLine="480"/>
        <w:rPr>
          <w:rFonts w:hint="eastAsia" w:eastAsia="宋体"/>
          <w:color w:val="auto"/>
          <w:sz w:val="24"/>
          <w:szCs w:val="24"/>
          <w:highlight w:val="none"/>
          <w:lang w:eastAsia="zh-CN"/>
        </w:rPr>
      </w:pPr>
      <w:r>
        <w:rPr>
          <w:rFonts w:hint="eastAsia"/>
          <w:color w:val="auto"/>
          <w:sz w:val="24"/>
          <w:szCs w:val="24"/>
          <w:highlight w:val="none"/>
        </w:rPr>
        <w:t>2、项目名称：</w:t>
      </w:r>
      <w:r>
        <w:rPr>
          <w:rFonts w:hint="eastAsia"/>
          <w:color w:val="auto"/>
          <w:sz w:val="24"/>
          <w:szCs w:val="24"/>
          <w:highlight w:val="none"/>
          <w:lang w:eastAsia="zh-CN"/>
        </w:rPr>
        <w:t>琴川街道社区卫生服务中心安全服务</w:t>
      </w:r>
    </w:p>
    <w:p w14:paraId="04A2034E">
      <w:pPr>
        <w:spacing w:line="440" w:lineRule="exact"/>
        <w:ind w:firstLine="480"/>
        <w:rPr>
          <w:color w:val="auto"/>
          <w:sz w:val="24"/>
          <w:szCs w:val="24"/>
          <w:highlight w:val="none"/>
        </w:rPr>
      </w:pPr>
      <w:r>
        <w:rPr>
          <w:rFonts w:hint="eastAsia"/>
          <w:color w:val="auto"/>
          <w:sz w:val="24"/>
          <w:szCs w:val="24"/>
          <w:highlight w:val="none"/>
        </w:rPr>
        <w:t>3、采购方式：公开招标</w:t>
      </w:r>
    </w:p>
    <w:p w14:paraId="56656802">
      <w:pPr>
        <w:spacing w:line="440" w:lineRule="exact"/>
        <w:ind w:firstLine="480"/>
        <w:rPr>
          <w:rFonts w:hint="eastAsia"/>
          <w:color w:val="auto"/>
          <w:sz w:val="24"/>
          <w:szCs w:val="24"/>
          <w:highlight w:val="none"/>
        </w:rPr>
      </w:pPr>
      <w:r>
        <w:rPr>
          <w:rFonts w:hint="eastAsia"/>
          <w:color w:val="auto"/>
          <w:sz w:val="24"/>
          <w:szCs w:val="24"/>
          <w:highlight w:val="none"/>
        </w:rPr>
        <w:t>4、预算金额：人民币</w:t>
      </w:r>
      <w:r>
        <w:rPr>
          <w:rFonts w:hint="eastAsia"/>
          <w:color w:val="auto"/>
          <w:sz w:val="24"/>
          <w:szCs w:val="24"/>
          <w:highlight w:val="none"/>
          <w:lang w:val="en-US" w:eastAsia="zh-CN"/>
        </w:rPr>
        <w:t>120</w:t>
      </w:r>
      <w:r>
        <w:rPr>
          <w:rFonts w:hint="eastAsia"/>
          <w:color w:val="auto"/>
          <w:sz w:val="24"/>
          <w:szCs w:val="24"/>
          <w:highlight w:val="none"/>
          <w:lang w:eastAsia="zh-CN"/>
        </w:rPr>
        <w:t>0000.00</w:t>
      </w:r>
      <w:r>
        <w:rPr>
          <w:rFonts w:hint="eastAsia"/>
          <w:color w:val="auto"/>
          <w:sz w:val="24"/>
          <w:szCs w:val="24"/>
          <w:highlight w:val="none"/>
        </w:rPr>
        <w:t>元整。</w:t>
      </w:r>
    </w:p>
    <w:p w14:paraId="278F6DD2">
      <w:pPr>
        <w:spacing w:line="440" w:lineRule="exact"/>
        <w:ind w:firstLine="480"/>
        <w:rPr>
          <w:rFonts w:hint="eastAsia"/>
          <w:color w:val="auto"/>
          <w:highlight w:val="none"/>
        </w:rPr>
      </w:pPr>
      <w:r>
        <w:rPr>
          <w:rFonts w:hint="eastAsia"/>
          <w:color w:val="auto"/>
          <w:sz w:val="24"/>
          <w:szCs w:val="24"/>
          <w:highlight w:val="none"/>
          <w:lang w:val="en-US" w:eastAsia="zh-CN"/>
        </w:rPr>
        <w:t>5</w:t>
      </w:r>
      <w:r>
        <w:rPr>
          <w:rFonts w:hint="eastAsia"/>
          <w:color w:val="auto"/>
          <w:sz w:val="24"/>
          <w:szCs w:val="24"/>
          <w:highlight w:val="none"/>
        </w:rPr>
        <w:t>、</w:t>
      </w:r>
      <w:r>
        <w:rPr>
          <w:rFonts w:hint="eastAsia"/>
          <w:color w:val="auto"/>
          <w:sz w:val="24"/>
          <w:szCs w:val="24"/>
          <w:highlight w:val="none"/>
          <w:lang w:val="en-US" w:eastAsia="zh-CN"/>
        </w:rPr>
        <w:t>最高限价</w:t>
      </w:r>
      <w:r>
        <w:rPr>
          <w:rFonts w:hint="eastAsia"/>
          <w:color w:val="auto"/>
          <w:sz w:val="24"/>
          <w:szCs w:val="24"/>
          <w:highlight w:val="none"/>
        </w:rPr>
        <w:t>：人民币</w:t>
      </w:r>
      <w:r>
        <w:rPr>
          <w:rFonts w:hint="eastAsia"/>
          <w:color w:val="auto"/>
          <w:sz w:val="24"/>
          <w:szCs w:val="24"/>
          <w:highlight w:val="none"/>
          <w:lang w:val="en-US" w:eastAsia="zh-CN"/>
        </w:rPr>
        <w:t>115</w:t>
      </w:r>
      <w:r>
        <w:rPr>
          <w:rFonts w:hint="eastAsia"/>
          <w:color w:val="auto"/>
          <w:sz w:val="24"/>
          <w:szCs w:val="24"/>
          <w:highlight w:val="none"/>
          <w:lang w:eastAsia="zh-CN"/>
        </w:rPr>
        <w:t>0000.00</w:t>
      </w:r>
      <w:r>
        <w:rPr>
          <w:rFonts w:hint="eastAsia"/>
          <w:color w:val="auto"/>
          <w:sz w:val="24"/>
          <w:szCs w:val="24"/>
          <w:highlight w:val="none"/>
        </w:rPr>
        <w:t>元整。</w:t>
      </w:r>
    </w:p>
    <w:p w14:paraId="0B53E6B1">
      <w:pPr>
        <w:spacing w:line="440" w:lineRule="exact"/>
        <w:ind w:firstLine="480"/>
        <w:rPr>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、采购需求：</w:t>
      </w:r>
      <w:r>
        <w:rPr>
          <w:rFonts w:hint="eastAsia"/>
          <w:color w:val="auto"/>
          <w:sz w:val="24"/>
          <w:szCs w:val="24"/>
          <w:highlight w:val="none"/>
          <w:lang w:eastAsia="zh-CN"/>
        </w:rPr>
        <w:t>常熟市琴川街道社区卫生服务中心</w:t>
      </w:r>
      <w:r>
        <w:rPr>
          <w:rFonts w:hint="eastAsia"/>
          <w:color w:val="auto"/>
          <w:sz w:val="24"/>
          <w:szCs w:val="24"/>
          <w:highlight w:val="none"/>
        </w:rPr>
        <w:t>所需的</w:t>
      </w:r>
      <w:r>
        <w:rPr>
          <w:rFonts w:hint="eastAsia"/>
          <w:color w:val="auto"/>
          <w:sz w:val="24"/>
          <w:szCs w:val="24"/>
          <w:highlight w:val="none"/>
          <w:lang w:eastAsia="zh-CN"/>
        </w:rPr>
        <w:t>琴川街道社区卫生服务中心安全服务</w:t>
      </w:r>
      <w:r>
        <w:rPr>
          <w:rFonts w:hint="eastAsia"/>
          <w:color w:val="auto"/>
          <w:sz w:val="24"/>
          <w:szCs w:val="24"/>
          <w:highlight w:val="none"/>
        </w:rPr>
        <w:t>。</w:t>
      </w:r>
    </w:p>
    <w:p w14:paraId="2CC5D3EB">
      <w:pPr>
        <w:spacing w:line="440" w:lineRule="exact"/>
        <w:ind w:firstLine="480"/>
        <w:rPr>
          <w:rFonts w:hint="eastAsia" w:eastAsia="宋体"/>
          <w:color w:val="auto"/>
          <w:sz w:val="24"/>
          <w:szCs w:val="24"/>
          <w:highlight w:val="none"/>
          <w:lang w:eastAsia="zh-CN"/>
        </w:rPr>
      </w:pPr>
      <w:r>
        <w:rPr>
          <w:rFonts w:hint="eastAsia"/>
          <w:color w:val="auto"/>
          <w:sz w:val="24"/>
          <w:szCs w:val="24"/>
          <w:highlight w:val="none"/>
          <w:lang w:val="en-US" w:eastAsia="zh-CN"/>
        </w:rPr>
        <w:t>7</w:t>
      </w:r>
      <w:r>
        <w:rPr>
          <w:rFonts w:hint="eastAsia"/>
          <w:color w:val="auto"/>
          <w:sz w:val="24"/>
          <w:szCs w:val="24"/>
          <w:highlight w:val="none"/>
        </w:rPr>
        <w:t>、合同履行期限：</w:t>
      </w:r>
      <w:r>
        <w:rPr>
          <w:rFonts w:hint="eastAsia"/>
          <w:color w:val="auto"/>
          <w:sz w:val="24"/>
          <w:szCs w:val="24"/>
          <w:highlight w:val="none"/>
          <w:lang w:eastAsia="zh-CN"/>
        </w:rPr>
        <w:t>自签订合同之日起2年。</w:t>
      </w:r>
    </w:p>
    <w:p w14:paraId="3C5F9A04">
      <w:pPr>
        <w:spacing w:line="440" w:lineRule="exact"/>
        <w:ind w:firstLine="480"/>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、本项目不接受联合体投标。</w:t>
      </w:r>
    </w:p>
    <w:p w14:paraId="3AA45568">
      <w:pPr>
        <w:spacing w:line="440" w:lineRule="exact"/>
        <w:rPr>
          <w:b/>
          <w:color w:val="auto"/>
          <w:sz w:val="24"/>
          <w:szCs w:val="24"/>
          <w:highlight w:val="none"/>
        </w:rPr>
      </w:pPr>
      <w:bookmarkStart w:id="5" w:name="OLE_LINK3"/>
      <w:r>
        <w:rPr>
          <w:b/>
          <w:color w:val="auto"/>
          <w:sz w:val="24"/>
          <w:szCs w:val="24"/>
          <w:highlight w:val="none"/>
        </w:rPr>
        <w:t>二、申请人的资格要求：</w:t>
      </w:r>
    </w:p>
    <w:p w14:paraId="6189085C">
      <w:pPr>
        <w:spacing w:line="460" w:lineRule="exact"/>
        <w:ind w:firstLine="480"/>
        <w:rPr>
          <w:color w:val="auto"/>
          <w:sz w:val="24"/>
          <w:szCs w:val="24"/>
          <w:highlight w:val="none"/>
        </w:rPr>
      </w:pPr>
      <w:r>
        <w:rPr>
          <w:color w:val="auto"/>
          <w:sz w:val="24"/>
          <w:szCs w:val="24"/>
          <w:highlight w:val="none"/>
        </w:rPr>
        <w:t>1</w:t>
      </w:r>
      <w:r>
        <w:rPr>
          <w:rFonts w:hint="eastAsia"/>
          <w:color w:val="auto"/>
          <w:sz w:val="24"/>
          <w:szCs w:val="24"/>
          <w:highlight w:val="none"/>
        </w:rPr>
        <w:t>、满足《中华人民共和国政府采购法》第二十二条规定</w:t>
      </w:r>
      <w:r>
        <w:rPr>
          <w:rFonts w:hint="eastAsia" w:ascii="宋体" w:hAnsi="宋体"/>
          <w:color w:val="auto"/>
          <w:sz w:val="24"/>
          <w:szCs w:val="24"/>
          <w:highlight w:val="none"/>
        </w:rPr>
        <w:t>，并提供下列材料：</w:t>
      </w:r>
    </w:p>
    <w:p w14:paraId="61129227">
      <w:pPr>
        <w:spacing w:line="460" w:lineRule="exact"/>
        <w:ind w:firstLine="480"/>
        <w:rPr>
          <w:rFonts w:hint="eastAsia" w:eastAsia="宋体"/>
          <w:color w:val="auto"/>
          <w:sz w:val="24"/>
          <w:szCs w:val="24"/>
          <w:highlight w:val="none"/>
          <w:lang w:eastAsia="zh-CN"/>
        </w:rPr>
      </w:pPr>
      <w:r>
        <w:rPr>
          <w:rFonts w:hint="eastAsia"/>
          <w:color w:val="auto"/>
          <w:sz w:val="24"/>
          <w:szCs w:val="22"/>
          <w:highlight w:val="none"/>
        </w:rPr>
        <w:t>（1）</w:t>
      </w:r>
      <w:r>
        <w:rPr>
          <w:rFonts w:hint="eastAsia"/>
          <w:color w:val="auto"/>
          <w:sz w:val="24"/>
          <w:szCs w:val="22"/>
          <w:highlight w:val="none"/>
          <w:lang w:val="en-US" w:eastAsia="zh-CN"/>
        </w:rPr>
        <w:t>投标人的</w:t>
      </w:r>
      <w:r>
        <w:rPr>
          <w:color w:val="auto"/>
          <w:sz w:val="24"/>
          <w:szCs w:val="22"/>
          <w:highlight w:val="none"/>
        </w:rPr>
        <w:t>营业执照等证明文件</w:t>
      </w:r>
      <w:r>
        <w:rPr>
          <w:rFonts w:hint="eastAsia"/>
          <w:color w:val="auto"/>
          <w:sz w:val="24"/>
          <w:szCs w:val="22"/>
          <w:highlight w:val="none"/>
          <w:lang w:eastAsia="zh-CN"/>
        </w:rPr>
        <w:t>。</w:t>
      </w:r>
    </w:p>
    <w:p w14:paraId="207DCF1E">
      <w:pPr>
        <w:spacing w:line="460" w:lineRule="exact"/>
        <w:ind w:firstLine="480"/>
        <w:rPr>
          <w:color w:val="auto"/>
          <w:sz w:val="24"/>
          <w:szCs w:val="22"/>
          <w:highlight w:val="none"/>
        </w:rPr>
      </w:pPr>
      <w:r>
        <w:rPr>
          <w:rFonts w:hint="eastAsia"/>
          <w:color w:val="auto"/>
          <w:sz w:val="24"/>
          <w:szCs w:val="22"/>
          <w:highlight w:val="none"/>
        </w:rPr>
        <w:t>（2）</w:t>
      </w:r>
      <w:r>
        <w:rPr>
          <w:rFonts w:hint="eastAsia"/>
          <w:color w:val="auto"/>
          <w:sz w:val="24"/>
          <w:szCs w:val="22"/>
          <w:highlight w:val="none"/>
          <w:lang w:val="en-US" w:eastAsia="zh-CN"/>
        </w:rPr>
        <w:t>投标人</w:t>
      </w:r>
      <w:r>
        <w:rPr>
          <w:color w:val="auto"/>
          <w:sz w:val="24"/>
          <w:szCs w:val="22"/>
          <w:highlight w:val="none"/>
        </w:rPr>
        <w:t>资格声明函（格式</w:t>
      </w:r>
      <w:r>
        <w:rPr>
          <w:rFonts w:hint="eastAsia"/>
          <w:color w:val="auto"/>
          <w:sz w:val="24"/>
          <w:szCs w:val="22"/>
          <w:highlight w:val="none"/>
        </w:rPr>
        <w:t>内容详见招标文件规定</w:t>
      </w:r>
      <w:r>
        <w:rPr>
          <w:color w:val="auto"/>
          <w:sz w:val="24"/>
          <w:szCs w:val="22"/>
          <w:highlight w:val="none"/>
        </w:rPr>
        <w:t>）</w:t>
      </w:r>
      <w:r>
        <w:rPr>
          <w:rFonts w:hint="eastAsia"/>
          <w:color w:val="auto"/>
          <w:sz w:val="24"/>
          <w:szCs w:val="22"/>
          <w:highlight w:val="none"/>
        </w:rPr>
        <w:t>。</w:t>
      </w:r>
    </w:p>
    <w:p w14:paraId="157F696C">
      <w:pPr>
        <w:spacing w:line="460" w:lineRule="exact"/>
        <w:ind w:firstLine="480"/>
        <w:rPr>
          <w:color w:val="auto"/>
          <w:sz w:val="24"/>
          <w:szCs w:val="24"/>
          <w:highlight w:val="none"/>
        </w:rPr>
      </w:pPr>
      <w:r>
        <w:rPr>
          <w:color w:val="auto"/>
          <w:sz w:val="24"/>
          <w:szCs w:val="24"/>
          <w:highlight w:val="none"/>
        </w:rPr>
        <w:t>2、</w:t>
      </w:r>
      <w:r>
        <w:rPr>
          <w:rFonts w:hint="eastAsia"/>
          <w:color w:val="auto"/>
          <w:sz w:val="24"/>
          <w:szCs w:val="24"/>
          <w:highlight w:val="none"/>
        </w:rPr>
        <w:t>落实政府采购政策需满足的资格要求：</w:t>
      </w:r>
      <w:r>
        <w:rPr>
          <w:rFonts w:ascii="宋体" w:hAnsi="宋体"/>
          <w:b/>
          <w:bCs/>
          <w:color w:val="auto"/>
          <w:sz w:val="24"/>
          <w:szCs w:val="24"/>
          <w:highlight w:val="none"/>
        </w:rPr>
        <w:t>本项目专门面向中小企业采购，所属行业为</w:t>
      </w:r>
      <w:r>
        <w:rPr>
          <w:rFonts w:hint="eastAsia" w:ascii="宋体" w:hAnsi="宋体"/>
          <w:b/>
          <w:bCs/>
          <w:color w:val="auto"/>
          <w:sz w:val="24"/>
          <w:szCs w:val="24"/>
          <w:highlight w:val="none"/>
          <w:lang w:eastAsia="zh-CN"/>
        </w:rPr>
        <w:t>租赁和商务服务业</w:t>
      </w:r>
      <w:r>
        <w:rPr>
          <w:rFonts w:ascii="宋体" w:hAnsi="宋体"/>
          <w:b/>
          <w:bCs/>
          <w:color w:val="auto"/>
          <w:sz w:val="24"/>
          <w:szCs w:val="24"/>
          <w:highlight w:val="none"/>
        </w:rPr>
        <w:t>，投标时须提供《中小企业声明函》。</w:t>
      </w:r>
    </w:p>
    <w:p w14:paraId="53FC1E90">
      <w:pPr>
        <w:spacing w:line="460" w:lineRule="exact"/>
        <w:ind w:firstLine="482"/>
        <w:rPr>
          <w:rFonts w:ascii="宋体" w:hAnsi="宋体"/>
          <w:b/>
          <w:bCs/>
          <w:color w:val="auto"/>
          <w:sz w:val="24"/>
          <w:szCs w:val="24"/>
          <w:highlight w:val="none"/>
        </w:rPr>
      </w:pPr>
      <w:r>
        <w:rPr>
          <w:rFonts w:ascii="宋体" w:hAnsi="宋体"/>
          <w:b/>
          <w:bCs/>
          <w:color w:val="auto"/>
          <w:sz w:val="24"/>
          <w:szCs w:val="24"/>
          <w:highlight w:val="none"/>
        </w:rPr>
        <w:t>注：对残疾人福利性单位、监狱企业视同小型、微型企业，但须按要求提供有关声明函或证明文件。</w:t>
      </w:r>
    </w:p>
    <w:p w14:paraId="08F29A34">
      <w:pPr>
        <w:spacing w:line="460" w:lineRule="exact"/>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本项目的特定资格</w:t>
      </w:r>
      <w:r>
        <w:rPr>
          <w:rFonts w:hint="eastAsia"/>
          <w:color w:val="auto"/>
          <w:sz w:val="24"/>
          <w:szCs w:val="22"/>
          <w:highlight w:val="none"/>
        </w:rPr>
        <w:t>要求：</w:t>
      </w:r>
      <w:r>
        <w:rPr>
          <w:color w:val="auto"/>
          <w:sz w:val="24"/>
          <w:szCs w:val="22"/>
          <w:highlight w:val="none"/>
        </w:rPr>
        <w:t>具有主管部门颁发的《保安服务许可证》</w:t>
      </w:r>
      <w:r>
        <w:rPr>
          <w:rFonts w:hint="eastAsia"/>
          <w:color w:val="auto"/>
          <w:sz w:val="24"/>
          <w:szCs w:val="22"/>
          <w:highlight w:val="none"/>
        </w:rPr>
        <w:t>。</w:t>
      </w:r>
    </w:p>
    <w:p w14:paraId="7BA0848F">
      <w:pPr>
        <w:spacing w:line="420" w:lineRule="exact"/>
        <w:ind w:firstLine="480"/>
        <w:rPr>
          <w:color w:val="auto"/>
          <w:sz w:val="24"/>
          <w:szCs w:val="24"/>
          <w:highlight w:val="none"/>
        </w:rPr>
      </w:pPr>
      <w:r>
        <w:rPr>
          <w:rFonts w:hint="eastAsia"/>
          <w:color w:val="auto"/>
          <w:sz w:val="24"/>
          <w:szCs w:val="24"/>
          <w:highlight w:val="none"/>
        </w:rPr>
        <w:t>4、其他要求：</w:t>
      </w:r>
    </w:p>
    <w:p w14:paraId="0A2D5B59">
      <w:pPr>
        <w:spacing w:line="460" w:lineRule="exact"/>
        <w:ind w:firstLine="480"/>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1）</w:t>
      </w:r>
      <w:r>
        <w:rPr>
          <w:rFonts w:hint="eastAsia"/>
          <w:color w:val="auto"/>
          <w:sz w:val="24"/>
          <w:szCs w:val="24"/>
          <w:highlight w:val="none"/>
        </w:rPr>
        <w:t>根据政府采购法及相关法规，将对供应商进行信用查询。</w:t>
      </w:r>
      <w:bookmarkStart w:id="6" w:name="_Hlk156215560"/>
      <w:r>
        <w:rPr>
          <w:color w:val="auto"/>
          <w:sz w:val="24"/>
          <w:szCs w:val="24"/>
          <w:highlight w:val="none"/>
        </w:rPr>
        <w:t>供应商</w:t>
      </w:r>
      <w:r>
        <w:rPr>
          <w:rFonts w:hint="eastAsia"/>
          <w:color w:val="auto"/>
          <w:sz w:val="24"/>
          <w:szCs w:val="24"/>
          <w:highlight w:val="none"/>
        </w:rPr>
        <w:t>被列入失信被执行人或重大税收违法案件当事人名单或政府采购严重违法失信行为记录名单，以及存在其他不符合《政府采购法》第二十二条规定条件的不良信用记录</w:t>
      </w:r>
      <w:r>
        <w:rPr>
          <w:color w:val="auto"/>
          <w:sz w:val="24"/>
          <w:szCs w:val="24"/>
          <w:highlight w:val="none"/>
        </w:rPr>
        <w:t>，拒绝其参与政府采购活动。</w:t>
      </w:r>
      <w:bookmarkEnd w:id="6"/>
    </w:p>
    <w:p w14:paraId="0916216E">
      <w:pPr>
        <w:spacing w:line="460" w:lineRule="exact"/>
        <w:ind w:firstLine="480"/>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2）</w:t>
      </w:r>
      <w:r>
        <w:rPr>
          <w:color w:val="auto"/>
          <w:sz w:val="24"/>
          <w:szCs w:val="24"/>
          <w:highlight w:val="none"/>
        </w:rPr>
        <w:t>单位负责人为同一人或者存在直接控股、管理关系的不同供应商，不得参加同一合同项下的政府采购活动。</w:t>
      </w:r>
    </w:p>
    <w:bookmarkEnd w:id="4"/>
    <w:bookmarkEnd w:id="5"/>
    <w:p w14:paraId="469A5DA8">
      <w:pPr>
        <w:spacing w:line="440" w:lineRule="exact"/>
        <w:rPr>
          <w:b/>
          <w:color w:val="auto"/>
          <w:sz w:val="24"/>
          <w:szCs w:val="24"/>
          <w:highlight w:val="none"/>
        </w:rPr>
      </w:pPr>
      <w:r>
        <w:rPr>
          <w:b/>
          <w:color w:val="auto"/>
          <w:sz w:val="24"/>
          <w:szCs w:val="24"/>
          <w:highlight w:val="none"/>
        </w:rPr>
        <w:t>三、获取招标文件：</w:t>
      </w:r>
    </w:p>
    <w:p w14:paraId="2B07D4D1">
      <w:pPr>
        <w:spacing w:line="440" w:lineRule="exact"/>
        <w:ind w:firstLine="480"/>
        <w:rPr>
          <w:color w:val="auto"/>
          <w:sz w:val="24"/>
          <w:szCs w:val="24"/>
          <w:highlight w:val="none"/>
        </w:rPr>
      </w:pPr>
      <w:r>
        <w:rPr>
          <w:rFonts w:hint="eastAsia"/>
          <w:color w:val="auto"/>
          <w:sz w:val="24"/>
          <w:szCs w:val="24"/>
          <w:highlight w:val="none"/>
        </w:rPr>
        <w:t>1、时间：自招标文件公告发布之日起至</w:t>
      </w:r>
      <w:r>
        <w:rPr>
          <w:color w:val="auto"/>
          <w:sz w:val="24"/>
          <w:szCs w:val="24"/>
          <w:highlight w:val="none"/>
        </w:rPr>
        <w:t>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6</w:t>
      </w:r>
      <w:r>
        <w:rPr>
          <w:rFonts w:hint="eastAsia"/>
          <w:color w:val="auto"/>
          <w:sz w:val="24"/>
          <w:szCs w:val="24"/>
          <w:highlight w:val="none"/>
        </w:rPr>
        <w:t>月</w:t>
      </w:r>
      <w:r>
        <w:rPr>
          <w:rFonts w:hint="eastAsia"/>
          <w:color w:val="auto"/>
          <w:sz w:val="24"/>
          <w:szCs w:val="24"/>
          <w:highlight w:val="none"/>
          <w:lang w:val="en-US" w:eastAsia="zh-CN"/>
        </w:rPr>
        <w:t>15</w:t>
      </w:r>
      <w:r>
        <w:rPr>
          <w:rFonts w:hint="eastAsia"/>
          <w:color w:val="auto"/>
          <w:sz w:val="24"/>
          <w:szCs w:val="24"/>
          <w:highlight w:val="none"/>
        </w:rPr>
        <w:t>日。</w:t>
      </w:r>
    </w:p>
    <w:p w14:paraId="667C329C">
      <w:pPr>
        <w:spacing w:line="440" w:lineRule="exact"/>
        <w:ind w:firstLine="480"/>
        <w:rPr>
          <w:color w:val="auto"/>
          <w:sz w:val="24"/>
          <w:szCs w:val="24"/>
          <w:highlight w:val="none"/>
        </w:rPr>
      </w:pPr>
      <w:r>
        <w:rPr>
          <w:rFonts w:hint="eastAsia"/>
          <w:color w:val="auto"/>
          <w:sz w:val="24"/>
          <w:szCs w:val="24"/>
          <w:highlight w:val="none"/>
        </w:rPr>
        <w:t>2、地点：“苏采云政府采购一体化平台”</w:t>
      </w:r>
    </w:p>
    <w:p w14:paraId="45AE7EF6">
      <w:pPr>
        <w:spacing w:line="440" w:lineRule="exact"/>
        <w:ind w:firstLine="480"/>
        <w:rPr>
          <w:color w:val="auto"/>
          <w:sz w:val="24"/>
          <w:szCs w:val="24"/>
          <w:highlight w:val="none"/>
        </w:rPr>
      </w:pPr>
      <w:r>
        <w:rPr>
          <w:rFonts w:hint="eastAsia"/>
          <w:color w:val="auto"/>
          <w:sz w:val="24"/>
          <w:szCs w:val="24"/>
          <w:highlight w:val="none"/>
        </w:rPr>
        <w:t>3、方式：在“苏采云政府采购一体化平台”自行免费下载招标文件。</w:t>
      </w:r>
    </w:p>
    <w:p w14:paraId="794F21BB">
      <w:pPr>
        <w:spacing w:line="440" w:lineRule="exact"/>
        <w:ind w:firstLine="480"/>
        <w:rPr>
          <w:color w:val="auto"/>
          <w:sz w:val="24"/>
          <w:szCs w:val="24"/>
          <w:highlight w:val="none"/>
        </w:rPr>
      </w:pPr>
      <w:r>
        <w:rPr>
          <w:rFonts w:hint="eastAsia"/>
          <w:color w:val="auto"/>
          <w:sz w:val="24"/>
          <w:szCs w:val="24"/>
          <w:highlight w:val="none"/>
        </w:rPr>
        <w:t>4、售价：免费。</w:t>
      </w:r>
    </w:p>
    <w:p w14:paraId="6BCE0BE6">
      <w:pPr>
        <w:spacing w:line="440" w:lineRule="exact"/>
        <w:rPr>
          <w:b/>
          <w:color w:val="auto"/>
          <w:sz w:val="24"/>
          <w:szCs w:val="24"/>
          <w:highlight w:val="none"/>
        </w:rPr>
      </w:pPr>
      <w:r>
        <w:rPr>
          <w:b/>
          <w:color w:val="auto"/>
          <w:sz w:val="24"/>
          <w:szCs w:val="24"/>
          <w:highlight w:val="none"/>
        </w:rPr>
        <w:t>四、提交投标文件截止时间、开标时间和地点：</w:t>
      </w:r>
    </w:p>
    <w:p w14:paraId="5AAB7841">
      <w:pPr>
        <w:spacing w:line="440" w:lineRule="exact"/>
        <w:ind w:firstLine="480"/>
        <w:rPr>
          <w:color w:val="auto"/>
          <w:sz w:val="24"/>
          <w:szCs w:val="24"/>
          <w:highlight w:val="none"/>
        </w:rPr>
      </w:pPr>
      <w:r>
        <w:rPr>
          <w:rFonts w:hint="eastAsia"/>
          <w:color w:val="auto"/>
          <w:sz w:val="24"/>
          <w:szCs w:val="24"/>
          <w:highlight w:val="none"/>
        </w:rPr>
        <w:t>1、投标截止时间、开标时间：</w:t>
      </w:r>
      <w:r>
        <w:rPr>
          <w:rFonts w:hint="eastAsia"/>
          <w:color w:val="auto"/>
          <w:sz w:val="24"/>
          <w:szCs w:val="24"/>
          <w:highlight w:val="none"/>
          <w:lang w:eastAsia="zh-CN"/>
        </w:rPr>
        <w:t>2026年6月26日9点00分</w:t>
      </w:r>
      <w:r>
        <w:rPr>
          <w:rFonts w:hint="eastAsia"/>
          <w:color w:val="auto"/>
          <w:sz w:val="24"/>
          <w:szCs w:val="24"/>
          <w:highlight w:val="none"/>
        </w:rPr>
        <w:t>（北京时间）</w:t>
      </w:r>
    </w:p>
    <w:p w14:paraId="7F313FA2">
      <w:pPr>
        <w:spacing w:line="440" w:lineRule="exact"/>
        <w:ind w:firstLine="480"/>
        <w:rPr>
          <w:color w:val="auto"/>
          <w:sz w:val="24"/>
          <w:szCs w:val="24"/>
          <w:highlight w:val="none"/>
        </w:rPr>
      </w:pPr>
      <w:r>
        <w:rPr>
          <w:rFonts w:hint="eastAsia"/>
          <w:color w:val="auto"/>
          <w:sz w:val="24"/>
          <w:szCs w:val="24"/>
          <w:highlight w:val="none"/>
        </w:rPr>
        <w:t>2、开标地点：“苏采云政府采购一体化平台”开标大厅</w:t>
      </w:r>
    </w:p>
    <w:p w14:paraId="1F632AE1">
      <w:pPr>
        <w:spacing w:line="440" w:lineRule="exact"/>
        <w:ind w:firstLine="480"/>
        <w:rPr>
          <w:color w:val="auto"/>
          <w:sz w:val="24"/>
          <w:szCs w:val="24"/>
          <w:highlight w:val="none"/>
        </w:rPr>
      </w:pPr>
      <w:r>
        <w:rPr>
          <w:rFonts w:hint="eastAsia"/>
          <w:color w:val="auto"/>
          <w:sz w:val="24"/>
          <w:szCs w:val="24"/>
          <w:highlight w:val="none"/>
        </w:rPr>
        <w:t>3、本项目采用电子化采购形式，投标人应当按照《苏采云系统供应商操作手册》规定，须在投标截止时间前制作并上传电子投标文件至“苏采云”系统，否则视为放弃参加该采购项目。</w:t>
      </w:r>
    </w:p>
    <w:p w14:paraId="3A70CB7C">
      <w:pPr>
        <w:spacing w:line="440" w:lineRule="exact"/>
        <w:ind w:firstLine="480"/>
        <w:rPr>
          <w:color w:val="auto"/>
          <w:sz w:val="24"/>
          <w:szCs w:val="24"/>
          <w:highlight w:val="none"/>
        </w:rPr>
      </w:pPr>
      <w:r>
        <w:rPr>
          <w:rFonts w:hint="eastAsia"/>
          <w:color w:val="auto"/>
          <w:sz w:val="24"/>
          <w:szCs w:val="24"/>
          <w:highlight w:val="none"/>
        </w:rPr>
        <w:t>4、本项目采用不见面开标，投标人登录“苏采云”系统在平台首页点击“开标大厅”，进入江苏省政府采购一体化不见面开标（采购）大厅，选择对应项目，并按系统提示完成开标流程。</w:t>
      </w:r>
    </w:p>
    <w:p w14:paraId="143B3468">
      <w:pPr>
        <w:spacing w:line="440" w:lineRule="exact"/>
        <w:rPr>
          <w:b/>
          <w:color w:val="auto"/>
          <w:sz w:val="24"/>
          <w:szCs w:val="24"/>
          <w:highlight w:val="none"/>
        </w:rPr>
      </w:pPr>
      <w:r>
        <w:rPr>
          <w:b/>
          <w:color w:val="auto"/>
          <w:sz w:val="24"/>
          <w:szCs w:val="24"/>
          <w:highlight w:val="none"/>
        </w:rPr>
        <w:t>五、公告期限：</w:t>
      </w:r>
    </w:p>
    <w:p w14:paraId="0E772798">
      <w:pPr>
        <w:spacing w:line="440" w:lineRule="exact"/>
        <w:ind w:firstLine="480"/>
        <w:rPr>
          <w:color w:val="auto"/>
          <w:sz w:val="24"/>
          <w:szCs w:val="24"/>
          <w:highlight w:val="none"/>
        </w:rPr>
      </w:pPr>
      <w:r>
        <w:rPr>
          <w:rFonts w:hint="eastAsia"/>
          <w:color w:val="auto"/>
          <w:sz w:val="24"/>
          <w:szCs w:val="24"/>
          <w:highlight w:val="none"/>
        </w:rPr>
        <w:t>自本公告发布之日起5个工作日。</w:t>
      </w:r>
    </w:p>
    <w:p w14:paraId="0C36BAAE">
      <w:pPr>
        <w:spacing w:line="440" w:lineRule="exact"/>
        <w:rPr>
          <w:b/>
          <w:color w:val="auto"/>
          <w:sz w:val="24"/>
          <w:szCs w:val="24"/>
          <w:highlight w:val="none"/>
        </w:rPr>
      </w:pPr>
      <w:r>
        <w:rPr>
          <w:b/>
          <w:color w:val="auto"/>
          <w:sz w:val="24"/>
          <w:szCs w:val="24"/>
          <w:highlight w:val="none"/>
        </w:rPr>
        <w:t>六、其他补充事宜：</w:t>
      </w:r>
    </w:p>
    <w:p w14:paraId="2AA44B20">
      <w:pPr>
        <w:spacing w:line="440" w:lineRule="exact"/>
        <w:ind w:firstLine="480"/>
        <w:rPr>
          <w:rFonts w:hint="eastAsia"/>
          <w:color w:val="auto"/>
          <w:sz w:val="24"/>
          <w:szCs w:val="24"/>
          <w:highlight w:val="none"/>
        </w:rPr>
      </w:pPr>
      <w:r>
        <w:rPr>
          <w:rFonts w:hint="eastAsia"/>
          <w:color w:val="auto"/>
          <w:sz w:val="24"/>
          <w:szCs w:val="24"/>
          <w:highlight w:val="none"/>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CA办理指南”进行查阅，江苏省内各地区办理的“苏采云”系统下的政务CA证书全省通用。</w:t>
      </w:r>
    </w:p>
    <w:p w14:paraId="01B2B8F0">
      <w:pPr>
        <w:spacing w:line="440" w:lineRule="exact"/>
        <w:ind w:firstLine="480"/>
        <w:rPr>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参与采购活动：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p>
    <w:p w14:paraId="5E4008BC">
      <w:pPr>
        <w:spacing w:line="440" w:lineRule="exact"/>
        <w:ind w:firstLine="48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p>
    <w:p w14:paraId="7BE2E104">
      <w:pPr>
        <w:spacing w:line="440" w:lineRule="exact"/>
        <w:ind w:firstLine="480"/>
        <w:rPr>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、投标人在“苏采云”系统操作过程中如有疑问，请按以下方式联系：</w:t>
      </w:r>
    </w:p>
    <w:p w14:paraId="72F5BD8C">
      <w:pPr>
        <w:spacing w:line="420" w:lineRule="exact"/>
        <w:ind w:firstLine="480"/>
        <w:rPr>
          <w:color w:val="auto"/>
          <w:sz w:val="24"/>
          <w:szCs w:val="24"/>
          <w:highlight w:val="none"/>
        </w:rPr>
      </w:pPr>
      <w:r>
        <w:rPr>
          <w:color w:val="auto"/>
          <w:sz w:val="24"/>
          <w:szCs w:val="24"/>
          <w:highlight w:val="none"/>
        </w:rPr>
        <w:t>CA技术咨询电话：400-608-6099；电子签章技术咨询电话：15380932027、15371015030、13675197356、13675197221；系统使用指导与咨询电话：18261002950、0512-69820854、0519-86722802。智能客服：登录苏采云系统后，联系系统右下方智能客服图标进行咨询。</w:t>
      </w:r>
    </w:p>
    <w:p w14:paraId="14C7C257">
      <w:pPr>
        <w:spacing w:line="440" w:lineRule="exact"/>
        <w:ind w:firstLine="480"/>
        <w:rPr>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、有关本次采购的事项若存在变动或修改，</w:t>
      </w:r>
      <w:bookmarkStart w:id="7" w:name="_Hlk87882297"/>
      <w:r>
        <w:rPr>
          <w:rFonts w:hint="eastAsia"/>
          <w:color w:val="auto"/>
          <w:sz w:val="24"/>
          <w:szCs w:val="24"/>
          <w:highlight w:val="none"/>
        </w:rPr>
        <w:t>敬请及时关注政府采购信息发布媒体上发布的更正（补充）公告，并按规定获取相关信息内容。</w:t>
      </w:r>
      <w:bookmarkEnd w:id="7"/>
    </w:p>
    <w:p w14:paraId="4E774099">
      <w:pPr>
        <w:spacing w:line="440" w:lineRule="exact"/>
        <w:ind w:firstLine="480"/>
        <w:rPr>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、本次采购项目有关时间要求均以北京时间为标准，使用24小时制。</w:t>
      </w:r>
    </w:p>
    <w:p w14:paraId="58B9072B">
      <w:pPr>
        <w:spacing w:line="440" w:lineRule="exact"/>
        <w:ind w:firstLine="480"/>
        <w:rPr>
          <w:b w:val="0"/>
          <w:bCs w:val="0"/>
          <w:color w:val="auto"/>
          <w:sz w:val="24"/>
          <w:szCs w:val="24"/>
          <w:highlight w:val="none"/>
        </w:rPr>
      </w:pPr>
      <w:r>
        <w:rPr>
          <w:rFonts w:hint="eastAsia"/>
          <w:b w:val="0"/>
          <w:bCs w:val="0"/>
          <w:color w:val="auto"/>
          <w:sz w:val="24"/>
          <w:szCs w:val="24"/>
          <w:highlight w:val="none"/>
          <w:lang w:val="en-US" w:eastAsia="zh-CN"/>
        </w:rPr>
        <w:t>7</w:t>
      </w:r>
      <w:r>
        <w:rPr>
          <w:rFonts w:hint="eastAsia"/>
          <w:b w:val="0"/>
          <w:bCs w:val="0"/>
          <w:color w:val="auto"/>
          <w:sz w:val="24"/>
          <w:szCs w:val="24"/>
          <w:highlight w:val="none"/>
        </w:rPr>
        <w:t>、公告媒体：苏州市政府采购网、江苏政府采购网。</w:t>
      </w:r>
    </w:p>
    <w:p w14:paraId="4FF601E0">
      <w:pPr>
        <w:spacing w:line="440" w:lineRule="exact"/>
        <w:ind w:firstLine="482"/>
        <w:rPr>
          <w:b w:val="0"/>
          <w:bCs w:val="0"/>
          <w:color w:val="auto"/>
          <w:sz w:val="24"/>
          <w:szCs w:val="24"/>
          <w:highlight w:val="none"/>
        </w:rPr>
      </w:pPr>
      <w:r>
        <w:rPr>
          <w:rFonts w:hint="eastAsia"/>
          <w:b w:val="0"/>
          <w:bCs w:val="0"/>
          <w:color w:val="auto"/>
          <w:sz w:val="24"/>
          <w:szCs w:val="24"/>
          <w:highlight w:val="none"/>
          <w:lang w:val="en-US" w:eastAsia="zh-CN"/>
        </w:rPr>
        <w:t>8</w:t>
      </w:r>
      <w:r>
        <w:rPr>
          <w:rFonts w:hint="eastAsia"/>
          <w:b w:val="0"/>
          <w:bCs w:val="0"/>
          <w:color w:val="auto"/>
          <w:sz w:val="24"/>
          <w:szCs w:val="24"/>
          <w:highlight w:val="none"/>
        </w:rPr>
        <w:t>、本次招标不收取投标保证金。</w:t>
      </w:r>
    </w:p>
    <w:p w14:paraId="06B480C4">
      <w:pPr>
        <w:spacing w:line="440" w:lineRule="exact"/>
        <w:rPr>
          <w:b/>
          <w:color w:val="auto"/>
          <w:sz w:val="24"/>
          <w:szCs w:val="24"/>
          <w:highlight w:val="none"/>
        </w:rPr>
      </w:pPr>
      <w:r>
        <w:rPr>
          <w:b/>
          <w:color w:val="auto"/>
          <w:sz w:val="24"/>
          <w:szCs w:val="24"/>
          <w:highlight w:val="none"/>
        </w:rPr>
        <w:t>七、对本次招标提出询问，请按以下方式联系：</w:t>
      </w:r>
    </w:p>
    <w:p w14:paraId="55BC91B4">
      <w:pPr>
        <w:spacing w:line="440" w:lineRule="exact"/>
        <w:ind w:firstLine="480" w:firstLineChars="200"/>
        <w:rPr>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w:t>
      </w:r>
      <w:r>
        <w:rPr>
          <w:rFonts w:hint="eastAsia"/>
          <w:color w:val="auto"/>
          <w:sz w:val="24"/>
          <w:szCs w:val="24"/>
          <w:highlight w:val="none"/>
        </w:rPr>
        <w:t>采购人信息</w:t>
      </w:r>
    </w:p>
    <w:p w14:paraId="0276F287">
      <w:pPr>
        <w:spacing w:line="440" w:lineRule="exact"/>
        <w:ind w:firstLine="480" w:firstLineChars="200"/>
        <w:rPr>
          <w:rFonts w:hint="eastAsia"/>
          <w:color w:val="auto"/>
          <w:sz w:val="24"/>
          <w:szCs w:val="24"/>
          <w:highlight w:val="none"/>
          <w:lang w:eastAsia="zh-CN"/>
        </w:rPr>
      </w:pPr>
      <w:r>
        <w:rPr>
          <w:rFonts w:hint="eastAsia"/>
          <w:color w:val="auto"/>
          <w:sz w:val="24"/>
          <w:szCs w:val="24"/>
          <w:highlight w:val="none"/>
          <w:lang w:eastAsia="zh-CN"/>
        </w:rPr>
        <w:t>名称：常熟市琴川街道社区卫生服务中心</w:t>
      </w:r>
    </w:p>
    <w:p w14:paraId="23DCE004">
      <w:pPr>
        <w:spacing w:line="440" w:lineRule="exact"/>
        <w:ind w:firstLine="480" w:firstLineChars="200"/>
        <w:rPr>
          <w:rFonts w:hint="eastAsia"/>
          <w:color w:val="auto"/>
          <w:sz w:val="24"/>
          <w:szCs w:val="24"/>
          <w:highlight w:val="none"/>
          <w:lang w:val="en-US" w:eastAsia="zh-CN"/>
        </w:rPr>
      </w:pPr>
      <w:r>
        <w:rPr>
          <w:rFonts w:hint="eastAsia"/>
          <w:color w:val="auto"/>
          <w:sz w:val="24"/>
          <w:szCs w:val="24"/>
          <w:highlight w:val="none"/>
          <w:lang w:eastAsia="zh-CN"/>
        </w:rPr>
        <w:t>地址：苏州市常熟市琴川街道</w:t>
      </w:r>
      <w:r>
        <w:rPr>
          <w:rFonts w:hint="eastAsia"/>
          <w:color w:val="auto"/>
          <w:sz w:val="24"/>
          <w:szCs w:val="24"/>
          <w:highlight w:val="none"/>
          <w:lang w:val="en-US" w:eastAsia="zh-CN"/>
        </w:rPr>
        <w:t>渠中路68号</w:t>
      </w:r>
    </w:p>
    <w:p w14:paraId="0444E523">
      <w:pPr>
        <w:spacing w:line="440" w:lineRule="exact"/>
        <w:ind w:firstLine="480" w:firstLineChars="200"/>
        <w:rPr>
          <w:color w:val="auto"/>
          <w:sz w:val="24"/>
          <w:szCs w:val="24"/>
          <w:highlight w:val="none"/>
        </w:rPr>
      </w:pPr>
      <w:r>
        <w:rPr>
          <w:rFonts w:hint="eastAsia"/>
          <w:color w:val="auto"/>
          <w:sz w:val="24"/>
          <w:szCs w:val="24"/>
          <w:highlight w:val="none"/>
        </w:rPr>
        <w:t>联系方式：0512-</w:t>
      </w:r>
      <w:r>
        <w:rPr>
          <w:rFonts w:hint="eastAsia"/>
          <w:color w:val="auto"/>
          <w:sz w:val="24"/>
          <w:szCs w:val="24"/>
          <w:highlight w:val="none"/>
          <w:lang w:val="en-US" w:eastAsia="zh-CN"/>
        </w:rPr>
        <w:t>52830386</w:t>
      </w:r>
      <w:r>
        <w:rPr>
          <w:rFonts w:hint="eastAsia"/>
          <w:color w:val="auto"/>
          <w:sz w:val="24"/>
          <w:szCs w:val="24"/>
          <w:highlight w:val="none"/>
        </w:rPr>
        <w:t>（</w:t>
      </w:r>
      <w:r>
        <w:rPr>
          <w:rFonts w:hint="eastAsia"/>
          <w:color w:val="auto"/>
          <w:sz w:val="24"/>
          <w:szCs w:val="24"/>
          <w:highlight w:val="none"/>
          <w:lang w:val="en-US" w:eastAsia="zh-CN"/>
        </w:rPr>
        <w:t>徐鸣飞</w:t>
      </w:r>
      <w:r>
        <w:rPr>
          <w:rFonts w:hint="eastAsia"/>
          <w:color w:val="auto"/>
          <w:sz w:val="24"/>
          <w:szCs w:val="24"/>
          <w:highlight w:val="none"/>
        </w:rPr>
        <w:t>）</w:t>
      </w:r>
    </w:p>
    <w:p w14:paraId="24E120F5">
      <w:pPr>
        <w:spacing w:line="440" w:lineRule="exact"/>
        <w:ind w:firstLine="480" w:firstLineChars="200"/>
        <w:rPr>
          <w:color w:val="auto"/>
          <w:sz w:val="24"/>
          <w:szCs w:val="24"/>
          <w:highlight w:val="none"/>
        </w:rPr>
      </w:pPr>
      <w:r>
        <w:rPr>
          <w:rFonts w:hint="eastAsia"/>
          <w:color w:val="auto"/>
          <w:sz w:val="24"/>
          <w:szCs w:val="24"/>
          <w:highlight w:val="none"/>
        </w:rPr>
        <w:t>2</w:t>
      </w:r>
      <w:r>
        <w:rPr>
          <w:rFonts w:hint="eastAsia"/>
          <w:color w:val="auto"/>
          <w:sz w:val="24"/>
          <w:szCs w:val="24"/>
          <w:highlight w:val="none"/>
          <w:lang w:eastAsia="zh-CN"/>
        </w:rPr>
        <w:t>、</w:t>
      </w:r>
      <w:r>
        <w:rPr>
          <w:rFonts w:hint="eastAsia"/>
          <w:color w:val="auto"/>
          <w:sz w:val="24"/>
          <w:szCs w:val="24"/>
          <w:highlight w:val="none"/>
        </w:rPr>
        <w:t>采购代理机构信息</w:t>
      </w:r>
    </w:p>
    <w:p w14:paraId="6BBA224E">
      <w:pPr>
        <w:spacing w:line="440" w:lineRule="exact"/>
        <w:ind w:firstLine="480" w:firstLineChars="200"/>
        <w:rPr>
          <w:color w:val="auto"/>
          <w:sz w:val="24"/>
          <w:szCs w:val="24"/>
          <w:highlight w:val="none"/>
        </w:rPr>
      </w:pPr>
      <w:r>
        <w:rPr>
          <w:rFonts w:hint="eastAsia"/>
          <w:color w:val="auto"/>
          <w:sz w:val="24"/>
          <w:szCs w:val="24"/>
          <w:highlight w:val="none"/>
        </w:rPr>
        <w:t>名称：常熟虞东招标代理有限公司</w:t>
      </w:r>
    </w:p>
    <w:p w14:paraId="5EC2F93A">
      <w:pPr>
        <w:spacing w:line="440" w:lineRule="exact"/>
        <w:ind w:firstLine="480" w:firstLineChars="200"/>
        <w:rPr>
          <w:color w:val="auto"/>
          <w:sz w:val="24"/>
          <w:szCs w:val="24"/>
          <w:highlight w:val="none"/>
        </w:rPr>
      </w:pPr>
      <w:r>
        <w:rPr>
          <w:rFonts w:hint="eastAsia"/>
          <w:color w:val="auto"/>
          <w:sz w:val="24"/>
          <w:szCs w:val="24"/>
          <w:highlight w:val="none"/>
        </w:rPr>
        <w:t>地址：常熟市海虞北路33号裕坤美城大厦2003室</w:t>
      </w:r>
    </w:p>
    <w:p w14:paraId="78E01FAD">
      <w:pPr>
        <w:spacing w:line="440" w:lineRule="exact"/>
        <w:ind w:firstLine="480" w:firstLineChars="200"/>
        <w:rPr>
          <w:color w:val="auto"/>
          <w:sz w:val="24"/>
          <w:szCs w:val="24"/>
          <w:highlight w:val="none"/>
        </w:rPr>
      </w:pPr>
      <w:r>
        <w:rPr>
          <w:rFonts w:hint="eastAsia"/>
          <w:color w:val="auto"/>
          <w:sz w:val="24"/>
          <w:szCs w:val="24"/>
          <w:highlight w:val="none"/>
        </w:rPr>
        <w:t>联系方式：0512-52829811（金佳）</w:t>
      </w:r>
    </w:p>
    <w:p w14:paraId="492C287B">
      <w:pPr>
        <w:spacing w:line="440" w:lineRule="exact"/>
        <w:ind w:firstLine="480" w:firstLineChars="200"/>
        <w:rPr>
          <w:color w:val="auto"/>
          <w:sz w:val="24"/>
          <w:szCs w:val="24"/>
          <w:highlight w:val="none"/>
        </w:rPr>
      </w:pPr>
      <w:r>
        <w:rPr>
          <w:rFonts w:hint="eastAsia"/>
          <w:color w:val="auto"/>
          <w:sz w:val="24"/>
          <w:szCs w:val="24"/>
          <w:highlight w:val="none"/>
        </w:rPr>
        <w:t>3</w:t>
      </w:r>
      <w:r>
        <w:rPr>
          <w:rFonts w:hint="eastAsia"/>
          <w:color w:val="auto"/>
          <w:sz w:val="24"/>
          <w:szCs w:val="24"/>
          <w:highlight w:val="none"/>
          <w:lang w:eastAsia="zh-CN"/>
        </w:rPr>
        <w:t>、</w:t>
      </w:r>
      <w:r>
        <w:rPr>
          <w:rFonts w:hint="eastAsia"/>
          <w:color w:val="auto"/>
          <w:sz w:val="24"/>
          <w:szCs w:val="24"/>
          <w:highlight w:val="none"/>
        </w:rPr>
        <w:t>项目联系方式</w:t>
      </w:r>
    </w:p>
    <w:p w14:paraId="3E19E19B">
      <w:pPr>
        <w:spacing w:line="440" w:lineRule="exact"/>
        <w:ind w:firstLine="480" w:firstLineChars="200"/>
        <w:rPr>
          <w:color w:val="auto"/>
          <w:sz w:val="24"/>
          <w:szCs w:val="24"/>
          <w:highlight w:val="none"/>
        </w:rPr>
      </w:pPr>
      <w:r>
        <w:rPr>
          <w:rFonts w:hint="eastAsia"/>
          <w:color w:val="auto"/>
          <w:sz w:val="24"/>
          <w:szCs w:val="24"/>
          <w:highlight w:val="none"/>
        </w:rPr>
        <w:t>项目联系人：金佳</w:t>
      </w:r>
    </w:p>
    <w:p w14:paraId="01F0D8DF">
      <w:pPr>
        <w:spacing w:line="440" w:lineRule="exact"/>
        <w:ind w:firstLine="480" w:firstLineChars="200"/>
        <w:rPr>
          <w:color w:val="auto"/>
          <w:sz w:val="24"/>
          <w:szCs w:val="24"/>
          <w:highlight w:val="none"/>
        </w:rPr>
      </w:pPr>
      <w:r>
        <w:rPr>
          <w:rFonts w:hint="eastAsia"/>
          <w:color w:val="auto"/>
          <w:sz w:val="24"/>
          <w:szCs w:val="24"/>
          <w:highlight w:val="none"/>
        </w:rPr>
        <w:t>电话：0512-52829811</w:t>
      </w:r>
    </w:p>
    <w:p w14:paraId="0FBC8329">
      <w:pPr>
        <w:spacing w:line="440" w:lineRule="exact"/>
        <w:ind w:firstLine="480"/>
        <w:rPr>
          <w:color w:val="auto"/>
          <w:sz w:val="24"/>
          <w:szCs w:val="24"/>
          <w:highlight w:val="none"/>
        </w:rPr>
      </w:pPr>
    </w:p>
    <w:p w14:paraId="4E006C73">
      <w:pPr>
        <w:pStyle w:val="2"/>
        <w:rPr>
          <w:rFonts w:ascii="Times New Roman" w:hAnsi="Times New Roman"/>
          <w:color w:val="auto"/>
          <w:highlight w:val="none"/>
        </w:rPr>
      </w:pPr>
      <w:r>
        <w:rPr>
          <w:rFonts w:ascii="Times New Roman" w:hAnsi="Times New Roman"/>
          <w:color w:val="auto"/>
          <w:highlight w:val="none"/>
        </w:rPr>
        <w:br w:type="page" w:clear="all"/>
      </w:r>
      <w:bookmarkStart w:id="8" w:name="_Hlt97715964"/>
      <w:bookmarkEnd w:id="8"/>
      <w:bookmarkStart w:id="9" w:name="_Toc11647"/>
      <w:bookmarkStart w:id="10" w:name="_Toc24175"/>
      <w:bookmarkStart w:id="11" w:name="_Toc315868050"/>
      <w:bookmarkStart w:id="12" w:name="_Toc315875313"/>
      <w:bookmarkStart w:id="13" w:name="_Toc158691766"/>
      <w:r>
        <w:rPr>
          <w:rFonts w:ascii="Times New Roman" w:hAnsi="Times New Roman"/>
          <w:color w:val="auto"/>
          <w:highlight w:val="none"/>
        </w:rPr>
        <w:t>第二章</w:t>
      </w:r>
      <w:r>
        <w:rPr>
          <w:rFonts w:hint="eastAsia" w:ascii="Times New Roman" w:hAnsi="Times New Roman"/>
          <w:color w:val="auto"/>
          <w:highlight w:val="none"/>
        </w:rPr>
        <w:t xml:space="preserve"> </w:t>
      </w:r>
      <w:r>
        <w:rPr>
          <w:rFonts w:ascii="Times New Roman" w:hAnsi="Times New Roman"/>
          <w:color w:val="auto"/>
          <w:highlight w:val="none"/>
        </w:rPr>
        <w:t>投标人须知</w:t>
      </w:r>
      <w:bookmarkEnd w:id="9"/>
      <w:bookmarkEnd w:id="10"/>
    </w:p>
    <w:p w14:paraId="014D5D3C">
      <w:pPr>
        <w:pStyle w:val="3"/>
        <w:rPr>
          <w:color w:val="auto"/>
          <w:highlight w:val="none"/>
        </w:rPr>
      </w:pPr>
      <w:bookmarkStart w:id="14" w:name="_Toc16304"/>
      <w:bookmarkStart w:id="15" w:name="_Toc15697"/>
      <w:r>
        <w:rPr>
          <w:color w:val="auto"/>
          <w:highlight w:val="none"/>
        </w:rPr>
        <w:t>一、总则</w:t>
      </w:r>
      <w:bookmarkEnd w:id="14"/>
      <w:bookmarkEnd w:id="15"/>
    </w:p>
    <w:p w14:paraId="0FFE7807">
      <w:pPr>
        <w:spacing w:line="440" w:lineRule="exact"/>
        <w:rPr>
          <w:b/>
          <w:color w:val="auto"/>
          <w:sz w:val="24"/>
          <w:szCs w:val="24"/>
          <w:highlight w:val="none"/>
        </w:rPr>
      </w:pPr>
      <w:bookmarkStart w:id="16" w:name="_Toc458694821"/>
      <w:bookmarkStart w:id="17" w:name="_Toc513029204"/>
      <w:bookmarkStart w:id="18" w:name="_Toc16938520"/>
      <w:bookmarkStart w:id="19" w:name="_Toc20823276"/>
      <w:r>
        <w:rPr>
          <w:rFonts w:hint="eastAsia"/>
          <w:b/>
          <w:color w:val="auto"/>
          <w:sz w:val="24"/>
          <w:szCs w:val="24"/>
          <w:highlight w:val="none"/>
        </w:rPr>
        <w:t>1</w:t>
      </w:r>
      <w:bookmarkEnd w:id="16"/>
      <w:r>
        <w:rPr>
          <w:rFonts w:hint="eastAsia"/>
          <w:b/>
          <w:color w:val="auto"/>
          <w:sz w:val="24"/>
          <w:szCs w:val="24"/>
          <w:highlight w:val="none"/>
        </w:rPr>
        <w:t>、采购方式</w:t>
      </w:r>
      <w:bookmarkEnd w:id="17"/>
      <w:bookmarkEnd w:id="18"/>
      <w:bookmarkEnd w:id="19"/>
      <w:r>
        <w:rPr>
          <w:rFonts w:hint="eastAsia"/>
          <w:b/>
          <w:color w:val="auto"/>
          <w:sz w:val="24"/>
          <w:szCs w:val="24"/>
          <w:highlight w:val="none"/>
        </w:rPr>
        <w:t>及适用法律</w:t>
      </w:r>
    </w:p>
    <w:p w14:paraId="304F64FC">
      <w:pPr>
        <w:spacing w:line="440" w:lineRule="exact"/>
        <w:ind w:firstLine="360"/>
        <w:rPr>
          <w:color w:val="auto"/>
          <w:sz w:val="24"/>
          <w:szCs w:val="24"/>
          <w:highlight w:val="none"/>
        </w:rPr>
      </w:pPr>
      <w:r>
        <w:rPr>
          <w:color w:val="auto"/>
          <w:sz w:val="24"/>
          <w:szCs w:val="24"/>
          <w:highlight w:val="none"/>
        </w:rPr>
        <w:t>1.1</w:t>
      </w:r>
      <w:r>
        <w:rPr>
          <w:rFonts w:hint="eastAsia"/>
          <w:color w:val="auto"/>
          <w:sz w:val="24"/>
          <w:szCs w:val="24"/>
          <w:highlight w:val="none"/>
        </w:rPr>
        <w:t>本次招标采取公开招标方式，本招标文件仅适用于招标公告中所述项目。</w:t>
      </w:r>
    </w:p>
    <w:p w14:paraId="70E1DE9D">
      <w:pPr>
        <w:spacing w:line="440" w:lineRule="exact"/>
        <w:ind w:firstLine="360"/>
        <w:rPr>
          <w:color w:val="auto"/>
          <w:sz w:val="24"/>
          <w:szCs w:val="24"/>
          <w:highlight w:val="none"/>
        </w:rPr>
      </w:pPr>
      <w:r>
        <w:rPr>
          <w:rFonts w:hint="eastAsia"/>
          <w:color w:val="auto"/>
          <w:sz w:val="24"/>
          <w:szCs w:val="24"/>
          <w:highlight w:val="none"/>
        </w:rPr>
        <w:t>1</w:t>
      </w:r>
      <w:r>
        <w:rPr>
          <w:color w:val="auto"/>
          <w:sz w:val="24"/>
          <w:szCs w:val="24"/>
          <w:highlight w:val="none"/>
        </w:rPr>
        <w:t xml:space="preserve">.2 </w:t>
      </w:r>
      <w:r>
        <w:rPr>
          <w:rFonts w:hint="eastAsia"/>
          <w:color w:val="auto"/>
          <w:sz w:val="24"/>
          <w:szCs w:val="24"/>
          <w:highlight w:val="none"/>
        </w:rPr>
        <w:t>本次招标及由此产生的合同受中华人民共和国有关的法律法规制约和保护</w:t>
      </w:r>
      <w:r>
        <w:rPr>
          <w:color w:val="auto"/>
          <w:sz w:val="24"/>
          <w:szCs w:val="24"/>
          <w:highlight w:val="none"/>
        </w:rPr>
        <w:t>。</w:t>
      </w:r>
    </w:p>
    <w:p w14:paraId="24262509">
      <w:pPr>
        <w:spacing w:line="440" w:lineRule="exact"/>
        <w:rPr>
          <w:b/>
          <w:color w:val="auto"/>
          <w:sz w:val="24"/>
          <w:szCs w:val="24"/>
          <w:highlight w:val="none"/>
        </w:rPr>
      </w:pPr>
      <w:r>
        <w:rPr>
          <w:b/>
          <w:color w:val="auto"/>
          <w:sz w:val="24"/>
          <w:szCs w:val="24"/>
          <w:highlight w:val="none"/>
        </w:rPr>
        <w:t>2、定义</w:t>
      </w:r>
    </w:p>
    <w:p w14:paraId="66678D07">
      <w:pPr>
        <w:spacing w:line="440" w:lineRule="exact"/>
        <w:ind w:firstLine="360"/>
        <w:rPr>
          <w:color w:val="auto"/>
          <w:sz w:val="24"/>
          <w:szCs w:val="24"/>
          <w:highlight w:val="none"/>
        </w:rPr>
      </w:pPr>
      <w:r>
        <w:rPr>
          <w:color w:val="auto"/>
          <w:sz w:val="24"/>
          <w:szCs w:val="24"/>
          <w:highlight w:val="none"/>
        </w:rPr>
        <w:t>2.1</w:t>
      </w:r>
      <w:r>
        <w:rPr>
          <w:rFonts w:hint="eastAsia" w:ascii="宋体" w:hAnsi="宋体" w:cs="宋体"/>
          <w:color w:val="auto"/>
          <w:sz w:val="24"/>
          <w:szCs w:val="24"/>
          <w:highlight w:val="none"/>
        </w:rPr>
        <w:t xml:space="preserve"> “采购代理机构”系</w:t>
      </w:r>
      <w:r>
        <w:rPr>
          <w:color w:val="auto"/>
          <w:sz w:val="24"/>
          <w:szCs w:val="24"/>
          <w:highlight w:val="none"/>
        </w:rPr>
        <w:t>指组织本次招标的常熟虞东招标代理有限公司（以下简称</w:t>
      </w:r>
      <w:r>
        <w:rPr>
          <w:rFonts w:hint="eastAsia" w:ascii="宋体" w:hAnsi="宋体" w:cs="宋体"/>
          <w:color w:val="auto"/>
          <w:sz w:val="24"/>
          <w:szCs w:val="24"/>
          <w:highlight w:val="none"/>
        </w:rPr>
        <w:t>“代理机构”</w:t>
      </w:r>
      <w:r>
        <w:rPr>
          <w:color w:val="auto"/>
          <w:sz w:val="24"/>
          <w:szCs w:val="24"/>
          <w:highlight w:val="none"/>
        </w:rPr>
        <w:t>）。</w:t>
      </w:r>
    </w:p>
    <w:p w14:paraId="2D9A3FAD">
      <w:pPr>
        <w:spacing w:line="440" w:lineRule="exact"/>
        <w:ind w:firstLine="360"/>
        <w:rPr>
          <w:color w:val="auto"/>
          <w:sz w:val="24"/>
          <w:szCs w:val="24"/>
          <w:highlight w:val="none"/>
        </w:rPr>
      </w:pPr>
      <w:r>
        <w:rPr>
          <w:color w:val="auto"/>
          <w:sz w:val="24"/>
          <w:szCs w:val="24"/>
          <w:highlight w:val="none"/>
        </w:rPr>
        <w:t xml:space="preserve">2.2 </w:t>
      </w:r>
      <w:r>
        <w:rPr>
          <w:rFonts w:hint="eastAsia" w:ascii="宋体" w:hAnsi="宋体" w:cs="宋体"/>
          <w:color w:val="auto"/>
          <w:sz w:val="24"/>
          <w:szCs w:val="24"/>
          <w:highlight w:val="none"/>
        </w:rPr>
        <w:t>“投标人</w:t>
      </w:r>
      <w:r>
        <w:rPr>
          <w:rFonts w:hint="eastAsia"/>
          <w:color w:val="auto"/>
          <w:sz w:val="24"/>
          <w:szCs w:val="24"/>
          <w:highlight w:val="none"/>
        </w:rPr>
        <w:t>”</w:t>
      </w:r>
      <w:r>
        <w:rPr>
          <w:color w:val="auto"/>
          <w:sz w:val="24"/>
          <w:szCs w:val="24"/>
          <w:highlight w:val="none"/>
        </w:rPr>
        <w:t>系指</w:t>
      </w:r>
      <w:r>
        <w:rPr>
          <w:rFonts w:hint="eastAsia"/>
          <w:color w:val="auto"/>
          <w:sz w:val="24"/>
          <w:szCs w:val="24"/>
          <w:highlight w:val="none"/>
        </w:rPr>
        <w:t>响应招标、参加投标竞争的供应商</w:t>
      </w:r>
      <w:r>
        <w:rPr>
          <w:color w:val="auto"/>
          <w:sz w:val="24"/>
          <w:szCs w:val="24"/>
          <w:highlight w:val="none"/>
        </w:rPr>
        <w:t>。</w:t>
      </w:r>
    </w:p>
    <w:p w14:paraId="1189AC8A">
      <w:pPr>
        <w:spacing w:line="440" w:lineRule="exact"/>
        <w:ind w:firstLine="360"/>
        <w:rPr>
          <w:color w:val="auto"/>
          <w:sz w:val="24"/>
          <w:szCs w:val="24"/>
          <w:highlight w:val="none"/>
        </w:rPr>
      </w:pPr>
      <w:r>
        <w:rPr>
          <w:color w:val="auto"/>
          <w:sz w:val="24"/>
          <w:szCs w:val="24"/>
          <w:highlight w:val="none"/>
        </w:rPr>
        <w:t xml:space="preserve">2.3 </w:t>
      </w:r>
      <w:r>
        <w:rPr>
          <w:rFonts w:hint="eastAsia" w:ascii="宋体" w:hAnsi="宋体" w:cs="宋体"/>
          <w:color w:val="auto"/>
          <w:sz w:val="24"/>
          <w:szCs w:val="24"/>
          <w:highlight w:val="none"/>
        </w:rPr>
        <w:t>“采购人”系</w:t>
      </w:r>
      <w:r>
        <w:rPr>
          <w:color w:val="auto"/>
          <w:sz w:val="24"/>
          <w:szCs w:val="24"/>
          <w:highlight w:val="none"/>
        </w:rPr>
        <w:t>指购买本项目相关服务的国家机关、事业单位、团体组织。</w:t>
      </w:r>
    </w:p>
    <w:p w14:paraId="69ACD1B1">
      <w:pPr>
        <w:spacing w:line="440" w:lineRule="exact"/>
        <w:rPr>
          <w:b/>
          <w:color w:val="auto"/>
          <w:sz w:val="24"/>
          <w:szCs w:val="24"/>
          <w:highlight w:val="none"/>
        </w:rPr>
      </w:pPr>
      <w:r>
        <w:rPr>
          <w:b/>
          <w:color w:val="auto"/>
          <w:sz w:val="24"/>
          <w:szCs w:val="24"/>
          <w:highlight w:val="none"/>
        </w:rPr>
        <w:t>3、合格投标人的条件</w:t>
      </w:r>
    </w:p>
    <w:p w14:paraId="25F56FE9">
      <w:pPr>
        <w:spacing w:line="440" w:lineRule="exact"/>
        <w:ind w:firstLine="360"/>
        <w:rPr>
          <w:color w:val="auto"/>
          <w:sz w:val="24"/>
          <w:szCs w:val="24"/>
          <w:highlight w:val="none"/>
        </w:rPr>
      </w:pPr>
      <w:r>
        <w:rPr>
          <w:color w:val="auto"/>
          <w:sz w:val="24"/>
          <w:szCs w:val="24"/>
          <w:highlight w:val="none"/>
        </w:rPr>
        <w:t>3</w:t>
      </w:r>
      <w:r>
        <w:rPr>
          <w:rFonts w:hint="eastAsia"/>
          <w:color w:val="auto"/>
          <w:sz w:val="24"/>
          <w:szCs w:val="24"/>
          <w:highlight w:val="none"/>
        </w:rPr>
        <w:t>.1满足招标公告中申请人的资格要求的规定，</w:t>
      </w:r>
      <w:r>
        <w:rPr>
          <w:color w:val="auto"/>
          <w:sz w:val="24"/>
          <w:szCs w:val="24"/>
          <w:highlight w:val="none"/>
        </w:rPr>
        <w:t>详见《</w:t>
      </w:r>
      <w:r>
        <w:rPr>
          <w:rFonts w:hint="eastAsia"/>
          <w:color w:val="auto"/>
          <w:sz w:val="24"/>
          <w:szCs w:val="24"/>
          <w:highlight w:val="none"/>
        </w:rPr>
        <w:t>第一章投标邀请</w:t>
      </w:r>
      <w:r>
        <w:rPr>
          <w:color w:val="auto"/>
          <w:sz w:val="24"/>
          <w:szCs w:val="24"/>
          <w:highlight w:val="none"/>
        </w:rPr>
        <w:t>》</w:t>
      </w:r>
      <w:r>
        <w:rPr>
          <w:rFonts w:hint="eastAsia"/>
          <w:color w:val="auto"/>
          <w:sz w:val="24"/>
          <w:szCs w:val="24"/>
          <w:highlight w:val="none"/>
        </w:rPr>
        <w:t>中</w:t>
      </w:r>
      <w:r>
        <w:rPr>
          <w:color w:val="auto"/>
          <w:sz w:val="24"/>
          <w:szCs w:val="24"/>
          <w:highlight w:val="none"/>
        </w:rPr>
        <w:t>申请人的资格要求</w:t>
      </w:r>
      <w:r>
        <w:rPr>
          <w:rFonts w:hint="eastAsia"/>
          <w:color w:val="auto"/>
          <w:sz w:val="24"/>
          <w:szCs w:val="24"/>
          <w:highlight w:val="none"/>
        </w:rPr>
        <w:t>。</w:t>
      </w:r>
    </w:p>
    <w:p w14:paraId="53D2F3BE">
      <w:pPr>
        <w:spacing w:line="440" w:lineRule="exact"/>
        <w:ind w:firstLine="360"/>
        <w:rPr>
          <w:color w:val="auto"/>
          <w:sz w:val="24"/>
          <w:szCs w:val="24"/>
          <w:highlight w:val="none"/>
        </w:rPr>
      </w:pPr>
      <w:r>
        <w:rPr>
          <w:color w:val="auto"/>
          <w:sz w:val="24"/>
          <w:szCs w:val="24"/>
          <w:highlight w:val="none"/>
        </w:rPr>
        <w:t>3</w:t>
      </w:r>
      <w:r>
        <w:rPr>
          <w:rFonts w:hint="eastAsia"/>
          <w:color w:val="auto"/>
          <w:sz w:val="24"/>
          <w:szCs w:val="24"/>
          <w:highlight w:val="none"/>
        </w:rPr>
        <w:t>.2 满足本文件实质性要求和条件的规定。</w:t>
      </w:r>
    </w:p>
    <w:p w14:paraId="5EDD9F68">
      <w:pPr>
        <w:spacing w:line="440" w:lineRule="exact"/>
        <w:rPr>
          <w:b/>
          <w:color w:val="auto"/>
          <w:sz w:val="24"/>
          <w:szCs w:val="24"/>
          <w:highlight w:val="none"/>
        </w:rPr>
      </w:pPr>
      <w:r>
        <w:rPr>
          <w:b/>
          <w:color w:val="auto"/>
          <w:sz w:val="24"/>
          <w:szCs w:val="24"/>
          <w:highlight w:val="none"/>
        </w:rPr>
        <w:t>4、投标费用</w:t>
      </w:r>
    </w:p>
    <w:p w14:paraId="77393B62">
      <w:pPr>
        <w:spacing w:line="440" w:lineRule="exact"/>
        <w:ind w:firstLine="360"/>
        <w:rPr>
          <w:color w:val="auto"/>
          <w:sz w:val="24"/>
          <w:szCs w:val="24"/>
          <w:highlight w:val="none"/>
        </w:rPr>
      </w:pPr>
      <w:r>
        <w:rPr>
          <w:color w:val="auto"/>
          <w:sz w:val="24"/>
          <w:szCs w:val="24"/>
          <w:highlight w:val="none"/>
        </w:rPr>
        <w:t>4.1 投标人应自行承担所有与准备和参加投标有关的一切费用。</w:t>
      </w:r>
      <w:r>
        <w:rPr>
          <w:rFonts w:hint="eastAsia"/>
          <w:color w:val="auto"/>
          <w:sz w:val="24"/>
          <w:szCs w:val="24"/>
          <w:highlight w:val="none"/>
        </w:rPr>
        <w:t>无论投标过程中的做法和结果如何</w:t>
      </w:r>
      <w:r>
        <w:rPr>
          <w:color w:val="auto"/>
          <w:sz w:val="24"/>
          <w:szCs w:val="24"/>
          <w:highlight w:val="none"/>
        </w:rPr>
        <w:t>，投标人应自行承担所有与准备和参加投标有关的</w:t>
      </w:r>
      <w:r>
        <w:rPr>
          <w:rFonts w:hint="eastAsia"/>
          <w:color w:val="auto"/>
          <w:sz w:val="24"/>
          <w:szCs w:val="24"/>
          <w:highlight w:val="none"/>
        </w:rPr>
        <w:t>全部</w:t>
      </w:r>
      <w:r>
        <w:rPr>
          <w:color w:val="auto"/>
          <w:sz w:val="24"/>
          <w:szCs w:val="24"/>
          <w:highlight w:val="none"/>
        </w:rPr>
        <w:t>费用</w:t>
      </w:r>
      <w:r>
        <w:rPr>
          <w:rFonts w:hint="eastAsia"/>
          <w:color w:val="auto"/>
          <w:sz w:val="24"/>
          <w:szCs w:val="24"/>
          <w:highlight w:val="none"/>
        </w:rPr>
        <w:t>，</w:t>
      </w:r>
      <w:r>
        <w:rPr>
          <w:color w:val="auto"/>
          <w:sz w:val="24"/>
          <w:szCs w:val="24"/>
          <w:highlight w:val="none"/>
        </w:rPr>
        <w:t>代理机构在任何情况下均无义务和责任承担这些费用。</w:t>
      </w:r>
    </w:p>
    <w:p w14:paraId="74507DB0">
      <w:pPr>
        <w:spacing w:line="440" w:lineRule="exact"/>
        <w:rPr>
          <w:b/>
          <w:color w:val="auto"/>
          <w:sz w:val="24"/>
          <w:szCs w:val="24"/>
          <w:highlight w:val="none"/>
        </w:rPr>
      </w:pPr>
      <w:r>
        <w:rPr>
          <w:rFonts w:hint="eastAsia"/>
          <w:b/>
          <w:color w:val="auto"/>
          <w:sz w:val="24"/>
          <w:szCs w:val="24"/>
          <w:highlight w:val="none"/>
          <w:lang w:val="en-US" w:eastAsia="zh-CN"/>
        </w:rPr>
        <w:t>5、代理服务费</w:t>
      </w:r>
    </w:p>
    <w:p w14:paraId="5B9E4CE9">
      <w:pPr>
        <w:spacing w:line="440" w:lineRule="exact"/>
        <w:ind w:firstLine="360"/>
        <w:rPr>
          <w:b/>
          <w:bCs/>
          <w:color w:val="auto"/>
          <w:sz w:val="24"/>
          <w:szCs w:val="24"/>
          <w:highlight w:val="none"/>
        </w:rPr>
      </w:pPr>
      <w:r>
        <w:rPr>
          <w:rFonts w:hint="eastAsia"/>
          <w:b/>
          <w:bCs/>
          <w:color w:val="auto"/>
          <w:sz w:val="24"/>
          <w:szCs w:val="24"/>
          <w:highlight w:val="none"/>
          <w:lang w:val="en-US" w:eastAsia="zh-CN"/>
        </w:rPr>
        <w:t>5.1</w:t>
      </w:r>
      <w:r>
        <w:rPr>
          <w:rFonts w:hint="eastAsia"/>
          <w:b/>
          <w:bCs/>
          <w:color w:val="auto"/>
          <w:sz w:val="24"/>
          <w:szCs w:val="24"/>
          <w:highlight w:val="none"/>
        </w:rPr>
        <w:t> 本次招标项目采购代理服务费：</w:t>
      </w:r>
      <w:r>
        <w:rPr>
          <w:b/>
          <w:bCs/>
          <w:color w:val="auto"/>
          <w:sz w:val="24"/>
          <w:szCs w:val="24"/>
          <w:highlight w:val="none"/>
        </w:rPr>
        <w:t>人民币</w:t>
      </w:r>
      <w:r>
        <w:rPr>
          <w:rFonts w:hint="eastAsia"/>
          <w:b/>
          <w:bCs/>
          <w:color w:val="auto"/>
          <w:sz w:val="24"/>
          <w:szCs w:val="24"/>
          <w:highlight w:val="none"/>
          <w:lang w:val="en-US" w:eastAsia="zh-CN"/>
        </w:rPr>
        <w:t>壹万壹仟叁佰肆拾元整</w:t>
      </w:r>
      <w:r>
        <w:rPr>
          <w:rFonts w:hint="eastAsia"/>
          <w:b/>
          <w:bCs/>
          <w:color w:val="auto"/>
          <w:sz w:val="24"/>
          <w:szCs w:val="24"/>
          <w:highlight w:val="none"/>
        </w:rPr>
        <w:t>。由采购人支付。</w:t>
      </w:r>
    </w:p>
    <w:p w14:paraId="71EC13FE">
      <w:pPr>
        <w:spacing w:line="440" w:lineRule="exact"/>
        <w:rPr>
          <w:b/>
          <w:color w:val="auto"/>
          <w:sz w:val="24"/>
          <w:szCs w:val="24"/>
          <w:highlight w:val="none"/>
        </w:rPr>
      </w:pPr>
      <w:r>
        <w:rPr>
          <w:rFonts w:hint="eastAsia"/>
          <w:b/>
          <w:color w:val="auto"/>
          <w:sz w:val="24"/>
          <w:szCs w:val="24"/>
          <w:highlight w:val="none"/>
          <w:lang w:val="en-US" w:eastAsia="zh-CN"/>
        </w:rPr>
        <w:t>6</w:t>
      </w:r>
      <w:r>
        <w:rPr>
          <w:b/>
          <w:color w:val="auto"/>
          <w:sz w:val="24"/>
          <w:szCs w:val="24"/>
          <w:highlight w:val="none"/>
        </w:rPr>
        <w:t>、招标文件约束力</w:t>
      </w:r>
    </w:p>
    <w:p w14:paraId="08C7F84E">
      <w:pPr>
        <w:spacing w:line="440" w:lineRule="exact"/>
        <w:ind w:firstLine="360"/>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.1 投标人一旦参加投标，即被认为接受了本招标文件中的所有条件</w:t>
      </w:r>
      <w:r>
        <w:rPr>
          <w:rFonts w:hint="eastAsia"/>
          <w:color w:val="auto"/>
          <w:sz w:val="24"/>
          <w:szCs w:val="24"/>
          <w:highlight w:val="none"/>
        </w:rPr>
        <w:t>、</w:t>
      </w:r>
      <w:r>
        <w:rPr>
          <w:color w:val="auto"/>
          <w:sz w:val="24"/>
          <w:szCs w:val="24"/>
          <w:highlight w:val="none"/>
        </w:rPr>
        <w:t>规定</w:t>
      </w:r>
      <w:r>
        <w:rPr>
          <w:rFonts w:hint="eastAsia"/>
          <w:color w:val="auto"/>
          <w:sz w:val="24"/>
          <w:szCs w:val="24"/>
          <w:highlight w:val="none"/>
        </w:rPr>
        <w:t>和</w:t>
      </w:r>
      <w:r>
        <w:rPr>
          <w:rFonts w:hint="eastAsia" w:ascii="宋体" w:hAnsi="宋体"/>
          <w:color w:val="auto"/>
          <w:sz w:val="24"/>
          <w:szCs w:val="24"/>
          <w:highlight w:val="none"/>
        </w:rPr>
        <w:t>约束</w:t>
      </w:r>
      <w:r>
        <w:rPr>
          <w:color w:val="auto"/>
          <w:sz w:val="24"/>
          <w:szCs w:val="24"/>
          <w:highlight w:val="none"/>
        </w:rPr>
        <w:t>。</w:t>
      </w:r>
    </w:p>
    <w:p w14:paraId="7A8D73B7">
      <w:pPr>
        <w:spacing w:line="440" w:lineRule="exact"/>
        <w:rPr>
          <w:b/>
          <w:color w:val="auto"/>
          <w:sz w:val="24"/>
          <w:szCs w:val="24"/>
          <w:highlight w:val="none"/>
        </w:rPr>
      </w:pPr>
      <w:r>
        <w:rPr>
          <w:rFonts w:hint="eastAsia"/>
          <w:b/>
          <w:color w:val="auto"/>
          <w:sz w:val="24"/>
          <w:szCs w:val="24"/>
          <w:highlight w:val="none"/>
          <w:lang w:val="en-US" w:eastAsia="zh-CN"/>
        </w:rPr>
        <w:t>7</w:t>
      </w:r>
      <w:r>
        <w:rPr>
          <w:b/>
          <w:color w:val="auto"/>
          <w:sz w:val="24"/>
          <w:szCs w:val="24"/>
          <w:highlight w:val="none"/>
        </w:rPr>
        <w:t>、招标活动的终止</w:t>
      </w:r>
    </w:p>
    <w:p w14:paraId="1F9D3A34">
      <w:pPr>
        <w:spacing w:line="440" w:lineRule="exact"/>
        <w:ind w:firstLine="360"/>
        <w:rPr>
          <w:color w:val="auto"/>
          <w:sz w:val="24"/>
          <w:szCs w:val="24"/>
          <w:highlight w:val="none"/>
        </w:rPr>
      </w:pPr>
      <w:r>
        <w:rPr>
          <w:rFonts w:hint="eastAsia"/>
          <w:color w:val="auto"/>
          <w:sz w:val="24"/>
          <w:szCs w:val="24"/>
          <w:highlight w:val="none"/>
          <w:lang w:val="en-US" w:eastAsia="zh-CN"/>
        </w:rPr>
        <w:t>7</w:t>
      </w:r>
      <w:r>
        <w:rPr>
          <w:color w:val="auto"/>
          <w:sz w:val="24"/>
          <w:szCs w:val="24"/>
          <w:highlight w:val="none"/>
        </w:rPr>
        <w:t>.1 在招标活动中因重大变故，采购任务取消的，采购人或者代理机构将按规定终止本项目招标活动，并将在指定媒体上发布终止公告。所有潜在投标人可在本招标公告网站上查看到相关终止信息。</w:t>
      </w:r>
    </w:p>
    <w:p w14:paraId="6DCEA724">
      <w:pPr>
        <w:spacing w:line="440" w:lineRule="exact"/>
        <w:ind w:firstLine="360"/>
        <w:rPr>
          <w:color w:val="auto"/>
          <w:sz w:val="24"/>
          <w:szCs w:val="24"/>
          <w:highlight w:val="none"/>
        </w:rPr>
      </w:pPr>
    </w:p>
    <w:p w14:paraId="2BEF1082">
      <w:pPr>
        <w:pStyle w:val="3"/>
        <w:rPr>
          <w:color w:val="auto"/>
          <w:highlight w:val="none"/>
        </w:rPr>
      </w:pPr>
      <w:bookmarkStart w:id="20" w:name="_Toc27724"/>
      <w:bookmarkStart w:id="21" w:name="_Toc6095"/>
      <w:r>
        <w:rPr>
          <w:color w:val="auto"/>
          <w:highlight w:val="none"/>
        </w:rPr>
        <w:t>二、招标文件的说明</w:t>
      </w:r>
      <w:bookmarkEnd w:id="20"/>
      <w:bookmarkEnd w:id="21"/>
    </w:p>
    <w:p w14:paraId="0D590B98">
      <w:pPr>
        <w:spacing w:line="440" w:lineRule="exact"/>
        <w:rPr>
          <w:b/>
          <w:color w:val="auto"/>
          <w:sz w:val="24"/>
          <w:szCs w:val="24"/>
          <w:highlight w:val="none"/>
        </w:rPr>
      </w:pPr>
      <w:r>
        <w:rPr>
          <w:b/>
          <w:color w:val="auto"/>
          <w:sz w:val="24"/>
          <w:szCs w:val="24"/>
          <w:highlight w:val="none"/>
        </w:rPr>
        <w:t>1、招标文件的构成</w:t>
      </w:r>
    </w:p>
    <w:p w14:paraId="2C1E7AD2">
      <w:pPr>
        <w:spacing w:line="440" w:lineRule="exact"/>
        <w:ind w:firstLine="360"/>
        <w:rPr>
          <w:color w:val="auto"/>
          <w:sz w:val="24"/>
          <w:szCs w:val="24"/>
          <w:highlight w:val="none"/>
        </w:rPr>
      </w:pPr>
      <w:r>
        <w:rPr>
          <w:color w:val="auto"/>
          <w:sz w:val="24"/>
          <w:szCs w:val="24"/>
          <w:highlight w:val="none"/>
        </w:rPr>
        <w:t>1.1 招标文件由下列内容组成：</w:t>
      </w:r>
    </w:p>
    <w:p w14:paraId="285A9166">
      <w:pPr>
        <w:spacing w:line="440" w:lineRule="exact"/>
        <w:ind w:firstLine="360"/>
        <w:rPr>
          <w:color w:val="auto"/>
          <w:sz w:val="24"/>
          <w:szCs w:val="24"/>
          <w:highlight w:val="none"/>
        </w:rPr>
      </w:pPr>
      <w:r>
        <w:rPr>
          <w:rFonts w:hint="eastAsia"/>
          <w:color w:val="auto"/>
          <w:sz w:val="24"/>
          <w:szCs w:val="24"/>
          <w:highlight w:val="none"/>
        </w:rPr>
        <w:t>（1）第一章 投标邀请</w:t>
      </w:r>
    </w:p>
    <w:p w14:paraId="3588B7FE">
      <w:pPr>
        <w:spacing w:line="440" w:lineRule="exact"/>
        <w:ind w:firstLine="360"/>
        <w:rPr>
          <w:color w:val="auto"/>
          <w:sz w:val="24"/>
          <w:szCs w:val="24"/>
          <w:highlight w:val="none"/>
        </w:rPr>
      </w:pPr>
      <w:r>
        <w:rPr>
          <w:rFonts w:hint="eastAsia"/>
          <w:color w:val="auto"/>
          <w:sz w:val="24"/>
          <w:szCs w:val="24"/>
          <w:highlight w:val="none"/>
        </w:rPr>
        <w:t>（2）第二章 投标人须知</w:t>
      </w:r>
    </w:p>
    <w:p w14:paraId="59075F1E">
      <w:pPr>
        <w:spacing w:line="440" w:lineRule="exact"/>
        <w:ind w:firstLine="360"/>
        <w:rPr>
          <w:color w:val="auto"/>
          <w:sz w:val="24"/>
          <w:szCs w:val="24"/>
          <w:highlight w:val="none"/>
        </w:rPr>
      </w:pPr>
      <w:r>
        <w:rPr>
          <w:rFonts w:hint="eastAsia"/>
          <w:color w:val="auto"/>
          <w:sz w:val="24"/>
          <w:szCs w:val="24"/>
          <w:highlight w:val="none"/>
        </w:rPr>
        <w:t>（3）第三章 合同文本</w:t>
      </w:r>
    </w:p>
    <w:p w14:paraId="0AD8E58E">
      <w:pPr>
        <w:spacing w:line="440" w:lineRule="exact"/>
        <w:ind w:firstLine="360"/>
        <w:rPr>
          <w:color w:val="auto"/>
          <w:sz w:val="24"/>
          <w:szCs w:val="24"/>
          <w:highlight w:val="none"/>
        </w:rPr>
      </w:pPr>
      <w:r>
        <w:rPr>
          <w:rFonts w:hint="eastAsia"/>
          <w:color w:val="auto"/>
          <w:sz w:val="24"/>
          <w:szCs w:val="24"/>
          <w:highlight w:val="none"/>
        </w:rPr>
        <w:t>（4）第四章 采购需求</w:t>
      </w:r>
    </w:p>
    <w:p w14:paraId="3DEB4264">
      <w:pPr>
        <w:spacing w:line="440" w:lineRule="exact"/>
        <w:ind w:firstLine="360"/>
        <w:rPr>
          <w:color w:val="auto"/>
          <w:sz w:val="24"/>
          <w:szCs w:val="24"/>
          <w:highlight w:val="none"/>
        </w:rPr>
      </w:pPr>
      <w:r>
        <w:rPr>
          <w:rFonts w:hint="eastAsia"/>
          <w:color w:val="auto"/>
          <w:sz w:val="24"/>
          <w:szCs w:val="24"/>
          <w:highlight w:val="none"/>
        </w:rPr>
        <w:t>（5）第五章 评标方法与评标标准</w:t>
      </w:r>
    </w:p>
    <w:p w14:paraId="055ECCF3">
      <w:pPr>
        <w:spacing w:line="440" w:lineRule="exact"/>
        <w:ind w:firstLine="360"/>
        <w:rPr>
          <w:color w:val="auto"/>
          <w:sz w:val="24"/>
          <w:szCs w:val="24"/>
          <w:highlight w:val="none"/>
        </w:rPr>
      </w:pPr>
      <w:r>
        <w:rPr>
          <w:rFonts w:hint="eastAsia"/>
          <w:color w:val="auto"/>
          <w:sz w:val="24"/>
          <w:szCs w:val="24"/>
          <w:highlight w:val="none"/>
        </w:rPr>
        <w:t>（6）第六章 投标文件格式</w:t>
      </w:r>
    </w:p>
    <w:p w14:paraId="20E938DB">
      <w:pPr>
        <w:spacing w:line="440" w:lineRule="exact"/>
        <w:ind w:firstLine="360"/>
        <w:rPr>
          <w:color w:val="auto"/>
          <w:sz w:val="24"/>
          <w:szCs w:val="24"/>
          <w:highlight w:val="none"/>
        </w:rPr>
      </w:pPr>
      <w:r>
        <w:rPr>
          <w:color w:val="auto"/>
          <w:sz w:val="24"/>
          <w:szCs w:val="24"/>
          <w:highlight w:val="none"/>
        </w:rPr>
        <w:t>1.2 请仔细检查招标文件是否齐全，如有缺漏，请立即与代理机构联系解决。</w:t>
      </w:r>
    </w:p>
    <w:p w14:paraId="2E36F457">
      <w:pPr>
        <w:spacing w:line="440" w:lineRule="exact"/>
        <w:ind w:firstLine="360"/>
        <w:rPr>
          <w:color w:val="auto"/>
          <w:sz w:val="24"/>
          <w:szCs w:val="24"/>
          <w:highlight w:val="none"/>
        </w:rPr>
      </w:pPr>
      <w:r>
        <w:rPr>
          <w:rFonts w:hint="eastAsia"/>
          <w:color w:val="auto"/>
          <w:sz w:val="24"/>
          <w:szCs w:val="24"/>
          <w:highlight w:val="none"/>
        </w:rPr>
        <w:t>1.3</w:t>
      </w:r>
      <w:r>
        <w:rPr>
          <w:color w:val="auto"/>
          <w:sz w:val="24"/>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D486BB9">
      <w:pPr>
        <w:spacing w:line="440" w:lineRule="exact"/>
        <w:ind w:firstLine="360"/>
        <w:rPr>
          <w:color w:val="auto"/>
          <w:sz w:val="24"/>
          <w:szCs w:val="24"/>
          <w:highlight w:val="none"/>
        </w:rPr>
      </w:pPr>
      <w:r>
        <w:rPr>
          <w:rFonts w:hint="eastAsia"/>
          <w:color w:val="auto"/>
          <w:sz w:val="24"/>
          <w:szCs w:val="24"/>
          <w:highlight w:val="none"/>
        </w:rPr>
        <w:t>1.4</w:t>
      </w:r>
      <w:r>
        <w:rPr>
          <w:color w:val="auto"/>
          <w:sz w:val="24"/>
          <w:szCs w:val="24"/>
          <w:highlight w:val="none"/>
        </w:rPr>
        <w:t>招标文件及其更正事项如不是直接从指定媒体地址下载获得的，采购人或代理机构对招标文件及其补遗的真实性、完整性不承担任何责任。</w:t>
      </w:r>
    </w:p>
    <w:p w14:paraId="2E5961F0">
      <w:pPr>
        <w:spacing w:line="440" w:lineRule="exact"/>
        <w:rPr>
          <w:b/>
          <w:color w:val="auto"/>
          <w:sz w:val="24"/>
          <w:szCs w:val="24"/>
          <w:highlight w:val="none"/>
        </w:rPr>
      </w:pPr>
      <w:r>
        <w:rPr>
          <w:b/>
          <w:color w:val="auto"/>
          <w:sz w:val="24"/>
          <w:szCs w:val="24"/>
          <w:highlight w:val="none"/>
        </w:rPr>
        <w:t>2、招标文件的澄清、修改</w:t>
      </w:r>
    </w:p>
    <w:p w14:paraId="793118C3">
      <w:pPr>
        <w:spacing w:line="440" w:lineRule="exact"/>
        <w:ind w:firstLine="360"/>
        <w:rPr>
          <w:rFonts w:hint="eastAsia" w:ascii="宋体" w:hAnsi="宋体" w:eastAsia="宋体" w:cs="宋体"/>
          <w:b/>
          <w:bCs/>
          <w:color w:val="auto"/>
          <w:sz w:val="24"/>
          <w:szCs w:val="24"/>
          <w:highlight w:val="none"/>
        </w:rPr>
      </w:pPr>
      <w:r>
        <w:rPr>
          <w:color w:val="auto"/>
          <w:sz w:val="24"/>
          <w:szCs w:val="24"/>
          <w:highlight w:val="none"/>
        </w:rPr>
        <w:t>2.1 代理机构可对已发出的招标文件进行必要的澄清或者修改，并将在指定媒体上发布更正公告。</w:t>
      </w:r>
      <w:r>
        <w:rPr>
          <w:b/>
          <w:color w:val="auto"/>
          <w:sz w:val="24"/>
          <w:szCs w:val="24"/>
          <w:highlight w:val="none"/>
        </w:rPr>
        <w:t>各投标人应在投标截止时间前</w:t>
      </w:r>
      <w:r>
        <w:rPr>
          <w:rFonts w:hint="eastAsia"/>
          <w:b/>
          <w:color w:val="auto"/>
          <w:sz w:val="24"/>
          <w:szCs w:val="24"/>
          <w:highlight w:val="none"/>
        </w:rPr>
        <w:t>关注发布媒体上发布的更正（补充）公告，</w:t>
      </w:r>
      <w:r>
        <w:rPr>
          <w:rFonts w:hint="eastAsia" w:ascii="宋体" w:hAnsi="宋体" w:eastAsia="宋体" w:cs="宋体"/>
          <w:b/>
          <w:bCs/>
          <w:color w:val="auto"/>
          <w:sz w:val="24"/>
          <w:szCs w:val="24"/>
          <w:highlight w:val="none"/>
        </w:rPr>
        <w:t>按规定获取相关信息内容并对应编制或修改投标文件，否则其投标风险由投标人自行承担。</w:t>
      </w:r>
    </w:p>
    <w:p w14:paraId="791305CD">
      <w:pPr>
        <w:spacing w:line="440" w:lineRule="exact"/>
        <w:ind w:firstLine="360"/>
        <w:rPr>
          <w:color w:val="auto"/>
          <w:sz w:val="24"/>
          <w:szCs w:val="24"/>
          <w:highlight w:val="none"/>
        </w:rPr>
      </w:pPr>
      <w:r>
        <w:rPr>
          <w:rFonts w:hint="eastAsia"/>
          <w:color w:val="auto"/>
          <w:sz w:val="24"/>
          <w:szCs w:val="24"/>
          <w:highlight w:val="none"/>
        </w:rPr>
        <w:t>2.2 代理机构有权按照法定的要求顺延投标截止时间和开标时间。</w:t>
      </w:r>
    </w:p>
    <w:p w14:paraId="69D27A3D">
      <w:pPr>
        <w:spacing w:line="440" w:lineRule="exact"/>
        <w:ind w:firstLine="360"/>
        <w:rPr>
          <w:color w:val="auto"/>
          <w:sz w:val="24"/>
          <w:szCs w:val="24"/>
          <w:highlight w:val="none"/>
        </w:rPr>
      </w:pPr>
      <w:r>
        <w:rPr>
          <w:rFonts w:hint="eastAsia"/>
          <w:color w:val="auto"/>
          <w:sz w:val="24"/>
          <w:szCs w:val="24"/>
          <w:highlight w:val="none"/>
        </w:rPr>
        <w:t>2.3</w:t>
      </w:r>
      <w:r>
        <w:rPr>
          <w:color w:val="auto"/>
          <w:sz w:val="24"/>
          <w:szCs w:val="24"/>
          <w:highlight w:val="none"/>
        </w:rPr>
        <w:t>代理机构一旦对招标文件作出了澄清、修改，即刻发生效力，有关澄清或者修改的内容为招标文件的组成部分，对所有招标文件收受人均具有约束力。</w:t>
      </w:r>
    </w:p>
    <w:p w14:paraId="4AA85E3C">
      <w:pPr>
        <w:spacing w:line="440" w:lineRule="exact"/>
        <w:ind w:firstLine="360"/>
        <w:rPr>
          <w:color w:val="auto"/>
          <w:sz w:val="24"/>
          <w:szCs w:val="24"/>
          <w:highlight w:val="none"/>
        </w:rPr>
      </w:pPr>
    </w:p>
    <w:p w14:paraId="3834091A">
      <w:pPr>
        <w:pStyle w:val="3"/>
        <w:rPr>
          <w:color w:val="auto"/>
          <w:highlight w:val="none"/>
        </w:rPr>
      </w:pPr>
      <w:bookmarkStart w:id="22" w:name="_Toc3084"/>
      <w:bookmarkStart w:id="23" w:name="_Toc27236"/>
      <w:r>
        <w:rPr>
          <w:color w:val="auto"/>
          <w:highlight w:val="none"/>
        </w:rPr>
        <w:t>三、投标文件的编制</w:t>
      </w:r>
      <w:bookmarkEnd w:id="22"/>
      <w:bookmarkEnd w:id="23"/>
    </w:p>
    <w:p w14:paraId="3F4DF41A">
      <w:pPr>
        <w:spacing w:line="440" w:lineRule="exact"/>
        <w:rPr>
          <w:b/>
          <w:color w:val="auto"/>
          <w:sz w:val="24"/>
          <w:szCs w:val="24"/>
          <w:highlight w:val="none"/>
        </w:rPr>
      </w:pPr>
      <w:bookmarkStart w:id="24" w:name="_Toc16938530"/>
      <w:bookmarkStart w:id="25" w:name="_Toc20823286"/>
      <w:bookmarkStart w:id="26" w:name="_Toc462564073"/>
      <w:bookmarkStart w:id="27" w:name="_Toc513029214"/>
      <w:r>
        <w:rPr>
          <w:rFonts w:hint="eastAsia"/>
          <w:b/>
          <w:color w:val="auto"/>
          <w:sz w:val="24"/>
          <w:szCs w:val="24"/>
          <w:highlight w:val="none"/>
        </w:rPr>
        <w:t>1、投标文件的语言及度量衡单位</w:t>
      </w:r>
      <w:bookmarkEnd w:id="24"/>
      <w:bookmarkEnd w:id="25"/>
      <w:bookmarkEnd w:id="26"/>
      <w:bookmarkEnd w:id="27"/>
    </w:p>
    <w:p w14:paraId="2C9A5221">
      <w:pPr>
        <w:spacing w:line="440" w:lineRule="exact"/>
        <w:ind w:firstLine="360"/>
        <w:rPr>
          <w:color w:val="auto"/>
          <w:sz w:val="24"/>
          <w:szCs w:val="24"/>
          <w:highlight w:val="none"/>
        </w:rPr>
      </w:pPr>
      <w:r>
        <w:rPr>
          <w:rFonts w:hint="eastAsia"/>
          <w:color w:val="auto"/>
          <w:sz w:val="24"/>
          <w:szCs w:val="24"/>
          <w:highlight w:val="none"/>
        </w:rPr>
        <w:t>1.1 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责。</w:t>
      </w:r>
    </w:p>
    <w:p w14:paraId="374D76CF">
      <w:pPr>
        <w:spacing w:line="440" w:lineRule="exact"/>
        <w:ind w:firstLine="360"/>
        <w:rPr>
          <w:color w:val="auto"/>
          <w:sz w:val="24"/>
          <w:szCs w:val="24"/>
          <w:highlight w:val="none"/>
        </w:rPr>
      </w:pPr>
      <w:r>
        <w:rPr>
          <w:rFonts w:hint="eastAsia"/>
          <w:color w:val="auto"/>
          <w:sz w:val="24"/>
          <w:szCs w:val="24"/>
          <w:highlight w:val="none"/>
        </w:rPr>
        <w:t>1.2 除另有规定外，投标文件所使用的度量衡单位，均须采用国家法定计量单位。</w:t>
      </w:r>
    </w:p>
    <w:p w14:paraId="31D3AD3B">
      <w:pPr>
        <w:spacing w:line="440" w:lineRule="exact"/>
        <w:rPr>
          <w:b/>
          <w:color w:val="auto"/>
          <w:sz w:val="24"/>
          <w:szCs w:val="24"/>
          <w:highlight w:val="none"/>
        </w:rPr>
      </w:pPr>
      <w:r>
        <w:rPr>
          <w:rFonts w:hint="eastAsia"/>
          <w:b/>
          <w:color w:val="auto"/>
          <w:sz w:val="24"/>
          <w:szCs w:val="24"/>
          <w:highlight w:val="none"/>
        </w:rPr>
        <w:t>2</w:t>
      </w:r>
      <w:r>
        <w:rPr>
          <w:b/>
          <w:color w:val="auto"/>
          <w:sz w:val="24"/>
          <w:szCs w:val="24"/>
          <w:highlight w:val="none"/>
        </w:rPr>
        <w:t>、投标文件构成</w:t>
      </w:r>
    </w:p>
    <w:p w14:paraId="20A97598">
      <w:pPr>
        <w:spacing w:line="440" w:lineRule="exact"/>
        <w:ind w:firstLine="360"/>
        <w:rPr>
          <w:color w:val="auto"/>
          <w:sz w:val="24"/>
          <w:szCs w:val="24"/>
          <w:highlight w:val="none"/>
        </w:rPr>
      </w:pPr>
      <w:r>
        <w:rPr>
          <w:rFonts w:hint="eastAsia"/>
          <w:color w:val="auto"/>
          <w:sz w:val="24"/>
          <w:szCs w:val="24"/>
          <w:highlight w:val="none"/>
        </w:rPr>
        <w:t>2.1 投标人编写的投标文件应包括资格证明文件、开标一览表、</w:t>
      </w:r>
      <w:r>
        <w:rPr>
          <w:rFonts w:hint="eastAsia"/>
          <w:color w:val="auto"/>
          <w:sz w:val="24"/>
          <w:szCs w:val="24"/>
          <w:highlight w:val="none"/>
          <w:lang w:val="en-US" w:eastAsia="zh-CN"/>
        </w:rPr>
        <w:t>报价明细表、</w:t>
      </w:r>
      <w:r>
        <w:rPr>
          <w:rFonts w:hint="eastAsia"/>
          <w:color w:val="auto"/>
          <w:sz w:val="24"/>
          <w:szCs w:val="24"/>
          <w:highlight w:val="none"/>
          <w:lang w:eastAsia="zh-CN"/>
        </w:rPr>
        <w:t>授权书、</w:t>
      </w:r>
      <w:r>
        <w:rPr>
          <w:rFonts w:hint="eastAsia"/>
          <w:color w:val="auto"/>
          <w:sz w:val="24"/>
          <w:szCs w:val="24"/>
          <w:highlight w:val="none"/>
        </w:rPr>
        <w:t>投标函、项目服务要求响应及偏离表、商务条件响应及偏离表、实质性要求响应及偏离表</w:t>
      </w:r>
      <w:r>
        <w:rPr>
          <w:rFonts w:hint="eastAsia"/>
          <w:color w:val="auto"/>
          <w:sz w:val="24"/>
          <w:szCs w:val="24"/>
          <w:highlight w:val="none"/>
          <w:lang w:eastAsia="zh-CN"/>
        </w:rPr>
        <w:t>、</w:t>
      </w:r>
      <w:r>
        <w:rPr>
          <w:rFonts w:hint="eastAsia"/>
          <w:color w:val="auto"/>
          <w:sz w:val="24"/>
          <w:szCs w:val="24"/>
          <w:highlight w:val="none"/>
          <w:lang w:val="en-US" w:eastAsia="zh-CN"/>
        </w:rPr>
        <w:t>投入要素明细表、</w:t>
      </w:r>
      <w:r>
        <w:rPr>
          <w:rFonts w:hint="eastAsia"/>
          <w:color w:val="auto"/>
          <w:sz w:val="24"/>
          <w:szCs w:val="24"/>
          <w:highlight w:val="none"/>
        </w:rPr>
        <w:t>项目服务方案、</w:t>
      </w:r>
      <w:r>
        <w:rPr>
          <w:color w:val="auto"/>
          <w:sz w:val="24"/>
          <w:szCs w:val="24"/>
          <w:highlight w:val="none"/>
        </w:rPr>
        <w:t>业绩一览表</w:t>
      </w:r>
      <w:r>
        <w:rPr>
          <w:rFonts w:hint="eastAsia"/>
          <w:color w:val="auto"/>
          <w:sz w:val="24"/>
          <w:szCs w:val="24"/>
          <w:highlight w:val="none"/>
        </w:rPr>
        <w:t>、其他等部分。（详见“第六章</w:t>
      </w:r>
      <w:r>
        <w:rPr>
          <w:color w:val="auto"/>
          <w:sz w:val="24"/>
          <w:szCs w:val="24"/>
          <w:highlight w:val="none"/>
        </w:rPr>
        <w:t xml:space="preserve"> </w:t>
      </w:r>
      <w:r>
        <w:rPr>
          <w:rFonts w:hint="eastAsia"/>
          <w:color w:val="auto"/>
          <w:sz w:val="24"/>
          <w:szCs w:val="24"/>
          <w:highlight w:val="none"/>
        </w:rPr>
        <w:t>投标文件格式”）</w:t>
      </w:r>
    </w:p>
    <w:p w14:paraId="201114CC">
      <w:pPr>
        <w:spacing w:line="440" w:lineRule="exact"/>
        <w:ind w:firstLine="360"/>
        <w:rPr>
          <w:color w:val="auto"/>
          <w:sz w:val="24"/>
          <w:szCs w:val="24"/>
          <w:highlight w:val="none"/>
        </w:rPr>
      </w:pPr>
      <w:r>
        <w:rPr>
          <w:rFonts w:hint="eastAsia"/>
          <w:color w:val="auto"/>
          <w:sz w:val="24"/>
          <w:szCs w:val="24"/>
          <w:highlight w:val="none"/>
        </w:rPr>
        <w:t>2.2 如标书制作工具中格式和内容与指定媒体发布的招标文件不一致，请以指定媒体发布的招标文件为准。</w:t>
      </w:r>
      <w:bookmarkStart w:id="28" w:name="_Toc513029219"/>
      <w:bookmarkStart w:id="29" w:name="_Toc14577357"/>
      <w:bookmarkStart w:id="30" w:name="_Toc49090509"/>
      <w:bookmarkStart w:id="31" w:name="_Toc14577354"/>
      <w:bookmarkStart w:id="32" w:name="_Toc49090507"/>
      <w:bookmarkStart w:id="33" w:name="_Toc513029216"/>
      <w:bookmarkStart w:id="34" w:name="_Toc49090508"/>
      <w:bookmarkStart w:id="35" w:name="_Toc14577355"/>
    </w:p>
    <w:p w14:paraId="4A57A203">
      <w:pPr>
        <w:spacing w:line="440" w:lineRule="exact"/>
        <w:rPr>
          <w:b/>
          <w:color w:val="auto"/>
          <w:sz w:val="24"/>
          <w:szCs w:val="24"/>
          <w:highlight w:val="none"/>
        </w:rPr>
      </w:pPr>
      <w:r>
        <w:rPr>
          <w:rFonts w:hint="eastAsia"/>
          <w:b/>
          <w:color w:val="auto"/>
          <w:sz w:val="24"/>
          <w:szCs w:val="24"/>
          <w:highlight w:val="none"/>
        </w:rPr>
        <w:t>3、证明投标人及投标标的符合招标文件规定的文件</w:t>
      </w:r>
      <w:bookmarkEnd w:id="28"/>
      <w:bookmarkEnd w:id="29"/>
      <w:bookmarkEnd w:id="30"/>
    </w:p>
    <w:bookmarkEnd w:id="31"/>
    <w:bookmarkEnd w:id="32"/>
    <w:bookmarkEnd w:id="33"/>
    <w:p w14:paraId="1EEF2702">
      <w:pPr>
        <w:spacing w:line="440" w:lineRule="exact"/>
        <w:ind w:firstLine="360"/>
        <w:rPr>
          <w:color w:val="auto"/>
          <w:sz w:val="24"/>
          <w:szCs w:val="24"/>
          <w:highlight w:val="none"/>
        </w:rPr>
      </w:pPr>
      <w:r>
        <w:rPr>
          <w:rFonts w:hint="eastAsia"/>
          <w:color w:val="auto"/>
          <w:sz w:val="24"/>
          <w:szCs w:val="24"/>
          <w:highlight w:val="none"/>
        </w:rPr>
        <w:t>3.1 投标人应按照招标文件要求提交证明文件，证明其及投标标的符合招标文件规定。</w:t>
      </w:r>
    </w:p>
    <w:p w14:paraId="57B82A01">
      <w:pPr>
        <w:spacing w:line="440" w:lineRule="exact"/>
        <w:ind w:firstLine="360"/>
        <w:rPr>
          <w:color w:val="auto"/>
          <w:sz w:val="24"/>
          <w:szCs w:val="24"/>
          <w:highlight w:val="none"/>
        </w:rPr>
      </w:pPr>
      <w:r>
        <w:rPr>
          <w:rFonts w:hint="eastAsia"/>
          <w:color w:val="auto"/>
          <w:sz w:val="24"/>
          <w:szCs w:val="24"/>
          <w:highlight w:val="none"/>
        </w:rPr>
        <w:t>3.2 招标文件对证明文件无明确形式要求的，证明文件可以以文字资料、图纸和数据等形式提交。</w:t>
      </w:r>
    </w:p>
    <w:bookmarkEnd w:id="34"/>
    <w:bookmarkEnd w:id="35"/>
    <w:p w14:paraId="4F303DA2">
      <w:pPr>
        <w:spacing w:line="440" w:lineRule="exact"/>
        <w:rPr>
          <w:b/>
          <w:color w:val="auto"/>
          <w:sz w:val="24"/>
          <w:szCs w:val="24"/>
          <w:highlight w:val="none"/>
        </w:rPr>
      </w:pPr>
      <w:r>
        <w:rPr>
          <w:rFonts w:hint="eastAsia"/>
          <w:b/>
          <w:color w:val="auto"/>
          <w:sz w:val="24"/>
          <w:szCs w:val="24"/>
          <w:highlight w:val="none"/>
        </w:rPr>
        <w:t>4、开标一览表、</w:t>
      </w:r>
      <w:r>
        <w:rPr>
          <w:rFonts w:hint="eastAsia"/>
          <w:b/>
          <w:color w:val="auto"/>
          <w:sz w:val="24"/>
          <w:szCs w:val="24"/>
          <w:highlight w:val="none"/>
          <w:lang w:val="en-US" w:eastAsia="zh-CN"/>
        </w:rPr>
        <w:t>报价明细表、</w:t>
      </w:r>
      <w:r>
        <w:rPr>
          <w:rFonts w:hint="eastAsia"/>
          <w:b/>
          <w:color w:val="auto"/>
          <w:sz w:val="24"/>
          <w:szCs w:val="24"/>
          <w:highlight w:val="none"/>
          <w:lang w:eastAsia="zh-CN"/>
        </w:rPr>
        <w:t>授权书、</w:t>
      </w:r>
      <w:r>
        <w:rPr>
          <w:rFonts w:hint="eastAsia"/>
          <w:b/>
          <w:color w:val="auto"/>
          <w:sz w:val="24"/>
          <w:szCs w:val="24"/>
          <w:highlight w:val="none"/>
        </w:rPr>
        <w:t>投标函</w:t>
      </w:r>
    </w:p>
    <w:p w14:paraId="08B93E74">
      <w:pPr>
        <w:spacing w:line="440" w:lineRule="exact"/>
        <w:ind w:firstLine="360"/>
        <w:rPr>
          <w:rFonts w:hint="eastAsia"/>
          <w:color w:val="auto"/>
          <w:sz w:val="24"/>
          <w:szCs w:val="24"/>
          <w:highlight w:val="none"/>
          <w:lang w:eastAsia="zh-CN"/>
        </w:rPr>
      </w:pPr>
      <w:r>
        <w:rPr>
          <w:rFonts w:hint="eastAsia"/>
          <w:color w:val="auto"/>
          <w:sz w:val="24"/>
          <w:szCs w:val="24"/>
          <w:highlight w:val="none"/>
        </w:rPr>
        <w:t>4.1 投标人应按照招标文件中提供的格式完整、正确填写开标一览表、</w:t>
      </w:r>
      <w:r>
        <w:rPr>
          <w:rFonts w:hint="eastAsia"/>
          <w:color w:val="auto"/>
          <w:sz w:val="24"/>
          <w:szCs w:val="24"/>
          <w:highlight w:val="none"/>
          <w:lang w:val="en-US" w:eastAsia="zh-CN"/>
        </w:rPr>
        <w:t>报价明细表、</w:t>
      </w:r>
      <w:r>
        <w:rPr>
          <w:rFonts w:hint="eastAsia"/>
          <w:color w:val="auto"/>
          <w:sz w:val="24"/>
          <w:szCs w:val="24"/>
          <w:highlight w:val="none"/>
          <w:lang w:eastAsia="zh-CN"/>
        </w:rPr>
        <w:t>授权书、</w:t>
      </w:r>
      <w:r>
        <w:rPr>
          <w:rFonts w:hint="eastAsia"/>
          <w:color w:val="auto"/>
          <w:sz w:val="24"/>
          <w:szCs w:val="24"/>
          <w:highlight w:val="none"/>
        </w:rPr>
        <w:t>投标函</w:t>
      </w:r>
      <w:r>
        <w:rPr>
          <w:rFonts w:hint="eastAsia"/>
          <w:color w:val="auto"/>
          <w:sz w:val="24"/>
          <w:szCs w:val="24"/>
          <w:highlight w:val="none"/>
          <w:lang w:eastAsia="zh-CN"/>
        </w:rPr>
        <w:t>。</w:t>
      </w:r>
    </w:p>
    <w:p w14:paraId="07385347">
      <w:pPr>
        <w:spacing w:line="440" w:lineRule="exact"/>
        <w:ind w:firstLine="360"/>
        <w:rPr>
          <w:rFonts w:hint="eastAsia"/>
          <w:color w:val="auto"/>
          <w:sz w:val="24"/>
          <w:szCs w:val="24"/>
          <w:highlight w:val="none"/>
        </w:rPr>
      </w:pPr>
      <w:r>
        <w:rPr>
          <w:rFonts w:hint="eastAsia"/>
          <w:color w:val="auto"/>
          <w:sz w:val="24"/>
          <w:szCs w:val="24"/>
          <w:highlight w:val="none"/>
        </w:rPr>
        <w:t>4.2 投</w:t>
      </w:r>
      <w:bookmarkStart w:id="36" w:name="_Hlt26954840"/>
      <w:r>
        <w:rPr>
          <w:rFonts w:hint="eastAsia"/>
          <w:color w:val="auto"/>
          <w:sz w:val="24"/>
          <w:szCs w:val="24"/>
          <w:highlight w:val="none"/>
        </w:rPr>
        <w:t>标人应按照招标文件规定格式填报</w:t>
      </w:r>
      <w:bookmarkStart w:id="37" w:name="_Hlt26670399"/>
      <w:r>
        <w:rPr>
          <w:rFonts w:hint="eastAsia"/>
          <w:color w:val="auto"/>
          <w:sz w:val="24"/>
          <w:szCs w:val="24"/>
          <w:highlight w:val="none"/>
          <w:lang w:val="en-US" w:eastAsia="zh-CN"/>
        </w:rPr>
        <w:t>报价明细表</w:t>
      </w:r>
      <w:r>
        <w:rPr>
          <w:rFonts w:hint="eastAsia"/>
          <w:color w:val="auto"/>
          <w:sz w:val="24"/>
          <w:szCs w:val="24"/>
          <w:highlight w:val="none"/>
        </w:rPr>
        <w:t>。</w:t>
      </w:r>
      <w:bookmarkEnd w:id="36"/>
      <w:bookmarkEnd w:id="37"/>
    </w:p>
    <w:p w14:paraId="175E29D2">
      <w:pPr>
        <w:spacing w:line="440" w:lineRule="exact"/>
        <w:ind w:firstLine="360"/>
        <w:rPr>
          <w:rFonts w:hint="eastAsia"/>
          <w:color w:val="auto"/>
          <w:sz w:val="24"/>
          <w:szCs w:val="24"/>
          <w:highlight w:val="none"/>
        </w:rPr>
      </w:pPr>
      <w:r>
        <w:rPr>
          <w:rFonts w:hint="eastAsia"/>
          <w:color w:val="auto"/>
          <w:sz w:val="24"/>
          <w:szCs w:val="24"/>
          <w:highlight w:val="none"/>
        </w:rPr>
        <w:t>4.3 投标货币：投标文件中的单价和总价无特殊规定的采用人民币报价，以元为单位标注。招标文件中另有规定的按规定执行。</w:t>
      </w:r>
    </w:p>
    <w:p w14:paraId="474BA134">
      <w:pPr>
        <w:spacing w:line="440" w:lineRule="exact"/>
        <w:ind w:firstLine="360"/>
        <w:rPr>
          <w:rFonts w:hint="eastAsia"/>
          <w:color w:val="auto"/>
          <w:sz w:val="24"/>
          <w:szCs w:val="24"/>
          <w:highlight w:val="none"/>
        </w:rPr>
      </w:pPr>
      <w:r>
        <w:rPr>
          <w:rFonts w:hint="eastAsia"/>
          <w:color w:val="auto"/>
          <w:sz w:val="24"/>
          <w:szCs w:val="24"/>
          <w:highlight w:val="none"/>
        </w:rPr>
        <w:t>4.4 对于采用货币报价的项目，开标一览表中的投标总报价应与</w:t>
      </w:r>
      <w:r>
        <w:rPr>
          <w:rFonts w:hint="eastAsia"/>
          <w:color w:val="auto"/>
          <w:sz w:val="24"/>
          <w:szCs w:val="24"/>
          <w:highlight w:val="none"/>
          <w:lang w:val="en-US" w:eastAsia="zh-CN"/>
        </w:rPr>
        <w:t>报价明细表</w:t>
      </w:r>
      <w:r>
        <w:rPr>
          <w:rFonts w:hint="eastAsia"/>
          <w:color w:val="auto"/>
          <w:sz w:val="24"/>
          <w:szCs w:val="24"/>
          <w:highlight w:val="none"/>
        </w:rPr>
        <w:t>中的</w:t>
      </w:r>
      <w:r>
        <w:rPr>
          <w:rFonts w:hint="eastAsia"/>
          <w:color w:val="auto"/>
          <w:sz w:val="24"/>
          <w:szCs w:val="24"/>
          <w:highlight w:val="none"/>
          <w:lang w:eastAsia="zh-CN"/>
        </w:rPr>
        <w:t>“</w:t>
      </w:r>
      <w:r>
        <w:rPr>
          <w:rFonts w:hint="eastAsia"/>
          <w:color w:val="auto"/>
          <w:sz w:val="24"/>
          <w:szCs w:val="24"/>
          <w:highlight w:val="none"/>
          <w:lang w:val="en-US" w:eastAsia="zh-CN"/>
        </w:rPr>
        <w:t>二年</w:t>
      </w:r>
      <w:r>
        <w:rPr>
          <w:rFonts w:hint="eastAsia"/>
          <w:color w:val="auto"/>
          <w:sz w:val="24"/>
          <w:szCs w:val="24"/>
          <w:highlight w:val="none"/>
        </w:rPr>
        <w:t>合计费用</w:t>
      </w:r>
      <w:r>
        <w:rPr>
          <w:rFonts w:hint="eastAsia"/>
          <w:color w:val="auto"/>
          <w:sz w:val="24"/>
          <w:szCs w:val="24"/>
          <w:highlight w:val="none"/>
          <w:lang w:eastAsia="zh-CN"/>
        </w:rPr>
        <w:t>”</w:t>
      </w:r>
      <w:r>
        <w:rPr>
          <w:rFonts w:hint="eastAsia"/>
          <w:color w:val="auto"/>
          <w:sz w:val="24"/>
          <w:szCs w:val="24"/>
          <w:highlight w:val="none"/>
        </w:rPr>
        <w:t>一致，如不一致不作为无效投标处理，但评标时按开标一览表中价格为准。</w:t>
      </w:r>
    </w:p>
    <w:p w14:paraId="2BC51909">
      <w:pPr>
        <w:spacing w:line="440" w:lineRule="exact"/>
        <w:ind w:firstLine="360"/>
        <w:rPr>
          <w:rFonts w:hint="eastAsia"/>
          <w:color w:val="auto"/>
          <w:highlight w:val="none"/>
          <w:lang w:eastAsia="zh-CN"/>
        </w:rPr>
      </w:pPr>
      <w:r>
        <w:rPr>
          <w:rFonts w:hint="eastAsia"/>
          <w:color w:val="auto"/>
          <w:sz w:val="24"/>
          <w:szCs w:val="24"/>
          <w:highlight w:val="none"/>
        </w:rPr>
        <w:t>4.5 投标人应对本项目作整体报价，只投其中部分内容，或者任何有选择性的投标方案报价，均将被视为非响应性投标而被拒绝。</w:t>
      </w:r>
    </w:p>
    <w:p w14:paraId="1E65F5E7">
      <w:pPr>
        <w:spacing w:line="440" w:lineRule="exact"/>
        <w:rPr>
          <w:b/>
          <w:color w:val="auto"/>
          <w:sz w:val="24"/>
          <w:szCs w:val="24"/>
          <w:highlight w:val="none"/>
        </w:rPr>
      </w:pPr>
      <w:bookmarkStart w:id="38" w:name="_Hlk155763835"/>
      <w:r>
        <w:rPr>
          <w:rFonts w:hint="eastAsia"/>
          <w:b/>
          <w:color w:val="auto"/>
          <w:sz w:val="24"/>
          <w:szCs w:val="24"/>
          <w:highlight w:val="none"/>
        </w:rPr>
        <w:t>5、项目服务要求响应及偏离表、商务条件响应及偏离表</w:t>
      </w:r>
    </w:p>
    <w:p w14:paraId="4897735D">
      <w:pPr>
        <w:spacing w:line="440" w:lineRule="exact"/>
        <w:ind w:firstLine="360"/>
        <w:rPr>
          <w:color w:val="auto"/>
          <w:sz w:val="24"/>
          <w:szCs w:val="24"/>
          <w:highlight w:val="none"/>
          <w:lang w:val="zh-CN"/>
        </w:rPr>
      </w:pPr>
      <w:r>
        <w:rPr>
          <w:rFonts w:hint="eastAsia"/>
          <w:color w:val="auto"/>
          <w:sz w:val="24"/>
          <w:szCs w:val="24"/>
          <w:highlight w:val="none"/>
        </w:rPr>
        <w:t>5.1</w:t>
      </w:r>
      <w:r>
        <w:rPr>
          <w:rFonts w:hint="eastAsia"/>
          <w:color w:val="auto"/>
          <w:sz w:val="24"/>
          <w:szCs w:val="24"/>
          <w:highlight w:val="none"/>
          <w:lang w:val="zh-CN"/>
        </w:rPr>
        <w:t>投标人需对招标文件中的</w:t>
      </w:r>
      <w:r>
        <w:rPr>
          <w:rFonts w:hint="eastAsia"/>
          <w:color w:val="auto"/>
          <w:sz w:val="24"/>
          <w:szCs w:val="24"/>
          <w:highlight w:val="none"/>
        </w:rPr>
        <w:t>服务</w:t>
      </w:r>
      <w:r>
        <w:rPr>
          <w:rFonts w:hint="eastAsia"/>
          <w:color w:val="auto"/>
          <w:sz w:val="24"/>
          <w:szCs w:val="24"/>
          <w:highlight w:val="none"/>
          <w:lang w:val="zh-CN"/>
        </w:rPr>
        <w:t>要求与商务要求逐项作出响应或偏离，并说明原因。</w:t>
      </w:r>
    </w:p>
    <w:p w14:paraId="75318575">
      <w:pPr>
        <w:spacing w:line="440" w:lineRule="exact"/>
        <w:ind w:firstLine="360"/>
        <w:rPr>
          <w:color w:val="auto"/>
          <w:sz w:val="24"/>
          <w:szCs w:val="24"/>
          <w:highlight w:val="none"/>
          <w:lang w:val="zh-CN"/>
        </w:rPr>
      </w:pPr>
      <w:r>
        <w:rPr>
          <w:rFonts w:hint="eastAsia"/>
          <w:color w:val="auto"/>
          <w:sz w:val="24"/>
          <w:szCs w:val="24"/>
          <w:highlight w:val="none"/>
        </w:rPr>
        <w:t>5.2</w:t>
      </w:r>
      <w:r>
        <w:rPr>
          <w:rFonts w:hint="eastAsia"/>
          <w:color w:val="auto"/>
          <w:sz w:val="24"/>
          <w:szCs w:val="24"/>
          <w:highlight w:val="none"/>
          <w:lang w:val="zh-CN"/>
        </w:rPr>
        <w:t>投标人需按照招标文件要求，在投标文件中提供与</w:t>
      </w:r>
      <w:r>
        <w:rPr>
          <w:rFonts w:hint="eastAsia"/>
          <w:color w:val="auto"/>
          <w:sz w:val="24"/>
          <w:szCs w:val="24"/>
          <w:highlight w:val="none"/>
        </w:rPr>
        <w:t>服务</w:t>
      </w:r>
      <w:r>
        <w:rPr>
          <w:rFonts w:hint="eastAsia"/>
          <w:color w:val="auto"/>
          <w:sz w:val="24"/>
          <w:szCs w:val="24"/>
          <w:highlight w:val="none"/>
          <w:lang w:val="zh-CN"/>
        </w:rPr>
        <w:t>要求和商务要求相关的证明材料。</w:t>
      </w:r>
      <w:bookmarkEnd w:id="38"/>
    </w:p>
    <w:p w14:paraId="2A0B91E4">
      <w:pPr>
        <w:spacing w:line="440" w:lineRule="exact"/>
        <w:rPr>
          <w:b/>
          <w:color w:val="auto"/>
          <w:sz w:val="24"/>
          <w:szCs w:val="24"/>
          <w:highlight w:val="none"/>
        </w:rPr>
      </w:pPr>
      <w:r>
        <w:rPr>
          <w:rFonts w:hint="eastAsia"/>
          <w:b/>
          <w:color w:val="auto"/>
          <w:sz w:val="24"/>
          <w:szCs w:val="24"/>
          <w:highlight w:val="none"/>
        </w:rPr>
        <w:t>6、实质性要求响应及偏离表</w:t>
      </w:r>
    </w:p>
    <w:p w14:paraId="022C6F7B">
      <w:pPr>
        <w:spacing w:line="440" w:lineRule="exact"/>
        <w:ind w:firstLine="480" w:firstLineChars="200"/>
        <w:rPr>
          <w:color w:val="auto"/>
          <w:sz w:val="24"/>
          <w:szCs w:val="24"/>
          <w:highlight w:val="none"/>
          <w:lang w:val="zh-CN"/>
        </w:rPr>
      </w:pPr>
      <w:r>
        <w:rPr>
          <w:rFonts w:hint="eastAsia"/>
          <w:color w:val="auto"/>
          <w:sz w:val="24"/>
          <w:szCs w:val="24"/>
          <w:highlight w:val="none"/>
          <w:lang w:val="zh-CN"/>
        </w:rPr>
        <w:t>6.1投标人须对招标文件中的实质性要求全部响应，否则将失去投标资格。</w:t>
      </w:r>
    </w:p>
    <w:p w14:paraId="07D9CF12">
      <w:pPr>
        <w:spacing w:line="440" w:lineRule="exact"/>
        <w:rPr>
          <w:b/>
          <w:color w:val="auto"/>
          <w:sz w:val="24"/>
          <w:szCs w:val="24"/>
          <w:highlight w:val="none"/>
        </w:rPr>
      </w:pPr>
      <w:r>
        <w:rPr>
          <w:rFonts w:hint="eastAsia"/>
          <w:b/>
          <w:color w:val="auto"/>
          <w:sz w:val="24"/>
          <w:szCs w:val="24"/>
          <w:highlight w:val="none"/>
        </w:rPr>
        <w:t>7、</w:t>
      </w:r>
      <w:bookmarkStart w:id="39" w:name="_Hlk162248721"/>
      <w:r>
        <w:rPr>
          <w:rFonts w:hint="eastAsia"/>
          <w:b/>
          <w:color w:val="auto"/>
          <w:sz w:val="24"/>
          <w:szCs w:val="24"/>
          <w:highlight w:val="none"/>
        </w:rPr>
        <w:t>项目服务方案、</w:t>
      </w:r>
      <w:r>
        <w:rPr>
          <w:rFonts w:hint="eastAsia"/>
          <w:b/>
          <w:color w:val="auto"/>
          <w:sz w:val="24"/>
          <w:szCs w:val="24"/>
          <w:highlight w:val="none"/>
          <w:lang w:eastAsia="zh-CN"/>
        </w:rPr>
        <w:t>投入要素明细表</w:t>
      </w:r>
      <w:r>
        <w:rPr>
          <w:rFonts w:hint="eastAsia"/>
          <w:b/>
          <w:color w:val="auto"/>
          <w:sz w:val="24"/>
          <w:szCs w:val="24"/>
          <w:highlight w:val="none"/>
        </w:rPr>
        <w:t>、业绩一览表</w:t>
      </w:r>
      <w:bookmarkEnd w:id="39"/>
    </w:p>
    <w:p w14:paraId="49E998DD">
      <w:pPr>
        <w:spacing w:line="440" w:lineRule="exact"/>
        <w:ind w:firstLine="360"/>
        <w:rPr>
          <w:color w:val="auto"/>
          <w:sz w:val="24"/>
          <w:szCs w:val="24"/>
          <w:highlight w:val="none"/>
        </w:rPr>
      </w:pPr>
      <w:r>
        <w:rPr>
          <w:rFonts w:hint="eastAsia"/>
          <w:color w:val="auto"/>
          <w:sz w:val="24"/>
          <w:szCs w:val="24"/>
          <w:highlight w:val="none"/>
        </w:rPr>
        <w:t>7.1 投标人需根据招标文件要求提供有项目服务方案、</w:t>
      </w:r>
      <w:r>
        <w:rPr>
          <w:rFonts w:hint="eastAsia"/>
          <w:color w:val="auto"/>
          <w:sz w:val="24"/>
          <w:szCs w:val="24"/>
          <w:highlight w:val="none"/>
          <w:lang w:eastAsia="zh-CN"/>
        </w:rPr>
        <w:t>投入要素明细表</w:t>
      </w:r>
      <w:r>
        <w:rPr>
          <w:rFonts w:hint="eastAsia"/>
          <w:color w:val="auto"/>
          <w:sz w:val="24"/>
          <w:szCs w:val="24"/>
          <w:highlight w:val="none"/>
        </w:rPr>
        <w:t>、业绩一览表。</w:t>
      </w:r>
    </w:p>
    <w:p w14:paraId="35A4D13C">
      <w:pPr>
        <w:spacing w:line="440" w:lineRule="exact"/>
        <w:rPr>
          <w:b/>
          <w:color w:val="auto"/>
          <w:sz w:val="24"/>
          <w:szCs w:val="24"/>
          <w:highlight w:val="none"/>
        </w:rPr>
      </w:pPr>
      <w:r>
        <w:rPr>
          <w:rFonts w:hint="eastAsia"/>
          <w:b/>
          <w:color w:val="auto"/>
          <w:sz w:val="24"/>
          <w:szCs w:val="24"/>
          <w:highlight w:val="none"/>
        </w:rPr>
        <w:t>8、其他</w:t>
      </w:r>
    </w:p>
    <w:p w14:paraId="0EFBB847">
      <w:pPr>
        <w:spacing w:line="440" w:lineRule="exact"/>
        <w:ind w:firstLine="360"/>
        <w:rPr>
          <w:rFonts w:hint="eastAsia"/>
          <w:color w:val="auto"/>
          <w:sz w:val="24"/>
          <w:szCs w:val="24"/>
          <w:highlight w:val="none"/>
        </w:rPr>
      </w:pPr>
      <w:r>
        <w:rPr>
          <w:rFonts w:hint="eastAsia"/>
          <w:color w:val="auto"/>
          <w:sz w:val="24"/>
          <w:szCs w:val="24"/>
          <w:highlight w:val="none"/>
        </w:rPr>
        <w:t>8.1 投标人需根据招标文件要求提供的其他材料。</w:t>
      </w:r>
    </w:p>
    <w:p w14:paraId="162C1393">
      <w:pPr>
        <w:spacing w:line="440" w:lineRule="exact"/>
        <w:rPr>
          <w:rFonts w:hint="eastAsia"/>
          <w:b/>
          <w:color w:val="auto"/>
          <w:sz w:val="24"/>
          <w:szCs w:val="24"/>
          <w:highlight w:val="none"/>
        </w:rPr>
      </w:pPr>
      <w:r>
        <w:rPr>
          <w:rFonts w:hint="eastAsia"/>
          <w:b/>
          <w:color w:val="auto"/>
          <w:sz w:val="24"/>
          <w:szCs w:val="24"/>
          <w:highlight w:val="none"/>
          <w:lang w:val="en-US" w:eastAsia="zh-CN"/>
        </w:rPr>
        <w:t>9</w:t>
      </w:r>
      <w:r>
        <w:rPr>
          <w:rFonts w:hint="eastAsia"/>
          <w:b/>
          <w:color w:val="auto"/>
          <w:sz w:val="24"/>
          <w:szCs w:val="24"/>
          <w:highlight w:val="none"/>
        </w:rPr>
        <w:t>、投标文件的制作、签章</w:t>
      </w:r>
    </w:p>
    <w:p w14:paraId="0B094FFD">
      <w:pPr>
        <w:spacing w:line="440" w:lineRule="exact"/>
        <w:ind w:firstLine="360"/>
        <w:rPr>
          <w:rFonts w:hint="eastAsia"/>
          <w:color w:val="auto"/>
          <w:sz w:val="24"/>
          <w:szCs w:val="24"/>
          <w:highlight w:val="none"/>
        </w:rPr>
      </w:pPr>
      <w:r>
        <w:rPr>
          <w:rFonts w:hint="eastAsia"/>
          <w:color w:val="auto"/>
          <w:sz w:val="24"/>
          <w:szCs w:val="24"/>
          <w:highlight w:val="none"/>
          <w:lang w:val="en-US" w:eastAsia="zh-CN"/>
        </w:rPr>
        <w:t>9</w:t>
      </w:r>
      <w:r>
        <w:rPr>
          <w:rFonts w:hint="eastAsia"/>
          <w:color w:val="auto"/>
          <w:sz w:val="24"/>
          <w:szCs w:val="24"/>
          <w:highlight w:val="none"/>
        </w:rPr>
        <w:t>.1 投标人应认真阅读招标文件中所有的事项、格式、条款和规范等要求。按招标文件要求和规定编制投标文件，并保证所提供的全部资料的真实性，以使其投标文件对招标文件作出实质性响应</w:t>
      </w:r>
      <w:r>
        <w:rPr>
          <w:rFonts w:hint="eastAsia"/>
          <w:color w:val="auto"/>
          <w:sz w:val="24"/>
          <w:szCs w:val="24"/>
          <w:highlight w:val="none"/>
          <w:lang w:eastAsia="zh-CN"/>
        </w:rPr>
        <w:t>，</w:t>
      </w:r>
      <w:r>
        <w:rPr>
          <w:rFonts w:hint="eastAsia"/>
          <w:color w:val="auto"/>
          <w:sz w:val="24"/>
          <w:szCs w:val="24"/>
          <w:highlight w:val="none"/>
        </w:rPr>
        <w:t>否则根据有关条款规定，该投标有可能被拒绝。</w:t>
      </w:r>
    </w:p>
    <w:p w14:paraId="5731DEA3">
      <w:pPr>
        <w:spacing w:line="440" w:lineRule="exact"/>
        <w:ind w:firstLine="360"/>
        <w:rPr>
          <w:rFonts w:hint="eastAsia"/>
          <w:color w:val="auto"/>
          <w:sz w:val="24"/>
          <w:szCs w:val="24"/>
          <w:highlight w:val="none"/>
        </w:rPr>
      </w:pPr>
      <w:r>
        <w:rPr>
          <w:rFonts w:hint="eastAsia"/>
          <w:color w:val="auto"/>
          <w:sz w:val="24"/>
          <w:szCs w:val="24"/>
          <w:highlight w:val="none"/>
          <w:lang w:val="en-US" w:eastAsia="zh-CN"/>
        </w:rPr>
        <w:t>9</w:t>
      </w:r>
      <w:r>
        <w:rPr>
          <w:rFonts w:hint="eastAsia"/>
          <w:color w:val="auto"/>
          <w:sz w:val="24"/>
          <w:szCs w:val="24"/>
          <w:highlight w:val="none"/>
        </w:rPr>
        <w:t>.2 制作电子投标文件时，应按照招标文件要求加盖投标人CA电子公章。如未加盖电子公章的作无效投标处理。</w:t>
      </w:r>
    </w:p>
    <w:p w14:paraId="59D98E1D">
      <w:pPr>
        <w:spacing w:line="440" w:lineRule="exact"/>
        <w:ind w:firstLine="360"/>
        <w:rPr>
          <w:rFonts w:hint="eastAsia"/>
          <w:color w:val="auto"/>
          <w:sz w:val="24"/>
          <w:szCs w:val="24"/>
          <w:highlight w:val="none"/>
        </w:rPr>
      </w:pPr>
      <w:r>
        <w:rPr>
          <w:rFonts w:hint="eastAsia"/>
          <w:color w:val="auto"/>
          <w:sz w:val="24"/>
          <w:szCs w:val="24"/>
          <w:highlight w:val="none"/>
          <w:lang w:val="en-US" w:eastAsia="zh-CN"/>
        </w:rPr>
        <w:t>9</w:t>
      </w:r>
      <w:r>
        <w:rPr>
          <w:rFonts w:hint="eastAsia"/>
          <w:color w:val="auto"/>
          <w:sz w:val="24"/>
          <w:szCs w:val="24"/>
          <w:highlight w:val="none"/>
        </w:rPr>
        <w:t>.3 制作电子投标文件时需与投标文件制作软件目录一一对应，将相关资料上传至相应模块。</w:t>
      </w:r>
    </w:p>
    <w:p w14:paraId="69D92839">
      <w:pPr>
        <w:spacing w:line="440" w:lineRule="exact"/>
        <w:rPr>
          <w:b/>
          <w:color w:val="auto"/>
          <w:sz w:val="24"/>
          <w:szCs w:val="24"/>
          <w:highlight w:val="none"/>
        </w:rPr>
      </w:pPr>
      <w:bookmarkStart w:id="40" w:name="_Toc14577360"/>
      <w:bookmarkStart w:id="41" w:name="_Toc49090511"/>
      <w:r>
        <w:rPr>
          <w:rFonts w:hint="eastAsia"/>
          <w:b/>
          <w:color w:val="auto"/>
          <w:sz w:val="24"/>
          <w:szCs w:val="24"/>
          <w:highlight w:val="none"/>
          <w:lang w:val="en-US" w:eastAsia="zh-CN"/>
        </w:rPr>
        <w:t>10</w:t>
      </w:r>
      <w:r>
        <w:rPr>
          <w:rFonts w:hint="eastAsia"/>
          <w:b/>
          <w:color w:val="auto"/>
          <w:sz w:val="24"/>
          <w:szCs w:val="24"/>
          <w:highlight w:val="none"/>
        </w:rPr>
        <w:t>、投标有效期</w:t>
      </w:r>
      <w:bookmarkEnd w:id="40"/>
      <w:bookmarkEnd w:id="41"/>
    </w:p>
    <w:p w14:paraId="4AE907E5">
      <w:pPr>
        <w:spacing w:line="440" w:lineRule="exact"/>
        <w:ind w:firstLine="360"/>
        <w:rPr>
          <w:color w:val="auto"/>
          <w:sz w:val="24"/>
          <w:szCs w:val="24"/>
          <w:highlight w:val="none"/>
        </w:rPr>
      </w:pPr>
      <w:r>
        <w:rPr>
          <w:rFonts w:hint="eastAsia"/>
          <w:color w:val="auto"/>
          <w:sz w:val="24"/>
          <w:szCs w:val="24"/>
          <w:highlight w:val="none"/>
          <w:lang w:val="en-US" w:eastAsia="zh-CN"/>
        </w:rPr>
        <w:t>10</w:t>
      </w:r>
      <w:r>
        <w:rPr>
          <w:rFonts w:hint="eastAsia"/>
          <w:color w:val="auto"/>
          <w:sz w:val="24"/>
          <w:szCs w:val="24"/>
          <w:highlight w:val="none"/>
        </w:rPr>
        <w:t>.1 投标有效期为代理机构规定的开标之日后六十（60）天。投标有效期比规定短的将被视为未实质性响应招标文件而予以拒绝。</w:t>
      </w:r>
    </w:p>
    <w:p w14:paraId="68E0B953">
      <w:pPr>
        <w:spacing w:line="440" w:lineRule="exact"/>
        <w:rPr>
          <w:b/>
          <w:color w:val="auto"/>
          <w:sz w:val="24"/>
          <w:szCs w:val="24"/>
          <w:highlight w:val="none"/>
        </w:rPr>
      </w:pPr>
      <w:r>
        <w:rPr>
          <w:rFonts w:hint="eastAsia"/>
          <w:b/>
          <w:color w:val="auto"/>
          <w:sz w:val="24"/>
          <w:szCs w:val="24"/>
          <w:highlight w:val="none"/>
          <w:lang w:val="en-US" w:eastAsia="zh-CN"/>
        </w:rPr>
        <w:t>11</w:t>
      </w:r>
      <w:r>
        <w:rPr>
          <w:rFonts w:hint="eastAsia"/>
          <w:b/>
          <w:color w:val="auto"/>
          <w:sz w:val="24"/>
          <w:szCs w:val="24"/>
          <w:highlight w:val="none"/>
        </w:rPr>
        <w:t>、投标有效期的延长</w:t>
      </w:r>
    </w:p>
    <w:p w14:paraId="10329CE4">
      <w:pPr>
        <w:spacing w:line="440" w:lineRule="exact"/>
        <w:ind w:firstLine="360"/>
        <w:rPr>
          <w:color w:val="auto"/>
          <w:sz w:val="24"/>
          <w:szCs w:val="24"/>
          <w:highlight w:val="none"/>
        </w:rPr>
      </w:pPr>
      <w:r>
        <w:rPr>
          <w:rFonts w:hint="eastAsia"/>
          <w:color w:val="auto"/>
          <w:sz w:val="24"/>
          <w:szCs w:val="24"/>
          <w:highlight w:val="none"/>
          <w:lang w:val="en-US" w:eastAsia="zh-CN"/>
        </w:rPr>
        <w:t>11</w:t>
      </w:r>
      <w:r>
        <w:rPr>
          <w:rFonts w:hint="eastAsia"/>
          <w:color w:val="auto"/>
          <w:sz w:val="24"/>
          <w:szCs w:val="24"/>
          <w:highlight w:val="none"/>
        </w:rPr>
        <w:t>.1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0B99459">
      <w:pPr>
        <w:spacing w:line="440" w:lineRule="exact"/>
        <w:ind w:firstLine="360"/>
        <w:rPr>
          <w:color w:val="auto"/>
          <w:sz w:val="24"/>
          <w:szCs w:val="24"/>
          <w:highlight w:val="none"/>
        </w:rPr>
      </w:pPr>
    </w:p>
    <w:p w14:paraId="6A7CD2AD">
      <w:pPr>
        <w:pStyle w:val="3"/>
        <w:rPr>
          <w:color w:val="auto"/>
          <w:highlight w:val="none"/>
        </w:rPr>
      </w:pPr>
      <w:bookmarkStart w:id="42" w:name="_Toc17717"/>
      <w:bookmarkStart w:id="43" w:name="_Toc32634"/>
      <w:r>
        <w:rPr>
          <w:color w:val="auto"/>
          <w:highlight w:val="none"/>
        </w:rPr>
        <w:t>四、投标文件的提交</w:t>
      </w:r>
      <w:bookmarkEnd w:id="42"/>
      <w:bookmarkEnd w:id="43"/>
    </w:p>
    <w:p w14:paraId="51AB2777">
      <w:pPr>
        <w:spacing w:line="440" w:lineRule="exact"/>
        <w:rPr>
          <w:b/>
          <w:color w:val="auto"/>
          <w:sz w:val="24"/>
          <w:szCs w:val="24"/>
          <w:highlight w:val="none"/>
        </w:rPr>
      </w:pPr>
      <w:r>
        <w:rPr>
          <w:b/>
          <w:color w:val="auto"/>
          <w:sz w:val="24"/>
          <w:szCs w:val="24"/>
          <w:highlight w:val="none"/>
        </w:rPr>
        <w:t>1、投标文件的提交</w:t>
      </w:r>
    </w:p>
    <w:p w14:paraId="2E15E5C2">
      <w:pPr>
        <w:spacing w:line="440" w:lineRule="exact"/>
        <w:ind w:firstLine="360"/>
        <w:rPr>
          <w:color w:val="auto"/>
          <w:sz w:val="24"/>
          <w:szCs w:val="24"/>
          <w:highlight w:val="none"/>
        </w:rPr>
      </w:pPr>
      <w:r>
        <w:rPr>
          <w:color w:val="auto"/>
          <w:sz w:val="24"/>
          <w:szCs w:val="24"/>
          <w:highlight w:val="none"/>
        </w:rPr>
        <w:t xml:space="preserve">1.1 </w:t>
      </w:r>
      <w:r>
        <w:rPr>
          <w:rFonts w:hint="eastAsia"/>
          <w:color w:val="auto"/>
          <w:sz w:val="24"/>
          <w:szCs w:val="24"/>
          <w:highlight w:val="none"/>
        </w:rPr>
        <w:t>投标人应当按照《</w:t>
      </w:r>
      <w:r>
        <w:rPr>
          <w:color w:val="auto"/>
          <w:sz w:val="24"/>
          <w:szCs w:val="24"/>
          <w:highlight w:val="none"/>
        </w:rPr>
        <w:t>苏采云系统供应商操作手册</w:t>
      </w:r>
      <w:r>
        <w:rPr>
          <w:rFonts w:hint="eastAsia"/>
          <w:color w:val="auto"/>
          <w:sz w:val="24"/>
          <w:szCs w:val="24"/>
          <w:highlight w:val="none"/>
        </w:rPr>
        <w:t>》规定，在投标截止时间前</w:t>
      </w:r>
      <w:r>
        <w:rPr>
          <w:color w:val="auto"/>
          <w:sz w:val="24"/>
          <w:szCs w:val="24"/>
          <w:highlight w:val="none"/>
        </w:rPr>
        <w:t>制作</w:t>
      </w:r>
      <w:r>
        <w:rPr>
          <w:rFonts w:hint="eastAsia"/>
          <w:color w:val="auto"/>
          <w:sz w:val="24"/>
          <w:szCs w:val="24"/>
          <w:highlight w:val="none"/>
        </w:rPr>
        <w:t>并上传电子投标文件。</w:t>
      </w:r>
    </w:p>
    <w:p w14:paraId="191C220A">
      <w:pPr>
        <w:spacing w:line="440" w:lineRule="exact"/>
        <w:rPr>
          <w:b/>
          <w:color w:val="auto"/>
          <w:sz w:val="24"/>
          <w:szCs w:val="24"/>
          <w:highlight w:val="none"/>
        </w:rPr>
      </w:pPr>
      <w:r>
        <w:rPr>
          <w:rFonts w:hint="eastAsia"/>
          <w:b/>
          <w:color w:val="auto"/>
          <w:sz w:val="24"/>
          <w:szCs w:val="24"/>
          <w:highlight w:val="none"/>
        </w:rPr>
        <w:t>2、投标截止日期</w:t>
      </w:r>
    </w:p>
    <w:p w14:paraId="675295F3">
      <w:pPr>
        <w:spacing w:line="440" w:lineRule="exact"/>
        <w:ind w:firstLine="361"/>
        <w:rPr>
          <w:color w:val="auto"/>
          <w:sz w:val="24"/>
          <w:szCs w:val="24"/>
          <w:highlight w:val="none"/>
        </w:rPr>
      </w:pPr>
      <w:r>
        <w:rPr>
          <w:rFonts w:hint="eastAsia"/>
          <w:b/>
          <w:bCs/>
          <w:color w:val="auto"/>
          <w:sz w:val="24"/>
          <w:szCs w:val="24"/>
          <w:highlight w:val="none"/>
        </w:rPr>
        <w:t>2.1 投标人上传电子投标文件的时间不得迟于招标公告中规定的投标截止时间。</w:t>
      </w:r>
      <w:r>
        <w:rPr>
          <w:rFonts w:hint="eastAsia"/>
          <w:color w:val="auto"/>
          <w:sz w:val="24"/>
          <w:szCs w:val="24"/>
          <w:highlight w:val="none"/>
        </w:rPr>
        <w:t>投标人应充分考虑到网络环境、网络带宽等风险因素，如因投标人自身原因造成的电子投标文件上传不成功的按照本招标文件第二章中“</w:t>
      </w:r>
      <w:bookmarkStart w:id="44" w:name="_Toc120614218"/>
      <w:bookmarkStart w:id="45" w:name="_Toc16938545"/>
      <w:bookmarkStart w:id="46" w:name="_Toc158042193"/>
      <w:bookmarkStart w:id="47" w:name="_Toc513029229"/>
      <w:bookmarkStart w:id="48" w:name="_Toc20823301"/>
      <w:r>
        <w:rPr>
          <w:rFonts w:hint="eastAsia"/>
          <w:color w:val="auto"/>
          <w:sz w:val="24"/>
          <w:szCs w:val="24"/>
          <w:highlight w:val="none"/>
        </w:rPr>
        <w:t>五、开标与评标</w:t>
      </w:r>
      <w:bookmarkEnd w:id="44"/>
      <w:bookmarkEnd w:id="45"/>
      <w:bookmarkEnd w:id="46"/>
      <w:bookmarkEnd w:id="47"/>
      <w:bookmarkEnd w:id="48"/>
      <w:r>
        <w:rPr>
          <w:rFonts w:hint="eastAsia"/>
          <w:color w:val="auto"/>
          <w:sz w:val="24"/>
          <w:szCs w:val="24"/>
          <w:highlight w:val="none"/>
        </w:rPr>
        <w:t>”第6.1.2条规定做无效投标处理。</w:t>
      </w:r>
    </w:p>
    <w:p w14:paraId="664F6D95">
      <w:pPr>
        <w:spacing w:line="440" w:lineRule="exact"/>
        <w:ind w:firstLine="360"/>
        <w:rPr>
          <w:rFonts w:hint="eastAsia" w:ascii="宋体" w:hAnsi="宋体"/>
          <w:bCs/>
          <w:color w:val="auto"/>
          <w:sz w:val="24"/>
          <w:szCs w:val="21"/>
          <w:highlight w:val="none"/>
        </w:rPr>
      </w:pPr>
      <w:r>
        <w:rPr>
          <w:rFonts w:hint="eastAsia"/>
          <w:color w:val="auto"/>
          <w:sz w:val="24"/>
          <w:szCs w:val="24"/>
          <w:highlight w:val="none"/>
        </w:rPr>
        <w:t>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auto"/>
          <w:sz w:val="24"/>
          <w:szCs w:val="21"/>
          <w:highlight w:val="none"/>
        </w:rPr>
        <w:t>。</w:t>
      </w:r>
    </w:p>
    <w:p w14:paraId="102BD2F6">
      <w:pPr>
        <w:spacing w:line="440" w:lineRule="exact"/>
        <w:rPr>
          <w:b/>
          <w:color w:val="auto"/>
          <w:sz w:val="24"/>
          <w:szCs w:val="24"/>
          <w:highlight w:val="none"/>
        </w:rPr>
      </w:pPr>
      <w:bookmarkStart w:id="49" w:name="_Toc513029227"/>
      <w:bookmarkStart w:id="50" w:name="_Toc20823299"/>
      <w:bookmarkStart w:id="51" w:name="_Toc16938543"/>
      <w:r>
        <w:rPr>
          <w:rFonts w:hint="eastAsia"/>
          <w:b/>
          <w:color w:val="auto"/>
          <w:sz w:val="24"/>
          <w:szCs w:val="24"/>
          <w:highlight w:val="none"/>
        </w:rPr>
        <w:t>3、投标文件</w:t>
      </w:r>
      <w:bookmarkEnd w:id="49"/>
      <w:bookmarkEnd w:id="50"/>
      <w:bookmarkEnd w:id="51"/>
      <w:r>
        <w:rPr>
          <w:rFonts w:hint="eastAsia"/>
          <w:b/>
          <w:color w:val="auto"/>
          <w:sz w:val="24"/>
          <w:szCs w:val="24"/>
          <w:highlight w:val="none"/>
        </w:rPr>
        <w:t>的拒收</w:t>
      </w:r>
    </w:p>
    <w:p w14:paraId="7C48D512">
      <w:pPr>
        <w:spacing w:line="440" w:lineRule="exact"/>
        <w:ind w:firstLine="360"/>
        <w:rPr>
          <w:color w:val="auto"/>
          <w:sz w:val="24"/>
          <w:szCs w:val="24"/>
          <w:highlight w:val="none"/>
        </w:rPr>
      </w:pPr>
      <w:r>
        <w:rPr>
          <w:rFonts w:hint="eastAsia"/>
          <w:color w:val="auto"/>
          <w:sz w:val="24"/>
          <w:szCs w:val="24"/>
          <w:highlight w:val="none"/>
        </w:rPr>
        <w:t>3.1 代理机构拒绝接收在其规定的投标截止时间后上传的任何投标文件。</w:t>
      </w:r>
    </w:p>
    <w:p w14:paraId="11230C1A">
      <w:pPr>
        <w:spacing w:line="440" w:lineRule="exact"/>
        <w:rPr>
          <w:b/>
          <w:color w:val="auto"/>
          <w:sz w:val="24"/>
          <w:szCs w:val="24"/>
          <w:highlight w:val="none"/>
        </w:rPr>
      </w:pPr>
      <w:bookmarkStart w:id="52" w:name="_Toc513029228"/>
      <w:bookmarkStart w:id="53" w:name="_Toc16938544"/>
      <w:bookmarkStart w:id="54" w:name="_Toc20823300"/>
      <w:r>
        <w:rPr>
          <w:rFonts w:hint="eastAsia"/>
          <w:b/>
          <w:color w:val="auto"/>
          <w:sz w:val="24"/>
          <w:szCs w:val="24"/>
          <w:highlight w:val="none"/>
        </w:rPr>
        <w:t>4、投标文件的撤回和修改</w:t>
      </w:r>
      <w:bookmarkEnd w:id="52"/>
      <w:bookmarkEnd w:id="53"/>
      <w:bookmarkEnd w:id="54"/>
    </w:p>
    <w:p w14:paraId="0893FEF7">
      <w:pPr>
        <w:spacing w:line="440" w:lineRule="exact"/>
        <w:ind w:firstLine="360"/>
        <w:rPr>
          <w:color w:val="auto"/>
          <w:sz w:val="24"/>
          <w:szCs w:val="24"/>
          <w:highlight w:val="none"/>
        </w:rPr>
      </w:pPr>
      <w:r>
        <w:rPr>
          <w:rFonts w:hint="eastAsia"/>
          <w:color w:val="auto"/>
          <w:sz w:val="24"/>
          <w:szCs w:val="24"/>
          <w:highlight w:val="none"/>
        </w:rPr>
        <w:t>4.1 投标文件的撤回</w:t>
      </w:r>
    </w:p>
    <w:p w14:paraId="30A90214">
      <w:pPr>
        <w:spacing w:line="440" w:lineRule="exact"/>
        <w:ind w:firstLine="600"/>
        <w:rPr>
          <w:color w:val="auto"/>
          <w:sz w:val="24"/>
          <w:szCs w:val="24"/>
          <w:highlight w:val="none"/>
        </w:rPr>
      </w:pPr>
      <w:r>
        <w:rPr>
          <w:rFonts w:hint="eastAsia"/>
          <w:color w:val="auto"/>
          <w:sz w:val="24"/>
          <w:szCs w:val="24"/>
          <w:highlight w:val="none"/>
        </w:rPr>
        <w:t>4.1.1 电子投标文件的撤回</w:t>
      </w:r>
    </w:p>
    <w:p w14:paraId="5EC18385">
      <w:pPr>
        <w:spacing w:line="440" w:lineRule="exact"/>
        <w:ind w:firstLine="600"/>
        <w:rPr>
          <w:color w:val="auto"/>
          <w:sz w:val="24"/>
          <w:szCs w:val="24"/>
          <w:highlight w:val="none"/>
        </w:rPr>
      </w:pPr>
      <w:r>
        <w:rPr>
          <w:rFonts w:hint="eastAsia"/>
          <w:color w:val="auto"/>
          <w:sz w:val="24"/>
          <w:szCs w:val="24"/>
          <w:highlight w:val="none"/>
        </w:rPr>
        <w:t>投标人可在投标截止时间前，撤回其电子投标文件，具体操作方法见《苏采云系统供应商操作手册》。</w:t>
      </w:r>
    </w:p>
    <w:p w14:paraId="40DF5F61">
      <w:pPr>
        <w:spacing w:line="440" w:lineRule="exact"/>
        <w:ind w:firstLine="602"/>
        <w:rPr>
          <w:b/>
          <w:bCs/>
          <w:color w:val="auto"/>
          <w:sz w:val="24"/>
          <w:szCs w:val="24"/>
          <w:highlight w:val="none"/>
        </w:rPr>
      </w:pPr>
      <w:r>
        <w:rPr>
          <w:rFonts w:hint="eastAsia"/>
          <w:b/>
          <w:bCs/>
          <w:color w:val="auto"/>
          <w:sz w:val="24"/>
          <w:szCs w:val="24"/>
          <w:highlight w:val="none"/>
        </w:rPr>
        <w:t>4.1.2 投标人撤回电子投标文件，则认为其不再参与本项目投标活动。</w:t>
      </w:r>
    </w:p>
    <w:p w14:paraId="545AF2D0">
      <w:pPr>
        <w:spacing w:line="440" w:lineRule="exact"/>
        <w:ind w:firstLine="360"/>
        <w:rPr>
          <w:color w:val="auto"/>
          <w:sz w:val="24"/>
          <w:szCs w:val="24"/>
          <w:highlight w:val="none"/>
        </w:rPr>
      </w:pPr>
      <w:r>
        <w:rPr>
          <w:rFonts w:hint="eastAsia"/>
          <w:color w:val="auto"/>
          <w:sz w:val="24"/>
          <w:szCs w:val="24"/>
          <w:highlight w:val="none"/>
        </w:rPr>
        <w:t>4.2 投标文件的修改</w:t>
      </w:r>
    </w:p>
    <w:p w14:paraId="402208F4">
      <w:pPr>
        <w:spacing w:line="440" w:lineRule="exact"/>
        <w:ind w:firstLine="600"/>
        <w:rPr>
          <w:color w:val="auto"/>
          <w:sz w:val="24"/>
          <w:szCs w:val="24"/>
          <w:highlight w:val="none"/>
        </w:rPr>
      </w:pPr>
      <w:r>
        <w:rPr>
          <w:rFonts w:hint="eastAsia"/>
          <w:color w:val="auto"/>
          <w:sz w:val="24"/>
          <w:szCs w:val="24"/>
          <w:highlight w:val="none"/>
        </w:rPr>
        <w:t>4.2.1 投标人可在投标截止时间前，对其电子投标文件进行修改，具体操作方法见《苏采云系统供应商操作手册》。</w:t>
      </w:r>
    </w:p>
    <w:p w14:paraId="74BE47FD">
      <w:pPr>
        <w:spacing w:line="440" w:lineRule="exact"/>
        <w:ind w:firstLine="600"/>
        <w:rPr>
          <w:color w:val="auto"/>
          <w:sz w:val="24"/>
          <w:szCs w:val="24"/>
          <w:highlight w:val="none"/>
        </w:rPr>
      </w:pPr>
      <w:r>
        <w:rPr>
          <w:rFonts w:hint="eastAsia"/>
          <w:color w:val="auto"/>
          <w:sz w:val="24"/>
          <w:szCs w:val="24"/>
          <w:highlight w:val="none"/>
        </w:rPr>
        <w:t>4.2.2 在投标截止时间之后，投标人不得对其电子投标文件作任何修改。</w:t>
      </w:r>
    </w:p>
    <w:p w14:paraId="42DC9C76">
      <w:pPr>
        <w:spacing w:line="440" w:lineRule="exact"/>
        <w:ind w:firstLine="360"/>
        <w:rPr>
          <w:color w:val="auto"/>
          <w:sz w:val="24"/>
          <w:szCs w:val="24"/>
          <w:highlight w:val="none"/>
        </w:rPr>
      </w:pPr>
      <w:r>
        <w:rPr>
          <w:rFonts w:hint="eastAsia"/>
          <w:color w:val="auto"/>
          <w:sz w:val="24"/>
          <w:szCs w:val="24"/>
          <w:highlight w:val="none"/>
        </w:rPr>
        <w:t>4.3 在投标截止时间至招标文件中规定的投标有效期满之间的这段时间内，投标人不得撤回其投标。</w:t>
      </w:r>
    </w:p>
    <w:p w14:paraId="246B35E8">
      <w:pPr>
        <w:spacing w:line="440" w:lineRule="exact"/>
        <w:ind w:firstLine="360"/>
        <w:rPr>
          <w:color w:val="auto"/>
          <w:sz w:val="24"/>
          <w:szCs w:val="24"/>
          <w:highlight w:val="none"/>
        </w:rPr>
      </w:pPr>
    </w:p>
    <w:p w14:paraId="3FFFD35B">
      <w:pPr>
        <w:pStyle w:val="3"/>
        <w:rPr>
          <w:color w:val="auto"/>
          <w:highlight w:val="none"/>
        </w:rPr>
      </w:pPr>
      <w:bookmarkStart w:id="55" w:name="_Toc8943"/>
      <w:bookmarkStart w:id="56" w:name="_Toc4840"/>
      <w:r>
        <w:rPr>
          <w:color w:val="auto"/>
          <w:highlight w:val="none"/>
        </w:rPr>
        <w:t>五、开标与评标</w:t>
      </w:r>
      <w:bookmarkEnd w:id="55"/>
      <w:bookmarkEnd w:id="56"/>
    </w:p>
    <w:p w14:paraId="545C2E3D">
      <w:pPr>
        <w:spacing w:line="440" w:lineRule="exact"/>
        <w:rPr>
          <w:b/>
          <w:color w:val="auto"/>
          <w:sz w:val="24"/>
          <w:szCs w:val="24"/>
          <w:highlight w:val="none"/>
        </w:rPr>
      </w:pPr>
      <w:r>
        <w:rPr>
          <w:b/>
          <w:color w:val="auto"/>
          <w:sz w:val="24"/>
          <w:szCs w:val="24"/>
          <w:highlight w:val="none"/>
        </w:rPr>
        <w:t>1、开标</w:t>
      </w:r>
    </w:p>
    <w:p w14:paraId="6F66AE61">
      <w:pPr>
        <w:spacing w:line="440" w:lineRule="exact"/>
        <w:ind w:firstLine="360"/>
        <w:rPr>
          <w:color w:val="auto"/>
          <w:sz w:val="24"/>
          <w:szCs w:val="24"/>
          <w:highlight w:val="none"/>
        </w:rPr>
      </w:pPr>
      <w:r>
        <w:rPr>
          <w:rFonts w:hint="eastAsia"/>
          <w:color w:val="auto"/>
          <w:sz w:val="24"/>
          <w:szCs w:val="24"/>
          <w:highlight w:val="none"/>
        </w:rPr>
        <w:t>1.1 代理机构将在招标公告中规定的时间和地点组织公开开标。投标人应当按照《</w:t>
      </w:r>
      <w:r>
        <w:rPr>
          <w:color w:val="auto"/>
          <w:sz w:val="24"/>
          <w:szCs w:val="24"/>
          <w:highlight w:val="none"/>
        </w:rPr>
        <w:t>苏采云系统供应商操作手册</w:t>
      </w:r>
      <w:r>
        <w:rPr>
          <w:rFonts w:hint="eastAsia"/>
          <w:color w:val="auto"/>
          <w:sz w:val="24"/>
          <w:szCs w:val="24"/>
          <w:highlight w:val="none"/>
        </w:rPr>
        <w:t>》规定，</w:t>
      </w:r>
      <w:r>
        <w:rPr>
          <w:color w:val="auto"/>
          <w:sz w:val="24"/>
          <w:szCs w:val="24"/>
          <w:highlight w:val="none"/>
        </w:rPr>
        <w:t>参加开标活动</w:t>
      </w:r>
      <w:r>
        <w:rPr>
          <w:rFonts w:hint="eastAsia"/>
          <w:color w:val="auto"/>
          <w:sz w:val="24"/>
          <w:szCs w:val="24"/>
          <w:highlight w:val="none"/>
        </w:rPr>
        <w:t>和在苏采云系统规定的时间内对投标文件进行解密</w:t>
      </w:r>
      <w:r>
        <w:rPr>
          <w:rFonts w:hint="eastAsia"/>
          <w:color w:val="auto"/>
          <w:sz w:val="24"/>
          <w:szCs w:val="24"/>
          <w:highlight w:val="none"/>
          <w:lang w:eastAsia="zh-CN"/>
        </w:rPr>
        <w:t>，</w:t>
      </w:r>
      <w:r>
        <w:rPr>
          <w:rFonts w:hint="eastAsia" w:ascii="宋体" w:hAnsi="宋体" w:eastAsia="宋体" w:cs="宋体"/>
          <w:color w:val="auto"/>
          <w:sz w:val="24"/>
          <w:szCs w:val="24"/>
          <w:highlight w:val="none"/>
        </w:rPr>
        <w:t>如在规定时间内未能完成解密的视为放弃投标。</w:t>
      </w:r>
    </w:p>
    <w:p w14:paraId="513C9F5F">
      <w:pPr>
        <w:spacing w:line="440" w:lineRule="exact"/>
        <w:ind w:firstLine="360"/>
        <w:rPr>
          <w:color w:val="auto"/>
          <w:sz w:val="24"/>
          <w:szCs w:val="24"/>
          <w:highlight w:val="none"/>
        </w:rPr>
      </w:pPr>
      <w:r>
        <w:rPr>
          <w:rFonts w:hint="eastAsia"/>
          <w:color w:val="auto"/>
          <w:sz w:val="24"/>
          <w:szCs w:val="24"/>
          <w:highlight w:val="none"/>
        </w:rPr>
        <w:t>1.2 开标仪式由代理机构组织。苏采云系统将自动对</w:t>
      </w:r>
      <w:r>
        <w:rPr>
          <w:color w:val="auto"/>
          <w:sz w:val="24"/>
          <w:szCs w:val="24"/>
          <w:highlight w:val="none"/>
        </w:rPr>
        <w:t>项目进行开标，</w:t>
      </w:r>
      <w:r>
        <w:rPr>
          <w:rFonts w:hint="eastAsia"/>
          <w:color w:val="auto"/>
          <w:sz w:val="24"/>
          <w:szCs w:val="24"/>
          <w:highlight w:val="none"/>
        </w:rPr>
        <w:t>并宣布各投标人名称和投标价格。</w:t>
      </w:r>
    </w:p>
    <w:p w14:paraId="1DBADB27">
      <w:pPr>
        <w:spacing w:line="440" w:lineRule="exact"/>
        <w:ind w:firstLine="360"/>
        <w:rPr>
          <w:color w:val="auto"/>
          <w:sz w:val="24"/>
          <w:szCs w:val="24"/>
          <w:highlight w:val="none"/>
        </w:rPr>
      </w:pPr>
      <w:r>
        <w:rPr>
          <w:rFonts w:hint="eastAsia"/>
          <w:color w:val="auto"/>
          <w:sz w:val="24"/>
          <w:szCs w:val="24"/>
          <w:highlight w:val="none"/>
        </w:rPr>
        <w:t>1.3 投标人在开标过程中涉及到的投标文件解密、开标结果确认等工作，应按照《</w:t>
      </w:r>
      <w:r>
        <w:rPr>
          <w:color w:val="auto"/>
          <w:sz w:val="24"/>
          <w:szCs w:val="24"/>
          <w:highlight w:val="none"/>
        </w:rPr>
        <w:t>苏采云系统供应商操作手册</w:t>
      </w:r>
      <w:r>
        <w:rPr>
          <w:rFonts w:hint="eastAsia"/>
          <w:color w:val="auto"/>
          <w:sz w:val="24"/>
          <w:szCs w:val="24"/>
          <w:highlight w:val="none"/>
        </w:rPr>
        <w:t>》规定执行。</w:t>
      </w:r>
    </w:p>
    <w:p w14:paraId="24762044">
      <w:pPr>
        <w:spacing w:line="440" w:lineRule="exact"/>
        <w:ind w:firstLine="360"/>
        <w:rPr>
          <w:rFonts w:hint="eastAsia"/>
          <w:color w:val="auto"/>
          <w:sz w:val="24"/>
          <w:szCs w:val="24"/>
          <w:highlight w:val="none"/>
        </w:rPr>
      </w:pPr>
      <w:r>
        <w:rPr>
          <w:rFonts w:hint="eastAsia"/>
          <w:color w:val="auto"/>
          <w:sz w:val="24"/>
          <w:szCs w:val="24"/>
          <w:highlight w:val="none"/>
        </w:rPr>
        <w:t>1.4 投标人如果对开标过程和开标记录有疑义，应当根据《操作手册》规定提出，如苏采云系统中《开标记录表》宣布后5分钟内未提出的，视同认可开标结果。</w:t>
      </w:r>
    </w:p>
    <w:p w14:paraId="62C093E9">
      <w:pPr>
        <w:spacing w:line="440" w:lineRule="exact"/>
        <w:rPr>
          <w:b/>
          <w:color w:val="auto"/>
          <w:sz w:val="24"/>
          <w:szCs w:val="24"/>
          <w:highlight w:val="none"/>
        </w:rPr>
      </w:pPr>
      <w:r>
        <w:rPr>
          <w:b/>
          <w:color w:val="auto"/>
          <w:sz w:val="24"/>
          <w:szCs w:val="24"/>
          <w:highlight w:val="none"/>
        </w:rPr>
        <w:t>2、评标委员会</w:t>
      </w:r>
    </w:p>
    <w:p w14:paraId="10F74F3A">
      <w:pPr>
        <w:spacing w:line="440" w:lineRule="exact"/>
        <w:ind w:firstLine="360"/>
        <w:rPr>
          <w:color w:val="auto"/>
          <w:sz w:val="24"/>
          <w:szCs w:val="24"/>
          <w:highlight w:val="none"/>
        </w:rPr>
      </w:pPr>
      <w:r>
        <w:rPr>
          <w:color w:val="auto"/>
          <w:sz w:val="24"/>
          <w:szCs w:val="24"/>
          <w:highlight w:val="none"/>
        </w:rPr>
        <w:t>2.1 开标后，代理机构将立即组织评标委员会（以下简称评委会）进行评标。</w:t>
      </w:r>
    </w:p>
    <w:p w14:paraId="7AA72807">
      <w:pPr>
        <w:spacing w:line="440" w:lineRule="exact"/>
        <w:ind w:firstLine="360"/>
        <w:rPr>
          <w:color w:val="auto"/>
          <w:sz w:val="24"/>
          <w:szCs w:val="24"/>
          <w:highlight w:val="none"/>
        </w:rPr>
      </w:pPr>
      <w:r>
        <w:rPr>
          <w:color w:val="auto"/>
          <w:sz w:val="24"/>
          <w:szCs w:val="24"/>
          <w:highlight w:val="none"/>
        </w:rPr>
        <w:t xml:space="preserve">2.2 </w:t>
      </w:r>
      <w:r>
        <w:rPr>
          <w:rFonts w:hint="eastAsia"/>
          <w:color w:val="auto"/>
          <w:sz w:val="24"/>
          <w:szCs w:val="24"/>
          <w:highlight w:val="none"/>
        </w:rPr>
        <w:t>评委会由采购人代表和有关技术、经济等方面的专家组成，且人员构成符合政府采购有关规定。</w:t>
      </w:r>
    </w:p>
    <w:p w14:paraId="79B78B14">
      <w:pPr>
        <w:spacing w:line="440" w:lineRule="exact"/>
        <w:ind w:firstLine="360"/>
        <w:rPr>
          <w:color w:val="auto"/>
          <w:sz w:val="24"/>
          <w:szCs w:val="24"/>
          <w:highlight w:val="none"/>
        </w:rPr>
      </w:pPr>
      <w:r>
        <w:rPr>
          <w:color w:val="auto"/>
          <w:sz w:val="24"/>
          <w:szCs w:val="24"/>
          <w:highlight w:val="none"/>
        </w:rPr>
        <w:t>2.3 评委会独立开展工作，负责审议所有投标文件，并推荐中标候选人。</w:t>
      </w:r>
    </w:p>
    <w:p w14:paraId="115F65E5">
      <w:pPr>
        <w:spacing w:line="440" w:lineRule="exact"/>
        <w:rPr>
          <w:b/>
          <w:color w:val="auto"/>
          <w:sz w:val="24"/>
          <w:szCs w:val="24"/>
          <w:highlight w:val="none"/>
        </w:rPr>
      </w:pPr>
      <w:r>
        <w:rPr>
          <w:rFonts w:hint="eastAsia"/>
          <w:b/>
          <w:color w:val="auto"/>
          <w:sz w:val="24"/>
          <w:szCs w:val="24"/>
          <w:highlight w:val="none"/>
        </w:rPr>
        <w:t>3、评标过程的保密与公正</w:t>
      </w:r>
    </w:p>
    <w:p w14:paraId="13D4BDC3">
      <w:pPr>
        <w:spacing w:line="440" w:lineRule="exact"/>
        <w:ind w:firstLine="360"/>
        <w:rPr>
          <w:color w:val="auto"/>
          <w:sz w:val="24"/>
          <w:szCs w:val="24"/>
          <w:highlight w:val="none"/>
        </w:rPr>
      </w:pPr>
      <w:r>
        <w:rPr>
          <w:rFonts w:hint="eastAsia"/>
          <w:color w:val="auto"/>
          <w:sz w:val="24"/>
          <w:szCs w:val="24"/>
          <w:highlight w:val="none"/>
        </w:rPr>
        <w:t>3.1 凡是与审查、澄清、评价和比较投标的有关资料以及授标建议等，采购人、评委、代理机构均不得向投标人或与评标无关的其他人员透露。</w:t>
      </w:r>
    </w:p>
    <w:p w14:paraId="6380A4D3">
      <w:pPr>
        <w:spacing w:line="440" w:lineRule="exact"/>
        <w:ind w:firstLine="360"/>
        <w:rPr>
          <w:color w:val="auto"/>
          <w:sz w:val="24"/>
          <w:szCs w:val="24"/>
          <w:highlight w:val="none"/>
        </w:rPr>
      </w:pPr>
      <w:r>
        <w:rPr>
          <w:rFonts w:hint="eastAsia"/>
          <w:color w:val="auto"/>
          <w:sz w:val="24"/>
          <w:szCs w:val="24"/>
          <w:highlight w:val="none"/>
        </w:rPr>
        <w:t>3.2 在评标过程中，投标人不得以任何行为影响评标过程，否则其投标文件将被作为无效投标文件。</w:t>
      </w:r>
    </w:p>
    <w:p w14:paraId="59401B53">
      <w:pPr>
        <w:spacing w:line="440" w:lineRule="exact"/>
        <w:ind w:firstLine="360"/>
        <w:rPr>
          <w:color w:val="auto"/>
          <w:sz w:val="24"/>
          <w:szCs w:val="24"/>
          <w:highlight w:val="none"/>
        </w:rPr>
      </w:pPr>
      <w:r>
        <w:rPr>
          <w:rFonts w:hint="eastAsia"/>
          <w:color w:val="auto"/>
          <w:sz w:val="24"/>
          <w:szCs w:val="24"/>
          <w:highlight w:val="none"/>
        </w:rPr>
        <w:t>3.</w:t>
      </w:r>
      <w:r>
        <w:rPr>
          <w:color w:val="auto"/>
          <w:sz w:val="24"/>
          <w:szCs w:val="24"/>
          <w:highlight w:val="none"/>
        </w:rPr>
        <w:t>3</w:t>
      </w:r>
      <w:r>
        <w:rPr>
          <w:rFonts w:hint="eastAsia"/>
          <w:color w:val="auto"/>
          <w:sz w:val="24"/>
          <w:szCs w:val="24"/>
          <w:highlight w:val="none"/>
        </w:rPr>
        <w:t>代理机构和评委会不向未中标的投标人解释未中标原因，也不公布评标过程中的相关细节。</w:t>
      </w:r>
    </w:p>
    <w:p w14:paraId="0B6535D8">
      <w:pPr>
        <w:spacing w:line="440" w:lineRule="exact"/>
        <w:ind w:firstLine="360"/>
        <w:rPr>
          <w:rFonts w:hint="eastAsia" w:ascii="宋体" w:hAnsi="宋体"/>
          <w:color w:val="auto"/>
          <w:sz w:val="24"/>
          <w:szCs w:val="24"/>
          <w:highlight w:val="none"/>
        </w:rPr>
      </w:pPr>
      <w:r>
        <w:rPr>
          <w:rFonts w:hint="eastAsia"/>
          <w:color w:val="auto"/>
          <w:sz w:val="24"/>
          <w:szCs w:val="24"/>
          <w:highlight w:val="none"/>
        </w:rPr>
        <w:t>3.</w:t>
      </w:r>
      <w:r>
        <w:rPr>
          <w:color w:val="auto"/>
          <w:sz w:val="24"/>
          <w:szCs w:val="24"/>
          <w:highlight w:val="none"/>
        </w:rPr>
        <w:t>4</w:t>
      </w:r>
      <w:r>
        <w:rPr>
          <w:rFonts w:hint="eastAsia"/>
          <w:color w:val="auto"/>
          <w:sz w:val="24"/>
          <w:szCs w:val="24"/>
          <w:highlight w:val="none"/>
        </w:rPr>
        <w:t>采用综合评分法的项目，未中标的投标人可于中标结果公告期限届满之日起通过苏采云系统查看自己的</w:t>
      </w:r>
      <w:r>
        <w:rPr>
          <w:rFonts w:hint="eastAsia" w:ascii="宋体" w:hAnsi="宋体"/>
          <w:color w:val="auto"/>
          <w:sz w:val="24"/>
          <w:szCs w:val="24"/>
          <w:highlight w:val="none"/>
        </w:rPr>
        <w:t>评审得分及排序情况。</w:t>
      </w:r>
    </w:p>
    <w:p w14:paraId="44CF4828">
      <w:pPr>
        <w:spacing w:line="440" w:lineRule="exact"/>
        <w:rPr>
          <w:b/>
          <w:color w:val="auto"/>
          <w:sz w:val="24"/>
          <w:szCs w:val="24"/>
          <w:highlight w:val="none"/>
        </w:rPr>
      </w:pPr>
      <w:bookmarkStart w:id="57" w:name="_Toc20823304"/>
      <w:bookmarkStart w:id="58" w:name="_Toc513029232"/>
      <w:bookmarkStart w:id="59" w:name="_Toc16938548"/>
      <w:r>
        <w:rPr>
          <w:rFonts w:hint="eastAsia"/>
          <w:b/>
          <w:color w:val="auto"/>
          <w:sz w:val="24"/>
          <w:szCs w:val="24"/>
          <w:highlight w:val="none"/>
        </w:rPr>
        <w:t>4、投标文件的澄清</w:t>
      </w:r>
      <w:bookmarkEnd w:id="57"/>
      <w:bookmarkEnd w:id="58"/>
      <w:bookmarkEnd w:id="59"/>
    </w:p>
    <w:p w14:paraId="5F0FF235">
      <w:pPr>
        <w:spacing w:line="440" w:lineRule="exact"/>
        <w:ind w:firstLine="360"/>
        <w:rPr>
          <w:color w:val="auto"/>
          <w:sz w:val="24"/>
          <w:szCs w:val="24"/>
          <w:highlight w:val="none"/>
        </w:rPr>
      </w:pPr>
      <w:r>
        <w:rPr>
          <w:rFonts w:hint="eastAsia"/>
          <w:color w:val="auto"/>
          <w:sz w:val="24"/>
          <w:szCs w:val="24"/>
          <w:highlight w:val="none"/>
        </w:rPr>
        <w:t>4.1 评标期间，评委会对投标文件中含义不明确、同类问题表述不一致或者有明显文字和计算错误的内容，有权要求投标人作出必要的澄清、说明或者补正。</w:t>
      </w:r>
    </w:p>
    <w:p w14:paraId="01CBC6A1">
      <w:pPr>
        <w:spacing w:line="440" w:lineRule="exact"/>
        <w:ind w:firstLine="360"/>
        <w:rPr>
          <w:color w:val="auto"/>
          <w:sz w:val="24"/>
          <w:szCs w:val="24"/>
          <w:highlight w:val="none"/>
        </w:rPr>
      </w:pPr>
      <w:r>
        <w:rPr>
          <w:rFonts w:hint="eastAsia"/>
          <w:color w:val="auto"/>
          <w:sz w:val="24"/>
          <w:szCs w:val="24"/>
          <w:highlight w:val="none"/>
        </w:rPr>
        <w:t>投标人的澄清、说明或者补正不得超出投标文件的范围或者改变投标文件的实质性内容。</w:t>
      </w:r>
    </w:p>
    <w:p w14:paraId="018FCD22">
      <w:pPr>
        <w:spacing w:line="440" w:lineRule="exact"/>
        <w:ind w:firstLine="360"/>
        <w:rPr>
          <w:color w:val="auto"/>
          <w:sz w:val="24"/>
          <w:szCs w:val="24"/>
          <w:highlight w:val="none"/>
        </w:rPr>
      </w:pPr>
      <w:r>
        <w:rPr>
          <w:rFonts w:hint="eastAsia"/>
          <w:color w:val="auto"/>
          <w:sz w:val="24"/>
          <w:szCs w:val="24"/>
          <w:highlight w:val="none"/>
        </w:rPr>
        <w:t>评标委员会并非对每个投标人都做澄清要求。</w:t>
      </w:r>
    </w:p>
    <w:p w14:paraId="04BD3F24">
      <w:pPr>
        <w:spacing w:line="440" w:lineRule="exact"/>
        <w:ind w:firstLine="360"/>
        <w:rPr>
          <w:color w:val="auto"/>
          <w:sz w:val="24"/>
          <w:szCs w:val="24"/>
          <w:highlight w:val="none"/>
        </w:rPr>
      </w:pPr>
      <w:r>
        <w:rPr>
          <w:rFonts w:hint="eastAsia"/>
          <w:color w:val="auto"/>
          <w:sz w:val="24"/>
          <w:szCs w:val="24"/>
          <w:highlight w:val="none"/>
        </w:rPr>
        <w:t>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p>
    <w:p w14:paraId="6B2BEB83">
      <w:pPr>
        <w:spacing w:line="440" w:lineRule="exact"/>
        <w:ind w:firstLine="360"/>
        <w:rPr>
          <w:color w:val="auto"/>
          <w:sz w:val="24"/>
          <w:szCs w:val="24"/>
          <w:highlight w:val="none"/>
        </w:rPr>
      </w:pPr>
      <w:r>
        <w:rPr>
          <w:rFonts w:hint="eastAsia"/>
          <w:color w:val="auto"/>
          <w:sz w:val="24"/>
          <w:szCs w:val="24"/>
          <w:highlight w:val="none"/>
        </w:rPr>
        <w:t>4.3 接到评委会澄清、说明和补正要求的投标人如未按规定做出澄清、说明和补正，其风险由投标人自行承担。</w:t>
      </w:r>
    </w:p>
    <w:p w14:paraId="0EF6EA73">
      <w:pPr>
        <w:spacing w:line="440" w:lineRule="exact"/>
        <w:rPr>
          <w:b/>
          <w:color w:val="auto"/>
          <w:sz w:val="24"/>
          <w:szCs w:val="24"/>
          <w:highlight w:val="none"/>
        </w:rPr>
      </w:pPr>
      <w:r>
        <w:rPr>
          <w:rFonts w:hint="eastAsia"/>
          <w:b/>
          <w:color w:val="auto"/>
          <w:sz w:val="24"/>
          <w:szCs w:val="24"/>
          <w:highlight w:val="none"/>
        </w:rPr>
        <w:t>5、对投标文件的初审</w:t>
      </w:r>
    </w:p>
    <w:p w14:paraId="318CEC02">
      <w:pPr>
        <w:spacing w:line="440" w:lineRule="exact"/>
        <w:ind w:firstLine="360"/>
        <w:rPr>
          <w:color w:val="auto"/>
          <w:sz w:val="24"/>
          <w:szCs w:val="24"/>
          <w:highlight w:val="none"/>
        </w:rPr>
      </w:pPr>
      <w:r>
        <w:rPr>
          <w:rFonts w:hint="eastAsia"/>
          <w:color w:val="auto"/>
          <w:sz w:val="24"/>
          <w:szCs w:val="24"/>
          <w:highlight w:val="none"/>
        </w:rPr>
        <w:t>5.1 投标文件初审分为资格审查和符合性审查。</w:t>
      </w:r>
    </w:p>
    <w:p w14:paraId="0646E557">
      <w:pPr>
        <w:spacing w:line="440" w:lineRule="exact"/>
        <w:ind w:firstLine="600"/>
        <w:rPr>
          <w:color w:val="auto"/>
          <w:sz w:val="24"/>
          <w:szCs w:val="24"/>
          <w:highlight w:val="none"/>
        </w:rPr>
      </w:pPr>
      <w:r>
        <w:rPr>
          <w:rFonts w:hint="eastAsia"/>
          <w:color w:val="auto"/>
          <w:sz w:val="24"/>
          <w:szCs w:val="24"/>
          <w:highlight w:val="none"/>
        </w:rPr>
        <w:t>5.1.1 资格审查：依据法律法规和招标文件的规定，由采购人对投标文件中的资格证明文件进行审查。资格审查的结论，采购人以书面形式向评委会进行反馈。</w:t>
      </w:r>
    </w:p>
    <w:p w14:paraId="68D9018F">
      <w:pPr>
        <w:spacing w:line="440" w:lineRule="exact"/>
        <w:ind w:firstLine="600"/>
        <w:rPr>
          <w:color w:val="auto"/>
          <w:sz w:val="24"/>
          <w:szCs w:val="24"/>
          <w:highlight w:val="none"/>
        </w:rPr>
      </w:pPr>
      <w:r>
        <w:rPr>
          <w:rFonts w:hint="eastAsia"/>
          <w:color w:val="auto"/>
          <w:sz w:val="24"/>
          <w:szCs w:val="24"/>
          <w:highlight w:val="none"/>
        </w:rPr>
        <w:t>采购人在进行资格性审查的同时，将在</w:t>
      </w:r>
      <w:r>
        <w:rPr>
          <w:rFonts w:hint="eastAsia" w:ascii="宋体" w:hAnsi="宋体" w:cs="宋体"/>
          <w:color w:val="auto"/>
          <w:sz w:val="24"/>
          <w:szCs w:val="24"/>
          <w:highlight w:val="none"/>
        </w:rPr>
        <w:t>中国政府采购网、信用中国网站</w:t>
      </w:r>
      <w:r>
        <w:rPr>
          <w:rFonts w:ascii="宋体" w:hAnsi="宋体" w:cs="宋体"/>
          <w:color w:val="auto"/>
          <w:sz w:val="24"/>
          <w:szCs w:val="24"/>
          <w:highlight w:val="none"/>
        </w:rPr>
        <w:t>网站</w:t>
      </w:r>
      <w:r>
        <w:rPr>
          <w:rFonts w:hint="eastAsia"/>
          <w:color w:val="auto"/>
          <w:sz w:val="24"/>
          <w:szCs w:val="24"/>
          <w:highlight w:val="none"/>
        </w:rPr>
        <w:t>查询投标人的信用记录，以确定投标人是否具备投标资格，查询结果留存并归档。</w:t>
      </w:r>
    </w:p>
    <w:p w14:paraId="681DCBAD">
      <w:pPr>
        <w:spacing w:line="440" w:lineRule="exact"/>
        <w:ind w:firstLine="600"/>
        <w:rPr>
          <w:color w:val="auto"/>
          <w:sz w:val="24"/>
          <w:szCs w:val="24"/>
          <w:highlight w:val="none"/>
        </w:rPr>
      </w:pPr>
      <w:r>
        <w:rPr>
          <w:rFonts w:hint="eastAsia"/>
          <w:color w:val="auto"/>
          <w:sz w:val="24"/>
          <w:szCs w:val="24"/>
          <w:highlight w:val="none"/>
        </w:rPr>
        <w:t>5.1.2 符合性审查：依据招标文件的规定，由评委会从投标文件的有效性、完整性和对招标文件的响应程度进行审查，以确定是否对招标文件的实质性要求作出响应。</w:t>
      </w:r>
    </w:p>
    <w:p w14:paraId="5A1B87EF">
      <w:pPr>
        <w:spacing w:line="440" w:lineRule="exact"/>
        <w:ind w:firstLine="600"/>
        <w:rPr>
          <w:color w:val="auto"/>
          <w:sz w:val="24"/>
          <w:szCs w:val="24"/>
          <w:highlight w:val="none"/>
        </w:rPr>
      </w:pPr>
      <w:r>
        <w:rPr>
          <w:rFonts w:hint="eastAsia"/>
          <w:color w:val="auto"/>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14:paraId="6D3ABEBA">
      <w:pPr>
        <w:spacing w:line="440" w:lineRule="exact"/>
        <w:ind w:firstLine="360"/>
        <w:rPr>
          <w:color w:val="auto"/>
          <w:sz w:val="24"/>
          <w:szCs w:val="24"/>
          <w:highlight w:val="none"/>
        </w:rPr>
      </w:pPr>
      <w:r>
        <w:rPr>
          <w:rFonts w:hint="eastAsia"/>
          <w:color w:val="auto"/>
          <w:sz w:val="24"/>
          <w:szCs w:val="24"/>
          <w:highlight w:val="none"/>
        </w:rPr>
        <w:t>5.2 在详细评标之前，评委会将首先审查每份投标文件是否实质性响应了招标文件的要求。实质性响应的投标应该是与招标文件要求的全部条款、条件和规格相符，没有重大偏离或保留的投标。</w:t>
      </w:r>
    </w:p>
    <w:p w14:paraId="01B3DCC9">
      <w:pPr>
        <w:spacing w:line="440" w:lineRule="exact"/>
        <w:ind w:firstLine="360"/>
        <w:rPr>
          <w:color w:val="auto"/>
          <w:sz w:val="24"/>
          <w:szCs w:val="24"/>
          <w:highlight w:val="none"/>
        </w:rPr>
      </w:pPr>
      <w:r>
        <w:rPr>
          <w:rFonts w:hint="eastAsia"/>
          <w:color w:val="auto"/>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C29BE31">
      <w:pPr>
        <w:spacing w:line="440" w:lineRule="exact"/>
        <w:ind w:firstLine="360"/>
        <w:rPr>
          <w:color w:val="auto"/>
          <w:sz w:val="24"/>
          <w:szCs w:val="24"/>
          <w:highlight w:val="none"/>
        </w:rPr>
      </w:pPr>
      <w:r>
        <w:rPr>
          <w:rFonts w:hint="eastAsia"/>
          <w:color w:val="auto"/>
          <w:sz w:val="24"/>
          <w:szCs w:val="24"/>
          <w:highlight w:val="none"/>
        </w:rPr>
        <w:t>5.3 如果投标文件实质上没有响应招标文件的要求，评委会将予以拒绝，投标人不得通过修改或撤销不合要求的偏离或保留而使其投标成为实质性响应的投标。</w:t>
      </w:r>
    </w:p>
    <w:p w14:paraId="18726055">
      <w:pPr>
        <w:spacing w:line="440" w:lineRule="exact"/>
        <w:ind w:firstLine="360"/>
        <w:rPr>
          <w:color w:val="auto"/>
          <w:sz w:val="24"/>
          <w:szCs w:val="24"/>
          <w:highlight w:val="none"/>
        </w:rPr>
      </w:pPr>
      <w:r>
        <w:rPr>
          <w:rFonts w:hint="eastAsia"/>
          <w:color w:val="auto"/>
          <w:sz w:val="24"/>
          <w:szCs w:val="24"/>
          <w:highlight w:val="none"/>
        </w:rPr>
        <w:t>5.4 评委会将对确定为实质性响应的投标进行进一步审核，看其是否有计算上或累加上的算术错误，修正错误的原则如下：</w:t>
      </w:r>
    </w:p>
    <w:p w14:paraId="76E6511A">
      <w:pPr>
        <w:spacing w:line="440" w:lineRule="exact"/>
        <w:ind w:firstLine="360"/>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14:paraId="7CC2436F">
      <w:pPr>
        <w:spacing w:line="440" w:lineRule="exact"/>
        <w:ind w:firstLine="360"/>
        <w:rPr>
          <w:rFonts w:hint="eastAsia"/>
          <w:color w:val="auto"/>
          <w:sz w:val="24"/>
          <w:szCs w:val="24"/>
          <w:highlight w:val="none"/>
        </w:rPr>
      </w:pPr>
      <w:r>
        <w:rPr>
          <w:rFonts w:hint="eastAsia"/>
          <w:color w:val="auto"/>
          <w:sz w:val="24"/>
          <w:szCs w:val="24"/>
          <w:highlight w:val="none"/>
        </w:rPr>
        <w:t>（2）大写金额和小写金额不一致的，以大写金额为准。</w:t>
      </w:r>
    </w:p>
    <w:p w14:paraId="2CE806D0">
      <w:pPr>
        <w:spacing w:line="440" w:lineRule="exact"/>
        <w:ind w:firstLine="360"/>
        <w:rPr>
          <w:rFonts w:hint="eastAsia"/>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 </w:t>
      </w:r>
    </w:p>
    <w:p w14:paraId="1514DC99">
      <w:pPr>
        <w:spacing w:line="440" w:lineRule="exact"/>
        <w:ind w:firstLine="360"/>
        <w:rPr>
          <w:rFonts w:hint="eastAsia" w:eastAsia="宋体"/>
          <w:color w:val="auto"/>
          <w:highlight w:val="none"/>
          <w:lang w:eastAsia="zh-CN"/>
        </w:rPr>
      </w:pPr>
      <w:r>
        <w:rPr>
          <w:rFonts w:hint="eastAsia"/>
          <w:color w:val="auto"/>
          <w:sz w:val="24"/>
          <w:szCs w:val="24"/>
          <w:highlight w:val="none"/>
        </w:rPr>
        <w:t>（4）总价金额与按单价汇总金额不一致的，以单价金额计算结果为准</w:t>
      </w:r>
      <w:r>
        <w:rPr>
          <w:rFonts w:hint="eastAsia"/>
          <w:color w:val="auto"/>
          <w:sz w:val="24"/>
          <w:szCs w:val="24"/>
          <w:highlight w:val="none"/>
          <w:lang w:eastAsia="zh-CN"/>
        </w:rPr>
        <w:t>；</w:t>
      </w:r>
    </w:p>
    <w:p w14:paraId="5FDBCF8D">
      <w:pPr>
        <w:spacing w:line="440" w:lineRule="exact"/>
        <w:ind w:firstLine="360"/>
        <w:rPr>
          <w:color w:val="auto"/>
          <w:sz w:val="24"/>
          <w:szCs w:val="24"/>
          <w:highlight w:val="none"/>
        </w:rPr>
      </w:pPr>
      <w:r>
        <w:rPr>
          <w:color w:val="auto"/>
          <w:sz w:val="24"/>
          <w:szCs w:val="24"/>
          <w:highlight w:val="none"/>
        </w:rPr>
        <w:t>（</w:t>
      </w:r>
      <w:r>
        <w:rPr>
          <w:rFonts w:hint="eastAsia"/>
          <w:color w:val="auto"/>
          <w:sz w:val="24"/>
          <w:szCs w:val="24"/>
          <w:highlight w:val="none"/>
          <w:lang w:val="en-US" w:eastAsia="zh-CN"/>
        </w:rPr>
        <w:t>5</w:t>
      </w:r>
      <w:r>
        <w:rPr>
          <w:color w:val="auto"/>
          <w:sz w:val="24"/>
          <w:szCs w:val="24"/>
          <w:highlight w:val="none"/>
        </w:rPr>
        <w:t>）对不同文字文本投标文件的解释发生异议的，以中文文本为准</w:t>
      </w:r>
      <w:r>
        <w:rPr>
          <w:rFonts w:hint="eastAsia"/>
          <w:color w:val="auto"/>
          <w:sz w:val="24"/>
          <w:szCs w:val="24"/>
          <w:highlight w:val="none"/>
        </w:rPr>
        <w:t>。</w:t>
      </w:r>
    </w:p>
    <w:p w14:paraId="0EB63436">
      <w:pPr>
        <w:spacing w:line="440" w:lineRule="exact"/>
        <w:ind w:firstLine="360"/>
        <w:rPr>
          <w:color w:val="auto"/>
          <w:sz w:val="24"/>
          <w:szCs w:val="24"/>
          <w:highlight w:val="none"/>
        </w:rPr>
      </w:pPr>
      <w:r>
        <w:rPr>
          <w:rFonts w:hint="eastAsia"/>
          <w:color w:val="auto"/>
          <w:sz w:val="24"/>
          <w:szCs w:val="24"/>
          <w:highlight w:val="none"/>
        </w:rPr>
        <w:t>同时出现两种以上错误的，按照前款规定的顺序修正。</w:t>
      </w:r>
    </w:p>
    <w:p w14:paraId="635E7278">
      <w:pPr>
        <w:spacing w:line="440" w:lineRule="exact"/>
        <w:ind w:firstLine="360"/>
        <w:rPr>
          <w:color w:val="auto"/>
          <w:sz w:val="24"/>
          <w:szCs w:val="24"/>
          <w:highlight w:val="none"/>
        </w:rPr>
      </w:pPr>
      <w:r>
        <w:rPr>
          <w:rFonts w:hint="eastAsia"/>
          <w:color w:val="auto"/>
          <w:sz w:val="24"/>
          <w:szCs w:val="24"/>
          <w:highlight w:val="none"/>
        </w:rPr>
        <w:t>5.5 评委会将按上述修正错误的方法调整投标文件中的投标总报价，并通过苏采云系统告知投标人，调整后的价格应对投标人具有约束力。如果投标人不接受修正后的价格，则其投标将被拒绝。</w:t>
      </w:r>
    </w:p>
    <w:p w14:paraId="592035E3">
      <w:pPr>
        <w:spacing w:line="440" w:lineRule="exact"/>
        <w:ind w:firstLine="360"/>
        <w:rPr>
          <w:rFonts w:hint="eastAsia" w:ascii="宋体" w:hAnsi="宋体"/>
          <w:color w:val="auto"/>
          <w:sz w:val="24"/>
          <w:highlight w:val="none"/>
        </w:rPr>
      </w:pPr>
      <w:r>
        <w:rPr>
          <w:rFonts w:hint="eastAsia"/>
          <w:color w:val="auto"/>
          <w:sz w:val="24"/>
          <w:szCs w:val="24"/>
          <w:highlight w:val="none"/>
        </w:rPr>
        <w:t>5.</w:t>
      </w:r>
      <w:r>
        <w:rPr>
          <w:rFonts w:hint="eastAsia"/>
          <w:color w:val="auto"/>
          <w:sz w:val="24"/>
          <w:szCs w:val="24"/>
          <w:highlight w:val="none"/>
          <w:lang w:val="en-US" w:eastAsia="zh-CN"/>
        </w:rPr>
        <w:t>6</w:t>
      </w:r>
      <w:r>
        <w:rPr>
          <w:rFonts w:hint="eastAsia"/>
          <w:color w:val="auto"/>
          <w:sz w:val="24"/>
          <w:szCs w:val="24"/>
          <w:highlight w:val="none"/>
        </w:rPr>
        <w:t xml:space="preserve"> 投标人在开、评标全过程中应保持通讯畅通，及时登录苏采云系统查阅、答复相关信息，并安排专人与代理机构及评委会联系，</w:t>
      </w:r>
      <w:r>
        <w:rPr>
          <w:rFonts w:hint="eastAsia" w:ascii="宋体" w:hAnsi="宋体"/>
          <w:color w:val="auto"/>
          <w:sz w:val="24"/>
          <w:highlight w:val="none"/>
        </w:rPr>
        <w:t>否则导致的不利后果由供应商自行承担。</w:t>
      </w:r>
    </w:p>
    <w:p w14:paraId="43C03209">
      <w:pPr>
        <w:spacing w:line="440" w:lineRule="exact"/>
        <w:rPr>
          <w:b/>
          <w:color w:val="auto"/>
          <w:sz w:val="24"/>
          <w:szCs w:val="24"/>
          <w:highlight w:val="none"/>
        </w:rPr>
      </w:pPr>
      <w:r>
        <w:rPr>
          <w:rFonts w:hint="eastAsia"/>
          <w:b/>
          <w:color w:val="auto"/>
          <w:sz w:val="24"/>
          <w:szCs w:val="24"/>
          <w:highlight w:val="none"/>
        </w:rPr>
        <w:t>6、无效投标条款和废标条款</w:t>
      </w:r>
    </w:p>
    <w:p w14:paraId="65DFDBEB">
      <w:pPr>
        <w:spacing w:line="440" w:lineRule="exact"/>
        <w:ind w:firstLine="360"/>
        <w:rPr>
          <w:rFonts w:hint="eastAsia"/>
          <w:color w:val="auto"/>
          <w:sz w:val="24"/>
          <w:szCs w:val="24"/>
          <w:highlight w:val="none"/>
        </w:rPr>
      </w:pPr>
      <w:r>
        <w:rPr>
          <w:rFonts w:hint="eastAsia"/>
          <w:color w:val="auto"/>
          <w:sz w:val="24"/>
          <w:szCs w:val="24"/>
          <w:highlight w:val="none"/>
        </w:rPr>
        <w:t>6.1 无效投标条款</w:t>
      </w:r>
    </w:p>
    <w:p w14:paraId="464DCD36">
      <w:pPr>
        <w:spacing w:line="440" w:lineRule="exact"/>
        <w:ind w:firstLine="600"/>
        <w:rPr>
          <w:rFonts w:hint="eastAsia"/>
          <w:color w:val="auto"/>
          <w:sz w:val="24"/>
          <w:szCs w:val="24"/>
          <w:highlight w:val="none"/>
        </w:rPr>
      </w:pPr>
      <w:r>
        <w:rPr>
          <w:rFonts w:hint="eastAsia"/>
          <w:color w:val="auto"/>
          <w:sz w:val="24"/>
          <w:szCs w:val="24"/>
          <w:highlight w:val="none"/>
        </w:rPr>
        <w:t>6.1.</w:t>
      </w:r>
      <w:r>
        <w:rPr>
          <w:rFonts w:hint="eastAsia"/>
          <w:color w:val="auto"/>
          <w:sz w:val="24"/>
          <w:szCs w:val="24"/>
          <w:highlight w:val="none"/>
          <w:lang w:val="en-US" w:eastAsia="zh-CN"/>
        </w:rPr>
        <w:t>1</w:t>
      </w:r>
      <w:r>
        <w:rPr>
          <w:rFonts w:hint="eastAsia"/>
          <w:color w:val="auto"/>
          <w:sz w:val="24"/>
          <w:szCs w:val="24"/>
          <w:highlight w:val="none"/>
        </w:rPr>
        <w:t xml:space="preserve"> 投标人未按照招标文件要求上传电子投标文件的。</w:t>
      </w:r>
    </w:p>
    <w:p w14:paraId="70BF1FC7">
      <w:pPr>
        <w:spacing w:line="440" w:lineRule="exact"/>
        <w:ind w:firstLine="600"/>
        <w:rPr>
          <w:rFonts w:hint="eastAsia"/>
          <w:color w:val="auto"/>
          <w:sz w:val="24"/>
          <w:szCs w:val="24"/>
          <w:highlight w:val="none"/>
        </w:rPr>
      </w:pPr>
      <w:r>
        <w:rPr>
          <w:rFonts w:hint="eastAsia"/>
          <w:color w:val="auto"/>
          <w:sz w:val="24"/>
          <w:szCs w:val="24"/>
          <w:highlight w:val="none"/>
        </w:rPr>
        <w:t>6.1.</w:t>
      </w:r>
      <w:r>
        <w:rPr>
          <w:rFonts w:hint="eastAsia"/>
          <w:color w:val="auto"/>
          <w:sz w:val="24"/>
          <w:szCs w:val="24"/>
          <w:highlight w:val="none"/>
          <w:lang w:val="en-US" w:eastAsia="zh-CN"/>
        </w:rPr>
        <w:t>2</w:t>
      </w:r>
      <w:r>
        <w:rPr>
          <w:rFonts w:hint="eastAsia"/>
          <w:color w:val="auto"/>
          <w:sz w:val="24"/>
          <w:szCs w:val="24"/>
          <w:highlight w:val="none"/>
        </w:rPr>
        <w:t xml:space="preserve"> 投标人在苏采云系统规定的时间内未成功解密电子投标文件的。</w:t>
      </w:r>
    </w:p>
    <w:p w14:paraId="169891C7">
      <w:pPr>
        <w:spacing w:line="440" w:lineRule="exact"/>
        <w:ind w:firstLine="600"/>
        <w:rPr>
          <w:color w:val="auto"/>
          <w:sz w:val="24"/>
          <w:szCs w:val="24"/>
          <w:highlight w:val="none"/>
        </w:rPr>
      </w:pPr>
      <w:r>
        <w:rPr>
          <w:rFonts w:hint="eastAsia"/>
          <w:color w:val="auto"/>
          <w:sz w:val="24"/>
          <w:szCs w:val="24"/>
          <w:highlight w:val="none"/>
        </w:rPr>
        <w:t>6.1.3 同一投标人提交两个（含两个）以上不同的投标总报价的。</w:t>
      </w:r>
    </w:p>
    <w:p w14:paraId="761D4EA4">
      <w:pPr>
        <w:spacing w:line="440" w:lineRule="exact"/>
        <w:ind w:firstLine="600"/>
        <w:rPr>
          <w:color w:val="auto"/>
          <w:sz w:val="24"/>
          <w:szCs w:val="24"/>
          <w:highlight w:val="none"/>
        </w:rPr>
      </w:pPr>
      <w:r>
        <w:rPr>
          <w:rFonts w:hint="eastAsia"/>
          <w:color w:val="auto"/>
          <w:sz w:val="24"/>
          <w:szCs w:val="24"/>
          <w:highlight w:val="none"/>
        </w:rPr>
        <w:t>6.1.4 投标人</w:t>
      </w:r>
      <w:r>
        <w:rPr>
          <w:color w:val="auto"/>
          <w:sz w:val="24"/>
          <w:szCs w:val="24"/>
          <w:highlight w:val="none"/>
        </w:rPr>
        <w:t>不具备招标文件中规定的资格要求的</w:t>
      </w:r>
      <w:r>
        <w:rPr>
          <w:rFonts w:hint="eastAsia"/>
          <w:color w:val="auto"/>
          <w:sz w:val="24"/>
          <w:szCs w:val="24"/>
          <w:highlight w:val="none"/>
        </w:rPr>
        <w:t>。</w:t>
      </w:r>
    </w:p>
    <w:p w14:paraId="5D5ED121">
      <w:pPr>
        <w:spacing w:line="440" w:lineRule="exact"/>
        <w:ind w:firstLine="600"/>
        <w:rPr>
          <w:color w:val="auto"/>
          <w:sz w:val="24"/>
          <w:szCs w:val="24"/>
          <w:highlight w:val="none"/>
        </w:rPr>
      </w:pPr>
      <w:r>
        <w:rPr>
          <w:rFonts w:hint="eastAsia"/>
          <w:color w:val="auto"/>
          <w:sz w:val="24"/>
          <w:szCs w:val="24"/>
          <w:highlight w:val="none"/>
        </w:rPr>
        <w:t>6.1.5 投标人的报价超过了采购预算或最高限价的。</w:t>
      </w:r>
    </w:p>
    <w:p w14:paraId="1989BA07">
      <w:pPr>
        <w:spacing w:line="440" w:lineRule="exact"/>
        <w:ind w:firstLine="600"/>
        <w:rPr>
          <w:rFonts w:hint="eastAsia" w:ascii="宋体" w:hAnsi="宋体"/>
          <w:bCs/>
          <w:i/>
          <w:color w:val="auto"/>
          <w:sz w:val="24"/>
          <w:szCs w:val="21"/>
          <w:highlight w:val="none"/>
          <w:u w:val="single"/>
        </w:rPr>
      </w:pPr>
      <w:r>
        <w:rPr>
          <w:rFonts w:hint="eastAsia"/>
          <w:color w:val="auto"/>
          <w:sz w:val="24"/>
          <w:szCs w:val="24"/>
          <w:highlight w:val="none"/>
        </w:rPr>
        <w:t>6.1.6 未通过符合性审查的。</w:t>
      </w:r>
    </w:p>
    <w:p w14:paraId="32859BC9">
      <w:pPr>
        <w:spacing w:line="440" w:lineRule="exact"/>
        <w:ind w:firstLine="600"/>
        <w:rPr>
          <w:rFonts w:hint="eastAsia" w:ascii="宋体" w:hAnsi="宋体"/>
          <w:b/>
          <w:color w:val="auto"/>
          <w:sz w:val="24"/>
          <w:szCs w:val="21"/>
          <w:highlight w:val="none"/>
        </w:rPr>
      </w:pPr>
      <w:r>
        <w:rPr>
          <w:rFonts w:hint="eastAsia"/>
          <w:color w:val="auto"/>
          <w:sz w:val="24"/>
          <w:szCs w:val="24"/>
          <w:highlight w:val="none"/>
        </w:rPr>
        <w:t>6.1.7 不符合招标文件</w:t>
      </w:r>
      <w:r>
        <w:rPr>
          <w:rFonts w:hint="eastAsia" w:ascii="宋体" w:hAnsi="宋体"/>
          <w:bCs/>
          <w:color w:val="auto"/>
          <w:sz w:val="24"/>
          <w:szCs w:val="21"/>
          <w:highlight w:val="none"/>
        </w:rPr>
        <w:t>中规定的实质性要求和条件的（</w:t>
      </w:r>
      <w:r>
        <w:rPr>
          <w:rFonts w:hint="eastAsia" w:ascii="宋体" w:hAnsi="宋体"/>
          <w:bCs/>
          <w:i/>
          <w:color w:val="auto"/>
          <w:sz w:val="24"/>
          <w:szCs w:val="21"/>
          <w:highlight w:val="none"/>
          <w:u w:val="single"/>
        </w:rPr>
        <w:t>本招标文件中斜体且有下划线部分为实质性要求和条件）。</w:t>
      </w:r>
    </w:p>
    <w:p w14:paraId="4835F2F0">
      <w:pPr>
        <w:spacing w:line="440" w:lineRule="exact"/>
        <w:ind w:firstLine="600" w:firstLineChars="250"/>
        <w:rPr>
          <w:color w:val="auto"/>
          <w:sz w:val="24"/>
          <w:szCs w:val="24"/>
          <w:highlight w:val="none"/>
        </w:rPr>
      </w:pPr>
      <w:r>
        <w:rPr>
          <w:rFonts w:hint="eastAsia"/>
          <w:color w:val="auto"/>
          <w:sz w:val="24"/>
          <w:szCs w:val="24"/>
          <w:highlight w:val="none"/>
        </w:rPr>
        <w:t>6.1.</w:t>
      </w:r>
      <w:r>
        <w:rPr>
          <w:color w:val="auto"/>
          <w:sz w:val="24"/>
          <w:szCs w:val="24"/>
          <w:highlight w:val="none"/>
        </w:rPr>
        <w:t>8</w:t>
      </w:r>
      <w:r>
        <w:rPr>
          <w:rFonts w:hint="eastAsia"/>
          <w:color w:val="auto"/>
          <w:sz w:val="24"/>
          <w:szCs w:val="24"/>
          <w:highlight w:val="none"/>
        </w:rPr>
        <w:t xml:space="preserve"> 投标人在中国政府采购网、信用中国网站</w:t>
      </w:r>
      <w:r>
        <w:rPr>
          <w:color w:val="auto"/>
          <w:sz w:val="24"/>
          <w:szCs w:val="24"/>
          <w:highlight w:val="none"/>
        </w:rPr>
        <w:t>存在</w:t>
      </w:r>
      <w:r>
        <w:rPr>
          <w:rFonts w:hint="eastAsia"/>
          <w:color w:val="auto"/>
          <w:sz w:val="24"/>
          <w:szCs w:val="24"/>
          <w:highlight w:val="none"/>
        </w:rPr>
        <w:t>下列</w:t>
      </w:r>
      <w:r>
        <w:rPr>
          <w:color w:val="auto"/>
          <w:sz w:val="24"/>
          <w:szCs w:val="24"/>
          <w:highlight w:val="none"/>
        </w:rPr>
        <w:t>依法拒绝</w:t>
      </w:r>
      <w:r>
        <w:rPr>
          <w:rFonts w:hint="eastAsia"/>
          <w:color w:val="auto"/>
          <w:sz w:val="24"/>
          <w:szCs w:val="24"/>
          <w:highlight w:val="none"/>
        </w:rPr>
        <w:t>投标人</w:t>
      </w:r>
      <w:r>
        <w:rPr>
          <w:color w:val="auto"/>
          <w:sz w:val="24"/>
          <w:szCs w:val="24"/>
          <w:highlight w:val="none"/>
        </w:rPr>
        <w:t>参加政府采购的失信信息的</w:t>
      </w:r>
      <w:r>
        <w:rPr>
          <w:rFonts w:hint="eastAsia"/>
          <w:color w:val="auto"/>
          <w:sz w:val="24"/>
          <w:szCs w:val="24"/>
          <w:highlight w:val="none"/>
        </w:rPr>
        <w:t>：</w:t>
      </w:r>
      <w:r>
        <w:rPr>
          <w:color w:val="auto"/>
          <w:sz w:val="24"/>
          <w:szCs w:val="24"/>
          <w:highlight w:val="none"/>
        </w:rPr>
        <w:t xml:space="preserve"> </w:t>
      </w:r>
    </w:p>
    <w:p w14:paraId="10EA556E">
      <w:pPr>
        <w:spacing w:line="440" w:lineRule="exact"/>
        <w:ind w:firstLine="480" w:firstLineChars="200"/>
        <w:rPr>
          <w:color w:val="auto"/>
          <w:sz w:val="24"/>
          <w:szCs w:val="24"/>
          <w:highlight w:val="none"/>
        </w:rPr>
      </w:pPr>
      <w:r>
        <w:rPr>
          <w:rFonts w:hint="eastAsia"/>
          <w:color w:val="auto"/>
          <w:sz w:val="24"/>
          <w:szCs w:val="24"/>
          <w:highlight w:val="none"/>
        </w:rPr>
        <w:t>（1）政府采购严重违法记录，即投标人被全国各级财政部门列入“政府采购严重违法失信行为记录名单”，且在处罚有效期内的。</w:t>
      </w:r>
    </w:p>
    <w:p w14:paraId="600A945B">
      <w:pPr>
        <w:spacing w:line="440" w:lineRule="exact"/>
        <w:ind w:firstLine="480" w:firstLineChars="200"/>
        <w:rPr>
          <w:rFonts w:hint="eastAsia"/>
          <w:color w:val="auto"/>
          <w:sz w:val="24"/>
          <w:szCs w:val="24"/>
          <w:highlight w:val="none"/>
        </w:rPr>
      </w:pPr>
      <w:r>
        <w:rPr>
          <w:rFonts w:hint="eastAsia"/>
          <w:color w:val="auto"/>
          <w:sz w:val="24"/>
          <w:szCs w:val="24"/>
          <w:highlight w:val="none"/>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4E4BEE7C">
      <w:pPr>
        <w:spacing w:line="440" w:lineRule="exact"/>
        <w:ind w:firstLine="600"/>
        <w:rPr>
          <w:rFonts w:hint="default"/>
          <w:color w:val="auto"/>
          <w:sz w:val="24"/>
          <w:szCs w:val="24"/>
          <w:highlight w:val="none"/>
          <w:lang w:val="en-US" w:eastAsia="zh-CN"/>
        </w:rPr>
      </w:pPr>
      <w:r>
        <w:rPr>
          <w:rFonts w:hint="eastAsia"/>
          <w:color w:val="auto"/>
          <w:sz w:val="24"/>
          <w:szCs w:val="24"/>
          <w:highlight w:val="none"/>
          <w:lang w:val="en-US" w:eastAsia="zh-CN"/>
        </w:rPr>
        <w:t>6.1.9苏采云系统显示不同投标人电子投标文件的“标书制作工具客户端标识码”一致的。</w:t>
      </w:r>
    </w:p>
    <w:p w14:paraId="215A8268">
      <w:pPr>
        <w:spacing w:line="440" w:lineRule="exact"/>
        <w:ind w:firstLine="600"/>
        <w:rPr>
          <w:rFonts w:hint="eastAsia" w:eastAsia="宋体"/>
          <w:color w:val="auto"/>
          <w:sz w:val="24"/>
          <w:szCs w:val="24"/>
          <w:highlight w:val="none"/>
          <w:lang w:val="en-US" w:eastAsia="zh-CN"/>
        </w:rPr>
      </w:pPr>
      <w:r>
        <w:rPr>
          <w:rFonts w:hint="eastAsia"/>
          <w:color w:val="auto"/>
          <w:sz w:val="24"/>
          <w:szCs w:val="24"/>
          <w:highlight w:val="none"/>
          <w:lang w:val="en-US" w:eastAsia="zh-CN"/>
        </w:rPr>
        <w:t>6.1.10评委会按规定对投标人进行异常低价投标</w:t>
      </w:r>
      <w:r>
        <w:rPr>
          <w:rFonts w:hint="eastAsia" w:ascii="宋体" w:hAnsi="宋体"/>
          <w:bCs/>
          <w:color w:val="auto"/>
          <w:sz w:val="24"/>
          <w:szCs w:val="21"/>
          <w:highlight w:val="none"/>
          <w:lang w:val="en-US" w:eastAsia="zh-CN"/>
        </w:rPr>
        <w:t>审查后，</w:t>
      </w:r>
      <w:r>
        <w:rPr>
          <w:rFonts w:hint="default" w:ascii="宋体" w:hAnsi="宋体"/>
          <w:bCs/>
          <w:color w:val="auto"/>
          <w:sz w:val="24"/>
          <w:szCs w:val="21"/>
          <w:highlight w:val="none"/>
        </w:rPr>
        <w:t>投标</w:t>
      </w:r>
      <w:r>
        <w:rPr>
          <w:rFonts w:hint="eastAsia" w:ascii="宋体" w:hAnsi="宋体"/>
          <w:bCs/>
          <w:color w:val="auto"/>
          <w:sz w:val="24"/>
          <w:szCs w:val="21"/>
          <w:highlight w:val="none"/>
          <w:lang w:val="en-US" w:eastAsia="zh-CN"/>
        </w:rPr>
        <w:t>人</w:t>
      </w:r>
      <w:r>
        <w:rPr>
          <w:rFonts w:hint="default" w:ascii="宋体" w:hAnsi="宋体"/>
          <w:bCs/>
          <w:color w:val="auto"/>
          <w:sz w:val="24"/>
          <w:szCs w:val="21"/>
          <w:highlight w:val="none"/>
        </w:rPr>
        <w:t>不能提供书面说明、证明材料，或者提供的书面说明、证明材料不能证明其报价合理性的</w:t>
      </w:r>
      <w:r>
        <w:rPr>
          <w:rFonts w:hint="eastAsia" w:ascii="宋体" w:hAnsi="宋体"/>
          <w:bCs/>
          <w:color w:val="auto"/>
          <w:sz w:val="24"/>
          <w:szCs w:val="21"/>
          <w:highlight w:val="none"/>
          <w:lang w:eastAsia="zh-CN"/>
        </w:rPr>
        <w:t>。</w:t>
      </w:r>
    </w:p>
    <w:p w14:paraId="2013EFC7">
      <w:pPr>
        <w:spacing w:line="440" w:lineRule="exact"/>
        <w:ind w:firstLine="600"/>
        <w:rPr>
          <w:rFonts w:hint="eastAsia" w:ascii="宋体" w:hAnsi="宋体"/>
          <w:bCs/>
          <w:color w:val="auto"/>
          <w:sz w:val="24"/>
          <w:szCs w:val="21"/>
          <w:highlight w:val="none"/>
        </w:rPr>
      </w:pPr>
      <w:r>
        <w:rPr>
          <w:rFonts w:hint="eastAsia"/>
          <w:color w:val="auto"/>
          <w:sz w:val="24"/>
          <w:szCs w:val="24"/>
          <w:highlight w:val="none"/>
        </w:rPr>
        <w:t>6.1.</w:t>
      </w:r>
      <w:r>
        <w:rPr>
          <w:rFonts w:hint="eastAsia"/>
          <w:color w:val="auto"/>
          <w:sz w:val="24"/>
          <w:szCs w:val="24"/>
          <w:highlight w:val="none"/>
          <w:lang w:val="en-US" w:eastAsia="zh-CN"/>
        </w:rPr>
        <w:t>11</w:t>
      </w:r>
      <w:r>
        <w:rPr>
          <w:rFonts w:hint="eastAsia"/>
          <w:color w:val="auto"/>
          <w:sz w:val="24"/>
          <w:szCs w:val="24"/>
          <w:highlight w:val="none"/>
        </w:rPr>
        <w:t xml:space="preserve"> 投</w:t>
      </w:r>
      <w:r>
        <w:rPr>
          <w:rFonts w:hint="eastAsia" w:ascii="宋体" w:hAnsi="宋体"/>
          <w:bCs/>
          <w:color w:val="auto"/>
          <w:sz w:val="24"/>
          <w:szCs w:val="21"/>
          <w:highlight w:val="none"/>
        </w:rPr>
        <w:t>标文件含有采购人不能接受的附加条件的。</w:t>
      </w:r>
    </w:p>
    <w:p w14:paraId="251D3E85">
      <w:pPr>
        <w:spacing w:line="440" w:lineRule="exact"/>
        <w:ind w:firstLine="600"/>
        <w:rPr>
          <w:color w:val="auto"/>
          <w:sz w:val="24"/>
          <w:szCs w:val="24"/>
          <w:highlight w:val="none"/>
        </w:rPr>
      </w:pPr>
      <w:r>
        <w:rPr>
          <w:rFonts w:hint="eastAsia"/>
          <w:color w:val="auto"/>
          <w:sz w:val="24"/>
          <w:szCs w:val="24"/>
          <w:highlight w:val="none"/>
        </w:rPr>
        <w:t>6.1.1</w:t>
      </w:r>
      <w:r>
        <w:rPr>
          <w:rFonts w:hint="eastAsia"/>
          <w:color w:val="auto"/>
          <w:sz w:val="24"/>
          <w:szCs w:val="24"/>
          <w:highlight w:val="none"/>
          <w:lang w:val="en-US" w:eastAsia="zh-CN"/>
        </w:rPr>
        <w:t>2</w:t>
      </w:r>
      <w:r>
        <w:rPr>
          <w:rFonts w:hint="eastAsia"/>
          <w:color w:val="auto"/>
          <w:sz w:val="24"/>
          <w:szCs w:val="24"/>
          <w:highlight w:val="none"/>
        </w:rPr>
        <w:t xml:space="preserve"> 投标文件未按照招标文件要求加盖CA电子公章的。</w:t>
      </w:r>
    </w:p>
    <w:p w14:paraId="6DF43BCC">
      <w:pPr>
        <w:spacing w:line="440" w:lineRule="exact"/>
        <w:ind w:firstLine="600"/>
        <w:rPr>
          <w:rFonts w:hint="eastAsia" w:ascii="宋体" w:hAnsi="宋体"/>
          <w:bCs/>
          <w:color w:val="auto"/>
          <w:sz w:val="24"/>
          <w:szCs w:val="21"/>
          <w:highlight w:val="none"/>
        </w:rPr>
      </w:pPr>
      <w:r>
        <w:rPr>
          <w:rFonts w:hint="eastAsia"/>
          <w:color w:val="auto"/>
          <w:sz w:val="24"/>
          <w:szCs w:val="24"/>
          <w:highlight w:val="none"/>
        </w:rPr>
        <w:t>6.1.1</w:t>
      </w:r>
      <w:r>
        <w:rPr>
          <w:rFonts w:hint="eastAsia"/>
          <w:color w:val="auto"/>
          <w:sz w:val="24"/>
          <w:szCs w:val="24"/>
          <w:highlight w:val="none"/>
          <w:lang w:val="en-US" w:eastAsia="zh-CN"/>
        </w:rPr>
        <w:t>3</w:t>
      </w:r>
      <w:r>
        <w:rPr>
          <w:rFonts w:hint="eastAsia"/>
          <w:color w:val="auto"/>
          <w:sz w:val="24"/>
          <w:szCs w:val="24"/>
          <w:highlight w:val="none"/>
        </w:rPr>
        <w:t xml:space="preserve"> 其他</w:t>
      </w:r>
      <w:r>
        <w:rPr>
          <w:rFonts w:hint="eastAsia" w:ascii="宋体" w:hAnsi="宋体"/>
          <w:bCs/>
          <w:color w:val="auto"/>
          <w:sz w:val="24"/>
          <w:szCs w:val="21"/>
          <w:highlight w:val="none"/>
        </w:rPr>
        <w:t>法律、法规及本招标文件规定的属无效投标的情形。</w:t>
      </w:r>
    </w:p>
    <w:p w14:paraId="4DA6F164">
      <w:pPr>
        <w:spacing w:line="440" w:lineRule="exact"/>
        <w:ind w:firstLine="360"/>
        <w:rPr>
          <w:color w:val="auto"/>
          <w:sz w:val="24"/>
          <w:szCs w:val="24"/>
          <w:highlight w:val="none"/>
        </w:rPr>
      </w:pPr>
      <w:r>
        <w:rPr>
          <w:rFonts w:hint="eastAsia"/>
          <w:color w:val="auto"/>
          <w:sz w:val="24"/>
          <w:szCs w:val="24"/>
          <w:highlight w:val="none"/>
        </w:rPr>
        <w:t>6.2 废标条款</w:t>
      </w:r>
    </w:p>
    <w:p w14:paraId="18875755">
      <w:pPr>
        <w:spacing w:line="440" w:lineRule="exact"/>
        <w:ind w:firstLine="600"/>
        <w:rPr>
          <w:color w:val="auto"/>
          <w:sz w:val="24"/>
          <w:szCs w:val="24"/>
          <w:highlight w:val="none"/>
        </w:rPr>
      </w:pPr>
      <w:r>
        <w:rPr>
          <w:rFonts w:hint="eastAsia"/>
          <w:color w:val="auto"/>
          <w:sz w:val="24"/>
          <w:szCs w:val="24"/>
          <w:highlight w:val="none"/>
        </w:rPr>
        <w:t>6.2.1 符合专业条件的</w:t>
      </w:r>
      <w:r>
        <w:rPr>
          <w:color w:val="auto"/>
          <w:sz w:val="24"/>
          <w:szCs w:val="24"/>
          <w:highlight w:val="none"/>
        </w:rPr>
        <w:t>投标人</w:t>
      </w:r>
      <w:r>
        <w:rPr>
          <w:rFonts w:hint="eastAsia"/>
          <w:color w:val="auto"/>
          <w:sz w:val="24"/>
          <w:szCs w:val="24"/>
          <w:highlight w:val="none"/>
        </w:rPr>
        <w:t>或者对招标文件作实质响应的</w:t>
      </w:r>
      <w:r>
        <w:rPr>
          <w:color w:val="auto"/>
          <w:sz w:val="24"/>
          <w:szCs w:val="24"/>
          <w:highlight w:val="none"/>
        </w:rPr>
        <w:t>投标人</w:t>
      </w:r>
      <w:r>
        <w:rPr>
          <w:rFonts w:hint="eastAsia"/>
          <w:color w:val="auto"/>
          <w:sz w:val="24"/>
          <w:szCs w:val="24"/>
          <w:highlight w:val="none"/>
        </w:rPr>
        <w:t>不足三家的。</w:t>
      </w:r>
    </w:p>
    <w:p w14:paraId="1B2E0EBB">
      <w:pPr>
        <w:spacing w:line="440" w:lineRule="exact"/>
        <w:ind w:firstLine="600"/>
        <w:rPr>
          <w:color w:val="auto"/>
          <w:sz w:val="24"/>
          <w:szCs w:val="24"/>
          <w:highlight w:val="none"/>
        </w:rPr>
      </w:pPr>
      <w:r>
        <w:rPr>
          <w:rFonts w:hint="eastAsia"/>
          <w:color w:val="auto"/>
          <w:sz w:val="24"/>
          <w:szCs w:val="24"/>
          <w:highlight w:val="none"/>
        </w:rPr>
        <w:t>6.2.2 出现影响采购公正的违法、违规行为的。</w:t>
      </w:r>
    </w:p>
    <w:p w14:paraId="50F7CDE9">
      <w:pPr>
        <w:spacing w:line="440" w:lineRule="exact"/>
        <w:ind w:firstLine="600"/>
        <w:rPr>
          <w:color w:val="auto"/>
          <w:sz w:val="24"/>
          <w:szCs w:val="24"/>
          <w:highlight w:val="none"/>
        </w:rPr>
      </w:pPr>
      <w:r>
        <w:rPr>
          <w:rFonts w:hint="eastAsia"/>
          <w:color w:val="auto"/>
          <w:sz w:val="24"/>
          <w:szCs w:val="24"/>
          <w:highlight w:val="none"/>
        </w:rPr>
        <w:t>6.2.3 因重大变故，采购任务取消的。</w:t>
      </w:r>
    </w:p>
    <w:p w14:paraId="4DA34367">
      <w:pPr>
        <w:spacing w:line="440" w:lineRule="exact"/>
        <w:ind w:firstLine="600"/>
        <w:rPr>
          <w:color w:val="auto"/>
          <w:sz w:val="24"/>
          <w:szCs w:val="24"/>
          <w:highlight w:val="none"/>
        </w:rPr>
      </w:pPr>
      <w:r>
        <w:rPr>
          <w:rFonts w:hint="eastAsia"/>
          <w:color w:val="auto"/>
          <w:sz w:val="24"/>
          <w:szCs w:val="24"/>
          <w:highlight w:val="none"/>
        </w:rPr>
        <w:t>6.2.4 评标委员会认定招标文件存在歧义、重大缺陷导致评审工作无法进行。</w:t>
      </w:r>
    </w:p>
    <w:p w14:paraId="0B5DA581">
      <w:pPr>
        <w:spacing w:line="440" w:lineRule="exact"/>
        <w:ind w:firstLine="600"/>
        <w:rPr>
          <w:rFonts w:hint="eastAsia" w:ascii="宋体" w:hAnsi="宋体"/>
          <w:bCs/>
          <w:color w:val="auto"/>
          <w:sz w:val="24"/>
          <w:szCs w:val="21"/>
          <w:highlight w:val="none"/>
        </w:rPr>
      </w:pPr>
      <w:r>
        <w:rPr>
          <w:rFonts w:hint="eastAsia"/>
          <w:color w:val="auto"/>
          <w:sz w:val="24"/>
          <w:szCs w:val="24"/>
          <w:highlight w:val="none"/>
        </w:rPr>
        <w:t>6.2.5 因苏</w:t>
      </w:r>
      <w:r>
        <w:rPr>
          <w:rFonts w:hint="eastAsia" w:ascii="宋体" w:hAnsi="宋体"/>
          <w:color w:val="auto"/>
          <w:sz w:val="24"/>
          <w:szCs w:val="24"/>
          <w:highlight w:val="none"/>
        </w:rPr>
        <w:t>采云系统</w:t>
      </w:r>
      <w:r>
        <w:rPr>
          <w:rFonts w:ascii="宋体" w:hAnsi="宋体"/>
          <w:bCs/>
          <w:color w:val="auto"/>
          <w:sz w:val="24"/>
          <w:szCs w:val="21"/>
          <w:highlight w:val="none"/>
        </w:rPr>
        <w:t>系统故障原因造成开标不成功</w:t>
      </w:r>
      <w:r>
        <w:rPr>
          <w:rFonts w:hint="eastAsia" w:ascii="宋体" w:hAnsi="宋体"/>
          <w:bCs/>
          <w:color w:val="auto"/>
          <w:sz w:val="24"/>
          <w:szCs w:val="21"/>
          <w:highlight w:val="none"/>
        </w:rPr>
        <w:t>的</w:t>
      </w:r>
      <w:r>
        <w:rPr>
          <w:rFonts w:ascii="宋体" w:hAnsi="宋体"/>
          <w:bCs/>
          <w:color w:val="auto"/>
          <w:sz w:val="24"/>
          <w:szCs w:val="21"/>
          <w:highlight w:val="none"/>
        </w:rPr>
        <w:t>。</w:t>
      </w:r>
    </w:p>
    <w:p w14:paraId="22A30C99">
      <w:pPr>
        <w:spacing w:line="440" w:lineRule="exact"/>
        <w:ind w:firstLine="360"/>
        <w:rPr>
          <w:color w:val="auto"/>
          <w:sz w:val="24"/>
          <w:szCs w:val="24"/>
          <w:highlight w:val="none"/>
        </w:rPr>
      </w:pPr>
      <w:r>
        <w:rPr>
          <w:rFonts w:hint="eastAsia"/>
          <w:color w:val="auto"/>
          <w:sz w:val="24"/>
          <w:szCs w:val="24"/>
          <w:highlight w:val="none"/>
        </w:rPr>
        <w:t>6.3 投标截止时间结束后参加投标的供应商不足三家的处理：</w:t>
      </w:r>
    </w:p>
    <w:p w14:paraId="64270F0A">
      <w:pPr>
        <w:spacing w:line="440" w:lineRule="exact"/>
        <w:ind w:firstLine="600"/>
        <w:rPr>
          <w:color w:val="auto"/>
          <w:sz w:val="24"/>
          <w:szCs w:val="24"/>
          <w:highlight w:val="none"/>
        </w:rPr>
      </w:pPr>
      <w:r>
        <w:rPr>
          <w:rFonts w:hint="eastAsia"/>
          <w:color w:val="auto"/>
          <w:sz w:val="24"/>
          <w:szCs w:val="24"/>
          <w:highlight w:val="none"/>
        </w:rPr>
        <w:t>6.3.1 如出现投标截止时间结束后参加投标的供应商或者在评标期间对招标文件做出实质响应的供应商不足三家情况，按政府采购相关规定执行。</w:t>
      </w:r>
    </w:p>
    <w:p w14:paraId="4978DB15">
      <w:pPr>
        <w:pStyle w:val="22"/>
        <w:rPr>
          <w:color w:val="auto"/>
          <w:highlight w:val="none"/>
        </w:rPr>
      </w:pPr>
    </w:p>
    <w:p w14:paraId="3C799669">
      <w:pPr>
        <w:pStyle w:val="3"/>
        <w:spacing w:line="440" w:lineRule="exact"/>
        <w:rPr>
          <w:color w:val="auto"/>
          <w:highlight w:val="none"/>
        </w:rPr>
      </w:pPr>
      <w:bookmarkStart w:id="60" w:name="_Toc14093"/>
      <w:bookmarkStart w:id="61" w:name="_Toc13507"/>
      <w:r>
        <w:rPr>
          <w:color w:val="auto"/>
          <w:highlight w:val="none"/>
        </w:rPr>
        <w:t>六、</w:t>
      </w:r>
      <w:r>
        <w:rPr>
          <w:rFonts w:hint="eastAsia"/>
          <w:color w:val="auto"/>
          <w:highlight w:val="none"/>
        </w:rPr>
        <w:t>定标</w:t>
      </w:r>
      <w:bookmarkEnd w:id="60"/>
      <w:bookmarkEnd w:id="61"/>
    </w:p>
    <w:p w14:paraId="1F8C158F">
      <w:pPr>
        <w:spacing w:line="440" w:lineRule="exact"/>
        <w:rPr>
          <w:b/>
          <w:color w:val="auto"/>
          <w:sz w:val="24"/>
          <w:szCs w:val="24"/>
          <w:highlight w:val="none"/>
        </w:rPr>
      </w:pPr>
      <w:r>
        <w:rPr>
          <w:b/>
          <w:color w:val="auto"/>
          <w:sz w:val="24"/>
          <w:szCs w:val="24"/>
          <w:highlight w:val="none"/>
        </w:rPr>
        <w:t>1、</w:t>
      </w:r>
      <w:r>
        <w:rPr>
          <w:rFonts w:hint="eastAsia"/>
          <w:b/>
          <w:color w:val="auto"/>
          <w:sz w:val="24"/>
          <w:szCs w:val="24"/>
          <w:highlight w:val="none"/>
        </w:rPr>
        <w:t>确定中标单位</w:t>
      </w:r>
    </w:p>
    <w:p w14:paraId="5C23D980">
      <w:pPr>
        <w:spacing w:line="440" w:lineRule="exact"/>
        <w:ind w:firstLine="360"/>
        <w:rPr>
          <w:color w:val="auto"/>
          <w:sz w:val="24"/>
          <w:szCs w:val="24"/>
          <w:highlight w:val="none"/>
        </w:rPr>
      </w:pPr>
      <w:r>
        <w:rPr>
          <w:rFonts w:hint="eastAsia"/>
          <w:color w:val="auto"/>
          <w:sz w:val="24"/>
          <w:szCs w:val="24"/>
          <w:highlight w:val="none"/>
        </w:rPr>
        <w:t>1.1 中标候选人的选取原则和数量见招标文件第五章规定。</w:t>
      </w:r>
    </w:p>
    <w:p w14:paraId="2C1EED3F">
      <w:pPr>
        <w:spacing w:line="440" w:lineRule="exact"/>
        <w:ind w:firstLine="360"/>
        <w:rPr>
          <w:rFonts w:hint="eastAsia" w:ascii="宋体" w:hAnsi="宋体" w:cs="宋体"/>
          <w:color w:val="auto"/>
          <w:sz w:val="24"/>
          <w:szCs w:val="24"/>
          <w:highlight w:val="none"/>
        </w:rPr>
      </w:pPr>
      <w:r>
        <w:rPr>
          <w:rFonts w:hint="eastAsia"/>
          <w:color w:val="auto"/>
          <w:sz w:val="24"/>
          <w:szCs w:val="24"/>
          <w:highlight w:val="none"/>
        </w:rPr>
        <w:t xml:space="preserve">1.2 </w:t>
      </w:r>
      <w:r>
        <w:rPr>
          <w:color w:val="auto"/>
          <w:sz w:val="24"/>
          <w:szCs w:val="24"/>
          <w:highlight w:val="none"/>
        </w:rPr>
        <w:t>评委会根据排列情况将推荐中标候选人，</w:t>
      </w:r>
      <w:r>
        <w:rPr>
          <w:rFonts w:hint="eastAsia" w:ascii="宋体" w:hAnsi="宋体" w:cs="宋体"/>
          <w:color w:val="auto"/>
          <w:sz w:val="24"/>
          <w:szCs w:val="24"/>
          <w:highlight w:val="none"/>
        </w:rPr>
        <w:t>由采购人依法确定</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w:t>
      </w:r>
    </w:p>
    <w:p w14:paraId="717D13C7">
      <w:pPr>
        <w:spacing w:line="440" w:lineRule="exact"/>
        <w:ind w:firstLine="360"/>
        <w:rPr>
          <w:color w:val="auto"/>
          <w:sz w:val="24"/>
          <w:szCs w:val="24"/>
          <w:highlight w:val="none"/>
        </w:rPr>
      </w:pPr>
      <w:r>
        <w:rPr>
          <w:rFonts w:hint="eastAsia"/>
          <w:color w:val="auto"/>
          <w:sz w:val="24"/>
          <w:szCs w:val="24"/>
          <w:highlight w:val="none"/>
        </w:rPr>
        <w:t>1.3 代理机构将在指定媒体上发布中标公告，公告期限为1个工作日。</w:t>
      </w:r>
    </w:p>
    <w:p w14:paraId="666CAE2E">
      <w:pPr>
        <w:spacing w:line="440" w:lineRule="exact"/>
        <w:ind w:firstLine="360"/>
        <w:rPr>
          <w:color w:val="auto"/>
          <w:sz w:val="24"/>
          <w:szCs w:val="24"/>
          <w:highlight w:val="none"/>
        </w:rPr>
      </w:pPr>
      <w:r>
        <w:rPr>
          <w:rFonts w:hint="eastAsia"/>
          <w:color w:val="auto"/>
          <w:sz w:val="24"/>
          <w:szCs w:val="24"/>
          <w:highlight w:val="none"/>
        </w:rPr>
        <w:t>1.4 若有充分证据证明，中标人出现下列情况之一的，一经查实，将被取消中标资格：</w:t>
      </w:r>
    </w:p>
    <w:p w14:paraId="72630256">
      <w:pPr>
        <w:spacing w:line="440" w:lineRule="exact"/>
        <w:ind w:firstLine="600"/>
        <w:rPr>
          <w:color w:val="auto"/>
          <w:sz w:val="24"/>
          <w:szCs w:val="24"/>
          <w:highlight w:val="none"/>
        </w:rPr>
      </w:pPr>
      <w:r>
        <w:rPr>
          <w:rFonts w:hint="eastAsia"/>
          <w:color w:val="auto"/>
          <w:sz w:val="24"/>
          <w:szCs w:val="24"/>
          <w:highlight w:val="none"/>
        </w:rPr>
        <w:t>1.4.1 提供虚假材料谋取中标的。</w:t>
      </w:r>
    </w:p>
    <w:p w14:paraId="5B5D7F19">
      <w:pPr>
        <w:spacing w:line="440" w:lineRule="exact"/>
        <w:ind w:firstLine="600"/>
        <w:rPr>
          <w:color w:val="auto"/>
          <w:sz w:val="24"/>
          <w:szCs w:val="24"/>
          <w:highlight w:val="none"/>
        </w:rPr>
      </w:pPr>
      <w:r>
        <w:rPr>
          <w:rFonts w:hint="eastAsia"/>
          <w:color w:val="auto"/>
          <w:sz w:val="24"/>
          <w:szCs w:val="24"/>
          <w:highlight w:val="none"/>
        </w:rPr>
        <w:t>1.4.2 向采购人、代理机构行贿或者提供其他不正当利益的。</w:t>
      </w:r>
    </w:p>
    <w:p w14:paraId="2CE1C49D">
      <w:pPr>
        <w:spacing w:line="440" w:lineRule="exact"/>
        <w:ind w:firstLine="600"/>
        <w:rPr>
          <w:color w:val="auto"/>
          <w:sz w:val="24"/>
          <w:szCs w:val="24"/>
          <w:highlight w:val="none"/>
        </w:rPr>
      </w:pPr>
      <w:r>
        <w:rPr>
          <w:rFonts w:hint="eastAsia"/>
          <w:color w:val="auto"/>
          <w:sz w:val="24"/>
          <w:szCs w:val="24"/>
          <w:highlight w:val="none"/>
        </w:rPr>
        <w:t>1.4.3 属于本文件规定的无效条件，但在评标过程中又未被评委会发现的。</w:t>
      </w:r>
    </w:p>
    <w:p w14:paraId="6C408F67">
      <w:pPr>
        <w:spacing w:line="440" w:lineRule="exact"/>
        <w:ind w:firstLine="600"/>
        <w:rPr>
          <w:color w:val="auto"/>
          <w:sz w:val="24"/>
          <w:szCs w:val="24"/>
          <w:highlight w:val="none"/>
        </w:rPr>
      </w:pPr>
      <w:r>
        <w:rPr>
          <w:rFonts w:hint="eastAsia"/>
          <w:color w:val="auto"/>
          <w:sz w:val="24"/>
          <w:szCs w:val="24"/>
          <w:highlight w:val="none"/>
        </w:rPr>
        <w:t>1.4.4 与采购人或者其他供应商恶意串通的。</w:t>
      </w:r>
    </w:p>
    <w:p w14:paraId="03CA507E">
      <w:pPr>
        <w:spacing w:line="440" w:lineRule="exact"/>
        <w:ind w:firstLine="600"/>
        <w:rPr>
          <w:color w:val="auto"/>
          <w:sz w:val="24"/>
          <w:szCs w:val="24"/>
          <w:highlight w:val="none"/>
        </w:rPr>
      </w:pPr>
      <w:r>
        <w:rPr>
          <w:rFonts w:hint="eastAsia"/>
          <w:color w:val="auto"/>
          <w:sz w:val="24"/>
          <w:szCs w:val="24"/>
          <w:highlight w:val="none"/>
        </w:rPr>
        <w:t>1.4.5 采取不正当手段诋毁、排挤其他供应商的。</w:t>
      </w:r>
    </w:p>
    <w:p w14:paraId="037E9ECF">
      <w:pPr>
        <w:spacing w:line="440" w:lineRule="exact"/>
        <w:ind w:firstLine="360"/>
        <w:rPr>
          <w:color w:val="auto"/>
          <w:sz w:val="24"/>
          <w:szCs w:val="24"/>
          <w:highlight w:val="none"/>
        </w:rPr>
      </w:pPr>
      <w:r>
        <w:rPr>
          <w:rFonts w:hint="eastAsia"/>
          <w:color w:val="auto"/>
          <w:sz w:val="24"/>
          <w:szCs w:val="24"/>
          <w:highlight w:val="none"/>
        </w:rPr>
        <w:t>1.5 有下列情形之一的，视为投标人串通投标，投标无效：</w:t>
      </w:r>
    </w:p>
    <w:p w14:paraId="2B9F250C">
      <w:pPr>
        <w:spacing w:line="440" w:lineRule="exact"/>
        <w:ind w:firstLine="600"/>
        <w:rPr>
          <w:color w:val="auto"/>
          <w:sz w:val="24"/>
          <w:szCs w:val="24"/>
          <w:highlight w:val="none"/>
        </w:rPr>
      </w:pPr>
      <w:r>
        <w:rPr>
          <w:rFonts w:hint="eastAsia"/>
          <w:color w:val="auto"/>
          <w:sz w:val="24"/>
          <w:szCs w:val="24"/>
          <w:highlight w:val="none"/>
        </w:rPr>
        <w:t>1.5.1 不同投标人的投标文件由同一单位或者个人编制。</w:t>
      </w:r>
    </w:p>
    <w:p w14:paraId="135CF988">
      <w:pPr>
        <w:spacing w:line="440" w:lineRule="exact"/>
        <w:ind w:firstLine="600"/>
        <w:rPr>
          <w:color w:val="auto"/>
          <w:sz w:val="24"/>
          <w:szCs w:val="24"/>
          <w:highlight w:val="none"/>
        </w:rPr>
      </w:pPr>
      <w:r>
        <w:rPr>
          <w:rFonts w:hint="eastAsia"/>
          <w:color w:val="auto"/>
          <w:sz w:val="24"/>
          <w:szCs w:val="24"/>
          <w:highlight w:val="none"/>
        </w:rPr>
        <w:t>1.5.2 不同投标人委托同一单位或者个人办理投标事宜。</w:t>
      </w:r>
    </w:p>
    <w:p w14:paraId="70DD8469">
      <w:pPr>
        <w:spacing w:line="440" w:lineRule="exact"/>
        <w:ind w:firstLine="600"/>
        <w:rPr>
          <w:color w:val="auto"/>
          <w:sz w:val="24"/>
          <w:szCs w:val="24"/>
          <w:highlight w:val="none"/>
        </w:rPr>
      </w:pPr>
      <w:r>
        <w:rPr>
          <w:rFonts w:hint="eastAsia"/>
          <w:color w:val="auto"/>
          <w:sz w:val="24"/>
          <w:szCs w:val="24"/>
          <w:highlight w:val="none"/>
        </w:rPr>
        <w:t>1.5.3 不同投标人的投标文件载明的项目管理成员或者联系人员为同一人。</w:t>
      </w:r>
    </w:p>
    <w:p w14:paraId="7D2D9E36">
      <w:pPr>
        <w:spacing w:line="440" w:lineRule="exact"/>
        <w:ind w:firstLine="600"/>
        <w:rPr>
          <w:color w:val="auto"/>
          <w:sz w:val="24"/>
          <w:szCs w:val="24"/>
          <w:highlight w:val="none"/>
        </w:rPr>
      </w:pPr>
      <w:r>
        <w:rPr>
          <w:rFonts w:hint="eastAsia"/>
          <w:color w:val="auto"/>
          <w:sz w:val="24"/>
          <w:szCs w:val="24"/>
          <w:highlight w:val="none"/>
        </w:rPr>
        <w:t>1.5.4 不同投标人的投标文件异常一致或者投标总报价呈规律性差异。</w:t>
      </w:r>
    </w:p>
    <w:p w14:paraId="5A1B7760">
      <w:pPr>
        <w:spacing w:line="440" w:lineRule="exact"/>
        <w:rPr>
          <w:b/>
          <w:color w:val="auto"/>
          <w:sz w:val="24"/>
          <w:szCs w:val="24"/>
          <w:highlight w:val="none"/>
        </w:rPr>
      </w:pPr>
      <w:r>
        <w:rPr>
          <w:rFonts w:hint="eastAsia"/>
          <w:b/>
          <w:color w:val="auto"/>
          <w:sz w:val="24"/>
          <w:szCs w:val="24"/>
          <w:highlight w:val="none"/>
        </w:rPr>
        <w:t>2、质疑处理</w:t>
      </w:r>
    </w:p>
    <w:p w14:paraId="6ABF7E28">
      <w:pPr>
        <w:spacing w:line="440" w:lineRule="exact"/>
        <w:ind w:firstLine="360"/>
        <w:rPr>
          <w:color w:val="auto"/>
          <w:sz w:val="24"/>
          <w:szCs w:val="24"/>
          <w:highlight w:val="none"/>
        </w:rPr>
      </w:pPr>
      <w:r>
        <w:rPr>
          <w:rFonts w:hint="eastAsia"/>
          <w:color w:val="auto"/>
          <w:sz w:val="24"/>
          <w:szCs w:val="24"/>
          <w:highlight w:val="none"/>
        </w:rPr>
        <w:t>2.1 提出质疑的供应商应当是参与所质疑项目采购活动的供应商。潜在供应商依法获取其可质疑的采购文件的，可以对采购文件提出质疑。请将</w:t>
      </w:r>
      <w:bookmarkStart w:id="62" w:name="_Hlk98510751"/>
      <w:r>
        <w:rPr>
          <w:rFonts w:hint="eastAsia"/>
          <w:color w:val="auto"/>
          <w:sz w:val="24"/>
          <w:szCs w:val="24"/>
          <w:highlight w:val="none"/>
        </w:rPr>
        <w:t>获取采购文件后打印留存的《投标供应商确认函》等</w:t>
      </w:r>
      <w:bookmarkEnd w:id="62"/>
      <w:r>
        <w:rPr>
          <w:rFonts w:hint="eastAsia"/>
          <w:color w:val="auto"/>
          <w:sz w:val="24"/>
          <w:szCs w:val="24"/>
          <w:highlight w:val="none"/>
        </w:rPr>
        <w:t>必要的证明材料与质疑函一起递交，否则不予受理。</w:t>
      </w:r>
    </w:p>
    <w:p w14:paraId="4F57AE08">
      <w:pPr>
        <w:spacing w:line="440" w:lineRule="exact"/>
        <w:ind w:firstLine="360"/>
        <w:rPr>
          <w:color w:val="auto"/>
          <w:sz w:val="24"/>
          <w:szCs w:val="24"/>
          <w:highlight w:val="none"/>
        </w:rPr>
      </w:pPr>
      <w:r>
        <w:rPr>
          <w:rFonts w:hint="eastAsia"/>
          <w:color w:val="auto"/>
          <w:sz w:val="24"/>
          <w:szCs w:val="24"/>
          <w:highlight w:val="none"/>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14:paraId="71BC3927">
      <w:pPr>
        <w:spacing w:line="440" w:lineRule="exact"/>
        <w:ind w:firstLine="600"/>
        <w:rPr>
          <w:color w:val="auto"/>
          <w:sz w:val="24"/>
          <w:szCs w:val="24"/>
          <w:highlight w:val="none"/>
        </w:rPr>
      </w:pPr>
      <w:r>
        <w:rPr>
          <w:rFonts w:hint="eastAsia"/>
          <w:color w:val="auto"/>
          <w:sz w:val="24"/>
          <w:szCs w:val="24"/>
          <w:highlight w:val="none"/>
        </w:rPr>
        <w:t>2.2.1 对可以质疑的采购文件提出质疑的，为收到采购文件之日或者采购文件公告期限届满之日；</w:t>
      </w:r>
    </w:p>
    <w:p w14:paraId="5CE97B9C">
      <w:pPr>
        <w:spacing w:line="440" w:lineRule="exact"/>
        <w:ind w:firstLine="600"/>
        <w:rPr>
          <w:color w:val="auto"/>
          <w:sz w:val="24"/>
          <w:szCs w:val="24"/>
          <w:highlight w:val="none"/>
        </w:rPr>
      </w:pPr>
      <w:r>
        <w:rPr>
          <w:rFonts w:hint="eastAsia"/>
          <w:color w:val="auto"/>
          <w:sz w:val="24"/>
          <w:szCs w:val="24"/>
          <w:highlight w:val="none"/>
        </w:rPr>
        <w:t>2.2.2 对采购过程提出质疑的，为各采购程序环节结束之日；</w:t>
      </w:r>
    </w:p>
    <w:p w14:paraId="043805FD">
      <w:pPr>
        <w:spacing w:line="440" w:lineRule="exact"/>
        <w:ind w:firstLine="600"/>
        <w:rPr>
          <w:color w:val="auto"/>
          <w:sz w:val="24"/>
          <w:szCs w:val="24"/>
          <w:highlight w:val="none"/>
        </w:rPr>
      </w:pPr>
      <w:r>
        <w:rPr>
          <w:rFonts w:hint="eastAsia"/>
          <w:color w:val="auto"/>
          <w:sz w:val="24"/>
          <w:szCs w:val="24"/>
          <w:highlight w:val="none"/>
        </w:rPr>
        <w:t>2.2.3 对中标或者成交结果提出质疑的，为中标或者成交结果公告期限届满之日。</w:t>
      </w:r>
    </w:p>
    <w:p w14:paraId="744A671D">
      <w:pPr>
        <w:spacing w:line="440" w:lineRule="exact"/>
        <w:ind w:firstLine="600"/>
        <w:rPr>
          <w:color w:val="auto"/>
          <w:sz w:val="24"/>
          <w:szCs w:val="24"/>
          <w:highlight w:val="none"/>
        </w:rPr>
      </w:pPr>
      <w:r>
        <w:rPr>
          <w:rFonts w:hint="eastAsia"/>
          <w:color w:val="auto"/>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6562CA2E">
      <w:pPr>
        <w:spacing w:line="440" w:lineRule="exact"/>
        <w:ind w:firstLine="360"/>
        <w:rPr>
          <w:color w:val="auto"/>
          <w:sz w:val="24"/>
          <w:szCs w:val="24"/>
          <w:highlight w:val="none"/>
        </w:rPr>
      </w:pPr>
      <w:r>
        <w:rPr>
          <w:rFonts w:hint="eastAsia"/>
          <w:color w:val="auto"/>
          <w:sz w:val="24"/>
          <w:szCs w:val="24"/>
          <w:highlight w:val="none"/>
        </w:rPr>
        <w:t>2.3 质疑函必须按照本招标文件中《质疑函范本》要求的格式和内容进行填写。</w:t>
      </w:r>
    </w:p>
    <w:p w14:paraId="19F3304A">
      <w:pPr>
        <w:spacing w:line="440" w:lineRule="exact"/>
        <w:ind w:firstLine="360"/>
        <w:rPr>
          <w:color w:val="auto"/>
          <w:sz w:val="24"/>
          <w:szCs w:val="24"/>
          <w:highlight w:val="none"/>
        </w:rPr>
      </w:pPr>
      <w:r>
        <w:rPr>
          <w:rFonts w:hint="eastAsia"/>
          <w:color w:val="auto"/>
          <w:sz w:val="24"/>
          <w:szCs w:val="24"/>
          <w:highlight w:val="none"/>
        </w:rPr>
        <w:t>2.4 供应商对采购方式、招标文件中采购需求、申请人的资格要求、评标方法与评标标准、合同文本及资格审查结果的询问、质疑请向采购人或代理机构提出，由采购人或代理机构负责答复。供应商对其他事项的询问、质疑请向代理机构提出，由代理机构负责答复。</w:t>
      </w:r>
    </w:p>
    <w:p w14:paraId="219037BD">
      <w:pPr>
        <w:spacing w:line="440" w:lineRule="exact"/>
        <w:ind w:firstLine="360"/>
        <w:rPr>
          <w:color w:val="auto"/>
          <w:sz w:val="24"/>
          <w:szCs w:val="24"/>
          <w:highlight w:val="none"/>
        </w:rPr>
      </w:pPr>
      <w:r>
        <w:rPr>
          <w:rFonts w:hint="eastAsia"/>
          <w:color w:val="auto"/>
          <w:sz w:val="24"/>
          <w:szCs w:val="24"/>
          <w:highlight w:val="none"/>
        </w:rPr>
        <w:t>采购人及代理机构只接收以纸质原件形式送达的质疑，建议供应商尽量通过邮寄方式提交质疑</w:t>
      </w:r>
      <w:r>
        <w:rPr>
          <w:rFonts w:hint="eastAsia"/>
          <w:b/>
          <w:bCs/>
          <w:color w:val="auto"/>
          <w:sz w:val="24"/>
          <w:szCs w:val="24"/>
          <w:highlight w:val="none"/>
        </w:rPr>
        <w:t>（采购人和代理机构不接受未填写快递运单的快件）</w:t>
      </w:r>
      <w:r>
        <w:rPr>
          <w:rFonts w:hint="eastAsia"/>
          <w:color w:val="auto"/>
          <w:sz w:val="24"/>
          <w:szCs w:val="24"/>
          <w:highlight w:val="none"/>
        </w:rPr>
        <w:t>。</w:t>
      </w:r>
    </w:p>
    <w:p w14:paraId="34B7119F">
      <w:pPr>
        <w:spacing w:line="440" w:lineRule="exact"/>
        <w:ind w:firstLine="360"/>
        <w:rPr>
          <w:color w:val="auto"/>
          <w:sz w:val="24"/>
          <w:szCs w:val="24"/>
          <w:highlight w:val="none"/>
        </w:rPr>
      </w:pPr>
      <w:r>
        <w:rPr>
          <w:rFonts w:hint="eastAsia"/>
          <w:color w:val="auto"/>
          <w:sz w:val="24"/>
          <w:szCs w:val="24"/>
          <w:highlight w:val="none"/>
        </w:rPr>
        <w:t>采购人、代理机构质疑接收人及联系方式：详见招标文件“第一章投标邀请”中“七、对本次招标提出询问，请按以下方式联系”下有关联系方式。</w:t>
      </w:r>
    </w:p>
    <w:p w14:paraId="6E2BD0EF">
      <w:pPr>
        <w:spacing w:line="440" w:lineRule="exact"/>
        <w:ind w:firstLine="360"/>
        <w:rPr>
          <w:color w:val="auto"/>
          <w:sz w:val="24"/>
          <w:szCs w:val="24"/>
          <w:highlight w:val="none"/>
        </w:rPr>
      </w:pPr>
      <w:r>
        <w:rPr>
          <w:rFonts w:hint="eastAsia"/>
          <w:color w:val="auto"/>
          <w:sz w:val="24"/>
          <w:szCs w:val="24"/>
          <w:highlight w:val="none"/>
        </w:rPr>
        <w:t>2.5 以下情形的质疑不予受理：</w:t>
      </w:r>
    </w:p>
    <w:p w14:paraId="21FB484D">
      <w:pPr>
        <w:spacing w:line="420" w:lineRule="exact"/>
        <w:ind w:firstLine="600"/>
        <w:rPr>
          <w:color w:val="auto"/>
          <w:sz w:val="24"/>
          <w:szCs w:val="24"/>
          <w:highlight w:val="none"/>
        </w:rPr>
      </w:pPr>
      <w:r>
        <w:rPr>
          <w:rFonts w:hint="eastAsia"/>
          <w:color w:val="auto"/>
          <w:sz w:val="24"/>
          <w:szCs w:val="24"/>
          <w:highlight w:val="none"/>
        </w:rPr>
        <w:t>2.5.1 内容不符合《政府采购质疑和投诉办法》第十二条规定的质疑。</w:t>
      </w:r>
    </w:p>
    <w:p w14:paraId="401185F8">
      <w:pPr>
        <w:spacing w:line="420" w:lineRule="exact"/>
        <w:ind w:firstLine="600"/>
        <w:rPr>
          <w:color w:val="auto"/>
          <w:sz w:val="24"/>
          <w:szCs w:val="24"/>
          <w:highlight w:val="none"/>
        </w:rPr>
      </w:pPr>
      <w:r>
        <w:rPr>
          <w:rFonts w:hint="eastAsia"/>
          <w:color w:val="auto"/>
          <w:sz w:val="24"/>
          <w:szCs w:val="24"/>
          <w:highlight w:val="none"/>
        </w:rPr>
        <w:t>2.5.2 超出政府采购法定期限的质疑。</w:t>
      </w:r>
    </w:p>
    <w:p w14:paraId="7B4D4652">
      <w:pPr>
        <w:spacing w:line="420" w:lineRule="exact"/>
        <w:ind w:firstLine="600"/>
        <w:rPr>
          <w:color w:val="auto"/>
          <w:sz w:val="24"/>
          <w:szCs w:val="24"/>
          <w:highlight w:val="none"/>
        </w:rPr>
      </w:pPr>
      <w:r>
        <w:rPr>
          <w:rFonts w:hint="eastAsia"/>
          <w:color w:val="auto"/>
          <w:sz w:val="24"/>
          <w:szCs w:val="24"/>
          <w:highlight w:val="none"/>
        </w:rPr>
        <w:t>2.5.3 以传真、电子邮件等方式递交的非原件形式的质疑。</w:t>
      </w:r>
    </w:p>
    <w:p w14:paraId="5E8F9FB7">
      <w:pPr>
        <w:spacing w:line="420" w:lineRule="exact"/>
        <w:ind w:firstLine="600"/>
        <w:rPr>
          <w:color w:val="auto"/>
          <w:sz w:val="24"/>
          <w:szCs w:val="24"/>
          <w:highlight w:val="none"/>
        </w:rPr>
      </w:pPr>
      <w:r>
        <w:rPr>
          <w:rFonts w:hint="eastAsia"/>
          <w:color w:val="auto"/>
          <w:sz w:val="24"/>
          <w:szCs w:val="24"/>
          <w:highlight w:val="none"/>
        </w:rPr>
        <w:t>2.5.4 未参加投标活动的供应商或在投标活动中自身权益未受到损害的供应商所提出的质疑。</w:t>
      </w:r>
    </w:p>
    <w:p w14:paraId="5AE96499">
      <w:pPr>
        <w:spacing w:line="420" w:lineRule="exact"/>
        <w:ind w:firstLine="360"/>
        <w:rPr>
          <w:color w:val="auto"/>
          <w:sz w:val="24"/>
          <w:szCs w:val="24"/>
          <w:highlight w:val="none"/>
        </w:rPr>
      </w:pPr>
      <w:r>
        <w:rPr>
          <w:rFonts w:hint="eastAsia"/>
          <w:color w:val="auto"/>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46C52BC1">
      <w:pPr>
        <w:spacing w:line="420" w:lineRule="exact"/>
        <w:rPr>
          <w:b/>
          <w:color w:val="auto"/>
          <w:sz w:val="24"/>
          <w:szCs w:val="24"/>
          <w:highlight w:val="none"/>
        </w:rPr>
      </w:pPr>
      <w:r>
        <w:rPr>
          <w:rFonts w:hint="eastAsia"/>
          <w:b/>
          <w:color w:val="auto"/>
          <w:sz w:val="24"/>
          <w:szCs w:val="24"/>
          <w:highlight w:val="none"/>
        </w:rPr>
        <w:t>3、中标通知书</w:t>
      </w:r>
    </w:p>
    <w:p w14:paraId="152C73B7">
      <w:pPr>
        <w:spacing w:line="420" w:lineRule="exact"/>
        <w:ind w:firstLine="360"/>
        <w:rPr>
          <w:color w:val="auto"/>
          <w:sz w:val="24"/>
          <w:szCs w:val="24"/>
          <w:highlight w:val="none"/>
        </w:rPr>
      </w:pPr>
      <w:r>
        <w:rPr>
          <w:rFonts w:hint="eastAsia"/>
          <w:color w:val="auto"/>
          <w:sz w:val="24"/>
          <w:szCs w:val="24"/>
          <w:highlight w:val="none"/>
        </w:rPr>
        <w:t>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55FFCD5">
      <w:pPr>
        <w:spacing w:line="420" w:lineRule="exact"/>
        <w:ind w:firstLine="360"/>
        <w:rPr>
          <w:color w:val="auto"/>
          <w:sz w:val="24"/>
          <w:szCs w:val="24"/>
          <w:highlight w:val="none"/>
        </w:rPr>
      </w:pPr>
      <w:r>
        <w:rPr>
          <w:rFonts w:hint="eastAsia"/>
          <w:color w:val="auto"/>
          <w:sz w:val="24"/>
          <w:szCs w:val="24"/>
          <w:highlight w:val="none"/>
        </w:rPr>
        <w:t>3.2 中标通知书将是合同的一个组成部分。对采购人和中标供应商均具有法律效力。中标通知书发出后，采购人改变中标结果的，或者中标供应商放弃中标项目的，应当依法承担法律责任。</w:t>
      </w:r>
    </w:p>
    <w:p w14:paraId="2E7370EA">
      <w:pPr>
        <w:pStyle w:val="3"/>
        <w:spacing w:line="420" w:lineRule="exact"/>
        <w:rPr>
          <w:color w:val="auto"/>
          <w:highlight w:val="none"/>
        </w:rPr>
      </w:pPr>
      <w:bookmarkStart w:id="63" w:name="_Toc27605"/>
      <w:bookmarkStart w:id="64" w:name="_Toc27226"/>
      <w:r>
        <w:rPr>
          <w:rFonts w:hint="eastAsia"/>
          <w:color w:val="auto"/>
          <w:highlight w:val="none"/>
        </w:rPr>
        <w:t>七</w:t>
      </w:r>
      <w:r>
        <w:rPr>
          <w:color w:val="auto"/>
          <w:highlight w:val="none"/>
        </w:rPr>
        <w:t>、授予合同</w:t>
      </w:r>
      <w:bookmarkEnd w:id="63"/>
      <w:bookmarkEnd w:id="64"/>
    </w:p>
    <w:p w14:paraId="1DBF8C50">
      <w:pPr>
        <w:spacing w:line="420" w:lineRule="exact"/>
        <w:rPr>
          <w:b/>
          <w:color w:val="auto"/>
          <w:sz w:val="24"/>
          <w:szCs w:val="24"/>
          <w:highlight w:val="none"/>
        </w:rPr>
      </w:pPr>
      <w:r>
        <w:rPr>
          <w:b/>
          <w:color w:val="auto"/>
          <w:sz w:val="24"/>
          <w:szCs w:val="24"/>
          <w:highlight w:val="none"/>
        </w:rPr>
        <w:t>1、</w:t>
      </w:r>
      <w:r>
        <w:rPr>
          <w:rFonts w:hint="eastAsia"/>
          <w:b/>
          <w:color w:val="auto"/>
          <w:sz w:val="24"/>
          <w:szCs w:val="24"/>
          <w:highlight w:val="none"/>
        </w:rPr>
        <w:t>签订合同</w:t>
      </w:r>
    </w:p>
    <w:p w14:paraId="5876A198">
      <w:pPr>
        <w:spacing w:line="420" w:lineRule="exact"/>
        <w:ind w:firstLine="360"/>
        <w:rPr>
          <w:color w:val="auto"/>
          <w:sz w:val="24"/>
          <w:szCs w:val="24"/>
          <w:highlight w:val="none"/>
        </w:rPr>
      </w:pPr>
      <w:r>
        <w:rPr>
          <w:rFonts w:hint="eastAsia"/>
          <w:color w:val="auto"/>
          <w:sz w:val="24"/>
          <w:szCs w:val="24"/>
          <w:highlight w:val="none"/>
        </w:rPr>
        <w:t xml:space="preserve">1.l </w:t>
      </w:r>
      <w:r>
        <w:rPr>
          <w:rFonts w:hint="eastAsia" w:ascii="宋体" w:hAnsi="宋体"/>
          <w:color w:val="auto"/>
          <w:sz w:val="24"/>
          <w:szCs w:val="24"/>
          <w:highlight w:val="none"/>
        </w:rPr>
        <w:t>中标人应当在中标通知书发出之日起三十日内，按照招标文件确定的事项与采购人签订政府采购合同。</w:t>
      </w:r>
    </w:p>
    <w:p w14:paraId="5A221776">
      <w:pPr>
        <w:spacing w:line="420" w:lineRule="exact"/>
        <w:ind w:firstLine="360"/>
        <w:rPr>
          <w:color w:val="auto"/>
          <w:sz w:val="24"/>
          <w:szCs w:val="24"/>
          <w:highlight w:val="none"/>
        </w:rPr>
      </w:pPr>
      <w:r>
        <w:rPr>
          <w:rFonts w:hint="eastAsia"/>
          <w:color w:val="auto"/>
          <w:sz w:val="24"/>
          <w:szCs w:val="24"/>
          <w:highlight w:val="none"/>
        </w:rPr>
        <w:t>1.2 招标文件、中标人的投标文件及招标过程中有关澄清、承诺文件均应作为合同附件。</w:t>
      </w:r>
    </w:p>
    <w:p w14:paraId="68EB0280">
      <w:pPr>
        <w:spacing w:line="420" w:lineRule="exact"/>
        <w:ind w:firstLine="360"/>
        <w:rPr>
          <w:color w:val="auto"/>
          <w:sz w:val="24"/>
          <w:szCs w:val="24"/>
          <w:highlight w:val="none"/>
        </w:rPr>
      </w:pPr>
      <w:r>
        <w:rPr>
          <w:rFonts w:hint="eastAsia"/>
          <w:color w:val="auto"/>
          <w:sz w:val="24"/>
          <w:szCs w:val="24"/>
          <w:highlight w:val="none"/>
        </w:rPr>
        <w:t>1.3 签订合同后，中标人不得将合同标的进行转包</w:t>
      </w:r>
      <w:r>
        <w:rPr>
          <w:rFonts w:hint="eastAsia"/>
          <w:color w:val="auto"/>
          <w:sz w:val="24"/>
          <w:szCs w:val="24"/>
          <w:highlight w:val="none"/>
          <w:lang w:val="en-US" w:eastAsia="zh-CN"/>
        </w:rPr>
        <w:t>及</w:t>
      </w:r>
      <w:r>
        <w:rPr>
          <w:rFonts w:hint="eastAsia"/>
          <w:color w:val="auto"/>
          <w:sz w:val="24"/>
          <w:szCs w:val="24"/>
          <w:highlight w:val="none"/>
        </w:rPr>
        <w:t>分包，否则采购人有权终止合同。转包或分包造成采购人损失的，中标人应承担相应赔偿责任。</w:t>
      </w:r>
    </w:p>
    <w:p w14:paraId="1ACBD347">
      <w:pPr>
        <w:spacing w:line="420" w:lineRule="exact"/>
        <w:rPr>
          <w:b/>
          <w:color w:val="auto"/>
          <w:sz w:val="24"/>
          <w:szCs w:val="24"/>
          <w:highlight w:val="none"/>
        </w:rPr>
      </w:pPr>
      <w:r>
        <w:rPr>
          <w:b/>
          <w:color w:val="auto"/>
          <w:sz w:val="24"/>
          <w:szCs w:val="24"/>
          <w:highlight w:val="none"/>
        </w:rPr>
        <w:t>2、</w:t>
      </w:r>
      <w:r>
        <w:rPr>
          <w:rFonts w:hint="eastAsia"/>
          <w:b/>
          <w:color w:val="auto"/>
          <w:sz w:val="24"/>
          <w:szCs w:val="24"/>
          <w:highlight w:val="none"/>
        </w:rPr>
        <w:t>服务（包含与服务相关的货物）的追加</w:t>
      </w:r>
    </w:p>
    <w:p w14:paraId="1874F80D">
      <w:pPr>
        <w:spacing w:line="420" w:lineRule="exact"/>
        <w:ind w:firstLine="360"/>
        <w:rPr>
          <w:color w:val="auto"/>
          <w:sz w:val="24"/>
          <w:szCs w:val="24"/>
          <w:highlight w:val="none"/>
        </w:rPr>
      </w:pPr>
      <w:r>
        <w:rPr>
          <w:color w:val="auto"/>
          <w:sz w:val="24"/>
          <w:szCs w:val="24"/>
          <w:highlight w:val="none"/>
        </w:rPr>
        <w:t xml:space="preserve">2.1 </w:t>
      </w:r>
      <w:r>
        <w:rPr>
          <w:rFonts w:hint="eastAsia" w:ascii="宋体" w:hAnsi="宋体"/>
          <w:color w:val="auto"/>
          <w:sz w:val="24"/>
          <w:szCs w:val="24"/>
          <w:highlight w:val="none"/>
        </w:rPr>
        <w:t>政府采购</w:t>
      </w:r>
      <w:r>
        <w:rPr>
          <w:rFonts w:hint="eastAsia"/>
          <w:color w:val="auto"/>
          <w:sz w:val="24"/>
          <w:szCs w:val="24"/>
          <w:highlight w:val="none"/>
        </w:rPr>
        <w:t>合同履行中，采购人需追加与合同标的相同的服务（包含与服务相关的货物）的，在不改变合同其他条款的前提下，可以与中标人协商签订补充合同，但所有补充合同的采购金额不超过原合同金额10%</w:t>
      </w:r>
      <w:r>
        <w:rPr>
          <w:color w:val="auto"/>
          <w:sz w:val="24"/>
          <w:szCs w:val="24"/>
          <w:highlight w:val="none"/>
        </w:rPr>
        <w:t>。</w:t>
      </w:r>
    </w:p>
    <w:p w14:paraId="5A5CD979">
      <w:pPr>
        <w:spacing w:line="420" w:lineRule="exact"/>
        <w:rPr>
          <w:b/>
          <w:color w:val="auto"/>
          <w:sz w:val="24"/>
          <w:szCs w:val="24"/>
          <w:highlight w:val="none"/>
        </w:rPr>
      </w:pPr>
      <w:r>
        <w:rPr>
          <w:b/>
          <w:color w:val="auto"/>
          <w:sz w:val="24"/>
          <w:szCs w:val="24"/>
          <w:highlight w:val="none"/>
        </w:rPr>
        <w:t>3、</w:t>
      </w:r>
      <w:r>
        <w:rPr>
          <w:rFonts w:hint="eastAsia"/>
          <w:b/>
          <w:color w:val="auto"/>
          <w:sz w:val="24"/>
          <w:szCs w:val="24"/>
          <w:highlight w:val="none"/>
        </w:rPr>
        <w:t>政府采购信用融资政策</w:t>
      </w:r>
    </w:p>
    <w:p w14:paraId="370FCD20">
      <w:pPr>
        <w:spacing w:line="440" w:lineRule="exact"/>
        <w:ind w:firstLine="360"/>
        <w:rPr>
          <w:color w:val="auto"/>
          <w:sz w:val="24"/>
          <w:szCs w:val="24"/>
          <w:highlight w:val="none"/>
        </w:rPr>
      </w:pPr>
      <w:r>
        <w:rPr>
          <w:rFonts w:hint="eastAsia"/>
          <w:color w:val="auto"/>
          <w:sz w:val="24"/>
          <w:szCs w:val="24"/>
          <w:highlight w:val="none"/>
        </w:rPr>
        <w:t>3.1 中标供应商可凭政府采购合同办理融资贷款，详情请见江苏政府采购网“政采贷”专栏。</w:t>
      </w:r>
    </w:p>
    <w:p w14:paraId="743D1A1E">
      <w:pPr>
        <w:spacing w:line="420" w:lineRule="exact"/>
        <w:rPr>
          <w:b/>
          <w:color w:val="auto"/>
          <w:sz w:val="24"/>
          <w:szCs w:val="24"/>
          <w:highlight w:val="none"/>
        </w:rPr>
      </w:pPr>
      <w:r>
        <w:rPr>
          <w:rFonts w:hint="eastAsia"/>
          <w:b/>
          <w:color w:val="auto"/>
          <w:sz w:val="24"/>
          <w:szCs w:val="24"/>
          <w:highlight w:val="none"/>
        </w:rPr>
        <w:t>4</w:t>
      </w:r>
      <w:r>
        <w:rPr>
          <w:b/>
          <w:color w:val="auto"/>
          <w:sz w:val="24"/>
          <w:szCs w:val="24"/>
          <w:highlight w:val="none"/>
        </w:rPr>
        <w:t>、合同</w:t>
      </w:r>
      <w:r>
        <w:rPr>
          <w:rFonts w:hint="eastAsia"/>
          <w:b/>
          <w:color w:val="auto"/>
          <w:sz w:val="24"/>
          <w:szCs w:val="24"/>
          <w:highlight w:val="none"/>
        </w:rPr>
        <w:t>公示</w:t>
      </w:r>
    </w:p>
    <w:p w14:paraId="671FD467">
      <w:pPr>
        <w:spacing w:line="420" w:lineRule="exact"/>
        <w:ind w:firstLine="360"/>
        <w:rPr>
          <w:color w:val="auto"/>
          <w:sz w:val="24"/>
          <w:szCs w:val="24"/>
          <w:highlight w:val="none"/>
        </w:rPr>
      </w:pPr>
      <w:r>
        <w:rPr>
          <w:rFonts w:hint="eastAsia"/>
          <w:color w:val="auto"/>
          <w:sz w:val="24"/>
          <w:szCs w:val="24"/>
          <w:highlight w:val="none"/>
        </w:rPr>
        <w:t>4</w:t>
      </w:r>
      <w:r>
        <w:rPr>
          <w:color w:val="auto"/>
          <w:sz w:val="24"/>
          <w:szCs w:val="24"/>
          <w:highlight w:val="none"/>
        </w:rPr>
        <w:t>.1 采购合同</w:t>
      </w:r>
      <w:r>
        <w:rPr>
          <w:rFonts w:hint="eastAsia"/>
          <w:color w:val="auto"/>
          <w:sz w:val="24"/>
          <w:szCs w:val="24"/>
          <w:highlight w:val="none"/>
        </w:rPr>
        <w:t>将在</w:t>
      </w:r>
      <w:r>
        <w:rPr>
          <w:color w:val="auto"/>
          <w:sz w:val="24"/>
          <w:szCs w:val="24"/>
          <w:highlight w:val="none"/>
        </w:rPr>
        <w:t>签订</w:t>
      </w:r>
      <w:r>
        <w:rPr>
          <w:rFonts w:hint="eastAsia"/>
          <w:color w:val="auto"/>
          <w:sz w:val="24"/>
          <w:szCs w:val="24"/>
          <w:highlight w:val="none"/>
        </w:rPr>
        <w:t>之日起2个工作日内在指定媒体公示，涉及国家秘密、商业秘密的内容除外</w:t>
      </w:r>
      <w:r>
        <w:rPr>
          <w:color w:val="auto"/>
          <w:sz w:val="24"/>
          <w:szCs w:val="24"/>
          <w:highlight w:val="none"/>
        </w:rPr>
        <w:t>。</w:t>
      </w:r>
    </w:p>
    <w:p w14:paraId="4BF6A02A">
      <w:pPr>
        <w:pStyle w:val="2"/>
        <w:rPr>
          <w:rFonts w:ascii="Times New Roman" w:hAnsi="Times New Roman"/>
          <w:color w:val="auto"/>
          <w:highlight w:val="none"/>
        </w:rPr>
      </w:pPr>
      <w:bookmarkStart w:id="65" w:name="_Toc315875323"/>
      <w:bookmarkStart w:id="66" w:name="_Toc315868060"/>
      <w:bookmarkStart w:id="67" w:name="_Toc158691776"/>
      <w:r>
        <w:rPr>
          <w:rFonts w:ascii="Times New Roman" w:hAnsi="Times New Roman"/>
          <w:color w:val="auto"/>
          <w:highlight w:val="none"/>
        </w:rPr>
        <w:br w:type="page" w:clear="all"/>
      </w:r>
      <w:bookmarkStart w:id="68" w:name="_Toc10572"/>
      <w:r>
        <w:rPr>
          <w:rFonts w:ascii="Times New Roman" w:hAnsi="Times New Roman"/>
          <w:color w:val="auto"/>
          <w:highlight w:val="none"/>
        </w:rPr>
        <w:t>第</w:t>
      </w:r>
      <w:r>
        <w:rPr>
          <w:rFonts w:hint="eastAsia" w:ascii="Times New Roman" w:hAnsi="Times New Roman"/>
          <w:color w:val="auto"/>
          <w:highlight w:val="none"/>
        </w:rPr>
        <w:t>三</w:t>
      </w:r>
      <w:r>
        <w:rPr>
          <w:rFonts w:ascii="Times New Roman" w:hAnsi="Times New Roman"/>
          <w:color w:val="auto"/>
          <w:highlight w:val="none"/>
        </w:rPr>
        <w:t>章</w:t>
      </w:r>
      <w:r>
        <w:rPr>
          <w:rFonts w:hint="eastAsia" w:ascii="Times New Roman" w:hAnsi="Times New Roman"/>
          <w:color w:val="auto"/>
          <w:highlight w:val="none"/>
        </w:rPr>
        <w:t xml:space="preserve"> </w:t>
      </w:r>
      <w:r>
        <w:rPr>
          <w:rFonts w:ascii="Times New Roman" w:hAnsi="Times New Roman"/>
          <w:color w:val="auto"/>
          <w:highlight w:val="none"/>
        </w:rPr>
        <w:t>合同</w:t>
      </w:r>
      <w:bookmarkEnd w:id="65"/>
      <w:bookmarkEnd w:id="66"/>
      <w:bookmarkEnd w:id="67"/>
      <w:r>
        <w:rPr>
          <w:rFonts w:hint="eastAsia" w:ascii="Times New Roman" w:hAnsi="Times New Roman"/>
          <w:color w:val="auto"/>
          <w:highlight w:val="none"/>
        </w:rPr>
        <w:t>文本</w:t>
      </w:r>
      <w:bookmarkEnd w:id="68"/>
    </w:p>
    <w:p w14:paraId="78C5B7AA">
      <w:pPr>
        <w:keepNext w:val="0"/>
        <w:keepLines w:val="0"/>
        <w:pageBreakBefore w:val="0"/>
        <w:kinsoku/>
        <w:wordWrap/>
        <w:overflowPunct/>
        <w:topLinePunct w:val="0"/>
        <w:autoSpaceDE/>
        <w:autoSpaceDN/>
        <w:bidi w:val="0"/>
        <w:adjustRightInd/>
        <w:snapToGrid/>
        <w:spacing w:line="420" w:lineRule="exact"/>
        <w:ind w:right="960"/>
        <w:jc w:val="right"/>
        <w:textAlignment w:val="auto"/>
        <w:rPr>
          <w:color w:val="auto"/>
          <w:sz w:val="24"/>
          <w:szCs w:val="24"/>
          <w:highlight w:val="none"/>
        </w:rPr>
      </w:pPr>
      <w:r>
        <w:rPr>
          <w:color w:val="auto"/>
          <w:sz w:val="24"/>
          <w:szCs w:val="24"/>
          <w:highlight w:val="none"/>
        </w:rPr>
        <w:t>合同编号：</w:t>
      </w:r>
      <w:r>
        <w:rPr>
          <w:rFonts w:hint="eastAsia"/>
          <w:color w:val="auto"/>
          <w:sz w:val="24"/>
          <w:szCs w:val="24"/>
          <w:highlight w:val="none"/>
        </w:rPr>
        <w:t xml:space="preserve"> </w:t>
      </w:r>
    </w:p>
    <w:p w14:paraId="5423E573">
      <w:pPr>
        <w:keepNext w:val="0"/>
        <w:keepLines w:val="0"/>
        <w:pageBreakBefore w:val="0"/>
        <w:kinsoku/>
        <w:wordWrap/>
        <w:overflowPunct/>
        <w:topLinePunct w:val="0"/>
        <w:autoSpaceDE/>
        <w:autoSpaceDN/>
        <w:bidi w:val="0"/>
        <w:adjustRightInd/>
        <w:snapToGrid/>
        <w:spacing w:line="420" w:lineRule="exact"/>
        <w:ind w:right="240"/>
        <w:jc w:val="right"/>
        <w:textAlignment w:val="auto"/>
        <w:rPr>
          <w:color w:val="auto"/>
          <w:sz w:val="24"/>
          <w:szCs w:val="24"/>
          <w:highlight w:val="none"/>
        </w:rPr>
      </w:pPr>
      <w:r>
        <w:rPr>
          <w:color w:val="auto"/>
          <w:sz w:val="24"/>
          <w:szCs w:val="24"/>
          <w:highlight w:val="none"/>
        </w:rPr>
        <w:t>签订地点：常熟市</w:t>
      </w:r>
    </w:p>
    <w:p w14:paraId="00264DD0">
      <w:pPr>
        <w:keepNext w:val="0"/>
        <w:keepLines w:val="0"/>
        <w:pageBreakBefore w:val="0"/>
        <w:kinsoku/>
        <w:wordWrap/>
        <w:overflowPunct/>
        <w:topLinePunct w:val="0"/>
        <w:autoSpaceDE/>
        <w:autoSpaceDN/>
        <w:bidi w:val="0"/>
        <w:adjustRightInd/>
        <w:snapToGrid/>
        <w:spacing w:line="420" w:lineRule="exact"/>
        <w:jc w:val="left"/>
        <w:textAlignment w:val="auto"/>
        <w:rPr>
          <w:color w:val="auto"/>
          <w:sz w:val="28"/>
          <w:szCs w:val="28"/>
          <w:highlight w:val="none"/>
        </w:rPr>
      </w:pPr>
      <w:r>
        <w:rPr>
          <w:b/>
          <w:color w:val="auto"/>
          <w:sz w:val="28"/>
          <w:szCs w:val="28"/>
          <w:highlight w:val="none"/>
        </w:rPr>
        <w:t>甲方（采购人）</w:t>
      </w:r>
      <w:r>
        <w:rPr>
          <w:color w:val="auto"/>
          <w:sz w:val="28"/>
          <w:szCs w:val="28"/>
          <w:highlight w:val="none"/>
        </w:rPr>
        <w:t>：</w:t>
      </w:r>
      <w:r>
        <w:rPr>
          <w:color w:val="auto"/>
          <w:sz w:val="28"/>
          <w:szCs w:val="28"/>
          <w:highlight w:val="none"/>
          <w:u w:val="single"/>
        </w:rPr>
        <w:t xml:space="preserve">                        </w:t>
      </w:r>
    </w:p>
    <w:p w14:paraId="5883E0A7">
      <w:pPr>
        <w:keepNext w:val="0"/>
        <w:keepLines w:val="0"/>
        <w:pageBreakBefore w:val="0"/>
        <w:kinsoku/>
        <w:wordWrap/>
        <w:overflowPunct/>
        <w:topLinePunct w:val="0"/>
        <w:autoSpaceDE/>
        <w:autoSpaceDN/>
        <w:bidi w:val="0"/>
        <w:adjustRightInd/>
        <w:snapToGrid/>
        <w:spacing w:line="420" w:lineRule="exact"/>
        <w:jc w:val="left"/>
        <w:textAlignment w:val="auto"/>
        <w:rPr>
          <w:color w:val="auto"/>
          <w:sz w:val="28"/>
          <w:szCs w:val="28"/>
          <w:highlight w:val="none"/>
          <w:u w:val="single"/>
        </w:rPr>
      </w:pPr>
      <w:r>
        <w:rPr>
          <w:b/>
          <w:color w:val="auto"/>
          <w:sz w:val="28"/>
          <w:szCs w:val="28"/>
          <w:highlight w:val="none"/>
        </w:rPr>
        <w:t>乙方（中标人）</w:t>
      </w:r>
      <w:r>
        <w:rPr>
          <w:color w:val="auto"/>
          <w:sz w:val="28"/>
          <w:szCs w:val="28"/>
          <w:highlight w:val="none"/>
        </w:rPr>
        <w:t>：</w:t>
      </w:r>
      <w:r>
        <w:rPr>
          <w:color w:val="auto"/>
          <w:sz w:val="28"/>
          <w:szCs w:val="28"/>
          <w:highlight w:val="none"/>
          <w:u w:val="single"/>
        </w:rPr>
        <w:t xml:space="preserve">                        </w:t>
      </w:r>
    </w:p>
    <w:p w14:paraId="564E5A6F">
      <w:pPr>
        <w:keepNext w:val="0"/>
        <w:keepLines w:val="0"/>
        <w:pageBreakBefore w:val="0"/>
        <w:kinsoku/>
        <w:wordWrap/>
        <w:overflowPunct/>
        <w:topLinePunct w:val="0"/>
        <w:autoSpaceDE/>
        <w:autoSpaceDN/>
        <w:bidi w:val="0"/>
        <w:adjustRightInd/>
        <w:snapToGrid/>
        <w:spacing w:line="420" w:lineRule="exact"/>
        <w:textAlignment w:val="auto"/>
        <w:rPr>
          <w:b/>
          <w:color w:val="auto"/>
          <w:sz w:val="28"/>
          <w:szCs w:val="28"/>
          <w:highlight w:val="none"/>
        </w:rPr>
      </w:pPr>
      <w:r>
        <w:rPr>
          <w:rFonts w:hint="eastAsia"/>
          <w:b/>
          <w:color w:val="auto"/>
          <w:sz w:val="28"/>
          <w:szCs w:val="28"/>
          <w:highlight w:val="none"/>
        </w:rPr>
        <w:t>信用融资回款账户：</w:t>
      </w:r>
      <w:r>
        <w:rPr>
          <w:color w:val="auto"/>
          <w:sz w:val="28"/>
          <w:szCs w:val="28"/>
          <w:highlight w:val="none"/>
          <w:u w:val="single"/>
        </w:rPr>
        <w:t xml:space="preserve">                        </w:t>
      </w:r>
    </w:p>
    <w:p w14:paraId="16F02E8A">
      <w:pPr>
        <w:keepNext w:val="0"/>
        <w:keepLines w:val="0"/>
        <w:pageBreakBefore w:val="0"/>
        <w:kinsoku/>
        <w:wordWrap/>
        <w:overflowPunct/>
        <w:topLinePunct w:val="0"/>
        <w:autoSpaceDE/>
        <w:autoSpaceDN/>
        <w:bidi w:val="0"/>
        <w:adjustRightInd/>
        <w:snapToGrid/>
        <w:spacing w:line="420" w:lineRule="exact"/>
        <w:textAlignment w:val="auto"/>
        <w:rPr>
          <w:color w:val="auto"/>
          <w:sz w:val="28"/>
          <w:szCs w:val="28"/>
          <w:highlight w:val="none"/>
        </w:rPr>
      </w:pPr>
      <w:r>
        <w:rPr>
          <w:rFonts w:hint="eastAsia"/>
          <w:b/>
          <w:color w:val="auto"/>
          <w:sz w:val="28"/>
          <w:szCs w:val="28"/>
          <w:highlight w:val="none"/>
        </w:rPr>
        <w:t>开户银行：</w:t>
      </w:r>
      <w:r>
        <w:rPr>
          <w:color w:val="auto"/>
          <w:sz w:val="28"/>
          <w:szCs w:val="28"/>
          <w:highlight w:val="none"/>
          <w:u w:val="single"/>
        </w:rPr>
        <w:t xml:space="preserve">                        </w:t>
      </w:r>
    </w:p>
    <w:p w14:paraId="17363249">
      <w:pPr>
        <w:keepNext w:val="0"/>
        <w:keepLines w:val="0"/>
        <w:pageBreakBefore w:val="0"/>
        <w:kinsoku/>
        <w:wordWrap/>
        <w:overflowPunct/>
        <w:topLinePunct w:val="0"/>
        <w:autoSpaceDE/>
        <w:autoSpaceDN/>
        <w:bidi w:val="0"/>
        <w:adjustRightInd/>
        <w:snapToGrid/>
        <w:spacing w:line="420" w:lineRule="exact"/>
        <w:jc w:val="left"/>
        <w:textAlignment w:val="auto"/>
        <w:rPr>
          <w:b/>
          <w:color w:val="auto"/>
          <w:sz w:val="28"/>
          <w:szCs w:val="28"/>
          <w:highlight w:val="none"/>
        </w:rPr>
      </w:pPr>
    </w:p>
    <w:p w14:paraId="1533DF4F">
      <w:pPr>
        <w:keepNext w:val="0"/>
        <w:keepLines w:val="0"/>
        <w:pageBreakBefore w:val="0"/>
        <w:kinsoku/>
        <w:wordWrap/>
        <w:overflowPunct/>
        <w:topLinePunct w:val="0"/>
        <w:autoSpaceDE/>
        <w:autoSpaceDN/>
        <w:bidi w:val="0"/>
        <w:adjustRightInd/>
        <w:snapToGrid/>
        <w:spacing w:line="420" w:lineRule="exact"/>
        <w:ind w:firstLine="480"/>
        <w:textAlignment w:val="auto"/>
        <w:rPr>
          <w:b/>
          <w:bCs/>
          <w:color w:val="auto"/>
          <w:sz w:val="28"/>
          <w:highlight w:val="none"/>
        </w:rPr>
      </w:pPr>
      <w:r>
        <w:rPr>
          <w:rFonts w:ascii="宋体" w:hAnsi="宋体" w:cs="宋体"/>
          <w:color w:val="auto"/>
          <w:sz w:val="24"/>
          <w:szCs w:val="24"/>
          <w:highlight w:val="none"/>
        </w:rPr>
        <w:t>根据《中华人民共和国政府采购法》及其实施条例、《中华人民共和国民法典》等法律法规的规定</w:t>
      </w:r>
      <w:r>
        <w:rPr>
          <w:color w:val="auto"/>
          <w:sz w:val="24"/>
          <w:highlight w:val="none"/>
        </w:rPr>
        <w:t>，甲乙双方按照常熟虞东招标代理有限公司</w:t>
      </w:r>
      <w:r>
        <w:rPr>
          <w:rFonts w:hint="eastAsia"/>
          <w:color w:val="auto"/>
          <w:sz w:val="24"/>
          <w:highlight w:val="none"/>
          <w:u w:val="single"/>
          <w:lang w:eastAsia="zh-CN"/>
        </w:rPr>
        <w:t>琴川街道社区卫生服务中心安全服务</w:t>
      </w:r>
      <w:r>
        <w:rPr>
          <w:rFonts w:hint="eastAsia"/>
          <w:color w:val="auto"/>
          <w:sz w:val="24"/>
          <w:highlight w:val="none"/>
          <w:u w:val="single"/>
        </w:rPr>
        <w:t>（项</w:t>
      </w:r>
      <w:r>
        <w:rPr>
          <w:color w:val="auto"/>
          <w:sz w:val="24"/>
          <w:highlight w:val="none"/>
          <w:u w:val="single"/>
        </w:rPr>
        <w:t>目编号：</w:t>
      </w:r>
      <w:r>
        <w:rPr>
          <w:rFonts w:hint="eastAsia"/>
          <w:color w:val="auto"/>
          <w:sz w:val="24"/>
          <w:highlight w:val="none"/>
          <w:u w:val="single"/>
          <w:lang w:eastAsia="zh-CN"/>
        </w:rPr>
        <w:t>JSZC-320581-CSYD-G2026-0005</w:t>
      </w:r>
      <w:r>
        <w:rPr>
          <w:color w:val="auto"/>
          <w:sz w:val="24"/>
          <w:highlight w:val="none"/>
          <w:u w:val="single"/>
        </w:rPr>
        <w:t>）</w:t>
      </w:r>
      <w:r>
        <w:rPr>
          <w:color w:val="auto"/>
          <w:sz w:val="24"/>
          <w:highlight w:val="none"/>
        </w:rPr>
        <w:t>项目公开招标结果签订本合同。</w:t>
      </w:r>
    </w:p>
    <w:p w14:paraId="30981022">
      <w:pPr>
        <w:spacing w:line="450" w:lineRule="exact"/>
        <w:ind w:firstLine="482" w:firstLineChars="200"/>
        <w:rPr>
          <w:b/>
          <w:color w:val="auto"/>
          <w:sz w:val="24"/>
          <w:highlight w:val="none"/>
        </w:rPr>
      </w:pPr>
      <w:r>
        <w:rPr>
          <w:b/>
          <w:color w:val="auto"/>
          <w:sz w:val="24"/>
          <w:highlight w:val="none"/>
        </w:rPr>
        <w:t>第一条  定义</w:t>
      </w:r>
    </w:p>
    <w:p w14:paraId="5405695C">
      <w:pPr>
        <w:spacing w:line="450" w:lineRule="exact"/>
        <w:ind w:firstLine="470" w:firstLineChars="196"/>
        <w:rPr>
          <w:color w:val="auto"/>
          <w:sz w:val="24"/>
          <w:highlight w:val="none"/>
        </w:rPr>
      </w:pPr>
      <w:r>
        <w:rPr>
          <w:color w:val="auto"/>
          <w:sz w:val="24"/>
          <w:highlight w:val="none"/>
        </w:rPr>
        <w:t>除非另有特别解释或说明，本合同有关词语应按如下定义解释：</w:t>
      </w:r>
    </w:p>
    <w:p w14:paraId="21F08288">
      <w:pPr>
        <w:spacing w:line="450" w:lineRule="exact"/>
        <w:ind w:firstLine="480" w:firstLineChars="200"/>
        <w:rPr>
          <w:color w:val="auto"/>
          <w:sz w:val="24"/>
          <w:highlight w:val="none"/>
        </w:rPr>
      </w:pPr>
      <w:r>
        <w:rPr>
          <w:color w:val="auto"/>
          <w:sz w:val="24"/>
          <w:highlight w:val="none"/>
        </w:rPr>
        <w:t>1、合同</w:t>
      </w:r>
      <w:r>
        <w:rPr>
          <w:rFonts w:hint="eastAsia"/>
          <w:color w:val="auto"/>
          <w:sz w:val="24"/>
          <w:highlight w:val="none"/>
        </w:rPr>
        <w:t>：</w:t>
      </w:r>
      <w:r>
        <w:rPr>
          <w:color w:val="auto"/>
          <w:sz w:val="24"/>
          <w:highlight w:val="none"/>
        </w:rPr>
        <w:t>甲乙双方签署的，与本项目相关的</w:t>
      </w:r>
      <w:r>
        <w:rPr>
          <w:rFonts w:hint="eastAsia" w:ascii="宋体" w:hAnsi="宋体" w:cs="宋体"/>
          <w:bCs/>
          <w:color w:val="auto"/>
          <w:sz w:val="24"/>
          <w:szCs w:val="24"/>
          <w:highlight w:val="none"/>
        </w:rPr>
        <w:t>合同书、</w:t>
      </w:r>
      <w:r>
        <w:rPr>
          <w:color w:val="auto"/>
          <w:sz w:val="24"/>
          <w:highlight w:val="none"/>
        </w:rPr>
        <w:t>协议、附件、附录</w:t>
      </w:r>
      <w:r>
        <w:rPr>
          <w:rFonts w:hint="eastAsia"/>
          <w:color w:val="auto"/>
          <w:sz w:val="24"/>
          <w:highlight w:val="none"/>
        </w:rPr>
        <w:t>、</w:t>
      </w:r>
      <w:r>
        <w:rPr>
          <w:color w:val="auto"/>
          <w:sz w:val="24"/>
          <w:highlight w:val="none"/>
        </w:rPr>
        <w:t>其他一切文件</w:t>
      </w:r>
      <w:r>
        <w:rPr>
          <w:rFonts w:hint="eastAsia" w:ascii="宋体" w:hAnsi="宋体" w:cs="宋体"/>
          <w:bCs/>
          <w:color w:val="auto"/>
          <w:sz w:val="24"/>
          <w:szCs w:val="24"/>
          <w:highlight w:val="none"/>
        </w:rPr>
        <w:t>以及政府采购程序中的全部文件</w:t>
      </w:r>
      <w:r>
        <w:rPr>
          <w:color w:val="auto"/>
          <w:sz w:val="24"/>
          <w:highlight w:val="none"/>
        </w:rPr>
        <w:t>。</w:t>
      </w:r>
    </w:p>
    <w:p w14:paraId="38DF38E8">
      <w:pPr>
        <w:spacing w:line="450" w:lineRule="exact"/>
        <w:ind w:firstLine="480"/>
        <w:rPr>
          <w:color w:val="auto"/>
          <w:sz w:val="24"/>
          <w:highlight w:val="none"/>
        </w:rPr>
      </w:pPr>
      <w:r>
        <w:rPr>
          <w:color w:val="auto"/>
          <w:sz w:val="24"/>
          <w:highlight w:val="none"/>
        </w:rPr>
        <w:t>2、甲方</w:t>
      </w:r>
      <w:r>
        <w:rPr>
          <w:rFonts w:hint="eastAsia"/>
          <w:color w:val="auto"/>
          <w:sz w:val="24"/>
          <w:highlight w:val="none"/>
        </w:rPr>
        <w:t>：</w:t>
      </w:r>
      <w:r>
        <w:rPr>
          <w:color w:val="auto"/>
          <w:sz w:val="24"/>
          <w:highlight w:val="none"/>
        </w:rPr>
        <w:t>购买本合同项下服务的国家机关、事业单位、团体组织。</w:t>
      </w:r>
    </w:p>
    <w:p w14:paraId="4B45AAE3">
      <w:pPr>
        <w:spacing w:line="450" w:lineRule="exact"/>
        <w:ind w:firstLine="480"/>
        <w:rPr>
          <w:color w:val="auto"/>
          <w:sz w:val="24"/>
          <w:highlight w:val="none"/>
        </w:rPr>
      </w:pPr>
      <w:r>
        <w:rPr>
          <w:color w:val="auto"/>
          <w:sz w:val="24"/>
          <w:highlight w:val="none"/>
        </w:rPr>
        <w:t>3、乙方</w:t>
      </w:r>
      <w:r>
        <w:rPr>
          <w:rFonts w:hint="eastAsia"/>
          <w:color w:val="auto"/>
          <w:sz w:val="24"/>
          <w:highlight w:val="none"/>
        </w:rPr>
        <w:t>：</w:t>
      </w:r>
      <w:r>
        <w:rPr>
          <w:color w:val="auto"/>
          <w:sz w:val="24"/>
          <w:highlight w:val="none"/>
        </w:rPr>
        <w:t>提供本合同项下服务的法人、其他组织或自然人。</w:t>
      </w:r>
    </w:p>
    <w:p w14:paraId="2C70A30E">
      <w:pPr>
        <w:spacing w:line="450" w:lineRule="exact"/>
        <w:ind w:firstLine="480"/>
        <w:rPr>
          <w:color w:val="auto"/>
          <w:sz w:val="24"/>
          <w:highlight w:val="none"/>
        </w:rPr>
      </w:pPr>
      <w:r>
        <w:rPr>
          <w:color w:val="auto"/>
          <w:sz w:val="24"/>
          <w:highlight w:val="none"/>
        </w:rPr>
        <w:t>4、服务</w:t>
      </w:r>
      <w:r>
        <w:rPr>
          <w:rFonts w:hint="eastAsia"/>
          <w:color w:val="auto"/>
          <w:sz w:val="24"/>
          <w:highlight w:val="none"/>
        </w:rPr>
        <w:t>：</w:t>
      </w:r>
      <w:r>
        <w:rPr>
          <w:color w:val="auto"/>
          <w:sz w:val="24"/>
          <w:highlight w:val="none"/>
        </w:rPr>
        <w:t>根据合同规定乙方承担的</w:t>
      </w:r>
      <w:r>
        <w:rPr>
          <w:rFonts w:hint="eastAsia"/>
          <w:color w:val="auto"/>
          <w:sz w:val="24"/>
          <w:szCs w:val="24"/>
          <w:highlight w:val="none"/>
          <w:lang w:eastAsia="zh-CN"/>
        </w:rPr>
        <w:t>琴川街道社区卫生服务中心安全服务</w:t>
      </w:r>
      <w:r>
        <w:rPr>
          <w:rFonts w:hint="eastAsia"/>
          <w:color w:val="auto"/>
          <w:sz w:val="24"/>
          <w:highlight w:val="none"/>
        </w:rPr>
        <w:t>及其</w:t>
      </w:r>
      <w:r>
        <w:rPr>
          <w:color w:val="auto"/>
          <w:sz w:val="24"/>
          <w:highlight w:val="none"/>
        </w:rPr>
        <w:t>相关工作。</w:t>
      </w:r>
    </w:p>
    <w:p w14:paraId="26F1DEBB">
      <w:pPr>
        <w:spacing w:line="450" w:lineRule="exact"/>
        <w:ind w:firstLine="480" w:firstLineChars="200"/>
        <w:rPr>
          <w:color w:val="auto"/>
          <w:sz w:val="24"/>
          <w:highlight w:val="none"/>
        </w:rPr>
      </w:pPr>
      <w:r>
        <w:rPr>
          <w:color w:val="auto"/>
          <w:sz w:val="24"/>
          <w:highlight w:val="none"/>
        </w:rPr>
        <w:t>5、</w:t>
      </w:r>
      <w:r>
        <w:rPr>
          <w:color w:val="auto"/>
          <w:sz w:val="24"/>
          <w:szCs w:val="24"/>
          <w:highlight w:val="none"/>
        </w:rPr>
        <w:t>合同</w:t>
      </w:r>
      <w:r>
        <w:rPr>
          <w:rFonts w:hint="eastAsia"/>
          <w:color w:val="auto"/>
          <w:sz w:val="24"/>
          <w:szCs w:val="24"/>
          <w:highlight w:val="none"/>
        </w:rPr>
        <w:t>总价</w:t>
      </w:r>
      <w:r>
        <w:rPr>
          <w:rFonts w:hint="eastAsia"/>
          <w:color w:val="auto"/>
          <w:sz w:val="24"/>
          <w:highlight w:val="none"/>
        </w:rPr>
        <w:t>：</w:t>
      </w:r>
      <w:r>
        <w:rPr>
          <w:color w:val="auto"/>
          <w:sz w:val="24"/>
          <w:szCs w:val="24"/>
          <w:highlight w:val="none"/>
        </w:rPr>
        <w:t>根据合同规定乙方在正确地完全履行合同义务后甲方应支付给乙方的价格，包含了甲方购买合同项下相关服务的一切费用</w:t>
      </w:r>
      <w:r>
        <w:rPr>
          <w:color w:val="auto"/>
          <w:sz w:val="24"/>
          <w:highlight w:val="none"/>
        </w:rPr>
        <w:t>。</w:t>
      </w:r>
    </w:p>
    <w:p w14:paraId="013C9D41">
      <w:pPr>
        <w:spacing w:line="450" w:lineRule="exact"/>
        <w:ind w:firstLine="482" w:firstLineChars="200"/>
        <w:rPr>
          <w:b/>
          <w:color w:val="auto"/>
          <w:sz w:val="24"/>
          <w:highlight w:val="none"/>
        </w:rPr>
      </w:pPr>
      <w:r>
        <w:rPr>
          <w:b/>
          <w:color w:val="auto"/>
          <w:sz w:val="24"/>
          <w:highlight w:val="none"/>
        </w:rPr>
        <w:t>第二条  组成本合同的文件</w:t>
      </w:r>
    </w:p>
    <w:p w14:paraId="6D7C0809">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1、下列文件是组成本合同的不可分割的部分：</w:t>
      </w:r>
    </w:p>
    <w:p w14:paraId="7CDBE208">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①中标通知书；</w:t>
      </w:r>
    </w:p>
    <w:p w14:paraId="67DD8F70">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②招标文件（以下统称“采购文件”）；</w:t>
      </w:r>
    </w:p>
    <w:p w14:paraId="6A064A17">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③乙方的投标文件；</w:t>
      </w:r>
    </w:p>
    <w:p w14:paraId="280C9AE3">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④乙方在投标报价过程中所作的其它承诺、声明、书面澄清等。</w:t>
      </w:r>
    </w:p>
    <w:p w14:paraId="2EBCC8FB">
      <w:pPr>
        <w:spacing w:line="450" w:lineRule="exact"/>
        <w:ind w:firstLine="480" w:firstLineChars="200"/>
        <w:rPr>
          <w:rFonts w:hint="eastAsia" w:ascii="Times New Roman" w:hAnsi="Times New Roman" w:eastAsia="宋体" w:cs="Times New Roman"/>
          <w:color w:val="auto"/>
          <w:sz w:val="24"/>
          <w:highlight w:val="none"/>
        </w:rPr>
      </w:pPr>
      <w:bookmarkStart w:id="69" w:name="_Hlk144021334"/>
      <w:r>
        <w:rPr>
          <w:rFonts w:hint="eastAsia" w:ascii="Times New Roman" w:hAnsi="Times New Roman" w:eastAsia="宋体" w:cs="Times New Roman"/>
          <w:color w:val="auto"/>
          <w:sz w:val="24"/>
          <w:highlight w:val="none"/>
        </w:rPr>
        <w:t>2、上述文件之间如果出现不一致的，以甲方文件确定的内容为准，但乙方文件的内容对甲方更有利的，适用乙方文件。</w:t>
      </w:r>
    </w:p>
    <w:p w14:paraId="7A56CE51">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3、乙方文件应当符合采购文件确定的原则，如果乙方文件中的表述，形式上符合采购文件原则，但具体内容对甲方不利、对乙方有利的，视为背离采购文件，不予适用。</w:t>
      </w:r>
    </w:p>
    <w:bookmarkEnd w:id="69"/>
    <w:p w14:paraId="6EA97FCD">
      <w:pPr>
        <w:spacing w:line="450" w:lineRule="exact"/>
        <w:ind w:firstLine="482" w:firstLineChars="200"/>
        <w:rPr>
          <w:b/>
          <w:color w:val="auto"/>
          <w:sz w:val="24"/>
          <w:szCs w:val="24"/>
          <w:highlight w:val="none"/>
        </w:rPr>
      </w:pPr>
      <w:r>
        <w:rPr>
          <w:b/>
          <w:color w:val="auto"/>
          <w:sz w:val="24"/>
          <w:szCs w:val="24"/>
          <w:highlight w:val="none"/>
        </w:rPr>
        <w:t>第三条  合同内容</w:t>
      </w:r>
    </w:p>
    <w:p w14:paraId="1EFB4C3B">
      <w:pPr>
        <w:spacing w:line="450" w:lineRule="exact"/>
        <w:ind w:firstLine="480" w:firstLineChars="200"/>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1、服务内容：保安服务，主要包括全面维护医院安全生产、内部治安防范、消防安全、医护人员、患者（家属）生命财产和医疗设备设施的安全保卫等工作</w:t>
      </w:r>
      <w:r>
        <w:rPr>
          <w:rFonts w:hint="eastAsia" w:ascii="Times New Roman" w:hAnsi="Times New Roman" w:eastAsia="宋体" w:cs="Times New Roman"/>
          <w:color w:val="auto"/>
          <w:sz w:val="24"/>
          <w:highlight w:val="none"/>
          <w:lang w:eastAsia="zh-CN"/>
        </w:rPr>
        <w:t>。</w:t>
      </w:r>
    </w:p>
    <w:p w14:paraId="32B4899C">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2、项目服务地点：</w:t>
      </w:r>
      <w:r>
        <w:rPr>
          <w:rFonts w:hint="eastAsia" w:ascii="Times New Roman" w:hAnsi="Times New Roman" w:eastAsia="宋体" w:cs="Times New Roman"/>
          <w:color w:val="auto"/>
          <w:sz w:val="24"/>
          <w:highlight w:val="none"/>
          <w:lang w:eastAsia="zh-CN"/>
        </w:rPr>
        <w:t>常熟市琴川街道社区卫生服务中心</w:t>
      </w:r>
      <w:r>
        <w:rPr>
          <w:rFonts w:hint="eastAsia" w:ascii="Times New Roman" w:hAnsi="Times New Roman" w:eastAsia="宋体" w:cs="Times New Roman"/>
          <w:color w:val="auto"/>
          <w:sz w:val="24"/>
          <w:highlight w:val="none"/>
        </w:rPr>
        <w:t>。</w:t>
      </w:r>
    </w:p>
    <w:p w14:paraId="35CF8C17">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3、服务期限：自签订合同之日起</w:t>
      </w:r>
      <w:r>
        <w:rPr>
          <w:rFonts w:hint="eastAsia" w:ascii="Times New Roman" w:hAnsi="Times New Roman" w:eastAsia="宋体" w:cs="Times New Roman"/>
          <w:color w:val="auto"/>
          <w:sz w:val="24"/>
          <w:highlight w:val="none"/>
          <w:lang w:val="en-US" w:eastAsia="zh-CN"/>
        </w:rPr>
        <w:t>2</w:t>
      </w:r>
      <w:r>
        <w:rPr>
          <w:rFonts w:hint="eastAsia" w:ascii="Times New Roman" w:hAnsi="Times New Roman" w:eastAsia="宋体" w:cs="Times New Roman"/>
          <w:color w:val="auto"/>
          <w:sz w:val="24"/>
          <w:highlight w:val="none"/>
        </w:rPr>
        <w:t>年。</w:t>
      </w:r>
    </w:p>
    <w:p w14:paraId="69B31886">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4、乙方承诺上述服务由乙方自行完成，不转包予第三方完成。</w:t>
      </w:r>
    </w:p>
    <w:p w14:paraId="45C4940C">
      <w:pPr>
        <w:spacing w:line="450" w:lineRule="exact"/>
        <w:ind w:firstLine="477" w:firstLineChars="198"/>
        <w:rPr>
          <w:b/>
          <w:color w:val="auto"/>
          <w:sz w:val="24"/>
          <w:highlight w:val="none"/>
        </w:rPr>
      </w:pPr>
      <w:r>
        <w:rPr>
          <w:b/>
          <w:color w:val="auto"/>
          <w:sz w:val="24"/>
          <w:highlight w:val="none"/>
        </w:rPr>
        <w:t>第四条  合同总价</w:t>
      </w:r>
    </w:p>
    <w:p w14:paraId="19E64986">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1、本合同项下</w:t>
      </w:r>
      <w:r>
        <w:rPr>
          <w:rFonts w:hint="eastAsia" w:ascii="Times New Roman" w:hAnsi="Times New Roman" w:eastAsia="宋体" w:cs="Times New Roman"/>
          <w:color w:val="auto"/>
          <w:sz w:val="24"/>
          <w:highlight w:val="none"/>
          <w:lang w:eastAsia="zh-CN"/>
        </w:rPr>
        <w:t>琴川街道社区卫生服务中心安全服务</w:t>
      </w:r>
      <w:r>
        <w:rPr>
          <w:rFonts w:hint="eastAsia" w:ascii="Times New Roman" w:hAnsi="Times New Roman" w:eastAsia="宋体" w:cs="Times New Roman"/>
          <w:color w:val="auto"/>
          <w:sz w:val="24"/>
          <w:highlight w:val="none"/>
        </w:rPr>
        <w:t>总费用（合同总价）为人民币</w:t>
      </w:r>
      <w:r>
        <w:rPr>
          <w:rFonts w:hint="eastAsia"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 </w:t>
      </w:r>
      <w:r>
        <w:rPr>
          <w:rFonts w:hint="eastAsia"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rPr>
        <w:t>元整（大写）。</w:t>
      </w:r>
    </w:p>
    <w:p w14:paraId="78CE7622">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2、本合同执行期间合同总价不变。</w:t>
      </w:r>
    </w:p>
    <w:p w14:paraId="2D527595">
      <w:pPr>
        <w:spacing w:line="450" w:lineRule="exact"/>
        <w:ind w:firstLine="482" w:firstLineChars="200"/>
        <w:rPr>
          <w:rFonts w:hint="eastAsia"/>
          <w:bCs/>
          <w:i/>
          <w:iCs/>
          <w:color w:val="auto"/>
          <w:sz w:val="24"/>
          <w:szCs w:val="24"/>
          <w:highlight w:val="none"/>
          <w:u w:val="single"/>
        </w:rPr>
      </w:pPr>
      <w:r>
        <w:rPr>
          <w:b/>
          <w:i/>
          <w:iCs/>
          <w:color w:val="auto"/>
          <w:sz w:val="24"/>
          <w:szCs w:val="24"/>
          <w:highlight w:val="none"/>
          <w:u w:val="single"/>
        </w:rPr>
        <w:t>第五条</w:t>
      </w:r>
      <w:r>
        <w:rPr>
          <w:i/>
          <w:iCs/>
          <w:color w:val="auto"/>
          <w:sz w:val="24"/>
          <w:szCs w:val="24"/>
          <w:highlight w:val="none"/>
          <w:u w:val="single"/>
        </w:rPr>
        <w:t xml:space="preserve"> </w:t>
      </w:r>
      <w:r>
        <w:rPr>
          <w:b/>
          <w:i/>
          <w:iCs/>
          <w:color w:val="auto"/>
          <w:sz w:val="24"/>
          <w:szCs w:val="24"/>
          <w:highlight w:val="none"/>
          <w:u w:val="single"/>
        </w:rPr>
        <w:t xml:space="preserve"> </w:t>
      </w:r>
      <w:r>
        <w:rPr>
          <w:rFonts w:hint="eastAsia"/>
          <w:b/>
          <w:i/>
          <w:iCs/>
          <w:color w:val="auto"/>
          <w:sz w:val="24"/>
          <w:highlight w:val="none"/>
          <w:u w:val="single"/>
          <w:lang w:val="en-US" w:eastAsia="zh-CN"/>
        </w:rPr>
        <w:t>付款</w:t>
      </w:r>
      <w:r>
        <w:rPr>
          <w:b/>
          <w:i/>
          <w:iCs/>
          <w:color w:val="auto"/>
          <w:sz w:val="24"/>
          <w:highlight w:val="none"/>
          <w:u w:val="single"/>
        </w:rPr>
        <w:t>方式</w:t>
      </w:r>
    </w:p>
    <w:p w14:paraId="3A6114B8">
      <w:pPr>
        <w:keepNext w:val="0"/>
        <w:keepLines w:val="0"/>
        <w:pageBreakBefore w:val="0"/>
        <w:widowControl w:val="0"/>
        <w:kinsoku/>
        <w:wordWrap/>
        <w:overflowPunct/>
        <w:topLinePunct w:val="0"/>
        <w:autoSpaceDE/>
        <w:autoSpaceDN/>
        <w:bidi w:val="0"/>
        <w:adjustRightInd/>
        <w:snapToGrid/>
        <w:spacing w:line="456" w:lineRule="exact"/>
        <w:ind w:firstLine="480" w:firstLineChars="200"/>
        <w:textAlignment w:val="auto"/>
        <w:rPr>
          <w:rFonts w:hint="eastAsia"/>
          <w:bCs/>
          <w:i/>
          <w:iCs/>
          <w:color w:val="auto"/>
          <w:sz w:val="24"/>
          <w:szCs w:val="24"/>
          <w:highlight w:val="none"/>
          <w:u w:val="single"/>
        </w:rPr>
      </w:pPr>
      <w:r>
        <w:rPr>
          <w:rFonts w:hint="eastAsia"/>
          <w:bCs/>
          <w:i/>
          <w:iCs/>
          <w:color w:val="auto"/>
          <w:sz w:val="24"/>
          <w:szCs w:val="24"/>
          <w:highlight w:val="none"/>
          <w:u w:val="single"/>
          <w:lang w:val="en-US" w:eastAsia="zh-CN"/>
        </w:rPr>
        <w:t>1、</w:t>
      </w:r>
      <w:r>
        <w:rPr>
          <w:rFonts w:hint="eastAsia"/>
          <w:bCs/>
          <w:i/>
          <w:iCs/>
          <w:color w:val="auto"/>
          <w:sz w:val="24"/>
          <w:szCs w:val="24"/>
          <w:highlight w:val="none"/>
          <w:u w:val="single"/>
        </w:rPr>
        <w:t>合同签订后的30个自然日内，</w:t>
      </w:r>
      <w:r>
        <w:rPr>
          <w:rFonts w:hint="eastAsia"/>
          <w:bCs/>
          <w:i/>
          <w:iCs/>
          <w:color w:val="auto"/>
          <w:sz w:val="24"/>
          <w:szCs w:val="24"/>
          <w:highlight w:val="none"/>
          <w:u w:val="single"/>
          <w:lang w:eastAsia="zh-CN"/>
        </w:rPr>
        <w:t>甲方</w:t>
      </w:r>
      <w:r>
        <w:rPr>
          <w:rFonts w:hint="eastAsia"/>
          <w:bCs/>
          <w:i/>
          <w:iCs/>
          <w:color w:val="auto"/>
          <w:sz w:val="24"/>
          <w:szCs w:val="24"/>
          <w:highlight w:val="none"/>
          <w:u w:val="single"/>
        </w:rPr>
        <w:t>向</w:t>
      </w:r>
      <w:r>
        <w:rPr>
          <w:rFonts w:hint="eastAsia"/>
          <w:bCs/>
          <w:i/>
          <w:iCs/>
          <w:color w:val="auto"/>
          <w:sz w:val="24"/>
          <w:szCs w:val="24"/>
          <w:highlight w:val="none"/>
          <w:u w:val="single"/>
          <w:lang w:eastAsia="zh-CN"/>
        </w:rPr>
        <w:t>乙方</w:t>
      </w:r>
      <w:r>
        <w:rPr>
          <w:rFonts w:hint="eastAsia"/>
          <w:bCs/>
          <w:i/>
          <w:iCs/>
          <w:color w:val="auto"/>
          <w:sz w:val="24"/>
          <w:szCs w:val="24"/>
          <w:highlight w:val="none"/>
          <w:u w:val="single"/>
        </w:rPr>
        <w:t>支付合同总价的10%作为预付款。</w:t>
      </w:r>
    </w:p>
    <w:p w14:paraId="6EAAF568">
      <w:pPr>
        <w:keepNext w:val="0"/>
        <w:keepLines w:val="0"/>
        <w:pageBreakBefore w:val="0"/>
        <w:widowControl w:val="0"/>
        <w:kinsoku/>
        <w:wordWrap/>
        <w:overflowPunct/>
        <w:topLinePunct w:val="0"/>
        <w:autoSpaceDE/>
        <w:autoSpaceDN/>
        <w:bidi w:val="0"/>
        <w:adjustRightInd/>
        <w:snapToGrid/>
        <w:spacing w:line="456" w:lineRule="exact"/>
        <w:ind w:firstLine="480" w:firstLineChars="200"/>
        <w:textAlignment w:val="auto"/>
        <w:rPr>
          <w:rFonts w:hint="eastAsia" w:eastAsia="宋体"/>
          <w:bCs/>
          <w:i/>
          <w:iCs/>
          <w:color w:val="auto"/>
          <w:sz w:val="24"/>
          <w:szCs w:val="24"/>
          <w:highlight w:val="none"/>
          <w:u w:val="single"/>
          <w:lang w:val="en-US" w:eastAsia="zh-CN"/>
        </w:rPr>
      </w:pPr>
      <w:r>
        <w:rPr>
          <w:rFonts w:hint="eastAsia"/>
          <w:bCs/>
          <w:i/>
          <w:iCs/>
          <w:color w:val="auto"/>
          <w:sz w:val="24"/>
          <w:szCs w:val="24"/>
          <w:highlight w:val="none"/>
          <w:u w:val="single"/>
          <w:lang w:val="en-US" w:eastAsia="zh-CN"/>
        </w:rPr>
        <w:t>2、</w:t>
      </w:r>
      <w:r>
        <w:rPr>
          <w:rFonts w:hint="eastAsia"/>
          <w:bCs/>
          <w:i/>
          <w:iCs/>
          <w:color w:val="auto"/>
          <w:sz w:val="24"/>
          <w:szCs w:val="24"/>
          <w:highlight w:val="none"/>
          <w:u w:val="single"/>
          <w:lang w:eastAsia="zh-CN"/>
        </w:rPr>
        <w:t>甲方</w:t>
      </w:r>
      <w:r>
        <w:rPr>
          <w:rFonts w:hint="eastAsia"/>
          <w:bCs/>
          <w:i/>
          <w:iCs/>
          <w:color w:val="auto"/>
          <w:sz w:val="24"/>
          <w:szCs w:val="24"/>
          <w:highlight w:val="none"/>
          <w:u w:val="single"/>
        </w:rPr>
        <w:t>留取合同总价的10%作为</w:t>
      </w:r>
      <w:r>
        <w:rPr>
          <w:rFonts w:hint="eastAsia"/>
          <w:bCs/>
          <w:i/>
          <w:iCs/>
          <w:color w:val="auto"/>
          <w:sz w:val="24"/>
          <w:szCs w:val="24"/>
          <w:highlight w:val="none"/>
          <w:u w:val="single"/>
          <w:lang w:val="en-US" w:eastAsia="zh-CN"/>
        </w:rPr>
        <w:t>年度</w:t>
      </w:r>
      <w:r>
        <w:rPr>
          <w:rFonts w:hint="eastAsia"/>
          <w:bCs/>
          <w:i/>
          <w:iCs/>
          <w:color w:val="auto"/>
          <w:sz w:val="24"/>
          <w:szCs w:val="24"/>
          <w:highlight w:val="none"/>
          <w:u w:val="single"/>
        </w:rPr>
        <w:t>考核</w:t>
      </w:r>
      <w:r>
        <w:rPr>
          <w:rFonts w:hint="eastAsia"/>
          <w:bCs/>
          <w:i/>
          <w:iCs/>
          <w:color w:val="auto"/>
          <w:sz w:val="24"/>
          <w:szCs w:val="24"/>
          <w:highlight w:val="none"/>
          <w:u w:val="single"/>
          <w:lang w:val="en-US" w:eastAsia="zh-CN"/>
        </w:rPr>
        <w:t>总</w:t>
      </w:r>
      <w:r>
        <w:rPr>
          <w:rFonts w:hint="eastAsia"/>
          <w:bCs/>
          <w:i/>
          <w:iCs/>
          <w:color w:val="auto"/>
          <w:sz w:val="24"/>
          <w:szCs w:val="24"/>
          <w:highlight w:val="none"/>
          <w:u w:val="single"/>
        </w:rPr>
        <w:t>费用</w:t>
      </w:r>
      <w:r>
        <w:rPr>
          <w:rFonts w:hint="eastAsia"/>
          <w:bCs/>
          <w:i/>
          <w:iCs/>
          <w:strike w:val="0"/>
          <w:dstrike w:val="0"/>
          <w:color w:val="auto"/>
          <w:sz w:val="24"/>
          <w:szCs w:val="24"/>
          <w:highlight w:val="none"/>
          <w:u w:val="single"/>
        </w:rPr>
        <w:t>（</w:t>
      </w:r>
      <w:r>
        <w:rPr>
          <w:rFonts w:hint="eastAsia"/>
          <w:bCs/>
          <w:i/>
          <w:iCs/>
          <w:strike w:val="0"/>
          <w:dstrike w:val="0"/>
          <w:color w:val="auto"/>
          <w:sz w:val="24"/>
          <w:szCs w:val="24"/>
          <w:highlight w:val="none"/>
          <w:u w:val="single"/>
          <w:lang w:val="en-US" w:eastAsia="zh-CN"/>
        </w:rPr>
        <w:t>一年的考核费用为</w:t>
      </w:r>
      <w:r>
        <w:rPr>
          <w:rFonts w:hint="eastAsia"/>
          <w:bCs/>
          <w:i/>
          <w:iCs/>
          <w:color w:val="auto"/>
          <w:sz w:val="24"/>
          <w:szCs w:val="24"/>
          <w:highlight w:val="none"/>
          <w:u w:val="single"/>
        </w:rPr>
        <w:t>合同总价的</w:t>
      </w:r>
      <w:r>
        <w:rPr>
          <w:rFonts w:hint="eastAsia"/>
          <w:bCs/>
          <w:i/>
          <w:iCs/>
          <w:color w:val="auto"/>
          <w:sz w:val="24"/>
          <w:szCs w:val="24"/>
          <w:highlight w:val="none"/>
          <w:u w:val="single"/>
          <w:lang w:val="en-US" w:eastAsia="zh-CN"/>
        </w:rPr>
        <w:t>5</w:t>
      </w:r>
      <w:r>
        <w:rPr>
          <w:rFonts w:hint="eastAsia"/>
          <w:bCs/>
          <w:i/>
          <w:iCs/>
          <w:color w:val="auto"/>
          <w:sz w:val="24"/>
          <w:szCs w:val="24"/>
          <w:highlight w:val="none"/>
          <w:u w:val="single"/>
        </w:rPr>
        <w:t>%</w:t>
      </w:r>
      <w:r>
        <w:rPr>
          <w:rFonts w:hint="eastAsia"/>
          <w:bCs/>
          <w:i/>
          <w:iCs/>
          <w:color w:val="auto"/>
          <w:sz w:val="24"/>
          <w:szCs w:val="24"/>
          <w:highlight w:val="none"/>
          <w:u w:val="single"/>
          <w:lang w:eastAsia="zh-CN"/>
        </w:rPr>
        <w:t>，</w:t>
      </w:r>
      <w:r>
        <w:rPr>
          <w:rFonts w:hint="eastAsia"/>
          <w:bCs/>
          <w:i/>
          <w:iCs/>
          <w:strike w:val="0"/>
          <w:dstrike w:val="0"/>
          <w:color w:val="auto"/>
          <w:sz w:val="24"/>
          <w:szCs w:val="24"/>
          <w:highlight w:val="none"/>
          <w:u w:val="single"/>
        </w:rPr>
        <w:t>考核条款详见附件1-保安服务质量标准与监管考评标准细则</w:t>
      </w:r>
      <w:r>
        <w:rPr>
          <w:rFonts w:hint="eastAsia"/>
          <w:bCs/>
          <w:i/>
          <w:iCs/>
          <w:strike w:val="0"/>
          <w:dstrike w:val="0"/>
          <w:color w:val="auto"/>
          <w:sz w:val="24"/>
          <w:szCs w:val="24"/>
          <w:highlight w:val="none"/>
          <w:u w:val="single"/>
          <w:lang w:eastAsia="zh-CN"/>
        </w:rPr>
        <w:t>）</w:t>
      </w:r>
      <w:r>
        <w:rPr>
          <w:rFonts w:hint="eastAsia"/>
          <w:bCs/>
          <w:i/>
          <w:iCs/>
          <w:strike w:val="0"/>
          <w:dstrike w:val="0"/>
          <w:color w:val="auto"/>
          <w:sz w:val="24"/>
          <w:szCs w:val="24"/>
          <w:highlight w:val="none"/>
          <w:u w:val="single"/>
        </w:rPr>
        <w:t>。</w:t>
      </w:r>
    </w:p>
    <w:p w14:paraId="061ADEE1">
      <w:pPr>
        <w:keepNext w:val="0"/>
        <w:keepLines w:val="0"/>
        <w:pageBreakBefore w:val="0"/>
        <w:widowControl w:val="0"/>
        <w:kinsoku/>
        <w:wordWrap/>
        <w:overflowPunct/>
        <w:topLinePunct w:val="0"/>
        <w:autoSpaceDE/>
        <w:autoSpaceDN/>
        <w:bidi w:val="0"/>
        <w:adjustRightInd/>
        <w:snapToGrid/>
        <w:spacing w:line="456" w:lineRule="exact"/>
        <w:ind w:firstLine="480" w:firstLineChars="200"/>
        <w:textAlignment w:val="auto"/>
        <w:rPr>
          <w:rFonts w:hint="eastAsia"/>
          <w:bCs/>
          <w:i/>
          <w:iCs/>
          <w:color w:val="auto"/>
          <w:sz w:val="24"/>
          <w:szCs w:val="24"/>
          <w:highlight w:val="none"/>
          <w:u w:val="single"/>
        </w:rPr>
      </w:pPr>
      <w:r>
        <w:rPr>
          <w:rFonts w:hint="eastAsia"/>
          <w:bCs/>
          <w:i/>
          <w:iCs/>
          <w:color w:val="auto"/>
          <w:sz w:val="24"/>
          <w:szCs w:val="24"/>
          <w:highlight w:val="none"/>
          <w:u w:val="single"/>
          <w:lang w:val="en-US" w:eastAsia="zh-CN"/>
        </w:rPr>
        <w:t>3、</w:t>
      </w:r>
      <w:r>
        <w:rPr>
          <w:rFonts w:hint="eastAsia"/>
          <w:bCs/>
          <w:i/>
          <w:iCs/>
          <w:strike w:val="0"/>
          <w:dstrike w:val="0"/>
          <w:color w:val="auto"/>
          <w:sz w:val="24"/>
          <w:szCs w:val="24"/>
          <w:highlight w:val="none"/>
          <w:u w:val="single"/>
          <w:lang w:val="en-US" w:eastAsia="zh-CN"/>
        </w:rPr>
        <w:t>服务费按半年度支付。服务期开始之日起每半年后的十个工作日内，甲方向乙方支付半年度的服务费用【（合同总价-预付款-留取的年度考核总费用）/24*6】。在每年服务期结束之后的15个工作日，甲方向乙方支付该年度实际考核费用。</w:t>
      </w:r>
    </w:p>
    <w:p w14:paraId="47BBC6CC">
      <w:pPr>
        <w:keepNext w:val="0"/>
        <w:keepLines w:val="0"/>
        <w:pageBreakBefore w:val="0"/>
        <w:widowControl w:val="0"/>
        <w:kinsoku/>
        <w:wordWrap/>
        <w:overflowPunct/>
        <w:topLinePunct w:val="0"/>
        <w:autoSpaceDE/>
        <w:autoSpaceDN/>
        <w:bidi w:val="0"/>
        <w:adjustRightInd/>
        <w:snapToGrid/>
        <w:spacing w:line="456" w:lineRule="exact"/>
        <w:ind w:firstLine="480" w:firstLineChars="200"/>
        <w:textAlignment w:val="auto"/>
        <w:rPr>
          <w:rFonts w:hint="default" w:ascii="Times New Roman" w:hAnsi="Times New Roman" w:eastAsia="宋体" w:cs="Times New Roman"/>
          <w:bCs/>
          <w:i/>
          <w:iCs/>
          <w:color w:val="auto"/>
          <w:sz w:val="24"/>
          <w:szCs w:val="24"/>
          <w:highlight w:val="none"/>
          <w:u w:val="single"/>
          <w:lang w:val="en-US" w:eastAsia="zh-CN"/>
        </w:rPr>
      </w:pPr>
      <w:r>
        <w:rPr>
          <w:rFonts w:hint="eastAsia" w:cs="Times New Roman"/>
          <w:bCs/>
          <w:i/>
          <w:iCs/>
          <w:color w:val="auto"/>
          <w:sz w:val="24"/>
          <w:szCs w:val="24"/>
          <w:highlight w:val="none"/>
          <w:u w:val="single"/>
          <w:lang w:val="en-US" w:eastAsia="zh-CN"/>
        </w:rPr>
        <w:t>4、</w:t>
      </w:r>
      <w:r>
        <w:rPr>
          <w:rFonts w:hint="eastAsia"/>
          <w:bCs/>
          <w:i/>
          <w:iCs/>
          <w:strike w:val="0"/>
          <w:dstrike w:val="0"/>
          <w:color w:val="auto"/>
          <w:sz w:val="24"/>
          <w:szCs w:val="24"/>
          <w:highlight w:val="none"/>
          <w:u w:val="single"/>
          <w:lang w:val="en-US" w:eastAsia="zh-CN"/>
        </w:rPr>
        <w:t>月度</w:t>
      </w:r>
      <w:r>
        <w:rPr>
          <w:rFonts w:hint="eastAsia"/>
          <w:bCs/>
          <w:i/>
          <w:iCs/>
          <w:strike w:val="0"/>
          <w:dstrike w:val="0"/>
          <w:color w:val="auto"/>
          <w:sz w:val="24"/>
          <w:szCs w:val="24"/>
          <w:highlight w:val="none"/>
          <w:u w:val="single"/>
        </w:rPr>
        <w:t>考核均分得分在95分（含）以上的，</w:t>
      </w:r>
      <w:r>
        <w:rPr>
          <w:rFonts w:hint="eastAsia"/>
          <w:bCs/>
          <w:i/>
          <w:iCs/>
          <w:strike w:val="0"/>
          <w:dstrike w:val="0"/>
          <w:color w:val="auto"/>
          <w:sz w:val="24"/>
          <w:szCs w:val="24"/>
          <w:highlight w:val="none"/>
          <w:u w:val="single"/>
          <w:lang w:val="en-US" w:eastAsia="zh-CN"/>
        </w:rPr>
        <w:t>该</w:t>
      </w:r>
      <w:r>
        <w:rPr>
          <w:rFonts w:hint="eastAsia"/>
          <w:bCs/>
          <w:i/>
          <w:iCs/>
          <w:strike w:val="0"/>
          <w:dstrike w:val="0"/>
          <w:color w:val="auto"/>
          <w:sz w:val="24"/>
          <w:szCs w:val="24"/>
          <w:highlight w:val="none"/>
          <w:u w:val="single"/>
        </w:rPr>
        <w:t>年度考核费用全额支付；</w:t>
      </w:r>
      <w:r>
        <w:rPr>
          <w:rFonts w:hint="eastAsia"/>
          <w:bCs/>
          <w:i/>
          <w:iCs/>
          <w:strike w:val="0"/>
          <w:dstrike w:val="0"/>
          <w:color w:val="auto"/>
          <w:sz w:val="24"/>
          <w:szCs w:val="24"/>
          <w:highlight w:val="none"/>
          <w:u w:val="single"/>
          <w:lang w:val="en-US" w:eastAsia="zh-CN"/>
        </w:rPr>
        <w:t>月度</w:t>
      </w:r>
      <w:r>
        <w:rPr>
          <w:rFonts w:hint="eastAsia"/>
          <w:bCs/>
          <w:i/>
          <w:iCs/>
          <w:strike w:val="0"/>
          <w:dstrike w:val="0"/>
          <w:color w:val="auto"/>
          <w:sz w:val="24"/>
          <w:szCs w:val="24"/>
          <w:highlight w:val="none"/>
          <w:u w:val="single"/>
        </w:rPr>
        <w:t>考核均分得分在95分（不含）以下的，每低一分扣除500元。</w:t>
      </w:r>
    </w:p>
    <w:p w14:paraId="5D152C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i/>
          <w:iCs/>
          <w:color w:val="auto"/>
          <w:sz w:val="24"/>
          <w:szCs w:val="24"/>
          <w:highlight w:val="none"/>
          <w:u w:val="single"/>
        </w:rPr>
        <w:t>注：①在签订合同时，</w:t>
      </w:r>
      <w:r>
        <w:rPr>
          <w:rFonts w:hint="eastAsia"/>
          <w:i/>
          <w:iCs/>
          <w:color w:val="auto"/>
          <w:sz w:val="24"/>
          <w:szCs w:val="24"/>
          <w:highlight w:val="none"/>
          <w:u w:val="single"/>
          <w:lang w:eastAsia="zh-CN"/>
        </w:rPr>
        <w:t>乙方</w:t>
      </w:r>
      <w:r>
        <w:rPr>
          <w:rFonts w:hint="eastAsia"/>
          <w:i/>
          <w:iCs/>
          <w:color w:val="auto"/>
          <w:sz w:val="24"/>
          <w:szCs w:val="24"/>
          <w:highlight w:val="none"/>
          <w:u w:val="single"/>
        </w:rPr>
        <w:t>明确表示无需预付款或者主动要求降低预付款比例的，可不适用上述第</w:t>
      </w:r>
      <w:r>
        <w:rPr>
          <w:rFonts w:hint="eastAsia"/>
          <w:i/>
          <w:iCs/>
          <w:color w:val="auto"/>
          <w:sz w:val="24"/>
          <w:szCs w:val="24"/>
          <w:highlight w:val="none"/>
          <w:u w:val="single"/>
          <w:lang w:val="en-US" w:eastAsia="zh-CN"/>
        </w:rPr>
        <w:t>1</w:t>
      </w:r>
      <w:r>
        <w:rPr>
          <w:rFonts w:hint="eastAsia"/>
          <w:i/>
          <w:iCs/>
          <w:color w:val="auto"/>
          <w:sz w:val="24"/>
          <w:szCs w:val="24"/>
          <w:highlight w:val="none"/>
          <w:u w:val="single"/>
        </w:rPr>
        <w:t>条规定。②</w:t>
      </w:r>
      <w:r>
        <w:rPr>
          <w:rFonts w:hint="eastAsia"/>
          <w:i/>
          <w:iCs/>
          <w:color w:val="auto"/>
          <w:sz w:val="24"/>
          <w:szCs w:val="24"/>
          <w:highlight w:val="none"/>
          <w:u w:val="single"/>
          <w:lang w:val="zh-CN"/>
        </w:rPr>
        <w:t>以上每次付款前，</w:t>
      </w:r>
      <w:r>
        <w:rPr>
          <w:rFonts w:hint="eastAsia"/>
          <w:i/>
          <w:iCs/>
          <w:color w:val="auto"/>
          <w:sz w:val="24"/>
          <w:szCs w:val="24"/>
          <w:highlight w:val="none"/>
          <w:u w:val="single"/>
          <w:lang w:eastAsia="zh-CN"/>
        </w:rPr>
        <w:t>乙方</w:t>
      </w:r>
      <w:r>
        <w:rPr>
          <w:rFonts w:hint="eastAsia"/>
          <w:i/>
          <w:iCs/>
          <w:color w:val="auto"/>
          <w:sz w:val="24"/>
          <w:szCs w:val="24"/>
          <w:highlight w:val="none"/>
          <w:u w:val="single"/>
          <w:lang w:val="zh-CN"/>
        </w:rPr>
        <w:t>均应提供符合</w:t>
      </w:r>
      <w:r>
        <w:rPr>
          <w:rFonts w:hint="eastAsia"/>
          <w:i/>
          <w:iCs/>
          <w:color w:val="auto"/>
          <w:sz w:val="24"/>
          <w:szCs w:val="24"/>
          <w:highlight w:val="none"/>
          <w:u w:val="single"/>
          <w:lang w:eastAsia="zh-CN"/>
        </w:rPr>
        <w:t>甲方</w:t>
      </w:r>
      <w:r>
        <w:rPr>
          <w:rFonts w:hint="eastAsia"/>
          <w:i/>
          <w:iCs/>
          <w:color w:val="auto"/>
          <w:sz w:val="24"/>
          <w:szCs w:val="24"/>
          <w:highlight w:val="none"/>
          <w:u w:val="single"/>
          <w:lang w:val="zh-CN"/>
        </w:rPr>
        <w:t>要求的同等金额的合法有效发票。</w:t>
      </w:r>
      <w:r>
        <w:rPr>
          <w:i/>
          <w:iCs/>
          <w:color w:val="auto"/>
          <w:sz w:val="24"/>
          <w:szCs w:val="24"/>
          <w:highlight w:val="none"/>
          <w:u w:val="single"/>
        </w:rPr>
        <w:t>否则，</w:t>
      </w:r>
      <w:r>
        <w:rPr>
          <w:rFonts w:hint="eastAsia"/>
          <w:i/>
          <w:iCs/>
          <w:color w:val="auto"/>
          <w:sz w:val="24"/>
          <w:szCs w:val="24"/>
          <w:highlight w:val="none"/>
          <w:u w:val="single"/>
          <w:lang w:eastAsia="zh-CN"/>
        </w:rPr>
        <w:t>甲方</w:t>
      </w:r>
      <w:r>
        <w:rPr>
          <w:i/>
          <w:iCs/>
          <w:color w:val="auto"/>
          <w:sz w:val="24"/>
          <w:szCs w:val="24"/>
          <w:highlight w:val="none"/>
          <w:u w:val="single"/>
        </w:rPr>
        <w:t>有权顺延付款时间，且不承担任何违约及/或赔偿责任</w:t>
      </w:r>
      <w:r>
        <w:rPr>
          <w:rFonts w:hint="eastAsia"/>
          <w:i/>
          <w:iCs/>
          <w:color w:val="auto"/>
          <w:sz w:val="24"/>
          <w:szCs w:val="24"/>
          <w:highlight w:val="none"/>
          <w:u w:val="single"/>
          <w:lang w:val="zh-CN"/>
        </w:rPr>
        <w:t>。</w:t>
      </w:r>
      <w:r>
        <w:rPr>
          <w:rFonts w:hint="eastAsia"/>
          <w:i/>
          <w:iCs/>
          <w:color w:val="auto"/>
          <w:sz w:val="24"/>
          <w:szCs w:val="24"/>
          <w:highlight w:val="none"/>
          <w:u w:val="single"/>
        </w:rPr>
        <w:t>③本项目支付方式包括但不限于：数字人民币、现金、银行汇票、转账支票等。④不满足上述结算</w:t>
      </w:r>
      <w:r>
        <w:rPr>
          <w:i/>
          <w:iCs/>
          <w:color w:val="auto"/>
          <w:sz w:val="24"/>
          <w:szCs w:val="24"/>
          <w:highlight w:val="none"/>
          <w:u w:val="single"/>
        </w:rPr>
        <w:t>方式</w:t>
      </w:r>
      <w:r>
        <w:rPr>
          <w:rFonts w:hint="eastAsia"/>
          <w:i/>
          <w:iCs/>
          <w:color w:val="auto"/>
          <w:sz w:val="24"/>
          <w:szCs w:val="24"/>
          <w:highlight w:val="none"/>
          <w:u w:val="single"/>
        </w:rPr>
        <w:t>的作无效投标处理。</w:t>
      </w:r>
    </w:p>
    <w:p w14:paraId="07BCDCB4">
      <w:pPr>
        <w:spacing w:line="450" w:lineRule="exact"/>
        <w:ind w:firstLine="482" w:firstLineChars="200"/>
        <w:rPr>
          <w:b/>
          <w:color w:val="auto"/>
          <w:sz w:val="24"/>
          <w:szCs w:val="24"/>
          <w:highlight w:val="none"/>
        </w:rPr>
      </w:pPr>
      <w:r>
        <w:rPr>
          <w:rFonts w:hint="eastAsia"/>
          <w:b/>
          <w:color w:val="auto"/>
          <w:sz w:val="24"/>
          <w:szCs w:val="24"/>
          <w:highlight w:val="none"/>
        </w:rPr>
        <w:t>第六条  验收办法</w:t>
      </w:r>
    </w:p>
    <w:p w14:paraId="4899A06E">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1、甲方依法组织履约验收工作。</w:t>
      </w:r>
    </w:p>
    <w:p w14:paraId="6C3ABD53">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2、甲方按照采购文件确定的考核细则（详见</w:t>
      </w:r>
      <w:r>
        <w:rPr>
          <w:rFonts w:hint="eastAsia" w:ascii="Times New Roman" w:hAnsi="Times New Roman" w:eastAsia="宋体" w:cs="Times New Roman"/>
          <w:color w:val="auto"/>
          <w:sz w:val="24"/>
          <w:highlight w:val="none"/>
          <w:lang w:eastAsia="zh-CN"/>
        </w:rPr>
        <w:t>附件1-保安服务质量标准与监管考评标准细则</w:t>
      </w:r>
      <w:r>
        <w:rPr>
          <w:rFonts w:hint="eastAsia" w:ascii="Times New Roman" w:hAnsi="Times New Roman" w:eastAsia="宋体" w:cs="Times New Roman"/>
          <w:color w:val="auto"/>
          <w:sz w:val="24"/>
          <w:highlight w:val="none"/>
        </w:rPr>
        <w:t>），综合考核情况和服务效果进行验收。乙方应根据验收方案内容做好相应配合工作。</w:t>
      </w:r>
    </w:p>
    <w:p w14:paraId="1F3078B9">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3、对于实际使用人和甲方分离的项目，甲方邀请实际使用人参与验收。</w:t>
      </w:r>
    </w:p>
    <w:p w14:paraId="5D9A4B4E">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4、如有必要，甲方邀请参加本项目的其他投标人或第三方专业机构及专家参与验收，相关意见将作为验收书的参考资料。</w:t>
      </w:r>
    </w:p>
    <w:p w14:paraId="29411B41">
      <w:pPr>
        <w:spacing w:line="45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5、甲方成立验收小组，按照采购合同的约定对乙方的履约情况进行验收。验收时，甲方按照采购合同的约定对每一项技术、服务、安全标准</w:t>
      </w:r>
      <w:r>
        <w:rPr>
          <w:rFonts w:hint="eastAsia" w:cs="Times New Roman"/>
          <w:color w:val="auto"/>
          <w:sz w:val="24"/>
          <w:highlight w:val="none"/>
          <w:lang w:eastAsia="zh-CN"/>
        </w:rPr>
        <w:t>、</w:t>
      </w:r>
      <w:r>
        <w:rPr>
          <w:rFonts w:hint="eastAsia" w:cs="Times New Roman"/>
          <w:color w:val="auto"/>
          <w:sz w:val="24"/>
          <w:highlight w:val="none"/>
          <w:lang w:val="en-US" w:eastAsia="zh-CN"/>
        </w:rPr>
        <w:t>服务人员证书</w:t>
      </w:r>
      <w:r>
        <w:rPr>
          <w:rFonts w:hint="eastAsia" w:ascii="Times New Roman" w:hAnsi="Times New Roman" w:eastAsia="宋体" w:cs="Times New Roman"/>
          <w:color w:val="auto"/>
          <w:sz w:val="24"/>
          <w:highlight w:val="none"/>
        </w:rPr>
        <w:t>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p>
    <w:p w14:paraId="18D9E1F1">
      <w:pPr>
        <w:spacing w:line="450" w:lineRule="exact"/>
        <w:ind w:firstLine="480" w:firstLineChars="200"/>
        <w:rPr>
          <w:b/>
          <w:color w:val="auto"/>
          <w:sz w:val="24"/>
          <w:highlight w:val="none"/>
        </w:rPr>
      </w:pPr>
      <w:r>
        <w:rPr>
          <w:rFonts w:hint="eastAsia" w:ascii="Times New Roman" w:hAnsi="Times New Roman" w:eastAsia="宋体" w:cs="Times New Roman"/>
          <w:color w:val="auto"/>
          <w:sz w:val="24"/>
          <w:highlight w:val="none"/>
        </w:rPr>
        <w:t xml:space="preserve">6、考核分数与年度考核费用挂钩，详见“第五条  </w:t>
      </w:r>
      <w:r>
        <w:rPr>
          <w:rFonts w:hint="eastAsia" w:ascii="Times New Roman" w:hAnsi="Times New Roman" w:eastAsia="宋体" w:cs="Times New Roman"/>
          <w:color w:val="auto"/>
          <w:sz w:val="24"/>
          <w:highlight w:val="none"/>
          <w:lang w:val="en-US" w:eastAsia="zh-CN"/>
        </w:rPr>
        <w:t>付款</w:t>
      </w:r>
      <w:r>
        <w:rPr>
          <w:rFonts w:hint="eastAsia" w:ascii="Times New Roman" w:hAnsi="Times New Roman" w:eastAsia="宋体" w:cs="Times New Roman"/>
          <w:color w:val="auto"/>
          <w:sz w:val="24"/>
          <w:highlight w:val="none"/>
        </w:rPr>
        <w:t>方式”。验收</w:t>
      </w:r>
      <w:r>
        <w:rPr>
          <w:rFonts w:hint="eastAsia"/>
          <w:color w:val="auto"/>
          <w:sz w:val="24"/>
          <w:szCs w:val="24"/>
          <w:highlight w:val="none"/>
        </w:rPr>
        <w:t>合格的项目，甲方根据采购合同的约定及时向乙方支付款项。验收不合格的项目，甲方依法及时处理。</w:t>
      </w:r>
    </w:p>
    <w:p w14:paraId="409A0420">
      <w:pPr>
        <w:spacing w:line="450" w:lineRule="exact"/>
        <w:ind w:firstLine="472" w:firstLineChars="196"/>
        <w:rPr>
          <w:b/>
          <w:color w:val="auto"/>
          <w:sz w:val="24"/>
          <w:highlight w:val="none"/>
        </w:rPr>
      </w:pPr>
      <w:r>
        <w:rPr>
          <w:b/>
          <w:color w:val="auto"/>
          <w:sz w:val="24"/>
          <w:highlight w:val="none"/>
        </w:rPr>
        <w:t>第</w:t>
      </w:r>
      <w:r>
        <w:rPr>
          <w:rFonts w:hint="eastAsia"/>
          <w:b/>
          <w:color w:val="auto"/>
          <w:sz w:val="24"/>
          <w:highlight w:val="none"/>
        </w:rPr>
        <w:t>七</w:t>
      </w:r>
      <w:r>
        <w:rPr>
          <w:b/>
          <w:color w:val="auto"/>
          <w:sz w:val="24"/>
          <w:highlight w:val="none"/>
        </w:rPr>
        <w:t xml:space="preserve">条  </w:t>
      </w:r>
      <w:r>
        <w:rPr>
          <w:b/>
          <w:color w:val="auto"/>
          <w:sz w:val="24"/>
          <w:szCs w:val="24"/>
          <w:highlight w:val="none"/>
        </w:rPr>
        <w:t>双方权利义务</w:t>
      </w:r>
    </w:p>
    <w:p w14:paraId="3B5F2456">
      <w:pPr>
        <w:spacing w:line="450" w:lineRule="exact"/>
        <w:ind w:firstLine="480" w:firstLineChars="200"/>
        <w:rPr>
          <w:color w:val="auto"/>
          <w:sz w:val="24"/>
          <w:highlight w:val="none"/>
        </w:rPr>
      </w:pPr>
      <w:r>
        <w:rPr>
          <w:color w:val="auto"/>
          <w:sz w:val="24"/>
          <w:highlight w:val="none"/>
        </w:rPr>
        <w:t>一、甲方权利义务</w:t>
      </w:r>
    </w:p>
    <w:p w14:paraId="5C2A9D91">
      <w:pPr>
        <w:spacing w:line="450" w:lineRule="exact"/>
        <w:ind w:firstLine="523" w:firstLineChars="218"/>
        <w:rPr>
          <w:rFonts w:hint="eastAsia"/>
          <w:color w:val="auto"/>
          <w:sz w:val="24"/>
          <w:szCs w:val="24"/>
          <w:highlight w:val="none"/>
        </w:rPr>
      </w:pPr>
      <w:r>
        <w:rPr>
          <w:rFonts w:hint="eastAsia"/>
          <w:color w:val="auto"/>
          <w:sz w:val="24"/>
          <w:szCs w:val="24"/>
          <w:highlight w:val="none"/>
        </w:rPr>
        <w:t>1、甲方可指派代表作为项目负责人，与乙方进行及时的联络并监督、协调服务的执行情况。</w:t>
      </w:r>
    </w:p>
    <w:p w14:paraId="49D562FE">
      <w:pPr>
        <w:spacing w:line="450" w:lineRule="exact"/>
        <w:ind w:firstLine="523" w:firstLineChars="218"/>
        <w:rPr>
          <w:rFonts w:hint="eastAsia"/>
          <w:color w:val="auto"/>
          <w:sz w:val="24"/>
          <w:szCs w:val="24"/>
          <w:highlight w:val="none"/>
        </w:rPr>
      </w:pPr>
      <w:r>
        <w:rPr>
          <w:rFonts w:hint="eastAsia"/>
          <w:color w:val="auto"/>
          <w:sz w:val="24"/>
          <w:szCs w:val="24"/>
          <w:highlight w:val="none"/>
        </w:rPr>
        <w:t>2、甲方有权对乙方派遣的人员进行考核、管理和评定打分，甲方有权要求乙方加强对所派遣人员的管理，如乙方所派遣人员不符合甲方要求，甲方有权要求乙方更换人员。</w:t>
      </w:r>
    </w:p>
    <w:p w14:paraId="5A82F922">
      <w:pPr>
        <w:spacing w:line="450" w:lineRule="exact"/>
        <w:ind w:firstLine="523" w:firstLineChars="218"/>
        <w:rPr>
          <w:rFonts w:hint="eastAsia"/>
          <w:color w:val="auto"/>
          <w:sz w:val="24"/>
          <w:szCs w:val="24"/>
          <w:highlight w:val="none"/>
        </w:rPr>
      </w:pPr>
      <w:r>
        <w:rPr>
          <w:rFonts w:hint="eastAsia"/>
          <w:color w:val="auto"/>
          <w:sz w:val="24"/>
          <w:szCs w:val="24"/>
          <w:highlight w:val="none"/>
        </w:rPr>
        <w:t>3、按时支付费用。</w:t>
      </w:r>
    </w:p>
    <w:p w14:paraId="7343EDFB">
      <w:pPr>
        <w:spacing w:line="450" w:lineRule="exact"/>
        <w:ind w:firstLine="523" w:firstLineChars="218"/>
        <w:rPr>
          <w:rFonts w:hint="eastAsia"/>
          <w:color w:val="auto"/>
          <w:sz w:val="24"/>
          <w:szCs w:val="24"/>
          <w:highlight w:val="none"/>
        </w:rPr>
      </w:pPr>
      <w:r>
        <w:rPr>
          <w:rFonts w:hint="eastAsia"/>
          <w:color w:val="auto"/>
          <w:sz w:val="24"/>
          <w:szCs w:val="24"/>
          <w:highlight w:val="none"/>
        </w:rPr>
        <w:t>4、配合乙方协调。</w:t>
      </w:r>
    </w:p>
    <w:p w14:paraId="72C27CD6">
      <w:pPr>
        <w:spacing w:line="450" w:lineRule="exact"/>
        <w:ind w:firstLine="523" w:firstLineChars="218"/>
        <w:rPr>
          <w:rFonts w:hint="eastAsia"/>
          <w:color w:val="auto"/>
          <w:sz w:val="24"/>
          <w:szCs w:val="24"/>
          <w:highlight w:val="none"/>
        </w:rPr>
      </w:pPr>
      <w:r>
        <w:rPr>
          <w:rFonts w:hint="eastAsia"/>
          <w:color w:val="auto"/>
          <w:sz w:val="24"/>
          <w:szCs w:val="24"/>
          <w:highlight w:val="none"/>
        </w:rPr>
        <w:t>5、法规、政策规定由甲方承担的其他责任。</w:t>
      </w:r>
    </w:p>
    <w:p w14:paraId="28121A39">
      <w:pPr>
        <w:spacing w:line="450" w:lineRule="exact"/>
        <w:ind w:firstLine="480" w:firstLineChars="200"/>
        <w:rPr>
          <w:color w:val="auto"/>
          <w:sz w:val="24"/>
          <w:highlight w:val="none"/>
        </w:rPr>
      </w:pPr>
      <w:r>
        <w:rPr>
          <w:color w:val="auto"/>
          <w:sz w:val="24"/>
          <w:highlight w:val="none"/>
        </w:rPr>
        <w:t>二、乙方权利义务</w:t>
      </w:r>
    </w:p>
    <w:p w14:paraId="1899A875">
      <w:pPr>
        <w:spacing w:line="450" w:lineRule="exact"/>
        <w:ind w:firstLine="523" w:firstLineChars="218"/>
        <w:rPr>
          <w:color w:val="auto"/>
          <w:sz w:val="24"/>
          <w:szCs w:val="24"/>
          <w:highlight w:val="none"/>
        </w:rPr>
      </w:pPr>
      <w:r>
        <w:rPr>
          <w:color w:val="auto"/>
          <w:sz w:val="24"/>
          <w:szCs w:val="24"/>
          <w:highlight w:val="none"/>
        </w:rPr>
        <w:t>1、乙方应及时履行合同一般性义务和文件中规定的具体义务。乙方将根据本合同的条款和条件提供服务。</w:t>
      </w:r>
    </w:p>
    <w:p w14:paraId="076BCFD3">
      <w:pPr>
        <w:spacing w:line="450" w:lineRule="exact"/>
        <w:ind w:firstLine="523" w:firstLineChars="218"/>
        <w:rPr>
          <w:color w:val="auto"/>
          <w:sz w:val="24"/>
          <w:szCs w:val="24"/>
          <w:highlight w:val="none"/>
        </w:rPr>
      </w:pPr>
      <w:r>
        <w:rPr>
          <w:rFonts w:hint="eastAsia"/>
          <w:color w:val="auto"/>
          <w:sz w:val="24"/>
          <w:szCs w:val="24"/>
          <w:highlight w:val="none"/>
        </w:rPr>
        <w:t>2、</w:t>
      </w:r>
      <w:r>
        <w:rPr>
          <w:color w:val="auto"/>
          <w:sz w:val="24"/>
          <w:szCs w:val="24"/>
          <w:highlight w:val="none"/>
        </w:rPr>
        <w:t>乙方所提供服务的质量应与</w:t>
      </w:r>
      <w:r>
        <w:rPr>
          <w:rFonts w:hint="eastAsia"/>
          <w:color w:val="auto"/>
          <w:sz w:val="24"/>
          <w:szCs w:val="24"/>
          <w:highlight w:val="none"/>
        </w:rPr>
        <w:t>招标</w:t>
      </w:r>
      <w:r>
        <w:rPr>
          <w:color w:val="auto"/>
          <w:sz w:val="24"/>
          <w:szCs w:val="24"/>
          <w:highlight w:val="none"/>
        </w:rPr>
        <w:t>文件规定及</w:t>
      </w:r>
      <w:r>
        <w:rPr>
          <w:rFonts w:hint="eastAsia"/>
          <w:color w:val="auto"/>
          <w:sz w:val="24"/>
          <w:szCs w:val="24"/>
          <w:highlight w:val="none"/>
        </w:rPr>
        <w:t>投标</w:t>
      </w:r>
      <w:r>
        <w:rPr>
          <w:color w:val="auto"/>
          <w:sz w:val="24"/>
          <w:szCs w:val="24"/>
          <w:highlight w:val="none"/>
        </w:rPr>
        <w:t>文件承诺的内容相一致。乙方负责项目的日常管理工作，并对其负担全部责任。</w:t>
      </w:r>
    </w:p>
    <w:p w14:paraId="7BCC6B32">
      <w:pPr>
        <w:spacing w:line="450" w:lineRule="exact"/>
        <w:ind w:firstLine="523" w:firstLineChars="218"/>
        <w:rPr>
          <w:color w:val="auto"/>
          <w:sz w:val="24"/>
          <w:szCs w:val="24"/>
          <w:highlight w:val="none"/>
          <w:lang w:val="zh-CN"/>
        </w:rPr>
      </w:pPr>
      <w:r>
        <w:rPr>
          <w:rFonts w:hint="eastAsia"/>
          <w:color w:val="auto"/>
          <w:sz w:val="24"/>
          <w:szCs w:val="24"/>
          <w:highlight w:val="none"/>
        </w:rPr>
        <w:t>3、</w:t>
      </w:r>
      <w:r>
        <w:rPr>
          <w:color w:val="auto"/>
          <w:sz w:val="24"/>
          <w:szCs w:val="24"/>
          <w:highlight w:val="none"/>
          <w:lang w:val="zh-CN"/>
        </w:rPr>
        <w:t>乙方根据考核细则和投标文件所作的承诺自觉开展各项工作。接受甲方和各级管理部门的考核及其结果。</w:t>
      </w:r>
    </w:p>
    <w:p w14:paraId="417D1513">
      <w:pPr>
        <w:spacing w:line="450" w:lineRule="exact"/>
        <w:ind w:firstLine="523" w:firstLineChars="218"/>
        <w:rPr>
          <w:color w:val="auto"/>
          <w:sz w:val="24"/>
          <w:szCs w:val="24"/>
          <w:highlight w:val="none"/>
        </w:rPr>
      </w:pPr>
      <w:r>
        <w:rPr>
          <w:rFonts w:hint="eastAsia"/>
          <w:color w:val="auto"/>
          <w:sz w:val="24"/>
          <w:szCs w:val="24"/>
          <w:highlight w:val="none"/>
        </w:rPr>
        <w:t>4</w:t>
      </w:r>
      <w:r>
        <w:rPr>
          <w:color w:val="auto"/>
          <w:sz w:val="24"/>
          <w:szCs w:val="24"/>
          <w:highlight w:val="none"/>
        </w:rPr>
        <w:t>、乙方应独立承担服务中的各类责任（安全责任、用工责任和经济责任等）。</w:t>
      </w:r>
    </w:p>
    <w:p w14:paraId="0F9B1DD0">
      <w:pPr>
        <w:spacing w:line="420" w:lineRule="exact"/>
        <w:ind w:firstLine="523" w:firstLineChars="218"/>
        <w:rPr>
          <w:color w:val="auto"/>
          <w:sz w:val="24"/>
          <w:szCs w:val="24"/>
          <w:highlight w:val="none"/>
        </w:rPr>
      </w:pPr>
      <w:r>
        <w:rPr>
          <w:rFonts w:hint="eastAsia"/>
          <w:color w:val="auto"/>
          <w:sz w:val="24"/>
          <w:szCs w:val="24"/>
          <w:highlight w:val="none"/>
        </w:rPr>
        <w:t>5</w:t>
      </w:r>
      <w:r>
        <w:rPr>
          <w:color w:val="auto"/>
          <w:sz w:val="24"/>
          <w:szCs w:val="24"/>
          <w:highlight w:val="none"/>
        </w:rPr>
        <w:t>、</w:t>
      </w:r>
      <w:r>
        <w:rPr>
          <w:color w:val="auto"/>
          <w:sz w:val="24"/>
          <w:highlight w:val="none"/>
          <w:lang w:val="zh-CN"/>
        </w:rPr>
        <w:t>乙方根据甲方要求，在规定的时间内安排相应人员进行</w:t>
      </w:r>
      <w:r>
        <w:rPr>
          <w:rFonts w:hint="eastAsia"/>
          <w:color w:val="auto"/>
          <w:sz w:val="24"/>
          <w:szCs w:val="24"/>
          <w:highlight w:val="none"/>
          <w:lang w:eastAsia="zh-CN"/>
        </w:rPr>
        <w:t>琴川街道社区卫生服务中心安全服务</w:t>
      </w:r>
      <w:r>
        <w:rPr>
          <w:color w:val="auto"/>
          <w:sz w:val="24"/>
          <w:highlight w:val="none"/>
          <w:lang w:val="zh-CN"/>
        </w:rPr>
        <w:t>，并负责维护、管理工作环境。乙方派出的</w:t>
      </w:r>
      <w:r>
        <w:rPr>
          <w:rFonts w:hint="eastAsia"/>
          <w:color w:val="auto"/>
          <w:sz w:val="24"/>
          <w:highlight w:val="none"/>
        </w:rPr>
        <w:t>工作</w:t>
      </w:r>
      <w:r>
        <w:rPr>
          <w:color w:val="auto"/>
          <w:sz w:val="24"/>
          <w:highlight w:val="none"/>
          <w:lang w:val="zh-CN"/>
        </w:rPr>
        <w:t>人员应服从甲方的统一调度和指挥，若不服从甲方的指挥或有其他违法违纪行为，甲方有权要求乙方更换</w:t>
      </w:r>
      <w:r>
        <w:rPr>
          <w:rFonts w:hint="eastAsia"/>
          <w:color w:val="auto"/>
          <w:sz w:val="24"/>
          <w:highlight w:val="none"/>
          <w:lang w:val="zh-CN"/>
        </w:rPr>
        <w:t>人</w:t>
      </w:r>
      <w:r>
        <w:rPr>
          <w:color w:val="auto"/>
          <w:sz w:val="24"/>
          <w:highlight w:val="none"/>
          <w:lang w:val="zh-CN"/>
        </w:rPr>
        <w:t>员，乙方不得借口推辞</w:t>
      </w:r>
      <w:r>
        <w:rPr>
          <w:rFonts w:hint="eastAsia"/>
          <w:color w:val="auto"/>
          <w:sz w:val="24"/>
          <w:highlight w:val="none"/>
          <w:lang w:val="zh-CN"/>
        </w:rPr>
        <w:t>。</w:t>
      </w:r>
    </w:p>
    <w:p w14:paraId="3BE6F23E">
      <w:pPr>
        <w:spacing w:line="450" w:lineRule="exact"/>
        <w:ind w:firstLine="523" w:firstLineChars="218"/>
        <w:rPr>
          <w:color w:val="auto"/>
          <w:sz w:val="24"/>
          <w:szCs w:val="24"/>
          <w:highlight w:val="none"/>
          <w:lang w:val="zh-CN"/>
        </w:rPr>
      </w:pPr>
      <w:r>
        <w:rPr>
          <w:rFonts w:hint="eastAsia"/>
          <w:color w:val="auto"/>
          <w:sz w:val="24"/>
          <w:szCs w:val="24"/>
          <w:highlight w:val="none"/>
        </w:rPr>
        <w:t>6、</w:t>
      </w:r>
      <w:r>
        <w:rPr>
          <w:color w:val="auto"/>
          <w:sz w:val="24"/>
          <w:szCs w:val="24"/>
          <w:highlight w:val="none"/>
          <w:lang w:val="zh-CN"/>
        </w:rPr>
        <w:t>乙方应保证在岗</w:t>
      </w:r>
      <w:r>
        <w:rPr>
          <w:rFonts w:hint="eastAsia"/>
          <w:color w:val="auto"/>
          <w:sz w:val="24"/>
          <w:szCs w:val="24"/>
          <w:highlight w:val="none"/>
        </w:rPr>
        <w:t>工作</w:t>
      </w:r>
      <w:r>
        <w:rPr>
          <w:color w:val="auto"/>
          <w:sz w:val="24"/>
          <w:szCs w:val="24"/>
          <w:highlight w:val="none"/>
          <w:lang w:val="zh-CN"/>
        </w:rPr>
        <w:t>人员的人数，</w:t>
      </w:r>
      <w:r>
        <w:rPr>
          <w:rFonts w:hint="eastAsia"/>
          <w:color w:val="auto"/>
          <w:sz w:val="24"/>
          <w:szCs w:val="24"/>
          <w:highlight w:val="none"/>
        </w:rPr>
        <w:t>工作</w:t>
      </w:r>
      <w:r>
        <w:rPr>
          <w:color w:val="auto"/>
          <w:sz w:val="24"/>
          <w:szCs w:val="24"/>
          <w:highlight w:val="none"/>
          <w:lang w:val="zh-CN"/>
        </w:rPr>
        <w:t>人员若请假，乙方应及时调整替班人员。</w:t>
      </w:r>
    </w:p>
    <w:p w14:paraId="7F7AFD40">
      <w:pPr>
        <w:spacing w:line="450" w:lineRule="exact"/>
        <w:ind w:firstLine="523" w:firstLineChars="218"/>
        <w:rPr>
          <w:color w:val="auto"/>
          <w:sz w:val="24"/>
          <w:szCs w:val="24"/>
          <w:highlight w:val="none"/>
        </w:rPr>
      </w:pPr>
      <w:r>
        <w:rPr>
          <w:rFonts w:hint="eastAsia"/>
          <w:color w:val="auto"/>
          <w:sz w:val="24"/>
          <w:szCs w:val="24"/>
          <w:highlight w:val="none"/>
        </w:rPr>
        <w:t>7</w:t>
      </w:r>
      <w:r>
        <w:rPr>
          <w:color w:val="auto"/>
          <w:sz w:val="24"/>
          <w:szCs w:val="24"/>
          <w:highlight w:val="none"/>
        </w:rPr>
        <w:t>、</w:t>
      </w:r>
      <w:r>
        <w:rPr>
          <w:rFonts w:hint="eastAsia"/>
          <w:color w:val="auto"/>
          <w:sz w:val="24"/>
          <w:szCs w:val="24"/>
          <w:highlight w:val="none"/>
        </w:rPr>
        <w:t>乙方应根据国家法律法规的规定与其为甲方提供服务的人员签署合同，并负责上述人员的工资和社会劳动保险、奖金、福利等费用，若发生劳动争议均由乙方自己解决并承担所有责任，甲方无任何连带关系和责任。</w:t>
      </w:r>
    </w:p>
    <w:p w14:paraId="36BA7B38">
      <w:pPr>
        <w:spacing w:line="450" w:lineRule="exact"/>
        <w:ind w:firstLine="523" w:firstLineChars="218"/>
        <w:rPr>
          <w:rFonts w:hint="eastAsia"/>
          <w:color w:val="auto"/>
          <w:sz w:val="24"/>
          <w:szCs w:val="24"/>
          <w:highlight w:val="none"/>
        </w:rPr>
      </w:pPr>
      <w:r>
        <w:rPr>
          <w:rFonts w:hint="eastAsia"/>
          <w:color w:val="auto"/>
          <w:sz w:val="24"/>
          <w:szCs w:val="24"/>
          <w:highlight w:val="none"/>
        </w:rPr>
        <w:t>8、乙方工作人员在工作期间发生对甲方造成影响事件、事故由乙方处理并承担全部责任。</w:t>
      </w:r>
    </w:p>
    <w:p w14:paraId="01FC018D">
      <w:pPr>
        <w:spacing w:line="450" w:lineRule="exact"/>
        <w:ind w:firstLine="523" w:firstLineChars="218"/>
        <w:rPr>
          <w:color w:val="auto"/>
          <w:sz w:val="24"/>
          <w:szCs w:val="24"/>
          <w:highlight w:val="none"/>
        </w:rPr>
      </w:pPr>
      <w:r>
        <w:rPr>
          <w:rFonts w:hint="eastAsia"/>
          <w:color w:val="auto"/>
          <w:sz w:val="24"/>
          <w:szCs w:val="24"/>
          <w:highlight w:val="none"/>
        </w:rPr>
        <w:t>9</w:t>
      </w:r>
      <w:r>
        <w:rPr>
          <w:color w:val="auto"/>
          <w:sz w:val="24"/>
          <w:szCs w:val="24"/>
          <w:highlight w:val="none"/>
        </w:rPr>
        <w:t>、乙方在被授予合同后不得转包，如发现分包或转包，按乙方违约处理。</w:t>
      </w:r>
    </w:p>
    <w:p w14:paraId="7FCEFF00">
      <w:pPr>
        <w:spacing w:line="450" w:lineRule="exact"/>
        <w:ind w:firstLine="523" w:firstLineChars="218"/>
        <w:rPr>
          <w:color w:val="auto"/>
          <w:sz w:val="24"/>
          <w:szCs w:val="24"/>
          <w:highlight w:val="none"/>
        </w:rPr>
      </w:pPr>
      <w:r>
        <w:rPr>
          <w:rFonts w:hint="eastAsia"/>
          <w:color w:val="auto"/>
          <w:sz w:val="24"/>
          <w:szCs w:val="24"/>
          <w:highlight w:val="none"/>
        </w:rPr>
        <w:t>10</w:t>
      </w:r>
      <w:r>
        <w:rPr>
          <w:color w:val="auto"/>
          <w:sz w:val="24"/>
          <w:szCs w:val="24"/>
          <w:highlight w:val="none"/>
        </w:rPr>
        <w:t>、法规、政策规定由乙方承担的其他责任。</w:t>
      </w:r>
    </w:p>
    <w:p w14:paraId="0CA671EA">
      <w:pPr>
        <w:spacing w:line="450" w:lineRule="exact"/>
        <w:ind w:firstLine="472" w:firstLineChars="196"/>
        <w:rPr>
          <w:b/>
          <w:color w:val="auto"/>
          <w:sz w:val="24"/>
          <w:szCs w:val="24"/>
          <w:highlight w:val="none"/>
        </w:rPr>
      </w:pPr>
      <w:r>
        <w:rPr>
          <w:b/>
          <w:color w:val="auto"/>
          <w:sz w:val="24"/>
          <w:szCs w:val="24"/>
          <w:highlight w:val="none"/>
        </w:rPr>
        <w:t>第</w:t>
      </w:r>
      <w:r>
        <w:rPr>
          <w:rFonts w:hint="eastAsia"/>
          <w:b/>
          <w:color w:val="auto"/>
          <w:sz w:val="24"/>
          <w:szCs w:val="24"/>
          <w:highlight w:val="none"/>
        </w:rPr>
        <w:t>八</w:t>
      </w:r>
      <w:r>
        <w:rPr>
          <w:b/>
          <w:color w:val="auto"/>
          <w:sz w:val="24"/>
          <w:szCs w:val="24"/>
          <w:highlight w:val="none"/>
        </w:rPr>
        <w:t>条  质量保证</w:t>
      </w:r>
    </w:p>
    <w:p w14:paraId="7DEB0D44">
      <w:pPr>
        <w:spacing w:line="450" w:lineRule="exact"/>
        <w:ind w:left="-2" w:leftChars="-1" w:firstLine="525" w:firstLineChars="219"/>
        <w:jc w:val="left"/>
        <w:rPr>
          <w:color w:val="auto"/>
          <w:sz w:val="24"/>
          <w:szCs w:val="24"/>
          <w:highlight w:val="none"/>
        </w:rPr>
      </w:pPr>
      <w:r>
        <w:rPr>
          <w:color w:val="auto"/>
          <w:sz w:val="24"/>
          <w:szCs w:val="24"/>
          <w:highlight w:val="none"/>
        </w:rPr>
        <w:t>1、建立质量管理体系并有效运行，实施服务能够接受质量考核。</w:t>
      </w:r>
    </w:p>
    <w:p w14:paraId="4DDE464D">
      <w:pPr>
        <w:spacing w:line="450" w:lineRule="exact"/>
        <w:ind w:left="-2" w:leftChars="-1" w:firstLine="525" w:firstLineChars="219"/>
        <w:jc w:val="left"/>
        <w:rPr>
          <w:color w:val="auto"/>
          <w:sz w:val="24"/>
          <w:szCs w:val="24"/>
          <w:highlight w:val="none"/>
        </w:rPr>
      </w:pPr>
      <w:r>
        <w:rPr>
          <w:color w:val="auto"/>
          <w:sz w:val="24"/>
          <w:szCs w:val="24"/>
          <w:highlight w:val="none"/>
        </w:rPr>
        <w:t>2、各项承诺指标及所采取的措施符</w:t>
      </w:r>
      <w:r>
        <w:rPr>
          <w:rFonts w:hint="eastAsia" w:ascii="宋体" w:hAnsi="宋体" w:cs="宋体"/>
          <w:color w:val="auto"/>
          <w:sz w:val="24"/>
          <w:szCs w:val="24"/>
          <w:highlight w:val="none"/>
        </w:rPr>
        <w:t>合“招标文件”要求及投标</w:t>
      </w:r>
      <w:r>
        <w:rPr>
          <w:color w:val="auto"/>
          <w:sz w:val="24"/>
          <w:szCs w:val="24"/>
          <w:highlight w:val="none"/>
        </w:rPr>
        <w:t>报价承诺。</w:t>
      </w:r>
    </w:p>
    <w:p w14:paraId="727A080B">
      <w:pPr>
        <w:spacing w:line="450" w:lineRule="exact"/>
        <w:ind w:firstLine="472" w:firstLineChars="196"/>
        <w:rPr>
          <w:b/>
          <w:color w:val="auto"/>
          <w:sz w:val="24"/>
          <w:highlight w:val="none"/>
        </w:rPr>
      </w:pPr>
      <w:r>
        <w:rPr>
          <w:b/>
          <w:color w:val="auto"/>
          <w:sz w:val="24"/>
          <w:highlight w:val="none"/>
        </w:rPr>
        <w:t>第</w:t>
      </w:r>
      <w:r>
        <w:rPr>
          <w:rFonts w:hint="eastAsia"/>
          <w:b/>
          <w:color w:val="auto"/>
          <w:sz w:val="24"/>
          <w:highlight w:val="none"/>
        </w:rPr>
        <w:t>九</w:t>
      </w:r>
      <w:r>
        <w:rPr>
          <w:b/>
          <w:color w:val="auto"/>
          <w:sz w:val="24"/>
          <w:highlight w:val="none"/>
        </w:rPr>
        <w:t>条</w:t>
      </w:r>
      <w:r>
        <w:rPr>
          <w:rFonts w:hint="eastAsia"/>
          <w:b/>
          <w:color w:val="auto"/>
          <w:sz w:val="24"/>
          <w:highlight w:val="none"/>
        </w:rPr>
        <w:t xml:space="preserve">  </w:t>
      </w:r>
      <w:r>
        <w:rPr>
          <w:b/>
          <w:color w:val="auto"/>
          <w:sz w:val="24"/>
          <w:highlight w:val="none"/>
        </w:rPr>
        <w:t>违约责任</w:t>
      </w:r>
    </w:p>
    <w:p w14:paraId="0D773F2A">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1、甲方未按合同规定期限向乙方支付合同价款的，每逾期一天向乙方偿付欠款总额0.5%的滞纳金，但累计总额不超过欠款总额的5%。</w:t>
      </w:r>
    </w:p>
    <w:p w14:paraId="120805A5">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2、有下列情形之一的，乙方应当向甲方支付合同约定合同价款金额5%的违约金：</w:t>
      </w:r>
    </w:p>
    <w:p w14:paraId="0F88C746">
      <w:pPr>
        <w:spacing w:line="450" w:lineRule="exact"/>
        <w:ind w:firstLine="720" w:firstLineChars="300"/>
        <w:rPr>
          <w:color w:val="auto"/>
          <w:sz w:val="24"/>
          <w:szCs w:val="24"/>
          <w:highlight w:val="none"/>
        </w:rPr>
      </w:pPr>
      <w:r>
        <w:rPr>
          <w:color w:val="auto"/>
          <w:sz w:val="24"/>
          <w:szCs w:val="24"/>
          <w:highlight w:val="none"/>
        </w:rPr>
        <w:t>2.1</w:t>
      </w:r>
      <w:r>
        <w:rPr>
          <w:rFonts w:hint="eastAsia"/>
          <w:color w:val="auto"/>
          <w:sz w:val="24"/>
          <w:szCs w:val="24"/>
          <w:highlight w:val="none"/>
        </w:rPr>
        <w:t>乙方服务团队成员未经甲方同意发生变更，经甲方要求恢复后，未在合理期限内（7日内）恢复的；</w:t>
      </w:r>
    </w:p>
    <w:p w14:paraId="7F0BDB00">
      <w:pPr>
        <w:spacing w:line="450" w:lineRule="exact"/>
        <w:ind w:firstLine="720" w:firstLineChars="300"/>
        <w:rPr>
          <w:color w:val="auto"/>
          <w:sz w:val="24"/>
          <w:szCs w:val="24"/>
          <w:highlight w:val="none"/>
        </w:rPr>
      </w:pPr>
      <w:r>
        <w:rPr>
          <w:color w:val="auto"/>
          <w:sz w:val="24"/>
          <w:szCs w:val="24"/>
          <w:highlight w:val="none"/>
        </w:rPr>
        <w:t>2.2</w:t>
      </w:r>
      <w:r>
        <w:rPr>
          <w:rFonts w:hint="eastAsia"/>
          <w:color w:val="auto"/>
          <w:sz w:val="24"/>
          <w:szCs w:val="24"/>
          <w:highlight w:val="none"/>
        </w:rPr>
        <w:t>乙方单位总体服务能力发生下降，专业技术人员减员或资质下降人数达到1人的；</w:t>
      </w:r>
    </w:p>
    <w:p w14:paraId="67233ABE">
      <w:pPr>
        <w:spacing w:line="450" w:lineRule="exact"/>
        <w:ind w:firstLine="720" w:firstLineChars="300"/>
        <w:rPr>
          <w:color w:val="auto"/>
          <w:sz w:val="24"/>
          <w:szCs w:val="24"/>
          <w:highlight w:val="none"/>
        </w:rPr>
      </w:pPr>
      <w:r>
        <w:rPr>
          <w:color w:val="auto"/>
          <w:sz w:val="24"/>
          <w:szCs w:val="24"/>
          <w:highlight w:val="none"/>
        </w:rPr>
        <w:t>2.3</w:t>
      </w:r>
      <w:r>
        <w:rPr>
          <w:rFonts w:hint="eastAsia"/>
          <w:color w:val="auto"/>
          <w:sz w:val="24"/>
          <w:szCs w:val="24"/>
          <w:highlight w:val="none"/>
        </w:rPr>
        <w:t>乙方人员无故未能按约提供服务，服务期限内达到5人次的；</w:t>
      </w:r>
    </w:p>
    <w:p w14:paraId="5AC348D2">
      <w:pPr>
        <w:spacing w:line="450" w:lineRule="exact"/>
        <w:ind w:firstLine="720" w:firstLineChars="300"/>
        <w:rPr>
          <w:color w:val="auto"/>
          <w:sz w:val="24"/>
          <w:szCs w:val="24"/>
          <w:highlight w:val="none"/>
        </w:rPr>
      </w:pPr>
      <w:r>
        <w:rPr>
          <w:color w:val="auto"/>
          <w:sz w:val="24"/>
          <w:szCs w:val="24"/>
          <w:highlight w:val="none"/>
        </w:rPr>
        <w:t>2.4</w:t>
      </w:r>
      <w:r>
        <w:rPr>
          <w:rFonts w:hint="eastAsia"/>
          <w:color w:val="auto"/>
          <w:sz w:val="24"/>
          <w:szCs w:val="24"/>
          <w:highlight w:val="none"/>
        </w:rPr>
        <w:t>乙方人员不能响应甲方紧急服务需求的；</w:t>
      </w:r>
    </w:p>
    <w:p w14:paraId="2DF406A9">
      <w:pPr>
        <w:spacing w:line="450" w:lineRule="exact"/>
        <w:ind w:firstLine="720" w:firstLineChars="300"/>
        <w:rPr>
          <w:color w:val="auto"/>
          <w:sz w:val="24"/>
          <w:szCs w:val="24"/>
          <w:highlight w:val="none"/>
        </w:rPr>
      </w:pPr>
      <w:r>
        <w:rPr>
          <w:color w:val="auto"/>
          <w:sz w:val="24"/>
          <w:szCs w:val="24"/>
          <w:highlight w:val="none"/>
        </w:rPr>
        <w:t>2.5因</w:t>
      </w:r>
      <w:r>
        <w:rPr>
          <w:rFonts w:hint="eastAsia"/>
          <w:color w:val="auto"/>
          <w:sz w:val="24"/>
          <w:szCs w:val="24"/>
          <w:highlight w:val="none"/>
        </w:rPr>
        <w:t>乙方工作人员原因在服务期间给甲方造成不良影响的，服务期限内达到</w:t>
      </w:r>
      <w:r>
        <w:rPr>
          <w:rFonts w:hint="eastAsia"/>
          <w:color w:val="auto"/>
          <w:sz w:val="24"/>
          <w:szCs w:val="24"/>
          <w:highlight w:val="none"/>
          <w:lang w:val="en-US" w:eastAsia="zh-CN"/>
        </w:rPr>
        <w:t>1</w:t>
      </w:r>
      <w:r>
        <w:rPr>
          <w:rFonts w:hint="eastAsia"/>
          <w:color w:val="auto"/>
          <w:sz w:val="24"/>
          <w:szCs w:val="24"/>
          <w:highlight w:val="none"/>
        </w:rPr>
        <w:t>次的；</w:t>
      </w:r>
    </w:p>
    <w:p w14:paraId="136B4D34">
      <w:pPr>
        <w:spacing w:line="450" w:lineRule="exact"/>
        <w:ind w:firstLine="720" w:firstLineChars="300"/>
        <w:rPr>
          <w:color w:val="auto"/>
          <w:sz w:val="24"/>
          <w:szCs w:val="24"/>
          <w:highlight w:val="none"/>
        </w:rPr>
      </w:pPr>
      <w:r>
        <w:rPr>
          <w:color w:val="auto"/>
          <w:sz w:val="24"/>
          <w:szCs w:val="24"/>
          <w:highlight w:val="none"/>
        </w:rPr>
        <w:t>2.6</w:t>
      </w:r>
      <w:r>
        <w:rPr>
          <w:rFonts w:hint="eastAsia"/>
          <w:color w:val="auto"/>
          <w:sz w:val="24"/>
          <w:szCs w:val="24"/>
          <w:highlight w:val="none"/>
        </w:rPr>
        <w:t>乙方及其工作人员虚报服务内容、服务时间等，骗取甲方服务费用的；</w:t>
      </w:r>
    </w:p>
    <w:p w14:paraId="5525863D">
      <w:pPr>
        <w:spacing w:line="450" w:lineRule="exact"/>
        <w:ind w:firstLine="720" w:firstLineChars="300"/>
        <w:rPr>
          <w:rFonts w:hint="eastAsia"/>
          <w:color w:val="auto"/>
          <w:sz w:val="24"/>
          <w:szCs w:val="24"/>
          <w:highlight w:val="none"/>
        </w:rPr>
      </w:pPr>
      <w:r>
        <w:rPr>
          <w:rFonts w:hint="eastAsia"/>
          <w:color w:val="auto"/>
          <w:sz w:val="24"/>
          <w:szCs w:val="24"/>
          <w:highlight w:val="none"/>
        </w:rPr>
        <w:t>2.7根据“第七条  双方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color w:val="auto"/>
          <w:sz w:val="24"/>
          <w:szCs w:val="24"/>
          <w:highlight w:val="none"/>
        </w:rPr>
        <w:t>5%</w:t>
      </w:r>
      <w:r>
        <w:rPr>
          <w:rFonts w:hint="eastAsia"/>
          <w:color w:val="auto"/>
          <w:sz w:val="24"/>
          <w:szCs w:val="24"/>
          <w:highlight w:val="none"/>
        </w:rPr>
        <w:t>的违约金。</w:t>
      </w:r>
    </w:p>
    <w:p w14:paraId="230E2B14">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3、乙方在承担上述“2”项中一项或多项违约责任后，仍应继续履行合同规定的义务（甲方解除合同的除外）。甲方未能及时追究乙方的任何一项违约责任并不表明甲方放弃追究乙方该项或其他违约责任。</w:t>
      </w:r>
    </w:p>
    <w:p w14:paraId="7A54856D">
      <w:pPr>
        <w:spacing w:line="450" w:lineRule="exact"/>
        <w:ind w:firstLine="472" w:firstLineChars="196"/>
        <w:rPr>
          <w:b/>
          <w:color w:val="auto"/>
          <w:sz w:val="24"/>
          <w:highlight w:val="none"/>
        </w:rPr>
      </w:pPr>
      <w:r>
        <w:rPr>
          <w:b/>
          <w:color w:val="auto"/>
          <w:sz w:val="24"/>
          <w:highlight w:val="none"/>
        </w:rPr>
        <w:t>第十条  不可抗力</w:t>
      </w:r>
    </w:p>
    <w:p w14:paraId="5E5B4CAB">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1、不可抗力，是指不能预见、不能避免并不能克服的客观情况，如战争、动乱、瘟疫、严重火灾、洪水、地震、风暴或其他自然灾害等。</w:t>
      </w:r>
    </w:p>
    <w:p w14:paraId="742FC811">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2EB2A0F2">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3、发生不可抗力事件，任何一方均不对因不可抗力无法履行或迟延履行本合同义务而使另一方蒙受的任何损失承担责任，法律另有规定的除外。</w:t>
      </w:r>
    </w:p>
    <w:p w14:paraId="5AA0765F">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4、合同各方应根据不可抗力对本合同履行的影响程度，协商确定是否终止本合同或是继续履行本合同。</w:t>
      </w:r>
    </w:p>
    <w:p w14:paraId="2996871A">
      <w:pPr>
        <w:spacing w:line="450" w:lineRule="exact"/>
        <w:ind w:firstLine="472" w:firstLineChars="196"/>
        <w:rPr>
          <w:b/>
          <w:color w:val="auto"/>
          <w:sz w:val="24"/>
          <w:highlight w:val="none"/>
        </w:rPr>
      </w:pPr>
      <w:r>
        <w:rPr>
          <w:b/>
          <w:color w:val="auto"/>
          <w:sz w:val="24"/>
          <w:highlight w:val="none"/>
        </w:rPr>
        <w:t>第十</w:t>
      </w:r>
      <w:r>
        <w:rPr>
          <w:rFonts w:hint="eastAsia"/>
          <w:b/>
          <w:color w:val="auto"/>
          <w:sz w:val="24"/>
          <w:highlight w:val="none"/>
        </w:rPr>
        <w:t>一</w:t>
      </w:r>
      <w:r>
        <w:rPr>
          <w:b/>
          <w:color w:val="auto"/>
          <w:sz w:val="24"/>
          <w:highlight w:val="none"/>
        </w:rPr>
        <w:t>条</w:t>
      </w:r>
      <w:r>
        <w:rPr>
          <w:rFonts w:hint="eastAsia"/>
          <w:b/>
          <w:color w:val="auto"/>
          <w:sz w:val="24"/>
          <w:highlight w:val="none"/>
        </w:rPr>
        <w:t xml:space="preserve">  </w:t>
      </w:r>
      <w:r>
        <w:rPr>
          <w:b/>
          <w:color w:val="auto"/>
          <w:sz w:val="24"/>
          <w:highlight w:val="none"/>
        </w:rPr>
        <w:t>合同的补充</w:t>
      </w:r>
    </w:p>
    <w:p w14:paraId="0340DB00">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1、在本合同履行中，甲方需要追加与本合同相同的服务的，在不改变合同其他条款的前提下，可与乙方协商签订补充合同，但所有补充合同的金额不得超过本合同的百分之十。</w:t>
      </w:r>
    </w:p>
    <w:p w14:paraId="2212DEB9">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2、补充合同须采用书面形式，为本合同不可分割的一部分。</w:t>
      </w:r>
    </w:p>
    <w:p w14:paraId="1D70F3BC">
      <w:pPr>
        <w:spacing w:line="450" w:lineRule="exact"/>
        <w:ind w:firstLine="472" w:firstLineChars="196"/>
        <w:rPr>
          <w:b/>
          <w:color w:val="auto"/>
          <w:sz w:val="24"/>
          <w:highlight w:val="none"/>
        </w:rPr>
      </w:pPr>
      <w:r>
        <w:rPr>
          <w:b/>
          <w:color w:val="auto"/>
          <w:sz w:val="24"/>
          <w:highlight w:val="none"/>
        </w:rPr>
        <w:t>第十</w:t>
      </w:r>
      <w:r>
        <w:rPr>
          <w:rFonts w:hint="eastAsia"/>
          <w:b/>
          <w:color w:val="auto"/>
          <w:sz w:val="24"/>
          <w:highlight w:val="none"/>
        </w:rPr>
        <w:t>二</w:t>
      </w:r>
      <w:r>
        <w:rPr>
          <w:b/>
          <w:color w:val="auto"/>
          <w:sz w:val="24"/>
          <w:highlight w:val="none"/>
        </w:rPr>
        <w:t>条  合同的变更、中止</w:t>
      </w:r>
    </w:p>
    <w:p w14:paraId="0342B3EA">
      <w:pPr>
        <w:spacing w:line="450" w:lineRule="exact"/>
        <w:ind w:firstLine="480" w:firstLineChars="200"/>
        <w:rPr>
          <w:color w:val="auto"/>
          <w:sz w:val="24"/>
          <w:szCs w:val="24"/>
          <w:highlight w:val="none"/>
        </w:rPr>
      </w:pPr>
      <w:r>
        <w:rPr>
          <w:color w:val="auto"/>
          <w:sz w:val="24"/>
          <w:szCs w:val="24"/>
          <w:highlight w:val="none"/>
        </w:rPr>
        <w:t>本合同一经签订，合同双方均不得擅自变更或中止合同，除非合同的继续履行将损害国家利益和社会公共利益。</w:t>
      </w:r>
    </w:p>
    <w:p w14:paraId="0C8033FE">
      <w:pPr>
        <w:spacing w:line="450" w:lineRule="exact"/>
        <w:ind w:firstLine="472" w:firstLineChars="196"/>
        <w:rPr>
          <w:b/>
          <w:color w:val="auto"/>
          <w:sz w:val="24"/>
          <w:highlight w:val="none"/>
        </w:rPr>
      </w:pPr>
      <w:r>
        <w:rPr>
          <w:b/>
          <w:color w:val="auto"/>
          <w:sz w:val="24"/>
          <w:highlight w:val="none"/>
        </w:rPr>
        <w:t>第十</w:t>
      </w:r>
      <w:r>
        <w:rPr>
          <w:rFonts w:hint="eastAsia"/>
          <w:b/>
          <w:color w:val="auto"/>
          <w:sz w:val="24"/>
          <w:highlight w:val="none"/>
        </w:rPr>
        <w:t>三</w:t>
      </w:r>
      <w:r>
        <w:rPr>
          <w:b/>
          <w:color w:val="auto"/>
          <w:sz w:val="24"/>
          <w:highlight w:val="none"/>
        </w:rPr>
        <w:t>条  合同的</w:t>
      </w:r>
      <w:r>
        <w:rPr>
          <w:rFonts w:hint="eastAsia"/>
          <w:b/>
          <w:color w:val="auto"/>
          <w:sz w:val="24"/>
          <w:highlight w:val="none"/>
        </w:rPr>
        <w:t>解除、</w:t>
      </w:r>
      <w:r>
        <w:rPr>
          <w:b/>
          <w:color w:val="auto"/>
          <w:sz w:val="24"/>
          <w:highlight w:val="none"/>
        </w:rPr>
        <w:t>终止</w:t>
      </w:r>
    </w:p>
    <w:p w14:paraId="24F30657">
      <w:pPr>
        <w:spacing w:line="450" w:lineRule="exact"/>
        <w:ind w:firstLine="480" w:firstLineChars="200"/>
        <w:rPr>
          <w:color w:val="auto"/>
          <w:sz w:val="24"/>
          <w:highlight w:val="none"/>
        </w:rPr>
      </w:pPr>
      <w:r>
        <w:rPr>
          <w:rFonts w:hint="eastAsia"/>
          <w:color w:val="auto"/>
          <w:sz w:val="24"/>
          <w:highlight w:val="none"/>
        </w:rPr>
        <w:t>一、合同的解除</w:t>
      </w:r>
    </w:p>
    <w:p w14:paraId="5DDCFB80">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出现下列情形之一的，甲方有权解除本合同</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同时</w:t>
      </w:r>
      <w:r>
        <w:rPr>
          <w:rFonts w:hint="eastAsia" w:ascii="Times New Roman" w:hAnsi="Times New Roman" w:eastAsia="宋体" w:cs="Times New Roman"/>
          <w:color w:val="auto"/>
          <w:sz w:val="24"/>
          <w:szCs w:val="24"/>
          <w:highlight w:val="none"/>
        </w:rPr>
        <w:t>乙方应当向甲方支付合同约定合同价款金额5%的违约金：</w:t>
      </w:r>
    </w:p>
    <w:p w14:paraId="60197C3C">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1、乙方单位总体服务能力发生下降，专业技术人员减员或资质下降人数达到2人的。</w:t>
      </w:r>
    </w:p>
    <w:p w14:paraId="5C983CEE">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2、乙方人员无故未能按约提供服务，服务期限内达到10人次的。</w:t>
      </w:r>
    </w:p>
    <w:p w14:paraId="05676D5B">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3、乙方人员不能响应甲方紧急服务需求，经甲方指出后未能改正的。</w:t>
      </w:r>
    </w:p>
    <w:p w14:paraId="1EFFE74F">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4、因乙方工作人员原因在服务期间给甲方造成不良影响的，服务期限内达到</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次的。</w:t>
      </w:r>
    </w:p>
    <w:p w14:paraId="17C3EAD1">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5、乙方及其工作人员虚报服务内容、服务时间等，骗取甲方服务费用的。</w:t>
      </w:r>
    </w:p>
    <w:p w14:paraId="1946464C">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6、因乙方不当服务或工作人员违法，给甲方造成严重不良影响的。</w:t>
      </w:r>
    </w:p>
    <w:p w14:paraId="47FEF94F">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7、乙方一年内因生产安全事故受到行政处罚达到三次的，或者因为乙方发生生产安全事故、环境损害事故，给甲方造成重大不良影响的或导致甲方受到行政处罚的。</w:t>
      </w:r>
    </w:p>
    <w:p w14:paraId="0D0FA3B6">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8、招标文件及合同内列明的其它甲方可解除合同的情形。</w:t>
      </w:r>
    </w:p>
    <w:p w14:paraId="311ED0E2">
      <w:pPr>
        <w:spacing w:line="450" w:lineRule="exact"/>
        <w:ind w:firstLine="480" w:firstLineChars="200"/>
        <w:rPr>
          <w:rFonts w:hint="eastAsia"/>
          <w:color w:val="auto"/>
          <w:sz w:val="24"/>
          <w:highlight w:val="none"/>
        </w:rPr>
      </w:pPr>
      <w:r>
        <w:rPr>
          <w:rFonts w:hint="eastAsia"/>
          <w:color w:val="auto"/>
          <w:sz w:val="24"/>
          <w:highlight w:val="none"/>
        </w:rPr>
        <w:t>二、合同的终止</w:t>
      </w:r>
    </w:p>
    <w:p w14:paraId="282F595D">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本合同因下列原因而终止：</w:t>
      </w:r>
    </w:p>
    <w:p w14:paraId="76C8B4D8">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1、本合同正常履行完毕。</w:t>
      </w:r>
    </w:p>
    <w:p w14:paraId="044D931E">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2、因不可抗力导致本合同无法履行或履行不必要。</w:t>
      </w:r>
    </w:p>
    <w:p w14:paraId="5127E6F6">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3、任何一方行使解除权解除本合同。</w:t>
      </w:r>
    </w:p>
    <w:p w14:paraId="0F0F22F6">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4、合同的继续履行将损害国家利益和社会公共利益且不宜变更、中止的。</w:t>
      </w:r>
    </w:p>
    <w:p w14:paraId="653AC42B">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除上述情形外，甲乙双方不得擅自终止合同。</w:t>
      </w:r>
    </w:p>
    <w:p w14:paraId="0C313659">
      <w:pPr>
        <w:spacing w:line="450" w:lineRule="exact"/>
        <w:ind w:firstLine="472" w:firstLineChars="196"/>
        <w:rPr>
          <w:b/>
          <w:i w:val="0"/>
          <w:iCs w:val="0"/>
          <w:color w:val="auto"/>
          <w:sz w:val="24"/>
          <w:highlight w:val="none"/>
          <w:u w:val="none"/>
        </w:rPr>
      </w:pPr>
      <w:r>
        <w:rPr>
          <w:b/>
          <w:i w:val="0"/>
          <w:iCs w:val="0"/>
          <w:color w:val="auto"/>
          <w:sz w:val="24"/>
          <w:highlight w:val="none"/>
          <w:u w:val="none"/>
        </w:rPr>
        <w:t>第十</w:t>
      </w:r>
      <w:r>
        <w:rPr>
          <w:rFonts w:hint="eastAsia"/>
          <w:b/>
          <w:i w:val="0"/>
          <w:iCs w:val="0"/>
          <w:color w:val="auto"/>
          <w:sz w:val="24"/>
          <w:highlight w:val="none"/>
          <w:u w:val="none"/>
        </w:rPr>
        <w:t>四</w:t>
      </w:r>
      <w:r>
        <w:rPr>
          <w:b/>
          <w:i w:val="0"/>
          <w:iCs w:val="0"/>
          <w:color w:val="auto"/>
          <w:sz w:val="24"/>
          <w:highlight w:val="none"/>
          <w:u w:val="none"/>
        </w:rPr>
        <w:t>条</w:t>
      </w:r>
      <w:r>
        <w:rPr>
          <w:rFonts w:hint="eastAsia"/>
          <w:b/>
          <w:i w:val="0"/>
          <w:iCs w:val="0"/>
          <w:color w:val="auto"/>
          <w:sz w:val="24"/>
          <w:highlight w:val="none"/>
          <w:u w:val="none"/>
        </w:rPr>
        <w:t xml:space="preserve">  </w:t>
      </w:r>
      <w:r>
        <w:rPr>
          <w:b/>
          <w:i w:val="0"/>
          <w:iCs w:val="0"/>
          <w:color w:val="auto"/>
          <w:sz w:val="24"/>
          <w:highlight w:val="none"/>
          <w:u w:val="none"/>
        </w:rPr>
        <w:t>合同的转让</w:t>
      </w:r>
    </w:p>
    <w:p w14:paraId="1CA7A3CC">
      <w:pPr>
        <w:spacing w:line="450" w:lineRule="exact"/>
        <w:ind w:firstLine="480" w:firstLineChars="200"/>
        <w:rPr>
          <w:i w:val="0"/>
          <w:iCs w:val="0"/>
          <w:color w:val="auto"/>
          <w:highlight w:val="none"/>
          <w:u w:val="none"/>
        </w:rPr>
      </w:pPr>
      <w:r>
        <w:rPr>
          <w:i w:val="0"/>
          <w:iCs w:val="0"/>
          <w:color w:val="auto"/>
          <w:sz w:val="24"/>
          <w:szCs w:val="24"/>
          <w:highlight w:val="none"/>
          <w:u w:val="none"/>
        </w:rPr>
        <w:t>乙方不得将其合同项下的权利义务部分或全部转让给第三方。</w:t>
      </w:r>
    </w:p>
    <w:p w14:paraId="764AD759">
      <w:pPr>
        <w:spacing w:line="450" w:lineRule="exact"/>
        <w:ind w:firstLine="482" w:firstLineChars="200"/>
        <w:rPr>
          <w:b/>
          <w:color w:val="auto"/>
          <w:sz w:val="24"/>
          <w:highlight w:val="none"/>
        </w:rPr>
      </w:pPr>
      <w:r>
        <w:rPr>
          <w:b/>
          <w:color w:val="auto"/>
          <w:sz w:val="24"/>
          <w:highlight w:val="none"/>
        </w:rPr>
        <w:t>第十</w:t>
      </w:r>
      <w:r>
        <w:rPr>
          <w:rFonts w:hint="eastAsia"/>
          <w:b/>
          <w:color w:val="auto"/>
          <w:sz w:val="24"/>
          <w:highlight w:val="none"/>
        </w:rPr>
        <w:t>五</w:t>
      </w:r>
      <w:r>
        <w:rPr>
          <w:b/>
          <w:color w:val="auto"/>
          <w:sz w:val="24"/>
          <w:highlight w:val="none"/>
        </w:rPr>
        <w:t>条  履约保证金</w:t>
      </w:r>
    </w:p>
    <w:p w14:paraId="777FDF56">
      <w:pPr>
        <w:spacing w:line="450" w:lineRule="exact"/>
        <w:ind w:firstLine="470" w:firstLineChars="196"/>
        <w:rPr>
          <w:color w:val="auto"/>
          <w:sz w:val="24"/>
          <w:szCs w:val="24"/>
          <w:highlight w:val="none"/>
        </w:rPr>
      </w:pPr>
      <w:r>
        <w:rPr>
          <w:color w:val="auto"/>
          <w:sz w:val="24"/>
          <w:highlight w:val="none"/>
        </w:rPr>
        <w:t>履约保证金</w:t>
      </w:r>
      <w:r>
        <w:rPr>
          <w:rFonts w:hint="eastAsia"/>
          <w:color w:val="auto"/>
          <w:sz w:val="24"/>
          <w:highlight w:val="none"/>
        </w:rPr>
        <w:t>：无</w:t>
      </w:r>
      <w:r>
        <w:rPr>
          <w:color w:val="auto"/>
          <w:sz w:val="24"/>
          <w:szCs w:val="24"/>
          <w:highlight w:val="none"/>
        </w:rPr>
        <w:t>。</w:t>
      </w:r>
    </w:p>
    <w:p w14:paraId="1F2864D8">
      <w:pPr>
        <w:spacing w:line="450" w:lineRule="exact"/>
        <w:ind w:firstLine="472" w:firstLineChars="196"/>
        <w:rPr>
          <w:rFonts w:hint="eastAsia"/>
          <w:b/>
          <w:color w:val="auto"/>
          <w:sz w:val="24"/>
          <w:highlight w:val="none"/>
        </w:rPr>
      </w:pPr>
      <w:r>
        <w:rPr>
          <w:rFonts w:hint="eastAsia"/>
          <w:b/>
          <w:color w:val="auto"/>
          <w:sz w:val="24"/>
          <w:highlight w:val="none"/>
        </w:rPr>
        <w:t>第十六条  争议解决方式</w:t>
      </w:r>
    </w:p>
    <w:p w14:paraId="1218FB1D">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1、在执行本合同过程中所发生的或与本合同有关的一切争端，甲乙双方应通过友好协商的办法进行解决。如协商不能解决，则全部争端由甲方所在地人民法院管辖。</w:t>
      </w:r>
    </w:p>
    <w:p w14:paraId="3FDCF731">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2、如因乙方违约，导致甲方起诉的，甲方由此产生的诉讼费用、律师费用、差旅费用等，均由乙方承担。</w:t>
      </w:r>
    </w:p>
    <w:p w14:paraId="1A3C473F">
      <w:pPr>
        <w:spacing w:line="450" w:lineRule="exact"/>
        <w:ind w:firstLine="472" w:firstLineChars="196"/>
        <w:rPr>
          <w:b/>
          <w:color w:val="auto"/>
          <w:sz w:val="24"/>
          <w:highlight w:val="none"/>
        </w:rPr>
      </w:pPr>
      <w:r>
        <w:rPr>
          <w:rFonts w:hint="eastAsia"/>
          <w:b/>
          <w:color w:val="auto"/>
          <w:sz w:val="24"/>
          <w:highlight w:val="none"/>
        </w:rPr>
        <w:t>第十七条  通知与送达</w:t>
      </w:r>
    </w:p>
    <w:p w14:paraId="37673EFF">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1、甲乙双方因履行本合同需要向对方发送通知、文件、资料的，均以下列联系信息确定内容进行：</w:t>
      </w:r>
    </w:p>
    <w:p w14:paraId="0D1E1357">
      <w:pPr>
        <w:spacing w:line="450" w:lineRule="exact"/>
        <w:ind w:firstLine="720" w:firstLineChars="300"/>
        <w:rPr>
          <w:rFonts w:hint="eastAsia"/>
          <w:color w:val="auto"/>
          <w:sz w:val="24"/>
          <w:highlight w:val="none"/>
        </w:rPr>
      </w:pPr>
      <w:r>
        <w:rPr>
          <w:rFonts w:hint="eastAsia"/>
          <w:color w:val="auto"/>
          <w:sz w:val="24"/>
          <w:highlight w:val="none"/>
        </w:rPr>
        <w:t>1.1甲方联系信息：</w:t>
      </w:r>
    </w:p>
    <w:p w14:paraId="26ABFBDC">
      <w:pPr>
        <w:spacing w:line="450" w:lineRule="exact"/>
        <w:ind w:firstLine="720" w:firstLineChars="300"/>
        <w:rPr>
          <w:rFonts w:hint="eastAsia"/>
          <w:color w:val="auto"/>
          <w:sz w:val="24"/>
          <w:highlight w:val="none"/>
        </w:rPr>
      </w:pPr>
      <w:r>
        <w:rPr>
          <w:rFonts w:hint="eastAsia"/>
          <w:color w:val="auto"/>
          <w:sz w:val="24"/>
          <w:highlight w:val="none"/>
        </w:rPr>
        <w:t>指定收件人：</w:t>
      </w:r>
      <w:r>
        <w:rPr>
          <w:rFonts w:hint="eastAsia"/>
          <w:color w:val="auto"/>
          <w:sz w:val="24"/>
          <w:highlight w:val="none"/>
          <w:u w:val="single"/>
        </w:rPr>
        <w:t xml:space="preserve">                           </w:t>
      </w:r>
    </w:p>
    <w:p w14:paraId="53232094">
      <w:pPr>
        <w:spacing w:line="450" w:lineRule="exact"/>
        <w:ind w:firstLine="720" w:firstLineChars="300"/>
        <w:rPr>
          <w:rFonts w:hint="eastAsia"/>
          <w:color w:val="auto"/>
          <w:sz w:val="24"/>
          <w:highlight w:val="none"/>
        </w:rPr>
      </w:pPr>
      <w:r>
        <w:rPr>
          <w:rFonts w:hint="eastAsia"/>
          <w:color w:val="auto"/>
          <w:sz w:val="24"/>
          <w:highlight w:val="none"/>
        </w:rPr>
        <w:t>送达地址：</w:t>
      </w:r>
      <w:r>
        <w:rPr>
          <w:rFonts w:hint="eastAsia"/>
          <w:color w:val="auto"/>
          <w:sz w:val="24"/>
          <w:highlight w:val="none"/>
          <w:u w:val="single"/>
        </w:rPr>
        <w:t xml:space="preserve">                           </w:t>
      </w:r>
    </w:p>
    <w:p w14:paraId="5DD596D3">
      <w:pPr>
        <w:spacing w:line="450" w:lineRule="exact"/>
        <w:ind w:firstLine="720" w:firstLineChars="300"/>
        <w:rPr>
          <w:rFonts w:hint="eastAsia"/>
          <w:color w:val="auto"/>
          <w:sz w:val="24"/>
          <w:highlight w:val="none"/>
        </w:rPr>
      </w:pPr>
      <w:r>
        <w:rPr>
          <w:rFonts w:hint="eastAsia"/>
          <w:color w:val="auto"/>
          <w:sz w:val="24"/>
          <w:highlight w:val="none"/>
        </w:rPr>
        <w:t>指定电子收件方式：</w:t>
      </w:r>
      <w:r>
        <w:rPr>
          <w:rFonts w:hint="eastAsia"/>
          <w:color w:val="auto"/>
          <w:sz w:val="24"/>
          <w:highlight w:val="none"/>
          <w:u w:val="single"/>
        </w:rPr>
        <w:t xml:space="preserve">                           </w:t>
      </w:r>
    </w:p>
    <w:p w14:paraId="5F65333F">
      <w:pPr>
        <w:spacing w:line="450" w:lineRule="exact"/>
        <w:ind w:firstLine="720" w:firstLineChars="300"/>
        <w:rPr>
          <w:rFonts w:hint="eastAsia"/>
          <w:color w:val="auto"/>
          <w:sz w:val="24"/>
          <w:highlight w:val="none"/>
        </w:rPr>
      </w:pPr>
      <w:r>
        <w:rPr>
          <w:rFonts w:hint="eastAsia"/>
          <w:color w:val="auto"/>
          <w:sz w:val="24"/>
          <w:highlight w:val="none"/>
        </w:rPr>
        <w:t>1.2乙方联系信息：</w:t>
      </w:r>
    </w:p>
    <w:p w14:paraId="5219AB3C">
      <w:pPr>
        <w:spacing w:line="450" w:lineRule="exact"/>
        <w:ind w:firstLine="720" w:firstLineChars="300"/>
        <w:rPr>
          <w:rFonts w:hint="eastAsia"/>
          <w:color w:val="auto"/>
          <w:sz w:val="24"/>
          <w:highlight w:val="none"/>
        </w:rPr>
      </w:pPr>
      <w:r>
        <w:rPr>
          <w:rFonts w:hint="eastAsia"/>
          <w:color w:val="auto"/>
          <w:sz w:val="24"/>
          <w:highlight w:val="none"/>
        </w:rPr>
        <w:t>指定收件人：</w:t>
      </w:r>
      <w:r>
        <w:rPr>
          <w:rFonts w:hint="eastAsia"/>
          <w:color w:val="auto"/>
          <w:sz w:val="24"/>
          <w:highlight w:val="none"/>
          <w:u w:val="single"/>
        </w:rPr>
        <w:t xml:space="preserve">                           </w:t>
      </w:r>
    </w:p>
    <w:p w14:paraId="5B3314B8">
      <w:pPr>
        <w:spacing w:line="450" w:lineRule="exact"/>
        <w:ind w:firstLine="720" w:firstLineChars="300"/>
        <w:rPr>
          <w:rFonts w:hint="eastAsia"/>
          <w:color w:val="auto"/>
          <w:sz w:val="24"/>
          <w:highlight w:val="none"/>
        </w:rPr>
      </w:pPr>
      <w:r>
        <w:rPr>
          <w:rFonts w:hint="eastAsia"/>
          <w:color w:val="auto"/>
          <w:sz w:val="24"/>
          <w:highlight w:val="none"/>
        </w:rPr>
        <w:t>送达地址：</w:t>
      </w:r>
      <w:r>
        <w:rPr>
          <w:rFonts w:hint="eastAsia"/>
          <w:color w:val="auto"/>
          <w:sz w:val="24"/>
          <w:highlight w:val="none"/>
          <w:u w:val="single"/>
        </w:rPr>
        <w:t xml:space="preserve">                           </w:t>
      </w:r>
    </w:p>
    <w:p w14:paraId="662EBC79">
      <w:pPr>
        <w:spacing w:line="450" w:lineRule="exact"/>
        <w:ind w:firstLine="720" w:firstLineChars="300"/>
        <w:rPr>
          <w:rFonts w:hint="eastAsia"/>
          <w:color w:val="auto"/>
          <w:sz w:val="24"/>
          <w:highlight w:val="none"/>
        </w:rPr>
      </w:pPr>
      <w:r>
        <w:rPr>
          <w:rFonts w:hint="eastAsia"/>
          <w:color w:val="auto"/>
          <w:sz w:val="24"/>
          <w:highlight w:val="none"/>
        </w:rPr>
        <w:t>指定电子收件方式：</w:t>
      </w:r>
      <w:r>
        <w:rPr>
          <w:rFonts w:hint="eastAsia"/>
          <w:color w:val="auto"/>
          <w:sz w:val="24"/>
          <w:highlight w:val="none"/>
          <w:u w:val="single"/>
        </w:rPr>
        <w:t xml:space="preserve">                           </w:t>
      </w:r>
    </w:p>
    <w:p w14:paraId="4F7F4271">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2、双方确认前述联系信息作为解决争议时接受人民法院诉讼文书的送达地址和联系方式。</w:t>
      </w:r>
    </w:p>
    <w:p w14:paraId="6840260B">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3、任何一方改变前述联系信息的，应在发生变更后的3天内告知对方并做好通知到达对方前可能存在的邮件的接收。如未通知的，视为没有变更。</w:t>
      </w:r>
    </w:p>
    <w:p w14:paraId="5A7E403A">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第十八条 合同生效及其他</w:t>
      </w:r>
    </w:p>
    <w:p w14:paraId="026AD318">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1、合同在双方加盖公章或双方法定代表人、授权代表签字后生效。</w:t>
      </w:r>
    </w:p>
    <w:p w14:paraId="61DEF843">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2、本合同一式四份，以简体中文书写，甲方执两份、乙方和常熟虞东招标代理有限公司各执一份。</w:t>
      </w:r>
    </w:p>
    <w:p w14:paraId="76555315">
      <w:pPr>
        <w:spacing w:line="450" w:lineRule="exact"/>
        <w:ind w:firstLine="523" w:firstLineChars="218"/>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3、本合同应按照中华人民共和国的现行法律进行解释。</w:t>
      </w:r>
    </w:p>
    <w:p w14:paraId="704F68AF">
      <w:pPr>
        <w:keepNext w:val="0"/>
        <w:keepLines w:val="0"/>
        <w:pageBreakBefore w:val="0"/>
        <w:widowControl/>
        <w:kinsoku/>
        <w:wordWrap/>
        <w:overflowPunct/>
        <w:topLinePunct w:val="0"/>
        <w:autoSpaceDE/>
        <w:autoSpaceDN/>
        <w:bidi w:val="0"/>
        <w:adjustRightInd/>
        <w:snapToGrid/>
        <w:spacing w:line="420" w:lineRule="exact"/>
        <w:ind w:firstLine="480"/>
        <w:textAlignment w:val="auto"/>
        <w:rPr>
          <w:rFonts w:hint="eastAsia" w:ascii="宋体" w:hAnsi="宋体" w:cs="宋体"/>
          <w:bCs/>
          <w:color w:val="auto"/>
          <w:kern w:val="2"/>
          <w:sz w:val="24"/>
          <w:szCs w:val="24"/>
          <w:highlight w:val="none"/>
        </w:rPr>
      </w:pPr>
    </w:p>
    <w:p w14:paraId="4B11D2B4">
      <w:pPr>
        <w:pStyle w:val="22"/>
        <w:rPr>
          <w:rFonts w:hint="eastAsia"/>
          <w:color w:val="auto"/>
          <w:highlight w:val="none"/>
        </w:rPr>
      </w:pPr>
    </w:p>
    <w:p w14:paraId="33897A94">
      <w:pPr>
        <w:keepNext w:val="0"/>
        <w:keepLines w:val="0"/>
        <w:pageBreakBefore w:val="0"/>
        <w:widowControl/>
        <w:kinsoku/>
        <w:wordWrap/>
        <w:overflowPunct/>
        <w:topLinePunct w:val="0"/>
        <w:autoSpaceDE/>
        <w:autoSpaceDN/>
        <w:bidi w:val="0"/>
        <w:adjustRightInd/>
        <w:snapToGrid/>
        <w:spacing w:line="420" w:lineRule="exact"/>
        <w:ind w:firstLine="480"/>
        <w:textAlignment w:val="auto"/>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甲方（公章）：                           乙方（公章）：</w:t>
      </w:r>
    </w:p>
    <w:p w14:paraId="3C305542">
      <w:pPr>
        <w:keepNext w:val="0"/>
        <w:keepLines w:val="0"/>
        <w:pageBreakBefore w:val="0"/>
        <w:widowControl/>
        <w:kinsoku/>
        <w:wordWrap/>
        <w:overflowPunct/>
        <w:topLinePunct w:val="0"/>
        <w:autoSpaceDE/>
        <w:autoSpaceDN/>
        <w:bidi w:val="0"/>
        <w:adjustRightInd/>
        <w:snapToGrid/>
        <w:spacing w:line="420" w:lineRule="exact"/>
        <w:ind w:firstLine="480"/>
        <w:textAlignment w:val="auto"/>
        <w:rPr>
          <w:rFonts w:hint="eastAsia" w:ascii="宋体" w:hAnsi="宋体" w:cs="宋体"/>
          <w:bCs/>
          <w:color w:val="auto"/>
          <w:kern w:val="2"/>
          <w:sz w:val="24"/>
          <w:szCs w:val="24"/>
          <w:highlight w:val="none"/>
        </w:rPr>
      </w:pPr>
      <w:r>
        <w:rPr>
          <w:rFonts w:hint="eastAsia" w:ascii="宋体" w:hAnsi="宋体"/>
          <w:color w:val="auto"/>
          <w:kern w:val="2"/>
          <w:sz w:val="24"/>
          <w:szCs w:val="24"/>
          <w:highlight w:val="none"/>
        </w:rPr>
        <w:t>法定（授权）代表人（签字）：             法定（授权）代表人（签字）：</w:t>
      </w:r>
    </w:p>
    <w:p w14:paraId="2543A87C">
      <w:pPr>
        <w:keepNext w:val="0"/>
        <w:keepLines w:val="0"/>
        <w:pageBreakBefore w:val="0"/>
        <w:widowControl/>
        <w:kinsoku/>
        <w:wordWrap/>
        <w:overflowPunct/>
        <w:topLinePunct w:val="0"/>
        <w:autoSpaceDE/>
        <w:autoSpaceDN/>
        <w:bidi w:val="0"/>
        <w:adjustRightInd/>
        <w:snapToGrid/>
        <w:spacing w:line="420" w:lineRule="exact"/>
        <w:ind w:firstLine="720" w:firstLineChars="300"/>
        <w:textAlignment w:val="auto"/>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 xml:space="preserve">  年   月   日                           年   月   日</w:t>
      </w:r>
    </w:p>
    <w:p w14:paraId="1AEB8223">
      <w:pPr>
        <w:pStyle w:val="2"/>
        <w:jc w:val="center"/>
        <w:rPr>
          <w:rFonts w:ascii="Times New Roman" w:hAnsi="Times New Roman"/>
          <w:color w:val="auto"/>
          <w:highlight w:val="none"/>
        </w:rPr>
      </w:pPr>
      <w:r>
        <w:rPr>
          <w:color w:val="auto"/>
          <w:sz w:val="24"/>
          <w:szCs w:val="24"/>
          <w:highlight w:val="none"/>
        </w:rPr>
        <w:br w:type="page"/>
      </w:r>
      <w:bookmarkStart w:id="70" w:name="_Toc315875321"/>
      <w:bookmarkStart w:id="71" w:name="_Toc10885"/>
      <w:bookmarkStart w:id="72" w:name="_Toc315868058"/>
      <w:bookmarkStart w:id="73" w:name="_Toc158691774"/>
      <w:r>
        <w:rPr>
          <w:rFonts w:ascii="Times New Roman" w:hAnsi="Times New Roman"/>
          <w:color w:val="auto"/>
          <w:highlight w:val="none"/>
          <w:lang w:val="en-US" w:eastAsia="zh-CN"/>
        </w:rPr>
        <w:t>第四章</w:t>
      </w:r>
      <w:r>
        <w:rPr>
          <w:rFonts w:hint="eastAsia" w:ascii="Times New Roman" w:hAnsi="Times New Roman"/>
          <w:color w:val="auto"/>
          <w:highlight w:val="none"/>
          <w:lang w:val="en-US" w:eastAsia="zh-CN"/>
        </w:rPr>
        <w:t xml:space="preserve"> 采购</w:t>
      </w:r>
      <w:r>
        <w:rPr>
          <w:rFonts w:ascii="Times New Roman" w:hAnsi="Times New Roman"/>
          <w:color w:val="auto"/>
          <w:highlight w:val="none"/>
          <w:lang w:val="en-US" w:eastAsia="zh-CN"/>
        </w:rPr>
        <w:t>需求</w:t>
      </w:r>
      <w:bookmarkEnd w:id="70"/>
      <w:bookmarkEnd w:id="71"/>
      <w:bookmarkEnd w:id="72"/>
      <w:bookmarkEnd w:id="73"/>
    </w:p>
    <w:p w14:paraId="57EC4238">
      <w:pPr>
        <w:spacing w:line="450" w:lineRule="exact"/>
        <w:rPr>
          <w:rFonts w:hint="eastAsia" w:eastAsia="宋体"/>
          <w:b/>
          <w:bCs/>
          <w:color w:val="auto"/>
          <w:sz w:val="28"/>
          <w:highlight w:val="none"/>
          <w:lang w:eastAsia="zh-CN"/>
        </w:rPr>
      </w:pPr>
      <w:r>
        <w:rPr>
          <w:b/>
          <w:bCs/>
          <w:color w:val="auto"/>
          <w:sz w:val="28"/>
          <w:highlight w:val="none"/>
        </w:rPr>
        <w:t>项目名称</w:t>
      </w:r>
      <w:r>
        <w:rPr>
          <w:rFonts w:hint="eastAsia"/>
          <w:b/>
          <w:bCs/>
          <w:color w:val="auto"/>
          <w:sz w:val="28"/>
          <w:highlight w:val="none"/>
        </w:rPr>
        <w:t>：</w:t>
      </w:r>
      <w:r>
        <w:rPr>
          <w:rFonts w:hint="eastAsia"/>
          <w:b/>
          <w:bCs/>
          <w:color w:val="auto"/>
          <w:sz w:val="28"/>
          <w:highlight w:val="none"/>
          <w:lang w:eastAsia="zh-CN"/>
        </w:rPr>
        <w:t>琴川街道社区卫生服务中心安全服务</w:t>
      </w:r>
    </w:p>
    <w:p w14:paraId="1DB53F74">
      <w:pPr>
        <w:spacing w:line="450" w:lineRule="exact"/>
        <w:rPr>
          <w:rFonts w:hint="eastAsia" w:eastAsia="宋体"/>
          <w:b/>
          <w:bCs/>
          <w:color w:val="auto"/>
          <w:sz w:val="28"/>
          <w:highlight w:val="none"/>
          <w:lang w:eastAsia="zh-CN"/>
        </w:rPr>
      </w:pPr>
      <w:r>
        <w:rPr>
          <w:b/>
          <w:bCs/>
          <w:color w:val="auto"/>
          <w:sz w:val="28"/>
          <w:highlight w:val="none"/>
        </w:rPr>
        <w:t>项目编号：</w:t>
      </w:r>
      <w:r>
        <w:rPr>
          <w:rFonts w:hint="eastAsia"/>
          <w:b/>
          <w:bCs/>
          <w:color w:val="auto"/>
          <w:sz w:val="28"/>
          <w:highlight w:val="none"/>
          <w:lang w:eastAsia="zh-CN"/>
        </w:rPr>
        <w:t>JSZC-320581-CSYD-G2026-0005</w:t>
      </w:r>
    </w:p>
    <w:p w14:paraId="4D500833">
      <w:pPr>
        <w:spacing w:line="450" w:lineRule="exact"/>
        <w:rPr>
          <w:rFonts w:hint="eastAsia" w:eastAsia="宋体"/>
          <w:b/>
          <w:bCs/>
          <w:color w:val="auto"/>
          <w:sz w:val="28"/>
          <w:highlight w:val="none"/>
          <w:lang w:eastAsia="zh-CN"/>
        </w:rPr>
      </w:pPr>
      <w:r>
        <w:rPr>
          <w:b/>
          <w:bCs/>
          <w:color w:val="auto"/>
          <w:sz w:val="28"/>
          <w:highlight w:val="none"/>
        </w:rPr>
        <w:t>采购人：</w:t>
      </w:r>
      <w:r>
        <w:rPr>
          <w:rFonts w:hint="eastAsia"/>
          <w:b/>
          <w:bCs/>
          <w:color w:val="auto"/>
          <w:sz w:val="28"/>
          <w:highlight w:val="none"/>
          <w:lang w:eastAsia="zh-CN"/>
        </w:rPr>
        <w:t>常熟市琴川街道社区卫生服务中心</w:t>
      </w:r>
    </w:p>
    <w:bookmarkEnd w:id="11"/>
    <w:bookmarkEnd w:id="12"/>
    <w:bookmarkEnd w:id="13"/>
    <w:p w14:paraId="45E79805">
      <w:pPr>
        <w:spacing w:line="440" w:lineRule="exact"/>
        <w:outlineLvl w:val="1"/>
        <w:rPr>
          <w:b/>
          <w:bCs/>
          <w:color w:val="auto"/>
          <w:sz w:val="28"/>
          <w:szCs w:val="22"/>
          <w:highlight w:val="none"/>
        </w:rPr>
      </w:pPr>
      <w:bookmarkStart w:id="74" w:name="_Toc9079"/>
      <w:bookmarkStart w:id="75" w:name="_Toc4944"/>
      <w:bookmarkStart w:id="76" w:name="_Toc6318"/>
      <w:bookmarkStart w:id="77" w:name="_Toc7158"/>
      <w:bookmarkStart w:id="78" w:name="_Toc5404"/>
      <w:bookmarkStart w:id="79" w:name="_Toc18193"/>
      <w:bookmarkStart w:id="80" w:name="_Toc485977967"/>
      <w:bookmarkStart w:id="81" w:name="_Toc485992633"/>
      <w:r>
        <w:rPr>
          <w:b/>
          <w:bCs/>
          <w:color w:val="auto"/>
          <w:sz w:val="28"/>
          <w:szCs w:val="22"/>
          <w:highlight w:val="none"/>
        </w:rPr>
        <w:t>一、项目说明：</w:t>
      </w:r>
      <w:bookmarkEnd w:id="74"/>
      <w:bookmarkEnd w:id="75"/>
      <w:bookmarkEnd w:id="76"/>
      <w:bookmarkEnd w:id="77"/>
      <w:bookmarkEnd w:id="78"/>
      <w:bookmarkEnd w:id="79"/>
    </w:p>
    <w:p w14:paraId="75C258AC">
      <w:pPr>
        <w:spacing w:line="440" w:lineRule="exact"/>
        <w:ind w:firstLine="480" w:firstLineChars="200"/>
        <w:rPr>
          <w:rFonts w:hint="eastAsia"/>
          <w:color w:val="auto"/>
          <w:sz w:val="24"/>
          <w:szCs w:val="24"/>
          <w:highlight w:val="none"/>
        </w:rPr>
      </w:pPr>
      <w:r>
        <w:rPr>
          <w:rFonts w:hint="eastAsia"/>
          <w:color w:val="auto"/>
          <w:sz w:val="24"/>
          <w:szCs w:val="24"/>
          <w:highlight w:val="none"/>
        </w:rPr>
        <w:t>1、项目简介：</w:t>
      </w:r>
      <w:r>
        <w:rPr>
          <w:rFonts w:hint="eastAsia"/>
          <w:color w:val="auto"/>
          <w:sz w:val="24"/>
          <w:szCs w:val="24"/>
          <w:highlight w:val="none"/>
          <w:lang w:eastAsia="zh-CN"/>
        </w:rPr>
        <w:t>常熟市</w:t>
      </w:r>
      <w:r>
        <w:rPr>
          <w:rFonts w:hint="eastAsia"/>
          <w:color w:val="auto"/>
          <w:sz w:val="24"/>
          <w:szCs w:val="24"/>
          <w:highlight w:val="none"/>
          <w:lang w:val="en-US" w:eastAsia="zh-CN"/>
        </w:rPr>
        <w:t>琴川街道社区卫生服务中心</w:t>
      </w:r>
      <w:r>
        <w:rPr>
          <w:rFonts w:hint="eastAsia"/>
          <w:color w:val="auto"/>
          <w:sz w:val="24"/>
          <w:szCs w:val="24"/>
          <w:highlight w:val="none"/>
          <w:lang w:eastAsia="zh-CN"/>
        </w:rPr>
        <w:t>占地面积约</w:t>
      </w:r>
      <w:r>
        <w:rPr>
          <w:rFonts w:hint="eastAsia"/>
          <w:color w:val="auto"/>
          <w:sz w:val="24"/>
          <w:szCs w:val="24"/>
          <w:highlight w:val="none"/>
          <w:lang w:val="en-US" w:eastAsia="zh-CN"/>
        </w:rPr>
        <w:t>17000平方米</w:t>
      </w:r>
      <w:r>
        <w:rPr>
          <w:rFonts w:hint="eastAsia"/>
          <w:color w:val="auto"/>
          <w:sz w:val="24"/>
          <w:szCs w:val="24"/>
          <w:highlight w:val="none"/>
          <w:lang w:eastAsia="zh-CN"/>
        </w:rPr>
        <w:t>，建筑总面积约</w:t>
      </w:r>
      <w:r>
        <w:rPr>
          <w:rFonts w:hint="eastAsia"/>
          <w:color w:val="auto"/>
          <w:sz w:val="24"/>
          <w:szCs w:val="24"/>
          <w:highlight w:val="none"/>
          <w:lang w:val="en-US" w:eastAsia="zh-CN"/>
        </w:rPr>
        <w:t>22424平方米</w:t>
      </w:r>
      <w:r>
        <w:rPr>
          <w:rFonts w:hint="eastAsia"/>
          <w:color w:val="auto"/>
          <w:sz w:val="24"/>
          <w:szCs w:val="24"/>
          <w:highlight w:val="none"/>
        </w:rPr>
        <w:t>。</w:t>
      </w:r>
    </w:p>
    <w:p w14:paraId="6B68B6EB">
      <w:pPr>
        <w:spacing w:line="440" w:lineRule="exact"/>
        <w:ind w:firstLine="480" w:firstLineChars="200"/>
        <w:rPr>
          <w:rFonts w:hint="eastAsia" w:eastAsia="宋体"/>
          <w:color w:val="auto"/>
          <w:sz w:val="24"/>
          <w:szCs w:val="24"/>
          <w:highlight w:val="none"/>
          <w:lang w:eastAsia="zh-CN"/>
        </w:rPr>
      </w:pPr>
      <w:r>
        <w:rPr>
          <w:rFonts w:hint="eastAsia"/>
          <w:color w:val="auto"/>
          <w:sz w:val="24"/>
          <w:szCs w:val="24"/>
          <w:highlight w:val="none"/>
        </w:rPr>
        <w:t>2、服务内容：保安服务，主要包括全面维护医院安全生产、内部治安防范、消防安全、医护人员、患者（家属）生命财产和医疗设备设施的安全保卫等工作</w:t>
      </w:r>
      <w:r>
        <w:rPr>
          <w:rFonts w:hint="eastAsia"/>
          <w:color w:val="auto"/>
          <w:sz w:val="24"/>
          <w:szCs w:val="24"/>
          <w:highlight w:val="none"/>
          <w:lang w:eastAsia="zh-CN"/>
        </w:rPr>
        <w:t>。</w:t>
      </w:r>
    </w:p>
    <w:p w14:paraId="4BF592FB">
      <w:pPr>
        <w:spacing w:line="440" w:lineRule="exact"/>
        <w:ind w:firstLine="480" w:firstLineChars="200"/>
        <w:rPr>
          <w:rFonts w:hint="eastAsia"/>
          <w:color w:val="auto"/>
          <w:sz w:val="24"/>
          <w:szCs w:val="24"/>
          <w:highlight w:val="none"/>
        </w:rPr>
      </w:pPr>
      <w:r>
        <w:rPr>
          <w:rFonts w:hint="eastAsia"/>
          <w:color w:val="auto"/>
          <w:sz w:val="24"/>
          <w:szCs w:val="24"/>
          <w:highlight w:val="none"/>
        </w:rPr>
        <w:t>3、项目服务地点：</w:t>
      </w:r>
      <w:r>
        <w:rPr>
          <w:rFonts w:hint="eastAsia" w:ascii="Times New Roman" w:hAnsi="Times New Roman" w:eastAsia="宋体" w:cs="Times New Roman"/>
          <w:color w:val="auto"/>
          <w:sz w:val="24"/>
          <w:highlight w:val="none"/>
          <w:lang w:eastAsia="zh-CN"/>
        </w:rPr>
        <w:t>常熟市琴川街道社区卫生服务中心</w:t>
      </w:r>
      <w:r>
        <w:rPr>
          <w:rFonts w:hint="eastAsia"/>
          <w:color w:val="auto"/>
          <w:sz w:val="24"/>
          <w:szCs w:val="24"/>
          <w:highlight w:val="none"/>
        </w:rPr>
        <w:t>。</w:t>
      </w:r>
    </w:p>
    <w:p w14:paraId="3A73EB79">
      <w:pPr>
        <w:spacing w:line="440" w:lineRule="exact"/>
        <w:ind w:firstLine="480" w:firstLineChars="200"/>
        <w:rPr>
          <w:rFonts w:hint="eastAsia"/>
          <w:color w:val="auto"/>
          <w:sz w:val="24"/>
          <w:szCs w:val="24"/>
          <w:highlight w:val="none"/>
        </w:rPr>
      </w:pPr>
      <w:r>
        <w:rPr>
          <w:rFonts w:hint="eastAsia"/>
          <w:color w:val="auto"/>
          <w:sz w:val="24"/>
          <w:szCs w:val="24"/>
          <w:highlight w:val="none"/>
        </w:rPr>
        <w:t>4</w:t>
      </w:r>
      <w:r>
        <w:rPr>
          <w:color w:val="auto"/>
          <w:sz w:val="24"/>
          <w:szCs w:val="24"/>
          <w:highlight w:val="none"/>
        </w:rPr>
        <w:t>、服务期限：</w:t>
      </w:r>
      <w:r>
        <w:rPr>
          <w:rFonts w:hint="eastAsia"/>
          <w:color w:val="auto"/>
          <w:sz w:val="24"/>
          <w:szCs w:val="24"/>
          <w:highlight w:val="none"/>
        </w:rPr>
        <w:t>自签订合同之日起</w:t>
      </w:r>
      <w:r>
        <w:rPr>
          <w:rFonts w:hint="eastAsia"/>
          <w:color w:val="auto"/>
          <w:sz w:val="24"/>
          <w:szCs w:val="24"/>
          <w:highlight w:val="none"/>
          <w:lang w:val="en-US" w:eastAsia="zh-CN"/>
        </w:rPr>
        <w:t>2</w:t>
      </w:r>
      <w:r>
        <w:rPr>
          <w:rFonts w:hint="eastAsia"/>
          <w:color w:val="auto"/>
          <w:sz w:val="24"/>
          <w:szCs w:val="24"/>
          <w:highlight w:val="none"/>
        </w:rPr>
        <w:t>年。</w:t>
      </w:r>
    </w:p>
    <w:p w14:paraId="7F9F5CDE">
      <w:pPr>
        <w:spacing w:line="440" w:lineRule="exact"/>
        <w:ind w:firstLine="480" w:firstLineChars="200"/>
        <w:rPr>
          <w:rFonts w:hint="eastAsia"/>
          <w:color w:val="auto"/>
          <w:sz w:val="24"/>
          <w:szCs w:val="24"/>
          <w:highlight w:val="none"/>
        </w:rPr>
      </w:pPr>
      <w:r>
        <w:rPr>
          <w:rFonts w:hint="eastAsia"/>
          <w:color w:val="auto"/>
          <w:sz w:val="24"/>
          <w:szCs w:val="24"/>
          <w:highlight w:val="none"/>
        </w:rPr>
        <w:t>5、投标人应对项目现场进行踏勘，但费用由投标人自行承担。现场踏勘联系人：</w:t>
      </w:r>
      <w:r>
        <w:rPr>
          <w:rFonts w:hint="eastAsia"/>
          <w:color w:val="auto"/>
          <w:sz w:val="24"/>
          <w:szCs w:val="24"/>
          <w:highlight w:val="none"/>
          <w:lang w:val="en-US" w:eastAsia="zh-CN"/>
        </w:rPr>
        <w:t>黄欢</w:t>
      </w:r>
      <w:r>
        <w:rPr>
          <w:rFonts w:hint="eastAsia"/>
          <w:color w:val="auto"/>
          <w:sz w:val="24"/>
          <w:szCs w:val="24"/>
          <w:highlight w:val="none"/>
        </w:rPr>
        <w:t>，联系电话：</w:t>
      </w:r>
      <w:r>
        <w:rPr>
          <w:rFonts w:hint="eastAsia"/>
          <w:color w:val="auto"/>
          <w:sz w:val="24"/>
          <w:szCs w:val="24"/>
          <w:highlight w:val="none"/>
          <w:lang w:val="en-US" w:eastAsia="zh-CN"/>
        </w:rPr>
        <w:t>13862365820</w:t>
      </w:r>
      <w:r>
        <w:rPr>
          <w:rFonts w:hint="eastAsia"/>
          <w:color w:val="auto"/>
          <w:sz w:val="24"/>
          <w:szCs w:val="24"/>
          <w:highlight w:val="none"/>
        </w:rPr>
        <w:t>。投标人在投标时应充分考虑现场实际情况，采购人不负担因投标人对项目现场情况考虑不周而产生的其他任何费用。</w:t>
      </w:r>
    </w:p>
    <w:p w14:paraId="6DAC9574">
      <w:pPr>
        <w:spacing w:line="440" w:lineRule="exact"/>
        <w:ind w:firstLine="480" w:firstLineChars="200"/>
        <w:rPr>
          <w:rFonts w:hint="eastAsia"/>
          <w:i/>
          <w:iCs/>
          <w:color w:val="auto"/>
          <w:sz w:val="24"/>
          <w:szCs w:val="24"/>
          <w:highlight w:val="none"/>
          <w:u w:val="single"/>
        </w:rPr>
      </w:pPr>
      <w:r>
        <w:rPr>
          <w:rFonts w:hint="eastAsia"/>
          <w:i/>
          <w:iCs/>
          <w:color w:val="auto"/>
          <w:sz w:val="24"/>
          <w:szCs w:val="24"/>
          <w:highlight w:val="none"/>
          <w:u w:val="single"/>
        </w:rPr>
        <w:t>6、</w:t>
      </w:r>
      <w:r>
        <w:rPr>
          <w:rFonts w:hint="eastAsia"/>
          <w:i/>
          <w:iCs/>
          <w:color w:val="auto"/>
          <w:sz w:val="24"/>
          <w:szCs w:val="24"/>
          <w:highlight w:val="none"/>
          <w:u w:val="single"/>
          <w:lang w:val="en-US" w:eastAsia="zh-CN"/>
        </w:rPr>
        <w:t>付款</w:t>
      </w:r>
      <w:r>
        <w:rPr>
          <w:i/>
          <w:iCs/>
          <w:color w:val="auto"/>
          <w:sz w:val="24"/>
          <w:szCs w:val="24"/>
          <w:highlight w:val="none"/>
          <w:u w:val="single"/>
        </w:rPr>
        <w:t>方式</w:t>
      </w:r>
      <w:r>
        <w:rPr>
          <w:rFonts w:hint="eastAsia"/>
          <w:i/>
          <w:iCs/>
          <w:color w:val="auto"/>
          <w:sz w:val="24"/>
          <w:szCs w:val="24"/>
          <w:highlight w:val="none"/>
          <w:u w:val="single"/>
        </w:rPr>
        <w:t>：</w:t>
      </w:r>
    </w:p>
    <w:p w14:paraId="4B1B5E55">
      <w:pPr>
        <w:spacing w:line="456" w:lineRule="exact"/>
        <w:ind w:firstLine="720" w:firstLineChars="300"/>
        <w:rPr>
          <w:rFonts w:hint="eastAsia"/>
          <w:bCs/>
          <w:i/>
          <w:iCs/>
          <w:color w:val="auto"/>
          <w:sz w:val="24"/>
          <w:szCs w:val="24"/>
          <w:highlight w:val="none"/>
          <w:u w:val="single"/>
        </w:rPr>
      </w:pPr>
      <w:r>
        <w:rPr>
          <w:rFonts w:hint="eastAsia"/>
          <w:bCs/>
          <w:i/>
          <w:iCs/>
          <w:color w:val="auto"/>
          <w:sz w:val="24"/>
          <w:szCs w:val="24"/>
          <w:highlight w:val="none"/>
          <w:u w:val="single"/>
        </w:rPr>
        <w:t>6.1合同签订后的30个自然日内，采购人向中标人支付合同总价的10%作为预付款。</w:t>
      </w:r>
    </w:p>
    <w:p w14:paraId="7E723A70">
      <w:pPr>
        <w:spacing w:line="456" w:lineRule="exact"/>
        <w:ind w:firstLine="720" w:firstLineChars="300"/>
        <w:rPr>
          <w:rFonts w:hint="eastAsia" w:eastAsia="宋体"/>
          <w:bCs/>
          <w:i/>
          <w:iCs/>
          <w:color w:val="auto"/>
          <w:sz w:val="24"/>
          <w:szCs w:val="24"/>
          <w:highlight w:val="none"/>
          <w:u w:val="single"/>
          <w:lang w:val="en-US" w:eastAsia="zh-CN"/>
        </w:rPr>
      </w:pPr>
      <w:r>
        <w:rPr>
          <w:rFonts w:hint="eastAsia"/>
          <w:bCs/>
          <w:i/>
          <w:iCs/>
          <w:color w:val="auto"/>
          <w:sz w:val="24"/>
          <w:szCs w:val="24"/>
          <w:highlight w:val="none"/>
          <w:u w:val="single"/>
        </w:rPr>
        <w:t>6.2采购人留取合同总价的10%作为</w:t>
      </w:r>
      <w:r>
        <w:rPr>
          <w:rFonts w:hint="eastAsia"/>
          <w:bCs/>
          <w:i/>
          <w:iCs/>
          <w:color w:val="auto"/>
          <w:sz w:val="24"/>
          <w:szCs w:val="24"/>
          <w:highlight w:val="none"/>
          <w:u w:val="single"/>
          <w:lang w:val="en-US" w:eastAsia="zh-CN"/>
        </w:rPr>
        <w:t>年度</w:t>
      </w:r>
      <w:r>
        <w:rPr>
          <w:rFonts w:hint="eastAsia"/>
          <w:bCs/>
          <w:i/>
          <w:iCs/>
          <w:color w:val="auto"/>
          <w:sz w:val="24"/>
          <w:szCs w:val="24"/>
          <w:highlight w:val="none"/>
          <w:u w:val="single"/>
        </w:rPr>
        <w:t>考核</w:t>
      </w:r>
      <w:r>
        <w:rPr>
          <w:rFonts w:hint="eastAsia"/>
          <w:bCs/>
          <w:i/>
          <w:iCs/>
          <w:color w:val="auto"/>
          <w:sz w:val="24"/>
          <w:szCs w:val="24"/>
          <w:highlight w:val="none"/>
          <w:u w:val="single"/>
          <w:lang w:val="en-US" w:eastAsia="zh-CN"/>
        </w:rPr>
        <w:t>总</w:t>
      </w:r>
      <w:r>
        <w:rPr>
          <w:rFonts w:hint="eastAsia"/>
          <w:bCs/>
          <w:i/>
          <w:iCs/>
          <w:color w:val="auto"/>
          <w:sz w:val="24"/>
          <w:szCs w:val="24"/>
          <w:highlight w:val="none"/>
          <w:u w:val="single"/>
        </w:rPr>
        <w:t>费用</w:t>
      </w:r>
      <w:r>
        <w:rPr>
          <w:rFonts w:hint="eastAsia"/>
          <w:bCs/>
          <w:i/>
          <w:iCs/>
          <w:strike w:val="0"/>
          <w:dstrike w:val="0"/>
          <w:color w:val="auto"/>
          <w:sz w:val="24"/>
          <w:szCs w:val="24"/>
          <w:highlight w:val="none"/>
          <w:u w:val="single"/>
        </w:rPr>
        <w:t>（</w:t>
      </w:r>
      <w:r>
        <w:rPr>
          <w:rFonts w:hint="eastAsia"/>
          <w:bCs/>
          <w:i/>
          <w:iCs/>
          <w:strike w:val="0"/>
          <w:dstrike w:val="0"/>
          <w:color w:val="auto"/>
          <w:sz w:val="24"/>
          <w:szCs w:val="24"/>
          <w:highlight w:val="none"/>
          <w:u w:val="single"/>
          <w:lang w:val="en-US" w:eastAsia="zh-CN"/>
        </w:rPr>
        <w:t>一年的考核费用为</w:t>
      </w:r>
      <w:r>
        <w:rPr>
          <w:rFonts w:hint="eastAsia"/>
          <w:bCs/>
          <w:i/>
          <w:iCs/>
          <w:color w:val="auto"/>
          <w:sz w:val="24"/>
          <w:szCs w:val="24"/>
          <w:highlight w:val="none"/>
          <w:u w:val="single"/>
        </w:rPr>
        <w:t>合同总价的</w:t>
      </w:r>
      <w:r>
        <w:rPr>
          <w:rFonts w:hint="eastAsia"/>
          <w:bCs/>
          <w:i/>
          <w:iCs/>
          <w:color w:val="auto"/>
          <w:sz w:val="24"/>
          <w:szCs w:val="24"/>
          <w:highlight w:val="none"/>
          <w:u w:val="single"/>
          <w:lang w:val="en-US" w:eastAsia="zh-CN"/>
        </w:rPr>
        <w:t>5</w:t>
      </w:r>
      <w:r>
        <w:rPr>
          <w:rFonts w:hint="eastAsia"/>
          <w:bCs/>
          <w:i/>
          <w:iCs/>
          <w:color w:val="auto"/>
          <w:sz w:val="24"/>
          <w:szCs w:val="24"/>
          <w:highlight w:val="none"/>
          <w:u w:val="single"/>
        </w:rPr>
        <w:t>%</w:t>
      </w:r>
      <w:r>
        <w:rPr>
          <w:rFonts w:hint="eastAsia"/>
          <w:bCs/>
          <w:i/>
          <w:iCs/>
          <w:color w:val="auto"/>
          <w:sz w:val="24"/>
          <w:szCs w:val="24"/>
          <w:highlight w:val="none"/>
          <w:u w:val="single"/>
          <w:lang w:eastAsia="zh-CN"/>
        </w:rPr>
        <w:t>，</w:t>
      </w:r>
      <w:r>
        <w:rPr>
          <w:rFonts w:hint="eastAsia"/>
          <w:bCs/>
          <w:i/>
          <w:iCs/>
          <w:strike w:val="0"/>
          <w:dstrike w:val="0"/>
          <w:color w:val="auto"/>
          <w:sz w:val="24"/>
          <w:szCs w:val="24"/>
          <w:highlight w:val="none"/>
          <w:u w:val="single"/>
        </w:rPr>
        <w:t>考核条款详见附件1-保安服务质量标准与监管考评标准细则</w:t>
      </w:r>
      <w:r>
        <w:rPr>
          <w:rFonts w:hint="eastAsia"/>
          <w:bCs/>
          <w:i/>
          <w:iCs/>
          <w:strike w:val="0"/>
          <w:dstrike w:val="0"/>
          <w:color w:val="auto"/>
          <w:sz w:val="24"/>
          <w:szCs w:val="24"/>
          <w:highlight w:val="none"/>
          <w:u w:val="single"/>
          <w:lang w:eastAsia="zh-CN"/>
        </w:rPr>
        <w:t>）</w:t>
      </w:r>
      <w:r>
        <w:rPr>
          <w:rFonts w:hint="eastAsia"/>
          <w:bCs/>
          <w:i/>
          <w:iCs/>
          <w:strike w:val="0"/>
          <w:dstrike w:val="0"/>
          <w:color w:val="auto"/>
          <w:sz w:val="24"/>
          <w:szCs w:val="24"/>
          <w:highlight w:val="none"/>
          <w:u w:val="single"/>
        </w:rPr>
        <w:t>。</w:t>
      </w:r>
    </w:p>
    <w:p w14:paraId="6C28D095">
      <w:pPr>
        <w:spacing w:line="456" w:lineRule="exact"/>
        <w:ind w:firstLine="720" w:firstLineChars="300"/>
        <w:rPr>
          <w:rFonts w:hint="eastAsia"/>
          <w:bCs/>
          <w:i/>
          <w:iCs/>
          <w:color w:val="auto"/>
          <w:sz w:val="24"/>
          <w:szCs w:val="24"/>
          <w:highlight w:val="none"/>
          <w:u w:val="single"/>
        </w:rPr>
      </w:pPr>
      <w:r>
        <w:rPr>
          <w:rFonts w:hint="eastAsia"/>
          <w:bCs/>
          <w:i/>
          <w:iCs/>
          <w:color w:val="auto"/>
          <w:sz w:val="24"/>
          <w:szCs w:val="24"/>
          <w:highlight w:val="none"/>
          <w:u w:val="single"/>
        </w:rPr>
        <w:t>6.</w:t>
      </w:r>
      <w:r>
        <w:rPr>
          <w:rFonts w:hint="eastAsia"/>
          <w:bCs/>
          <w:i/>
          <w:iCs/>
          <w:color w:val="auto"/>
          <w:sz w:val="24"/>
          <w:szCs w:val="24"/>
          <w:highlight w:val="none"/>
          <w:u w:val="single"/>
          <w:lang w:val="en-US" w:eastAsia="zh-CN"/>
        </w:rPr>
        <w:t>3</w:t>
      </w:r>
      <w:r>
        <w:rPr>
          <w:rFonts w:hint="eastAsia"/>
          <w:bCs/>
          <w:i/>
          <w:iCs/>
          <w:strike w:val="0"/>
          <w:dstrike w:val="0"/>
          <w:color w:val="auto"/>
          <w:sz w:val="24"/>
          <w:szCs w:val="24"/>
          <w:highlight w:val="none"/>
          <w:u w:val="single"/>
          <w:lang w:val="en-US" w:eastAsia="zh-CN"/>
        </w:rPr>
        <w:t>服务费按半年度支付。服务期开始之日起每半年后的十个工作日内，采购人向中标人支付半年度的服务费用【（合同总价-预付款-留取的年度考核总费用）/24*6】。在每年服务期结束之后的15个工作日，采购人向中标人支付该年度实际考核费用。</w:t>
      </w:r>
    </w:p>
    <w:p w14:paraId="288841C1">
      <w:pPr>
        <w:spacing w:line="456" w:lineRule="exact"/>
        <w:ind w:firstLine="720" w:firstLineChars="300"/>
        <w:rPr>
          <w:rFonts w:hint="default" w:ascii="Times New Roman" w:hAnsi="Times New Roman" w:eastAsia="宋体" w:cs="Times New Roman"/>
          <w:bCs/>
          <w:i/>
          <w:iCs/>
          <w:color w:val="auto"/>
          <w:sz w:val="24"/>
          <w:szCs w:val="24"/>
          <w:highlight w:val="none"/>
          <w:u w:val="single"/>
          <w:lang w:val="en-US" w:eastAsia="zh-CN"/>
        </w:rPr>
      </w:pPr>
      <w:r>
        <w:rPr>
          <w:rFonts w:hint="eastAsia" w:ascii="Times New Roman" w:hAnsi="Times New Roman" w:eastAsia="宋体" w:cs="Times New Roman"/>
          <w:bCs/>
          <w:i/>
          <w:iCs/>
          <w:color w:val="auto"/>
          <w:sz w:val="24"/>
          <w:szCs w:val="24"/>
          <w:highlight w:val="none"/>
          <w:u w:val="single"/>
          <w:lang w:val="en-US" w:eastAsia="zh-CN"/>
        </w:rPr>
        <w:t>6.4</w:t>
      </w:r>
      <w:r>
        <w:rPr>
          <w:rFonts w:hint="eastAsia"/>
          <w:bCs/>
          <w:i/>
          <w:iCs/>
          <w:strike w:val="0"/>
          <w:dstrike w:val="0"/>
          <w:color w:val="auto"/>
          <w:sz w:val="24"/>
          <w:szCs w:val="24"/>
          <w:highlight w:val="none"/>
          <w:u w:val="single"/>
          <w:lang w:val="en-US" w:eastAsia="zh-CN"/>
        </w:rPr>
        <w:t>月度</w:t>
      </w:r>
      <w:r>
        <w:rPr>
          <w:rFonts w:hint="eastAsia"/>
          <w:bCs/>
          <w:i/>
          <w:iCs/>
          <w:strike w:val="0"/>
          <w:dstrike w:val="0"/>
          <w:color w:val="auto"/>
          <w:sz w:val="24"/>
          <w:szCs w:val="24"/>
          <w:highlight w:val="none"/>
          <w:u w:val="single"/>
        </w:rPr>
        <w:t>考核均分得分在95分（含）以上的，</w:t>
      </w:r>
      <w:r>
        <w:rPr>
          <w:rFonts w:hint="eastAsia"/>
          <w:bCs/>
          <w:i/>
          <w:iCs/>
          <w:strike w:val="0"/>
          <w:dstrike w:val="0"/>
          <w:color w:val="auto"/>
          <w:sz w:val="24"/>
          <w:szCs w:val="24"/>
          <w:highlight w:val="none"/>
          <w:u w:val="single"/>
          <w:lang w:val="en-US" w:eastAsia="zh-CN"/>
        </w:rPr>
        <w:t>该</w:t>
      </w:r>
      <w:r>
        <w:rPr>
          <w:rFonts w:hint="eastAsia"/>
          <w:bCs/>
          <w:i/>
          <w:iCs/>
          <w:strike w:val="0"/>
          <w:dstrike w:val="0"/>
          <w:color w:val="auto"/>
          <w:sz w:val="24"/>
          <w:szCs w:val="24"/>
          <w:highlight w:val="none"/>
          <w:u w:val="single"/>
        </w:rPr>
        <w:t>年度考核费用全额支付；</w:t>
      </w:r>
      <w:r>
        <w:rPr>
          <w:rFonts w:hint="eastAsia"/>
          <w:bCs/>
          <w:i/>
          <w:iCs/>
          <w:strike w:val="0"/>
          <w:dstrike w:val="0"/>
          <w:color w:val="auto"/>
          <w:sz w:val="24"/>
          <w:szCs w:val="24"/>
          <w:highlight w:val="none"/>
          <w:u w:val="single"/>
          <w:lang w:val="en-US" w:eastAsia="zh-CN"/>
        </w:rPr>
        <w:t>月度</w:t>
      </w:r>
      <w:r>
        <w:rPr>
          <w:rFonts w:hint="eastAsia"/>
          <w:bCs/>
          <w:i/>
          <w:iCs/>
          <w:strike w:val="0"/>
          <w:dstrike w:val="0"/>
          <w:color w:val="auto"/>
          <w:sz w:val="24"/>
          <w:szCs w:val="24"/>
          <w:highlight w:val="none"/>
          <w:u w:val="single"/>
        </w:rPr>
        <w:t>考核均分得分在95分（不含）以下的，每低一分扣除500元。</w:t>
      </w:r>
    </w:p>
    <w:p w14:paraId="08230251">
      <w:pPr>
        <w:spacing w:line="440" w:lineRule="exact"/>
        <w:ind w:firstLine="720" w:firstLineChars="300"/>
        <w:rPr>
          <w:rFonts w:hint="eastAsia"/>
          <w:color w:val="auto"/>
          <w:sz w:val="24"/>
          <w:szCs w:val="24"/>
          <w:highlight w:val="none"/>
        </w:rPr>
      </w:pPr>
      <w:r>
        <w:rPr>
          <w:rFonts w:hint="eastAsia"/>
          <w:i/>
          <w:iCs/>
          <w:color w:val="auto"/>
          <w:sz w:val="24"/>
          <w:szCs w:val="24"/>
          <w:highlight w:val="none"/>
          <w:u w:val="single"/>
        </w:rPr>
        <w:t>注：①在签订合同时，中标人明确表示无需预付款或者主动要求降低预付款比例的，可不适用上述第6.1条规定。②</w:t>
      </w:r>
      <w:r>
        <w:rPr>
          <w:rFonts w:hint="eastAsia"/>
          <w:i/>
          <w:iCs/>
          <w:color w:val="auto"/>
          <w:sz w:val="24"/>
          <w:szCs w:val="24"/>
          <w:highlight w:val="none"/>
          <w:u w:val="single"/>
          <w:lang w:val="zh-CN"/>
        </w:rPr>
        <w:t>以上每次付款前，</w:t>
      </w:r>
      <w:r>
        <w:rPr>
          <w:rFonts w:hint="eastAsia"/>
          <w:i/>
          <w:iCs/>
          <w:color w:val="auto"/>
          <w:sz w:val="24"/>
          <w:szCs w:val="24"/>
          <w:highlight w:val="none"/>
          <w:u w:val="single"/>
        </w:rPr>
        <w:t>中标人</w:t>
      </w:r>
      <w:r>
        <w:rPr>
          <w:rFonts w:hint="eastAsia"/>
          <w:i/>
          <w:iCs/>
          <w:color w:val="auto"/>
          <w:sz w:val="24"/>
          <w:szCs w:val="24"/>
          <w:highlight w:val="none"/>
          <w:u w:val="single"/>
          <w:lang w:val="zh-CN"/>
        </w:rPr>
        <w:t>均应提供符合</w:t>
      </w:r>
      <w:r>
        <w:rPr>
          <w:rFonts w:hint="eastAsia"/>
          <w:i/>
          <w:iCs/>
          <w:color w:val="auto"/>
          <w:sz w:val="24"/>
          <w:szCs w:val="24"/>
          <w:highlight w:val="none"/>
          <w:u w:val="single"/>
        </w:rPr>
        <w:t>采购人</w:t>
      </w:r>
      <w:r>
        <w:rPr>
          <w:rFonts w:hint="eastAsia"/>
          <w:i/>
          <w:iCs/>
          <w:color w:val="auto"/>
          <w:sz w:val="24"/>
          <w:szCs w:val="24"/>
          <w:highlight w:val="none"/>
          <w:u w:val="single"/>
          <w:lang w:val="zh-CN"/>
        </w:rPr>
        <w:t>要求的同等金额的合法有效发票。</w:t>
      </w:r>
      <w:r>
        <w:rPr>
          <w:i/>
          <w:iCs/>
          <w:color w:val="auto"/>
          <w:sz w:val="24"/>
          <w:szCs w:val="24"/>
          <w:highlight w:val="none"/>
          <w:u w:val="single"/>
        </w:rPr>
        <w:t>否则，采购人有权顺延付款时间，且不承担任何违约及/或赔偿责任</w:t>
      </w:r>
      <w:r>
        <w:rPr>
          <w:rFonts w:hint="eastAsia"/>
          <w:i/>
          <w:iCs/>
          <w:color w:val="auto"/>
          <w:sz w:val="24"/>
          <w:szCs w:val="24"/>
          <w:highlight w:val="none"/>
          <w:u w:val="single"/>
          <w:lang w:val="zh-CN"/>
        </w:rPr>
        <w:t>。</w:t>
      </w:r>
      <w:r>
        <w:rPr>
          <w:rFonts w:hint="eastAsia"/>
          <w:i/>
          <w:iCs/>
          <w:color w:val="auto"/>
          <w:sz w:val="24"/>
          <w:szCs w:val="24"/>
          <w:highlight w:val="none"/>
          <w:u w:val="single"/>
        </w:rPr>
        <w:t>③本项目支付方式包括但不限于：数字人民币、现金、银行汇票、转账支票等。④不满足上述结算</w:t>
      </w:r>
      <w:r>
        <w:rPr>
          <w:i/>
          <w:iCs/>
          <w:color w:val="auto"/>
          <w:sz w:val="24"/>
          <w:szCs w:val="24"/>
          <w:highlight w:val="none"/>
          <w:u w:val="single"/>
        </w:rPr>
        <w:t>方式</w:t>
      </w:r>
      <w:r>
        <w:rPr>
          <w:rFonts w:hint="eastAsia"/>
          <w:i/>
          <w:iCs/>
          <w:color w:val="auto"/>
          <w:sz w:val="24"/>
          <w:szCs w:val="24"/>
          <w:highlight w:val="none"/>
          <w:u w:val="single"/>
        </w:rPr>
        <w:t>的作无效投标处理。</w:t>
      </w:r>
    </w:p>
    <w:p w14:paraId="69D5CC42">
      <w:pPr>
        <w:spacing w:line="440" w:lineRule="exact"/>
        <w:ind w:firstLine="482" w:firstLineChars="200"/>
        <w:rPr>
          <w:b/>
          <w:bCs/>
          <w:color w:val="auto"/>
          <w:sz w:val="24"/>
          <w:szCs w:val="24"/>
          <w:highlight w:val="none"/>
        </w:rPr>
      </w:pPr>
      <w:r>
        <w:rPr>
          <w:rFonts w:hint="eastAsia"/>
          <w:b/>
          <w:bCs/>
          <w:color w:val="auto"/>
          <w:sz w:val="24"/>
          <w:szCs w:val="24"/>
          <w:highlight w:val="none"/>
        </w:rPr>
        <w:t>7</w:t>
      </w:r>
      <w:r>
        <w:rPr>
          <w:b/>
          <w:bCs/>
          <w:color w:val="auto"/>
          <w:sz w:val="24"/>
          <w:szCs w:val="24"/>
          <w:highlight w:val="none"/>
        </w:rPr>
        <w:t>、本项目采购预算为￥</w:t>
      </w:r>
      <w:r>
        <w:rPr>
          <w:rFonts w:hint="eastAsia"/>
          <w:b/>
          <w:bCs/>
          <w:color w:val="auto"/>
          <w:sz w:val="24"/>
          <w:szCs w:val="24"/>
          <w:highlight w:val="none"/>
          <w:lang w:val="en-US" w:eastAsia="zh-CN"/>
        </w:rPr>
        <w:t>120</w:t>
      </w:r>
      <w:r>
        <w:rPr>
          <w:rFonts w:hint="eastAsia"/>
          <w:b/>
          <w:bCs/>
          <w:color w:val="auto"/>
          <w:sz w:val="24"/>
          <w:szCs w:val="24"/>
          <w:highlight w:val="none"/>
        </w:rPr>
        <w:t>0000</w:t>
      </w:r>
      <w:r>
        <w:rPr>
          <w:b/>
          <w:bCs/>
          <w:color w:val="auto"/>
          <w:sz w:val="24"/>
          <w:szCs w:val="24"/>
          <w:highlight w:val="none"/>
        </w:rPr>
        <w:t>.00元</w:t>
      </w:r>
      <w:r>
        <w:rPr>
          <w:rFonts w:hint="eastAsia"/>
          <w:b/>
          <w:bCs/>
          <w:color w:val="auto"/>
          <w:sz w:val="24"/>
          <w:szCs w:val="24"/>
          <w:highlight w:val="none"/>
          <w:lang w:eastAsia="zh-CN"/>
        </w:rPr>
        <w:t>，</w:t>
      </w:r>
      <w:r>
        <w:rPr>
          <w:rFonts w:hint="eastAsia"/>
          <w:b/>
          <w:bCs/>
          <w:color w:val="auto"/>
          <w:sz w:val="24"/>
          <w:szCs w:val="24"/>
          <w:highlight w:val="none"/>
          <w:lang w:val="en-US" w:eastAsia="zh-CN"/>
        </w:rPr>
        <w:t>最高限价为</w:t>
      </w:r>
      <w:r>
        <w:rPr>
          <w:rFonts w:hint="eastAsia"/>
          <w:b/>
          <w:bCs/>
          <w:color w:val="auto"/>
          <w:sz w:val="24"/>
          <w:szCs w:val="24"/>
          <w:highlight w:val="none"/>
        </w:rPr>
        <w:t>人民币</w:t>
      </w:r>
      <w:r>
        <w:rPr>
          <w:rFonts w:hint="eastAsia"/>
          <w:b/>
          <w:bCs/>
          <w:color w:val="auto"/>
          <w:sz w:val="24"/>
          <w:szCs w:val="24"/>
          <w:highlight w:val="none"/>
          <w:lang w:val="en-US" w:eastAsia="zh-CN"/>
        </w:rPr>
        <w:t>115</w:t>
      </w:r>
      <w:r>
        <w:rPr>
          <w:rFonts w:hint="eastAsia"/>
          <w:b/>
          <w:bCs/>
          <w:color w:val="auto"/>
          <w:sz w:val="24"/>
          <w:szCs w:val="24"/>
          <w:highlight w:val="none"/>
          <w:lang w:eastAsia="zh-CN"/>
        </w:rPr>
        <w:t>0000.00</w:t>
      </w:r>
      <w:r>
        <w:rPr>
          <w:rFonts w:hint="eastAsia"/>
          <w:b/>
          <w:bCs/>
          <w:color w:val="auto"/>
          <w:sz w:val="24"/>
          <w:szCs w:val="24"/>
          <w:highlight w:val="none"/>
        </w:rPr>
        <w:t>元整</w:t>
      </w:r>
      <w:r>
        <w:rPr>
          <w:rFonts w:hint="eastAsia"/>
          <w:b/>
          <w:bCs/>
          <w:color w:val="auto"/>
          <w:sz w:val="24"/>
          <w:szCs w:val="24"/>
          <w:highlight w:val="none"/>
          <w:lang w:eastAsia="zh-CN"/>
        </w:rPr>
        <w:t>。</w:t>
      </w:r>
      <w:r>
        <w:rPr>
          <w:b/>
          <w:bCs/>
          <w:color w:val="auto"/>
          <w:sz w:val="24"/>
          <w:szCs w:val="24"/>
          <w:highlight w:val="none"/>
        </w:rPr>
        <w:t>投标总</w:t>
      </w:r>
      <w:r>
        <w:rPr>
          <w:rFonts w:hint="eastAsia"/>
          <w:b/>
          <w:bCs/>
          <w:color w:val="auto"/>
          <w:sz w:val="24"/>
          <w:szCs w:val="24"/>
          <w:highlight w:val="none"/>
        </w:rPr>
        <w:t>报价</w:t>
      </w:r>
      <w:r>
        <w:rPr>
          <w:b/>
          <w:bCs/>
          <w:color w:val="auto"/>
          <w:sz w:val="24"/>
          <w:szCs w:val="24"/>
          <w:highlight w:val="none"/>
        </w:rPr>
        <w:t>不得超过</w:t>
      </w:r>
      <w:r>
        <w:rPr>
          <w:rFonts w:hint="eastAsia"/>
          <w:b/>
          <w:bCs/>
          <w:color w:val="auto"/>
          <w:sz w:val="24"/>
          <w:szCs w:val="24"/>
          <w:highlight w:val="none"/>
          <w:lang w:val="en-US" w:eastAsia="zh-CN"/>
        </w:rPr>
        <w:t>最高限价</w:t>
      </w:r>
      <w:r>
        <w:rPr>
          <w:b/>
          <w:bCs/>
          <w:color w:val="auto"/>
          <w:sz w:val="24"/>
          <w:szCs w:val="24"/>
          <w:highlight w:val="none"/>
        </w:rPr>
        <w:t>，否则其投标将作无效投标处理。</w:t>
      </w:r>
    </w:p>
    <w:p w14:paraId="55ADD646">
      <w:pPr>
        <w:spacing w:line="440" w:lineRule="exact"/>
        <w:ind w:firstLine="480" w:firstLineChars="200"/>
        <w:rPr>
          <w:color w:val="auto"/>
          <w:highlight w:val="none"/>
        </w:rPr>
      </w:pPr>
      <w:r>
        <w:rPr>
          <w:rFonts w:hint="eastAsia"/>
          <w:color w:val="auto"/>
          <w:sz w:val="24"/>
          <w:szCs w:val="24"/>
          <w:highlight w:val="none"/>
        </w:rPr>
        <w:t>8</w:t>
      </w:r>
      <w:r>
        <w:rPr>
          <w:color w:val="auto"/>
          <w:sz w:val="24"/>
          <w:szCs w:val="24"/>
          <w:highlight w:val="none"/>
        </w:rPr>
        <w:t>、采购人不提供食宿。</w:t>
      </w:r>
    </w:p>
    <w:p w14:paraId="33D486F9">
      <w:pPr>
        <w:spacing w:line="440" w:lineRule="exact"/>
        <w:ind w:firstLine="480" w:firstLineChars="200"/>
        <w:rPr>
          <w:color w:val="auto"/>
          <w:sz w:val="24"/>
          <w:szCs w:val="24"/>
          <w:highlight w:val="none"/>
        </w:rPr>
      </w:pPr>
      <w:bookmarkStart w:id="82" w:name="_Toc11295"/>
      <w:bookmarkStart w:id="83" w:name="_Toc256"/>
      <w:r>
        <w:rPr>
          <w:rFonts w:hint="eastAsia"/>
          <w:color w:val="auto"/>
          <w:sz w:val="24"/>
          <w:szCs w:val="24"/>
          <w:highlight w:val="none"/>
        </w:rPr>
        <w:t>9</w:t>
      </w:r>
      <w:r>
        <w:rPr>
          <w:color w:val="auto"/>
          <w:sz w:val="24"/>
          <w:szCs w:val="24"/>
          <w:highlight w:val="none"/>
        </w:rPr>
        <w:t>、本项目不接受联合体参加投标</w:t>
      </w:r>
      <w:r>
        <w:rPr>
          <w:rFonts w:hint="eastAsia"/>
          <w:color w:val="auto"/>
          <w:sz w:val="24"/>
          <w:szCs w:val="24"/>
          <w:highlight w:val="none"/>
        </w:rPr>
        <w:t>，</w:t>
      </w:r>
      <w:r>
        <w:rPr>
          <w:color w:val="auto"/>
          <w:sz w:val="24"/>
          <w:szCs w:val="24"/>
          <w:highlight w:val="none"/>
        </w:rPr>
        <w:t>本项目不得以任何形式进行转包及分包。</w:t>
      </w:r>
    </w:p>
    <w:p w14:paraId="5FA3EF93">
      <w:pPr>
        <w:pStyle w:val="22"/>
        <w:rPr>
          <w:color w:val="auto"/>
          <w:highlight w:val="none"/>
        </w:rPr>
      </w:pPr>
    </w:p>
    <w:p w14:paraId="6ACD0DB1">
      <w:pPr>
        <w:spacing w:line="440" w:lineRule="exact"/>
        <w:outlineLvl w:val="1"/>
        <w:rPr>
          <w:b/>
          <w:bCs/>
          <w:color w:val="auto"/>
          <w:sz w:val="28"/>
          <w:szCs w:val="22"/>
          <w:highlight w:val="none"/>
        </w:rPr>
      </w:pPr>
      <w:bookmarkStart w:id="84" w:name="_Toc3092"/>
      <w:bookmarkStart w:id="85" w:name="_Toc26848"/>
      <w:bookmarkStart w:id="86" w:name="_Toc20801"/>
      <w:bookmarkStart w:id="87" w:name="_Toc12179"/>
      <w:r>
        <w:rPr>
          <w:rFonts w:hint="eastAsia"/>
          <w:b/>
          <w:bCs/>
          <w:color w:val="auto"/>
          <w:sz w:val="28"/>
          <w:szCs w:val="22"/>
          <w:highlight w:val="none"/>
        </w:rPr>
        <w:t>二</w:t>
      </w:r>
      <w:r>
        <w:rPr>
          <w:b/>
          <w:bCs/>
          <w:color w:val="auto"/>
          <w:sz w:val="28"/>
          <w:szCs w:val="22"/>
          <w:highlight w:val="none"/>
        </w:rPr>
        <w:t>、</w:t>
      </w:r>
      <w:r>
        <w:rPr>
          <w:rFonts w:hint="eastAsia"/>
          <w:b/>
          <w:bCs/>
          <w:color w:val="auto"/>
          <w:sz w:val="28"/>
          <w:szCs w:val="22"/>
          <w:highlight w:val="none"/>
        </w:rPr>
        <w:t>项目配置要求</w:t>
      </w:r>
      <w:r>
        <w:rPr>
          <w:b/>
          <w:bCs/>
          <w:color w:val="auto"/>
          <w:sz w:val="28"/>
          <w:szCs w:val="22"/>
          <w:highlight w:val="none"/>
        </w:rPr>
        <w:t>：</w:t>
      </w:r>
      <w:bookmarkEnd w:id="84"/>
      <w:bookmarkEnd w:id="85"/>
      <w:bookmarkEnd w:id="86"/>
      <w:bookmarkEnd w:id="87"/>
    </w:p>
    <w:tbl>
      <w:tblPr>
        <w:tblStyle w:val="56"/>
        <w:tblW w:w="8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4170"/>
        <w:gridCol w:w="1575"/>
        <w:gridCol w:w="2046"/>
      </w:tblGrid>
      <w:tr w14:paraId="2923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050" w:type="dxa"/>
            <w:noWrap w:val="0"/>
            <w:vAlign w:val="center"/>
          </w:tcPr>
          <w:p w14:paraId="3EF2C977">
            <w:pPr>
              <w:jc w:val="center"/>
              <w:rPr>
                <w:rFonts w:hint="eastAsia"/>
                <w:b/>
                <w:bCs/>
                <w:color w:val="auto"/>
                <w:kern w:val="0"/>
                <w:sz w:val="24"/>
                <w:szCs w:val="22"/>
                <w:highlight w:val="none"/>
              </w:rPr>
            </w:pPr>
            <w:r>
              <w:rPr>
                <w:rFonts w:hint="eastAsia"/>
                <w:b/>
                <w:bCs/>
                <w:color w:val="auto"/>
                <w:kern w:val="0"/>
                <w:sz w:val="24"/>
                <w:szCs w:val="22"/>
                <w:highlight w:val="none"/>
              </w:rPr>
              <w:t>序号</w:t>
            </w:r>
          </w:p>
        </w:tc>
        <w:tc>
          <w:tcPr>
            <w:tcW w:w="4170" w:type="dxa"/>
            <w:noWrap w:val="0"/>
            <w:vAlign w:val="center"/>
          </w:tcPr>
          <w:p w14:paraId="390611B2">
            <w:pPr>
              <w:jc w:val="center"/>
              <w:rPr>
                <w:rFonts w:hint="eastAsia" w:eastAsia="宋体"/>
                <w:b/>
                <w:bCs/>
                <w:color w:val="auto"/>
                <w:kern w:val="0"/>
                <w:sz w:val="24"/>
                <w:szCs w:val="22"/>
                <w:highlight w:val="none"/>
                <w:lang w:val="en-US" w:eastAsia="zh-CN"/>
              </w:rPr>
            </w:pPr>
            <w:r>
              <w:rPr>
                <w:rFonts w:hint="eastAsia"/>
                <w:b/>
                <w:bCs/>
                <w:color w:val="auto"/>
                <w:kern w:val="0"/>
                <w:sz w:val="24"/>
                <w:szCs w:val="22"/>
                <w:highlight w:val="none"/>
                <w:lang w:val="en-US" w:eastAsia="zh-CN"/>
              </w:rPr>
              <w:t>岗位配置</w:t>
            </w:r>
          </w:p>
        </w:tc>
        <w:tc>
          <w:tcPr>
            <w:tcW w:w="1575" w:type="dxa"/>
            <w:noWrap w:val="0"/>
            <w:vAlign w:val="center"/>
          </w:tcPr>
          <w:p w14:paraId="46F72E4D">
            <w:pPr>
              <w:jc w:val="center"/>
              <w:rPr>
                <w:rFonts w:hint="eastAsia"/>
                <w:b/>
                <w:bCs/>
                <w:color w:val="auto"/>
                <w:kern w:val="0"/>
                <w:sz w:val="24"/>
                <w:szCs w:val="22"/>
                <w:highlight w:val="none"/>
              </w:rPr>
            </w:pPr>
            <w:r>
              <w:rPr>
                <w:rFonts w:hint="eastAsia"/>
                <w:b/>
                <w:bCs/>
                <w:color w:val="auto"/>
                <w:sz w:val="24"/>
                <w:szCs w:val="24"/>
                <w:highlight w:val="none"/>
              </w:rPr>
              <w:t>人员配置</w:t>
            </w:r>
          </w:p>
        </w:tc>
        <w:tc>
          <w:tcPr>
            <w:tcW w:w="2046" w:type="dxa"/>
            <w:noWrap w:val="0"/>
            <w:vAlign w:val="center"/>
          </w:tcPr>
          <w:p w14:paraId="72E1536B">
            <w:pPr>
              <w:jc w:val="center"/>
              <w:rPr>
                <w:rFonts w:hint="eastAsia" w:eastAsia="宋体"/>
                <w:b/>
                <w:bCs/>
                <w:color w:val="auto"/>
                <w:sz w:val="24"/>
                <w:szCs w:val="24"/>
                <w:highlight w:val="none"/>
                <w:lang w:val="en-US" w:eastAsia="zh-CN"/>
              </w:rPr>
            </w:pPr>
            <w:r>
              <w:rPr>
                <w:rFonts w:hint="eastAsia"/>
                <w:b/>
                <w:bCs/>
                <w:color w:val="auto"/>
                <w:sz w:val="24"/>
                <w:szCs w:val="24"/>
                <w:highlight w:val="none"/>
                <w:lang w:val="en-US" w:eastAsia="zh-CN"/>
              </w:rPr>
              <w:t>备注</w:t>
            </w:r>
          </w:p>
        </w:tc>
      </w:tr>
      <w:tr w14:paraId="0DD5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050" w:type="dxa"/>
            <w:noWrap w:val="0"/>
            <w:vAlign w:val="center"/>
          </w:tcPr>
          <w:p w14:paraId="6BCFD351">
            <w:pPr>
              <w:jc w:val="center"/>
              <w:rPr>
                <w:rFonts w:hint="eastAsia" w:ascii="宋体" w:hAnsi="宋体" w:eastAsia="宋体" w:cs="宋体"/>
                <w:color w:val="auto"/>
                <w:kern w:val="0"/>
                <w:sz w:val="24"/>
                <w:szCs w:val="22"/>
                <w:highlight w:val="none"/>
                <w:lang w:eastAsia="zh-CN"/>
              </w:rPr>
            </w:pPr>
            <w:r>
              <w:rPr>
                <w:rFonts w:hint="eastAsia"/>
                <w:color w:val="auto"/>
                <w:sz w:val="24"/>
                <w:szCs w:val="24"/>
                <w:highlight w:val="none"/>
                <w:lang w:val="en-US" w:eastAsia="zh-CN"/>
              </w:rPr>
              <w:t>1</w:t>
            </w:r>
          </w:p>
        </w:tc>
        <w:tc>
          <w:tcPr>
            <w:tcW w:w="4170" w:type="dxa"/>
            <w:noWrap w:val="0"/>
            <w:vAlign w:val="center"/>
          </w:tcPr>
          <w:p w14:paraId="6BE497A4">
            <w:pPr>
              <w:jc w:val="center"/>
              <w:rPr>
                <w:rFonts w:hint="default" w:ascii="Times New Roman" w:hAnsi="Times New Roman" w:cs="Times New Roman"/>
                <w:color w:val="auto"/>
                <w:kern w:val="0"/>
                <w:sz w:val="24"/>
                <w:szCs w:val="22"/>
                <w:highlight w:val="none"/>
              </w:rPr>
            </w:pPr>
            <w:r>
              <w:rPr>
                <w:rFonts w:hint="default" w:ascii="Times New Roman" w:hAnsi="Times New Roman" w:cs="Times New Roman"/>
                <w:color w:val="auto"/>
                <w:sz w:val="24"/>
                <w:highlight w:val="none"/>
              </w:rPr>
              <w:t>门卫</w:t>
            </w:r>
          </w:p>
        </w:tc>
        <w:tc>
          <w:tcPr>
            <w:tcW w:w="1575" w:type="dxa"/>
            <w:noWrap w:val="0"/>
            <w:vAlign w:val="center"/>
          </w:tcPr>
          <w:p w14:paraId="21565EB2">
            <w:pPr>
              <w:jc w:val="center"/>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highlight w:val="none"/>
                <w:lang w:val="en-US" w:eastAsia="zh-CN"/>
              </w:rPr>
              <w:t>4</w:t>
            </w:r>
            <w:r>
              <w:rPr>
                <w:rFonts w:hint="default" w:ascii="Times New Roman" w:hAnsi="Times New Roman" w:cs="Times New Roman"/>
                <w:color w:val="auto"/>
                <w:sz w:val="24"/>
                <w:highlight w:val="none"/>
              </w:rPr>
              <w:t>人</w:t>
            </w:r>
          </w:p>
        </w:tc>
        <w:tc>
          <w:tcPr>
            <w:tcW w:w="2046" w:type="dxa"/>
            <w:noWrap w:val="0"/>
            <w:vAlign w:val="center"/>
          </w:tcPr>
          <w:p w14:paraId="33564CFE">
            <w:pPr>
              <w:jc w:val="center"/>
              <w:rPr>
                <w:rFonts w:hint="default" w:eastAsia="宋体"/>
                <w:strike/>
                <w:dstrike w:val="0"/>
                <w:color w:val="auto"/>
                <w:sz w:val="24"/>
                <w:szCs w:val="24"/>
                <w:highlight w:val="none"/>
                <w:lang w:val="en-US" w:eastAsia="zh-CN"/>
              </w:rPr>
            </w:pPr>
          </w:p>
        </w:tc>
      </w:tr>
      <w:tr w14:paraId="19AA3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050" w:type="dxa"/>
            <w:noWrap w:val="0"/>
            <w:vAlign w:val="center"/>
          </w:tcPr>
          <w:p w14:paraId="6B5B6A5B">
            <w:pPr>
              <w:jc w:val="center"/>
              <w:rPr>
                <w:rFonts w:hint="eastAsia"/>
                <w:color w:val="auto"/>
                <w:sz w:val="24"/>
                <w:szCs w:val="24"/>
                <w:highlight w:val="none"/>
                <w:lang w:val="en-US" w:eastAsia="zh-CN"/>
              </w:rPr>
            </w:pPr>
            <w:r>
              <w:rPr>
                <w:rFonts w:hint="eastAsia"/>
                <w:color w:val="auto"/>
                <w:sz w:val="24"/>
                <w:szCs w:val="24"/>
                <w:highlight w:val="none"/>
                <w:lang w:val="en-US" w:eastAsia="zh-CN"/>
              </w:rPr>
              <w:t>2</w:t>
            </w:r>
          </w:p>
        </w:tc>
        <w:tc>
          <w:tcPr>
            <w:tcW w:w="4170" w:type="dxa"/>
            <w:noWrap w:val="0"/>
            <w:vAlign w:val="center"/>
          </w:tcPr>
          <w:p w14:paraId="5C6C9622">
            <w:pPr>
              <w:jc w:val="cente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highlight w:val="none"/>
              </w:rPr>
              <w:t>门诊大厅巡查</w:t>
            </w:r>
            <w:r>
              <w:rPr>
                <w:rFonts w:hint="default" w:ascii="Times New Roman" w:hAnsi="Times New Roman" w:cs="Times New Roman"/>
                <w:color w:val="auto"/>
                <w:sz w:val="24"/>
                <w:highlight w:val="none"/>
                <w:lang w:val="en-US" w:eastAsia="zh-CN"/>
              </w:rPr>
              <w:t>保安（安检保安）</w:t>
            </w:r>
          </w:p>
        </w:tc>
        <w:tc>
          <w:tcPr>
            <w:tcW w:w="1575" w:type="dxa"/>
            <w:noWrap w:val="0"/>
            <w:vAlign w:val="center"/>
          </w:tcPr>
          <w:p w14:paraId="7197AFD3">
            <w:pPr>
              <w:jc w:val="cente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rPr>
              <w:t>人</w:t>
            </w:r>
          </w:p>
        </w:tc>
        <w:tc>
          <w:tcPr>
            <w:tcW w:w="2046" w:type="dxa"/>
            <w:noWrap w:val="0"/>
            <w:vAlign w:val="center"/>
          </w:tcPr>
          <w:p w14:paraId="40BDEBF5">
            <w:pPr>
              <w:jc w:val="center"/>
              <w:rPr>
                <w:rFonts w:hint="default" w:eastAsia="宋体"/>
                <w:strike/>
                <w:dstrike w:val="0"/>
                <w:color w:val="auto"/>
                <w:sz w:val="24"/>
                <w:szCs w:val="24"/>
                <w:highlight w:val="none"/>
                <w:lang w:val="en-US" w:eastAsia="zh-CN"/>
              </w:rPr>
            </w:pPr>
          </w:p>
        </w:tc>
      </w:tr>
      <w:tr w14:paraId="71A3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050" w:type="dxa"/>
            <w:noWrap w:val="0"/>
            <w:vAlign w:val="center"/>
          </w:tcPr>
          <w:p w14:paraId="64C94724">
            <w:pPr>
              <w:jc w:val="center"/>
              <w:rPr>
                <w:rFonts w:hint="default"/>
                <w:color w:val="auto"/>
                <w:sz w:val="24"/>
                <w:szCs w:val="24"/>
                <w:highlight w:val="none"/>
                <w:lang w:val="en-US" w:eastAsia="zh-CN"/>
              </w:rPr>
            </w:pPr>
            <w:r>
              <w:rPr>
                <w:rFonts w:hint="eastAsia"/>
                <w:color w:val="auto"/>
                <w:sz w:val="24"/>
                <w:szCs w:val="24"/>
                <w:highlight w:val="none"/>
                <w:lang w:val="en-US" w:eastAsia="zh-CN"/>
              </w:rPr>
              <w:t>3</w:t>
            </w:r>
          </w:p>
        </w:tc>
        <w:tc>
          <w:tcPr>
            <w:tcW w:w="4170" w:type="dxa"/>
            <w:noWrap w:val="0"/>
            <w:vAlign w:val="center"/>
          </w:tcPr>
          <w:p w14:paraId="1F395606">
            <w:pPr>
              <w:jc w:val="cente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highlight w:val="none"/>
                <w:lang w:val="en-US" w:eastAsia="zh-CN"/>
              </w:rPr>
              <w:t>消控室保安</w:t>
            </w:r>
          </w:p>
        </w:tc>
        <w:tc>
          <w:tcPr>
            <w:tcW w:w="1575" w:type="dxa"/>
            <w:noWrap w:val="0"/>
            <w:vAlign w:val="center"/>
          </w:tcPr>
          <w:p w14:paraId="79DB4935">
            <w:pPr>
              <w:jc w:val="center"/>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highlight w:val="none"/>
                <w:lang w:val="en-US" w:eastAsia="zh-CN"/>
              </w:rPr>
              <w:t>4</w:t>
            </w:r>
            <w:r>
              <w:rPr>
                <w:rFonts w:hint="default" w:ascii="Times New Roman" w:hAnsi="Times New Roman" w:cs="Times New Roman"/>
                <w:color w:val="auto"/>
                <w:sz w:val="24"/>
                <w:highlight w:val="none"/>
                <w:lang w:val="en-US" w:eastAsia="zh-CN"/>
              </w:rPr>
              <w:t>人</w:t>
            </w:r>
          </w:p>
        </w:tc>
        <w:tc>
          <w:tcPr>
            <w:tcW w:w="2046" w:type="dxa"/>
            <w:noWrap w:val="0"/>
            <w:vAlign w:val="center"/>
          </w:tcPr>
          <w:p w14:paraId="5ED0200C">
            <w:pPr>
              <w:jc w:val="center"/>
              <w:rPr>
                <w:rFonts w:hint="default"/>
                <w:strike/>
                <w:dstrike w:val="0"/>
                <w:color w:val="auto"/>
                <w:sz w:val="24"/>
                <w:szCs w:val="24"/>
                <w:highlight w:val="none"/>
                <w:lang w:val="en-US" w:eastAsia="zh-CN"/>
              </w:rPr>
            </w:pPr>
          </w:p>
        </w:tc>
      </w:tr>
      <w:tr w14:paraId="5224F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220" w:type="dxa"/>
            <w:gridSpan w:val="2"/>
            <w:noWrap w:val="0"/>
            <w:vAlign w:val="center"/>
          </w:tcPr>
          <w:p w14:paraId="04465ECC">
            <w:pPr>
              <w:jc w:val="center"/>
              <w:rPr>
                <w:rFonts w:hint="default"/>
                <w:color w:val="auto"/>
                <w:sz w:val="24"/>
                <w:szCs w:val="24"/>
                <w:highlight w:val="none"/>
                <w:lang w:val="en-US" w:eastAsia="zh-CN"/>
              </w:rPr>
            </w:pPr>
            <w:r>
              <w:rPr>
                <w:rFonts w:hint="eastAsia"/>
                <w:color w:val="auto"/>
                <w:sz w:val="24"/>
                <w:szCs w:val="24"/>
                <w:highlight w:val="none"/>
                <w:lang w:val="en-US" w:eastAsia="zh-CN"/>
              </w:rPr>
              <w:t>合计</w:t>
            </w:r>
          </w:p>
        </w:tc>
        <w:tc>
          <w:tcPr>
            <w:tcW w:w="1575" w:type="dxa"/>
            <w:noWrap w:val="0"/>
            <w:vAlign w:val="center"/>
          </w:tcPr>
          <w:p w14:paraId="4ACE3269">
            <w:pPr>
              <w:jc w:val="center"/>
              <w:rPr>
                <w:rFonts w:hint="default"/>
                <w:color w:val="auto"/>
                <w:sz w:val="24"/>
                <w:szCs w:val="24"/>
                <w:highlight w:val="none"/>
                <w:lang w:val="en-US" w:eastAsia="zh-CN"/>
              </w:rPr>
            </w:pPr>
            <w:r>
              <w:rPr>
                <w:rFonts w:hint="eastAsia"/>
                <w:color w:val="auto"/>
                <w:sz w:val="24"/>
                <w:szCs w:val="24"/>
                <w:highlight w:val="none"/>
                <w:lang w:val="en-US" w:eastAsia="zh-CN"/>
              </w:rPr>
              <w:t>9人</w:t>
            </w:r>
          </w:p>
        </w:tc>
        <w:tc>
          <w:tcPr>
            <w:tcW w:w="2046" w:type="dxa"/>
            <w:noWrap w:val="0"/>
            <w:vAlign w:val="center"/>
          </w:tcPr>
          <w:p w14:paraId="6B160459">
            <w:pPr>
              <w:jc w:val="center"/>
              <w:rPr>
                <w:rFonts w:hint="eastAsia"/>
                <w:color w:val="auto"/>
                <w:sz w:val="24"/>
                <w:szCs w:val="24"/>
                <w:highlight w:val="none"/>
              </w:rPr>
            </w:pPr>
          </w:p>
        </w:tc>
      </w:tr>
    </w:tbl>
    <w:p w14:paraId="0EC78C70">
      <w:pPr>
        <w:spacing w:line="440" w:lineRule="exact"/>
        <w:ind w:firstLine="241" w:firstLineChars="100"/>
        <w:rPr>
          <w:rFonts w:hint="eastAsia"/>
          <w:b/>
          <w:bCs/>
          <w:color w:val="auto"/>
          <w:sz w:val="24"/>
          <w:szCs w:val="24"/>
          <w:highlight w:val="none"/>
        </w:rPr>
      </w:pPr>
      <w:r>
        <w:rPr>
          <w:rFonts w:hint="eastAsia"/>
          <w:b/>
          <w:bCs/>
          <w:color w:val="auto"/>
          <w:sz w:val="24"/>
          <w:szCs w:val="24"/>
          <w:highlight w:val="none"/>
        </w:rPr>
        <w:t>注：</w:t>
      </w:r>
      <w:r>
        <w:rPr>
          <w:rFonts w:hint="eastAsia"/>
          <w:b/>
          <w:bCs/>
          <w:color w:val="auto"/>
          <w:sz w:val="24"/>
          <w:szCs w:val="24"/>
          <w:highlight w:val="none"/>
          <w:lang w:val="en-US" w:eastAsia="zh-CN"/>
        </w:rPr>
        <w:t>1、</w:t>
      </w:r>
      <w:r>
        <w:rPr>
          <w:rFonts w:hint="eastAsia"/>
          <w:b/>
          <w:bCs/>
          <w:color w:val="auto"/>
          <w:sz w:val="24"/>
          <w:szCs w:val="24"/>
          <w:highlight w:val="none"/>
        </w:rPr>
        <w:t>上述人员配置为本项目最低配置，实际配置由投标人根据招标文件要求结合现场踏勘情况后自行考虑。</w:t>
      </w:r>
    </w:p>
    <w:p w14:paraId="6FCAC263">
      <w:pPr>
        <w:spacing w:line="440" w:lineRule="exact"/>
        <w:ind w:firstLine="723" w:firstLineChars="300"/>
        <w:rPr>
          <w:color w:val="auto"/>
          <w:highlight w:val="none"/>
        </w:rPr>
      </w:pPr>
      <w:r>
        <w:rPr>
          <w:rFonts w:hint="eastAsia" w:ascii="宋体" w:hAnsi="宋体" w:cs="宋体"/>
          <w:b/>
          <w:bCs/>
          <w:color w:val="auto"/>
          <w:kern w:val="2"/>
          <w:sz w:val="24"/>
          <w:szCs w:val="24"/>
          <w:highlight w:val="none"/>
          <w:lang w:val="en-US" w:eastAsia="zh-CN"/>
        </w:rPr>
        <w:t>2</w:t>
      </w:r>
      <w:r>
        <w:rPr>
          <w:rFonts w:hint="eastAsia" w:ascii="宋体" w:hAnsi="宋体" w:cs="宋体"/>
          <w:b/>
          <w:bCs/>
          <w:color w:val="auto"/>
          <w:kern w:val="2"/>
          <w:sz w:val="24"/>
          <w:szCs w:val="24"/>
          <w:highlight w:val="none"/>
        </w:rPr>
        <w:t>、中标人在投标文件中拟投入人员即实际提供履约服务的人员，非经采购人允许，不得随意更换。如确需更换的，需保证服务人员的职称、证书、资历等要求不低于投标文件中拟投入人员。</w:t>
      </w:r>
    </w:p>
    <w:p w14:paraId="57FF9311">
      <w:pPr>
        <w:spacing w:line="450" w:lineRule="exact"/>
        <w:outlineLvl w:val="1"/>
        <w:rPr>
          <w:rFonts w:hint="eastAsia"/>
          <w:color w:val="auto"/>
          <w:highlight w:val="none"/>
        </w:rPr>
      </w:pPr>
      <w:bookmarkStart w:id="88" w:name="_Toc31837"/>
      <w:bookmarkStart w:id="89" w:name="_Toc25262"/>
      <w:bookmarkStart w:id="90" w:name="_Toc6934"/>
      <w:bookmarkStart w:id="91" w:name="_Toc5380"/>
      <w:r>
        <w:rPr>
          <w:rFonts w:hint="eastAsia"/>
          <w:b/>
          <w:bCs/>
          <w:color w:val="auto"/>
          <w:sz w:val="28"/>
          <w:szCs w:val="28"/>
          <w:highlight w:val="none"/>
        </w:rPr>
        <w:t>三、</w:t>
      </w:r>
      <w:r>
        <w:rPr>
          <w:b/>
          <w:bCs/>
          <w:color w:val="auto"/>
          <w:sz w:val="28"/>
          <w:szCs w:val="28"/>
          <w:highlight w:val="none"/>
        </w:rPr>
        <w:t>项目服务要求：</w:t>
      </w:r>
      <w:bookmarkEnd w:id="82"/>
      <w:bookmarkEnd w:id="83"/>
      <w:bookmarkEnd w:id="88"/>
      <w:bookmarkEnd w:id="89"/>
      <w:bookmarkEnd w:id="90"/>
      <w:bookmarkEnd w:id="91"/>
    </w:p>
    <w:p w14:paraId="429BA74B">
      <w:pPr>
        <w:spacing w:line="440" w:lineRule="exact"/>
        <w:outlineLvl w:val="2"/>
        <w:rPr>
          <w:rFonts w:hint="eastAsia"/>
          <w:b/>
          <w:bCs/>
          <w:color w:val="auto"/>
          <w:sz w:val="24"/>
          <w:szCs w:val="24"/>
          <w:highlight w:val="none"/>
        </w:rPr>
      </w:pPr>
      <w:bookmarkStart w:id="92" w:name="_Toc24854"/>
      <w:bookmarkStart w:id="93" w:name="_Toc23896"/>
      <w:bookmarkStart w:id="94" w:name="_Toc21423"/>
      <w:r>
        <w:rPr>
          <w:rFonts w:hint="eastAsia"/>
          <w:b/>
          <w:bCs/>
          <w:color w:val="auto"/>
          <w:sz w:val="24"/>
          <w:szCs w:val="24"/>
          <w:highlight w:val="none"/>
          <w:lang w:val="zh-CN"/>
        </w:rPr>
        <w:t>（</w:t>
      </w:r>
      <w:r>
        <w:rPr>
          <w:rFonts w:hint="eastAsia"/>
          <w:b/>
          <w:bCs/>
          <w:color w:val="auto"/>
          <w:sz w:val="24"/>
          <w:szCs w:val="24"/>
          <w:highlight w:val="none"/>
        </w:rPr>
        <w:t>一</w:t>
      </w:r>
      <w:r>
        <w:rPr>
          <w:rFonts w:hint="eastAsia"/>
          <w:b/>
          <w:bCs/>
          <w:color w:val="auto"/>
          <w:sz w:val="24"/>
          <w:szCs w:val="24"/>
          <w:highlight w:val="none"/>
          <w:lang w:val="zh-CN"/>
        </w:rPr>
        <w:t>）总体要求：</w:t>
      </w:r>
      <w:bookmarkEnd w:id="92"/>
      <w:bookmarkEnd w:id="93"/>
      <w:bookmarkEnd w:id="94"/>
    </w:p>
    <w:p w14:paraId="2F0674D4">
      <w:pPr>
        <w:spacing w:line="440" w:lineRule="exact"/>
        <w:ind w:firstLine="480" w:firstLineChars="200"/>
        <w:rPr>
          <w:rFonts w:hint="eastAsia"/>
          <w:i/>
          <w:iCs/>
          <w:color w:val="auto"/>
          <w:sz w:val="24"/>
          <w:szCs w:val="24"/>
          <w:highlight w:val="none"/>
          <w:u w:val="single"/>
        </w:rPr>
      </w:pPr>
      <w:r>
        <w:rPr>
          <w:rFonts w:hint="eastAsia"/>
          <w:i/>
          <w:iCs/>
          <w:color w:val="auto"/>
          <w:sz w:val="24"/>
          <w:szCs w:val="24"/>
          <w:highlight w:val="none"/>
          <w:u w:val="single"/>
          <w:lang w:val="en-US" w:eastAsia="zh-CN"/>
        </w:rPr>
        <w:t>1</w:t>
      </w:r>
      <w:r>
        <w:rPr>
          <w:rFonts w:hint="eastAsia"/>
          <w:i/>
          <w:iCs/>
          <w:color w:val="auto"/>
          <w:sz w:val="24"/>
          <w:szCs w:val="24"/>
          <w:highlight w:val="none"/>
          <w:u w:val="single"/>
        </w:rPr>
        <w:t>、</w:t>
      </w:r>
      <w:r>
        <w:rPr>
          <w:rFonts w:hint="eastAsia"/>
          <w:i/>
          <w:iCs/>
          <w:color w:val="auto"/>
          <w:sz w:val="24"/>
          <w:szCs w:val="24"/>
          <w:highlight w:val="none"/>
          <w:u w:val="single"/>
          <w:lang w:val="en-US" w:eastAsia="zh-CN"/>
        </w:rPr>
        <w:t>所有人员没有违法犯罪记录。</w:t>
      </w:r>
    </w:p>
    <w:p w14:paraId="516A0CDA">
      <w:pPr>
        <w:spacing w:line="440" w:lineRule="exact"/>
        <w:ind w:firstLine="480" w:firstLineChars="200"/>
        <w:rPr>
          <w:rFonts w:hint="eastAsia" w:eastAsia="宋体"/>
          <w:i/>
          <w:iCs/>
          <w:strike/>
          <w:dstrike w:val="0"/>
          <w:color w:val="auto"/>
          <w:sz w:val="24"/>
          <w:szCs w:val="24"/>
          <w:highlight w:val="none"/>
          <w:u w:val="single"/>
          <w:lang w:eastAsia="zh-CN"/>
        </w:rPr>
      </w:pPr>
      <w:r>
        <w:rPr>
          <w:rFonts w:hint="eastAsia"/>
          <w:i/>
          <w:iCs/>
          <w:color w:val="auto"/>
          <w:sz w:val="24"/>
          <w:szCs w:val="24"/>
          <w:highlight w:val="none"/>
          <w:u w:val="single"/>
          <w:lang w:val="en-US" w:eastAsia="zh-CN"/>
        </w:rPr>
        <w:t>2</w:t>
      </w:r>
      <w:r>
        <w:rPr>
          <w:rFonts w:hint="eastAsia"/>
          <w:i/>
          <w:iCs/>
          <w:color w:val="auto"/>
          <w:sz w:val="24"/>
          <w:szCs w:val="24"/>
          <w:highlight w:val="none"/>
          <w:u w:val="single"/>
        </w:rPr>
        <w:t>、全体工作人员具有保安上岗证</w:t>
      </w:r>
      <w:r>
        <w:rPr>
          <w:rFonts w:hint="eastAsia"/>
          <w:i/>
          <w:iCs/>
          <w:color w:val="auto"/>
          <w:sz w:val="24"/>
          <w:szCs w:val="24"/>
          <w:highlight w:val="none"/>
          <w:u w:val="single"/>
          <w:lang w:eastAsia="zh-CN"/>
        </w:rPr>
        <w:t>。</w:t>
      </w:r>
    </w:p>
    <w:p w14:paraId="687F41CD">
      <w:pPr>
        <w:spacing w:line="420" w:lineRule="exact"/>
        <w:ind w:firstLine="480"/>
        <w:rPr>
          <w:rFonts w:hint="eastAsia" w:ascii="Times New Roman" w:hAnsi="Times New Roman" w:eastAsia="宋体" w:cs="Times New Roman"/>
          <w:b/>
          <w:color w:val="auto"/>
          <w:sz w:val="24"/>
          <w:szCs w:val="24"/>
          <w:highlight w:val="none"/>
          <w:lang w:val="en-US" w:eastAsia="zh-CN"/>
        </w:rPr>
      </w:pPr>
      <w:r>
        <w:rPr>
          <w:rFonts w:hint="eastAsia"/>
          <w:i w:val="0"/>
          <w:iCs w:val="0"/>
          <w:color w:val="auto"/>
          <w:sz w:val="24"/>
          <w:szCs w:val="24"/>
          <w:highlight w:val="none"/>
          <w:u w:val="none"/>
          <w:lang w:val="en-US" w:eastAsia="zh-CN"/>
        </w:rPr>
        <w:t>3</w:t>
      </w:r>
      <w:r>
        <w:rPr>
          <w:rFonts w:hint="eastAsia"/>
          <w:i w:val="0"/>
          <w:iCs w:val="0"/>
          <w:color w:val="auto"/>
          <w:sz w:val="24"/>
          <w:szCs w:val="24"/>
          <w:highlight w:val="none"/>
          <w:u w:val="none"/>
        </w:rPr>
        <w:t>、</w:t>
      </w:r>
      <w:r>
        <w:rPr>
          <w:rFonts w:hint="eastAsia" w:ascii="Times New Roman" w:hAnsi="Times New Roman" w:eastAsia="宋体" w:cs="Times New Roman"/>
          <w:bCs/>
          <w:color w:val="auto"/>
          <w:sz w:val="24"/>
          <w:szCs w:val="24"/>
          <w:highlight w:val="none"/>
          <w:lang w:val="en-US" w:eastAsia="zh-CN"/>
        </w:rPr>
        <w:t>50周岁以内保安数量不得低于总数量的20%。</w:t>
      </w:r>
    </w:p>
    <w:p w14:paraId="4D4FA6DF">
      <w:pPr>
        <w:spacing w:line="420" w:lineRule="exact"/>
        <w:ind w:firstLine="480"/>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4</w:t>
      </w:r>
      <w:r>
        <w:rPr>
          <w:rFonts w:hint="default" w:ascii="Times New Roman" w:hAnsi="Times New Roman" w:eastAsia="宋体" w:cs="Times New Roman"/>
          <w:bCs/>
          <w:color w:val="auto"/>
          <w:sz w:val="24"/>
          <w:szCs w:val="24"/>
          <w:highlight w:val="none"/>
        </w:rPr>
        <w:t>、</w:t>
      </w:r>
      <w:r>
        <w:rPr>
          <w:rFonts w:hint="default" w:ascii="Times New Roman" w:hAnsi="Times New Roman" w:eastAsia="宋体" w:cs="Times New Roman"/>
          <w:bCs/>
          <w:color w:val="auto"/>
          <w:sz w:val="24"/>
          <w:szCs w:val="24"/>
          <w:highlight w:val="none"/>
          <w:lang w:val="en-US" w:eastAsia="zh-CN"/>
        </w:rPr>
        <w:t>投标人</w:t>
      </w:r>
      <w:r>
        <w:rPr>
          <w:rFonts w:hint="default" w:ascii="Times New Roman" w:hAnsi="Times New Roman" w:eastAsia="宋体" w:cs="Times New Roman"/>
          <w:bCs/>
          <w:color w:val="auto"/>
          <w:sz w:val="24"/>
          <w:szCs w:val="24"/>
          <w:highlight w:val="none"/>
        </w:rPr>
        <w:t>必须遵守劳动法，依法规范用工。</w:t>
      </w:r>
    </w:p>
    <w:p w14:paraId="68592FA1">
      <w:pPr>
        <w:spacing w:line="420" w:lineRule="exact"/>
        <w:ind w:firstLine="480"/>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5</w:t>
      </w:r>
      <w:r>
        <w:rPr>
          <w:rFonts w:hint="default" w:ascii="Times New Roman" w:hAnsi="Times New Roman" w:eastAsia="宋体" w:cs="Times New Roman"/>
          <w:bCs/>
          <w:color w:val="auto"/>
          <w:sz w:val="24"/>
          <w:szCs w:val="24"/>
          <w:highlight w:val="none"/>
        </w:rPr>
        <w:t>、符合条件的人员签订劳动合同，参加基本社会养老保险。</w:t>
      </w:r>
    </w:p>
    <w:p w14:paraId="5B73E231">
      <w:pPr>
        <w:spacing w:line="420" w:lineRule="exact"/>
        <w:ind w:firstLine="480"/>
        <w:rPr>
          <w:rFonts w:hint="default"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val="en-US" w:eastAsia="zh-CN"/>
        </w:rPr>
        <w:t>6</w:t>
      </w:r>
      <w:r>
        <w:rPr>
          <w:rFonts w:hint="default" w:ascii="Times New Roman" w:hAnsi="Times New Roman" w:eastAsia="宋体" w:cs="Times New Roman"/>
          <w:bCs/>
          <w:color w:val="auto"/>
          <w:sz w:val="24"/>
          <w:szCs w:val="24"/>
          <w:highlight w:val="none"/>
        </w:rPr>
        <w:t>、本项目所有人员工资应不低于常熟市最低工资标准，加班费用支付按政策法规规定执行</w:t>
      </w:r>
      <w:r>
        <w:rPr>
          <w:rFonts w:hint="default" w:ascii="Times New Roman" w:hAnsi="Times New Roman" w:eastAsia="宋体" w:cs="Times New Roman"/>
          <w:bCs/>
          <w:color w:val="auto"/>
          <w:sz w:val="24"/>
          <w:szCs w:val="24"/>
          <w:highlight w:val="none"/>
          <w:lang w:eastAsia="zh-CN"/>
        </w:rPr>
        <w:t>。</w:t>
      </w:r>
    </w:p>
    <w:p w14:paraId="1C9BEDBE">
      <w:pPr>
        <w:spacing w:line="420" w:lineRule="exact"/>
        <w:ind w:firstLine="480"/>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7</w:t>
      </w:r>
      <w:r>
        <w:rPr>
          <w:rFonts w:hint="default" w:ascii="Times New Roman" w:hAnsi="Times New Roman" w:eastAsia="宋体" w:cs="Times New Roman"/>
          <w:bCs/>
          <w:color w:val="auto"/>
          <w:sz w:val="24"/>
          <w:szCs w:val="24"/>
          <w:highlight w:val="none"/>
        </w:rPr>
        <w:t>、所有服务项目参照《保安服务管理条例》、《公安机关实施保安服务管理条例办法》、《中华人民共和国消防法》等内容进行管理，并且不局限于以上要求内容。</w:t>
      </w:r>
    </w:p>
    <w:p w14:paraId="64654414">
      <w:pPr>
        <w:keepNext w:val="0"/>
        <w:keepLines w:val="0"/>
        <w:pageBreakBefore w:val="0"/>
        <w:widowControl w:val="0"/>
        <w:kinsoku/>
        <w:wordWrap/>
        <w:overflowPunct/>
        <w:topLinePunct w:val="0"/>
        <w:autoSpaceDE/>
        <w:autoSpaceDN/>
        <w:bidi w:val="0"/>
        <w:snapToGrid/>
        <w:spacing w:line="420" w:lineRule="exact"/>
        <w:ind w:firstLine="48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8、供应商须采取切实有效措施保持队伍的稳定，严格控制非违纪人员轮换岗比例，合同期限内轮换岗人数不得超过合同编制的30%，采购人不满意要求调换的除外。队伍主要管理员更换，应提前半个月通知采购人，其他队员更换要提前三天告知采购人，确保服务质量不因人员变动而受影响。</w:t>
      </w:r>
    </w:p>
    <w:p w14:paraId="42570573">
      <w:pPr>
        <w:pStyle w:val="22"/>
        <w:keepNext w:val="0"/>
        <w:keepLines w:val="0"/>
        <w:pageBreakBefore w:val="0"/>
        <w:widowControl w:val="0"/>
        <w:kinsoku/>
        <w:wordWrap/>
        <w:overflowPunct/>
        <w:topLinePunct w:val="0"/>
        <w:autoSpaceDE/>
        <w:autoSpaceDN/>
        <w:bidi w:val="0"/>
        <w:snapToGrid/>
        <w:spacing w:line="420" w:lineRule="exact"/>
        <w:rPr>
          <w:rFonts w:hint="default" w:ascii="Times New Roman" w:hAnsi="Times New Roman" w:eastAsia="宋体" w:cs="Times New Roman"/>
          <w:bCs/>
          <w:color w:val="auto"/>
          <w:kern w:val="2"/>
          <w:sz w:val="24"/>
          <w:szCs w:val="24"/>
          <w:highlight w:val="none"/>
          <w:lang w:val="en-US" w:eastAsia="zh-CN" w:bidi="ar-SA"/>
        </w:rPr>
      </w:pPr>
      <w:r>
        <w:rPr>
          <w:rFonts w:hint="eastAsia" w:ascii="Times New Roman" w:hAnsi="Times New Roman" w:eastAsia="宋体" w:cs="Times New Roman"/>
          <w:bCs/>
          <w:color w:val="auto"/>
          <w:kern w:val="2"/>
          <w:sz w:val="24"/>
          <w:szCs w:val="24"/>
          <w:highlight w:val="none"/>
          <w:lang w:val="en-US" w:eastAsia="zh-CN" w:bidi="ar-SA"/>
        </w:rPr>
        <w:t>9、供应商人员队伍中有违纪违法行为或行为不当的，采购人认为需要调换的，由采购人通知供应商进行人员调换。</w:t>
      </w:r>
    </w:p>
    <w:p w14:paraId="64565CBD">
      <w:pPr>
        <w:spacing w:line="440" w:lineRule="exact"/>
        <w:outlineLvl w:val="2"/>
        <w:rPr>
          <w:rFonts w:hint="eastAsia"/>
          <w:b/>
          <w:bCs/>
          <w:color w:val="auto"/>
          <w:sz w:val="24"/>
          <w:szCs w:val="24"/>
          <w:highlight w:val="none"/>
          <w:lang w:val="zh-CN"/>
        </w:rPr>
      </w:pPr>
      <w:bookmarkStart w:id="95" w:name="_Toc21868"/>
      <w:bookmarkStart w:id="96" w:name="_Toc5367"/>
      <w:bookmarkStart w:id="97" w:name="_Toc1174"/>
      <w:r>
        <w:rPr>
          <w:rFonts w:hint="eastAsia"/>
          <w:b/>
          <w:bCs/>
          <w:color w:val="auto"/>
          <w:sz w:val="24"/>
          <w:szCs w:val="24"/>
          <w:highlight w:val="none"/>
          <w:lang w:val="zh-CN"/>
        </w:rPr>
        <w:t>（二）人员要求：</w:t>
      </w:r>
      <w:bookmarkEnd w:id="95"/>
      <w:bookmarkEnd w:id="96"/>
      <w:bookmarkEnd w:id="97"/>
    </w:p>
    <w:p w14:paraId="2C68E86B">
      <w:pPr>
        <w:spacing w:line="440" w:lineRule="exact"/>
        <w:ind w:firstLine="480" w:firstLineChars="200"/>
        <w:rPr>
          <w:rFonts w:hint="eastAsia"/>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w:t>
      </w:r>
      <w:r>
        <w:rPr>
          <w:rFonts w:hint="eastAsia"/>
          <w:color w:val="auto"/>
          <w:sz w:val="24"/>
          <w:szCs w:val="24"/>
          <w:highlight w:val="none"/>
          <w:lang w:val="en-US" w:eastAsia="zh-CN"/>
        </w:rPr>
        <w:t>门卫及</w:t>
      </w:r>
      <w:r>
        <w:rPr>
          <w:rFonts w:hint="eastAsia"/>
          <w:color w:val="auto"/>
          <w:sz w:val="24"/>
          <w:szCs w:val="24"/>
          <w:highlight w:val="none"/>
        </w:rPr>
        <w:t>保安</w:t>
      </w:r>
      <w:r>
        <w:rPr>
          <w:rFonts w:hint="eastAsia"/>
          <w:color w:val="auto"/>
          <w:sz w:val="24"/>
          <w:szCs w:val="24"/>
          <w:highlight w:val="none"/>
          <w:lang w:val="en-US" w:eastAsia="zh-CN"/>
        </w:rPr>
        <w:t>人</w:t>
      </w:r>
      <w:r>
        <w:rPr>
          <w:rFonts w:hint="eastAsia"/>
          <w:color w:val="auto"/>
          <w:sz w:val="24"/>
          <w:szCs w:val="24"/>
          <w:highlight w:val="none"/>
        </w:rPr>
        <w:t>员要求：</w:t>
      </w:r>
    </w:p>
    <w:p w14:paraId="4EC508E7">
      <w:pPr>
        <w:spacing w:line="440" w:lineRule="exact"/>
        <w:ind w:firstLine="720" w:firstLineChars="300"/>
        <w:rPr>
          <w:rFonts w:hint="eastAsia"/>
          <w:color w:val="auto"/>
          <w:sz w:val="24"/>
          <w:szCs w:val="24"/>
          <w:highlight w:val="none"/>
          <w:lang w:eastAsia="zh-CN"/>
        </w:rPr>
      </w:pPr>
      <w:r>
        <w:rPr>
          <w:rFonts w:hint="eastAsia"/>
          <w:color w:val="auto"/>
          <w:sz w:val="24"/>
          <w:szCs w:val="24"/>
          <w:highlight w:val="none"/>
          <w:lang w:val="en-US" w:eastAsia="zh-CN"/>
        </w:rPr>
        <w:t>1</w:t>
      </w:r>
      <w:r>
        <w:rPr>
          <w:rFonts w:hint="eastAsia"/>
          <w:color w:val="auto"/>
          <w:sz w:val="24"/>
          <w:szCs w:val="24"/>
          <w:highlight w:val="none"/>
        </w:rPr>
        <w:t>.1初中（含）以上学历。</w:t>
      </w:r>
      <w:r>
        <w:rPr>
          <w:rFonts w:hint="eastAsia"/>
          <w:color w:val="auto"/>
          <w:sz w:val="24"/>
          <w:szCs w:val="24"/>
          <w:highlight w:val="none"/>
          <w:lang w:val="en-US" w:eastAsia="zh-CN"/>
        </w:rPr>
        <w:t>男性，</w:t>
      </w:r>
      <w:r>
        <w:rPr>
          <w:rFonts w:hint="eastAsia"/>
          <w:color w:val="auto"/>
          <w:sz w:val="24"/>
          <w:szCs w:val="24"/>
          <w:highlight w:val="none"/>
        </w:rPr>
        <w:t>年龄</w:t>
      </w:r>
      <w:r>
        <w:rPr>
          <w:rFonts w:hint="eastAsia"/>
          <w:color w:val="auto"/>
          <w:sz w:val="24"/>
          <w:szCs w:val="24"/>
          <w:highlight w:val="none"/>
          <w:lang w:val="en-US" w:eastAsia="zh-CN"/>
        </w:rPr>
        <w:t>59</w:t>
      </w:r>
      <w:r>
        <w:rPr>
          <w:rFonts w:hint="eastAsia"/>
          <w:color w:val="auto"/>
          <w:sz w:val="24"/>
          <w:szCs w:val="24"/>
          <w:highlight w:val="none"/>
        </w:rPr>
        <w:t>周岁（含）以下</w:t>
      </w:r>
      <w:r>
        <w:rPr>
          <w:rFonts w:hint="eastAsia"/>
          <w:color w:val="auto"/>
          <w:sz w:val="24"/>
          <w:szCs w:val="24"/>
          <w:highlight w:val="none"/>
          <w:lang w:eastAsia="zh-CN"/>
        </w:rPr>
        <w:t>。</w:t>
      </w:r>
    </w:p>
    <w:p w14:paraId="7F2C45E0">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.2身高1.65m（含）以上。</w:t>
      </w:r>
    </w:p>
    <w:p w14:paraId="070F3041">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1.3</w:t>
      </w:r>
      <w:r>
        <w:rPr>
          <w:rFonts w:hint="eastAsia"/>
          <w:color w:val="auto"/>
          <w:sz w:val="24"/>
          <w:szCs w:val="24"/>
          <w:highlight w:val="none"/>
        </w:rPr>
        <w:t>五官端正，身体健康，无传染性疾病、精神疾病，无残疾、无明显疤痕或标志。</w:t>
      </w:r>
    </w:p>
    <w:p w14:paraId="20930CF4">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1.4</w:t>
      </w:r>
      <w:r>
        <w:rPr>
          <w:rFonts w:hint="eastAsia"/>
          <w:color w:val="auto"/>
          <w:sz w:val="24"/>
          <w:szCs w:val="24"/>
          <w:highlight w:val="none"/>
        </w:rPr>
        <w:t>具备较强的工作责任心，认真履行工作职责。</w:t>
      </w:r>
    </w:p>
    <w:p w14:paraId="14E16DA5">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1.5</w:t>
      </w:r>
      <w:r>
        <w:rPr>
          <w:rFonts w:hint="eastAsia"/>
          <w:color w:val="auto"/>
          <w:sz w:val="24"/>
          <w:szCs w:val="24"/>
          <w:highlight w:val="none"/>
        </w:rPr>
        <w:t>经消防培训后的义务消防队员，退役军人优先录用。</w:t>
      </w:r>
    </w:p>
    <w:p w14:paraId="094DB0D7">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w:t>
      </w:r>
      <w:r>
        <w:rPr>
          <w:rFonts w:hint="eastAsia"/>
          <w:color w:val="auto"/>
          <w:sz w:val="24"/>
          <w:szCs w:val="24"/>
          <w:highlight w:val="none"/>
          <w:lang w:val="en-US" w:eastAsia="zh-CN"/>
        </w:rPr>
        <w:t>6能做到</w:t>
      </w:r>
      <w:r>
        <w:rPr>
          <w:rFonts w:hint="eastAsia"/>
          <w:color w:val="auto"/>
          <w:sz w:val="24"/>
          <w:szCs w:val="24"/>
          <w:highlight w:val="none"/>
        </w:rPr>
        <w:t>文明值班，坚守岗位，礼貌待人，做好值班记录。</w:t>
      </w:r>
    </w:p>
    <w:p w14:paraId="0FE2287A">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w:t>
      </w:r>
      <w:r>
        <w:rPr>
          <w:rFonts w:hint="eastAsia"/>
          <w:color w:val="auto"/>
          <w:sz w:val="24"/>
          <w:szCs w:val="24"/>
          <w:highlight w:val="none"/>
          <w:lang w:val="en-US" w:eastAsia="zh-CN"/>
        </w:rPr>
        <w:t>7</w:t>
      </w:r>
      <w:r>
        <w:rPr>
          <w:rFonts w:hint="eastAsia"/>
          <w:color w:val="auto"/>
          <w:sz w:val="24"/>
          <w:szCs w:val="24"/>
          <w:highlight w:val="none"/>
        </w:rPr>
        <w:t>严格遵守保安从业规范，遵守医院管理规定。</w:t>
      </w:r>
    </w:p>
    <w:p w14:paraId="19C05838">
      <w:pPr>
        <w:spacing w:line="440" w:lineRule="exact"/>
        <w:ind w:firstLine="720" w:firstLineChars="3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1.8具备一定的语言表达能力和沟通能力。</w:t>
      </w:r>
    </w:p>
    <w:p w14:paraId="7404B217">
      <w:pPr>
        <w:spacing w:line="440" w:lineRule="exact"/>
        <w:ind w:firstLine="720" w:firstLineChars="3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1.9具备与岗位要求相应的观察、发现和处置问题的能力。</w:t>
      </w:r>
    </w:p>
    <w:p w14:paraId="1FC53BA4">
      <w:pPr>
        <w:spacing w:line="440" w:lineRule="exact"/>
        <w:ind w:firstLine="720" w:firstLineChars="3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1.10统一着装，挂牌上岗，仪表端庄。</w:t>
      </w:r>
    </w:p>
    <w:p w14:paraId="3EE8A15B">
      <w:pPr>
        <w:spacing w:line="440" w:lineRule="exact"/>
        <w:ind w:firstLine="480" w:firstLineChars="200"/>
        <w:rPr>
          <w:rFonts w:hint="eastAsia"/>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、消控室人员要求：</w:t>
      </w:r>
    </w:p>
    <w:p w14:paraId="48E83F72">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.1初中（含）以上学历。</w:t>
      </w:r>
    </w:p>
    <w:p w14:paraId="019C679C">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.2</w:t>
      </w:r>
      <w:r>
        <w:rPr>
          <w:rFonts w:hint="eastAsia"/>
          <w:color w:val="auto"/>
          <w:sz w:val="24"/>
          <w:szCs w:val="24"/>
          <w:highlight w:val="none"/>
          <w:lang w:val="en-US" w:eastAsia="zh-CN"/>
        </w:rPr>
        <w:t>男性，</w:t>
      </w:r>
      <w:r>
        <w:rPr>
          <w:rFonts w:hint="eastAsia"/>
          <w:color w:val="auto"/>
          <w:sz w:val="24"/>
          <w:szCs w:val="24"/>
          <w:highlight w:val="none"/>
        </w:rPr>
        <w:t>年龄</w:t>
      </w:r>
      <w:r>
        <w:rPr>
          <w:rFonts w:hint="eastAsia"/>
          <w:color w:val="auto"/>
          <w:sz w:val="24"/>
          <w:szCs w:val="24"/>
          <w:highlight w:val="none"/>
          <w:lang w:val="en-US" w:eastAsia="zh-CN"/>
        </w:rPr>
        <w:t>55</w:t>
      </w:r>
      <w:r>
        <w:rPr>
          <w:rFonts w:hint="eastAsia"/>
          <w:color w:val="auto"/>
          <w:sz w:val="24"/>
          <w:szCs w:val="24"/>
          <w:highlight w:val="none"/>
        </w:rPr>
        <w:t>周岁（含）以下。</w:t>
      </w:r>
    </w:p>
    <w:p w14:paraId="33026937">
      <w:pPr>
        <w:spacing w:line="440" w:lineRule="exact"/>
        <w:ind w:firstLine="720" w:firstLineChars="300"/>
        <w:rPr>
          <w:rFonts w:hint="eastAsia" w:eastAsia="宋体"/>
          <w:color w:val="auto"/>
          <w:sz w:val="24"/>
          <w:szCs w:val="24"/>
          <w:highlight w:val="none"/>
          <w:lang w:eastAsia="zh-CN"/>
        </w:rPr>
      </w:pPr>
      <w:r>
        <w:rPr>
          <w:rFonts w:hint="eastAsia"/>
          <w:color w:val="auto"/>
          <w:sz w:val="24"/>
          <w:szCs w:val="24"/>
          <w:highlight w:val="none"/>
          <w:lang w:val="en-US" w:eastAsia="zh-CN"/>
        </w:rPr>
        <w:t>2</w:t>
      </w:r>
      <w:r>
        <w:rPr>
          <w:rFonts w:hint="eastAsia"/>
          <w:color w:val="auto"/>
          <w:sz w:val="24"/>
          <w:szCs w:val="24"/>
          <w:highlight w:val="none"/>
        </w:rPr>
        <w:t>.3</w:t>
      </w:r>
      <w:r>
        <w:rPr>
          <w:rFonts w:hint="eastAsia" w:ascii="宋体" w:hAnsi="宋体" w:eastAsia="宋体" w:cs="宋体"/>
          <w:color w:val="auto"/>
          <w:sz w:val="24"/>
          <w:szCs w:val="24"/>
          <w:highlight w:val="none"/>
        </w:rPr>
        <w:t>熟悉安全保卫及消防安全专业知识</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val="en-US" w:eastAsia="zh-CN"/>
        </w:rPr>
        <w:t>具有</w:t>
      </w:r>
      <w:r>
        <w:rPr>
          <w:rFonts w:hint="eastAsia"/>
          <w:color w:val="auto"/>
          <w:sz w:val="24"/>
          <w:szCs w:val="24"/>
          <w:highlight w:val="none"/>
        </w:rPr>
        <w:t>消防设施操作员证书</w:t>
      </w:r>
      <w:r>
        <w:rPr>
          <w:rFonts w:hint="eastAsia" w:ascii="宋体" w:hAnsi="宋体" w:eastAsia="宋体" w:cs="宋体"/>
          <w:bCs/>
          <w:color w:val="auto"/>
          <w:sz w:val="24"/>
          <w:szCs w:val="24"/>
          <w:highlight w:val="none"/>
          <w:lang w:val="en-US" w:eastAsia="zh-CN"/>
        </w:rPr>
        <w:t>。</w:t>
      </w:r>
    </w:p>
    <w:p w14:paraId="124D246A">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2.4</w:t>
      </w:r>
      <w:r>
        <w:rPr>
          <w:rFonts w:hint="eastAsia"/>
          <w:color w:val="auto"/>
          <w:sz w:val="24"/>
          <w:szCs w:val="24"/>
          <w:highlight w:val="none"/>
        </w:rPr>
        <w:t>有较强的保密意识和组织纪律性。</w:t>
      </w:r>
    </w:p>
    <w:p w14:paraId="35DE9DBA">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2.5</w:t>
      </w:r>
      <w:r>
        <w:rPr>
          <w:rFonts w:hint="eastAsia"/>
          <w:color w:val="auto"/>
          <w:sz w:val="24"/>
          <w:szCs w:val="24"/>
          <w:highlight w:val="none"/>
        </w:rPr>
        <w:t>熟悉监控的工作程序，并有处理突发事件的能力。</w:t>
      </w:r>
    </w:p>
    <w:p w14:paraId="46C26AC2">
      <w:pPr>
        <w:spacing w:line="440" w:lineRule="exact"/>
        <w:ind w:firstLine="720" w:firstLineChars="300"/>
        <w:rPr>
          <w:rFonts w:hint="eastAsia" w:eastAsia="宋体"/>
          <w:color w:val="auto"/>
          <w:sz w:val="24"/>
          <w:szCs w:val="24"/>
          <w:highlight w:val="none"/>
          <w:lang w:eastAsia="zh-CN"/>
        </w:rPr>
      </w:pPr>
      <w:r>
        <w:rPr>
          <w:rFonts w:hint="eastAsia"/>
          <w:color w:val="auto"/>
          <w:sz w:val="24"/>
          <w:szCs w:val="24"/>
          <w:highlight w:val="none"/>
          <w:lang w:val="en-US" w:eastAsia="zh-CN"/>
        </w:rPr>
        <w:t>2</w:t>
      </w:r>
      <w:r>
        <w:rPr>
          <w:rFonts w:hint="eastAsia"/>
          <w:color w:val="auto"/>
          <w:sz w:val="24"/>
          <w:szCs w:val="24"/>
          <w:highlight w:val="none"/>
        </w:rPr>
        <w:t>.</w:t>
      </w:r>
      <w:r>
        <w:rPr>
          <w:rFonts w:hint="eastAsia"/>
          <w:color w:val="auto"/>
          <w:sz w:val="24"/>
          <w:szCs w:val="24"/>
          <w:highlight w:val="none"/>
          <w:lang w:val="en-US" w:eastAsia="zh-CN"/>
        </w:rPr>
        <w:t>6</w:t>
      </w:r>
      <w:r>
        <w:rPr>
          <w:rFonts w:hint="eastAsia" w:ascii="宋体" w:hAnsi="宋体" w:eastAsia="宋体" w:cs="宋体"/>
          <w:color w:val="auto"/>
          <w:sz w:val="24"/>
          <w:szCs w:val="24"/>
          <w:highlight w:val="none"/>
        </w:rPr>
        <w:t>文明值班，坚守岗位，礼貌待人，做好值班记录</w:t>
      </w:r>
      <w:r>
        <w:rPr>
          <w:rFonts w:hint="eastAsia" w:ascii="宋体" w:hAnsi="宋体" w:eastAsia="宋体" w:cs="宋体"/>
          <w:color w:val="auto"/>
          <w:sz w:val="24"/>
          <w:szCs w:val="24"/>
          <w:highlight w:val="none"/>
          <w:lang w:eastAsia="zh-CN"/>
        </w:rPr>
        <w:t>。</w:t>
      </w:r>
    </w:p>
    <w:p w14:paraId="33DF5771">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2.7</w:t>
      </w:r>
      <w:r>
        <w:rPr>
          <w:rFonts w:hint="eastAsia"/>
          <w:color w:val="auto"/>
          <w:sz w:val="24"/>
          <w:szCs w:val="24"/>
          <w:highlight w:val="none"/>
        </w:rPr>
        <w:t>统一着装，挂牌上岗，仪表端庄。</w:t>
      </w:r>
    </w:p>
    <w:p w14:paraId="63063361">
      <w:pPr>
        <w:spacing w:line="440" w:lineRule="exact"/>
        <w:outlineLvl w:val="2"/>
        <w:rPr>
          <w:rFonts w:hint="eastAsia" w:ascii="Times New Roman" w:hAnsi="Times New Roman" w:eastAsia="宋体" w:cs="Times New Roman"/>
          <w:b/>
          <w:bCs/>
          <w:color w:val="auto"/>
          <w:sz w:val="24"/>
          <w:szCs w:val="24"/>
          <w:highlight w:val="none"/>
          <w:lang w:val="zh-CN"/>
        </w:rPr>
      </w:pPr>
      <w:bookmarkStart w:id="98" w:name="_Toc6647"/>
      <w:bookmarkStart w:id="99" w:name="_Toc9850"/>
      <w:bookmarkStart w:id="100" w:name="_Toc25431"/>
      <w:bookmarkStart w:id="101" w:name="_Toc14200"/>
      <w:bookmarkStart w:id="102" w:name="_Toc11474"/>
      <w:bookmarkStart w:id="103" w:name="_Toc5414"/>
      <w:r>
        <w:rPr>
          <w:rFonts w:hint="eastAsia" w:ascii="Times New Roman" w:hAnsi="Times New Roman" w:eastAsia="宋体" w:cs="Times New Roman"/>
          <w:b/>
          <w:bCs/>
          <w:color w:val="auto"/>
          <w:sz w:val="24"/>
          <w:szCs w:val="24"/>
          <w:highlight w:val="none"/>
          <w:lang w:val="zh-CN"/>
        </w:rPr>
        <w:t>（</w:t>
      </w:r>
      <w:r>
        <w:rPr>
          <w:rFonts w:hint="eastAsia" w:ascii="Times New Roman" w:hAnsi="Times New Roman" w:eastAsia="宋体" w:cs="Times New Roman"/>
          <w:b/>
          <w:bCs/>
          <w:color w:val="auto"/>
          <w:sz w:val="24"/>
          <w:szCs w:val="24"/>
          <w:highlight w:val="none"/>
          <w:lang w:val="en-US" w:eastAsia="zh-CN"/>
        </w:rPr>
        <w:t>三</w:t>
      </w:r>
      <w:r>
        <w:rPr>
          <w:rFonts w:hint="eastAsia" w:ascii="Times New Roman" w:hAnsi="Times New Roman" w:eastAsia="宋体" w:cs="Times New Roman"/>
          <w:b/>
          <w:bCs/>
          <w:color w:val="auto"/>
          <w:sz w:val="24"/>
          <w:szCs w:val="24"/>
          <w:highlight w:val="none"/>
          <w:lang w:val="zh-CN"/>
        </w:rPr>
        <w:t>）</w:t>
      </w:r>
      <w:r>
        <w:rPr>
          <w:rFonts w:hint="eastAsia" w:ascii="Times New Roman" w:hAnsi="Times New Roman" w:eastAsia="宋体" w:cs="Times New Roman"/>
          <w:b/>
          <w:bCs/>
          <w:color w:val="auto"/>
          <w:sz w:val="24"/>
          <w:szCs w:val="24"/>
          <w:highlight w:val="none"/>
          <w:lang w:val="en-US" w:eastAsia="zh-CN"/>
        </w:rPr>
        <w:t>保安服务</w:t>
      </w:r>
      <w:r>
        <w:rPr>
          <w:rFonts w:hint="eastAsia" w:ascii="Times New Roman" w:hAnsi="Times New Roman" w:eastAsia="宋体" w:cs="Times New Roman"/>
          <w:b/>
          <w:bCs/>
          <w:color w:val="auto"/>
          <w:sz w:val="24"/>
          <w:szCs w:val="24"/>
          <w:highlight w:val="none"/>
          <w:lang w:val="zh-CN" w:eastAsia="zh-CN"/>
        </w:rPr>
        <w:t>要求</w:t>
      </w:r>
      <w:r>
        <w:rPr>
          <w:rFonts w:hint="eastAsia" w:ascii="Times New Roman" w:hAnsi="Times New Roman" w:eastAsia="宋体" w:cs="Times New Roman"/>
          <w:b/>
          <w:bCs/>
          <w:color w:val="auto"/>
          <w:sz w:val="24"/>
          <w:szCs w:val="24"/>
          <w:highlight w:val="none"/>
          <w:lang w:val="zh-CN"/>
        </w:rPr>
        <w:t>：</w:t>
      </w:r>
      <w:bookmarkEnd w:id="98"/>
    </w:p>
    <w:p w14:paraId="7CD9320C">
      <w:pPr>
        <w:spacing w:line="420" w:lineRule="exact"/>
        <w:ind w:firstLine="48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1、安全保卫、门岗要求：</w:t>
      </w:r>
    </w:p>
    <w:p w14:paraId="3778B486">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1.1医院将与投标人共同确定值勤岗位，由投标人制定岗位职责，医院主管部门批准后实施。</w:t>
      </w:r>
    </w:p>
    <w:p w14:paraId="3B136975">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1.2</w:t>
      </w:r>
      <w:r>
        <w:rPr>
          <w:rFonts w:hint="default" w:ascii="Times New Roman" w:hAnsi="Times New Roman" w:eastAsia="宋体" w:cs="Times New Roman"/>
          <w:bCs/>
          <w:color w:val="auto"/>
          <w:sz w:val="24"/>
          <w:szCs w:val="24"/>
          <w:highlight w:val="none"/>
          <w:lang w:val="en-US" w:eastAsia="zh-CN"/>
        </w:rPr>
        <w:t>全天候24小时对全院各区域进行值班巡查。</w:t>
      </w:r>
    </w:p>
    <w:p w14:paraId="0721936B">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val="en-US" w:eastAsia="zh-CN"/>
        </w:rPr>
        <w:t>3</w:t>
      </w:r>
      <w:r>
        <w:rPr>
          <w:rFonts w:hint="default" w:ascii="Times New Roman" w:hAnsi="Times New Roman" w:eastAsia="宋体" w:cs="Times New Roman"/>
          <w:bCs/>
          <w:color w:val="auto"/>
          <w:sz w:val="24"/>
          <w:szCs w:val="24"/>
          <w:highlight w:val="none"/>
          <w:lang w:val="en-US" w:eastAsia="zh-CN"/>
        </w:rPr>
        <w:t>维护医院的正常医疗秩序，保障工作人员、住院病人、</w:t>
      </w:r>
      <w:r>
        <w:rPr>
          <w:rFonts w:hint="default" w:ascii="Times New Roman" w:hAnsi="Times New Roman" w:eastAsia="宋体" w:cs="Times New Roman"/>
          <w:color w:val="auto"/>
          <w:sz w:val="24"/>
          <w:szCs w:val="24"/>
          <w:highlight w:val="none"/>
        </w:rPr>
        <w:t>就医者</w:t>
      </w:r>
      <w:r>
        <w:rPr>
          <w:rFonts w:hint="default" w:ascii="Times New Roman" w:hAnsi="Times New Roman" w:eastAsia="宋体" w:cs="Times New Roman"/>
          <w:color w:val="auto"/>
          <w:sz w:val="24"/>
          <w:szCs w:val="24"/>
          <w:highlight w:val="none"/>
          <w:lang w:val="en-US" w:eastAsia="zh-CN"/>
        </w:rPr>
        <w:t>的</w:t>
      </w:r>
      <w:r>
        <w:rPr>
          <w:rFonts w:hint="default" w:ascii="Times New Roman" w:hAnsi="Times New Roman" w:eastAsia="宋体" w:cs="Times New Roman"/>
          <w:bCs/>
          <w:color w:val="auto"/>
          <w:sz w:val="24"/>
          <w:szCs w:val="24"/>
          <w:highlight w:val="none"/>
          <w:lang w:val="en-US" w:eastAsia="zh-CN"/>
        </w:rPr>
        <w:t>生命和财产的安全，保护医院的设施和设备，预防各类刑事案件和治安事件的发生。</w:t>
      </w:r>
    </w:p>
    <w:p w14:paraId="74C58A7A">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val="en-US" w:eastAsia="zh-CN"/>
        </w:rPr>
        <w:t>4</w:t>
      </w:r>
      <w:r>
        <w:rPr>
          <w:rFonts w:hint="default" w:ascii="Times New Roman" w:hAnsi="Times New Roman" w:eastAsia="宋体" w:cs="Times New Roman"/>
          <w:bCs/>
          <w:color w:val="auto"/>
          <w:sz w:val="24"/>
          <w:szCs w:val="24"/>
          <w:highlight w:val="none"/>
          <w:lang w:val="en-US" w:eastAsia="zh-CN"/>
        </w:rPr>
        <w:t>全体保安员均为义务消防员，应对保安员进行岗前培训，特别是消防技能的培训，使保安员具有一定的业务素质。</w:t>
      </w:r>
      <w:r>
        <w:rPr>
          <w:rFonts w:hint="default" w:ascii="Times New Roman" w:hAnsi="Times New Roman" w:eastAsia="宋体" w:cs="Times New Roman"/>
          <w:color w:val="auto"/>
          <w:sz w:val="24"/>
          <w:szCs w:val="24"/>
          <w:highlight w:val="none"/>
        </w:rPr>
        <w:t>每年不少于四次的消防演练安排。</w:t>
      </w:r>
    </w:p>
    <w:p w14:paraId="65722864">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val="en-US" w:eastAsia="zh-CN"/>
        </w:rPr>
        <w:t>5</w:t>
      </w:r>
      <w:r>
        <w:rPr>
          <w:rFonts w:hint="default" w:ascii="Times New Roman" w:hAnsi="Times New Roman" w:eastAsia="宋体" w:cs="Times New Roman"/>
          <w:bCs/>
          <w:color w:val="auto"/>
          <w:sz w:val="24"/>
          <w:szCs w:val="24"/>
          <w:highlight w:val="none"/>
          <w:lang w:val="en-US" w:eastAsia="zh-CN"/>
        </w:rPr>
        <w:t>全体保安员均为医院应急救援队员，应对保安员进行培训，特别是应急救援培训，使保安员能有效的处理突发事件。保证每年不少于两次的演练安排。</w:t>
      </w:r>
    </w:p>
    <w:p w14:paraId="6D28135B">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val="en-US" w:eastAsia="zh-CN"/>
        </w:rPr>
        <w:t>6</w:t>
      </w:r>
      <w:r>
        <w:rPr>
          <w:rFonts w:hint="default" w:ascii="Times New Roman" w:hAnsi="Times New Roman" w:eastAsia="宋体" w:cs="Times New Roman"/>
          <w:bCs/>
          <w:color w:val="auto"/>
          <w:sz w:val="24"/>
          <w:szCs w:val="24"/>
          <w:highlight w:val="none"/>
          <w:lang w:val="en-US" w:eastAsia="zh-CN"/>
        </w:rPr>
        <w:t>投标人应建立完善的各项应急救援方案（如：火警、爆炸、投毒、</w:t>
      </w:r>
      <w:r>
        <w:rPr>
          <w:rFonts w:hint="default" w:ascii="Times New Roman" w:hAnsi="Times New Roman" w:eastAsia="宋体" w:cs="Times New Roman"/>
          <w:color w:val="auto"/>
          <w:sz w:val="24"/>
          <w:szCs w:val="24"/>
          <w:highlight w:val="none"/>
        </w:rPr>
        <w:t>非法集会</w:t>
      </w:r>
      <w:r>
        <w:rPr>
          <w:rFonts w:hint="default" w:ascii="Times New Roman" w:hAnsi="Times New Roman" w:eastAsia="宋体" w:cs="Times New Roman"/>
          <w:bCs/>
          <w:color w:val="auto"/>
          <w:sz w:val="24"/>
          <w:szCs w:val="24"/>
          <w:highlight w:val="none"/>
          <w:lang w:val="en-US" w:eastAsia="zh-CN"/>
        </w:rPr>
        <w:t>、盗窃、其他破坏等），以书面的形式报医院备案，确保各类突发事件得到快速、妥善处理。确保院内无火灾、治安、交通、刑事等事件发生。</w:t>
      </w:r>
    </w:p>
    <w:p w14:paraId="7998534D">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val="en-US" w:eastAsia="zh-CN"/>
        </w:rPr>
        <w:t>7</w:t>
      </w:r>
      <w:r>
        <w:rPr>
          <w:rFonts w:hint="default" w:ascii="Times New Roman" w:hAnsi="Times New Roman" w:eastAsia="宋体" w:cs="Times New Roman"/>
          <w:bCs/>
          <w:color w:val="auto"/>
          <w:sz w:val="24"/>
          <w:szCs w:val="24"/>
          <w:highlight w:val="none"/>
          <w:lang w:val="en-US" w:eastAsia="zh-CN"/>
        </w:rPr>
        <w:t>投标人应建立完善的管理制度，包括保安服务管理制度、岗位责任制度、保安队伍管理制度、门卫值班制度、闭路电视监控管理制度、车辆管理制度、值班巡逻制度、</w:t>
      </w:r>
      <w:r>
        <w:rPr>
          <w:rFonts w:hint="default" w:ascii="Times New Roman" w:hAnsi="Times New Roman" w:eastAsia="宋体" w:cs="Times New Roman"/>
          <w:color w:val="auto"/>
          <w:sz w:val="24"/>
          <w:szCs w:val="24"/>
          <w:highlight w:val="none"/>
        </w:rPr>
        <w:t>放行制度、</w:t>
      </w:r>
      <w:r>
        <w:rPr>
          <w:rFonts w:hint="default" w:ascii="Times New Roman" w:hAnsi="Times New Roman" w:eastAsia="宋体" w:cs="Times New Roman"/>
          <w:bCs/>
          <w:color w:val="auto"/>
          <w:sz w:val="24"/>
          <w:szCs w:val="24"/>
          <w:highlight w:val="none"/>
          <w:lang w:val="en-US" w:eastAsia="zh-CN"/>
        </w:rPr>
        <w:t>交接班制度、奖惩制度、会议制度等。</w:t>
      </w:r>
    </w:p>
    <w:p w14:paraId="6D8492E9">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lang w:val="en-US" w:eastAsia="zh-CN"/>
        </w:rPr>
        <w:t>做好安全防范和秩序维护工作。</w:t>
      </w:r>
    </w:p>
    <w:p w14:paraId="012FD6A1">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val="en-US" w:eastAsia="zh-CN"/>
        </w:rPr>
        <w:t>9</w:t>
      </w:r>
      <w:r>
        <w:rPr>
          <w:rFonts w:hint="default" w:ascii="Times New Roman" w:hAnsi="Times New Roman" w:eastAsia="宋体" w:cs="Times New Roman"/>
          <w:bCs/>
          <w:color w:val="auto"/>
          <w:sz w:val="24"/>
          <w:szCs w:val="24"/>
          <w:highlight w:val="none"/>
          <w:lang w:val="en-US" w:eastAsia="zh-CN"/>
        </w:rPr>
        <w:t>做好全天候门岗秩序服务，做好外来车辆与人员登记与管理。</w:t>
      </w:r>
    </w:p>
    <w:p w14:paraId="555C2859">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w:t>
      </w:r>
      <w:r>
        <w:rPr>
          <w:rFonts w:hint="eastAsia" w:ascii="Times New Roman" w:hAnsi="Times New Roman" w:eastAsia="宋体" w:cs="Times New Roman"/>
          <w:bCs/>
          <w:color w:val="auto"/>
          <w:sz w:val="24"/>
          <w:szCs w:val="24"/>
          <w:highlight w:val="none"/>
          <w:lang w:val="en-US" w:eastAsia="zh-CN"/>
        </w:rPr>
        <w:t>10</w:t>
      </w:r>
      <w:r>
        <w:rPr>
          <w:rFonts w:hint="default" w:ascii="Times New Roman" w:hAnsi="Times New Roman" w:eastAsia="宋体" w:cs="Times New Roman"/>
          <w:bCs/>
          <w:color w:val="auto"/>
          <w:sz w:val="24"/>
          <w:szCs w:val="24"/>
          <w:highlight w:val="none"/>
          <w:lang w:val="en-US" w:eastAsia="zh-CN"/>
        </w:rPr>
        <w:t>疏导出入车辆和行人，清理门卫责任区内无关人员、车辆，保证进出车辆畅通，人员出入有序无阻。</w:t>
      </w:r>
    </w:p>
    <w:p w14:paraId="4635A554">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1.1</w:t>
      </w:r>
      <w:r>
        <w:rPr>
          <w:rFonts w:hint="eastAsia" w:ascii="Times New Roman" w:hAnsi="Times New Roman" w:eastAsia="宋体" w:cs="Times New Roman"/>
          <w:bCs/>
          <w:color w:val="auto"/>
          <w:sz w:val="24"/>
          <w:szCs w:val="24"/>
          <w:highlight w:val="none"/>
          <w:lang w:val="en-US" w:eastAsia="zh-CN"/>
        </w:rPr>
        <w:t>1</w:t>
      </w:r>
      <w:r>
        <w:rPr>
          <w:rFonts w:hint="default" w:ascii="Times New Roman" w:hAnsi="Times New Roman" w:eastAsia="宋体" w:cs="Times New Roman"/>
          <w:bCs/>
          <w:color w:val="auto"/>
          <w:sz w:val="24"/>
          <w:szCs w:val="24"/>
          <w:highlight w:val="none"/>
          <w:lang w:val="en-US" w:eastAsia="zh-CN"/>
        </w:rPr>
        <w:t>在岗期间不与无关人员聊天，不干私活，不饮酒。</w:t>
      </w:r>
    </w:p>
    <w:p w14:paraId="4231EB74">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1.1</w:t>
      </w:r>
      <w:r>
        <w:rPr>
          <w:rFonts w:hint="eastAsia" w:ascii="Times New Roman" w:hAnsi="Times New Roman" w:eastAsia="宋体" w:cs="Times New Roman"/>
          <w:bCs/>
          <w:color w:val="auto"/>
          <w:sz w:val="24"/>
          <w:szCs w:val="24"/>
          <w:highlight w:val="none"/>
          <w:lang w:val="en-US" w:eastAsia="zh-CN"/>
        </w:rPr>
        <w:t>2</w:t>
      </w:r>
      <w:r>
        <w:rPr>
          <w:rFonts w:hint="default" w:ascii="Times New Roman" w:hAnsi="Times New Roman" w:eastAsia="宋体" w:cs="Times New Roman"/>
          <w:bCs/>
          <w:color w:val="auto"/>
          <w:sz w:val="24"/>
          <w:szCs w:val="24"/>
          <w:highlight w:val="none"/>
          <w:lang w:val="en-US" w:eastAsia="zh-CN"/>
        </w:rPr>
        <w:t>不得无故缺岗，有事请假需及时向供应商及采购人汇报。</w:t>
      </w:r>
    </w:p>
    <w:p w14:paraId="5FD95CC5">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1.13门卫保安负责疫苗接种门诊、体检中心、地下停车场巡查。</w:t>
      </w:r>
    </w:p>
    <w:p w14:paraId="02BA1B6F">
      <w:pPr>
        <w:spacing w:line="440" w:lineRule="exact"/>
        <w:ind w:firstLine="72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1.14上岗时间要求：</w:t>
      </w:r>
    </w:p>
    <w:p w14:paraId="3DB6181E">
      <w:pPr>
        <w:spacing w:line="440" w:lineRule="exact"/>
        <w:ind w:firstLine="1060" w:firstLineChars="442"/>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1.14.1门卫上岗时间：每周7天24小时双人双岗值班。</w:t>
      </w:r>
    </w:p>
    <w:p w14:paraId="193CF971">
      <w:pPr>
        <w:spacing w:line="440" w:lineRule="exact"/>
        <w:ind w:firstLine="1060" w:firstLineChars="442"/>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1.14.2门诊大厅巡查保安（安检保安）上岗时间要求：7:30-16:30（全年无休）。</w:t>
      </w:r>
    </w:p>
    <w:p w14:paraId="3684E01F">
      <w:pPr>
        <w:spacing w:line="420" w:lineRule="exact"/>
        <w:ind w:firstLine="48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2、闭路电视监控系统管理要求：</w:t>
      </w:r>
    </w:p>
    <w:p w14:paraId="7C127D3A">
      <w:pPr>
        <w:spacing w:line="440" w:lineRule="exact"/>
        <w:ind w:firstLine="720"/>
        <w:rPr>
          <w:rFonts w:hint="eastAsia"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2.1</w:t>
      </w:r>
      <w:r>
        <w:rPr>
          <w:rFonts w:hint="eastAsia" w:ascii="Times New Roman" w:hAnsi="Times New Roman" w:eastAsia="宋体" w:cs="Times New Roman"/>
          <w:bCs/>
          <w:color w:val="auto"/>
          <w:sz w:val="24"/>
          <w:szCs w:val="24"/>
          <w:highlight w:val="none"/>
          <w:lang w:val="en-US" w:eastAsia="zh-CN"/>
        </w:rPr>
        <w:t>上岗时间要求：每周7天24小时双人双岗不间断值守，采用12小时两班制，每班配备双人在岗，值班期间全员在岗履职，不得离岗休憩。</w:t>
      </w:r>
    </w:p>
    <w:p w14:paraId="0756ADB1">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2.2</w:t>
      </w:r>
      <w:r>
        <w:rPr>
          <w:rFonts w:hint="default" w:ascii="Times New Roman" w:hAnsi="Times New Roman" w:eastAsia="宋体" w:cs="Times New Roman"/>
          <w:bCs/>
          <w:color w:val="auto"/>
          <w:sz w:val="24"/>
          <w:szCs w:val="24"/>
          <w:highlight w:val="none"/>
          <w:lang w:val="en-US" w:eastAsia="zh-CN"/>
        </w:rPr>
        <w:t>投标人需派持证人员在监控室实行，严密监控，发现情况立即处理和报告。</w:t>
      </w:r>
    </w:p>
    <w:p w14:paraId="5F478DEB">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2.</w:t>
      </w:r>
      <w:r>
        <w:rPr>
          <w:rFonts w:hint="eastAsia" w:ascii="Times New Roman" w:hAnsi="Times New Roman" w:eastAsia="宋体" w:cs="Times New Roman"/>
          <w:bCs/>
          <w:color w:val="auto"/>
          <w:sz w:val="24"/>
          <w:szCs w:val="24"/>
          <w:highlight w:val="none"/>
          <w:lang w:val="en-US" w:eastAsia="zh-CN"/>
        </w:rPr>
        <w:t>3</w:t>
      </w:r>
      <w:r>
        <w:rPr>
          <w:rFonts w:hint="default" w:ascii="Times New Roman" w:hAnsi="Times New Roman" w:eastAsia="宋体" w:cs="Times New Roman"/>
          <w:bCs/>
          <w:color w:val="auto"/>
          <w:sz w:val="24"/>
          <w:szCs w:val="24"/>
          <w:highlight w:val="none"/>
          <w:lang w:val="en-US" w:eastAsia="zh-CN"/>
        </w:rPr>
        <w:t>投标人应制定闭路电视监控系统值班等管理制度，指定经培训合格的人员参加监控系统值班，该类人员不得随意更换。</w:t>
      </w:r>
    </w:p>
    <w:p w14:paraId="62E285A1">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2.</w:t>
      </w:r>
      <w:r>
        <w:rPr>
          <w:rFonts w:hint="eastAsia" w:ascii="Times New Roman" w:hAnsi="Times New Roman" w:eastAsia="宋体" w:cs="Times New Roman"/>
          <w:bCs/>
          <w:color w:val="auto"/>
          <w:sz w:val="24"/>
          <w:szCs w:val="24"/>
          <w:highlight w:val="none"/>
          <w:lang w:val="en-US" w:eastAsia="zh-CN"/>
        </w:rPr>
        <w:t>4</w:t>
      </w:r>
      <w:r>
        <w:rPr>
          <w:rFonts w:hint="default" w:ascii="Times New Roman" w:hAnsi="Times New Roman" w:eastAsia="宋体" w:cs="Times New Roman"/>
          <w:bCs/>
          <w:color w:val="auto"/>
          <w:sz w:val="24"/>
          <w:szCs w:val="24"/>
          <w:highlight w:val="none"/>
          <w:lang w:val="en-US" w:eastAsia="zh-CN"/>
        </w:rPr>
        <w:t>值班人员应熟悉医院整体地理环境及监控范围，熟练操作、维护使用监控系统设备。</w:t>
      </w:r>
    </w:p>
    <w:p w14:paraId="1788E0D4">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2.</w:t>
      </w:r>
      <w:r>
        <w:rPr>
          <w:rFonts w:hint="eastAsia" w:ascii="Times New Roman" w:hAnsi="Times New Roman" w:eastAsia="宋体" w:cs="Times New Roman"/>
          <w:bCs/>
          <w:color w:val="auto"/>
          <w:sz w:val="24"/>
          <w:szCs w:val="24"/>
          <w:highlight w:val="none"/>
          <w:lang w:val="en-US" w:eastAsia="zh-CN"/>
        </w:rPr>
        <w:t>5</w:t>
      </w:r>
      <w:r>
        <w:rPr>
          <w:rFonts w:hint="default" w:ascii="Times New Roman" w:hAnsi="Times New Roman" w:eastAsia="宋体" w:cs="Times New Roman"/>
          <w:bCs/>
          <w:color w:val="auto"/>
          <w:sz w:val="24"/>
          <w:szCs w:val="24"/>
          <w:highlight w:val="none"/>
          <w:lang w:val="en-US" w:eastAsia="zh-CN"/>
        </w:rPr>
        <w:t>投标人应制定安防及消防设备管理制度</w:t>
      </w:r>
      <w:r>
        <w:rPr>
          <w:rFonts w:hint="default" w:ascii="Times New Roman" w:hAnsi="Times New Roman" w:eastAsia="宋体" w:cs="Times New Roman"/>
          <w:bCs/>
          <w:strike w:val="0"/>
          <w:color w:val="auto"/>
          <w:sz w:val="24"/>
          <w:szCs w:val="24"/>
          <w:highlight w:val="none"/>
          <w:lang w:val="en-US" w:eastAsia="zh-CN"/>
        </w:rPr>
        <w:t>。</w:t>
      </w:r>
    </w:p>
    <w:p w14:paraId="45A51B6C">
      <w:pPr>
        <w:spacing w:line="420" w:lineRule="exact"/>
        <w:ind w:firstLine="48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3、重大项目要求：</w:t>
      </w:r>
    </w:p>
    <w:p w14:paraId="6BA55698">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3.1如有重要检查、医患纠纷、重要嘉宾参观以及其他重要活动时，投标人应根据采购人要求加强保安服务。</w:t>
      </w:r>
    </w:p>
    <w:p w14:paraId="48AA0105">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3.2若遇火警、水灾、台风暴雨等特殊情况，要立即组织应急小组配合医院相关部门进行抢险。</w:t>
      </w:r>
    </w:p>
    <w:p w14:paraId="1C0AA440">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3.3遇有医院庆典等大型活动，须根据要求提供保安服务，维持秩序，确保活动安全、有序、顺利。</w:t>
      </w:r>
    </w:p>
    <w:p w14:paraId="682D8321">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3.4</w:t>
      </w:r>
      <w:r>
        <w:rPr>
          <w:rFonts w:hint="default" w:ascii="Times New Roman" w:hAnsi="Times New Roman" w:eastAsia="宋体" w:cs="Times New Roman"/>
          <w:bCs/>
          <w:color w:val="auto"/>
          <w:sz w:val="24"/>
          <w:szCs w:val="24"/>
          <w:highlight w:val="none"/>
          <w:lang w:val="en-US" w:eastAsia="zh-CN"/>
        </w:rPr>
        <w:t>对管理区域内发生的治安事件、交通等重大事故，组织力量进行合理及时处置，并配合医院保卫部门及公安部门开展工作。</w:t>
      </w:r>
    </w:p>
    <w:p w14:paraId="4AD00145">
      <w:pPr>
        <w:spacing w:line="420" w:lineRule="exact"/>
        <w:ind w:firstLine="48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4、其他要求：</w:t>
      </w:r>
    </w:p>
    <w:p w14:paraId="07565F66">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4.1从医院安全实际出发，经常性开展在岗人员业务培训和紧急预案演练。</w:t>
      </w:r>
    </w:p>
    <w:p w14:paraId="3FAA07E3">
      <w:pPr>
        <w:spacing w:line="440" w:lineRule="exact"/>
        <w:ind w:firstLine="72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4.2内部管理体系健全，保安队长全面负责日常保安队伍的规范化管理。</w:t>
      </w:r>
    </w:p>
    <w:p w14:paraId="767D81B1">
      <w:pPr>
        <w:spacing w:line="440" w:lineRule="exact"/>
        <w:ind w:firstLine="720"/>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Cs/>
          <w:color w:val="auto"/>
          <w:sz w:val="24"/>
          <w:szCs w:val="24"/>
          <w:highlight w:val="none"/>
          <w:lang w:val="en-US" w:eastAsia="zh-CN"/>
        </w:rPr>
        <w:t>4.3投标人应加强对保安业务的管理，确保工作人员在医院内无违规事件</w:t>
      </w:r>
      <w:r>
        <w:rPr>
          <w:rFonts w:hint="default" w:ascii="宋体" w:hAnsi="宋体" w:eastAsia="宋体" w:cs="宋体"/>
          <w:bCs/>
          <w:color w:val="auto"/>
          <w:sz w:val="24"/>
          <w:szCs w:val="24"/>
          <w:highlight w:val="none"/>
          <w:lang w:val="en-US" w:eastAsia="zh-CN"/>
        </w:rPr>
        <w:t>发生</w:t>
      </w:r>
      <w:r>
        <w:rPr>
          <w:rFonts w:hint="default" w:ascii="Times New Roman" w:hAnsi="Times New Roman" w:eastAsia="宋体" w:cs="Times New Roman"/>
          <w:b w:val="0"/>
          <w:bCs w:val="0"/>
          <w:color w:val="auto"/>
          <w:sz w:val="24"/>
          <w:szCs w:val="24"/>
          <w:highlight w:val="none"/>
          <w:lang w:eastAsia="zh-CN"/>
        </w:rPr>
        <w:t>。</w:t>
      </w:r>
    </w:p>
    <w:p w14:paraId="17E68C83">
      <w:pPr>
        <w:spacing w:line="440" w:lineRule="exact"/>
        <w:outlineLvl w:val="2"/>
        <w:rPr>
          <w:rFonts w:hint="eastAsia" w:ascii="Times New Roman" w:hAnsi="Times New Roman" w:eastAsia="宋体" w:cs="Times New Roman"/>
          <w:b/>
          <w:bCs/>
          <w:color w:val="auto"/>
          <w:sz w:val="24"/>
          <w:szCs w:val="24"/>
          <w:highlight w:val="none"/>
          <w:lang w:val="zh-CN"/>
        </w:rPr>
      </w:pPr>
      <w:bookmarkStart w:id="104" w:name="_Toc11856"/>
      <w:bookmarkStart w:id="105" w:name="_Toc469"/>
      <w:r>
        <w:rPr>
          <w:rFonts w:hint="eastAsia" w:ascii="Times New Roman" w:hAnsi="Times New Roman" w:eastAsia="宋体" w:cs="Times New Roman"/>
          <w:b/>
          <w:bCs/>
          <w:color w:val="auto"/>
          <w:sz w:val="24"/>
          <w:szCs w:val="24"/>
          <w:highlight w:val="none"/>
          <w:lang w:val="zh-CN"/>
        </w:rPr>
        <w:t>（</w:t>
      </w:r>
      <w:r>
        <w:rPr>
          <w:rFonts w:hint="eastAsia" w:ascii="Times New Roman" w:hAnsi="Times New Roman" w:eastAsia="宋体" w:cs="Times New Roman"/>
          <w:b/>
          <w:bCs/>
          <w:color w:val="auto"/>
          <w:sz w:val="24"/>
          <w:szCs w:val="24"/>
          <w:highlight w:val="none"/>
          <w:lang w:val="en-US" w:eastAsia="zh-CN"/>
        </w:rPr>
        <w:t>四</w:t>
      </w:r>
      <w:r>
        <w:rPr>
          <w:rFonts w:hint="eastAsia" w:ascii="Times New Roman" w:hAnsi="Times New Roman" w:eastAsia="宋体" w:cs="Times New Roman"/>
          <w:b/>
          <w:bCs/>
          <w:color w:val="auto"/>
          <w:sz w:val="24"/>
          <w:szCs w:val="24"/>
          <w:highlight w:val="none"/>
          <w:lang w:val="zh-CN"/>
        </w:rPr>
        <w:t>）日常工作要求：</w:t>
      </w:r>
      <w:bookmarkEnd w:id="104"/>
      <w:bookmarkEnd w:id="105"/>
    </w:p>
    <w:p w14:paraId="5594B25B">
      <w:pPr>
        <w:spacing w:line="44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1、根据行业服务标准与医院规定要求，在医院</w:t>
      </w:r>
      <w:r>
        <w:rPr>
          <w:rFonts w:hint="eastAsia" w:cs="Times New Roman"/>
          <w:color w:val="auto"/>
          <w:sz w:val="24"/>
          <w:szCs w:val="24"/>
          <w:highlight w:val="none"/>
          <w:lang w:val="en-US" w:eastAsia="zh-CN"/>
        </w:rPr>
        <w:t>后勤</w:t>
      </w:r>
      <w:r>
        <w:rPr>
          <w:rFonts w:hint="eastAsia" w:ascii="Times New Roman" w:hAnsi="Times New Roman" w:eastAsia="宋体" w:cs="Times New Roman"/>
          <w:color w:val="auto"/>
          <w:sz w:val="24"/>
          <w:szCs w:val="24"/>
          <w:highlight w:val="none"/>
        </w:rPr>
        <w:t>科指导下，独立运作，落实医院安全保卫整体方案，并结合医院变化实际在实践中不断完善。</w:t>
      </w:r>
    </w:p>
    <w:p w14:paraId="7B28C01D">
      <w:pPr>
        <w:spacing w:line="44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2、保安队长每天必须向保卫科负责人口头汇报工作，每星期向保卫科书面汇报一次所承担的保安工作开展情况及信息反馈，重大情况须及时报告。</w:t>
      </w:r>
    </w:p>
    <w:p w14:paraId="7BD95B48">
      <w:pPr>
        <w:spacing w:line="44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3、做好详细的执勤纪律，原始台账保存完好，以备核查。</w:t>
      </w:r>
    </w:p>
    <w:p w14:paraId="28DB10D4">
      <w:pPr>
        <w:spacing w:line="440" w:lineRule="exact"/>
        <w:ind w:firstLine="480"/>
        <w:rPr>
          <w:rFonts w:ascii="Times New Roman" w:hAnsi="Times New Roman"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rPr>
        <w:t>4、与医院警务室协作联动，开展一体化安全防范</w:t>
      </w:r>
      <w:r>
        <w:rPr>
          <w:rFonts w:hint="eastAsia" w:ascii="Times New Roman" w:hAnsi="Times New Roman" w:eastAsia="宋体" w:cs="Times New Roman"/>
          <w:bCs/>
          <w:color w:val="auto"/>
          <w:sz w:val="24"/>
          <w:szCs w:val="24"/>
          <w:highlight w:val="none"/>
        </w:rPr>
        <w:t>。</w:t>
      </w:r>
    </w:p>
    <w:p w14:paraId="7FB82122">
      <w:pPr>
        <w:spacing w:line="440" w:lineRule="exact"/>
        <w:outlineLvl w:val="2"/>
        <w:rPr>
          <w:rFonts w:hint="eastAsia" w:ascii="Times New Roman" w:hAnsi="Times New Roman" w:eastAsia="宋体" w:cs="Times New Roman"/>
          <w:b/>
          <w:bCs/>
          <w:color w:val="auto"/>
          <w:sz w:val="24"/>
          <w:szCs w:val="24"/>
          <w:highlight w:val="none"/>
          <w:lang w:val="zh-CN"/>
        </w:rPr>
      </w:pPr>
      <w:bookmarkStart w:id="106" w:name="_Toc21098"/>
      <w:bookmarkStart w:id="107" w:name="_Toc18881"/>
      <w:r>
        <w:rPr>
          <w:rFonts w:hint="eastAsia" w:ascii="Times New Roman" w:hAnsi="Times New Roman" w:eastAsia="宋体" w:cs="Times New Roman"/>
          <w:b/>
          <w:bCs/>
          <w:color w:val="auto"/>
          <w:sz w:val="24"/>
          <w:szCs w:val="24"/>
          <w:highlight w:val="none"/>
          <w:lang w:val="zh-CN"/>
        </w:rPr>
        <w:t>（</w:t>
      </w:r>
      <w:r>
        <w:rPr>
          <w:rFonts w:hint="eastAsia" w:ascii="Times New Roman" w:hAnsi="Times New Roman" w:eastAsia="宋体" w:cs="Times New Roman"/>
          <w:b/>
          <w:bCs/>
          <w:color w:val="auto"/>
          <w:sz w:val="24"/>
          <w:szCs w:val="24"/>
          <w:highlight w:val="none"/>
          <w:lang w:val="en-US" w:eastAsia="zh-CN"/>
        </w:rPr>
        <w:t>五</w:t>
      </w:r>
      <w:r>
        <w:rPr>
          <w:rFonts w:hint="eastAsia" w:ascii="Times New Roman" w:hAnsi="Times New Roman" w:eastAsia="宋体" w:cs="Times New Roman"/>
          <w:b/>
          <w:bCs/>
          <w:color w:val="auto"/>
          <w:sz w:val="24"/>
          <w:szCs w:val="24"/>
          <w:highlight w:val="none"/>
          <w:lang w:val="zh-CN"/>
        </w:rPr>
        <w:t>）保卫管理要求：</w:t>
      </w:r>
      <w:bookmarkEnd w:id="106"/>
      <w:bookmarkEnd w:id="107"/>
    </w:p>
    <w:p w14:paraId="746DB357">
      <w:pPr>
        <w:spacing w:line="44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要求建立每日工作情况记录制度。法定假日期间须加强应急值守，保证安全，消控全年24小时受控，所有出警情况应有书面记录。严格做到指定设岗，建立门岗工作记录；定时巡查公共区域及重点部位，建立巡岗工作记录；夜间增加巡视次数，巡视检查内容</w:t>
      </w:r>
      <w:r>
        <w:rPr>
          <w:rFonts w:hint="eastAsia" w:ascii="Times New Roman" w:hAnsi="Times New Roman" w:eastAsia="宋体" w:cs="Times New Roman"/>
          <w:color w:val="auto"/>
          <w:sz w:val="24"/>
          <w:szCs w:val="24"/>
          <w:highlight w:val="none"/>
          <w:lang w:val="en-US" w:eastAsia="zh-CN"/>
        </w:rPr>
        <w:t>包括</w:t>
      </w:r>
      <w:r>
        <w:rPr>
          <w:rFonts w:hint="eastAsia" w:ascii="Times New Roman" w:hAnsi="Times New Roman" w:eastAsia="宋体" w:cs="Times New Roman"/>
          <w:color w:val="auto"/>
          <w:sz w:val="24"/>
          <w:szCs w:val="24"/>
          <w:highlight w:val="none"/>
        </w:rPr>
        <w:t>公共区域建筑设施、设备无缺，目视检查完好；偏僻区域、暗角等空间无可疑人员滞留；沿线大楼等处门窗锁定正常；巡检结束后填写每日安全巡查记录。巡视中如发现异常情况，应立即通知有关部门并在现场采取合理必要措施。</w:t>
      </w:r>
    </w:p>
    <w:p w14:paraId="15BC9209">
      <w:pPr>
        <w:spacing w:line="44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2、全天各区域必须循环检查。</w:t>
      </w:r>
    </w:p>
    <w:p w14:paraId="6BA944F3">
      <w:pPr>
        <w:spacing w:line="44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3、负责沿线通道、走廊、绿化带、场外的检查，并对自行车等非机动车有序管理，对违反公共场所秩序的行为，如吸烟、喧哗、随地吐痰及乱扔果皮纸屑、破坏公物及公共设施等加以劝阻。</w:t>
      </w:r>
    </w:p>
    <w:p w14:paraId="5AD16708">
      <w:pPr>
        <w:spacing w:line="44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4、加强对重点部位的巡查，并有巡视记录，认真做好安全防范及防火工作。严禁在楼内使用明火，严禁在公共场所吸烟，严禁违章用电。</w:t>
      </w:r>
    </w:p>
    <w:p w14:paraId="62523362">
      <w:pPr>
        <w:spacing w:line="440" w:lineRule="exact"/>
        <w:ind w:firstLine="480"/>
        <w:rPr>
          <w:color w:val="auto"/>
          <w:highlight w:val="none"/>
        </w:rPr>
      </w:pPr>
      <w:r>
        <w:rPr>
          <w:rFonts w:hint="eastAsia" w:ascii="Times New Roman" w:hAnsi="Times New Roman" w:eastAsia="宋体" w:cs="Times New Roman"/>
          <w:color w:val="auto"/>
          <w:sz w:val="24"/>
          <w:szCs w:val="24"/>
          <w:highlight w:val="none"/>
        </w:rPr>
        <w:t>5、确保各个入口通畅，严禁乱停乱放，在突发事件或特别</w:t>
      </w:r>
      <w:r>
        <w:rPr>
          <w:rFonts w:hint="eastAsia" w:ascii="Times New Roman" w:hAnsi="Times New Roman" w:eastAsia="宋体" w:cs="Times New Roman"/>
          <w:bCs/>
          <w:color w:val="auto"/>
          <w:sz w:val="24"/>
          <w:szCs w:val="24"/>
          <w:highlight w:val="none"/>
        </w:rPr>
        <w:t>需要时增加门岗和巡检岗保安人员，遇到紧急情况，应能迅速将人员从楼内疏散。</w:t>
      </w:r>
    </w:p>
    <w:p w14:paraId="40982455">
      <w:pPr>
        <w:spacing w:line="440" w:lineRule="exact"/>
        <w:outlineLvl w:val="2"/>
        <w:rPr>
          <w:rFonts w:hint="eastAsia" w:ascii="Times New Roman" w:hAnsi="Times New Roman" w:eastAsia="宋体" w:cs="Times New Roman"/>
          <w:b/>
          <w:bCs/>
          <w:color w:val="auto"/>
          <w:sz w:val="24"/>
          <w:szCs w:val="24"/>
          <w:highlight w:val="none"/>
          <w:lang w:val="zh-CN"/>
        </w:rPr>
      </w:pPr>
      <w:bookmarkStart w:id="108" w:name="_Toc2019"/>
      <w:bookmarkStart w:id="109" w:name="_Toc8477"/>
      <w:r>
        <w:rPr>
          <w:rFonts w:hint="eastAsia" w:ascii="Times New Roman" w:hAnsi="Times New Roman" w:eastAsia="宋体" w:cs="Times New Roman"/>
          <w:b/>
          <w:bCs/>
          <w:color w:val="auto"/>
          <w:sz w:val="24"/>
          <w:szCs w:val="24"/>
          <w:highlight w:val="none"/>
          <w:lang w:val="zh-CN"/>
        </w:rPr>
        <w:t>（</w:t>
      </w:r>
      <w:r>
        <w:rPr>
          <w:rFonts w:hint="eastAsia" w:ascii="Times New Roman" w:hAnsi="Times New Roman" w:eastAsia="宋体" w:cs="Times New Roman"/>
          <w:b/>
          <w:bCs/>
          <w:color w:val="auto"/>
          <w:sz w:val="24"/>
          <w:szCs w:val="24"/>
          <w:highlight w:val="none"/>
          <w:lang w:val="en-US" w:eastAsia="zh-CN"/>
        </w:rPr>
        <w:t>六</w:t>
      </w:r>
      <w:r>
        <w:rPr>
          <w:rFonts w:hint="eastAsia" w:ascii="Times New Roman" w:hAnsi="Times New Roman" w:eastAsia="宋体" w:cs="Times New Roman"/>
          <w:b/>
          <w:bCs/>
          <w:color w:val="auto"/>
          <w:sz w:val="24"/>
          <w:szCs w:val="24"/>
          <w:highlight w:val="none"/>
          <w:lang w:val="zh-CN"/>
        </w:rPr>
        <w:t>）服务质量要求：</w:t>
      </w:r>
      <w:bookmarkEnd w:id="108"/>
      <w:bookmarkEnd w:id="109"/>
    </w:p>
    <w:p w14:paraId="45899A59">
      <w:pPr>
        <w:spacing w:line="44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1、质量目标要求：</w:t>
      </w:r>
    </w:p>
    <w:p w14:paraId="29F7CDD7">
      <w:pPr>
        <w:spacing w:line="440" w:lineRule="exact"/>
        <w:ind w:firstLine="72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1.1依托行业标准，根据医院管理规定与服务要求，制定切实可行的医院服务整体方案和应急预案，突发事件反应迅速，预案处置有力。</w:t>
      </w:r>
    </w:p>
    <w:p w14:paraId="0B494F2D">
      <w:pPr>
        <w:spacing w:line="440" w:lineRule="exact"/>
        <w:ind w:firstLine="72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1.2依法办事，文明执勤，严格管理，保障医院财产、医护人员和患者人身不受侵害，维护正常的教学、科研、生活秩序。</w:t>
      </w:r>
    </w:p>
    <w:p w14:paraId="61E4DA8E">
      <w:pPr>
        <w:spacing w:line="440" w:lineRule="exact"/>
        <w:ind w:firstLine="72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1.3全年无责任事故和责任案件发生，员工具有安全感，全年考核合格。</w:t>
      </w:r>
    </w:p>
    <w:p w14:paraId="2389F74F">
      <w:pPr>
        <w:spacing w:line="440" w:lineRule="exact"/>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2、质量服务要求：</w:t>
      </w:r>
    </w:p>
    <w:p w14:paraId="4E21F9BA">
      <w:pPr>
        <w:spacing w:line="440" w:lineRule="exact"/>
        <w:ind w:firstLine="72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2.1树立“服务第一，患者至上”的思想，切实维护医护人员和患者的人身和财产安全。</w:t>
      </w:r>
    </w:p>
    <w:p w14:paraId="02B63D5F">
      <w:pPr>
        <w:spacing w:line="440" w:lineRule="exact"/>
        <w:ind w:firstLine="72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2.2管理坚持原则、缜密严谨；服务以人为本、主动热情；处理问题高度警惕、有礼有节。</w:t>
      </w:r>
    </w:p>
    <w:p w14:paraId="710BB3AD">
      <w:pPr>
        <w:spacing w:line="440" w:lineRule="exact"/>
        <w:ind w:firstLine="72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2.3上岗人员仪表整洁，业务操作规范，礼貌待人，保持岗位卫生整洁。</w:t>
      </w:r>
    </w:p>
    <w:p w14:paraId="05B8B373">
      <w:pPr>
        <w:spacing w:line="440" w:lineRule="exact"/>
        <w:ind w:firstLine="72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2.4依法办事，文明执勤，不与患者发生争吵，杜绝保安与患者发生冲突，禁止保安出手伤及患者人身安全，做到打不还手、骂不还口。</w:t>
      </w:r>
    </w:p>
    <w:p w14:paraId="62328E2B">
      <w:pPr>
        <w:spacing w:line="440" w:lineRule="exact"/>
        <w:outlineLvl w:val="2"/>
        <w:rPr>
          <w:rFonts w:hint="eastAsia" w:ascii="Times New Roman" w:hAnsi="Times New Roman" w:eastAsia="宋体" w:cs="Times New Roman"/>
          <w:b/>
          <w:bCs/>
          <w:color w:val="auto"/>
          <w:sz w:val="24"/>
          <w:szCs w:val="24"/>
          <w:highlight w:val="none"/>
          <w:lang w:val="zh-CN"/>
        </w:rPr>
      </w:pPr>
      <w:bookmarkStart w:id="110" w:name="_Toc10415"/>
      <w:r>
        <w:rPr>
          <w:rFonts w:hint="eastAsia" w:ascii="Times New Roman" w:hAnsi="Times New Roman" w:eastAsia="宋体" w:cs="Times New Roman"/>
          <w:b/>
          <w:bCs/>
          <w:color w:val="auto"/>
          <w:sz w:val="24"/>
          <w:szCs w:val="24"/>
          <w:highlight w:val="none"/>
          <w:lang w:val="zh-CN"/>
        </w:rPr>
        <w:t>（</w:t>
      </w:r>
      <w:r>
        <w:rPr>
          <w:rFonts w:hint="eastAsia" w:ascii="Times New Roman" w:hAnsi="Times New Roman" w:eastAsia="宋体" w:cs="Times New Roman"/>
          <w:b/>
          <w:bCs/>
          <w:color w:val="auto"/>
          <w:sz w:val="24"/>
          <w:szCs w:val="24"/>
          <w:highlight w:val="none"/>
          <w:lang w:val="en-US" w:eastAsia="zh-CN"/>
        </w:rPr>
        <w:t>七</w:t>
      </w:r>
      <w:r>
        <w:rPr>
          <w:rFonts w:hint="eastAsia" w:ascii="Times New Roman" w:hAnsi="Times New Roman" w:eastAsia="宋体" w:cs="Times New Roman"/>
          <w:b/>
          <w:bCs/>
          <w:color w:val="auto"/>
          <w:sz w:val="24"/>
          <w:szCs w:val="24"/>
          <w:highlight w:val="none"/>
          <w:lang w:val="zh-CN"/>
        </w:rPr>
        <w:t>）其他要求：</w:t>
      </w:r>
      <w:bookmarkEnd w:id="99"/>
      <w:bookmarkEnd w:id="100"/>
      <w:bookmarkEnd w:id="110"/>
    </w:p>
    <w:p w14:paraId="2E39C00B">
      <w:pPr>
        <w:spacing w:line="440" w:lineRule="exact"/>
        <w:ind w:firstLine="480" w:firstLineChars="200"/>
        <w:rPr>
          <w:rFonts w:hint="eastAsia"/>
          <w:color w:val="auto"/>
          <w:sz w:val="24"/>
          <w:szCs w:val="24"/>
          <w:highlight w:val="none"/>
        </w:rPr>
      </w:pPr>
      <w:r>
        <w:rPr>
          <w:rFonts w:hint="eastAsia"/>
          <w:color w:val="auto"/>
          <w:sz w:val="24"/>
          <w:szCs w:val="24"/>
          <w:highlight w:val="none"/>
        </w:rPr>
        <w:t>1、投标人负责员工的工资和社会养老、医疗、工伤、失业等费用，若发生劳动争议均由投标人自己解决，采购人无任何连带关系和责任。</w:t>
      </w:r>
    </w:p>
    <w:p w14:paraId="45ED1207">
      <w:pPr>
        <w:spacing w:line="440" w:lineRule="exact"/>
        <w:ind w:firstLine="480" w:firstLineChars="200"/>
        <w:rPr>
          <w:rFonts w:hint="eastAsia"/>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人员应聘、录用、离职等管理档案规范，手续齐全，</w:t>
      </w:r>
      <w:r>
        <w:rPr>
          <w:rFonts w:hint="eastAsia"/>
          <w:color w:val="auto"/>
          <w:sz w:val="24"/>
          <w:szCs w:val="24"/>
          <w:highlight w:val="none"/>
          <w:lang w:val="en-US" w:eastAsia="zh-CN"/>
        </w:rPr>
        <w:t>签订安全保密协议，</w:t>
      </w:r>
      <w:r>
        <w:rPr>
          <w:rFonts w:hint="eastAsia"/>
          <w:color w:val="auto"/>
          <w:sz w:val="24"/>
          <w:szCs w:val="24"/>
          <w:highlight w:val="none"/>
        </w:rPr>
        <w:t>相应资料必须报医院</w:t>
      </w:r>
      <w:r>
        <w:rPr>
          <w:rFonts w:hint="eastAsia"/>
          <w:color w:val="auto"/>
          <w:sz w:val="24"/>
          <w:szCs w:val="24"/>
          <w:highlight w:val="none"/>
          <w:lang w:val="en-US" w:eastAsia="zh-CN"/>
        </w:rPr>
        <w:t>后勤</w:t>
      </w:r>
      <w:r>
        <w:rPr>
          <w:rFonts w:hint="eastAsia"/>
          <w:color w:val="auto"/>
          <w:sz w:val="24"/>
          <w:szCs w:val="24"/>
          <w:highlight w:val="none"/>
        </w:rPr>
        <w:t>科备案。</w:t>
      </w:r>
    </w:p>
    <w:p w14:paraId="6F211E7D">
      <w:pPr>
        <w:spacing w:line="440" w:lineRule="exact"/>
        <w:ind w:firstLine="480" w:firstLineChars="200"/>
        <w:rPr>
          <w:rFonts w:hint="eastAsia"/>
          <w:color w:val="auto"/>
          <w:sz w:val="24"/>
          <w:szCs w:val="24"/>
          <w:highlight w:val="none"/>
        </w:rPr>
      </w:pPr>
      <w:bookmarkStart w:id="111" w:name="_Toc12210"/>
      <w:r>
        <w:rPr>
          <w:rFonts w:hint="eastAsia"/>
          <w:color w:val="auto"/>
          <w:sz w:val="24"/>
          <w:szCs w:val="24"/>
          <w:highlight w:val="none"/>
          <w:lang w:val="en-US" w:eastAsia="zh-CN"/>
        </w:rPr>
        <w:t>3</w:t>
      </w:r>
      <w:r>
        <w:rPr>
          <w:rFonts w:hint="eastAsia"/>
          <w:color w:val="auto"/>
          <w:sz w:val="24"/>
          <w:szCs w:val="24"/>
          <w:highlight w:val="none"/>
        </w:rPr>
        <w:t>、重大项目要求：</w:t>
      </w:r>
    </w:p>
    <w:p w14:paraId="1F1F094A">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.1如有重要检查、医患纠纷、重要嘉宾参观以及其它重要活动时，投标人应根据采购人要求加强保安服务</w:t>
      </w:r>
      <w:r>
        <w:rPr>
          <w:rFonts w:hint="eastAsia"/>
          <w:color w:val="auto"/>
          <w:sz w:val="24"/>
          <w:szCs w:val="24"/>
          <w:highlight w:val="none"/>
          <w:lang w:eastAsia="zh-CN"/>
        </w:rPr>
        <w:t>，</w:t>
      </w:r>
      <w:r>
        <w:rPr>
          <w:rFonts w:hint="eastAsia"/>
          <w:color w:val="auto"/>
          <w:sz w:val="24"/>
          <w:szCs w:val="24"/>
          <w:highlight w:val="none"/>
          <w:lang w:val="en-US" w:eastAsia="zh-CN"/>
        </w:rPr>
        <w:t>临时增加保安人数</w:t>
      </w:r>
      <w:r>
        <w:rPr>
          <w:rFonts w:hint="eastAsia"/>
          <w:color w:val="auto"/>
          <w:sz w:val="24"/>
          <w:szCs w:val="24"/>
          <w:highlight w:val="none"/>
        </w:rPr>
        <w:t>。</w:t>
      </w:r>
    </w:p>
    <w:p w14:paraId="70AC5308">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.2若遇火警、水灾、台风暴雨等特殊情况，要立即组织应急小组配合医院相关部门进行抢险。</w:t>
      </w:r>
    </w:p>
    <w:p w14:paraId="613AD994">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.3遇大型活动，须根据要求提供安保服务，维持秩序，确保活动安全、有序、顺利。</w:t>
      </w:r>
    </w:p>
    <w:p w14:paraId="6CD67C61">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3.4</w:t>
      </w:r>
      <w:r>
        <w:rPr>
          <w:rFonts w:hint="eastAsia"/>
          <w:color w:val="auto"/>
          <w:sz w:val="24"/>
          <w:szCs w:val="24"/>
          <w:highlight w:val="none"/>
        </w:rPr>
        <w:t>对管理区域内发生的治安事件、交通等重大事故，组织力量进行合理及时处置，并配合医院保卫部门及公安部门开展工作。</w:t>
      </w:r>
    </w:p>
    <w:p w14:paraId="4BAEC0D4">
      <w:pPr>
        <w:spacing w:line="440" w:lineRule="exact"/>
        <w:ind w:firstLine="480" w:firstLineChars="200"/>
        <w:rPr>
          <w:rFonts w:hint="eastAsia"/>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、其他：</w:t>
      </w:r>
    </w:p>
    <w:p w14:paraId="335DD94C">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.1从医院安全实际出发，经常性开展在岗人员业务培训和紧急预案演练。</w:t>
      </w:r>
    </w:p>
    <w:p w14:paraId="43C06251">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4.2</w:t>
      </w:r>
      <w:r>
        <w:rPr>
          <w:rFonts w:hint="eastAsia"/>
          <w:color w:val="auto"/>
          <w:sz w:val="24"/>
          <w:szCs w:val="24"/>
          <w:highlight w:val="none"/>
        </w:rPr>
        <w:t>内部管理体系健全，负责日常保安队伍的规范化管理。</w:t>
      </w:r>
    </w:p>
    <w:p w14:paraId="265BCE67">
      <w:pPr>
        <w:spacing w:line="440" w:lineRule="exact"/>
        <w:ind w:firstLine="720" w:firstLineChars="300"/>
        <w:rPr>
          <w:rFonts w:hint="eastAsia"/>
          <w:color w:val="auto"/>
          <w:sz w:val="24"/>
          <w:szCs w:val="24"/>
          <w:highlight w:val="none"/>
        </w:rPr>
      </w:pPr>
      <w:r>
        <w:rPr>
          <w:rFonts w:hint="eastAsia"/>
          <w:color w:val="auto"/>
          <w:sz w:val="24"/>
          <w:szCs w:val="24"/>
          <w:highlight w:val="none"/>
          <w:lang w:val="en-US" w:eastAsia="zh-CN"/>
        </w:rPr>
        <w:t>4.3</w:t>
      </w:r>
      <w:r>
        <w:rPr>
          <w:rFonts w:hint="eastAsia"/>
          <w:color w:val="auto"/>
          <w:sz w:val="24"/>
          <w:szCs w:val="24"/>
          <w:highlight w:val="none"/>
        </w:rPr>
        <w:t>投标人应加强对保安业务的管理，确保工作人员在医院内无违规</w:t>
      </w:r>
      <w:r>
        <w:rPr>
          <w:rFonts w:hint="eastAsia"/>
          <w:color w:val="auto"/>
          <w:sz w:val="24"/>
          <w:szCs w:val="24"/>
          <w:highlight w:val="none"/>
          <w:lang w:val="en-US" w:eastAsia="zh-CN"/>
        </w:rPr>
        <w:t>违纪违法及不当</w:t>
      </w:r>
      <w:r>
        <w:rPr>
          <w:rFonts w:hint="eastAsia"/>
          <w:color w:val="auto"/>
          <w:sz w:val="24"/>
          <w:szCs w:val="24"/>
          <w:highlight w:val="none"/>
        </w:rPr>
        <w:t>事件发生。</w:t>
      </w:r>
    </w:p>
    <w:p w14:paraId="2CA8C68C">
      <w:pPr>
        <w:spacing w:line="440" w:lineRule="exact"/>
        <w:ind w:firstLine="480" w:firstLineChars="200"/>
        <w:rPr>
          <w:rFonts w:hint="eastAsia"/>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、根据行业服务标准与医院规定要求，独立运作，落实医院安全保卫整体方案，并结合医院变化实际在实践中不断完善。</w:t>
      </w:r>
    </w:p>
    <w:p w14:paraId="19CAFC74">
      <w:pPr>
        <w:spacing w:line="440" w:lineRule="exact"/>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6、每周向医院汇报</w:t>
      </w:r>
      <w:r>
        <w:rPr>
          <w:rFonts w:hint="eastAsia"/>
          <w:color w:val="auto"/>
          <w:sz w:val="24"/>
          <w:szCs w:val="24"/>
          <w:highlight w:val="none"/>
        </w:rPr>
        <w:t>保安工作开展情况及信息反馈，重大情况须及时报告</w:t>
      </w:r>
      <w:r>
        <w:rPr>
          <w:rFonts w:hint="eastAsia"/>
          <w:color w:val="auto"/>
          <w:sz w:val="24"/>
          <w:szCs w:val="24"/>
          <w:highlight w:val="none"/>
          <w:lang w:val="en-US" w:eastAsia="zh-CN"/>
        </w:rPr>
        <w:t>。</w:t>
      </w:r>
    </w:p>
    <w:p w14:paraId="5AD319FE">
      <w:pPr>
        <w:spacing w:line="440" w:lineRule="exact"/>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7、做好详细的执勤纪律，原始台账保存完好，以备核查。投标人提供对讲机、手持安检仪、应急口哨、手电筒等执勤装备。</w:t>
      </w:r>
    </w:p>
    <w:p w14:paraId="0BCC6E0E">
      <w:pPr>
        <w:spacing w:line="440" w:lineRule="exact"/>
        <w:ind w:firstLine="480" w:firstLineChars="200"/>
        <w:rPr>
          <w:rFonts w:hint="eastAsia"/>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完成医院布置的其他工作。</w:t>
      </w:r>
    </w:p>
    <w:p w14:paraId="54CC64A3">
      <w:pPr>
        <w:spacing w:line="440" w:lineRule="exact"/>
        <w:outlineLvl w:val="1"/>
        <w:rPr>
          <w:b/>
          <w:bCs/>
          <w:color w:val="auto"/>
          <w:sz w:val="28"/>
          <w:szCs w:val="22"/>
          <w:highlight w:val="none"/>
        </w:rPr>
      </w:pPr>
      <w:bookmarkStart w:id="112" w:name="_Toc7775"/>
      <w:bookmarkStart w:id="113" w:name="_Toc2277"/>
      <w:r>
        <w:rPr>
          <w:rFonts w:hint="eastAsia"/>
          <w:b/>
          <w:bCs/>
          <w:color w:val="auto"/>
          <w:sz w:val="28"/>
          <w:szCs w:val="22"/>
          <w:highlight w:val="none"/>
        </w:rPr>
        <w:t>四</w:t>
      </w:r>
      <w:r>
        <w:rPr>
          <w:b/>
          <w:bCs/>
          <w:color w:val="auto"/>
          <w:sz w:val="28"/>
          <w:szCs w:val="22"/>
          <w:highlight w:val="none"/>
        </w:rPr>
        <w:t>、投标报价要求：</w:t>
      </w:r>
      <w:bookmarkEnd w:id="101"/>
      <w:bookmarkEnd w:id="102"/>
      <w:bookmarkEnd w:id="103"/>
      <w:bookmarkEnd w:id="111"/>
      <w:bookmarkEnd w:id="112"/>
      <w:bookmarkEnd w:id="113"/>
    </w:p>
    <w:p w14:paraId="00D96C48">
      <w:pPr>
        <w:spacing w:line="440" w:lineRule="exact"/>
        <w:ind w:firstLine="480" w:firstLineChars="200"/>
        <w:rPr>
          <w:rFonts w:hint="eastAsia"/>
          <w:color w:val="auto"/>
          <w:sz w:val="24"/>
          <w:szCs w:val="24"/>
          <w:highlight w:val="none"/>
        </w:rPr>
      </w:pPr>
      <w:bookmarkStart w:id="114" w:name="_Toc158691775"/>
      <w:bookmarkStart w:id="115" w:name="_Toc315875322"/>
      <w:bookmarkStart w:id="116" w:name="_Toc315868059"/>
      <w:r>
        <w:rPr>
          <w:rFonts w:hint="eastAsia"/>
          <w:color w:val="auto"/>
          <w:sz w:val="24"/>
          <w:szCs w:val="24"/>
          <w:highlight w:val="none"/>
        </w:rPr>
        <w:t>1、投标人须对本项目中的所有服务进行报价，不得拆开投报或只对其中的部分内容进行投报，否则作无效投标处理。</w:t>
      </w:r>
    </w:p>
    <w:p w14:paraId="7DCCD02A">
      <w:pPr>
        <w:spacing w:line="440" w:lineRule="exact"/>
        <w:ind w:firstLine="480" w:firstLineChars="200"/>
        <w:rPr>
          <w:color w:val="auto"/>
          <w:sz w:val="24"/>
          <w:szCs w:val="24"/>
          <w:highlight w:val="none"/>
        </w:rPr>
      </w:pPr>
      <w:r>
        <w:rPr>
          <w:color w:val="auto"/>
          <w:sz w:val="24"/>
          <w:szCs w:val="24"/>
          <w:highlight w:val="none"/>
        </w:rPr>
        <w:t>2、项目实施过程中由采购人承担的项目及费用：</w:t>
      </w:r>
    </w:p>
    <w:p w14:paraId="108C9F3D">
      <w:pPr>
        <w:spacing w:line="450" w:lineRule="exact"/>
        <w:ind w:firstLine="72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.1提供</w:t>
      </w:r>
      <w:r>
        <w:rPr>
          <w:rFonts w:hint="default" w:ascii="Times New Roman" w:hAnsi="Times New Roman" w:cs="Times New Roman"/>
          <w:color w:val="auto"/>
          <w:sz w:val="24"/>
          <w:szCs w:val="24"/>
          <w:highlight w:val="none"/>
        </w:rPr>
        <w:t>24小时值班室</w:t>
      </w:r>
      <w:r>
        <w:rPr>
          <w:rFonts w:hint="default" w:ascii="Times New Roman" w:hAnsi="Times New Roman" w:eastAsia="宋体" w:cs="Times New Roman"/>
          <w:color w:val="auto"/>
          <w:sz w:val="24"/>
          <w:highlight w:val="none"/>
        </w:rPr>
        <w:t>。</w:t>
      </w:r>
    </w:p>
    <w:p w14:paraId="798DBC03">
      <w:pPr>
        <w:spacing w:line="440" w:lineRule="exact"/>
        <w:ind w:firstLine="720" w:firstLineChars="300"/>
        <w:rPr>
          <w:rFonts w:hint="eastAsia"/>
          <w:color w:val="auto"/>
          <w:sz w:val="24"/>
          <w:highlight w:val="none"/>
        </w:rPr>
      </w:pPr>
      <w:r>
        <w:rPr>
          <w:rFonts w:hint="eastAsia"/>
          <w:color w:val="auto"/>
          <w:sz w:val="24"/>
          <w:highlight w:val="none"/>
        </w:rPr>
        <w:t>2.2</w:t>
      </w:r>
      <w:r>
        <w:rPr>
          <w:rFonts w:hint="eastAsia" w:ascii="Times New Roman" w:hAnsi="Times New Roman" w:eastAsia="宋体" w:cs="Times New Roman"/>
          <w:color w:val="auto"/>
          <w:sz w:val="24"/>
          <w:highlight w:val="none"/>
          <w:lang w:val="en-US" w:eastAsia="zh-CN"/>
        </w:rPr>
        <w:t>提供</w:t>
      </w:r>
      <w:r>
        <w:rPr>
          <w:rFonts w:hint="eastAsia" w:ascii="Times New Roman" w:hAnsi="Times New Roman" w:eastAsia="宋体" w:cs="Times New Roman"/>
          <w:color w:val="auto"/>
          <w:sz w:val="24"/>
          <w:highlight w:val="none"/>
        </w:rPr>
        <w:t>日</w:t>
      </w:r>
      <w:r>
        <w:rPr>
          <w:rFonts w:hint="eastAsia"/>
          <w:color w:val="auto"/>
          <w:sz w:val="24"/>
          <w:highlight w:val="none"/>
        </w:rPr>
        <w:t>常办公用固定电话</w:t>
      </w:r>
      <w:r>
        <w:rPr>
          <w:rFonts w:hint="eastAsia"/>
          <w:color w:val="auto"/>
          <w:sz w:val="24"/>
          <w:highlight w:val="none"/>
          <w:lang w:val="en-US" w:eastAsia="zh-CN"/>
        </w:rPr>
        <w:t>及负责其</w:t>
      </w:r>
      <w:r>
        <w:rPr>
          <w:rFonts w:hint="eastAsia"/>
          <w:color w:val="auto"/>
          <w:sz w:val="24"/>
          <w:highlight w:val="none"/>
        </w:rPr>
        <w:t>费用。</w:t>
      </w:r>
    </w:p>
    <w:p w14:paraId="18970CFD">
      <w:pPr>
        <w:spacing w:line="440" w:lineRule="exact"/>
        <w:ind w:firstLine="720" w:firstLineChars="3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val="en-US" w:eastAsia="zh-CN"/>
        </w:rPr>
        <w:t>3</w:t>
      </w:r>
      <w:r>
        <w:rPr>
          <w:rFonts w:hint="default" w:ascii="Times New Roman" w:hAnsi="Times New Roman" w:cs="Times New Roman"/>
          <w:color w:val="auto"/>
          <w:sz w:val="24"/>
          <w:szCs w:val="24"/>
          <w:highlight w:val="none"/>
        </w:rPr>
        <w:t>日常</w:t>
      </w:r>
      <w:r>
        <w:rPr>
          <w:rFonts w:hint="default" w:ascii="Times New Roman" w:hAnsi="Times New Roman" w:cs="Times New Roman"/>
          <w:color w:val="auto"/>
          <w:sz w:val="24"/>
          <w:highlight w:val="none"/>
        </w:rPr>
        <w:t>水电费用</w:t>
      </w:r>
      <w:r>
        <w:rPr>
          <w:rFonts w:hint="default" w:ascii="Times New Roman" w:hAnsi="Times New Roman" w:eastAsia="宋体" w:cs="Times New Roman"/>
          <w:color w:val="auto"/>
          <w:sz w:val="24"/>
          <w:highlight w:val="none"/>
        </w:rPr>
        <w:t>。</w:t>
      </w:r>
    </w:p>
    <w:p w14:paraId="23B53F42">
      <w:pPr>
        <w:spacing w:line="440" w:lineRule="exact"/>
        <w:ind w:firstLine="723" w:firstLineChars="300"/>
        <w:rPr>
          <w:b/>
          <w:bCs/>
          <w:color w:val="auto"/>
          <w:sz w:val="24"/>
          <w:highlight w:val="none"/>
        </w:rPr>
      </w:pPr>
      <w:r>
        <w:rPr>
          <w:b/>
          <w:bCs/>
          <w:color w:val="auto"/>
          <w:sz w:val="24"/>
          <w:szCs w:val="24"/>
          <w:highlight w:val="none"/>
        </w:rPr>
        <w:t>注：除上述所列由采购人承担的费用之外，其他在项目实施过程中产生的费用均由</w:t>
      </w:r>
      <w:r>
        <w:rPr>
          <w:rFonts w:hint="eastAsia"/>
          <w:b/>
          <w:bCs/>
          <w:color w:val="auto"/>
          <w:sz w:val="24"/>
          <w:szCs w:val="24"/>
          <w:highlight w:val="none"/>
        </w:rPr>
        <w:t>投标人</w:t>
      </w:r>
      <w:r>
        <w:rPr>
          <w:b/>
          <w:bCs/>
          <w:color w:val="auto"/>
          <w:sz w:val="24"/>
          <w:szCs w:val="24"/>
          <w:highlight w:val="none"/>
        </w:rPr>
        <w:t>承担，包含在</w:t>
      </w:r>
      <w:r>
        <w:rPr>
          <w:rFonts w:hint="eastAsia"/>
          <w:b/>
          <w:bCs/>
          <w:color w:val="auto"/>
          <w:sz w:val="24"/>
          <w:szCs w:val="24"/>
          <w:highlight w:val="none"/>
        </w:rPr>
        <w:t>投标</w:t>
      </w:r>
      <w:r>
        <w:rPr>
          <w:b/>
          <w:bCs/>
          <w:color w:val="auto"/>
          <w:sz w:val="24"/>
          <w:szCs w:val="24"/>
          <w:highlight w:val="none"/>
        </w:rPr>
        <w:t>总</w:t>
      </w:r>
      <w:r>
        <w:rPr>
          <w:rFonts w:hint="eastAsia"/>
          <w:b/>
          <w:bCs/>
          <w:color w:val="auto"/>
          <w:sz w:val="24"/>
          <w:szCs w:val="24"/>
          <w:highlight w:val="none"/>
        </w:rPr>
        <w:t>报价</w:t>
      </w:r>
      <w:r>
        <w:rPr>
          <w:b/>
          <w:bCs/>
          <w:color w:val="auto"/>
          <w:sz w:val="24"/>
          <w:szCs w:val="24"/>
          <w:highlight w:val="none"/>
        </w:rPr>
        <w:t>中。</w:t>
      </w:r>
    </w:p>
    <w:p w14:paraId="259CD6B0">
      <w:pPr>
        <w:spacing w:line="440" w:lineRule="exact"/>
        <w:ind w:firstLine="480" w:firstLineChars="200"/>
        <w:rPr>
          <w:color w:val="auto"/>
          <w:sz w:val="24"/>
          <w:szCs w:val="24"/>
          <w:highlight w:val="none"/>
        </w:rPr>
      </w:pPr>
      <w:r>
        <w:rPr>
          <w:rFonts w:hint="eastAsia"/>
          <w:color w:val="auto"/>
          <w:sz w:val="24"/>
          <w:szCs w:val="24"/>
          <w:highlight w:val="none"/>
        </w:rPr>
        <w:t>3</w:t>
      </w:r>
      <w:r>
        <w:rPr>
          <w:color w:val="auto"/>
          <w:sz w:val="24"/>
          <w:szCs w:val="24"/>
          <w:highlight w:val="none"/>
        </w:rPr>
        <w:t>、投标人应以人民币报价，投标总</w:t>
      </w:r>
      <w:r>
        <w:rPr>
          <w:rFonts w:hint="eastAsia"/>
          <w:color w:val="auto"/>
          <w:sz w:val="24"/>
          <w:szCs w:val="24"/>
          <w:highlight w:val="none"/>
        </w:rPr>
        <w:t>报价</w:t>
      </w:r>
      <w:r>
        <w:rPr>
          <w:color w:val="auto"/>
          <w:sz w:val="24"/>
          <w:szCs w:val="24"/>
          <w:highlight w:val="none"/>
        </w:rPr>
        <w:t>包括服务期限内完成该项目工作所需的所有费用，包括人工费（包括人员工资、社会保险费、福利费、</w:t>
      </w:r>
      <w:r>
        <w:rPr>
          <w:rFonts w:hint="eastAsia"/>
          <w:color w:val="auto"/>
          <w:sz w:val="24"/>
          <w:szCs w:val="24"/>
          <w:highlight w:val="none"/>
        </w:rPr>
        <w:t>加班费、</w:t>
      </w:r>
      <w:r>
        <w:rPr>
          <w:color w:val="auto"/>
          <w:sz w:val="24"/>
          <w:szCs w:val="24"/>
          <w:highlight w:val="none"/>
        </w:rPr>
        <w:t>人身意外伤害险等）、作业服装费、设备工具费</w:t>
      </w:r>
      <w:r>
        <w:rPr>
          <w:rFonts w:hint="eastAsia"/>
          <w:color w:val="auto"/>
          <w:sz w:val="24"/>
          <w:szCs w:val="24"/>
          <w:highlight w:val="none"/>
        </w:rPr>
        <w:t>、</w:t>
      </w:r>
      <w:r>
        <w:rPr>
          <w:rFonts w:hint="eastAsia"/>
          <w:bCs/>
          <w:color w:val="auto"/>
          <w:sz w:val="24"/>
          <w:szCs w:val="24"/>
          <w:highlight w:val="none"/>
        </w:rPr>
        <w:t>培训费、</w:t>
      </w:r>
      <w:r>
        <w:rPr>
          <w:rFonts w:hint="eastAsia"/>
          <w:color w:val="auto"/>
          <w:sz w:val="24"/>
          <w:szCs w:val="24"/>
          <w:highlight w:val="none"/>
        </w:rPr>
        <w:t>管理费、</w:t>
      </w:r>
      <w:r>
        <w:rPr>
          <w:color w:val="auto"/>
          <w:sz w:val="24"/>
          <w:highlight w:val="none"/>
        </w:rPr>
        <w:t>项目利润、</w:t>
      </w:r>
      <w:r>
        <w:rPr>
          <w:color w:val="auto"/>
          <w:sz w:val="24"/>
          <w:szCs w:val="24"/>
          <w:highlight w:val="none"/>
        </w:rPr>
        <w:t>税费及政策性文件规定和合同所包含的所有风险、责任等各项应有费用</w:t>
      </w:r>
      <w:r>
        <w:rPr>
          <w:color w:val="auto"/>
          <w:sz w:val="24"/>
          <w:highlight w:val="none"/>
        </w:rPr>
        <w:t>（</w:t>
      </w:r>
      <w:r>
        <w:rPr>
          <w:color w:val="auto"/>
          <w:sz w:val="24"/>
          <w:szCs w:val="24"/>
          <w:highlight w:val="none"/>
        </w:rPr>
        <w:t>项目实施过程中由采购人承担的项目及费用</w:t>
      </w:r>
      <w:r>
        <w:rPr>
          <w:color w:val="auto"/>
          <w:sz w:val="24"/>
          <w:highlight w:val="none"/>
        </w:rPr>
        <w:t>除外）</w:t>
      </w:r>
      <w:r>
        <w:rPr>
          <w:color w:val="auto"/>
          <w:sz w:val="24"/>
          <w:szCs w:val="24"/>
          <w:highlight w:val="none"/>
        </w:rPr>
        <w:t>。</w:t>
      </w:r>
    </w:p>
    <w:p w14:paraId="58EFB1DC">
      <w:pPr>
        <w:spacing w:line="440" w:lineRule="exact"/>
        <w:ind w:firstLine="480" w:firstLineChars="200"/>
        <w:rPr>
          <w:color w:val="auto"/>
          <w:sz w:val="24"/>
          <w:szCs w:val="24"/>
          <w:highlight w:val="none"/>
        </w:rPr>
      </w:pPr>
      <w:r>
        <w:rPr>
          <w:rFonts w:hint="eastAsia"/>
          <w:color w:val="auto"/>
          <w:sz w:val="24"/>
          <w:szCs w:val="24"/>
          <w:highlight w:val="none"/>
        </w:rPr>
        <w:t>4</w:t>
      </w:r>
      <w:r>
        <w:rPr>
          <w:color w:val="auto"/>
          <w:sz w:val="24"/>
          <w:szCs w:val="24"/>
          <w:highlight w:val="none"/>
        </w:rPr>
        <w:t>、投标人在投标报价时应考虑各种风险因素，相关风险因素费用包含在投标总</w:t>
      </w:r>
      <w:r>
        <w:rPr>
          <w:rFonts w:hint="eastAsia"/>
          <w:color w:val="auto"/>
          <w:sz w:val="24"/>
          <w:szCs w:val="24"/>
          <w:highlight w:val="none"/>
        </w:rPr>
        <w:t>报价</w:t>
      </w:r>
      <w:r>
        <w:rPr>
          <w:color w:val="auto"/>
          <w:sz w:val="24"/>
          <w:szCs w:val="24"/>
          <w:highlight w:val="none"/>
        </w:rPr>
        <w:t>中。风险因素包括不可抗力、遇重大活动、检查、突发情况、最低工资调整、社保调整、公积金调整、物价调整、税费调整等。</w:t>
      </w:r>
    </w:p>
    <w:p w14:paraId="169B1902">
      <w:pPr>
        <w:spacing w:line="440" w:lineRule="exact"/>
        <w:ind w:firstLine="480" w:firstLineChars="200"/>
        <w:rPr>
          <w:rFonts w:hint="eastAsia"/>
          <w:color w:val="auto"/>
          <w:sz w:val="24"/>
          <w:highlight w:val="none"/>
        </w:rPr>
      </w:pPr>
      <w:r>
        <w:rPr>
          <w:rFonts w:hint="eastAsia"/>
          <w:color w:val="auto"/>
          <w:sz w:val="24"/>
          <w:szCs w:val="24"/>
          <w:highlight w:val="none"/>
        </w:rPr>
        <w:t>5、</w:t>
      </w:r>
      <w:r>
        <w:rPr>
          <w:rFonts w:hint="eastAsia" w:ascii="Times New Roman" w:hAnsi="Times New Roman" w:eastAsia="宋体" w:cs="Times New Roman"/>
          <w:color w:val="auto"/>
          <w:sz w:val="24"/>
          <w:highlight w:val="none"/>
        </w:rPr>
        <w:t>如遇突发事件，需保安人员临时加班的，</w:t>
      </w:r>
      <w:r>
        <w:rPr>
          <w:rFonts w:hint="eastAsia" w:ascii="Times New Roman" w:hAnsi="Times New Roman" w:eastAsia="宋体" w:cs="Times New Roman"/>
          <w:color w:val="auto"/>
          <w:sz w:val="24"/>
          <w:highlight w:val="none"/>
          <w:lang w:val="en-US" w:eastAsia="zh-CN"/>
        </w:rPr>
        <w:t>相关费用由中标人直接向工作人员支付</w:t>
      </w:r>
      <w:r>
        <w:rPr>
          <w:rFonts w:hint="eastAsia"/>
          <w:color w:val="auto"/>
          <w:sz w:val="24"/>
          <w:highlight w:val="none"/>
        </w:rPr>
        <w:t>。</w:t>
      </w:r>
    </w:p>
    <w:p w14:paraId="7B3EE1EE">
      <w:pPr>
        <w:pStyle w:val="20"/>
        <w:ind w:firstLine="0" w:firstLineChars="0"/>
        <w:rPr>
          <w:color w:val="auto"/>
          <w:highlight w:val="none"/>
        </w:rPr>
      </w:pPr>
      <w:bookmarkStart w:id="117" w:name="_Toc21825"/>
    </w:p>
    <w:p w14:paraId="5A1FC820">
      <w:pPr>
        <w:spacing w:line="440" w:lineRule="exact"/>
        <w:outlineLvl w:val="1"/>
        <w:rPr>
          <w:b/>
          <w:bCs/>
          <w:color w:val="auto"/>
          <w:sz w:val="28"/>
          <w:szCs w:val="22"/>
          <w:highlight w:val="none"/>
        </w:rPr>
      </w:pPr>
      <w:bookmarkStart w:id="118" w:name="_Toc21309"/>
      <w:bookmarkStart w:id="119" w:name="_Toc19886"/>
      <w:r>
        <w:rPr>
          <w:rFonts w:hint="eastAsia"/>
          <w:b/>
          <w:bCs/>
          <w:color w:val="auto"/>
          <w:sz w:val="28"/>
          <w:szCs w:val="22"/>
          <w:highlight w:val="none"/>
        </w:rPr>
        <w:t>五、其他要求：</w:t>
      </w:r>
      <w:bookmarkEnd w:id="117"/>
      <w:bookmarkEnd w:id="118"/>
      <w:bookmarkEnd w:id="119"/>
    </w:p>
    <w:p w14:paraId="51305E31">
      <w:pPr>
        <w:spacing w:line="456" w:lineRule="exact"/>
        <w:ind w:firstLine="480" w:firstLineChars="200"/>
        <w:rPr>
          <w:rFonts w:hint="eastAsia" w:eastAsia="宋体"/>
          <w:color w:val="auto"/>
          <w:sz w:val="24"/>
          <w:szCs w:val="24"/>
          <w:highlight w:val="none"/>
          <w:lang w:eastAsia="zh-CN"/>
        </w:rPr>
      </w:pPr>
      <w:r>
        <w:rPr>
          <w:rFonts w:hint="eastAsia" w:ascii="Times New Roman" w:hAnsi="Times New Roman" w:eastAsia="宋体" w:cs="Times New Roman"/>
          <w:color w:val="auto"/>
          <w:sz w:val="24"/>
          <w:szCs w:val="24"/>
          <w:highlight w:val="none"/>
        </w:rPr>
        <w:t>1、保安服务履行期间将按照《</w:t>
      </w:r>
      <w:r>
        <w:rPr>
          <w:rFonts w:hint="eastAsia" w:ascii="Times New Roman" w:hAnsi="Times New Roman" w:eastAsia="宋体" w:cs="Times New Roman"/>
          <w:color w:val="auto"/>
          <w:sz w:val="24"/>
          <w:szCs w:val="24"/>
          <w:highlight w:val="none"/>
          <w:lang w:eastAsia="zh-CN"/>
        </w:rPr>
        <w:t>保安服务质量标准与监管考评标准细则</w:t>
      </w:r>
      <w:r>
        <w:rPr>
          <w:rFonts w:hint="eastAsia" w:ascii="Times New Roman" w:hAnsi="Times New Roman" w:eastAsia="宋体" w:cs="Times New Roman"/>
          <w:color w:val="auto"/>
          <w:sz w:val="24"/>
          <w:szCs w:val="24"/>
          <w:highlight w:val="none"/>
        </w:rPr>
        <w:t>》对中标人进行考核</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考核分数与年度考核费用挂钩，月度考核均分得分在95分（含）以上的，</w:t>
      </w:r>
      <w:r>
        <w:rPr>
          <w:rFonts w:hint="eastAsia" w:cs="Times New Roman"/>
          <w:color w:val="auto"/>
          <w:sz w:val="24"/>
          <w:szCs w:val="24"/>
          <w:highlight w:val="none"/>
          <w:lang w:val="en-US" w:eastAsia="zh-CN"/>
        </w:rPr>
        <w:t>该</w:t>
      </w:r>
      <w:r>
        <w:rPr>
          <w:rFonts w:hint="eastAsia" w:ascii="Times New Roman" w:hAnsi="Times New Roman" w:eastAsia="宋体" w:cs="Times New Roman"/>
          <w:color w:val="auto"/>
          <w:sz w:val="24"/>
          <w:szCs w:val="24"/>
          <w:highlight w:val="none"/>
          <w:lang w:val="en-US" w:eastAsia="zh-CN"/>
        </w:rPr>
        <w:t>年度考核费用全额支付；月度考核均分得分在95分（不含）以下的，每低一分扣除500元。</w:t>
      </w:r>
    </w:p>
    <w:p w14:paraId="67617CC8">
      <w:pPr>
        <w:spacing w:line="440" w:lineRule="exact"/>
        <w:ind w:firstLine="480" w:firstLineChars="200"/>
        <w:rPr>
          <w:rFonts w:hint="eastAsia"/>
          <w:color w:val="auto"/>
          <w:sz w:val="24"/>
          <w:szCs w:val="24"/>
          <w:highlight w:val="none"/>
        </w:rPr>
      </w:pPr>
      <w:r>
        <w:rPr>
          <w:rFonts w:hint="eastAsia"/>
          <w:color w:val="auto"/>
          <w:sz w:val="24"/>
          <w:szCs w:val="24"/>
          <w:highlight w:val="none"/>
        </w:rPr>
        <w:t>2、如因中标单位工作人员工作失职、疏漏、擅离职守、不作为、乱作为等原因造成的医院人身和财产损失，则全部由中标人承担。</w:t>
      </w:r>
    </w:p>
    <w:p w14:paraId="377811AD">
      <w:pPr>
        <w:spacing w:line="440" w:lineRule="exact"/>
        <w:ind w:firstLine="480" w:firstLineChars="200"/>
        <w:rPr>
          <w:rFonts w:hint="eastAsia"/>
          <w:color w:val="auto"/>
          <w:sz w:val="24"/>
          <w:szCs w:val="24"/>
          <w:highlight w:val="none"/>
        </w:rPr>
      </w:pPr>
      <w:bookmarkStart w:id="120" w:name="_Toc4195"/>
      <w:r>
        <w:rPr>
          <w:rFonts w:hint="eastAsia"/>
          <w:color w:val="auto"/>
          <w:sz w:val="24"/>
          <w:szCs w:val="24"/>
          <w:highlight w:val="none"/>
        </w:rPr>
        <w:t>3、如医院范围内发生被盗案件，系由于保安员失职、渎职所造成的，中标人须赔偿相应损失。</w:t>
      </w:r>
    </w:p>
    <w:p w14:paraId="6D9A458B">
      <w:pPr>
        <w:spacing w:line="440" w:lineRule="exact"/>
        <w:ind w:firstLine="480" w:firstLineChars="200"/>
        <w:rPr>
          <w:rFonts w:hint="eastAsia"/>
          <w:color w:val="auto"/>
          <w:sz w:val="24"/>
          <w:szCs w:val="24"/>
          <w:highlight w:val="none"/>
          <w:lang w:val="zh-CN"/>
        </w:rPr>
      </w:pPr>
      <w:r>
        <w:rPr>
          <w:rFonts w:hint="eastAsia"/>
          <w:color w:val="auto"/>
          <w:sz w:val="24"/>
          <w:szCs w:val="24"/>
          <w:highlight w:val="none"/>
        </w:rPr>
        <w:t>4、如医院财产、医院工作人员、住院病人、就医者人身伤亡和财产损失是由于中标人</w:t>
      </w:r>
      <w:r>
        <w:rPr>
          <w:rFonts w:hint="eastAsia"/>
          <w:color w:val="auto"/>
          <w:sz w:val="24"/>
          <w:szCs w:val="24"/>
          <w:highlight w:val="none"/>
          <w:lang w:eastAsia="zh-CN"/>
        </w:rPr>
        <w:t>（</w:t>
      </w:r>
      <w:r>
        <w:rPr>
          <w:rFonts w:hint="eastAsia"/>
          <w:color w:val="auto"/>
          <w:sz w:val="24"/>
          <w:szCs w:val="24"/>
          <w:highlight w:val="none"/>
          <w:lang w:val="en-US" w:eastAsia="zh-CN"/>
        </w:rPr>
        <w:t>或</w:t>
      </w:r>
      <w:r>
        <w:rPr>
          <w:rFonts w:hint="eastAsia"/>
          <w:color w:val="auto"/>
          <w:sz w:val="24"/>
          <w:szCs w:val="24"/>
          <w:highlight w:val="none"/>
        </w:rPr>
        <w:t>保安员</w:t>
      </w:r>
      <w:r>
        <w:rPr>
          <w:rFonts w:hint="eastAsia"/>
          <w:color w:val="auto"/>
          <w:sz w:val="24"/>
          <w:szCs w:val="24"/>
          <w:highlight w:val="none"/>
          <w:lang w:eastAsia="zh-CN"/>
        </w:rPr>
        <w:t>）</w:t>
      </w:r>
      <w:r>
        <w:rPr>
          <w:rFonts w:hint="eastAsia"/>
          <w:color w:val="auto"/>
          <w:sz w:val="24"/>
          <w:szCs w:val="24"/>
          <w:highlight w:val="none"/>
        </w:rPr>
        <w:t>监管不力造成的，由中标人承担相应责任和负责赔偿。</w:t>
      </w:r>
    </w:p>
    <w:p w14:paraId="22B36B8C">
      <w:pPr>
        <w:pStyle w:val="20"/>
        <w:ind w:firstLine="0" w:firstLineChars="0"/>
        <w:rPr>
          <w:color w:val="auto"/>
          <w:highlight w:val="none"/>
        </w:rPr>
      </w:pPr>
    </w:p>
    <w:p w14:paraId="1904A7AE">
      <w:pPr>
        <w:spacing w:line="440" w:lineRule="exact"/>
        <w:outlineLvl w:val="1"/>
        <w:rPr>
          <w:rFonts w:hint="eastAsia"/>
          <w:b/>
          <w:bCs/>
          <w:color w:val="auto"/>
          <w:sz w:val="28"/>
          <w:szCs w:val="22"/>
          <w:highlight w:val="none"/>
        </w:rPr>
      </w:pPr>
      <w:bookmarkStart w:id="121" w:name="_Toc19190"/>
      <w:bookmarkStart w:id="122" w:name="_Toc12423"/>
      <w:r>
        <w:rPr>
          <w:rFonts w:hint="eastAsia"/>
          <w:b/>
          <w:bCs/>
          <w:color w:val="auto"/>
          <w:sz w:val="28"/>
          <w:szCs w:val="22"/>
          <w:highlight w:val="none"/>
        </w:rPr>
        <w:t>六、附件：</w:t>
      </w:r>
      <w:bookmarkEnd w:id="120"/>
      <w:bookmarkEnd w:id="121"/>
      <w:bookmarkEnd w:id="122"/>
    </w:p>
    <w:p w14:paraId="65912C27">
      <w:pPr>
        <w:spacing w:line="440" w:lineRule="exact"/>
        <w:ind w:firstLine="480" w:firstLineChars="200"/>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附件1-保安服务质量标准与监管考评标准细则</w:t>
      </w:r>
      <w:r>
        <w:rPr>
          <w:rFonts w:hint="eastAsia"/>
          <w:color w:val="auto"/>
          <w:sz w:val="24"/>
          <w:szCs w:val="24"/>
          <w:highlight w:val="none"/>
        </w:rPr>
        <w:t>。</w:t>
      </w:r>
    </w:p>
    <w:p w14:paraId="7E1B7AEA">
      <w:pPr>
        <w:spacing w:line="390" w:lineRule="exact"/>
        <w:jc w:val="center"/>
        <w:rPr>
          <w:rFonts w:ascii="宋体" w:hAnsi="宋体"/>
          <w:b/>
          <w:color w:val="auto"/>
          <w:sz w:val="24"/>
          <w:szCs w:val="24"/>
          <w:highlight w:val="none"/>
        </w:rPr>
      </w:pPr>
      <w:r>
        <w:rPr>
          <w:rFonts w:ascii="宋体" w:hAnsi="宋体"/>
          <w:b/>
          <w:color w:val="auto"/>
          <w:sz w:val="24"/>
          <w:szCs w:val="24"/>
          <w:highlight w:val="none"/>
        </w:rPr>
        <w:t>保安服务质量标准与监管考评标准细则</w:t>
      </w:r>
    </w:p>
    <w:tbl>
      <w:tblPr>
        <w:tblStyle w:val="56"/>
        <w:tblW w:w="9903" w:type="dxa"/>
        <w:tblInd w:w="0" w:type="dxa"/>
        <w:tblLayout w:type="fixed"/>
        <w:tblCellMar>
          <w:top w:w="0" w:type="dxa"/>
          <w:left w:w="108" w:type="dxa"/>
          <w:bottom w:w="0" w:type="dxa"/>
          <w:right w:w="108" w:type="dxa"/>
        </w:tblCellMar>
      </w:tblPr>
      <w:tblGrid>
        <w:gridCol w:w="4428"/>
        <w:gridCol w:w="919"/>
        <w:gridCol w:w="4556"/>
      </w:tblGrid>
      <w:tr w14:paraId="32B7DC9F">
        <w:tblPrEx>
          <w:tblCellMar>
            <w:top w:w="0" w:type="dxa"/>
            <w:left w:w="108" w:type="dxa"/>
            <w:bottom w:w="0" w:type="dxa"/>
            <w:right w:w="108" w:type="dxa"/>
          </w:tblCellMar>
        </w:tblPrEx>
        <w:trPr>
          <w:trHeight w:val="470" w:hRule="atLeast"/>
        </w:trPr>
        <w:tc>
          <w:tcPr>
            <w:tcW w:w="4428" w:type="dxa"/>
            <w:tcBorders>
              <w:top w:val="single" w:color="auto" w:sz="4" w:space="0"/>
              <w:left w:val="single" w:color="auto" w:sz="4" w:space="0"/>
              <w:bottom w:val="single" w:color="auto" w:sz="4" w:space="0"/>
              <w:right w:val="single" w:color="auto" w:sz="4" w:space="0"/>
            </w:tcBorders>
            <w:noWrap w:val="0"/>
            <w:vAlign w:val="center"/>
          </w:tcPr>
          <w:p w14:paraId="3FF506C8">
            <w:pPr>
              <w:spacing w:line="390" w:lineRule="exact"/>
              <w:jc w:val="center"/>
              <w:rPr>
                <w:rFonts w:ascii="宋体" w:hAnsi="宋体"/>
                <w:color w:val="auto"/>
                <w:sz w:val="24"/>
                <w:szCs w:val="24"/>
                <w:highlight w:val="none"/>
              </w:rPr>
            </w:pPr>
            <w:r>
              <w:rPr>
                <w:rFonts w:ascii="宋体" w:hAnsi="宋体"/>
                <w:color w:val="auto"/>
                <w:sz w:val="24"/>
                <w:szCs w:val="24"/>
                <w:highlight w:val="none"/>
              </w:rPr>
              <w:t>服务质量标准</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1D497171">
            <w:pPr>
              <w:spacing w:line="390" w:lineRule="exact"/>
              <w:jc w:val="center"/>
              <w:rPr>
                <w:rFonts w:ascii="宋体" w:hAnsi="宋体"/>
                <w:color w:val="auto"/>
                <w:sz w:val="24"/>
                <w:szCs w:val="24"/>
                <w:highlight w:val="none"/>
              </w:rPr>
            </w:pPr>
            <w:r>
              <w:rPr>
                <w:rFonts w:ascii="宋体" w:hAnsi="宋体"/>
                <w:color w:val="auto"/>
                <w:sz w:val="24"/>
                <w:szCs w:val="24"/>
                <w:highlight w:val="none"/>
              </w:rPr>
              <w:t>分值</w:t>
            </w:r>
          </w:p>
        </w:tc>
        <w:tc>
          <w:tcPr>
            <w:tcW w:w="4556" w:type="dxa"/>
            <w:tcBorders>
              <w:top w:val="single" w:color="auto" w:sz="4" w:space="0"/>
              <w:left w:val="single" w:color="auto" w:sz="4" w:space="0"/>
              <w:bottom w:val="single" w:color="auto" w:sz="4" w:space="0"/>
              <w:right w:val="single" w:color="auto" w:sz="4" w:space="0"/>
            </w:tcBorders>
            <w:noWrap w:val="0"/>
            <w:vAlign w:val="center"/>
          </w:tcPr>
          <w:p w14:paraId="05B8F0D3">
            <w:pPr>
              <w:spacing w:line="390" w:lineRule="exact"/>
              <w:jc w:val="center"/>
              <w:rPr>
                <w:rFonts w:ascii="宋体" w:hAnsi="宋体"/>
                <w:color w:val="auto"/>
                <w:sz w:val="24"/>
                <w:szCs w:val="24"/>
                <w:highlight w:val="none"/>
              </w:rPr>
            </w:pPr>
            <w:r>
              <w:rPr>
                <w:rFonts w:ascii="宋体" w:hAnsi="宋体"/>
                <w:color w:val="auto"/>
                <w:sz w:val="24"/>
                <w:szCs w:val="24"/>
                <w:highlight w:val="none"/>
              </w:rPr>
              <w:t>监管考评标准</w:t>
            </w:r>
          </w:p>
        </w:tc>
      </w:tr>
      <w:tr w14:paraId="302BA657">
        <w:tblPrEx>
          <w:tblCellMar>
            <w:top w:w="0" w:type="dxa"/>
            <w:left w:w="108" w:type="dxa"/>
            <w:bottom w:w="0" w:type="dxa"/>
            <w:right w:w="108" w:type="dxa"/>
          </w:tblCellMar>
        </w:tblPrEx>
        <w:trPr>
          <w:trHeight w:val="788" w:hRule="atLeast"/>
        </w:trPr>
        <w:tc>
          <w:tcPr>
            <w:tcW w:w="4428" w:type="dxa"/>
            <w:tcBorders>
              <w:top w:val="single" w:color="auto" w:sz="4" w:space="0"/>
              <w:left w:val="single" w:color="auto" w:sz="4" w:space="0"/>
              <w:bottom w:val="single" w:color="auto" w:sz="4" w:space="0"/>
              <w:right w:val="single" w:color="auto" w:sz="4" w:space="0"/>
            </w:tcBorders>
            <w:noWrap w:val="0"/>
            <w:vAlign w:val="center"/>
          </w:tcPr>
          <w:p w14:paraId="2868CB3E">
            <w:pPr>
              <w:spacing w:line="390" w:lineRule="exact"/>
              <w:jc w:val="center"/>
              <w:rPr>
                <w:rFonts w:ascii="宋体" w:hAnsi="宋体"/>
                <w:color w:val="auto"/>
                <w:sz w:val="24"/>
                <w:szCs w:val="24"/>
                <w:highlight w:val="none"/>
              </w:rPr>
            </w:pPr>
            <w:r>
              <w:rPr>
                <w:rFonts w:ascii="宋体" w:hAnsi="宋体"/>
                <w:color w:val="auto"/>
                <w:sz w:val="24"/>
                <w:szCs w:val="24"/>
                <w:highlight w:val="none"/>
              </w:rPr>
              <w:t>严格执勤，落实岗位责任制。结合医院特点制订安防措施及各项管理制度、规定、突发事件的应急处置方案，确保医院无治安和刑事案件发生，医院安全稳定。无火灾等安全生产事故发生。</w:t>
            </w:r>
          </w:p>
        </w:tc>
        <w:tc>
          <w:tcPr>
            <w:tcW w:w="919" w:type="dxa"/>
            <w:tcBorders>
              <w:left w:val="single" w:color="auto" w:sz="4" w:space="0"/>
              <w:bottom w:val="single" w:color="auto" w:sz="4" w:space="0"/>
              <w:right w:val="single" w:color="auto" w:sz="4" w:space="0"/>
            </w:tcBorders>
            <w:noWrap w:val="0"/>
            <w:vAlign w:val="center"/>
          </w:tcPr>
          <w:p w14:paraId="7D69D4AF">
            <w:pPr>
              <w:spacing w:line="390" w:lineRule="exact"/>
              <w:jc w:val="center"/>
              <w:rPr>
                <w:rFonts w:ascii="宋体" w:hAnsi="宋体"/>
                <w:color w:val="auto"/>
                <w:sz w:val="24"/>
                <w:szCs w:val="24"/>
                <w:highlight w:val="none"/>
              </w:rPr>
            </w:pPr>
            <w:r>
              <w:rPr>
                <w:color w:val="auto"/>
                <w:sz w:val="24"/>
                <w:szCs w:val="24"/>
                <w:highlight w:val="none"/>
              </w:rPr>
              <w:t>20</w:t>
            </w:r>
            <w:r>
              <w:rPr>
                <w:rFonts w:ascii="宋体" w:hAnsi="宋体"/>
                <w:color w:val="auto"/>
                <w:sz w:val="24"/>
                <w:szCs w:val="24"/>
                <w:highlight w:val="none"/>
              </w:rPr>
              <w:t>分</w:t>
            </w:r>
          </w:p>
        </w:tc>
        <w:tc>
          <w:tcPr>
            <w:tcW w:w="4556" w:type="dxa"/>
            <w:tcBorders>
              <w:top w:val="single" w:color="auto" w:sz="4" w:space="0"/>
              <w:left w:val="single" w:color="auto" w:sz="4" w:space="0"/>
              <w:bottom w:val="single" w:color="auto" w:sz="4" w:space="0"/>
              <w:right w:val="single" w:color="auto" w:sz="4" w:space="0"/>
            </w:tcBorders>
            <w:noWrap w:val="0"/>
            <w:vAlign w:val="center"/>
          </w:tcPr>
          <w:p w14:paraId="1EFF482C">
            <w:pPr>
              <w:spacing w:line="390" w:lineRule="exact"/>
              <w:jc w:val="center"/>
              <w:rPr>
                <w:rFonts w:ascii="宋体" w:hAnsi="宋体"/>
                <w:color w:val="auto"/>
                <w:sz w:val="24"/>
                <w:szCs w:val="24"/>
                <w:highlight w:val="none"/>
              </w:rPr>
            </w:pPr>
            <w:r>
              <w:rPr>
                <w:rFonts w:ascii="宋体" w:hAnsi="宋体"/>
                <w:color w:val="auto"/>
                <w:sz w:val="24"/>
                <w:szCs w:val="24"/>
                <w:highlight w:val="none"/>
              </w:rPr>
              <w:t>制度、措施、方案不健全每项扣</w:t>
            </w:r>
            <w:r>
              <w:rPr>
                <w:color w:val="auto"/>
                <w:sz w:val="24"/>
                <w:szCs w:val="24"/>
                <w:highlight w:val="none"/>
              </w:rPr>
              <w:t>1</w:t>
            </w:r>
            <w:r>
              <w:rPr>
                <w:rFonts w:ascii="宋体" w:hAnsi="宋体"/>
                <w:color w:val="auto"/>
                <w:sz w:val="24"/>
                <w:szCs w:val="24"/>
                <w:highlight w:val="none"/>
              </w:rPr>
              <w:t>分；执勤期间不按规定履行职责有脱岗、串岗、打闹、看书报、看电视、收听广播、玩手机游戏，每人每次每项扣</w:t>
            </w:r>
            <w:r>
              <w:rPr>
                <w:color w:val="auto"/>
                <w:sz w:val="24"/>
                <w:szCs w:val="24"/>
                <w:highlight w:val="none"/>
              </w:rPr>
              <w:t>0.5</w:t>
            </w:r>
            <w:r>
              <w:rPr>
                <w:rFonts w:ascii="宋体" w:hAnsi="宋体"/>
                <w:color w:val="auto"/>
                <w:sz w:val="24"/>
                <w:szCs w:val="24"/>
                <w:highlight w:val="none"/>
              </w:rPr>
              <w:t>分；打瞌睡、睡觉、脱岗半小时以上，每人每次每项扣</w:t>
            </w:r>
            <w:r>
              <w:rPr>
                <w:color w:val="auto"/>
                <w:sz w:val="24"/>
                <w:szCs w:val="24"/>
                <w:highlight w:val="none"/>
              </w:rPr>
              <w:t>1</w:t>
            </w:r>
            <w:r>
              <w:rPr>
                <w:rFonts w:ascii="宋体" w:hAnsi="宋体"/>
                <w:color w:val="auto"/>
                <w:sz w:val="24"/>
                <w:szCs w:val="24"/>
                <w:highlight w:val="none"/>
              </w:rPr>
              <w:t>分</w:t>
            </w:r>
            <w:r>
              <w:rPr>
                <w:rFonts w:hint="eastAsia"/>
                <w:color w:val="auto"/>
                <w:sz w:val="24"/>
                <w:szCs w:val="24"/>
                <w:highlight w:val="none"/>
              </w:rPr>
              <w:t>~</w:t>
            </w:r>
            <w:r>
              <w:rPr>
                <w:color w:val="auto"/>
                <w:sz w:val="24"/>
                <w:szCs w:val="24"/>
                <w:highlight w:val="none"/>
              </w:rPr>
              <w:t>3</w:t>
            </w:r>
            <w:r>
              <w:rPr>
                <w:rFonts w:ascii="宋体" w:hAnsi="宋体"/>
                <w:color w:val="auto"/>
                <w:sz w:val="24"/>
                <w:szCs w:val="24"/>
                <w:highlight w:val="none"/>
              </w:rPr>
              <w:t>分。</w:t>
            </w:r>
          </w:p>
        </w:tc>
      </w:tr>
      <w:tr w14:paraId="3CF351AA">
        <w:tblPrEx>
          <w:tblCellMar>
            <w:top w:w="0" w:type="dxa"/>
            <w:left w:w="108" w:type="dxa"/>
            <w:bottom w:w="0" w:type="dxa"/>
            <w:right w:w="108" w:type="dxa"/>
          </w:tblCellMar>
        </w:tblPrEx>
        <w:trPr>
          <w:trHeight w:val="145" w:hRule="atLeast"/>
        </w:trPr>
        <w:tc>
          <w:tcPr>
            <w:tcW w:w="4428" w:type="dxa"/>
            <w:tcBorders>
              <w:top w:val="single" w:color="auto" w:sz="4" w:space="0"/>
              <w:left w:val="single" w:color="auto" w:sz="4" w:space="0"/>
              <w:bottom w:val="single" w:color="auto" w:sz="4" w:space="0"/>
              <w:right w:val="single" w:color="auto" w:sz="4" w:space="0"/>
            </w:tcBorders>
            <w:noWrap w:val="0"/>
            <w:vAlign w:val="center"/>
          </w:tcPr>
          <w:p w14:paraId="22992EC6">
            <w:pPr>
              <w:spacing w:line="390" w:lineRule="exact"/>
              <w:jc w:val="center"/>
              <w:rPr>
                <w:rFonts w:hint="default" w:eastAsia="宋体"/>
                <w:color w:val="auto"/>
                <w:highlight w:val="none"/>
                <w:lang w:val="en-US" w:eastAsia="zh-CN"/>
              </w:rPr>
            </w:pPr>
            <w:r>
              <w:rPr>
                <w:rFonts w:ascii="宋体" w:hAnsi="宋体"/>
                <w:color w:val="auto"/>
                <w:sz w:val="24"/>
                <w:szCs w:val="24"/>
                <w:highlight w:val="none"/>
              </w:rPr>
              <w:t>实行</w:t>
            </w:r>
            <w:r>
              <w:rPr>
                <w:color w:val="auto"/>
                <w:sz w:val="24"/>
                <w:szCs w:val="24"/>
                <w:highlight w:val="none"/>
              </w:rPr>
              <w:t>24</w:t>
            </w:r>
            <w:r>
              <w:rPr>
                <w:rFonts w:ascii="宋体" w:hAnsi="宋体"/>
                <w:color w:val="auto"/>
                <w:sz w:val="24"/>
                <w:szCs w:val="24"/>
                <w:highlight w:val="none"/>
              </w:rPr>
              <w:t>小时值班及巡逻制度；</w:t>
            </w:r>
            <w:r>
              <w:rPr>
                <w:rFonts w:hint="eastAsia" w:ascii="宋体" w:hAnsi="宋体"/>
                <w:color w:val="auto"/>
                <w:sz w:val="24"/>
                <w:szCs w:val="24"/>
                <w:highlight w:val="none"/>
                <w:lang w:val="en-US" w:eastAsia="zh-CN"/>
              </w:rPr>
              <w:t>做好重点部位巡查及打卡；</w:t>
            </w:r>
            <w:r>
              <w:rPr>
                <w:rFonts w:ascii="宋体" w:hAnsi="宋体"/>
                <w:color w:val="auto"/>
                <w:sz w:val="24"/>
                <w:szCs w:val="24"/>
                <w:highlight w:val="none"/>
              </w:rPr>
              <w:t>保安员按规定着装和佩戴装备，熟悉医院环境，文明执勤、言语规范、训练有素，认真履行职责。不能与外来人员发生矛盾和冲突。巡逻保安不能与站岗保安聊天</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保安内部团结协作，不发生矛盾和冲突。</w:t>
            </w:r>
            <w:r>
              <w:rPr>
                <w:rFonts w:hint="eastAsia"/>
                <w:color w:val="auto"/>
                <w:sz w:val="24"/>
                <w:szCs w:val="24"/>
                <w:highlight w:val="none"/>
              </w:rPr>
              <w:t>确保工作人员在医院内无违规</w:t>
            </w:r>
            <w:r>
              <w:rPr>
                <w:rFonts w:hint="eastAsia"/>
                <w:color w:val="auto"/>
                <w:sz w:val="24"/>
                <w:szCs w:val="24"/>
                <w:highlight w:val="none"/>
                <w:lang w:val="en-US" w:eastAsia="zh-CN"/>
              </w:rPr>
              <w:t>违纪违法及不当</w:t>
            </w:r>
            <w:r>
              <w:rPr>
                <w:rFonts w:hint="eastAsia"/>
                <w:color w:val="auto"/>
                <w:sz w:val="24"/>
                <w:szCs w:val="24"/>
                <w:highlight w:val="none"/>
              </w:rPr>
              <w:t>事件发生。</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508EAC75">
            <w:pPr>
              <w:spacing w:line="390" w:lineRule="exact"/>
              <w:jc w:val="center"/>
              <w:rPr>
                <w:rFonts w:ascii="宋体" w:hAnsi="宋体"/>
                <w:color w:val="auto"/>
                <w:sz w:val="24"/>
                <w:szCs w:val="24"/>
                <w:highlight w:val="none"/>
              </w:rPr>
            </w:pPr>
            <w:r>
              <w:rPr>
                <w:color w:val="auto"/>
                <w:sz w:val="24"/>
                <w:szCs w:val="24"/>
                <w:highlight w:val="none"/>
              </w:rPr>
              <w:t>20</w:t>
            </w:r>
            <w:r>
              <w:rPr>
                <w:rFonts w:ascii="宋体" w:hAnsi="宋体"/>
                <w:color w:val="auto"/>
                <w:sz w:val="24"/>
                <w:szCs w:val="24"/>
                <w:highlight w:val="none"/>
              </w:rPr>
              <w:t>分</w:t>
            </w:r>
          </w:p>
        </w:tc>
        <w:tc>
          <w:tcPr>
            <w:tcW w:w="4556" w:type="dxa"/>
            <w:tcBorders>
              <w:top w:val="single" w:color="auto" w:sz="4" w:space="0"/>
              <w:left w:val="single" w:color="auto" w:sz="4" w:space="0"/>
              <w:bottom w:val="single" w:color="auto" w:sz="4" w:space="0"/>
              <w:right w:val="single" w:color="auto" w:sz="4" w:space="0"/>
            </w:tcBorders>
            <w:noWrap w:val="0"/>
            <w:vAlign w:val="center"/>
          </w:tcPr>
          <w:p w14:paraId="04FFA934">
            <w:pPr>
              <w:spacing w:line="390" w:lineRule="exact"/>
              <w:jc w:val="center"/>
              <w:rPr>
                <w:rFonts w:hint="default" w:eastAsia="宋体"/>
                <w:color w:val="auto"/>
                <w:highlight w:val="none"/>
                <w:lang w:val="en-US" w:eastAsia="zh-CN"/>
              </w:rPr>
            </w:pPr>
            <w:r>
              <w:rPr>
                <w:rFonts w:hint="eastAsia" w:ascii="宋体" w:hAnsi="宋体"/>
                <w:color w:val="auto"/>
                <w:sz w:val="24"/>
                <w:szCs w:val="24"/>
                <w:highlight w:val="none"/>
                <w:lang w:val="en-US" w:eastAsia="zh-CN"/>
              </w:rPr>
              <w:t>服务人员的数量、职称、证书、资历等低于投标文件承诺的，每人扣5分；着装不整</w:t>
            </w:r>
            <w:r>
              <w:rPr>
                <w:rFonts w:ascii="宋体" w:hAnsi="宋体"/>
                <w:color w:val="auto"/>
                <w:sz w:val="24"/>
                <w:szCs w:val="24"/>
                <w:highlight w:val="none"/>
              </w:rPr>
              <w:t>、不礼貌（或被投诉）每次扣</w:t>
            </w:r>
            <w:r>
              <w:rPr>
                <w:color w:val="auto"/>
                <w:sz w:val="24"/>
                <w:szCs w:val="24"/>
                <w:highlight w:val="none"/>
              </w:rPr>
              <w:t>0.5</w:t>
            </w:r>
            <w:r>
              <w:rPr>
                <w:rFonts w:ascii="宋体" w:hAnsi="宋体"/>
                <w:color w:val="auto"/>
                <w:sz w:val="24"/>
                <w:szCs w:val="24"/>
                <w:highlight w:val="none"/>
              </w:rPr>
              <w:t>分；值班及巡逻</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巡查</w:t>
            </w:r>
            <w:r>
              <w:rPr>
                <w:rFonts w:ascii="宋体" w:hAnsi="宋体"/>
                <w:color w:val="auto"/>
                <w:sz w:val="24"/>
                <w:szCs w:val="24"/>
                <w:highlight w:val="none"/>
              </w:rPr>
              <w:t>记录不全或不规范</w:t>
            </w:r>
            <w:r>
              <w:rPr>
                <w:rFonts w:hint="eastAsia" w:ascii="宋体" w:hAnsi="宋体"/>
                <w:color w:val="auto"/>
                <w:sz w:val="24"/>
                <w:szCs w:val="24"/>
                <w:highlight w:val="none"/>
              </w:rPr>
              <w:t>的</w:t>
            </w:r>
            <w:r>
              <w:rPr>
                <w:rFonts w:ascii="宋体" w:hAnsi="宋体"/>
                <w:color w:val="auto"/>
                <w:sz w:val="24"/>
                <w:szCs w:val="24"/>
                <w:highlight w:val="none"/>
              </w:rPr>
              <w:t>扣</w:t>
            </w:r>
            <w:r>
              <w:rPr>
                <w:color w:val="auto"/>
                <w:sz w:val="24"/>
                <w:szCs w:val="24"/>
                <w:highlight w:val="none"/>
              </w:rPr>
              <w:t>0.5</w:t>
            </w:r>
            <w:r>
              <w:rPr>
                <w:rFonts w:ascii="宋体" w:hAnsi="宋体"/>
                <w:color w:val="auto"/>
                <w:sz w:val="24"/>
                <w:szCs w:val="24"/>
                <w:highlight w:val="none"/>
              </w:rPr>
              <w:t>分。发现巡逻保安与站岗保安聊天每人每次扣</w:t>
            </w:r>
            <w:r>
              <w:rPr>
                <w:color w:val="auto"/>
                <w:sz w:val="24"/>
                <w:szCs w:val="24"/>
                <w:highlight w:val="none"/>
              </w:rPr>
              <w:t>0.5</w:t>
            </w:r>
            <w:r>
              <w:rPr>
                <w:rFonts w:ascii="宋体" w:hAnsi="宋体"/>
                <w:color w:val="auto"/>
                <w:sz w:val="24"/>
                <w:szCs w:val="24"/>
                <w:highlight w:val="none"/>
              </w:rPr>
              <w:t>分。</w:t>
            </w:r>
            <w:r>
              <w:rPr>
                <w:rFonts w:hint="eastAsia" w:ascii="宋体" w:hAnsi="宋体"/>
                <w:color w:val="auto"/>
                <w:sz w:val="24"/>
                <w:szCs w:val="24"/>
                <w:highlight w:val="none"/>
                <w:lang w:val="en-US" w:eastAsia="zh-CN"/>
              </w:rPr>
              <w:t>发现保安内部发生矛盾、冲突每人每次扣</w:t>
            </w:r>
            <w:r>
              <w:rPr>
                <w:rFonts w:hint="default" w:ascii="Times New Roman" w:hAnsi="Times New Roman" w:cs="Times New Roman"/>
                <w:color w:val="auto"/>
                <w:sz w:val="24"/>
                <w:szCs w:val="24"/>
                <w:highlight w:val="none"/>
                <w:lang w:val="en-US" w:eastAsia="zh-CN"/>
              </w:rPr>
              <w:t>2分，影响恶劣的每人每次扣5分。如发生违规违纪违法及不当事件的，每次扣5分，影响恶劣的不得分。</w:t>
            </w:r>
          </w:p>
        </w:tc>
      </w:tr>
      <w:tr w14:paraId="543E92D0">
        <w:tblPrEx>
          <w:tblCellMar>
            <w:top w:w="0" w:type="dxa"/>
            <w:left w:w="108" w:type="dxa"/>
            <w:bottom w:w="0" w:type="dxa"/>
            <w:right w:w="108" w:type="dxa"/>
          </w:tblCellMar>
        </w:tblPrEx>
        <w:trPr>
          <w:trHeight w:val="145" w:hRule="atLeast"/>
        </w:trPr>
        <w:tc>
          <w:tcPr>
            <w:tcW w:w="4428" w:type="dxa"/>
            <w:tcBorders>
              <w:top w:val="single" w:color="auto" w:sz="4" w:space="0"/>
              <w:left w:val="single" w:color="auto" w:sz="4" w:space="0"/>
              <w:bottom w:val="single" w:color="auto" w:sz="4" w:space="0"/>
              <w:right w:val="single" w:color="auto" w:sz="4" w:space="0"/>
            </w:tcBorders>
            <w:noWrap w:val="0"/>
            <w:vAlign w:val="center"/>
          </w:tcPr>
          <w:p w14:paraId="7F2EF57B">
            <w:pPr>
              <w:spacing w:line="390" w:lineRule="exact"/>
              <w:jc w:val="center"/>
              <w:rPr>
                <w:rFonts w:ascii="宋体" w:hAnsi="宋体"/>
                <w:color w:val="auto"/>
                <w:sz w:val="24"/>
                <w:szCs w:val="24"/>
                <w:highlight w:val="none"/>
              </w:rPr>
            </w:pPr>
            <w:r>
              <w:rPr>
                <w:rFonts w:ascii="宋体" w:hAnsi="宋体"/>
                <w:color w:val="auto"/>
                <w:sz w:val="24"/>
                <w:szCs w:val="24"/>
                <w:highlight w:val="none"/>
              </w:rPr>
              <w:t>根据服务合同定岗定人，门岗要严格检查出入的大件</w:t>
            </w:r>
            <w:r>
              <w:rPr>
                <w:rFonts w:hint="eastAsia" w:ascii="宋体" w:hAnsi="宋体"/>
                <w:color w:val="auto"/>
                <w:sz w:val="24"/>
                <w:szCs w:val="24"/>
                <w:highlight w:val="none"/>
              </w:rPr>
              <w:t>行李</w:t>
            </w:r>
            <w:r>
              <w:rPr>
                <w:rFonts w:ascii="宋体" w:hAnsi="宋体"/>
                <w:color w:val="auto"/>
                <w:sz w:val="24"/>
                <w:szCs w:val="24"/>
                <w:highlight w:val="none"/>
              </w:rPr>
              <w:t>、物品，按照医院的规定进行各医疗大楼的管理，在院内严禁派发各种传单、广告</w:t>
            </w:r>
            <w:r>
              <w:rPr>
                <w:rFonts w:hint="eastAsia" w:ascii="宋体" w:hAnsi="宋体"/>
                <w:color w:val="auto"/>
                <w:sz w:val="24"/>
                <w:szCs w:val="24"/>
                <w:highlight w:val="none"/>
                <w:lang w:val="en-US" w:eastAsia="zh-CN"/>
              </w:rPr>
              <w:t>及推销活动</w:t>
            </w:r>
            <w:r>
              <w:rPr>
                <w:rFonts w:ascii="宋体" w:hAnsi="宋体"/>
                <w:color w:val="auto"/>
                <w:sz w:val="24"/>
                <w:szCs w:val="24"/>
                <w:highlight w:val="none"/>
              </w:rPr>
              <w:t>。</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18440614">
            <w:pPr>
              <w:spacing w:line="390" w:lineRule="exact"/>
              <w:jc w:val="center"/>
              <w:rPr>
                <w:rFonts w:ascii="宋体" w:hAnsi="宋体"/>
                <w:color w:val="auto"/>
                <w:sz w:val="24"/>
                <w:szCs w:val="24"/>
                <w:highlight w:val="none"/>
              </w:rPr>
            </w:pPr>
            <w:r>
              <w:rPr>
                <w:color w:val="auto"/>
                <w:sz w:val="24"/>
                <w:szCs w:val="24"/>
                <w:highlight w:val="none"/>
              </w:rPr>
              <w:t>15</w:t>
            </w:r>
            <w:r>
              <w:rPr>
                <w:rFonts w:ascii="宋体" w:hAnsi="宋体"/>
                <w:color w:val="auto"/>
                <w:sz w:val="24"/>
                <w:szCs w:val="24"/>
                <w:highlight w:val="none"/>
              </w:rPr>
              <w:t>分</w:t>
            </w:r>
          </w:p>
        </w:tc>
        <w:tc>
          <w:tcPr>
            <w:tcW w:w="4556" w:type="dxa"/>
            <w:tcBorders>
              <w:top w:val="single" w:color="auto" w:sz="4" w:space="0"/>
              <w:left w:val="single" w:color="auto" w:sz="4" w:space="0"/>
              <w:bottom w:val="single" w:color="auto" w:sz="4" w:space="0"/>
              <w:right w:val="single" w:color="auto" w:sz="4" w:space="0"/>
            </w:tcBorders>
            <w:noWrap w:val="0"/>
            <w:vAlign w:val="center"/>
          </w:tcPr>
          <w:p w14:paraId="55C08316">
            <w:pPr>
              <w:spacing w:line="390" w:lineRule="exact"/>
              <w:jc w:val="center"/>
              <w:rPr>
                <w:rFonts w:ascii="宋体" w:hAnsi="宋体"/>
                <w:color w:val="auto"/>
                <w:sz w:val="24"/>
                <w:szCs w:val="24"/>
                <w:highlight w:val="none"/>
              </w:rPr>
            </w:pPr>
            <w:r>
              <w:rPr>
                <w:rFonts w:ascii="宋体" w:hAnsi="宋体"/>
                <w:color w:val="auto"/>
                <w:sz w:val="24"/>
                <w:szCs w:val="24"/>
                <w:highlight w:val="none"/>
              </w:rPr>
              <w:t>不按合同定岗、定人缺</w:t>
            </w:r>
            <w:r>
              <w:rPr>
                <w:color w:val="auto"/>
                <w:sz w:val="24"/>
                <w:szCs w:val="24"/>
                <w:highlight w:val="none"/>
              </w:rPr>
              <w:t>1</w:t>
            </w:r>
            <w:r>
              <w:rPr>
                <w:rFonts w:ascii="宋体" w:hAnsi="宋体"/>
                <w:color w:val="auto"/>
                <w:sz w:val="24"/>
                <w:szCs w:val="24"/>
                <w:highlight w:val="none"/>
              </w:rPr>
              <w:t>人次扣</w:t>
            </w:r>
            <w:r>
              <w:rPr>
                <w:color w:val="auto"/>
                <w:sz w:val="24"/>
                <w:szCs w:val="24"/>
                <w:highlight w:val="none"/>
              </w:rPr>
              <w:t>5</w:t>
            </w:r>
            <w:r>
              <w:rPr>
                <w:rFonts w:ascii="宋体" w:hAnsi="宋体"/>
                <w:color w:val="auto"/>
                <w:sz w:val="24"/>
                <w:szCs w:val="24"/>
                <w:highlight w:val="none"/>
              </w:rPr>
              <w:t>分；门岗不按规定进行出入检查的扣</w:t>
            </w:r>
            <w:r>
              <w:rPr>
                <w:color w:val="auto"/>
                <w:sz w:val="24"/>
                <w:szCs w:val="24"/>
                <w:highlight w:val="none"/>
              </w:rPr>
              <w:t>2</w:t>
            </w:r>
            <w:r>
              <w:rPr>
                <w:rFonts w:ascii="宋体" w:hAnsi="宋体"/>
                <w:color w:val="auto"/>
                <w:sz w:val="24"/>
                <w:szCs w:val="24"/>
                <w:highlight w:val="none"/>
              </w:rPr>
              <w:t>分，医疗大楼内秩序混乱的扣</w:t>
            </w:r>
            <w:r>
              <w:rPr>
                <w:color w:val="auto"/>
                <w:sz w:val="24"/>
                <w:szCs w:val="24"/>
                <w:highlight w:val="none"/>
              </w:rPr>
              <w:t>2分；发现院内有散发传单、广告</w:t>
            </w:r>
            <w:r>
              <w:rPr>
                <w:rFonts w:hint="eastAsia"/>
                <w:color w:val="auto"/>
                <w:sz w:val="24"/>
                <w:szCs w:val="24"/>
                <w:highlight w:val="none"/>
                <w:lang w:eastAsia="zh-CN"/>
              </w:rPr>
              <w:t>、</w:t>
            </w:r>
            <w:r>
              <w:rPr>
                <w:rFonts w:hint="eastAsia"/>
                <w:color w:val="auto"/>
                <w:sz w:val="24"/>
                <w:szCs w:val="24"/>
                <w:highlight w:val="none"/>
                <w:lang w:val="en-US" w:eastAsia="zh-CN"/>
              </w:rPr>
              <w:t>推销</w:t>
            </w:r>
            <w:r>
              <w:rPr>
                <w:color w:val="auto"/>
                <w:sz w:val="24"/>
                <w:szCs w:val="24"/>
                <w:highlight w:val="none"/>
              </w:rPr>
              <w:t>的人员不及时驱赶每次扣1分</w:t>
            </w:r>
            <w:r>
              <w:rPr>
                <w:rFonts w:ascii="宋体" w:hAnsi="宋体"/>
                <w:color w:val="auto"/>
                <w:sz w:val="24"/>
                <w:szCs w:val="24"/>
                <w:highlight w:val="none"/>
              </w:rPr>
              <w:t>。</w:t>
            </w:r>
          </w:p>
        </w:tc>
      </w:tr>
      <w:tr w14:paraId="73602BD7">
        <w:tblPrEx>
          <w:tblCellMar>
            <w:top w:w="0" w:type="dxa"/>
            <w:left w:w="108" w:type="dxa"/>
            <w:bottom w:w="0" w:type="dxa"/>
            <w:right w:w="108" w:type="dxa"/>
          </w:tblCellMar>
        </w:tblPrEx>
        <w:trPr>
          <w:trHeight w:val="145" w:hRule="atLeast"/>
        </w:trPr>
        <w:tc>
          <w:tcPr>
            <w:tcW w:w="4428" w:type="dxa"/>
            <w:tcBorders>
              <w:top w:val="single" w:color="auto" w:sz="4" w:space="0"/>
              <w:left w:val="single" w:color="auto" w:sz="4" w:space="0"/>
              <w:bottom w:val="single" w:color="auto" w:sz="4" w:space="0"/>
              <w:right w:val="single" w:color="auto" w:sz="4" w:space="0"/>
            </w:tcBorders>
            <w:noWrap w:val="0"/>
            <w:vAlign w:val="center"/>
          </w:tcPr>
          <w:p w14:paraId="6CC3F738">
            <w:pPr>
              <w:spacing w:line="390" w:lineRule="exact"/>
              <w:jc w:val="center"/>
              <w:rPr>
                <w:rFonts w:ascii="宋体" w:hAnsi="宋体"/>
                <w:color w:val="auto"/>
                <w:sz w:val="24"/>
                <w:szCs w:val="24"/>
                <w:highlight w:val="none"/>
              </w:rPr>
            </w:pPr>
            <w:r>
              <w:rPr>
                <w:rFonts w:ascii="宋体" w:hAnsi="宋体"/>
                <w:color w:val="auto"/>
                <w:sz w:val="24"/>
                <w:szCs w:val="24"/>
                <w:highlight w:val="none"/>
              </w:rPr>
              <w:t>严格执行安防措施，防偷盗、防破坏、防火灾、防医托诈骗、防</w:t>
            </w:r>
            <w:r>
              <w:rPr>
                <w:rFonts w:hint="eastAsia" w:ascii="宋体" w:hAnsi="宋体"/>
                <w:color w:val="auto"/>
                <w:sz w:val="24"/>
                <w:szCs w:val="24"/>
                <w:highlight w:val="none"/>
              </w:rPr>
              <w:t>自然</w:t>
            </w:r>
            <w:r>
              <w:rPr>
                <w:rFonts w:ascii="宋体" w:hAnsi="宋体"/>
                <w:color w:val="auto"/>
                <w:sz w:val="24"/>
                <w:szCs w:val="24"/>
                <w:highlight w:val="none"/>
              </w:rPr>
              <w:t>灾害等，严格执行安全巡查制度；严格遵守闭路电视监控室各项管理规定及节假日值班制度，没有</w:t>
            </w:r>
            <w:r>
              <w:rPr>
                <w:rFonts w:hint="eastAsia" w:ascii="宋体" w:hAnsi="宋体"/>
                <w:color w:val="auto"/>
                <w:sz w:val="24"/>
                <w:szCs w:val="24"/>
                <w:highlight w:val="none"/>
                <w:lang w:val="en-US" w:eastAsia="zh-CN"/>
              </w:rPr>
              <w:t>后勤科主要负责人</w:t>
            </w:r>
            <w:r>
              <w:rPr>
                <w:rFonts w:ascii="宋体" w:hAnsi="宋体"/>
                <w:color w:val="auto"/>
                <w:sz w:val="24"/>
                <w:szCs w:val="24"/>
                <w:highlight w:val="none"/>
              </w:rPr>
              <w:t>批准任何人不得查看监控录像资料；发现安全隐患要立刻逐级报告，报告</w:t>
            </w:r>
            <w:r>
              <w:rPr>
                <w:rFonts w:hint="eastAsia" w:ascii="宋体" w:hAnsi="宋体"/>
                <w:color w:val="auto"/>
                <w:sz w:val="24"/>
                <w:szCs w:val="24"/>
                <w:highlight w:val="none"/>
                <w:lang w:val="en-US" w:eastAsia="zh-CN"/>
              </w:rPr>
              <w:t>后勤科</w:t>
            </w:r>
            <w:r>
              <w:rPr>
                <w:rFonts w:ascii="宋体" w:hAnsi="宋体"/>
                <w:color w:val="auto"/>
                <w:sz w:val="24"/>
                <w:szCs w:val="24"/>
                <w:highlight w:val="none"/>
              </w:rPr>
              <w:t>或总值班。</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7531DB42">
            <w:pPr>
              <w:spacing w:line="390" w:lineRule="exact"/>
              <w:jc w:val="center"/>
              <w:rPr>
                <w:rFonts w:ascii="宋体" w:hAnsi="宋体"/>
                <w:color w:val="auto"/>
                <w:sz w:val="24"/>
                <w:szCs w:val="24"/>
                <w:highlight w:val="none"/>
              </w:rPr>
            </w:pPr>
            <w:r>
              <w:rPr>
                <w:color w:val="auto"/>
                <w:sz w:val="24"/>
                <w:szCs w:val="24"/>
                <w:highlight w:val="none"/>
              </w:rPr>
              <w:t>15</w:t>
            </w:r>
            <w:r>
              <w:rPr>
                <w:rFonts w:ascii="宋体" w:hAnsi="宋体"/>
                <w:color w:val="auto"/>
                <w:sz w:val="24"/>
                <w:szCs w:val="24"/>
                <w:highlight w:val="none"/>
              </w:rPr>
              <w:t>分</w:t>
            </w:r>
          </w:p>
        </w:tc>
        <w:tc>
          <w:tcPr>
            <w:tcW w:w="4556" w:type="dxa"/>
            <w:tcBorders>
              <w:top w:val="single" w:color="auto" w:sz="4" w:space="0"/>
              <w:left w:val="single" w:color="auto" w:sz="4" w:space="0"/>
              <w:bottom w:val="single" w:color="auto" w:sz="4" w:space="0"/>
              <w:right w:val="single" w:color="auto" w:sz="4" w:space="0"/>
            </w:tcBorders>
            <w:noWrap w:val="0"/>
            <w:vAlign w:val="center"/>
          </w:tcPr>
          <w:p w14:paraId="247CF9C0">
            <w:pPr>
              <w:spacing w:line="390" w:lineRule="exact"/>
              <w:jc w:val="center"/>
              <w:rPr>
                <w:rFonts w:ascii="宋体" w:hAnsi="宋体"/>
                <w:color w:val="auto"/>
                <w:sz w:val="24"/>
                <w:szCs w:val="24"/>
                <w:highlight w:val="none"/>
              </w:rPr>
            </w:pPr>
            <w:r>
              <w:rPr>
                <w:rFonts w:ascii="宋体" w:hAnsi="宋体"/>
                <w:color w:val="auto"/>
                <w:sz w:val="24"/>
                <w:szCs w:val="24"/>
                <w:highlight w:val="none"/>
              </w:rPr>
              <w:t>发现问题不及时报告扣</w:t>
            </w:r>
            <w:r>
              <w:rPr>
                <w:color w:val="auto"/>
                <w:sz w:val="24"/>
                <w:szCs w:val="24"/>
                <w:highlight w:val="none"/>
              </w:rPr>
              <w:t>2</w:t>
            </w:r>
            <w:r>
              <w:rPr>
                <w:rFonts w:hint="eastAsia"/>
                <w:color w:val="auto"/>
                <w:sz w:val="24"/>
                <w:szCs w:val="24"/>
                <w:highlight w:val="none"/>
              </w:rPr>
              <w:t>~</w:t>
            </w:r>
            <w:r>
              <w:rPr>
                <w:color w:val="auto"/>
                <w:sz w:val="24"/>
                <w:szCs w:val="24"/>
                <w:highlight w:val="none"/>
              </w:rPr>
              <w:t>5</w:t>
            </w:r>
            <w:r>
              <w:rPr>
                <w:rFonts w:ascii="宋体" w:hAnsi="宋体"/>
                <w:color w:val="auto"/>
                <w:sz w:val="24"/>
                <w:szCs w:val="24"/>
                <w:highlight w:val="none"/>
              </w:rPr>
              <w:t>分。抢险救灾、有效发现并扑灭火警加</w:t>
            </w:r>
            <w:r>
              <w:rPr>
                <w:color w:val="auto"/>
                <w:sz w:val="24"/>
                <w:szCs w:val="24"/>
                <w:highlight w:val="none"/>
              </w:rPr>
              <w:t>5</w:t>
            </w:r>
            <w:r>
              <w:rPr>
                <w:rFonts w:ascii="宋体" w:hAnsi="宋体"/>
                <w:color w:val="auto"/>
                <w:sz w:val="24"/>
                <w:szCs w:val="24"/>
                <w:highlight w:val="none"/>
              </w:rPr>
              <w:t>分；有效制止自杀、医闹等重大恶性治安事件加</w:t>
            </w:r>
            <w:r>
              <w:rPr>
                <w:color w:val="auto"/>
                <w:sz w:val="24"/>
                <w:szCs w:val="24"/>
                <w:highlight w:val="none"/>
              </w:rPr>
              <w:t>3</w:t>
            </w:r>
            <w:r>
              <w:rPr>
                <w:rFonts w:hint="eastAsia"/>
                <w:color w:val="auto"/>
                <w:sz w:val="24"/>
                <w:szCs w:val="24"/>
                <w:highlight w:val="none"/>
              </w:rPr>
              <w:t>~</w:t>
            </w:r>
            <w:r>
              <w:rPr>
                <w:color w:val="auto"/>
                <w:sz w:val="24"/>
                <w:szCs w:val="24"/>
                <w:highlight w:val="none"/>
              </w:rPr>
              <w:t>5</w:t>
            </w:r>
            <w:r>
              <w:rPr>
                <w:rFonts w:ascii="宋体" w:hAnsi="宋体"/>
                <w:color w:val="auto"/>
                <w:sz w:val="24"/>
                <w:szCs w:val="24"/>
                <w:highlight w:val="none"/>
              </w:rPr>
              <w:t>分。主动发现抓获小偷每次加</w:t>
            </w:r>
            <w:r>
              <w:rPr>
                <w:color w:val="auto"/>
                <w:sz w:val="24"/>
                <w:szCs w:val="24"/>
                <w:highlight w:val="none"/>
              </w:rPr>
              <w:t>3</w:t>
            </w:r>
            <w:r>
              <w:rPr>
                <w:rFonts w:ascii="宋体" w:hAnsi="宋体"/>
                <w:color w:val="auto"/>
                <w:sz w:val="24"/>
                <w:szCs w:val="24"/>
                <w:highlight w:val="none"/>
              </w:rPr>
              <w:t>分；抓获小偷团伙每次酌情加</w:t>
            </w:r>
            <w:r>
              <w:rPr>
                <w:color w:val="auto"/>
                <w:sz w:val="24"/>
                <w:szCs w:val="24"/>
                <w:highlight w:val="none"/>
              </w:rPr>
              <w:t>5</w:t>
            </w:r>
            <w:r>
              <w:rPr>
                <w:rFonts w:hint="eastAsia"/>
                <w:color w:val="auto"/>
                <w:sz w:val="24"/>
                <w:szCs w:val="24"/>
                <w:highlight w:val="none"/>
              </w:rPr>
              <w:t>~</w:t>
            </w:r>
            <w:r>
              <w:rPr>
                <w:color w:val="auto"/>
                <w:sz w:val="24"/>
                <w:szCs w:val="24"/>
                <w:highlight w:val="none"/>
              </w:rPr>
              <w:t>10</w:t>
            </w:r>
            <w:r>
              <w:rPr>
                <w:rFonts w:ascii="宋体" w:hAnsi="宋体"/>
                <w:color w:val="auto"/>
                <w:sz w:val="24"/>
                <w:szCs w:val="24"/>
                <w:highlight w:val="none"/>
              </w:rPr>
              <w:t>分。办公用品、公共物品失窃每次酌情扣</w:t>
            </w:r>
            <w:r>
              <w:rPr>
                <w:color w:val="auto"/>
                <w:sz w:val="24"/>
                <w:szCs w:val="24"/>
                <w:highlight w:val="none"/>
              </w:rPr>
              <w:t>5</w:t>
            </w:r>
            <w:r>
              <w:rPr>
                <w:rFonts w:hint="eastAsia"/>
                <w:color w:val="auto"/>
                <w:sz w:val="24"/>
                <w:szCs w:val="24"/>
                <w:highlight w:val="none"/>
              </w:rPr>
              <w:t>~</w:t>
            </w:r>
            <w:r>
              <w:rPr>
                <w:color w:val="auto"/>
                <w:sz w:val="24"/>
                <w:szCs w:val="24"/>
                <w:highlight w:val="none"/>
              </w:rPr>
              <w:t>10</w:t>
            </w:r>
            <w:r>
              <w:rPr>
                <w:rFonts w:ascii="宋体" w:hAnsi="宋体"/>
                <w:color w:val="auto"/>
                <w:sz w:val="24"/>
                <w:szCs w:val="24"/>
                <w:highlight w:val="none"/>
              </w:rPr>
              <w:t>分或照价赔偿。违反监控室管理各项规定</w:t>
            </w:r>
            <w:r>
              <w:rPr>
                <w:rFonts w:hint="eastAsia" w:ascii="宋体" w:hAnsi="宋体"/>
                <w:color w:val="auto"/>
                <w:sz w:val="24"/>
                <w:szCs w:val="24"/>
                <w:highlight w:val="none"/>
              </w:rPr>
              <w:t>的</w:t>
            </w:r>
            <w:r>
              <w:rPr>
                <w:rFonts w:ascii="宋体" w:hAnsi="宋体"/>
                <w:color w:val="auto"/>
                <w:sz w:val="24"/>
                <w:szCs w:val="24"/>
                <w:highlight w:val="none"/>
              </w:rPr>
              <w:t>扣</w:t>
            </w:r>
            <w:r>
              <w:rPr>
                <w:color w:val="auto"/>
                <w:sz w:val="24"/>
                <w:szCs w:val="24"/>
                <w:highlight w:val="none"/>
              </w:rPr>
              <w:t>5</w:t>
            </w:r>
            <w:r>
              <w:rPr>
                <w:rFonts w:ascii="宋体" w:hAnsi="宋体"/>
                <w:color w:val="auto"/>
                <w:sz w:val="24"/>
                <w:szCs w:val="24"/>
                <w:highlight w:val="none"/>
              </w:rPr>
              <w:t>分。</w:t>
            </w:r>
          </w:p>
        </w:tc>
      </w:tr>
      <w:tr w14:paraId="5C18758C">
        <w:tblPrEx>
          <w:tblCellMar>
            <w:top w:w="0" w:type="dxa"/>
            <w:left w:w="108" w:type="dxa"/>
            <w:bottom w:w="0" w:type="dxa"/>
            <w:right w:w="108" w:type="dxa"/>
          </w:tblCellMar>
        </w:tblPrEx>
        <w:trPr>
          <w:trHeight w:val="1252" w:hRule="atLeast"/>
        </w:trPr>
        <w:tc>
          <w:tcPr>
            <w:tcW w:w="4428" w:type="dxa"/>
            <w:tcBorders>
              <w:top w:val="single" w:color="auto" w:sz="4" w:space="0"/>
              <w:left w:val="single" w:color="auto" w:sz="4" w:space="0"/>
              <w:bottom w:val="single" w:color="auto" w:sz="4" w:space="0"/>
              <w:right w:val="single" w:color="auto" w:sz="4" w:space="0"/>
            </w:tcBorders>
            <w:noWrap w:val="0"/>
            <w:vAlign w:val="center"/>
          </w:tcPr>
          <w:p w14:paraId="6434475E">
            <w:pPr>
              <w:spacing w:line="390" w:lineRule="exact"/>
              <w:jc w:val="center"/>
              <w:rPr>
                <w:rFonts w:ascii="宋体" w:hAnsi="宋体"/>
                <w:color w:val="auto"/>
                <w:sz w:val="24"/>
                <w:szCs w:val="24"/>
                <w:highlight w:val="none"/>
              </w:rPr>
            </w:pPr>
            <w:r>
              <w:rPr>
                <w:rFonts w:ascii="宋体" w:hAnsi="宋体"/>
                <w:color w:val="auto"/>
                <w:sz w:val="24"/>
                <w:szCs w:val="24"/>
                <w:highlight w:val="none"/>
              </w:rPr>
              <w:t>做好重大活动、会议、检查的接待保卫工作，建立各级安全警戒方案，确保医院安全稳定，圆满完成院方交代的其他任务。</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3605FDCA">
            <w:pPr>
              <w:spacing w:line="390" w:lineRule="exact"/>
              <w:jc w:val="center"/>
              <w:rPr>
                <w:rFonts w:ascii="宋体" w:hAnsi="宋体"/>
                <w:color w:val="auto"/>
                <w:sz w:val="24"/>
                <w:szCs w:val="24"/>
                <w:highlight w:val="none"/>
              </w:rPr>
            </w:pPr>
            <w:r>
              <w:rPr>
                <w:color w:val="auto"/>
                <w:sz w:val="24"/>
                <w:szCs w:val="24"/>
                <w:highlight w:val="none"/>
              </w:rPr>
              <w:t>15</w:t>
            </w:r>
            <w:r>
              <w:rPr>
                <w:rFonts w:ascii="宋体" w:hAnsi="宋体"/>
                <w:color w:val="auto"/>
                <w:sz w:val="24"/>
                <w:szCs w:val="24"/>
                <w:highlight w:val="none"/>
              </w:rPr>
              <w:t>分</w:t>
            </w:r>
          </w:p>
        </w:tc>
        <w:tc>
          <w:tcPr>
            <w:tcW w:w="4556" w:type="dxa"/>
            <w:tcBorders>
              <w:top w:val="single" w:color="auto" w:sz="4" w:space="0"/>
              <w:left w:val="single" w:color="auto" w:sz="4" w:space="0"/>
              <w:bottom w:val="single" w:color="auto" w:sz="4" w:space="0"/>
              <w:right w:val="single" w:color="auto" w:sz="4" w:space="0"/>
            </w:tcBorders>
            <w:noWrap w:val="0"/>
            <w:vAlign w:val="center"/>
          </w:tcPr>
          <w:p w14:paraId="71847E11">
            <w:pPr>
              <w:spacing w:line="390" w:lineRule="exact"/>
              <w:jc w:val="center"/>
              <w:rPr>
                <w:rFonts w:ascii="宋体" w:hAnsi="宋体"/>
                <w:color w:val="auto"/>
                <w:sz w:val="24"/>
                <w:szCs w:val="24"/>
                <w:highlight w:val="none"/>
              </w:rPr>
            </w:pPr>
            <w:r>
              <w:rPr>
                <w:rFonts w:ascii="宋体" w:hAnsi="宋体"/>
                <w:color w:val="auto"/>
                <w:sz w:val="24"/>
                <w:szCs w:val="24"/>
                <w:highlight w:val="none"/>
              </w:rPr>
              <w:t>达不到安全要求无工作方案每次扣</w:t>
            </w:r>
            <w:r>
              <w:rPr>
                <w:color w:val="auto"/>
                <w:sz w:val="24"/>
                <w:szCs w:val="24"/>
                <w:highlight w:val="none"/>
              </w:rPr>
              <w:t>2</w:t>
            </w:r>
            <w:r>
              <w:rPr>
                <w:rFonts w:ascii="宋体" w:hAnsi="宋体"/>
                <w:color w:val="auto"/>
                <w:sz w:val="24"/>
                <w:szCs w:val="24"/>
                <w:highlight w:val="none"/>
              </w:rPr>
              <w:t>分；院内大型活动加班每次加</w:t>
            </w:r>
            <w:r>
              <w:rPr>
                <w:color w:val="auto"/>
                <w:sz w:val="24"/>
                <w:szCs w:val="24"/>
                <w:highlight w:val="none"/>
              </w:rPr>
              <w:t>3</w:t>
            </w:r>
            <w:r>
              <w:rPr>
                <w:rFonts w:hint="eastAsia"/>
                <w:color w:val="auto"/>
                <w:sz w:val="24"/>
                <w:szCs w:val="24"/>
                <w:highlight w:val="none"/>
              </w:rPr>
              <w:t>~</w:t>
            </w:r>
            <w:r>
              <w:rPr>
                <w:color w:val="auto"/>
                <w:sz w:val="24"/>
                <w:szCs w:val="24"/>
                <w:highlight w:val="none"/>
              </w:rPr>
              <w:t>5</w:t>
            </w:r>
            <w:r>
              <w:rPr>
                <w:rFonts w:ascii="宋体" w:hAnsi="宋体"/>
                <w:color w:val="auto"/>
                <w:sz w:val="24"/>
                <w:szCs w:val="24"/>
                <w:highlight w:val="none"/>
              </w:rPr>
              <w:t>分。</w:t>
            </w:r>
          </w:p>
        </w:tc>
      </w:tr>
      <w:tr w14:paraId="625B6DF2">
        <w:tblPrEx>
          <w:tblCellMar>
            <w:top w:w="0" w:type="dxa"/>
            <w:left w:w="108" w:type="dxa"/>
            <w:bottom w:w="0" w:type="dxa"/>
            <w:right w:w="108" w:type="dxa"/>
          </w:tblCellMar>
        </w:tblPrEx>
        <w:trPr>
          <w:trHeight w:val="806" w:hRule="atLeast"/>
        </w:trPr>
        <w:tc>
          <w:tcPr>
            <w:tcW w:w="4428" w:type="dxa"/>
            <w:tcBorders>
              <w:top w:val="single" w:color="auto" w:sz="4" w:space="0"/>
              <w:left w:val="single" w:color="auto" w:sz="4" w:space="0"/>
              <w:bottom w:val="single" w:color="auto" w:sz="4" w:space="0"/>
              <w:right w:val="single" w:color="auto" w:sz="4" w:space="0"/>
            </w:tcBorders>
            <w:noWrap w:val="0"/>
            <w:vAlign w:val="center"/>
          </w:tcPr>
          <w:p w14:paraId="0BBCD60C">
            <w:pPr>
              <w:spacing w:line="390" w:lineRule="exact"/>
              <w:jc w:val="center"/>
              <w:rPr>
                <w:rFonts w:ascii="宋体" w:hAnsi="宋体"/>
                <w:color w:val="auto"/>
                <w:sz w:val="24"/>
                <w:szCs w:val="24"/>
                <w:highlight w:val="none"/>
              </w:rPr>
            </w:pPr>
            <w:r>
              <w:rPr>
                <w:rFonts w:ascii="宋体" w:hAnsi="宋体"/>
                <w:color w:val="auto"/>
                <w:sz w:val="24"/>
                <w:szCs w:val="24"/>
                <w:highlight w:val="none"/>
              </w:rPr>
              <w:t>严禁一切黄赌毒行为，禁止使用加热类电器和乱接拉电线。</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15C7F332">
            <w:pPr>
              <w:spacing w:line="390" w:lineRule="exact"/>
              <w:jc w:val="center"/>
              <w:rPr>
                <w:rFonts w:ascii="宋体" w:hAnsi="宋体"/>
                <w:color w:val="auto"/>
                <w:sz w:val="24"/>
                <w:szCs w:val="24"/>
                <w:highlight w:val="none"/>
              </w:rPr>
            </w:pPr>
            <w:r>
              <w:rPr>
                <w:color w:val="auto"/>
                <w:sz w:val="24"/>
                <w:szCs w:val="24"/>
                <w:highlight w:val="none"/>
              </w:rPr>
              <w:t>15</w:t>
            </w:r>
            <w:r>
              <w:rPr>
                <w:rFonts w:ascii="宋体" w:hAnsi="宋体"/>
                <w:color w:val="auto"/>
                <w:sz w:val="24"/>
                <w:szCs w:val="24"/>
                <w:highlight w:val="none"/>
              </w:rPr>
              <w:t>分</w:t>
            </w:r>
          </w:p>
        </w:tc>
        <w:tc>
          <w:tcPr>
            <w:tcW w:w="4556" w:type="dxa"/>
            <w:tcBorders>
              <w:top w:val="single" w:color="auto" w:sz="4" w:space="0"/>
              <w:left w:val="single" w:color="auto" w:sz="4" w:space="0"/>
              <w:bottom w:val="single" w:color="auto" w:sz="4" w:space="0"/>
              <w:right w:val="single" w:color="auto" w:sz="4" w:space="0"/>
            </w:tcBorders>
            <w:noWrap w:val="0"/>
            <w:vAlign w:val="center"/>
          </w:tcPr>
          <w:p w14:paraId="7150B918">
            <w:pPr>
              <w:spacing w:line="390" w:lineRule="exact"/>
              <w:jc w:val="center"/>
              <w:rPr>
                <w:rFonts w:ascii="宋体" w:hAnsi="宋体"/>
                <w:color w:val="auto"/>
                <w:sz w:val="24"/>
                <w:szCs w:val="24"/>
                <w:highlight w:val="none"/>
              </w:rPr>
            </w:pPr>
            <w:r>
              <w:rPr>
                <w:rFonts w:ascii="宋体" w:hAnsi="宋体"/>
                <w:color w:val="auto"/>
                <w:sz w:val="24"/>
                <w:szCs w:val="24"/>
                <w:highlight w:val="none"/>
              </w:rPr>
              <w:t>发现黄、赌、毒行为，视情节轻重每人扣</w:t>
            </w:r>
            <w:r>
              <w:rPr>
                <w:color w:val="auto"/>
                <w:sz w:val="24"/>
                <w:szCs w:val="24"/>
                <w:highlight w:val="none"/>
              </w:rPr>
              <w:t>2</w:t>
            </w:r>
            <w:r>
              <w:rPr>
                <w:rFonts w:hint="eastAsia"/>
                <w:color w:val="auto"/>
                <w:sz w:val="24"/>
                <w:szCs w:val="24"/>
                <w:highlight w:val="none"/>
              </w:rPr>
              <w:t>~</w:t>
            </w:r>
            <w:r>
              <w:rPr>
                <w:color w:val="auto"/>
                <w:sz w:val="24"/>
                <w:szCs w:val="24"/>
                <w:highlight w:val="none"/>
              </w:rPr>
              <w:t>5</w:t>
            </w:r>
            <w:r>
              <w:rPr>
                <w:rFonts w:ascii="宋体" w:hAnsi="宋体"/>
                <w:color w:val="auto"/>
                <w:sz w:val="24"/>
                <w:szCs w:val="24"/>
                <w:highlight w:val="none"/>
              </w:rPr>
              <w:t>分，严重者开除处理并扣</w:t>
            </w:r>
            <w:r>
              <w:rPr>
                <w:color w:val="auto"/>
                <w:sz w:val="24"/>
                <w:szCs w:val="24"/>
                <w:highlight w:val="none"/>
              </w:rPr>
              <w:t>5</w:t>
            </w:r>
            <w:r>
              <w:rPr>
                <w:rFonts w:ascii="宋体" w:hAnsi="宋体"/>
                <w:color w:val="auto"/>
                <w:sz w:val="24"/>
                <w:szCs w:val="24"/>
                <w:highlight w:val="none"/>
              </w:rPr>
              <w:t>分以上。</w:t>
            </w:r>
          </w:p>
        </w:tc>
      </w:tr>
      <w:tr w14:paraId="4873DA63">
        <w:tblPrEx>
          <w:tblCellMar>
            <w:top w:w="0" w:type="dxa"/>
            <w:left w:w="108" w:type="dxa"/>
            <w:bottom w:w="0" w:type="dxa"/>
            <w:right w:w="108" w:type="dxa"/>
          </w:tblCellMar>
        </w:tblPrEx>
        <w:trPr>
          <w:trHeight w:val="1366" w:hRule="atLeast"/>
        </w:trPr>
        <w:tc>
          <w:tcPr>
            <w:tcW w:w="9903" w:type="dxa"/>
            <w:gridSpan w:val="3"/>
            <w:tcBorders>
              <w:top w:val="single" w:color="auto" w:sz="4" w:space="0"/>
              <w:left w:val="single" w:color="auto" w:sz="4" w:space="0"/>
              <w:bottom w:val="single" w:color="auto" w:sz="4" w:space="0"/>
              <w:right w:val="single" w:color="auto" w:sz="4" w:space="0"/>
            </w:tcBorders>
            <w:noWrap w:val="0"/>
            <w:vAlign w:val="center"/>
          </w:tcPr>
          <w:p w14:paraId="4DCA523D">
            <w:pPr>
              <w:spacing w:line="440" w:lineRule="exact"/>
              <w:rPr>
                <w:rFonts w:hint="eastAsia" w:ascii="Times New Roman" w:hAnsi="Times New Roman" w:eastAsia="宋体" w:cs="Times New Roman"/>
                <w:color w:val="auto"/>
                <w:sz w:val="24"/>
                <w:szCs w:val="24"/>
                <w:highlight w:val="none"/>
                <w:lang w:val="en-US" w:eastAsia="zh-CN"/>
              </w:rPr>
            </w:pPr>
            <w:r>
              <w:rPr>
                <w:rFonts w:hint="eastAsia" w:ascii="宋体" w:hAnsi="宋体"/>
                <w:color w:val="auto"/>
                <w:sz w:val="24"/>
                <w:szCs w:val="24"/>
                <w:highlight w:val="none"/>
              </w:rPr>
              <w:t>备注：</w:t>
            </w:r>
            <w:r>
              <w:rPr>
                <w:rFonts w:hint="eastAsia"/>
                <w:color w:val="auto"/>
                <w:sz w:val="24"/>
                <w:szCs w:val="24"/>
                <w:highlight w:val="none"/>
              </w:rPr>
              <w:t>①</w:t>
            </w:r>
            <w:r>
              <w:rPr>
                <w:rFonts w:hint="eastAsia" w:ascii="Times New Roman" w:hAnsi="Times New Roman" w:eastAsia="宋体" w:cs="Times New Roman"/>
                <w:color w:val="auto"/>
                <w:sz w:val="24"/>
                <w:szCs w:val="24"/>
                <w:highlight w:val="none"/>
                <w:lang w:val="en-US" w:eastAsia="zh-CN"/>
              </w:rPr>
              <w:t>采购人留取合同总价的10%作为年度考核</w:t>
            </w:r>
            <w:r>
              <w:rPr>
                <w:rFonts w:hint="eastAsia" w:cs="Times New Roman"/>
                <w:color w:val="auto"/>
                <w:sz w:val="24"/>
                <w:szCs w:val="24"/>
                <w:highlight w:val="none"/>
                <w:lang w:val="en-US" w:eastAsia="zh-CN"/>
              </w:rPr>
              <w:t>总</w:t>
            </w:r>
            <w:r>
              <w:rPr>
                <w:rFonts w:hint="eastAsia" w:ascii="Times New Roman" w:hAnsi="Times New Roman" w:eastAsia="宋体" w:cs="Times New Roman"/>
                <w:color w:val="auto"/>
                <w:sz w:val="24"/>
                <w:szCs w:val="24"/>
                <w:highlight w:val="none"/>
                <w:lang w:val="en-US" w:eastAsia="zh-CN"/>
              </w:rPr>
              <w:t>费用（一年的考核费用为合同总价的5%</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，每月进行抽查。</w:t>
            </w:r>
          </w:p>
          <w:p w14:paraId="1AEBE4BD">
            <w:pPr>
              <w:spacing w:line="440" w:lineRule="exact"/>
              <w:ind w:firstLine="720" w:firstLineChars="300"/>
              <w:rPr>
                <w:rFonts w:hint="eastAsia"/>
                <w:color w:val="auto"/>
                <w:highlight w:val="none"/>
              </w:rPr>
            </w:pPr>
            <w:r>
              <w:rPr>
                <w:rFonts w:hint="eastAsia" w:ascii="Times New Roman" w:hAnsi="Times New Roman" w:eastAsia="宋体" w:cs="Times New Roman"/>
                <w:color w:val="auto"/>
                <w:sz w:val="24"/>
                <w:szCs w:val="24"/>
                <w:highlight w:val="none"/>
              </w:rPr>
              <w:t>②</w:t>
            </w:r>
            <w:r>
              <w:rPr>
                <w:rFonts w:hint="eastAsia" w:ascii="Times New Roman" w:hAnsi="Times New Roman" w:eastAsia="宋体" w:cs="Times New Roman"/>
                <w:color w:val="auto"/>
                <w:sz w:val="24"/>
                <w:szCs w:val="24"/>
                <w:highlight w:val="none"/>
                <w:lang w:val="en-US" w:eastAsia="zh-CN"/>
              </w:rPr>
              <w:t>考核分数与年度考核费用挂钩，月度考核均分得分在95分（含）以上的，</w:t>
            </w:r>
            <w:r>
              <w:rPr>
                <w:rFonts w:hint="eastAsia" w:cs="Times New Roman"/>
                <w:color w:val="auto"/>
                <w:sz w:val="24"/>
                <w:szCs w:val="24"/>
                <w:highlight w:val="none"/>
                <w:lang w:val="en-US" w:eastAsia="zh-CN"/>
              </w:rPr>
              <w:t>该</w:t>
            </w:r>
            <w:r>
              <w:rPr>
                <w:rFonts w:hint="eastAsia" w:ascii="Times New Roman" w:hAnsi="Times New Roman" w:eastAsia="宋体" w:cs="Times New Roman"/>
                <w:color w:val="auto"/>
                <w:sz w:val="24"/>
                <w:szCs w:val="24"/>
                <w:highlight w:val="none"/>
                <w:lang w:val="en-US" w:eastAsia="zh-CN"/>
              </w:rPr>
              <w:t>年度考核费用全额支付；月度考核均分得分在95分（不含）以下的，每低一分扣除500元。</w:t>
            </w:r>
          </w:p>
        </w:tc>
      </w:tr>
      <w:bookmarkEnd w:id="114"/>
      <w:bookmarkEnd w:id="115"/>
      <w:bookmarkEnd w:id="116"/>
    </w:tbl>
    <w:p w14:paraId="7B6821EB">
      <w:pPr>
        <w:spacing w:line="440" w:lineRule="exact"/>
        <w:ind w:firstLine="480" w:firstLineChars="200"/>
        <w:rPr>
          <w:rFonts w:hint="eastAsia" w:ascii="宋体" w:hAnsi="宋体" w:cs="宋体"/>
          <w:color w:val="auto"/>
          <w:kern w:val="2"/>
          <w:sz w:val="24"/>
          <w:szCs w:val="24"/>
          <w:highlight w:val="none"/>
        </w:rPr>
      </w:pPr>
    </w:p>
    <w:bookmarkEnd w:id="80"/>
    <w:bookmarkEnd w:id="81"/>
    <w:p w14:paraId="7D61AA42">
      <w:pPr>
        <w:pStyle w:val="2"/>
        <w:rPr>
          <w:rFonts w:ascii="Times New Roman" w:hAnsi="Times New Roman"/>
          <w:color w:val="auto"/>
          <w:highlight w:val="none"/>
        </w:rPr>
      </w:pPr>
      <w:r>
        <w:rPr>
          <w:rFonts w:ascii="Times New Roman" w:hAnsi="Times New Roman"/>
          <w:color w:val="auto"/>
          <w:highlight w:val="none"/>
        </w:rPr>
        <w:br w:type="page" w:clear="all"/>
      </w:r>
      <w:bookmarkStart w:id="123" w:name="_Toc4113"/>
      <w:bookmarkStart w:id="124" w:name="_Toc158691777"/>
      <w:bookmarkStart w:id="125" w:name="_Toc315875326"/>
      <w:bookmarkStart w:id="126" w:name="_Toc315868063"/>
      <w:r>
        <w:rPr>
          <w:rFonts w:ascii="Times New Roman" w:hAnsi="Times New Roman"/>
          <w:color w:val="auto"/>
          <w:highlight w:val="none"/>
        </w:rPr>
        <w:t>第五章</w:t>
      </w:r>
      <w:r>
        <w:rPr>
          <w:rFonts w:hint="eastAsia" w:ascii="Times New Roman" w:hAnsi="Times New Roman"/>
          <w:color w:val="auto"/>
          <w:highlight w:val="none"/>
        </w:rPr>
        <w:t xml:space="preserve"> 评标方法与评标标准</w:t>
      </w:r>
      <w:bookmarkEnd w:id="123"/>
    </w:p>
    <w:p w14:paraId="26CDA236">
      <w:pPr>
        <w:spacing w:line="440" w:lineRule="exact"/>
        <w:rPr>
          <w:b/>
          <w:bCs/>
          <w:color w:val="auto"/>
          <w:sz w:val="28"/>
          <w:highlight w:val="none"/>
        </w:rPr>
      </w:pPr>
      <w:r>
        <w:rPr>
          <w:b/>
          <w:bCs/>
          <w:color w:val="auto"/>
          <w:sz w:val="28"/>
          <w:highlight w:val="none"/>
        </w:rPr>
        <w:t>一、评审方法：</w:t>
      </w:r>
    </w:p>
    <w:p w14:paraId="39D4AB63">
      <w:pPr>
        <w:spacing w:line="440" w:lineRule="exact"/>
        <w:ind w:firstLine="480"/>
        <w:rPr>
          <w:color w:val="auto"/>
          <w:sz w:val="24"/>
          <w:highlight w:val="none"/>
        </w:rPr>
      </w:pPr>
      <w:r>
        <w:rPr>
          <w:rFonts w:hint="eastAsia"/>
          <w:color w:val="auto"/>
          <w:sz w:val="24"/>
          <w:highlight w:val="none"/>
        </w:rPr>
        <w:t>1、</w:t>
      </w:r>
      <w:r>
        <w:rPr>
          <w:rFonts w:hint="eastAsia"/>
          <w:b/>
          <w:bCs/>
          <w:color w:val="auto"/>
          <w:sz w:val="24"/>
          <w:highlight w:val="none"/>
        </w:rPr>
        <w:t>本项目采用综合评分法。</w:t>
      </w:r>
      <w:r>
        <w:rPr>
          <w:rFonts w:hint="eastAsia"/>
          <w:color w:val="auto"/>
          <w:sz w:val="24"/>
          <w:highlight w:val="none"/>
        </w:rPr>
        <w:t>评标结果按</w:t>
      </w:r>
      <w:r>
        <w:rPr>
          <w:color w:val="auto"/>
          <w:sz w:val="24"/>
          <w:highlight w:val="none"/>
        </w:rPr>
        <w:t>评审后得分由高到低顺序排列。得分相同的，</w:t>
      </w:r>
      <w:r>
        <w:rPr>
          <w:rFonts w:hint="eastAsia" w:ascii="宋体" w:hAnsi="宋体"/>
          <w:color w:val="auto"/>
          <w:sz w:val="24"/>
          <w:szCs w:val="24"/>
          <w:highlight w:val="none"/>
        </w:rPr>
        <w:t>则由评标委员会组织抽签确定</w:t>
      </w:r>
      <w:r>
        <w:rPr>
          <w:color w:val="auto"/>
          <w:sz w:val="24"/>
          <w:highlight w:val="none"/>
        </w:rPr>
        <w:t>。</w:t>
      </w:r>
    </w:p>
    <w:p w14:paraId="3EAB16D1">
      <w:pPr>
        <w:spacing w:line="440" w:lineRule="exact"/>
        <w:ind w:firstLine="480"/>
        <w:rPr>
          <w:color w:val="auto"/>
          <w:highlight w:val="none"/>
        </w:rPr>
      </w:pPr>
      <w:r>
        <w:rPr>
          <w:rFonts w:hint="eastAsia"/>
          <w:color w:val="auto"/>
          <w:sz w:val="24"/>
          <w:highlight w:val="none"/>
        </w:rPr>
        <w:t>2、评委会</w:t>
      </w:r>
      <w:r>
        <w:rPr>
          <w:color w:val="auto"/>
          <w:sz w:val="24"/>
          <w:highlight w:val="none"/>
        </w:rPr>
        <w:t>根据排列情况将推荐</w:t>
      </w:r>
      <w:r>
        <w:rPr>
          <w:rFonts w:hint="eastAsia"/>
          <w:color w:val="auto"/>
          <w:sz w:val="24"/>
          <w:highlight w:val="none"/>
        </w:rPr>
        <w:t>中标</w:t>
      </w:r>
      <w:r>
        <w:rPr>
          <w:color w:val="auto"/>
          <w:sz w:val="24"/>
          <w:highlight w:val="none"/>
        </w:rPr>
        <w:t>候选人</w:t>
      </w:r>
      <w:r>
        <w:rPr>
          <w:rFonts w:hint="eastAsia"/>
          <w:color w:val="auto"/>
          <w:sz w:val="24"/>
          <w:highlight w:val="none"/>
        </w:rPr>
        <w:t>，</w:t>
      </w:r>
      <w:r>
        <w:rPr>
          <w:rFonts w:hint="eastAsia" w:ascii="宋体" w:hAnsi="宋体" w:cs="宋体"/>
          <w:color w:val="auto"/>
          <w:sz w:val="24"/>
          <w:szCs w:val="24"/>
          <w:highlight w:val="none"/>
        </w:rPr>
        <w:t>由采购人依法确定</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w:t>
      </w:r>
    </w:p>
    <w:p w14:paraId="6021861A">
      <w:pPr>
        <w:spacing w:line="440" w:lineRule="exact"/>
        <w:rPr>
          <w:b/>
          <w:bCs/>
          <w:color w:val="auto"/>
          <w:sz w:val="28"/>
          <w:highlight w:val="none"/>
        </w:rPr>
      </w:pPr>
      <w:r>
        <w:rPr>
          <w:b/>
          <w:bCs/>
          <w:color w:val="auto"/>
          <w:sz w:val="28"/>
          <w:highlight w:val="none"/>
        </w:rPr>
        <w:t>二、评审因素、权值及评分标准：</w:t>
      </w:r>
    </w:p>
    <w:p w14:paraId="01226A4B">
      <w:pPr>
        <w:spacing w:line="460" w:lineRule="exact"/>
        <w:ind w:firstLine="480" w:firstLineChars="200"/>
        <w:rPr>
          <w:rFonts w:hint="default" w:ascii="Times New Roman" w:hAnsi="Times New Roman" w:cs="Times New Roman"/>
          <w:color w:val="auto"/>
          <w:sz w:val="24"/>
          <w:szCs w:val="22"/>
          <w:highlight w:val="none"/>
        </w:rPr>
      </w:pPr>
      <w:r>
        <w:rPr>
          <w:rFonts w:hint="default" w:ascii="Times New Roman" w:hAnsi="Times New Roman" w:cs="Times New Roman"/>
          <w:color w:val="auto"/>
          <w:sz w:val="24"/>
          <w:szCs w:val="22"/>
          <w:highlight w:val="none"/>
        </w:rPr>
        <w:t>注：每部分的得分保留小数点后两位，合计得分保留小数点后两位。</w:t>
      </w:r>
    </w:p>
    <w:p w14:paraId="34257762">
      <w:pPr>
        <w:spacing w:line="460" w:lineRule="exact"/>
        <w:ind w:firstLine="482" w:firstLineChars="200"/>
        <w:rPr>
          <w:rFonts w:hint="default" w:ascii="Times New Roman" w:hAnsi="Times New Roman" w:eastAsia="宋体" w:cs="Times New Roman"/>
          <w:b/>
          <w:bCs/>
          <w:color w:val="auto"/>
          <w:kern w:val="2"/>
          <w:sz w:val="24"/>
          <w:szCs w:val="22"/>
          <w:highlight w:val="none"/>
        </w:rPr>
      </w:pPr>
      <w:bookmarkStart w:id="127" w:name="_Hlk100141372"/>
      <w:r>
        <w:rPr>
          <w:rFonts w:hint="default" w:ascii="Times New Roman" w:hAnsi="Times New Roman" w:eastAsia="宋体" w:cs="Times New Roman"/>
          <w:b/>
          <w:bCs/>
          <w:color w:val="auto"/>
          <w:kern w:val="2"/>
          <w:sz w:val="24"/>
          <w:szCs w:val="22"/>
          <w:highlight w:val="none"/>
        </w:rPr>
        <w:t>1、投标报价2</w:t>
      </w:r>
      <w:r>
        <w:rPr>
          <w:rFonts w:hint="default" w:ascii="Times New Roman" w:hAnsi="Times New Roman" w:cs="Times New Roman"/>
          <w:b/>
          <w:bCs/>
          <w:color w:val="auto"/>
          <w:kern w:val="2"/>
          <w:sz w:val="24"/>
          <w:szCs w:val="22"/>
          <w:highlight w:val="none"/>
          <w:lang w:val="en-US" w:eastAsia="zh-CN"/>
        </w:rPr>
        <w:t>0</w:t>
      </w:r>
      <w:r>
        <w:rPr>
          <w:rFonts w:hint="default" w:ascii="Times New Roman" w:hAnsi="Times New Roman" w:eastAsia="宋体" w:cs="Times New Roman"/>
          <w:b/>
          <w:bCs/>
          <w:color w:val="auto"/>
          <w:kern w:val="2"/>
          <w:sz w:val="24"/>
          <w:szCs w:val="22"/>
          <w:highlight w:val="none"/>
        </w:rPr>
        <w:t>分</w:t>
      </w:r>
    </w:p>
    <w:p w14:paraId="1C61C3EB">
      <w:pPr>
        <w:spacing w:line="460" w:lineRule="exact"/>
        <w:ind w:firstLine="480" w:firstLineChars="200"/>
        <w:rPr>
          <w:rFonts w:hint="default" w:ascii="Times New Roman" w:hAnsi="Times New Roman" w:eastAsia="宋体" w:cs="Times New Roman"/>
          <w:color w:val="auto"/>
          <w:kern w:val="2"/>
          <w:sz w:val="24"/>
          <w:szCs w:val="22"/>
          <w:highlight w:val="none"/>
        </w:rPr>
      </w:pPr>
      <w:r>
        <w:rPr>
          <w:rFonts w:hint="default" w:ascii="Times New Roman" w:hAnsi="Times New Roman" w:eastAsia="宋体" w:cs="Times New Roman"/>
          <w:color w:val="auto"/>
          <w:kern w:val="2"/>
          <w:sz w:val="24"/>
          <w:szCs w:val="22"/>
          <w:highlight w:val="none"/>
        </w:rPr>
        <w:t>满足招标文件要求且投标价格最低的投标报价为评标基准价，其价格分为</w:t>
      </w:r>
      <w:r>
        <w:rPr>
          <w:rFonts w:hint="default" w:ascii="Times New Roman" w:hAnsi="Times New Roman" w:cs="Times New Roman"/>
          <w:color w:val="auto"/>
          <w:kern w:val="2"/>
          <w:sz w:val="24"/>
          <w:szCs w:val="22"/>
          <w:highlight w:val="none"/>
          <w:lang w:val="en-US" w:eastAsia="zh-CN"/>
        </w:rPr>
        <w:t>20</w:t>
      </w:r>
      <w:r>
        <w:rPr>
          <w:rFonts w:hint="default" w:ascii="Times New Roman" w:hAnsi="Times New Roman" w:eastAsia="宋体" w:cs="Times New Roman"/>
          <w:color w:val="auto"/>
          <w:kern w:val="2"/>
          <w:sz w:val="24"/>
          <w:szCs w:val="22"/>
          <w:highlight w:val="none"/>
        </w:rPr>
        <w:t>分；其他投标人的价格分按下列公式计算：投标报价得分＝（评标基准价／投标报价）×</w:t>
      </w:r>
      <w:r>
        <w:rPr>
          <w:rFonts w:hint="default" w:ascii="Times New Roman" w:hAnsi="Times New Roman" w:cs="Times New Roman"/>
          <w:color w:val="auto"/>
          <w:kern w:val="2"/>
          <w:sz w:val="24"/>
          <w:szCs w:val="22"/>
          <w:highlight w:val="none"/>
          <w:lang w:val="en-US" w:eastAsia="zh-CN"/>
        </w:rPr>
        <w:t>20</w:t>
      </w:r>
      <w:r>
        <w:rPr>
          <w:rFonts w:hint="default" w:ascii="Times New Roman" w:hAnsi="Times New Roman" w:eastAsia="宋体" w:cs="Times New Roman"/>
          <w:color w:val="auto"/>
          <w:kern w:val="2"/>
          <w:sz w:val="24"/>
          <w:szCs w:val="22"/>
          <w:highlight w:val="none"/>
        </w:rPr>
        <w:t>分。</w:t>
      </w:r>
    </w:p>
    <w:p w14:paraId="1FB4D25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（一）评审中出现下列情形之一的，评审委员会应当启动异常低价投标（响应）审查程序：</w:t>
      </w:r>
    </w:p>
    <w:p w14:paraId="10A57F6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投标（响应）报价低于全部通过符合性审查供应商投标（响应）报价平均值</w:t>
      </w:r>
      <w:r>
        <w:rPr>
          <w:rFonts w:hint="default" w:ascii="Times New Roman" w:hAnsi="Times New Roman" w:eastAsia="宋体" w:cs="Times New Roman"/>
          <w:color w:val="auto"/>
          <w:sz w:val="24"/>
          <w:szCs w:val="24"/>
          <w:highlight w:val="none"/>
          <w:lang w:val="en-US" w:eastAsia="zh-CN"/>
        </w:rPr>
        <w:t>50</w:t>
      </w:r>
      <w:r>
        <w:rPr>
          <w:rFonts w:hint="default" w:ascii="Times New Roman" w:hAnsi="Times New Roman" w:eastAsia="宋体" w:cs="Times New Roman"/>
          <w:color w:val="auto"/>
          <w:sz w:val="24"/>
          <w:szCs w:val="24"/>
          <w:highlight w:val="none"/>
        </w:rPr>
        <w:t>%的，即投标（响应）报价&lt;全部通过符合性审查供应商投标（响应）报价平均值×</w:t>
      </w:r>
      <w:r>
        <w:rPr>
          <w:rFonts w:hint="default" w:ascii="Times New Roman" w:hAnsi="Times New Roman" w:eastAsia="宋体" w:cs="Times New Roman"/>
          <w:color w:val="auto"/>
          <w:sz w:val="24"/>
          <w:szCs w:val="24"/>
          <w:highlight w:val="none"/>
          <w:lang w:val="en-US" w:eastAsia="zh-CN"/>
        </w:rPr>
        <w:t>50</w:t>
      </w:r>
      <w:r>
        <w:rPr>
          <w:rFonts w:hint="default" w:ascii="Times New Roman" w:hAnsi="Times New Roman" w:eastAsia="宋体" w:cs="Times New Roman"/>
          <w:color w:val="auto"/>
          <w:sz w:val="24"/>
          <w:szCs w:val="24"/>
          <w:highlight w:val="none"/>
        </w:rPr>
        <w:t>%；</w:t>
      </w:r>
    </w:p>
    <w:p w14:paraId="6F2E98E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投标（响应）报价低于通过符合性审查的次低报价供应商投标（响应）报价</w:t>
      </w:r>
      <w:r>
        <w:rPr>
          <w:rFonts w:hint="default" w:ascii="Times New Roman" w:hAnsi="Times New Roman" w:eastAsia="宋体" w:cs="Times New Roman"/>
          <w:color w:val="auto"/>
          <w:sz w:val="24"/>
          <w:szCs w:val="24"/>
          <w:highlight w:val="none"/>
          <w:lang w:val="en-US" w:eastAsia="zh-CN"/>
        </w:rPr>
        <w:t>50</w:t>
      </w:r>
      <w:r>
        <w:rPr>
          <w:rFonts w:hint="default" w:ascii="Times New Roman" w:hAnsi="Times New Roman" w:eastAsia="宋体" w:cs="Times New Roman"/>
          <w:color w:val="auto"/>
          <w:sz w:val="24"/>
          <w:szCs w:val="24"/>
          <w:highlight w:val="none"/>
        </w:rPr>
        <w:t>%的，即投标（响应）报价&lt;通过符合性审查的次低报价供应商投标（响应）报价×</w:t>
      </w:r>
      <w:r>
        <w:rPr>
          <w:rFonts w:hint="default" w:ascii="Times New Roman" w:hAnsi="Times New Roman" w:eastAsia="宋体" w:cs="Times New Roman"/>
          <w:color w:val="auto"/>
          <w:sz w:val="24"/>
          <w:szCs w:val="24"/>
          <w:highlight w:val="none"/>
          <w:lang w:val="en-US" w:eastAsia="zh-CN"/>
        </w:rPr>
        <w:t>50</w:t>
      </w:r>
      <w:r>
        <w:rPr>
          <w:rFonts w:hint="default" w:ascii="Times New Roman" w:hAnsi="Times New Roman" w:eastAsia="宋体" w:cs="Times New Roman"/>
          <w:color w:val="auto"/>
          <w:sz w:val="24"/>
          <w:szCs w:val="24"/>
          <w:highlight w:val="none"/>
        </w:rPr>
        <w:t>%；</w:t>
      </w:r>
    </w:p>
    <w:p w14:paraId="75946FA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投标（响应）报价低于采购项目最高限价</w:t>
      </w:r>
      <w:r>
        <w:rPr>
          <w:rFonts w:hint="default" w:ascii="Times New Roman" w:hAnsi="Times New Roman" w:eastAsia="宋体" w:cs="Times New Roman"/>
          <w:color w:val="auto"/>
          <w:sz w:val="24"/>
          <w:szCs w:val="24"/>
          <w:highlight w:val="none"/>
          <w:lang w:val="en-US" w:eastAsia="zh-CN"/>
        </w:rPr>
        <w:t>45</w:t>
      </w:r>
      <w:r>
        <w:rPr>
          <w:rFonts w:hint="default" w:ascii="Times New Roman" w:hAnsi="Times New Roman" w:eastAsia="宋体" w:cs="Times New Roman"/>
          <w:color w:val="auto"/>
          <w:sz w:val="24"/>
          <w:szCs w:val="24"/>
          <w:highlight w:val="none"/>
        </w:rPr>
        <w:t>%的，即投标（响应）报价&lt;采购项目最高限价×</w:t>
      </w:r>
      <w:r>
        <w:rPr>
          <w:rFonts w:hint="default" w:ascii="Times New Roman" w:hAnsi="Times New Roman" w:eastAsia="宋体" w:cs="Times New Roman"/>
          <w:color w:val="auto"/>
          <w:sz w:val="24"/>
          <w:szCs w:val="24"/>
          <w:highlight w:val="none"/>
          <w:lang w:val="en-US" w:eastAsia="zh-CN"/>
        </w:rPr>
        <w:t>45</w:t>
      </w:r>
      <w:r>
        <w:rPr>
          <w:rFonts w:hint="default" w:ascii="Times New Roman" w:hAnsi="Times New Roman" w:eastAsia="宋体" w:cs="Times New Roman"/>
          <w:color w:val="auto"/>
          <w:sz w:val="24"/>
          <w:szCs w:val="24"/>
          <w:highlight w:val="none"/>
        </w:rPr>
        <w:t>%；</w:t>
      </w:r>
    </w:p>
    <w:p w14:paraId="7AFCC0F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评审委员会基于专业判断，认为供应商报价过低，有可能影响产品质量或者不能诚信履约的其他情形。</w:t>
      </w:r>
    </w:p>
    <w:p w14:paraId="057BAE3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default" w:ascii="Times New Roman" w:hAnsi="Times New Roman" w:eastAsia="宋体" w:cs="Times New Roman"/>
          <w:color w:val="auto"/>
          <w:sz w:val="24"/>
          <w:szCs w:val="24"/>
          <w:highlight w:val="none"/>
          <w:lang w:eastAsia="zh-CN"/>
        </w:rPr>
        <w:t>。</w:t>
      </w:r>
    </w:p>
    <w:p w14:paraId="5C02801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DE6C4C">
      <w:pPr>
        <w:spacing w:line="520" w:lineRule="exact"/>
        <w:ind w:firstLine="482" w:firstLineChars="200"/>
        <w:rPr>
          <w:rFonts w:hint="default" w:eastAsia="宋体"/>
          <w:b/>
          <w:bCs/>
          <w:color w:val="auto"/>
          <w:sz w:val="24"/>
          <w:highlight w:val="none"/>
          <w:lang w:val="en-US" w:eastAsia="zh-CN"/>
        </w:rPr>
      </w:pPr>
      <w:r>
        <w:rPr>
          <w:b/>
          <w:bCs/>
          <w:color w:val="auto"/>
          <w:sz w:val="24"/>
          <w:highlight w:val="none"/>
        </w:rPr>
        <w:t>2、</w:t>
      </w:r>
      <w:r>
        <w:rPr>
          <w:rFonts w:hint="eastAsia"/>
          <w:b/>
          <w:bCs/>
          <w:color w:val="auto"/>
          <w:sz w:val="24"/>
          <w:highlight w:val="none"/>
        </w:rPr>
        <w:t>技术部分</w:t>
      </w:r>
      <w:r>
        <w:rPr>
          <w:rFonts w:hint="eastAsia"/>
          <w:b/>
          <w:bCs/>
          <w:color w:val="auto"/>
          <w:sz w:val="24"/>
          <w:highlight w:val="none"/>
          <w:lang w:val="en-US" w:eastAsia="zh-CN"/>
        </w:rPr>
        <w:t>64分</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88"/>
        <w:gridCol w:w="1003"/>
        <w:gridCol w:w="5988"/>
      </w:tblGrid>
      <w:tr w14:paraId="0985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50" w:type="dxa"/>
            <w:noWrap w:val="0"/>
            <w:vAlign w:val="center"/>
          </w:tcPr>
          <w:p w14:paraId="66E8DDBD">
            <w:pPr>
              <w:jc w:val="center"/>
              <w:rPr>
                <w:color w:val="auto"/>
                <w:sz w:val="24"/>
                <w:szCs w:val="24"/>
                <w:highlight w:val="none"/>
              </w:rPr>
            </w:pPr>
            <w:r>
              <w:rPr>
                <w:color w:val="auto"/>
                <w:sz w:val="24"/>
                <w:szCs w:val="24"/>
                <w:highlight w:val="none"/>
              </w:rPr>
              <w:t>序号</w:t>
            </w:r>
          </w:p>
        </w:tc>
        <w:tc>
          <w:tcPr>
            <w:tcW w:w="1888" w:type="dxa"/>
            <w:noWrap w:val="0"/>
            <w:vAlign w:val="center"/>
          </w:tcPr>
          <w:p w14:paraId="47868629">
            <w:pPr>
              <w:jc w:val="center"/>
              <w:rPr>
                <w:color w:val="auto"/>
                <w:sz w:val="24"/>
                <w:szCs w:val="24"/>
                <w:highlight w:val="none"/>
              </w:rPr>
            </w:pPr>
            <w:r>
              <w:rPr>
                <w:color w:val="auto"/>
                <w:sz w:val="24"/>
                <w:szCs w:val="24"/>
                <w:highlight w:val="none"/>
              </w:rPr>
              <w:t>评审因素</w:t>
            </w:r>
          </w:p>
        </w:tc>
        <w:tc>
          <w:tcPr>
            <w:tcW w:w="1003" w:type="dxa"/>
            <w:noWrap w:val="0"/>
            <w:vAlign w:val="center"/>
          </w:tcPr>
          <w:p w14:paraId="57414AAD">
            <w:pPr>
              <w:jc w:val="center"/>
              <w:rPr>
                <w:color w:val="auto"/>
                <w:sz w:val="24"/>
                <w:szCs w:val="24"/>
                <w:highlight w:val="none"/>
              </w:rPr>
            </w:pPr>
            <w:r>
              <w:rPr>
                <w:color w:val="auto"/>
                <w:sz w:val="24"/>
                <w:szCs w:val="24"/>
                <w:highlight w:val="none"/>
              </w:rPr>
              <w:t>权值</w:t>
            </w:r>
          </w:p>
        </w:tc>
        <w:tc>
          <w:tcPr>
            <w:tcW w:w="5988" w:type="dxa"/>
            <w:noWrap w:val="0"/>
            <w:vAlign w:val="center"/>
          </w:tcPr>
          <w:p w14:paraId="38E1AB91">
            <w:pPr>
              <w:jc w:val="center"/>
              <w:rPr>
                <w:color w:val="auto"/>
                <w:sz w:val="24"/>
                <w:szCs w:val="24"/>
                <w:highlight w:val="none"/>
              </w:rPr>
            </w:pPr>
            <w:r>
              <w:rPr>
                <w:color w:val="auto"/>
                <w:sz w:val="24"/>
                <w:szCs w:val="24"/>
                <w:highlight w:val="none"/>
              </w:rPr>
              <w:t>评分标准</w:t>
            </w:r>
          </w:p>
        </w:tc>
      </w:tr>
      <w:tr w14:paraId="6C30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noWrap w:val="0"/>
            <w:vAlign w:val="center"/>
          </w:tcPr>
          <w:p w14:paraId="147884E8">
            <w:pPr>
              <w:jc w:val="center"/>
              <w:rPr>
                <w:color w:val="auto"/>
                <w:sz w:val="24"/>
                <w:szCs w:val="22"/>
                <w:highlight w:val="none"/>
              </w:rPr>
            </w:pPr>
            <w:r>
              <w:rPr>
                <w:color w:val="auto"/>
                <w:sz w:val="24"/>
                <w:szCs w:val="22"/>
                <w:highlight w:val="none"/>
              </w:rPr>
              <w:t>1</w:t>
            </w:r>
          </w:p>
        </w:tc>
        <w:tc>
          <w:tcPr>
            <w:tcW w:w="1888" w:type="dxa"/>
            <w:noWrap w:val="0"/>
            <w:vAlign w:val="center"/>
          </w:tcPr>
          <w:p w14:paraId="1C4FF68D">
            <w:pPr>
              <w:jc w:val="center"/>
              <w:rPr>
                <w:color w:val="auto"/>
                <w:sz w:val="24"/>
                <w:szCs w:val="22"/>
                <w:highlight w:val="none"/>
              </w:rPr>
            </w:pPr>
            <w:r>
              <w:rPr>
                <w:color w:val="auto"/>
                <w:sz w:val="24"/>
                <w:szCs w:val="22"/>
                <w:highlight w:val="none"/>
              </w:rPr>
              <w:t>服务响应情况</w:t>
            </w:r>
          </w:p>
        </w:tc>
        <w:tc>
          <w:tcPr>
            <w:tcW w:w="1003" w:type="dxa"/>
            <w:noWrap w:val="0"/>
            <w:vAlign w:val="center"/>
          </w:tcPr>
          <w:p w14:paraId="5C381E28">
            <w:pPr>
              <w:jc w:val="center"/>
              <w:rPr>
                <w:color w:val="auto"/>
                <w:sz w:val="24"/>
                <w:szCs w:val="22"/>
                <w:highlight w:val="none"/>
              </w:rPr>
            </w:pPr>
            <w:r>
              <w:rPr>
                <w:rFonts w:hint="eastAsia"/>
                <w:color w:val="auto"/>
                <w:sz w:val="24"/>
                <w:szCs w:val="22"/>
                <w:highlight w:val="none"/>
                <w:lang w:val="en-US" w:eastAsia="zh-CN"/>
              </w:rPr>
              <w:t>20</w:t>
            </w:r>
            <w:r>
              <w:rPr>
                <w:color w:val="auto"/>
                <w:sz w:val="24"/>
                <w:szCs w:val="22"/>
                <w:highlight w:val="none"/>
              </w:rPr>
              <w:t>分</w:t>
            </w:r>
          </w:p>
        </w:tc>
        <w:tc>
          <w:tcPr>
            <w:tcW w:w="5988" w:type="dxa"/>
            <w:noWrap w:val="0"/>
            <w:vAlign w:val="center"/>
          </w:tcPr>
          <w:p w14:paraId="38D81F51">
            <w:pPr>
              <w:jc w:val="left"/>
              <w:rPr>
                <w:rFonts w:hint="eastAsia"/>
                <w:color w:val="auto"/>
                <w:sz w:val="24"/>
                <w:szCs w:val="24"/>
                <w:highlight w:val="none"/>
              </w:rPr>
            </w:pPr>
            <w:r>
              <w:rPr>
                <w:rFonts w:hint="eastAsia"/>
                <w:color w:val="auto"/>
                <w:sz w:val="24"/>
                <w:szCs w:val="24"/>
                <w:highlight w:val="none"/>
              </w:rPr>
              <w:t>投标人</w:t>
            </w:r>
            <w:r>
              <w:rPr>
                <w:color w:val="auto"/>
                <w:sz w:val="24"/>
                <w:szCs w:val="24"/>
                <w:highlight w:val="none"/>
              </w:rPr>
              <w:t>承诺提供的服务全部满足</w:t>
            </w:r>
            <w:r>
              <w:rPr>
                <w:rFonts w:hint="eastAsia"/>
                <w:color w:val="auto"/>
                <w:sz w:val="24"/>
                <w:szCs w:val="24"/>
                <w:highlight w:val="none"/>
              </w:rPr>
              <w:t>招标</w:t>
            </w:r>
            <w:r>
              <w:rPr>
                <w:color w:val="auto"/>
                <w:sz w:val="24"/>
                <w:szCs w:val="24"/>
                <w:highlight w:val="none"/>
              </w:rPr>
              <w:t>文件要求的得</w:t>
            </w:r>
            <w:r>
              <w:rPr>
                <w:rFonts w:hint="eastAsia"/>
                <w:color w:val="auto"/>
                <w:sz w:val="24"/>
                <w:szCs w:val="24"/>
                <w:highlight w:val="none"/>
                <w:lang w:val="en-US" w:eastAsia="zh-CN"/>
              </w:rPr>
              <w:t>20</w:t>
            </w:r>
            <w:r>
              <w:rPr>
                <w:color w:val="auto"/>
                <w:sz w:val="24"/>
                <w:szCs w:val="24"/>
                <w:highlight w:val="none"/>
              </w:rPr>
              <w:t>分；</w:t>
            </w:r>
            <w:r>
              <w:rPr>
                <w:rFonts w:hint="eastAsia"/>
                <w:color w:val="auto"/>
                <w:sz w:val="24"/>
                <w:szCs w:val="24"/>
                <w:highlight w:val="none"/>
              </w:rPr>
              <w:t>存在常规要求负偏离的，每有一条扣</w:t>
            </w:r>
            <w:r>
              <w:rPr>
                <w:rFonts w:hint="eastAsia"/>
                <w:color w:val="auto"/>
                <w:sz w:val="24"/>
                <w:szCs w:val="24"/>
                <w:highlight w:val="none"/>
                <w:lang w:val="en-US" w:eastAsia="zh-CN"/>
              </w:rPr>
              <w:t>0.25</w:t>
            </w:r>
            <w:r>
              <w:rPr>
                <w:color w:val="auto"/>
                <w:sz w:val="24"/>
                <w:szCs w:val="24"/>
                <w:highlight w:val="none"/>
              </w:rPr>
              <w:t>分</w:t>
            </w:r>
            <w:r>
              <w:rPr>
                <w:color w:val="auto"/>
                <w:sz w:val="24"/>
                <w:highlight w:val="none"/>
              </w:rPr>
              <w:t>。</w:t>
            </w:r>
          </w:p>
          <w:p w14:paraId="3664C143">
            <w:pPr>
              <w:spacing w:line="300" w:lineRule="exact"/>
              <w:rPr>
                <w:rFonts w:hint="eastAsia" w:ascii="宋体" w:hAnsi="宋体" w:cs="宋体"/>
                <w:b/>
                <w:bCs/>
                <w:color w:val="auto"/>
                <w:sz w:val="24"/>
                <w:szCs w:val="24"/>
                <w:highlight w:val="none"/>
              </w:rPr>
            </w:pPr>
            <w:r>
              <w:rPr>
                <w:b/>
                <w:bCs/>
                <w:color w:val="auto"/>
                <w:sz w:val="24"/>
                <w:szCs w:val="24"/>
                <w:highlight w:val="none"/>
              </w:rPr>
              <w:t>注：</w:t>
            </w:r>
            <w:r>
              <w:rPr>
                <w:rFonts w:hint="eastAsia"/>
                <w:b/>
                <w:bCs/>
                <w:color w:val="auto"/>
                <w:sz w:val="24"/>
                <w:szCs w:val="24"/>
                <w:highlight w:val="none"/>
              </w:rPr>
              <w:t>①</w:t>
            </w:r>
            <w:r>
              <w:rPr>
                <w:rFonts w:hint="eastAsia" w:ascii="宋体" w:hAnsi="宋体" w:cs="宋体"/>
                <w:b/>
                <w:bCs/>
                <w:color w:val="auto"/>
                <w:sz w:val="24"/>
                <w:szCs w:val="24"/>
                <w:highlight w:val="none"/>
              </w:rPr>
              <w:t>“采购需求”“三、项目服务要求”中，斜体且有下划线部分为实质性要求，其余的服务要求为常规要求。</w:t>
            </w:r>
          </w:p>
          <w:p w14:paraId="5EFBECAE">
            <w:pPr>
              <w:spacing w:line="300" w:lineRule="exact"/>
              <w:ind w:firstLine="482" w:firstLineChars="200"/>
              <w:rPr>
                <w:color w:val="auto"/>
                <w:highlight w:val="none"/>
              </w:rPr>
            </w:pPr>
            <w:r>
              <w:rPr>
                <w:rFonts w:hint="eastAsia"/>
                <w:b/>
                <w:bCs/>
                <w:color w:val="auto"/>
                <w:sz w:val="24"/>
                <w:szCs w:val="22"/>
                <w:highlight w:val="none"/>
              </w:rPr>
              <w:t>②</w:t>
            </w:r>
            <w:r>
              <w:rPr>
                <w:rFonts w:hint="eastAsia" w:ascii="宋体" w:hAnsi="宋体" w:cs="宋体"/>
                <w:b/>
                <w:bCs/>
                <w:color w:val="auto"/>
                <w:sz w:val="24"/>
                <w:szCs w:val="24"/>
                <w:highlight w:val="none"/>
              </w:rPr>
              <w:t>“采购需求”“三、项目服务要求”中，斜体且有下划线部分</w:t>
            </w:r>
            <w:r>
              <w:rPr>
                <w:rFonts w:hint="eastAsia"/>
                <w:b/>
                <w:bCs/>
                <w:color w:val="auto"/>
                <w:sz w:val="24"/>
                <w:szCs w:val="22"/>
                <w:highlight w:val="none"/>
              </w:rPr>
              <w:t>的实质性要求</w:t>
            </w:r>
            <w:r>
              <w:rPr>
                <w:rFonts w:hint="eastAsia"/>
                <w:b/>
                <w:bCs/>
                <w:color w:val="auto"/>
                <w:sz w:val="24"/>
                <w:szCs w:val="24"/>
                <w:highlight w:val="none"/>
              </w:rPr>
              <w:t>必须满足，任何一项</w:t>
            </w:r>
            <w:r>
              <w:rPr>
                <w:rFonts w:hint="eastAsia"/>
                <w:b/>
                <w:bCs/>
                <w:color w:val="auto"/>
                <w:sz w:val="24"/>
                <w:szCs w:val="22"/>
                <w:highlight w:val="none"/>
              </w:rPr>
              <w:t>实质性要求</w:t>
            </w:r>
            <w:r>
              <w:rPr>
                <w:rFonts w:hint="eastAsia"/>
                <w:b/>
                <w:bCs/>
                <w:color w:val="auto"/>
                <w:sz w:val="24"/>
                <w:szCs w:val="24"/>
                <w:highlight w:val="none"/>
              </w:rPr>
              <w:t>未满足的，</w:t>
            </w:r>
            <w:r>
              <w:rPr>
                <w:rFonts w:hint="eastAsia" w:ascii="宋体" w:hAnsi="宋体" w:cs="宋体"/>
                <w:b/>
                <w:bCs/>
                <w:color w:val="auto"/>
                <w:sz w:val="24"/>
                <w:szCs w:val="24"/>
                <w:highlight w:val="none"/>
              </w:rPr>
              <w:t>将</w:t>
            </w:r>
            <w:r>
              <w:rPr>
                <w:b/>
                <w:bCs/>
                <w:color w:val="auto"/>
                <w:sz w:val="24"/>
                <w:szCs w:val="24"/>
                <w:highlight w:val="none"/>
              </w:rPr>
              <w:t>按无效投标处理</w:t>
            </w:r>
            <w:r>
              <w:rPr>
                <w:rFonts w:hint="eastAsia"/>
                <w:b/>
                <w:bCs/>
                <w:color w:val="auto"/>
                <w:sz w:val="24"/>
                <w:szCs w:val="22"/>
                <w:highlight w:val="none"/>
              </w:rPr>
              <w:t>。</w:t>
            </w:r>
          </w:p>
        </w:tc>
      </w:tr>
      <w:tr w14:paraId="647C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75B569DA">
            <w:pPr>
              <w:jc w:val="center"/>
              <w:rPr>
                <w:rFonts w:hint="eastAsia"/>
                <w:color w:val="auto"/>
                <w:sz w:val="24"/>
                <w:szCs w:val="22"/>
                <w:highlight w:val="none"/>
              </w:rPr>
            </w:pPr>
            <w:r>
              <w:rPr>
                <w:rFonts w:hint="eastAsia"/>
                <w:color w:val="auto"/>
                <w:sz w:val="24"/>
                <w:szCs w:val="22"/>
                <w:highlight w:val="none"/>
              </w:rPr>
              <w:t>2</w:t>
            </w:r>
          </w:p>
        </w:tc>
        <w:tc>
          <w:tcPr>
            <w:tcW w:w="1888" w:type="dxa"/>
            <w:noWrap w:val="0"/>
            <w:vAlign w:val="center"/>
          </w:tcPr>
          <w:p w14:paraId="443B7F8F">
            <w:pPr>
              <w:jc w:val="center"/>
              <w:rPr>
                <w:rFonts w:hint="eastAsia"/>
                <w:color w:val="auto"/>
                <w:sz w:val="24"/>
                <w:szCs w:val="22"/>
                <w:highlight w:val="none"/>
              </w:rPr>
            </w:pPr>
            <w:r>
              <w:rPr>
                <w:rFonts w:hint="eastAsia"/>
                <w:color w:val="auto"/>
                <w:sz w:val="24"/>
                <w:szCs w:val="22"/>
                <w:highlight w:val="none"/>
                <w:lang w:val="en-US" w:eastAsia="zh-CN"/>
              </w:rPr>
              <w:t>人员</w:t>
            </w:r>
            <w:r>
              <w:rPr>
                <w:rFonts w:hint="eastAsia"/>
                <w:color w:val="auto"/>
                <w:sz w:val="24"/>
                <w:szCs w:val="22"/>
                <w:highlight w:val="none"/>
              </w:rPr>
              <w:t>配备</w:t>
            </w:r>
          </w:p>
        </w:tc>
        <w:tc>
          <w:tcPr>
            <w:tcW w:w="1003" w:type="dxa"/>
            <w:noWrap w:val="0"/>
            <w:vAlign w:val="center"/>
          </w:tcPr>
          <w:p w14:paraId="15EF4583">
            <w:pPr>
              <w:jc w:val="center"/>
              <w:rPr>
                <w:rFonts w:hint="eastAsia"/>
                <w:color w:val="auto"/>
                <w:sz w:val="24"/>
                <w:szCs w:val="22"/>
                <w:highlight w:val="none"/>
              </w:rPr>
            </w:pPr>
            <w:r>
              <w:rPr>
                <w:rFonts w:hint="eastAsia"/>
                <w:color w:val="auto"/>
                <w:sz w:val="24"/>
                <w:szCs w:val="22"/>
                <w:highlight w:val="none"/>
                <w:lang w:val="en-US" w:eastAsia="zh-CN"/>
              </w:rPr>
              <w:t>14</w:t>
            </w:r>
            <w:r>
              <w:rPr>
                <w:rFonts w:hint="eastAsia"/>
                <w:color w:val="auto"/>
                <w:sz w:val="24"/>
                <w:szCs w:val="22"/>
                <w:highlight w:val="none"/>
              </w:rPr>
              <w:t>分</w:t>
            </w:r>
          </w:p>
        </w:tc>
        <w:tc>
          <w:tcPr>
            <w:tcW w:w="5988" w:type="dxa"/>
            <w:noWrap w:val="0"/>
            <w:vAlign w:val="center"/>
          </w:tcPr>
          <w:p w14:paraId="6A1BB4E8">
            <w:pPr>
              <w:widowControl/>
              <w:jc w:val="left"/>
              <w:rPr>
                <w:rFonts w:hint="eastAsia"/>
                <w:color w:val="auto"/>
                <w:sz w:val="24"/>
                <w:highlight w:val="none"/>
                <w:lang w:val="zh-CN"/>
              </w:rPr>
            </w:pPr>
            <w:r>
              <w:rPr>
                <w:rFonts w:hint="eastAsia"/>
                <w:color w:val="auto"/>
                <w:sz w:val="24"/>
                <w:highlight w:val="none"/>
              </w:rPr>
              <w:t>根据投标人</w:t>
            </w:r>
            <w:r>
              <w:rPr>
                <w:rFonts w:hint="eastAsia"/>
                <w:color w:val="auto"/>
                <w:sz w:val="24"/>
                <w:highlight w:val="none"/>
                <w:lang w:val="zh-CN"/>
              </w:rPr>
              <w:t>拟投入本</w:t>
            </w:r>
            <w:r>
              <w:rPr>
                <w:rFonts w:hint="eastAsia"/>
                <w:color w:val="auto"/>
                <w:sz w:val="24"/>
                <w:highlight w:val="none"/>
              </w:rPr>
              <w:t>项目</w:t>
            </w:r>
            <w:r>
              <w:rPr>
                <w:rFonts w:hint="eastAsia"/>
                <w:color w:val="auto"/>
                <w:sz w:val="24"/>
                <w:highlight w:val="none"/>
                <w:lang w:val="zh-CN"/>
              </w:rPr>
              <w:t>的</w:t>
            </w:r>
            <w:r>
              <w:rPr>
                <w:rFonts w:hint="eastAsia"/>
                <w:color w:val="auto"/>
                <w:sz w:val="24"/>
                <w:highlight w:val="none"/>
                <w:lang w:val="en-US" w:eastAsia="zh-CN"/>
              </w:rPr>
              <w:t>人员</w:t>
            </w:r>
            <w:r>
              <w:rPr>
                <w:rFonts w:hint="eastAsia"/>
                <w:color w:val="auto"/>
                <w:sz w:val="24"/>
                <w:highlight w:val="none"/>
                <w:lang w:val="zh-CN"/>
              </w:rPr>
              <w:t>情况进行评定。</w:t>
            </w:r>
          </w:p>
          <w:p w14:paraId="1F3547DD">
            <w:pPr>
              <w:widowControl/>
              <w:jc w:val="left"/>
              <w:rPr>
                <w:rFonts w:hint="default" w:ascii="Times New Roman" w:hAnsi="Times New Roman" w:cs="Times New Roman"/>
                <w:color w:val="auto"/>
                <w:sz w:val="24"/>
                <w:highlight w:val="none"/>
              </w:rPr>
            </w:pPr>
            <w:r>
              <w:rPr>
                <w:rFonts w:hint="eastAsia"/>
                <w:color w:val="auto"/>
                <w:sz w:val="24"/>
                <w:highlight w:val="none"/>
              </w:rPr>
              <w:t>1、具有</w:t>
            </w:r>
            <w:r>
              <w:rPr>
                <w:rFonts w:hint="eastAsia"/>
                <w:color w:val="auto"/>
                <w:sz w:val="24"/>
                <w:highlight w:val="none"/>
                <w:lang w:val="en-US" w:eastAsia="zh-CN"/>
              </w:rPr>
              <w:t>高中</w:t>
            </w:r>
            <w:r>
              <w:rPr>
                <w:rFonts w:hint="eastAsia"/>
                <w:color w:val="auto"/>
                <w:sz w:val="24"/>
                <w:highlight w:val="none"/>
              </w:rPr>
              <w:t>（含）以上</w:t>
            </w:r>
            <w:r>
              <w:rPr>
                <w:rFonts w:hint="eastAsia"/>
                <w:color w:val="auto"/>
                <w:sz w:val="24"/>
                <w:highlight w:val="none"/>
                <w:lang w:val="en-US" w:eastAsia="zh-CN"/>
              </w:rPr>
              <w:t>学历</w:t>
            </w:r>
            <w:r>
              <w:rPr>
                <w:rFonts w:hint="eastAsia"/>
                <w:color w:val="auto"/>
                <w:sz w:val="24"/>
                <w:highlight w:val="none"/>
              </w:rPr>
              <w:t>证书</w:t>
            </w:r>
            <w:r>
              <w:rPr>
                <w:rFonts w:hint="default" w:ascii="Times New Roman" w:hAnsi="Times New Roman" w:cs="Times New Roman"/>
                <w:color w:val="auto"/>
                <w:sz w:val="24"/>
                <w:highlight w:val="none"/>
              </w:rPr>
              <w:t>的</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每有一人</w:t>
            </w:r>
            <w:r>
              <w:rPr>
                <w:rFonts w:hint="default" w:ascii="Times New Roman" w:hAnsi="Times New Roman" w:cs="Times New Roman"/>
                <w:color w:val="auto"/>
                <w:sz w:val="24"/>
                <w:highlight w:val="none"/>
              </w:rPr>
              <w:t>得</w:t>
            </w:r>
            <w:r>
              <w:rPr>
                <w:rFonts w:hint="eastAsia"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rPr>
              <w:t>分</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本小项最高得3分</w:t>
            </w:r>
            <w:r>
              <w:rPr>
                <w:rFonts w:hint="default" w:ascii="Times New Roman" w:hAnsi="Times New Roman" w:cs="Times New Roman"/>
                <w:color w:val="auto"/>
                <w:sz w:val="24"/>
                <w:highlight w:val="none"/>
              </w:rPr>
              <w:t>。</w:t>
            </w:r>
          </w:p>
          <w:p w14:paraId="58C70B2F">
            <w:pPr>
              <w:widowControl/>
              <w:jc w:val="left"/>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highlight w:val="none"/>
              </w:rPr>
              <w:t>2、</w:t>
            </w:r>
            <w:r>
              <w:rPr>
                <w:rFonts w:hint="default" w:ascii="Times New Roman" w:hAnsi="Times New Roman" w:cs="Times New Roman"/>
                <w:color w:val="auto"/>
                <w:sz w:val="24"/>
                <w:szCs w:val="24"/>
                <w:highlight w:val="none"/>
              </w:rPr>
              <w:t>具有</w:t>
            </w:r>
            <w:r>
              <w:rPr>
                <w:rFonts w:hint="eastAsia" w:ascii="Times New Roman" w:hAnsi="Times New Roman" w:cs="Times New Roman"/>
                <w:color w:val="auto"/>
                <w:sz w:val="24"/>
                <w:szCs w:val="24"/>
                <w:highlight w:val="none"/>
                <w:lang w:val="en-US" w:eastAsia="zh-CN"/>
              </w:rPr>
              <w:t>中级及以上</w:t>
            </w:r>
            <w:r>
              <w:rPr>
                <w:rFonts w:hint="default" w:ascii="Times New Roman" w:hAnsi="Times New Roman" w:cs="Times New Roman"/>
                <w:color w:val="auto"/>
                <w:sz w:val="24"/>
                <w:szCs w:val="24"/>
                <w:highlight w:val="none"/>
              </w:rPr>
              <w:t>消防设施操作员证书的</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highlight w:val="none"/>
                <w:lang w:val="en-US" w:eastAsia="zh-CN"/>
              </w:rPr>
              <w:t>每有一人</w:t>
            </w:r>
            <w:r>
              <w:rPr>
                <w:rFonts w:hint="default" w:ascii="Times New Roman" w:hAnsi="Times New Roman" w:cs="Times New Roman"/>
                <w:color w:val="auto"/>
                <w:sz w:val="24"/>
                <w:szCs w:val="24"/>
                <w:highlight w:val="none"/>
                <w:lang w:val="en-US" w:eastAsia="zh-CN"/>
              </w:rPr>
              <w:t>得</w:t>
            </w:r>
            <w:r>
              <w:rPr>
                <w:rFonts w:hint="eastAsia"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分</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本小项最高得</w:t>
            </w:r>
            <w:r>
              <w:rPr>
                <w:rFonts w:hint="eastAsia" w:cs="Times New Roman"/>
                <w:color w:val="auto"/>
                <w:sz w:val="24"/>
                <w:highlight w:val="none"/>
                <w:lang w:val="en-US" w:eastAsia="zh-CN"/>
              </w:rPr>
              <w:t>8</w:t>
            </w:r>
            <w:r>
              <w:rPr>
                <w:rFonts w:hint="eastAsia" w:ascii="Times New Roman" w:hAnsi="Times New Roman" w:cs="Times New Roman"/>
                <w:color w:val="auto"/>
                <w:sz w:val="24"/>
                <w:highlight w:val="none"/>
                <w:lang w:val="en-US" w:eastAsia="zh-CN"/>
              </w:rPr>
              <w:t>分</w:t>
            </w:r>
            <w:r>
              <w:rPr>
                <w:rFonts w:hint="eastAsia" w:ascii="Times New Roman" w:hAnsi="Times New Roman" w:cs="Times New Roman"/>
                <w:color w:val="auto"/>
                <w:sz w:val="24"/>
                <w:szCs w:val="24"/>
                <w:highlight w:val="none"/>
                <w:lang w:val="en-US" w:eastAsia="zh-CN"/>
              </w:rPr>
              <w:t>。</w:t>
            </w:r>
          </w:p>
          <w:p w14:paraId="7A85B99A">
            <w:pPr>
              <w:widowControl/>
              <w:jc w:val="left"/>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具有三级/高级保安员（或以上）证书的</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highlight w:val="none"/>
                <w:lang w:val="en-US" w:eastAsia="zh-CN"/>
              </w:rPr>
              <w:t>每有一人</w:t>
            </w:r>
            <w:r>
              <w:rPr>
                <w:rFonts w:hint="default" w:ascii="Times New Roman" w:hAnsi="Times New Roman" w:cs="Times New Roman"/>
                <w:color w:val="auto"/>
                <w:sz w:val="24"/>
                <w:szCs w:val="24"/>
                <w:highlight w:val="none"/>
              </w:rPr>
              <w:t>得</w:t>
            </w: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分</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本小项最高得</w:t>
            </w:r>
            <w:r>
              <w:rPr>
                <w:rFonts w:hint="eastAsia" w:cs="Times New Roman"/>
                <w:color w:val="auto"/>
                <w:sz w:val="24"/>
                <w:highlight w:val="none"/>
                <w:lang w:val="en-US" w:eastAsia="zh-CN"/>
              </w:rPr>
              <w:t>3</w:t>
            </w:r>
            <w:r>
              <w:rPr>
                <w:rFonts w:hint="eastAsia" w:ascii="Times New Roman" w:hAnsi="Times New Roman" w:cs="Times New Roman"/>
                <w:color w:val="auto"/>
                <w:sz w:val="24"/>
                <w:highlight w:val="none"/>
                <w:lang w:val="en-US" w:eastAsia="zh-CN"/>
              </w:rPr>
              <w:t>分</w:t>
            </w:r>
            <w:r>
              <w:rPr>
                <w:rFonts w:hint="default" w:ascii="Times New Roman" w:hAnsi="Times New Roman" w:cs="Times New Roman"/>
                <w:color w:val="auto"/>
                <w:sz w:val="24"/>
                <w:szCs w:val="24"/>
                <w:highlight w:val="none"/>
              </w:rPr>
              <w:t>。</w:t>
            </w:r>
          </w:p>
          <w:p w14:paraId="26C0007E">
            <w:pPr>
              <w:widowControl/>
              <w:jc w:val="left"/>
              <w:rPr>
                <w:b/>
                <w:bCs/>
                <w:color w:val="auto"/>
                <w:kern w:val="0"/>
                <w:sz w:val="24"/>
                <w:szCs w:val="24"/>
                <w:highlight w:val="none"/>
              </w:rPr>
            </w:pPr>
            <w:r>
              <w:rPr>
                <w:rFonts w:hint="eastAsia" w:ascii="宋体" w:hAnsi="宋体" w:cs="宋体"/>
                <w:b/>
                <w:bCs/>
                <w:color w:val="auto"/>
                <w:sz w:val="24"/>
                <w:highlight w:val="none"/>
                <w:lang w:val="zh-CN"/>
              </w:rPr>
              <w:t>注：①</w:t>
            </w:r>
            <w:r>
              <w:rPr>
                <w:b/>
                <w:bCs/>
                <w:color w:val="auto"/>
                <w:sz w:val="24"/>
                <w:szCs w:val="24"/>
                <w:highlight w:val="none"/>
                <w:lang w:val="zh-CN"/>
              </w:rPr>
              <w:t>本</w:t>
            </w:r>
            <w:r>
              <w:rPr>
                <w:rFonts w:hint="eastAsia"/>
                <w:b/>
                <w:bCs/>
                <w:color w:val="auto"/>
                <w:sz w:val="24"/>
                <w:szCs w:val="24"/>
                <w:highlight w:val="none"/>
              </w:rPr>
              <w:t>大</w:t>
            </w:r>
            <w:r>
              <w:rPr>
                <w:b/>
                <w:bCs/>
                <w:color w:val="auto"/>
                <w:sz w:val="24"/>
                <w:szCs w:val="24"/>
                <w:highlight w:val="none"/>
                <w:lang w:val="zh-CN"/>
              </w:rPr>
              <w:t>项最高得</w:t>
            </w:r>
            <w:r>
              <w:rPr>
                <w:rFonts w:hint="eastAsia"/>
                <w:b/>
                <w:bCs/>
                <w:color w:val="auto"/>
                <w:sz w:val="24"/>
                <w:szCs w:val="24"/>
                <w:highlight w:val="none"/>
                <w:lang w:val="en-US" w:eastAsia="zh-CN"/>
              </w:rPr>
              <w:t>14</w:t>
            </w:r>
            <w:r>
              <w:rPr>
                <w:b/>
                <w:bCs/>
                <w:color w:val="auto"/>
                <w:sz w:val="24"/>
                <w:szCs w:val="24"/>
                <w:highlight w:val="none"/>
                <w:lang w:val="zh-CN"/>
              </w:rPr>
              <w:t>分。</w:t>
            </w:r>
          </w:p>
          <w:p w14:paraId="5F8CAD04">
            <w:pPr>
              <w:widowControl/>
              <w:ind w:firstLine="482" w:firstLineChars="200"/>
              <w:jc w:val="left"/>
              <w:rPr>
                <w:b/>
                <w:color w:val="auto"/>
                <w:sz w:val="24"/>
                <w:szCs w:val="24"/>
                <w:highlight w:val="none"/>
              </w:rPr>
            </w:pPr>
            <w:r>
              <w:rPr>
                <w:rFonts w:hint="eastAsia"/>
                <w:b/>
                <w:bCs/>
                <w:color w:val="auto"/>
                <w:kern w:val="0"/>
                <w:sz w:val="24"/>
                <w:szCs w:val="24"/>
                <w:highlight w:val="none"/>
              </w:rPr>
              <w:t>②</w:t>
            </w:r>
            <w:r>
              <w:rPr>
                <w:rFonts w:hint="eastAsia"/>
                <w:b/>
                <w:color w:val="auto"/>
                <w:sz w:val="24"/>
                <w:szCs w:val="24"/>
                <w:highlight w:val="none"/>
              </w:rPr>
              <w:t>投标</w:t>
            </w:r>
            <w:r>
              <w:rPr>
                <w:b/>
                <w:color w:val="auto"/>
                <w:sz w:val="24"/>
                <w:szCs w:val="24"/>
                <w:highlight w:val="none"/>
              </w:rPr>
              <w:t>文件中需提供</w:t>
            </w:r>
            <w:r>
              <w:rPr>
                <w:rFonts w:hint="eastAsia"/>
                <w:b/>
                <w:color w:val="auto"/>
                <w:sz w:val="24"/>
                <w:szCs w:val="24"/>
                <w:highlight w:val="none"/>
                <w:lang w:val="en-US" w:eastAsia="zh-CN"/>
              </w:rPr>
              <w:t>对应人员</w:t>
            </w:r>
            <w:r>
              <w:rPr>
                <w:b/>
                <w:color w:val="auto"/>
                <w:sz w:val="24"/>
                <w:szCs w:val="24"/>
                <w:highlight w:val="none"/>
              </w:rPr>
              <w:t>与评分项相对应的</w:t>
            </w:r>
            <w:r>
              <w:rPr>
                <w:rFonts w:hint="eastAsia"/>
                <w:b/>
                <w:color w:val="auto"/>
                <w:sz w:val="24"/>
                <w:szCs w:val="24"/>
                <w:highlight w:val="none"/>
              </w:rPr>
              <w:t>证书</w:t>
            </w:r>
            <w:r>
              <w:rPr>
                <w:b/>
                <w:color w:val="auto"/>
                <w:sz w:val="24"/>
                <w:szCs w:val="24"/>
                <w:highlight w:val="none"/>
              </w:rPr>
              <w:t>证明材料</w:t>
            </w:r>
            <w:r>
              <w:rPr>
                <w:b/>
                <w:bCs/>
                <w:color w:val="auto"/>
                <w:sz w:val="24"/>
                <w:highlight w:val="none"/>
              </w:rPr>
              <w:t>及</w:t>
            </w:r>
            <w:r>
              <w:rPr>
                <w:rFonts w:hint="eastAsia"/>
                <w:b/>
                <w:bCs/>
                <w:color w:val="auto"/>
                <w:sz w:val="24"/>
                <w:highlight w:val="none"/>
              </w:rPr>
              <w:t>投标人</w:t>
            </w:r>
            <w:r>
              <w:rPr>
                <w:b/>
                <w:bCs/>
                <w:color w:val="auto"/>
                <w:sz w:val="24"/>
                <w:highlight w:val="none"/>
              </w:rPr>
              <w:t>为其缴纳社会保险</w:t>
            </w:r>
            <w:r>
              <w:rPr>
                <w:rFonts w:hint="eastAsia"/>
                <w:b/>
                <w:bCs/>
                <w:color w:val="auto"/>
                <w:sz w:val="24"/>
                <w:highlight w:val="none"/>
                <w:lang w:val="zh-CN"/>
              </w:rPr>
              <w:t>（近三个月中任意一个月）</w:t>
            </w:r>
            <w:r>
              <w:rPr>
                <w:b/>
                <w:bCs/>
                <w:color w:val="auto"/>
                <w:sz w:val="24"/>
                <w:highlight w:val="none"/>
              </w:rPr>
              <w:t>的证明材料</w:t>
            </w:r>
            <w:r>
              <w:rPr>
                <w:b/>
                <w:color w:val="auto"/>
                <w:sz w:val="24"/>
                <w:szCs w:val="24"/>
                <w:highlight w:val="none"/>
              </w:rPr>
              <w:t>，</w:t>
            </w:r>
            <w:r>
              <w:rPr>
                <w:b/>
                <w:bCs/>
                <w:color w:val="auto"/>
                <w:sz w:val="24"/>
                <w:highlight w:val="none"/>
                <w:lang w:val="zh-CN"/>
              </w:rPr>
              <w:t>如未提供或</w:t>
            </w:r>
            <w:r>
              <w:rPr>
                <w:rFonts w:hint="eastAsia"/>
                <w:b/>
                <w:bCs/>
                <w:color w:val="auto"/>
                <w:sz w:val="24"/>
                <w:highlight w:val="none"/>
              </w:rPr>
              <w:t>提供不全或</w:t>
            </w:r>
            <w:r>
              <w:rPr>
                <w:b/>
                <w:bCs/>
                <w:color w:val="auto"/>
                <w:sz w:val="24"/>
                <w:highlight w:val="none"/>
                <w:lang w:val="zh-CN"/>
              </w:rPr>
              <w:t>提供的证明材料无法佐证的</w:t>
            </w:r>
            <w:r>
              <w:rPr>
                <w:b/>
                <w:bCs/>
                <w:color w:val="auto"/>
                <w:sz w:val="24"/>
                <w:szCs w:val="22"/>
                <w:highlight w:val="none"/>
              </w:rPr>
              <w:t>，对应评分项不得分</w:t>
            </w:r>
            <w:r>
              <w:rPr>
                <w:b/>
                <w:color w:val="auto"/>
                <w:sz w:val="24"/>
                <w:szCs w:val="24"/>
                <w:highlight w:val="none"/>
              </w:rPr>
              <w:t>。</w:t>
            </w:r>
          </w:p>
          <w:p w14:paraId="202FE9B4">
            <w:pPr>
              <w:widowControl/>
              <w:ind w:firstLine="482" w:firstLineChars="200"/>
              <w:jc w:val="left"/>
              <w:rPr>
                <w:rFonts w:hint="eastAsia"/>
                <w:color w:val="auto"/>
                <w:sz w:val="24"/>
                <w:szCs w:val="24"/>
                <w:highlight w:val="none"/>
              </w:rPr>
            </w:pPr>
            <w:r>
              <w:rPr>
                <w:b/>
                <w:color w:val="auto"/>
                <w:sz w:val="24"/>
                <w:szCs w:val="24"/>
                <w:highlight w:val="none"/>
              </w:rPr>
              <w:t>③</w:t>
            </w:r>
            <w:r>
              <w:rPr>
                <w:rFonts w:hint="eastAsia" w:ascii="宋体" w:hAnsi="宋体" w:cs="宋体"/>
                <w:b/>
                <w:color w:val="auto"/>
                <w:sz w:val="24"/>
                <w:szCs w:val="24"/>
                <w:highlight w:val="none"/>
              </w:rPr>
              <w:t>如</w:t>
            </w:r>
            <w:r>
              <w:rPr>
                <w:rFonts w:hint="eastAsia" w:ascii="宋体" w:hAnsi="宋体" w:cs="宋体"/>
                <w:b/>
                <w:color w:val="auto"/>
                <w:sz w:val="24"/>
                <w:szCs w:val="24"/>
                <w:highlight w:val="none"/>
                <w:lang w:val="en-US" w:eastAsia="zh-CN"/>
              </w:rPr>
              <w:t>同一名人员具有多种证书</w:t>
            </w:r>
            <w:r>
              <w:rPr>
                <w:rFonts w:hint="eastAsia" w:ascii="宋体" w:hAnsi="宋体" w:cs="宋体"/>
                <w:b/>
                <w:color w:val="auto"/>
                <w:sz w:val="24"/>
                <w:szCs w:val="24"/>
                <w:highlight w:val="none"/>
              </w:rPr>
              <w:t>的，</w:t>
            </w:r>
            <w:r>
              <w:rPr>
                <w:rFonts w:hint="eastAsia" w:ascii="宋体" w:hAnsi="宋体" w:cs="宋体"/>
                <w:b/>
                <w:color w:val="auto"/>
                <w:sz w:val="24"/>
                <w:szCs w:val="24"/>
                <w:highlight w:val="none"/>
                <w:lang w:val="en-US" w:eastAsia="zh-CN"/>
              </w:rPr>
              <w:t>可累计得分</w:t>
            </w:r>
            <w:r>
              <w:rPr>
                <w:rFonts w:hint="eastAsia" w:ascii="宋体" w:hAnsi="宋体" w:cs="宋体"/>
                <w:b/>
                <w:color w:val="auto"/>
                <w:sz w:val="24"/>
                <w:szCs w:val="24"/>
                <w:highlight w:val="none"/>
              </w:rPr>
              <w:t>。</w:t>
            </w:r>
          </w:p>
        </w:tc>
      </w:tr>
      <w:tr w14:paraId="112D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54888821">
            <w:pPr>
              <w:jc w:val="center"/>
              <w:rPr>
                <w:rFonts w:hint="eastAsia"/>
                <w:color w:val="auto"/>
                <w:sz w:val="24"/>
                <w:szCs w:val="22"/>
                <w:highlight w:val="none"/>
              </w:rPr>
            </w:pPr>
            <w:r>
              <w:rPr>
                <w:rFonts w:hint="eastAsia"/>
                <w:color w:val="auto"/>
                <w:sz w:val="24"/>
                <w:szCs w:val="22"/>
                <w:highlight w:val="none"/>
              </w:rPr>
              <w:t>3</w:t>
            </w:r>
          </w:p>
        </w:tc>
        <w:tc>
          <w:tcPr>
            <w:tcW w:w="1888" w:type="dxa"/>
            <w:noWrap w:val="0"/>
            <w:vAlign w:val="center"/>
          </w:tcPr>
          <w:p w14:paraId="020FD89D">
            <w:pPr>
              <w:jc w:val="center"/>
              <w:rPr>
                <w:rFonts w:hint="eastAsia"/>
                <w:color w:val="auto"/>
                <w:sz w:val="24"/>
                <w:szCs w:val="22"/>
                <w:highlight w:val="none"/>
              </w:rPr>
            </w:pPr>
            <w:r>
              <w:rPr>
                <w:rFonts w:hint="eastAsia"/>
                <w:color w:val="auto"/>
                <w:sz w:val="24"/>
                <w:szCs w:val="22"/>
                <w:highlight w:val="none"/>
              </w:rPr>
              <w:t>保安服务方案</w:t>
            </w:r>
          </w:p>
        </w:tc>
        <w:tc>
          <w:tcPr>
            <w:tcW w:w="1003" w:type="dxa"/>
            <w:noWrap w:val="0"/>
            <w:vAlign w:val="center"/>
          </w:tcPr>
          <w:p w14:paraId="46681AFC">
            <w:pPr>
              <w:jc w:val="center"/>
              <w:rPr>
                <w:rFonts w:hint="eastAsia"/>
                <w:color w:val="auto"/>
                <w:sz w:val="24"/>
                <w:szCs w:val="22"/>
                <w:highlight w:val="none"/>
              </w:rPr>
            </w:pPr>
            <w:r>
              <w:rPr>
                <w:rFonts w:hint="eastAsia"/>
                <w:color w:val="auto"/>
                <w:sz w:val="24"/>
                <w:szCs w:val="22"/>
                <w:highlight w:val="none"/>
                <w:lang w:val="en-US" w:eastAsia="zh-CN"/>
              </w:rPr>
              <w:t>6</w:t>
            </w:r>
            <w:r>
              <w:rPr>
                <w:rFonts w:hint="eastAsia"/>
                <w:color w:val="auto"/>
                <w:sz w:val="24"/>
                <w:szCs w:val="22"/>
                <w:highlight w:val="none"/>
              </w:rPr>
              <w:t>分</w:t>
            </w:r>
          </w:p>
        </w:tc>
        <w:tc>
          <w:tcPr>
            <w:tcW w:w="5988" w:type="dxa"/>
            <w:noWrap w:val="0"/>
            <w:vAlign w:val="center"/>
          </w:tcPr>
          <w:p w14:paraId="7C74EDB2">
            <w:pPr>
              <w:rPr>
                <w:color w:val="auto"/>
                <w:sz w:val="24"/>
                <w:szCs w:val="24"/>
                <w:highlight w:val="none"/>
              </w:rPr>
            </w:pPr>
            <w:r>
              <w:rPr>
                <w:color w:val="auto"/>
                <w:sz w:val="24"/>
                <w:szCs w:val="22"/>
                <w:highlight w:val="none"/>
              </w:rPr>
              <w:t>根据投标人提供的</w:t>
            </w:r>
            <w:r>
              <w:rPr>
                <w:rFonts w:hint="eastAsia"/>
                <w:color w:val="auto"/>
                <w:sz w:val="24"/>
                <w:szCs w:val="22"/>
                <w:highlight w:val="none"/>
              </w:rPr>
              <w:t>保安服务方案（涉及评审要点（共2项）：①具体保安服务方案、②服务质量保证措施）</w:t>
            </w:r>
            <w:r>
              <w:rPr>
                <w:color w:val="auto"/>
                <w:sz w:val="24"/>
                <w:szCs w:val="22"/>
                <w:highlight w:val="none"/>
              </w:rPr>
              <w:t>进行评定，本项最高得</w:t>
            </w:r>
            <w:r>
              <w:rPr>
                <w:rFonts w:hint="eastAsia"/>
                <w:color w:val="auto"/>
                <w:sz w:val="24"/>
                <w:szCs w:val="22"/>
                <w:highlight w:val="none"/>
                <w:lang w:val="en-US" w:eastAsia="zh-CN"/>
              </w:rPr>
              <w:t>6</w:t>
            </w:r>
            <w:r>
              <w:rPr>
                <w:color w:val="auto"/>
                <w:sz w:val="24"/>
                <w:szCs w:val="22"/>
                <w:highlight w:val="none"/>
              </w:rPr>
              <w:t>分。体现上述评审要点且内容贴合需求的，每有一项得</w:t>
            </w:r>
            <w:r>
              <w:rPr>
                <w:rFonts w:hint="eastAsia"/>
                <w:color w:val="auto"/>
                <w:sz w:val="24"/>
                <w:szCs w:val="22"/>
                <w:highlight w:val="none"/>
                <w:lang w:val="en-US" w:eastAsia="zh-CN"/>
              </w:rPr>
              <w:t>3</w:t>
            </w:r>
            <w:r>
              <w:rPr>
                <w:color w:val="auto"/>
                <w:sz w:val="24"/>
                <w:szCs w:val="22"/>
                <w:highlight w:val="none"/>
              </w:rPr>
              <w:t>分；体现上述评审要点但内容无法完全贴合需求的，每有一项得</w:t>
            </w:r>
            <w:r>
              <w:rPr>
                <w:rFonts w:hint="eastAsia"/>
                <w:color w:val="auto"/>
                <w:sz w:val="24"/>
                <w:szCs w:val="22"/>
                <w:highlight w:val="none"/>
                <w:lang w:val="en-US" w:eastAsia="zh-CN"/>
              </w:rPr>
              <w:t>1.5</w:t>
            </w:r>
            <w:r>
              <w:rPr>
                <w:color w:val="auto"/>
                <w:sz w:val="24"/>
                <w:szCs w:val="22"/>
                <w:highlight w:val="none"/>
              </w:rPr>
              <w:t>分；未能体现评审要点（或无实质性内容的），对应项得0分。</w:t>
            </w:r>
          </w:p>
        </w:tc>
      </w:tr>
      <w:tr w14:paraId="712B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69849825">
            <w:pPr>
              <w:jc w:val="center"/>
              <w:rPr>
                <w:rFonts w:hint="eastAsia"/>
                <w:color w:val="auto"/>
                <w:sz w:val="24"/>
                <w:szCs w:val="22"/>
                <w:highlight w:val="none"/>
              </w:rPr>
            </w:pPr>
            <w:r>
              <w:rPr>
                <w:rFonts w:hint="eastAsia"/>
                <w:color w:val="auto"/>
                <w:sz w:val="24"/>
                <w:szCs w:val="22"/>
                <w:highlight w:val="none"/>
              </w:rPr>
              <w:t>4</w:t>
            </w:r>
          </w:p>
        </w:tc>
        <w:tc>
          <w:tcPr>
            <w:tcW w:w="1888" w:type="dxa"/>
            <w:noWrap w:val="0"/>
            <w:vAlign w:val="center"/>
          </w:tcPr>
          <w:p w14:paraId="0A31D658">
            <w:pPr>
              <w:jc w:val="center"/>
              <w:rPr>
                <w:rFonts w:hint="eastAsia"/>
                <w:color w:val="auto"/>
                <w:sz w:val="24"/>
                <w:szCs w:val="22"/>
                <w:highlight w:val="none"/>
              </w:rPr>
            </w:pPr>
            <w:r>
              <w:rPr>
                <w:rFonts w:hint="eastAsia"/>
                <w:color w:val="auto"/>
                <w:sz w:val="24"/>
                <w:szCs w:val="22"/>
                <w:highlight w:val="none"/>
              </w:rPr>
              <w:t>应急、突击方案</w:t>
            </w:r>
          </w:p>
        </w:tc>
        <w:tc>
          <w:tcPr>
            <w:tcW w:w="1003" w:type="dxa"/>
            <w:noWrap w:val="0"/>
            <w:vAlign w:val="center"/>
          </w:tcPr>
          <w:p w14:paraId="379FBEF3">
            <w:pPr>
              <w:jc w:val="center"/>
              <w:rPr>
                <w:rFonts w:hint="eastAsia"/>
                <w:color w:val="auto"/>
                <w:sz w:val="24"/>
                <w:szCs w:val="22"/>
                <w:highlight w:val="none"/>
              </w:rPr>
            </w:pPr>
            <w:r>
              <w:rPr>
                <w:rFonts w:hint="eastAsia"/>
                <w:color w:val="auto"/>
                <w:sz w:val="24"/>
                <w:szCs w:val="22"/>
                <w:highlight w:val="none"/>
                <w:lang w:val="en-US" w:eastAsia="zh-CN"/>
              </w:rPr>
              <w:t>6</w:t>
            </w:r>
            <w:r>
              <w:rPr>
                <w:rFonts w:hint="eastAsia"/>
                <w:color w:val="auto"/>
                <w:sz w:val="24"/>
                <w:szCs w:val="22"/>
                <w:highlight w:val="none"/>
              </w:rPr>
              <w:t>分</w:t>
            </w:r>
          </w:p>
        </w:tc>
        <w:tc>
          <w:tcPr>
            <w:tcW w:w="5988" w:type="dxa"/>
            <w:noWrap w:val="0"/>
            <w:vAlign w:val="center"/>
          </w:tcPr>
          <w:p w14:paraId="754579E3">
            <w:pPr>
              <w:rPr>
                <w:rFonts w:hint="eastAsia"/>
                <w:color w:val="auto"/>
                <w:sz w:val="24"/>
                <w:szCs w:val="22"/>
                <w:highlight w:val="none"/>
              </w:rPr>
            </w:pPr>
            <w:r>
              <w:rPr>
                <w:color w:val="auto"/>
                <w:sz w:val="24"/>
                <w:szCs w:val="22"/>
                <w:highlight w:val="none"/>
              </w:rPr>
              <w:t>根据投标人提供的</w:t>
            </w:r>
            <w:r>
              <w:rPr>
                <w:rFonts w:hint="eastAsia"/>
                <w:color w:val="auto"/>
                <w:sz w:val="24"/>
                <w:szCs w:val="22"/>
                <w:highlight w:val="none"/>
              </w:rPr>
              <w:t>应急、突击方案（涉及评审要点（共2项）：①</w:t>
            </w:r>
            <w:r>
              <w:rPr>
                <w:rFonts w:ascii="宋体" w:hAnsi="宋体" w:cs="宋体"/>
                <w:color w:val="auto"/>
                <w:sz w:val="24"/>
                <w:szCs w:val="24"/>
                <w:highlight w:val="none"/>
              </w:rPr>
              <w:t>应急、突击机制</w:t>
            </w:r>
            <w:r>
              <w:rPr>
                <w:rFonts w:hint="eastAsia"/>
                <w:color w:val="auto"/>
                <w:sz w:val="24"/>
                <w:szCs w:val="22"/>
                <w:highlight w:val="none"/>
              </w:rPr>
              <w:t>、②</w:t>
            </w:r>
            <w:r>
              <w:rPr>
                <w:rFonts w:ascii="宋体" w:hAnsi="宋体" w:cs="宋体"/>
                <w:color w:val="auto"/>
                <w:sz w:val="24"/>
                <w:szCs w:val="24"/>
                <w:highlight w:val="none"/>
              </w:rPr>
              <w:t>应急、突击</w:t>
            </w:r>
            <w:r>
              <w:rPr>
                <w:rFonts w:hint="eastAsia" w:ascii="宋体" w:hAnsi="宋体" w:cs="宋体"/>
                <w:color w:val="auto"/>
                <w:sz w:val="24"/>
                <w:szCs w:val="24"/>
                <w:highlight w:val="none"/>
              </w:rPr>
              <w:t>事件</w:t>
            </w:r>
            <w:r>
              <w:rPr>
                <w:rFonts w:ascii="宋体" w:hAnsi="宋体" w:cs="宋体"/>
                <w:color w:val="auto"/>
                <w:sz w:val="24"/>
                <w:szCs w:val="24"/>
                <w:highlight w:val="none"/>
              </w:rPr>
              <w:t>处理措施</w:t>
            </w:r>
            <w:r>
              <w:rPr>
                <w:rFonts w:hint="eastAsia"/>
                <w:color w:val="auto"/>
                <w:sz w:val="24"/>
                <w:szCs w:val="22"/>
                <w:highlight w:val="none"/>
              </w:rPr>
              <w:t>）</w:t>
            </w:r>
            <w:r>
              <w:rPr>
                <w:color w:val="auto"/>
                <w:sz w:val="24"/>
                <w:szCs w:val="22"/>
                <w:highlight w:val="none"/>
              </w:rPr>
              <w:t>进行评定，本项最高得</w:t>
            </w:r>
            <w:r>
              <w:rPr>
                <w:rFonts w:hint="eastAsia"/>
                <w:color w:val="auto"/>
                <w:sz w:val="24"/>
                <w:szCs w:val="22"/>
                <w:highlight w:val="none"/>
                <w:lang w:val="en-US" w:eastAsia="zh-CN"/>
              </w:rPr>
              <w:t>6</w:t>
            </w:r>
            <w:r>
              <w:rPr>
                <w:color w:val="auto"/>
                <w:sz w:val="24"/>
                <w:szCs w:val="22"/>
                <w:highlight w:val="none"/>
              </w:rPr>
              <w:t>分。体现上述评审要点且内容贴合需求的，每有一项得</w:t>
            </w:r>
            <w:r>
              <w:rPr>
                <w:rFonts w:hint="eastAsia"/>
                <w:color w:val="auto"/>
                <w:sz w:val="24"/>
                <w:szCs w:val="22"/>
                <w:highlight w:val="none"/>
                <w:lang w:val="en-US" w:eastAsia="zh-CN"/>
              </w:rPr>
              <w:t>3</w:t>
            </w:r>
            <w:r>
              <w:rPr>
                <w:color w:val="auto"/>
                <w:sz w:val="24"/>
                <w:szCs w:val="22"/>
                <w:highlight w:val="none"/>
              </w:rPr>
              <w:t>分；体现上述评审要点但内容无法完全贴合需求的，每有一项得</w:t>
            </w:r>
            <w:r>
              <w:rPr>
                <w:rFonts w:hint="eastAsia"/>
                <w:color w:val="auto"/>
                <w:sz w:val="24"/>
                <w:szCs w:val="22"/>
                <w:highlight w:val="none"/>
                <w:lang w:val="en-US" w:eastAsia="zh-CN"/>
              </w:rPr>
              <w:t>1.5</w:t>
            </w:r>
            <w:r>
              <w:rPr>
                <w:color w:val="auto"/>
                <w:sz w:val="24"/>
                <w:szCs w:val="22"/>
                <w:highlight w:val="none"/>
              </w:rPr>
              <w:t>分；未能体现评审要点（或无实质性内容的），对应项得0分。</w:t>
            </w:r>
          </w:p>
        </w:tc>
      </w:tr>
      <w:tr w14:paraId="1BB78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1719D886">
            <w:pPr>
              <w:jc w:val="center"/>
              <w:rPr>
                <w:rFonts w:hint="eastAsia"/>
                <w:color w:val="auto"/>
                <w:sz w:val="24"/>
                <w:szCs w:val="22"/>
                <w:highlight w:val="none"/>
              </w:rPr>
            </w:pPr>
            <w:r>
              <w:rPr>
                <w:rFonts w:hint="eastAsia"/>
                <w:color w:val="auto"/>
                <w:sz w:val="24"/>
                <w:szCs w:val="22"/>
                <w:highlight w:val="none"/>
              </w:rPr>
              <w:t>5</w:t>
            </w:r>
          </w:p>
        </w:tc>
        <w:tc>
          <w:tcPr>
            <w:tcW w:w="1888" w:type="dxa"/>
            <w:noWrap w:val="0"/>
            <w:vAlign w:val="center"/>
          </w:tcPr>
          <w:p w14:paraId="007E7AAE">
            <w:pPr>
              <w:jc w:val="center"/>
              <w:rPr>
                <w:rFonts w:hint="eastAsia"/>
                <w:color w:val="auto"/>
                <w:sz w:val="24"/>
                <w:szCs w:val="22"/>
                <w:highlight w:val="none"/>
              </w:rPr>
            </w:pPr>
            <w:r>
              <w:rPr>
                <w:rFonts w:hint="eastAsia"/>
                <w:color w:val="auto"/>
                <w:sz w:val="24"/>
                <w:szCs w:val="22"/>
                <w:highlight w:val="none"/>
              </w:rPr>
              <w:t>内部管理制度</w:t>
            </w:r>
          </w:p>
        </w:tc>
        <w:tc>
          <w:tcPr>
            <w:tcW w:w="1003" w:type="dxa"/>
            <w:noWrap w:val="0"/>
            <w:vAlign w:val="center"/>
          </w:tcPr>
          <w:p w14:paraId="69DA308E">
            <w:pPr>
              <w:jc w:val="center"/>
              <w:rPr>
                <w:rFonts w:hint="eastAsia"/>
                <w:color w:val="auto"/>
                <w:sz w:val="24"/>
                <w:szCs w:val="22"/>
                <w:highlight w:val="none"/>
              </w:rPr>
            </w:pPr>
            <w:r>
              <w:rPr>
                <w:rFonts w:hint="eastAsia"/>
                <w:color w:val="auto"/>
                <w:sz w:val="24"/>
                <w:szCs w:val="22"/>
                <w:highlight w:val="none"/>
                <w:lang w:val="en-US" w:eastAsia="zh-CN"/>
              </w:rPr>
              <w:t>6</w:t>
            </w:r>
            <w:r>
              <w:rPr>
                <w:rFonts w:hint="eastAsia"/>
                <w:color w:val="auto"/>
                <w:sz w:val="24"/>
                <w:szCs w:val="22"/>
                <w:highlight w:val="none"/>
              </w:rPr>
              <w:t>分</w:t>
            </w:r>
          </w:p>
        </w:tc>
        <w:tc>
          <w:tcPr>
            <w:tcW w:w="5988" w:type="dxa"/>
            <w:noWrap w:val="0"/>
            <w:vAlign w:val="center"/>
          </w:tcPr>
          <w:p w14:paraId="06C210B3">
            <w:pPr>
              <w:rPr>
                <w:rFonts w:hint="eastAsia" w:ascii="宋体" w:hAnsi="宋体"/>
                <w:bCs/>
                <w:color w:val="auto"/>
                <w:sz w:val="24"/>
                <w:szCs w:val="24"/>
                <w:highlight w:val="none"/>
              </w:rPr>
            </w:pPr>
            <w:r>
              <w:rPr>
                <w:color w:val="auto"/>
                <w:sz w:val="24"/>
                <w:szCs w:val="22"/>
                <w:highlight w:val="none"/>
              </w:rPr>
              <w:t>根据投标人提供的</w:t>
            </w:r>
            <w:r>
              <w:rPr>
                <w:rFonts w:hint="eastAsia"/>
                <w:color w:val="auto"/>
                <w:sz w:val="24"/>
                <w:szCs w:val="22"/>
                <w:highlight w:val="none"/>
              </w:rPr>
              <w:t>内部管理制度（涉及评审要点（共4项）：①</w:t>
            </w:r>
            <w:r>
              <w:rPr>
                <w:rFonts w:hint="eastAsia" w:ascii="宋体" w:hAnsi="宋体"/>
                <w:bCs/>
                <w:color w:val="auto"/>
                <w:sz w:val="24"/>
                <w:szCs w:val="24"/>
                <w:highlight w:val="none"/>
              </w:rPr>
              <w:t>管理目标</w:t>
            </w:r>
            <w:r>
              <w:rPr>
                <w:rFonts w:hint="eastAsia"/>
                <w:color w:val="auto"/>
                <w:sz w:val="24"/>
                <w:szCs w:val="22"/>
                <w:highlight w:val="none"/>
              </w:rPr>
              <w:t>、②整体设想、③内部规章制度、④</w:t>
            </w:r>
            <w:r>
              <w:rPr>
                <w:rFonts w:hint="eastAsia"/>
                <w:color w:val="auto"/>
                <w:sz w:val="24"/>
                <w:szCs w:val="22"/>
                <w:highlight w:val="none"/>
                <w:lang w:val="zh-CN"/>
              </w:rPr>
              <w:t>人员培训方案</w:t>
            </w:r>
            <w:r>
              <w:rPr>
                <w:rFonts w:hint="eastAsia"/>
                <w:color w:val="auto"/>
                <w:sz w:val="24"/>
                <w:szCs w:val="22"/>
                <w:highlight w:val="none"/>
              </w:rPr>
              <w:t>）</w:t>
            </w:r>
            <w:r>
              <w:rPr>
                <w:color w:val="auto"/>
                <w:sz w:val="24"/>
                <w:szCs w:val="22"/>
                <w:highlight w:val="none"/>
              </w:rPr>
              <w:t>进行评定</w:t>
            </w:r>
            <w:r>
              <w:rPr>
                <w:rFonts w:hint="eastAsia"/>
                <w:color w:val="auto"/>
                <w:sz w:val="24"/>
                <w:szCs w:val="22"/>
                <w:highlight w:val="none"/>
              </w:rPr>
              <w:t>，</w:t>
            </w:r>
            <w:r>
              <w:rPr>
                <w:color w:val="auto"/>
                <w:sz w:val="24"/>
                <w:szCs w:val="22"/>
                <w:highlight w:val="none"/>
              </w:rPr>
              <w:t>本项最高得</w:t>
            </w:r>
            <w:r>
              <w:rPr>
                <w:rFonts w:hint="eastAsia"/>
                <w:color w:val="auto"/>
                <w:sz w:val="24"/>
                <w:szCs w:val="22"/>
                <w:highlight w:val="none"/>
                <w:lang w:val="en-US" w:eastAsia="zh-CN"/>
              </w:rPr>
              <w:t>6</w:t>
            </w:r>
            <w:r>
              <w:rPr>
                <w:color w:val="auto"/>
                <w:sz w:val="24"/>
                <w:szCs w:val="22"/>
                <w:highlight w:val="none"/>
              </w:rPr>
              <w:t>分。体现上述评审要点且内容贴合需求的，每有一项得</w:t>
            </w:r>
            <w:r>
              <w:rPr>
                <w:rFonts w:hint="eastAsia"/>
                <w:color w:val="auto"/>
                <w:sz w:val="24"/>
                <w:szCs w:val="22"/>
                <w:highlight w:val="none"/>
                <w:lang w:val="en-US" w:eastAsia="zh-CN"/>
              </w:rPr>
              <w:t>1.5</w:t>
            </w:r>
            <w:r>
              <w:rPr>
                <w:color w:val="auto"/>
                <w:sz w:val="24"/>
                <w:szCs w:val="22"/>
                <w:highlight w:val="none"/>
              </w:rPr>
              <w:t>分；体现上述评审要点但内容无法完全贴合需求的，每有一项得</w:t>
            </w:r>
            <w:r>
              <w:rPr>
                <w:rFonts w:hint="eastAsia"/>
                <w:color w:val="auto"/>
                <w:sz w:val="24"/>
                <w:szCs w:val="22"/>
                <w:highlight w:val="none"/>
                <w:lang w:val="en-US" w:eastAsia="zh-CN"/>
              </w:rPr>
              <w:t>0.8</w:t>
            </w:r>
            <w:r>
              <w:rPr>
                <w:color w:val="auto"/>
                <w:sz w:val="24"/>
                <w:szCs w:val="22"/>
                <w:highlight w:val="none"/>
              </w:rPr>
              <w:t>分；未能体现评审要点（或无实质性内容的），对应项得0分</w:t>
            </w:r>
            <w:r>
              <w:rPr>
                <w:rFonts w:hint="eastAsia"/>
                <w:color w:val="auto"/>
                <w:sz w:val="24"/>
                <w:szCs w:val="22"/>
                <w:highlight w:val="none"/>
              </w:rPr>
              <w:t>。</w:t>
            </w:r>
          </w:p>
        </w:tc>
      </w:tr>
      <w:tr w14:paraId="7915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1" w:hRule="atLeast"/>
          <w:jc w:val="center"/>
        </w:trPr>
        <w:tc>
          <w:tcPr>
            <w:tcW w:w="750" w:type="dxa"/>
            <w:noWrap w:val="0"/>
            <w:vAlign w:val="center"/>
          </w:tcPr>
          <w:p w14:paraId="375755E3">
            <w:pPr>
              <w:jc w:val="center"/>
              <w:rPr>
                <w:rFonts w:hint="eastAsia"/>
                <w:color w:val="auto"/>
                <w:sz w:val="24"/>
                <w:szCs w:val="22"/>
                <w:highlight w:val="none"/>
              </w:rPr>
            </w:pPr>
            <w:r>
              <w:rPr>
                <w:rFonts w:hint="eastAsia"/>
                <w:color w:val="auto"/>
                <w:sz w:val="24"/>
                <w:szCs w:val="22"/>
                <w:highlight w:val="none"/>
              </w:rPr>
              <w:t>6</w:t>
            </w:r>
          </w:p>
        </w:tc>
        <w:tc>
          <w:tcPr>
            <w:tcW w:w="1888" w:type="dxa"/>
            <w:noWrap w:val="0"/>
            <w:vAlign w:val="center"/>
          </w:tcPr>
          <w:p w14:paraId="71A97379">
            <w:pPr>
              <w:jc w:val="center"/>
              <w:rPr>
                <w:rFonts w:hint="eastAsia"/>
                <w:color w:val="auto"/>
                <w:sz w:val="24"/>
                <w:szCs w:val="22"/>
                <w:highlight w:val="none"/>
              </w:rPr>
            </w:pPr>
            <w:r>
              <w:rPr>
                <w:rFonts w:hint="eastAsia"/>
                <w:color w:val="auto"/>
                <w:sz w:val="24"/>
                <w:szCs w:val="22"/>
                <w:highlight w:val="none"/>
              </w:rPr>
              <w:t>安全管理方案</w:t>
            </w:r>
          </w:p>
        </w:tc>
        <w:tc>
          <w:tcPr>
            <w:tcW w:w="1003" w:type="dxa"/>
            <w:noWrap w:val="0"/>
            <w:vAlign w:val="center"/>
          </w:tcPr>
          <w:p w14:paraId="4ACC02AD">
            <w:pPr>
              <w:jc w:val="center"/>
              <w:rPr>
                <w:rFonts w:hint="eastAsia"/>
                <w:color w:val="auto"/>
                <w:sz w:val="24"/>
                <w:szCs w:val="22"/>
                <w:highlight w:val="none"/>
              </w:rPr>
            </w:pPr>
            <w:r>
              <w:rPr>
                <w:rFonts w:hint="eastAsia"/>
                <w:color w:val="auto"/>
                <w:sz w:val="24"/>
                <w:szCs w:val="22"/>
                <w:highlight w:val="none"/>
                <w:lang w:val="en-US" w:eastAsia="zh-CN"/>
              </w:rPr>
              <w:t>6</w:t>
            </w:r>
            <w:r>
              <w:rPr>
                <w:rFonts w:hint="eastAsia"/>
                <w:color w:val="auto"/>
                <w:sz w:val="24"/>
                <w:szCs w:val="22"/>
                <w:highlight w:val="none"/>
              </w:rPr>
              <w:t>分</w:t>
            </w:r>
          </w:p>
        </w:tc>
        <w:tc>
          <w:tcPr>
            <w:tcW w:w="5988" w:type="dxa"/>
            <w:noWrap w:val="0"/>
            <w:vAlign w:val="center"/>
          </w:tcPr>
          <w:p w14:paraId="633B9ED4">
            <w:pPr>
              <w:rPr>
                <w:color w:val="auto"/>
                <w:sz w:val="24"/>
                <w:szCs w:val="24"/>
                <w:highlight w:val="none"/>
              </w:rPr>
            </w:pPr>
            <w:r>
              <w:rPr>
                <w:color w:val="auto"/>
                <w:sz w:val="24"/>
                <w:szCs w:val="22"/>
                <w:highlight w:val="none"/>
              </w:rPr>
              <w:t>根据投标人提供的</w:t>
            </w:r>
            <w:r>
              <w:rPr>
                <w:rFonts w:hint="eastAsia"/>
                <w:color w:val="auto"/>
                <w:sz w:val="24"/>
                <w:szCs w:val="22"/>
                <w:highlight w:val="none"/>
              </w:rPr>
              <w:t>安全管理方案（涉及评审要点（共2项）：①安全管理</w:t>
            </w:r>
            <w:r>
              <w:rPr>
                <w:rFonts w:hint="eastAsia"/>
                <w:color w:val="auto"/>
                <w:sz w:val="24"/>
                <w:szCs w:val="24"/>
                <w:highlight w:val="none"/>
              </w:rPr>
              <w:t>预案</w:t>
            </w:r>
            <w:r>
              <w:rPr>
                <w:rFonts w:hint="eastAsia"/>
                <w:color w:val="auto"/>
                <w:sz w:val="24"/>
                <w:szCs w:val="22"/>
                <w:highlight w:val="none"/>
              </w:rPr>
              <w:t>、②</w:t>
            </w:r>
            <w:r>
              <w:rPr>
                <w:rFonts w:hint="eastAsia"/>
                <w:color w:val="auto"/>
                <w:sz w:val="24"/>
                <w:szCs w:val="24"/>
                <w:highlight w:val="none"/>
              </w:rPr>
              <w:t>安全培训方案</w:t>
            </w:r>
            <w:r>
              <w:rPr>
                <w:rFonts w:hint="eastAsia"/>
                <w:color w:val="auto"/>
                <w:sz w:val="24"/>
                <w:szCs w:val="22"/>
                <w:highlight w:val="none"/>
              </w:rPr>
              <w:t>）</w:t>
            </w:r>
            <w:r>
              <w:rPr>
                <w:color w:val="auto"/>
                <w:sz w:val="24"/>
                <w:szCs w:val="22"/>
                <w:highlight w:val="none"/>
              </w:rPr>
              <w:t>进行评定，本项最高得</w:t>
            </w:r>
            <w:r>
              <w:rPr>
                <w:rFonts w:hint="eastAsia"/>
                <w:color w:val="auto"/>
                <w:sz w:val="24"/>
                <w:szCs w:val="22"/>
                <w:highlight w:val="none"/>
                <w:lang w:val="en-US" w:eastAsia="zh-CN"/>
              </w:rPr>
              <w:t>6</w:t>
            </w:r>
            <w:r>
              <w:rPr>
                <w:color w:val="auto"/>
                <w:sz w:val="24"/>
                <w:szCs w:val="22"/>
                <w:highlight w:val="none"/>
              </w:rPr>
              <w:t>分。体现上述评审要点且内容贴合需求的，每有一项得</w:t>
            </w:r>
            <w:r>
              <w:rPr>
                <w:rFonts w:hint="eastAsia"/>
                <w:color w:val="auto"/>
                <w:sz w:val="24"/>
                <w:szCs w:val="22"/>
                <w:highlight w:val="none"/>
                <w:lang w:val="en-US" w:eastAsia="zh-CN"/>
              </w:rPr>
              <w:t>3</w:t>
            </w:r>
            <w:r>
              <w:rPr>
                <w:color w:val="auto"/>
                <w:sz w:val="24"/>
                <w:szCs w:val="22"/>
                <w:highlight w:val="none"/>
              </w:rPr>
              <w:t>分；体现上述评审要点但内容无法完全贴合需求的，每有一项得</w:t>
            </w:r>
            <w:r>
              <w:rPr>
                <w:rFonts w:hint="eastAsia"/>
                <w:color w:val="auto"/>
                <w:sz w:val="24"/>
                <w:szCs w:val="22"/>
                <w:highlight w:val="none"/>
                <w:lang w:val="en-US" w:eastAsia="zh-CN"/>
              </w:rPr>
              <w:t>1.5</w:t>
            </w:r>
            <w:r>
              <w:rPr>
                <w:color w:val="auto"/>
                <w:sz w:val="24"/>
                <w:szCs w:val="22"/>
                <w:highlight w:val="none"/>
              </w:rPr>
              <w:t>分；未能体现评审要点（或无实质性内容的），对应项得0分</w:t>
            </w:r>
            <w:r>
              <w:rPr>
                <w:rFonts w:hint="eastAsia"/>
                <w:color w:val="auto"/>
                <w:sz w:val="24"/>
                <w:szCs w:val="22"/>
                <w:highlight w:val="none"/>
              </w:rPr>
              <w:t>。</w:t>
            </w:r>
          </w:p>
        </w:tc>
      </w:tr>
      <w:tr w14:paraId="4ED9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50" w:type="dxa"/>
            <w:noWrap w:val="0"/>
            <w:vAlign w:val="center"/>
          </w:tcPr>
          <w:p w14:paraId="0DB915A7">
            <w:pPr>
              <w:jc w:val="center"/>
              <w:rPr>
                <w:rFonts w:hint="eastAsia"/>
                <w:color w:val="auto"/>
                <w:sz w:val="24"/>
                <w:szCs w:val="22"/>
                <w:highlight w:val="none"/>
              </w:rPr>
            </w:pPr>
            <w:r>
              <w:rPr>
                <w:rFonts w:hint="eastAsia"/>
                <w:color w:val="auto"/>
                <w:sz w:val="24"/>
                <w:szCs w:val="22"/>
                <w:highlight w:val="none"/>
              </w:rPr>
              <w:t>7</w:t>
            </w:r>
          </w:p>
        </w:tc>
        <w:tc>
          <w:tcPr>
            <w:tcW w:w="1888" w:type="dxa"/>
            <w:noWrap w:val="0"/>
            <w:vAlign w:val="center"/>
          </w:tcPr>
          <w:p w14:paraId="1C60636A">
            <w:pPr>
              <w:jc w:val="center"/>
              <w:rPr>
                <w:rFonts w:hint="eastAsia"/>
                <w:color w:val="auto"/>
                <w:sz w:val="24"/>
                <w:szCs w:val="22"/>
                <w:highlight w:val="none"/>
              </w:rPr>
            </w:pPr>
            <w:r>
              <w:rPr>
                <w:rFonts w:hint="eastAsia"/>
                <w:color w:val="auto"/>
                <w:sz w:val="24"/>
                <w:szCs w:val="22"/>
                <w:highlight w:val="none"/>
              </w:rPr>
              <w:t>人员到位及衔接方案</w:t>
            </w:r>
          </w:p>
        </w:tc>
        <w:tc>
          <w:tcPr>
            <w:tcW w:w="1003" w:type="dxa"/>
            <w:noWrap w:val="0"/>
            <w:vAlign w:val="center"/>
          </w:tcPr>
          <w:p w14:paraId="15121777">
            <w:pPr>
              <w:jc w:val="center"/>
              <w:rPr>
                <w:rFonts w:hint="eastAsia"/>
                <w:color w:val="auto"/>
                <w:sz w:val="24"/>
                <w:szCs w:val="22"/>
                <w:highlight w:val="none"/>
              </w:rPr>
            </w:pPr>
            <w:r>
              <w:rPr>
                <w:rFonts w:hint="eastAsia"/>
                <w:color w:val="auto"/>
                <w:sz w:val="24"/>
                <w:szCs w:val="22"/>
                <w:highlight w:val="none"/>
                <w:lang w:val="en-US" w:eastAsia="zh-CN"/>
              </w:rPr>
              <w:t>6</w:t>
            </w:r>
            <w:r>
              <w:rPr>
                <w:rFonts w:hint="eastAsia"/>
                <w:color w:val="auto"/>
                <w:sz w:val="24"/>
                <w:szCs w:val="22"/>
                <w:highlight w:val="none"/>
              </w:rPr>
              <w:t>分</w:t>
            </w:r>
          </w:p>
        </w:tc>
        <w:tc>
          <w:tcPr>
            <w:tcW w:w="5988" w:type="dxa"/>
            <w:noWrap w:val="0"/>
            <w:vAlign w:val="center"/>
          </w:tcPr>
          <w:p w14:paraId="1FB5A3FB">
            <w:pPr>
              <w:rPr>
                <w:rFonts w:hint="eastAsia"/>
                <w:color w:val="auto"/>
                <w:sz w:val="24"/>
                <w:highlight w:val="none"/>
              </w:rPr>
            </w:pPr>
            <w:r>
              <w:rPr>
                <w:color w:val="auto"/>
                <w:sz w:val="24"/>
                <w:szCs w:val="22"/>
                <w:highlight w:val="none"/>
              </w:rPr>
              <w:t>根据投标人提供的</w:t>
            </w:r>
            <w:r>
              <w:rPr>
                <w:rFonts w:hint="eastAsia"/>
                <w:color w:val="auto"/>
                <w:sz w:val="24"/>
                <w:szCs w:val="22"/>
                <w:highlight w:val="none"/>
              </w:rPr>
              <w:t>人员到位及衔接方案（涉及评审要点（共2项）：①人员到位方案、②项目衔接方案）</w:t>
            </w:r>
            <w:r>
              <w:rPr>
                <w:color w:val="auto"/>
                <w:sz w:val="24"/>
                <w:szCs w:val="22"/>
                <w:highlight w:val="none"/>
              </w:rPr>
              <w:t>进行评定，本项最高得</w:t>
            </w:r>
            <w:r>
              <w:rPr>
                <w:rFonts w:hint="eastAsia"/>
                <w:color w:val="auto"/>
                <w:sz w:val="24"/>
                <w:szCs w:val="22"/>
                <w:highlight w:val="none"/>
                <w:lang w:val="en-US" w:eastAsia="zh-CN"/>
              </w:rPr>
              <w:t>6</w:t>
            </w:r>
            <w:r>
              <w:rPr>
                <w:color w:val="auto"/>
                <w:sz w:val="24"/>
                <w:szCs w:val="22"/>
                <w:highlight w:val="none"/>
              </w:rPr>
              <w:t>分。体现上述评审要点且内容贴合需求的，每有一项得</w:t>
            </w:r>
            <w:r>
              <w:rPr>
                <w:rFonts w:hint="eastAsia"/>
                <w:color w:val="auto"/>
                <w:sz w:val="24"/>
                <w:szCs w:val="22"/>
                <w:highlight w:val="none"/>
                <w:lang w:val="en-US" w:eastAsia="zh-CN"/>
              </w:rPr>
              <w:t>3</w:t>
            </w:r>
            <w:r>
              <w:rPr>
                <w:color w:val="auto"/>
                <w:sz w:val="24"/>
                <w:szCs w:val="22"/>
                <w:highlight w:val="none"/>
              </w:rPr>
              <w:t>分；体现上述评审要点但内容无法完全贴合需求的，每有一项得</w:t>
            </w:r>
            <w:r>
              <w:rPr>
                <w:rFonts w:hint="eastAsia"/>
                <w:color w:val="auto"/>
                <w:sz w:val="24"/>
                <w:szCs w:val="22"/>
                <w:highlight w:val="none"/>
              </w:rPr>
              <w:t>1.5</w:t>
            </w:r>
            <w:r>
              <w:rPr>
                <w:color w:val="auto"/>
                <w:sz w:val="24"/>
                <w:szCs w:val="22"/>
                <w:highlight w:val="none"/>
              </w:rPr>
              <w:t>分；未能体现评审要点（或无实质性内容的），对应项得0分</w:t>
            </w:r>
            <w:r>
              <w:rPr>
                <w:rFonts w:hint="eastAsia"/>
                <w:color w:val="auto"/>
                <w:sz w:val="24"/>
                <w:szCs w:val="22"/>
                <w:highlight w:val="none"/>
              </w:rPr>
              <w:t>。</w:t>
            </w:r>
          </w:p>
        </w:tc>
      </w:tr>
    </w:tbl>
    <w:p w14:paraId="010C09F7">
      <w:pPr>
        <w:spacing w:line="520" w:lineRule="exact"/>
        <w:ind w:firstLine="482" w:firstLineChars="200"/>
        <w:rPr>
          <w:rFonts w:hint="eastAsia"/>
          <w:b/>
          <w:bCs/>
          <w:color w:val="auto"/>
          <w:sz w:val="24"/>
          <w:highlight w:val="none"/>
        </w:rPr>
      </w:pPr>
    </w:p>
    <w:p w14:paraId="1386C50C">
      <w:pPr>
        <w:spacing w:line="520" w:lineRule="exact"/>
        <w:ind w:firstLine="482" w:firstLineChars="200"/>
        <w:rPr>
          <w:b/>
          <w:bCs/>
          <w:color w:val="auto"/>
          <w:sz w:val="24"/>
          <w:highlight w:val="none"/>
        </w:rPr>
      </w:pPr>
      <w:r>
        <w:rPr>
          <w:rFonts w:hint="eastAsia"/>
          <w:b/>
          <w:bCs/>
          <w:color w:val="auto"/>
          <w:sz w:val="24"/>
          <w:highlight w:val="none"/>
        </w:rPr>
        <w:t>3</w:t>
      </w:r>
      <w:r>
        <w:rPr>
          <w:b/>
          <w:bCs/>
          <w:color w:val="auto"/>
          <w:sz w:val="24"/>
          <w:highlight w:val="none"/>
        </w:rPr>
        <w:t>、</w:t>
      </w:r>
      <w:r>
        <w:rPr>
          <w:rFonts w:hint="eastAsia"/>
          <w:b/>
          <w:bCs/>
          <w:color w:val="auto"/>
          <w:sz w:val="24"/>
          <w:highlight w:val="none"/>
        </w:rPr>
        <w:t>商务部分</w:t>
      </w:r>
      <w:r>
        <w:rPr>
          <w:rFonts w:hint="eastAsia"/>
          <w:b/>
          <w:bCs/>
          <w:color w:val="auto"/>
          <w:sz w:val="24"/>
          <w:highlight w:val="none"/>
          <w:lang w:val="en-US" w:eastAsia="zh-CN"/>
        </w:rPr>
        <w:t>16</w:t>
      </w:r>
      <w:r>
        <w:rPr>
          <w:b/>
          <w:bCs/>
          <w:color w:val="auto"/>
          <w:sz w:val="24"/>
          <w:highlight w:val="none"/>
        </w:rPr>
        <w:t>分</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841"/>
        <w:gridCol w:w="1022"/>
        <w:gridCol w:w="6000"/>
      </w:tblGrid>
      <w:tr w14:paraId="5D296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60" w:type="dxa"/>
            <w:noWrap w:val="0"/>
            <w:vAlign w:val="center"/>
          </w:tcPr>
          <w:p w14:paraId="42A74E8E">
            <w:pPr>
              <w:jc w:val="center"/>
              <w:rPr>
                <w:color w:val="auto"/>
                <w:sz w:val="24"/>
                <w:highlight w:val="none"/>
              </w:rPr>
            </w:pPr>
            <w:r>
              <w:rPr>
                <w:color w:val="auto"/>
                <w:sz w:val="24"/>
                <w:highlight w:val="none"/>
              </w:rPr>
              <w:t>序号</w:t>
            </w:r>
          </w:p>
        </w:tc>
        <w:tc>
          <w:tcPr>
            <w:tcW w:w="1841" w:type="dxa"/>
            <w:noWrap w:val="0"/>
            <w:vAlign w:val="center"/>
          </w:tcPr>
          <w:p w14:paraId="58FBA6F3">
            <w:pPr>
              <w:jc w:val="center"/>
              <w:rPr>
                <w:color w:val="auto"/>
                <w:sz w:val="24"/>
                <w:highlight w:val="none"/>
              </w:rPr>
            </w:pPr>
            <w:r>
              <w:rPr>
                <w:color w:val="auto"/>
                <w:sz w:val="24"/>
                <w:highlight w:val="none"/>
              </w:rPr>
              <w:t>评审因素</w:t>
            </w:r>
          </w:p>
        </w:tc>
        <w:tc>
          <w:tcPr>
            <w:tcW w:w="1022" w:type="dxa"/>
            <w:noWrap w:val="0"/>
            <w:vAlign w:val="center"/>
          </w:tcPr>
          <w:p w14:paraId="42DDA19E">
            <w:pPr>
              <w:jc w:val="center"/>
              <w:rPr>
                <w:color w:val="auto"/>
                <w:sz w:val="24"/>
                <w:highlight w:val="none"/>
              </w:rPr>
            </w:pPr>
            <w:r>
              <w:rPr>
                <w:color w:val="auto"/>
                <w:sz w:val="24"/>
                <w:highlight w:val="none"/>
              </w:rPr>
              <w:t>权值</w:t>
            </w:r>
          </w:p>
        </w:tc>
        <w:tc>
          <w:tcPr>
            <w:tcW w:w="6000" w:type="dxa"/>
            <w:noWrap w:val="0"/>
            <w:vAlign w:val="center"/>
          </w:tcPr>
          <w:p w14:paraId="5E82602A">
            <w:pPr>
              <w:jc w:val="center"/>
              <w:rPr>
                <w:color w:val="auto"/>
                <w:sz w:val="24"/>
                <w:highlight w:val="none"/>
              </w:rPr>
            </w:pPr>
            <w:r>
              <w:rPr>
                <w:color w:val="auto"/>
                <w:sz w:val="24"/>
                <w:highlight w:val="none"/>
              </w:rPr>
              <w:t>评分标准</w:t>
            </w:r>
          </w:p>
        </w:tc>
      </w:tr>
      <w:tr w14:paraId="72C22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60" w:type="dxa"/>
            <w:noWrap w:val="0"/>
            <w:vAlign w:val="center"/>
          </w:tcPr>
          <w:p w14:paraId="5F884364">
            <w:pPr>
              <w:jc w:val="center"/>
              <w:rPr>
                <w:rFonts w:hint="eastAsia"/>
                <w:color w:val="auto"/>
                <w:sz w:val="24"/>
                <w:szCs w:val="22"/>
                <w:highlight w:val="none"/>
              </w:rPr>
            </w:pPr>
            <w:r>
              <w:rPr>
                <w:rFonts w:hint="eastAsia"/>
                <w:color w:val="auto"/>
                <w:sz w:val="24"/>
                <w:szCs w:val="22"/>
                <w:highlight w:val="none"/>
              </w:rPr>
              <w:t>1</w:t>
            </w:r>
          </w:p>
        </w:tc>
        <w:tc>
          <w:tcPr>
            <w:tcW w:w="1841" w:type="dxa"/>
            <w:noWrap w:val="0"/>
            <w:vAlign w:val="center"/>
          </w:tcPr>
          <w:p w14:paraId="2100349B">
            <w:pPr>
              <w:jc w:val="center"/>
              <w:rPr>
                <w:rFonts w:hint="eastAsia"/>
                <w:color w:val="auto"/>
                <w:sz w:val="24"/>
                <w:szCs w:val="22"/>
                <w:highlight w:val="none"/>
              </w:rPr>
            </w:pPr>
            <w:r>
              <w:rPr>
                <w:rFonts w:hint="eastAsia"/>
                <w:color w:val="auto"/>
                <w:sz w:val="24"/>
                <w:szCs w:val="22"/>
                <w:highlight w:val="none"/>
              </w:rPr>
              <w:t>商务条件响应性</w:t>
            </w:r>
          </w:p>
        </w:tc>
        <w:tc>
          <w:tcPr>
            <w:tcW w:w="1022" w:type="dxa"/>
            <w:noWrap w:val="0"/>
            <w:vAlign w:val="center"/>
          </w:tcPr>
          <w:p w14:paraId="77A7D4D3">
            <w:pPr>
              <w:jc w:val="center"/>
              <w:rPr>
                <w:rFonts w:hint="eastAsia"/>
                <w:color w:val="auto"/>
                <w:sz w:val="24"/>
                <w:szCs w:val="22"/>
                <w:highlight w:val="none"/>
              </w:rPr>
            </w:pPr>
            <w:r>
              <w:rPr>
                <w:rFonts w:hint="eastAsia"/>
                <w:color w:val="auto"/>
                <w:sz w:val="24"/>
                <w:szCs w:val="22"/>
                <w:highlight w:val="none"/>
                <w:lang w:val="en-US" w:eastAsia="zh-CN"/>
              </w:rPr>
              <w:t>8</w:t>
            </w:r>
            <w:r>
              <w:rPr>
                <w:rFonts w:hint="eastAsia"/>
                <w:color w:val="auto"/>
                <w:sz w:val="24"/>
                <w:szCs w:val="22"/>
                <w:highlight w:val="none"/>
              </w:rPr>
              <w:t>分</w:t>
            </w:r>
          </w:p>
        </w:tc>
        <w:tc>
          <w:tcPr>
            <w:tcW w:w="6000" w:type="dxa"/>
            <w:noWrap w:val="0"/>
            <w:vAlign w:val="center"/>
          </w:tcPr>
          <w:p w14:paraId="68B76DC6">
            <w:pPr>
              <w:rPr>
                <w:rFonts w:hint="eastAsia" w:eastAsia="宋体"/>
                <w:color w:val="auto"/>
                <w:sz w:val="24"/>
                <w:szCs w:val="22"/>
                <w:highlight w:val="none"/>
                <w:lang w:val="en-US" w:eastAsia="zh-CN"/>
              </w:rPr>
            </w:pPr>
            <w:r>
              <w:rPr>
                <w:rFonts w:hint="eastAsia"/>
                <w:color w:val="auto"/>
                <w:sz w:val="24"/>
                <w:szCs w:val="22"/>
                <w:highlight w:val="none"/>
              </w:rPr>
              <w:t>投标人</w:t>
            </w:r>
            <w:r>
              <w:rPr>
                <w:color w:val="auto"/>
                <w:sz w:val="24"/>
                <w:szCs w:val="22"/>
                <w:highlight w:val="none"/>
              </w:rPr>
              <w:t>对</w:t>
            </w:r>
            <w:r>
              <w:rPr>
                <w:rFonts w:hint="eastAsia"/>
                <w:color w:val="auto"/>
                <w:sz w:val="24"/>
                <w:szCs w:val="22"/>
                <w:highlight w:val="none"/>
              </w:rPr>
              <w:t>招标</w:t>
            </w:r>
            <w:r>
              <w:rPr>
                <w:color w:val="auto"/>
                <w:sz w:val="24"/>
                <w:szCs w:val="22"/>
                <w:highlight w:val="none"/>
              </w:rPr>
              <w:t>文件中合同条款等商务条件完全响应的得</w:t>
            </w:r>
            <w:r>
              <w:rPr>
                <w:rFonts w:hint="eastAsia"/>
                <w:color w:val="auto"/>
                <w:sz w:val="24"/>
                <w:szCs w:val="22"/>
                <w:highlight w:val="none"/>
                <w:lang w:val="en-US" w:eastAsia="zh-CN"/>
              </w:rPr>
              <w:t>8</w:t>
            </w:r>
            <w:r>
              <w:rPr>
                <w:color w:val="auto"/>
                <w:sz w:val="24"/>
                <w:szCs w:val="22"/>
                <w:highlight w:val="none"/>
              </w:rPr>
              <w:t>分；</w:t>
            </w:r>
            <w:r>
              <w:rPr>
                <w:rFonts w:hint="eastAsia"/>
                <w:color w:val="auto"/>
                <w:sz w:val="24"/>
                <w:szCs w:val="22"/>
                <w:highlight w:val="none"/>
              </w:rPr>
              <w:t>存在负</w:t>
            </w:r>
            <w:r>
              <w:rPr>
                <w:color w:val="auto"/>
                <w:sz w:val="24"/>
                <w:szCs w:val="22"/>
                <w:highlight w:val="none"/>
              </w:rPr>
              <w:t>偏离</w:t>
            </w:r>
            <w:r>
              <w:rPr>
                <w:rFonts w:hint="eastAsia"/>
                <w:color w:val="auto"/>
                <w:sz w:val="24"/>
                <w:szCs w:val="22"/>
                <w:highlight w:val="none"/>
              </w:rPr>
              <w:t>的</w:t>
            </w:r>
            <w:r>
              <w:rPr>
                <w:color w:val="auto"/>
                <w:sz w:val="24"/>
                <w:szCs w:val="22"/>
                <w:highlight w:val="none"/>
              </w:rPr>
              <w:t>，每条扣</w:t>
            </w:r>
            <w:r>
              <w:rPr>
                <w:rFonts w:hint="eastAsia"/>
                <w:color w:val="auto"/>
                <w:sz w:val="24"/>
                <w:szCs w:val="22"/>
                <w:highlight w:val="none"/>
                <w:lang w:val="en-US" w:eastAsia="zh-CN"/>
              </w:rPr>
              <w:t>0.5</w:t>
            </w:r>
            <w:r>
              <w:rPr>
                <w:color w:val="auto"/>
                <w:sz w:val="24"/>
                <w:szCs w:val="22"/>
                <w:highlight w:val="none"/>
              </w:rPr>
              <w:t>分</w:t>
            </w:r>
            <w:r>
              <w:rPr>
                <w:rFonts w:hint="eastAsia"/>
                <w:color w:val="auto"/>
                <w:sz w:val="24"/>
                <w:highlight w:val="none"/>
              </w:rPr>
              <w:t>（不包括合同条款内的实质性要求，</w:t>
            </w:r>
            <w:r>
              <w:rPr>
                <w:rFonts w:hint="eastAsia"/>
                <w:color w:val="auto"/>
                <w:sz w:val="24"/>
                <w:szCs w:val="24"/>
                <w:highlight w:val="none"/>
              </w:rPr>
              <w:t>任何一项</w:t>
            </w:r>
            <w:r>
              <w:rPr>
                <w:rFonts w:hint="eastAsia"/>
                <w:color w:val="auto"/>
                <w:sz w:val="24"/>
                <w:szCs w:val="22"/>
                <w:highlight w:val="none"/>
              </w:rPr>
              <w:t>实质性要求</w:t>
            </w:r>
            <w:r>
              <w:rPr>
                <w:rFonts w:hint="eastAsia"/>
                <w:color w:val="auto"/>
                <w:sz w:val="24"/>
                <w:szCs w:val="24"/>
                <w:highlight w:val="none"/>
              </w:rPr>
              <w:t>未满足的，</w:t>
            </w:r>
            <w:r>
              <w:rPr>
                <w:rFonts w:hint="eastAsia" w:ascii="宋体" w:hAnsi="宋体" w:cs="宋体"/>
                <w:color w:val="auto"/>
                <w:sz w:val="24"/>
                <w:szCs w:val="24"/>
                <w:highlight w:val="none"/>
              </w:rPr>
              <w:t>将</w:t>
            </w:r>
            <w:r>
              <w:rPr>
                <w:color w:val="auto"/>
                <w:sz w:val="24"/>
                <w:szCs w:val="24"/>
                <w:highlight w:val="none"/>
              </w:rPr>
              <w:t>按无效投标处理</w:t>
            </w:r>
            <w:r>
              <w:rPr>
                <w:rFonts w:hint="eastAsia"/>
                <w:color w:val="auto"/>
                <w:sz w:val="24"/>
                <w:highlight w:val="none"/>
              </w:rPr>
              <w:t>）</w:t>
            </w:r>
            <w:r>
              <w:rPr>
                <w:rFonts w:hint="eastAsia"/>
                <w:color w:val="auto"/>
                <w:sz w:val="24"/>
                <w:highlight w:val="none"/>
                <w:lang w:eastAsia="zh-CN"/>
              </w:rPr>
              <w:t>。</w:t>
            </w:r>
          </w:p>
        </w:tc>
      </w:tr>
      <w:tr w14:paraId="4F2A3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60" w:type="dxa"/>
            <w:noWrap w:val="0"/>
            <w:vAlign w:val="center"/>
          </w:tcPr>
          <w:p w14:paraId="725F3F1B">
            <w:pPr>
              <w:jc w:val="center"/>
              <w:rPr>
                <w:rFonts w:hint="eastAsia"/>
                <w:color w:val="auto"/>
                <w:sz w:val="24"/>
                <w:szCs w:val="22"/>
                <w:highlight w:val="none"/>
              </w:rPr>
            </w:pPr>
            <w:r>
              <w:rPr>
                <w:rFonts w:hint="eastAsia"/>
                <w:color w:val="auto"/>
                <w:sz w:val="24"/>
                <w:szCs w:val="22"/>
                <w:highlight w:val="none"/>
              </w:rPr>
              <w:t>2</w:t>
            </w:r>
          </w:p>
        </w:tc>
        <w:tc>
          <w:tcPr>
            <w:tcW w:w="1841" w:type="dxa"/>
            <w:noWrap w:val="0"/>
            <w:vAlign w:val="center"/>
          </w:tcPr>
          <w:p w14:paraId="2B5C533A">
            <w:pPr>
              <w:jc w:val="center"/>
              <w:rPr>
                <w:rFonts w:hint="eastAsia"/>
                <w:color w:val="auto"/>
                <w:sz w:val="24"/>
                <w:szCs w:val="22"/>
                <w:highlight w:val="none"/>
              </w:rPr>
            </w:pPr>
            <w:r>
              <w:rPr>
                <w:rFonts w:hint="eastAsia"/>
                <w:color w:val="auto"/>
                <w:sz w:val="24"/>
                <w:szCs w:val="22"/>
                <w:highlight w:val="none"/>
              </w:rPr>
              <w:t>业绩情况</w:t>
            </w:r>
          </w:p>
        </w:tc>
        <w:tc>
          <w:tcPr>
            <w:tcW w:w="1022" w:type="dxa"/>
            <w:noWrap w:val="0"/>
            <w:vAlign w:val="center"/>
          </w:tcPr>
          <w:p w14:paraId="0E1B6476">
            <w:pPr>
              <w:jc w:val="center"/>
              <w:rPr>
                <w:rFonts w:hint="eastAsia"/>
                <w:color w:val="auto"/>
                <w:sz w:val="24"/>
                <w:szCs w:val="22"/>
                <w:highlight w:val="none"/>
              </w:rPr>
            </w:pPr>
            <w:r>
              <w:rPr>
                <w:rFonts w:hint="eastAsia"/>
                <w:color w:val="auto"/>
                <w:sz w:val="24"/>
                <w:szCs w:val="22"/>
                <w:highlight w:val="none"/>
                <w:lang w:val="en-US" w:eastAsia="zh-CN"/>
              </w:rPr>
              <w:t>8</w:t>
            </w:r>
            <w:r>
              <w:rPr>
                <w:rFonts w:hint="eastAsia"/>
                <w:color w:val="auto"/>
                <w:sz w:val="24"/>
                <w:szCs w:val="22"/>
                <w:highlight w:val="none"/>
              </w:rPr>
              <w:t>分</w:t>
            </w:r>
          </w:p>
        </w:tc>
        <w:tc>
          <w:tcPr>
            <w:tcW w:w="6000" w:type="dxa"/>
            <w:noWrap w:val="0"/>
            <w:vAlign w:val="center"/>
          </w:tcPr>
          <w:p w14:paraId="2C53658B">
            <w:pPr>
              <w:rPr>
                <w:color w:val="auto"/>
                <w:sz w:val="24"/>
                <w:szCs w:val="22"/>
                <w:highlight w:val="none"/>
              </w:rPr>
            </w:pPr>
            <w:r>
              <w:rPr>
                <w:color w:val="auto"/>
                <w:sz w:val="24"/>
                <w:szCs w:val="22"/>
                <w:highlight w:val="none"/>
              </w:rPr>
              <w:t>根据</w:t>
            </w:r>
            <w:r>
              <w:rPr>
                <w:rFonts w:hint="eastAsia"/>
                <w:color w:val="auto"/>
                <w:sz w:val="24"/>
                <w:szCs w:val="22"/>
                <w:highlight w:val="none"/>
              </w:rPr>
              <w:t>投标人</w:t>
            </w:r>
            <w:r>
              <w:rPr>
                <w:rFonts w:hint="eastAsia"/>
                <w:color w:val="auto"/>
                <w:kern w:val="0"/>
                <w:sz w:val="24"/>
                <w:szCs w:val="24"/>
                <w:highlight w:val="none"/>
                <w:lang w:val="en-US" w:eastAsia="zh-CN" w:bidi="ar"/>
              </w:rPr>
              <w:t>2023</w:t>
            </w:r>
            <w:r>
              <w:rPr>
                <w:color w:val="auto"/>
                <w:kern w:val="0"/>
                <w:sz w:val="24"/>
                <w:szCs w:val="24"/>
                <w:highlight w:val="none"/>
                <w:lang w:bidi="ar"/>
              </w:rPr>
              <w:t>年1月1日（以合同签订时间为准）至今实施的</w:t>
            </w:r>
            <w:r>
              <w:rPr>
                <w:rFonts w:hint="eastAsia"/>
                <w:color w:val="auto"/>
                <w:sz w:val="24"/>
                <w:highlight w:val="none"/>
              </w:rPr>
              <w:t>保安服务</w:t>
            </w:r>
            <w:r>
              <w:rPr>
                <w:color w:val="auto"/>
                <w:kern w:val="0"/>
                <w:sz w:val="24"/>
                <w:szCs w:val="24"/>
                <w:highlight w:val="none"/>
                <w:lang w:bidi="ar"/>
              </w:rPr>
              <w:t>项目业绩情况</w:t>
            </w:r>
            <w:r>
              <w:rPr>
                <w:color w:val="auto"/>
                <w:sz w:val="24"/>
                <w:highlight w:val="none"/>
              </w:rPr>
              <w:t>进行评定</w:t>
            </w:r>
            <w:r>
              <w:rPr>
                <w:color w:val="auto"/>
                <w:sz w:val="24"/>
                <w:szCs w:val="22"/>
                <w:highlight w:val="none"/>
              </w:rPr>
              <w:t>，</w:t>
            </w:r>
            <w:r>
              <w:rPr>
                <w:rFonts w:hint="eastAsia"/>
                <w:color w:val="auto"/>
                <w:sz w:val="24"/>
                <w:szCs w:val="22"/>
                <w:highlight w:val="none"/>
              </w:rPr>
              <w:t>每</w:t>
            </w:r>
            <w:r>
              <w:rPr>
                <w:color w:val="auto"/>
                <w:sz w:val="24"/>
                <w:szCs w:val="22"/>
                <w:highlight w:val="none"/>
              </w:rPr>
              <w:t>有1个得</w:t>
            </w:r>
            <w:r>
              <w:rPr>
                <w:rFonts w:hint="eastAsia"/>
                <w:color w:val="auto"/>
                <w:sz w:val="24"/>
                <w:szCs w:val="22"/>
                <w:highlight w:val="none"/>
              </w:rPr>
              <w:t>2</w:t>
            </w:r>
            <w:r>
              <w:rPr>
                <w:color w:val="auto"/>
                <w:sz w:val="24"/>
                <w:szCs w:val="22"/>
                <w:highlight w:val="none"/>
              </w:rPr>
              <w:t>分，最高得</w:t>
            </w:r>
            <w:r>
              <w:rPr>
                <w:rFonts w:hint="eastAsia"/>
                <w:color w:val="auto"/>
                <w:sz w:val="24"/>
                <w:szCs w:val="22"/>
                <w:highlight w:val="none"/>
                <w:lang w:val="en-US" w:eastAsia="zh-CN"/>
              </w:rPr>
              <w:t>8</w:t>
            </w:r>
            <w:r>
              <w:rPr>
                <w:color w:val="auto"/>
                <w:sz w:val="24"/>
                <w:szCs w:val="22"/>
                <w:highlight w:val="none"/>
              </w:rPr>
              <w:t>分。</w:t>
            </w:r>
          </w:p>
          <w:p w14:paraId="50A2680C">
            <w:pPr>
              <w:rPr>
                <w:rFonts w:hint="eastAsia"/>
                <w:b/>
                <w:bCs/>
                <w:color w:val="auto"/>
                <w:sz w:val="24"/>
                <w:szCs w:val="22"/>
                <w:highlight w:val="none"/>
              </w:rPr>
            </w:pPr>
            <w:r>
              <w:rPr>
                <w:rFonts w:hint="eastAsia"/>
                <w:b/>
                <w:bCs/>
                <w:color w:val="auto"/>
                <w:sz w:val="24"/>
                <w:szCs w:val="22"/>
                <w:highlight w:val="none"/>
              </w:rPr>
              <w:t>注：①单个合同连续年度按一个业绩计算。</w:t>
            </w:r>
          </w:p>
          <w:p w14:paraId="75210C55">
            <w:pPr>
              <w:ind w:firstLine="482" w:firstLineChars="200"/>
              <w:rPr>
                <w:b/>
                <w:bCs/>
                <w:color w:val="auto"/>
                <w:sz w:val="24"/>
                <w:szCs w:val="24"/>
                <w:highlight w:val="none"/>
              </w:rPr>
            </w:pPr>
            <w:r>
              <w:rPr>
                <w:rFonts w:hint="eastAsia"/>
                <w:b/>
                <w:bCs/>
                <w:color w:val="auto"/>
                <w:sz w:val="24"/>
                <w:szCs w:val="22"/>
                <w:highlight w:val="none"/>
              </w:rPr>
              <w:t>②投标文件中需提供相关业绩合同（至少包括合同首页、合同内容页、合同</w:t>
            </w:r>
            <w:r>
              <w:rPr>
                <w:b/>
                <w:bCs/>
                <w:color w:val="auto"/>
                <w:sz w:val="24"/>
                <w:szCs w:val="22"/>
                <w:highlight w:val="none"/>
              </w:rPr>
              <w:t>金额所在页</w:t>
            </w:r>
            <w:r>
              <w:rPr>
                <w:rFonts w:hint="eastAsia"/>
                <w:b/>
                <w:bCs/>
                <w:color w:val="auto"/>
                <w:sz w:val="24"/>
                <w:szCs w:val="22"/>
                <w:highlight w:val="none"/>
              </w:rPr>
              <w:t>、签字盖章页）证明材料，未提供或提供不全或提供的证明材料无法佐证的不得分。</w:t>
            </w:r>
          </w:p>
        </w:tc>
      </w:tr>
    </w:tbl>
    <w:p w14:paraId="33B2B1C2">
      <w:pPr>
        <w:keepNext w:val="0"/>
        <w:keepLines w:val="0"/>
        <w:pageBreakBefore w:val="0"/>
        <w:widowControl w:val="0"/>
        <w:kinsoku/>
        <w:wordWrap/>
        <w:overflowPunct/>
        <w:topLinePunct w:val="0"/>
        <w:autoSpaceDE/>
        <w:autoSpaceDN/>
        <w:bidi w:val="0"/>
        <w:adjustRightInd/>
        <w:snapToGrid/>
        <w:spacing w:line="400" w:lineRule="atLeast"/>
        <w:ind w:firstLine="482" w:firstLineChars="200"/>
        <w:textAlignment w:val="auto"/>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备注：（1）上述投标文件中提供的相关证明材料须为清晰完整的扫描件（照片），如存在扫描件（照片）无效、不清晰、不完整等情形使得评标委员会无法准确评审的，</w:t>
      </w:r>
      <w:r>
        <w:rPr>
          <w:rFonts w:hint="eastAsia" w:ascii="宋体" w:hAnsi="宋体" w:cs="宋体"/>
          <w:b/>
          <w:color w:val="auto"/>
          <w:sz w:val="24"/>
          <w:highlight w:val="none"/>
          <w:lang w:val="zh-CN" w:eastAsia="zh-CN"/>
        </w:rPr>
        <w:t>相关评审风险由</w:t>
      </w:r>
      <w:r>
        <w:rPr>
          <w:rFonts w:hint="eastAsia" w:ascii="宋体" w:hAnsi="宋体" w:cs="宋体"/>
          <w:b/>
          <w:color w:val="auto"/>
          <w:sz w:val="24"/>
          <w:highlight w:val="none"/>
          <w:lang w:val="en-US" w:eastAsia="zh-CN"/>
        </w:rPr>
        <w:t>投标人</w:t>
      </w:r>
      <w:r>
        <w:rPr>
          <w:rFonts w:hint="eastAsia" w:ascii="宋体" w:hAnsi="宋体" w:cs="宋体"/>
          <w:b/>
          <w:color w:val="auto"/>
          <w:sz w:val="24"/>
          <w:highlight w:val="none"/>
          <w:lang w:val="zh-CN" w:eastAsia="zh-CN"/>
        </w:rPr>
        <w:t>自行承担</w:t>
      </w:r>
      <w:r>
        <w:rPr>
          <w:rFonts w:hint="eastAsia" w:ascii="宋体" w:hAnsi="宋体" w:cs="宋体"/>
          <w:b/>
          <w:color w:val="auto"/>
          <w:sz w:val="24"/>
          <w:highlight w:val="none"/>
          <w:lang w:val="en-US" w:eastAsia="zh-CN"/>
        </w:rPr>
        <w:t>。</w:t>
      </w:r>
    </w:p>
    <w:p w14:paraId="6F183329">
      <w:pPr>
        <w:keepNext w:val="0"/>
        <w:keepLines w:val="0"/>
        <w:pageBreakBefore w:val="0"/>
        <w:widowControl w:val="0"/>
        <w:kinsoku/>
        <w:wordWrap/>
        <w:overflowPunct/>
        <w:topLinePunct w:val="0"/>
        <w:autoSpaceDE/>
        <w:autoSpaceDN/>
        <w:bidi w:val="0"/>
        <w:adjustRightInd/>
        <w:snapToGrid/>
        <w:spacing w:line="400" w:lineRule="atLeast"/>
        <w:ind w:firstLine="1205" w:firstLineChars="500"/>
        <w:textAlignment w:val="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（2）</w:t>
      </w:r>
      <w:r>
        <w:rPr>
          <w:rFonts w:hint="eastAsia" w:ascii="宋体" w:hAnsi="宋体" w:eastAsia="宋体" w:cs="宋体"/>
          <w:b/>
          <w:color w:val="auto"/>
          <w:sz w:val="24"/>
          <w:szCs w:val="24"/>
          <w:highlight w:val="none"/>
        </w:rPr>
        <w:t>投标人在制作投标文件时请按招标文件规定的顺序编制，简洁、明了，添加投标文件目录、页码、书签等，便于评标小组评审查阅。</w:t>
      </w:r>
    </w:p>
    <w:p w14:paraId="0E6F8DE7">
      <w:pPr>
        <w:keepNext w:val="0"/>
        <w:keepLines w:val="0"/>
        <w:pageBreakBefore w:val="0"/>
        <w:widowControl w:val="0"/>
        <w:kinsoku/>
        <w:wordWrap/>
        <w:overflowPunct/>
        <w:topLinePunct w:val="0"/>
        <w:autoSpaceDE/>
        <w:autoSpaceDN/>
        <w:bidi w:val="0"/>
        <w:adjustRightInd/>
        <w:snapToGrid/>
        <w:spacing w:line="400" w:lineRule="atLeast"/>
        <w:textAlignment w:val="auto"/>
        <w:rPr>
          <w:b/>
          <w:bCs/>
          <w:color w:val="auto"/>
          <w:sz w:val="28"/>
          <w:highlight w:val="none"/>
        </w:rPr>
      </w:pPr>
      <w:r>
        <w:rPr>
          <w:rFonts w:hint="eastAsia"/>
          <w:b/>
          <w:bCs/>
          <w:color w:val="auto"/>
          <w:sz w:val="28"/>
          <w:highlight w:val="none"/>
        </w:rPr>
        <w:t>三、政府采购政策</w:t>
      </w:r>
      <w:bookmarkEnd w:id="127"/>
    </w:p>
    <w:p w14:paraId="68A3A0DF">
      <w:pPr>
        <w:keepNext w:val="0"/>
        <w:keepLines w:val="0"/>
        <w:pageBreakBefore w:val="0"/>
        <w:widowControl w:val="0"/>
        <w:kinsoku/>
        <w:wordWrap/>
        <w:overflowPunct/>
        <w:topLinePunct w:val="0"/>
        <w:autoSpaceDE/>
        <w:autoSpaceDN/>
        <w:bidi w:val="0"/>
        <w:adjustRightInd/>
        <w:snapToGrid/>
        <w:spacing w:line="400" w:lineRule="atLeast"/>
        <w:ind w:firstLine="240" w:firstLineChars="100"/>
        <w:textAlignment w:val="auto"/>
        <w:rPr>
          <w:color w:val="auto"/>
          <w:sz w:val="24"/>
          <w:szCs w:val="24"/>
          <w:highlight w:val="none"/>
        </w:rPr>
      </w:pPr>
      <w:r>
        <w:rPr>
          <w:color w:val="auto"/>
          <w:sz w:val="24"/>
          <w:szCs w:val="24"/>
          <w:highlight w:val="none"/>
        </w:rPr>
        <w:t>1、落实政府采购政策需满足的资格要求：</w:t>
      </w:r>
    </w:p>
    <w:p w14:paraId="685F6F90">
      <w:pPr>
        <w:keepNext w:val="0"/>
        <w:keepLines w:val="0"/>
        <w:pageBreakBefore w:val="0"/>
        <w:widowControl w:val="0"/>
        <w:kinsoku/>
        <w:wordWrap/>
        <w:overflowPunct/>
        <w:topLinePunct w:val="0"/>
        <w:autoSpaceDE/>
        <w:autoSpaceDN/>
        <w:bidi w:val="0"/>
        <w:adjustRightInd/>
        <w:snapToGrid/>
        <w:spacing w:line="400" w:lineRule="atLeast"/>
        <w:ind w:firstLine="482" w:firstLineChars="200"/>
        <w:textAlignment w:val="auto"/>
        <w:rPr>
          <w:b/>
          <w:bCs/>
          <w:color w:val="auto"/>
          <w:sz w:val="24"/>
          <w:szCs w:val="24"/>
          <w:highlight w:val="none"/>
        </w:rPr>
      </w:pPr>
      <w:r>
        <w:rPr>
          <w:b/>
          <w:bCs/>
          <w:color w:val="auto"/>
          <w:sz w:val="24"/>
          <w:szCs w:val="24"/>
          <w:highlight w:val="none"/>
        </w:rPr>
        <w:t>（1）本项目专门面向中小企业采购，所属行业为</w:t>
      </w:r>
      <w:r>
        <w:rPr>
          <w:rFonts w:hint="eastAsia"/>
          <w:b/>
          <w:bCs/>
          <w:color w:val="auto"/>
          <w:sz w:val="24"/>
          <w:szCs w:val="24"/>
          <w:highlight w:val="none"/>
          <w:lang w:eastAsia="zh-CN"/>
        </w:rPr>
        <w:t>租赁和商务服务业</w:t>
      </w:r>
      <w:r>
        <w:rPr>
          <w:b/>
          <w:bCs/>
          <w:color w:val="auto"/>
          <w:sz w:val="24"/>
          <w:szCs w:val="24"/>
          <w:highlight w:val="none"/>
        </w:rPr>
        <w:t>。</w:t>
      </w:r>
    </w:p>
    <w:p w14:paraId="3047DE60">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color w:val="auto"/>
          <w:sz w:val="24"/>
          <w:szCs w:val="24"/>
          <w:highlight w:val="none"/>
        </w:rPr>
      </w:pPr>
      <w:r>
        <w:rPr>
          <w:color w:val="auto"/>
          <w:sz w:val="24"/>
          <w:szCs w:val="24"/>
          <w:highlight w:val="none"/>
        </w:rPr>
        <w:t>（2）在投标文件中须提供《中小企业声明函》。（填报严格按工信部联企业〔2011〕300号通知中的《中小企业划型标准规定》进行）。</w:t>
      </w:r>
    </w:p>
    <w:p w14:paraId="502AD46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color w:val="auto"/>
          <w:sz w:val="24"/>
          <w:szCs w:val="24"/>
          <w:highlight w:val="none"/>
        </w:rPr>
      </w:pPr>
      <w:r>
        <w:rPr>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162350DB">
      <w:pPr>
        <w:keepNext w:val="0"/>
        <w:keepLines w:val="0"/>
        <w:pageBreakBefore w:val="0"/>
        <w:widowControl w:val="0"/>
        <w:kinsoku/>
        <w:wordWrap/>
        <w:overflowPunct/>
        <w:topLinePunct w:val="0"/>
        <w:autoSpaceDE/>
        <w:autoSpaceDN/>
        <w:bidi w:val="0"/>
        <w:adjustRightInd/>
        <w:snapToGrid/>
        <w:spacing w:line="400" w:lineRule="atLeast"/>
        <w:ind w:firstLine="360" w:firstLineChars="150"/>
        <w:textAlignment w:val="auto"/>
        <w:rPr>
          <w:color w:val="auto"/>
          <w:sz w:val="24"/>
          <w:highlight w:val="none"/>
        </w:rPr>
      </w:pPr>
      <w:r>
        <w:rPr>
          <w:rFonts w:hint="eastAsia"/>
          <w:color w:val="auto"/>
          <w:sz w:val="24"/>
          <w:highlight w:val="none"/>
        </w:rPr>
        <w:t>（4）享受政府采购支持政策的残疾人福利性单位应当同时满足以下条件：</w:t>
      </w:r>
    </w:p>
    <w:p w14:paraId="63E1A870">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color w:val="auto"/>
          <w:sz w:val="24"/>
          <w:highlight w:val="none"/>
        </w:rPr>
      </w:pPr>
      <w:r>
        <w:rPr>
          <w:rFonts w:hint="eastAsia"/>
          <w:color w:val="auto"/>
          <w:sz w:val="24"/>
          <w:highlight w:val="none"/>
        </w:rPr>
        <w:t>安置的残疾人占本单位在职职工人数的比例不低于25%（含25%），并且安置的残疾人人数不少于10人（含10人）；依法与安置的每位残疾人签订了一年以上（含一年）的劳动合同或服务协议；</w:t>
      </w:r>
    </w:p>
    <w:p w14:paraId="6307CA72">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color w:val="auto"/>
          <w:sz w:val="24"/>
          <w:highlight w:val="none"/>
        </w:rPr>
      </w:pPr>
      <w:r>
        <w:rPr>
          <w:rFonts w:hint="eastAsia"/>
          <w:color w:val="auto"/>
          <w:sz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3CEE579F">
      <w:pPr>
        <w:keepNext w:val="0"/>
        <w:keepLines w:val="0"/>
        <w:pageBreakBefore w:val="0"/>
        <w:widowControl w:val="0"/>
        <w:kinsoku/>
        <w:wordWrap/>
        <w:overflowPunct/>
        <w:topLinePunct w:val="0"/>
        <w:autoSpaceDE/>
        <w:autoSpaceDN/>
        <w:bidi w:val="0"/>
        <w:adjustRightInd/>
        <w:snapToGrid/>
        <w:spacing w:line="400" w:lineRule="atLeast"/>
        <w:ind w:firstLine="360" w:firstLineChars="150"/>
        <w:textAlignment w:val="auto"/>
        <w:rPr>
          <w:color w:val="auto"/>
          <w:sz w:val="24"/>
          <w:highlight w:val="none"/>
        </w:rPr>
      </w:pPr>
      <w:r>
        <w:rPr>
          <w:rFonts w:hint="eastAsia"/>
          <w:color w:val="auto"/>
          <w:sz w:val="24"/>
          <w:highlight w:val="none"/>
        </w:rPr>
        <w:t>提供本单位制造的货物、承担的工程或者服务，或者提供其他残疾人福利性单位制造的货物（不包括使用非残疾人福利性单位注册商标的货物）。</w:t>
      </w:r>
    </w:p>
    <w:p w14:paraId="1EA4514B">
      <w:pPr>
        <w:keepNext w:val="0"/>
        <w:keepLines w:val="0"/>
        <w:pageBreakBefore w:val="0"/>
        <w:widowControl w:val="0"/>
        <w:kinsoku/>
        <w:wordWrap/>
        <w:overflowPunct/>
        <w:topLinePunct w:val="0"/>
        <w:autoSpaceDE/>
        <w:autoSpaceDN/>
        <w:bidi w:val="0"/>
        <w:adjustRightInd/>
        <w:snapToGrid/>
        <w:spacing w:line="400" w:lineRule="atLeast"/>
        <w:ind w:firstLine="360" w:firstLineChars="150"/>
        <w:textAlignment w:val="auto"/>
        <w:rPr>
          <w:color w:val="auto"/>
          <w:sz w:val="24"/>
          <w:highlight w:val="none"/>
        </w:rPr>
      </w:pPr>
      <w:r>
        <w:rPr>
          <w:rFonts w:hint="eastAsia"/>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0CF7E9E">
      <w:pPr>
        <w:keepNext w:val="0"/>
        <w:keepLines w:val="0"/>
        <w:pageBreakBefore w:val="0"/>
        <w:widowControl w:val="0"/>
        <w:kinsoku/>
        <w:wordWrap/>
        <w:overflowPunct/>
        <w:topLinePunct w:val="0"/>
        <w:autoSpaceDE/>
        <w:autoSpaceDN/>
        <w:bidi w:val="0"/>
        <w:adjustRightInd/>
        <w:snapToGrid/>
        <w:spacing w:line="400" w:lineRule="atLeast"/>
        <w:ind w:firstLine="360" w:firstLineChars="150"/>
        <w:textAlignment w:val="auto"/>
        <w:rPr>
          <w:color w:val="auto"/>
          <w:sz w:val="24"/>
          <w:highlight w:val="none"/>
        </w:rPr>
      </w:pPr>
      <w:r>
        <w:rPr>
          <w:color w:val="auto"/>
          <w:sz w:val="24"/>
          <w:highlight w:val="none"/>
        </w:rPr>
        <w:t>（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1F17C3CC">
      <w:pPr>
        <w:widowControl/>
        <w:jc w:val="left"/>
        <w:rPr>
          <w:b/>
          <w:color w:val="auto"/>
          <w:sz w:val="36"/>
          <w:highlight w:val="none"/>
        </w:rPr>
      </w:pPr>
      <w:r>
        <w:rPr>
          <w:color w:val="auto"/>
          <w:highlight w:val="none"/>
        </w:rPr>
        <w:br w:type="page"/>
      </w:r>
    </w:p>
    <w:p w14:paraId="0ECB213B">
      <w:pPr>
        <w:pStyle w:val="2"/>
        <w:rPr>
          <w:rFonts w:ascii="Times New Roman" w:hAnsi="Times New Roman"/>
          <w:color w:val="auto"/>
          <w:highlight w:val="none"/>
        </w:rPr>
      </w:pPr>
      <w:bookmarkStart w:id="128" w:name="_Toc17953"/>
      <w:r>
        <w:rPr>
          <w:rFonts w:ascii="Times New Roman" w:hAnsi="Times New Roman"/>
          <w:color w:val="auto"/>
          <w:highlight w:val="none"/>
        </w:rPr>
        <w:t>第</w:t>
      </w:r>
      <w:r>
        <w:rPr>
          <w:rFonts w:hint="eastAsia" w:ascii="Times New Roman" w:hAnsi="Times New Roman"/>
          <w:color w:val="auto"/>
          <w:highlight w:val="none"/>
        </w:rPr>
        <w:t>六</w:t>
      </w:r>
      <w:r>
        <w:rPr>
          <w:rFonts w:ascii="Times New Roman" w:hAnsi="Times New Roman"/>
          <w:color w:val="auto"/>
          <w:highlight w:val="none"/>
        </w:rPr>
        <w:t>章</w:t>
      </w:r>
      <w:bookmarkEnd w:id="124"/>
      <w:bookmarkEnd w:id="125"/>
      <w:bookmarkEnd w:id="126"/>
      <w:r>
        <w:rPr>
          <w:rFonts w:hint="eastAsia" w:ascii="Times New Roman" w:hAnsi="Times New Roman"/>
          <w:color w:val="auto"/>
          <w:highlight w:val="none"/>
        </w:rPr>
        <w:t xml:space="preserve"> 投标文件格式</w:t>
      </w:r>
      <w:bookmarkEnd w:id="128"/>
    </w:p>
    <w:p w14:paraId="21C694B9">
      <w:pPr>
        <w:rPr>
          <w:b/>
          <w:color w:val="auto"/>
          <w:sz w:val="44"/>
          <w:szCs w:val="44"/>
          <w:highlight w:val="none"/>
        </w:rPr>
      </w:pPr>
      <w:r>
        <w:rPr>
          <w:b/>
          <w:color w:val="auto"/>
          <w:sz w:val="44"/>
          <w:szCs w:val="44"/>
          <w:highlight w:val="none"/>
        </w:rPr>
        <w:t>封面：</w:t>
      </w:r>
    </w:p>
    <w:p w14:paraId="5A445133">
      <w:pPr>
        <w:jc w:val="center"/>
        <w:rPr>
          <w:b/>
          <w:color w:val="auto"/>
          <w:sz w:val="72"/>
          <w:szCs w:val="72"/>
          <w:highlight w:val="none"/>
        </w:rPr>
      </w:pPr>
    </w:p>
    <w:p w14:paraId="09EC031F">
      <w:pPr>
        <w:jc w:val="center"/>
        <w:rPr>
          <w:b/>
          <w:color w:val="auto"/>
          <w:sz w:val="72"/>
          <w:szCs w:val="72"/>
          <w:highlight w:val="none"/>
        </w:rPr>
      </w:pPr>
    </w:p>
    <w:p w14:paraId="3E407DD3">
      <w:pPr>
        <w:jc w:val="center"/>
        <w:rPr>
          <w:b/>
          <w:color w:val="auto"/>
          <w:sz w:val="72"/>
          <w:szCs w:val="72"/>
          <w:highlight w:val="none"/>
        </w:rPr>
      </w:pPr>
    </w:p>
    <w:p w14:paraId="4B27DF05">
      <w:pPr>
        <w:jc w:val="center"/>
        <w:rPr>
          <w:b/>
          <w:color w:val="auto"/>
          <w:sz w:val="96"/>
          <w:szCs w:val="72"/>
          <w:highlight w:val="none"/>
        </w:rPr>
      </w:pPr>
      <w:r>
        <w:rPr>
          <w:b/>
          <w:color w:val="auto"/>
          <w:sz w:val="96"/>
          <w:szCs w:val="72"/>
          <w:highlight w:val="none"/>
        </w:rPr>
        <w:t>投</w:t>
      </w:r>
      <w:r>
        <w:rPr>
          <w:rFonts w:hint="eastAsia"/>
          <w:b/>
          <w:color w:val="auto"/>
          <w:sz w:val="96"/>
          <w:szCs w:val="72"/>
          <w:highlight w:val="none"/>
        </w:rPr>
        <w:t xml:space="preserve"> </w:t>
      </w:r>
      <w:r>
        <w:rPr>
          <w:b/>
          <w:color w:val="auto"/>
          <w:sz w:val="96"/>
          <w:szCs w:val="72"/>
          <w:highlight w:val="none"/>
        </w:rPr>
        <w:t>标</w:t>
      </w:r>
      <w:r>
        <w:rPr>
          <w:rFonts w:hint="eastAsia"/>
          <w:b/>
          <w:color w:val="auto"/>
          <w:sz w:val="96"/>
          <w:szCs w:val="72"/>
          <w:highlight w:val="none"/>
        </w:rPr>
        <w:t xml:space="preserve"> </w:t>
      </w:r>
      <w:r>
        <w:rPr>
          <w:b/>
          <w:color w:val="auto"/>
          <w:sz w:val="96"/>
          <w:szCs w:val="72"/>
          <w:highlight w:val="none"/>
        </w:rPr>
        <w:t>文</w:t>
      </w:r>
      <w:r>
        <w:rPr>
          <w:rFonts w:hint="eastAsia"/>
          <w:b/>
          <w:color w:val="auto"/>
          <w:sz w:val="96"/>
          <w:szCs w:val="72"/>
          <w:highlight w:val="none"/>
        </w:rPr>
        <w:t xml:space="preserve"> </w:t>
      </w:r>
      <w:r>
        <w:rPr>
          <w:b/>
          <w:color w:val="auto"/>
          <w:sz w:val="96"/>
          <w:szCs w:val="72"/>
          <w:highlight w:val="none"/>
        </w:rPr>
        <w:t>件</w:t>
      </w:r>
    </w:p>
    <w:p w14:paraId="53A394B6">
      <w:pPr>
        <w:rPr>
          <w:b/>
          <w:color w:val="auto"/>
          <w:sz w:val="36"/>
          <w:szCs w:val="36"/>
          <w:highlight w:val="none"/>
        </w:rPr>
      </w:pPr>
    </w:p>
    <w:p w14:paraId="458CF869">
      <w:pPr>
        <w:rPr>
          <w:b/>
          <w:color w:val="auto"/>
          <w:sz w:val="36"/>
          <w:szCs w:val="36"/>
          <w:highlight w:val="none"/>
        </w:rPr>
      </w:pPr>
    </w:p>
    <w:p w14:paraId="4C22BC5F">
      <w:pPr>
        <w:rPr>
          <w:b/>
          <w:color w:val="auto"/>
          <w:sz w:val="36"/>
          <w:szCs w:val="36"/>
          <w:highlight w:val="none"/>
        </w:rPr>
      </w:pPr>
    </w:p>
    <w:p w14:paraId="6BA15563">
      <w:pPr>
        <w:spacing w:line="276" w:lineRule="auto"/>
        <w:jc w:val="center"/>
        <w:rPr>
          <w:rFonts w:hint="eastAsia" w:eastAsia="宋体"/>
          <w:b/>
          <w:color w:val="auto"/>
          <w:sz w:val="40"/>
          <w:szCs w:val="36"/>
          <w:highlight w:val="none"/>
          <w:lang w:eastAsia="zh-CN"/>
        </w:rPr>
      </w:pPr>
      <w:r>
        <w:rPr>
          <w:b/>
          <w:color w:val="auto"/>
          <w:sz w:val="40"/>
          <w:szCs w:val="36"/>
          <w:highlight w:val="none"/>
        </w:rPr>
        <w:t>项目名称：</w:t>
      </w:r>
      <w:r>
        <w:rPr>
          <w:rFonts w:hint="eastAsia"/>
          <w:b/>
          <w:color w:val="auto"/>
          <w:sz w:val="40"/>
          <w:szCs w:val="36"/>
          <w:highlight w:val="none"/>
          <w:lang w:eastAsia="zh-CN"/>
        </w:rPr>
        <w:t>琴川街道社区卫生服务中心安全服务</w:t>
      </w:r>
    </w:p>
    <w:p w14:paraId="27559EBE">
      <w:pPr>
        <w:spacing w:line="276" w:lineRule="auto"/>
        <w:rPr>
          <w:b/>
          <w:color w:val="auto"/>
          <w:sz w:val="11"/>
          <w:szCs w:val="10"/>
          <w:highlight w:val="none"/>
        </w:rPr>
      </w:pPr>
    </w:p>
    <w:p w14:paraId="1AB7A888">
      <w:pPr>
        <w:spacing w:line="276" w:lineRule="auto"/>
        <w:jc w:val="center"/>
        <w:rPr>
          <w:rFonts w:hint="eastAsia" w:eastAsia="宋体"/>
          <w:b/>
          <w:color w:val="auto"/>
          <w:sz w:val="40"/>
          <w:szCs w:val="36"/>
          <w:highlight w:val="none"/>
          <w:lang w:eastAsia="zh-CN"/>
        </w:rPr>
      </w:pPr>
      <w:r>
        <w:rPr>
          <w:b/>
          <w:color w:val="auto"/>
          <w:sz w:val="40"/>
          <w:szCs w:val="36"/>
          <w:highlight w:val="none"/>
        </w:rPr>
        <w:t>项目编号：</w:t>
      </w:r>
      <w:r>
        <w:rPr>
          <w:rFonts w:hint="eastAsia"/>
          <w:b/>
          <w:color w:val="auto"/>
          <w:sz w:val="40"/>
          <w:szCs w:val="36"/>
          <w:highlight w:val="none"/>
          <w:lang w:eastAsia="zh-CN"/>
        </w:rPr>
        <w:t>JSZC-320581-CSYD-G2026-0005</w:t>
      </w:r>
    </w:p>
    <w:p w14:paraId="12C92427">
      <w:pPr>
        <w:rPr>
          <w:b/>
          <w:color w:val="auto"/>
          <w:sz w:val="10"/>
          <w:szCs w:val="10"/>
          <w:highlight w:val="none"/>
        </w:rPr>
      </w:pPr>
    </w:p>
    <w:p w14:paraId="497CAF3B">
      <w:pPr>
        <w:jc w:val="left"/>
        <w:rPr>
          <w:b/>
          <w:color w:val="auto"/>
          <w:sz w:val="36"/>
          <w:szCs w:val="36"/>
          <w:highlight w:val="none"/>
        </w:rPr>
      </w:pPr>
    </w:p>
    <w:p w14:paraId="4F5B33B6">
      <w:pPr>
        <w:jc w:val="left"/>
        <w:rPr>
          <w:b/>
          <w:color w:val="auto"/>
          <w:sz w:val="36"/>
          <w:szCs w:val="36"/>
          <w:highlight w:val="none"/>
        </w:rPr>
      </w:pPr>
    </w:p>
    <w:p w14:paraId="78DBBFAE">
      <w:pPr>
        <w:rPr>
          <w:color w:val="auto"/>
          <w:sz w:val="36"/>
          <w:szCs w:val="36"/>
          <w:highlight w:val="none"/>
        </w:rPr>
      </w:pPr>
    </w:p>
    <w:p w14:paraId="21556C00">
      <w:pPr>
        <w:rPr>
          <w:color w:val="auto"/>
          <w:sz w:val="36"/>
          <w:szCs w:val="36"/>
          <w:highlight w:val="none"/>
        </w:rPr>
      </w:pPr>
    </w:p>
    <w:p w14:paraId="651D0427">
      <w:pPr>
        <w:ind w:firstLine="2530"/>
        <w:rPr>
          <w:b/>
          <w:color w:val="auto"/>
          <w:sz w:val="36"/>
          <w:szCs w:val="36"/>
          <w:highlight w:val="none"/>
        </w:rPr>
      </w:pPr>
      <w:r>
        <w:rPr>
          <w:b/>
          <w:color w:val="auto"/>
          <w:sz w:val="36"/>
          <w:szCs w:val="36"/>
          <w:highlight w:val="none"/>
        </w:rPr>
        <w:t>投标人：</w:t>
      </w:r>
      <w:r>
        <w:rPr>
          <w:b/>
          <w:color w:val="auto"/>
          <w:sz w:val="36"/>
          <w:szCs w:val="21"/>
          <w:highlight w:val="none"/>
          <w:u w:val="single"/>
        </w:rPr>
        <w:t>（加盖CA电子公章）</w:t>
      </w:r>
    </w:p>
    <w:p w14:paraId="2535494D">
      <w:pPr>
        <w:rPr>
          <w:b/>
          <w:color w:val="auto"/>
          <w:sz w:val="36"/>
          <w:szCs w:val="36"/>
          <w:highlight w:val="none"/>
        </w:rPr>
      </w:pPr>
    </w:p>
    <w:p w14:paraId="0849CF7D">
      <w:pPr>
        <w:ind w:firstLine="2530"/>
        <w:rPr>
          <w:b/>
          <w:color w:val="auto"/>
          <w:sz w:val="44"/>
          <w:szCs w:val="44"/>
          <w:highlight w:val="none"/>
        </w:rPr>
      </w:pPr>
      <w:r>
        <w:rPr>
          <w:b/>
          <w:color w:val="auto"/>
          <w:sz w:val="36"/>
          <w:szCs w:val="36"/>
          <w:highlight w:val="none"/>
        </w:rPr>
        <w:t>日期：</w:t>
      </w:r>
      <w:r>
        <w:rPr>
          <w:rFonts w:hint="eastAsia"/>
          <w:b/>
          <w:color w:val="auto"/>
          <w:sz w:val="36"/>
          <w:szCs w:val="36"/>
          <w:highlight w:val="none"/>
        </w:rPr>
        <w:t>202</w:t>
      </w:r>
      <w:r>
        <w:rPr>
          <w:rFonts w:hint="eastAsia"/>
          <w:b/>
          <w:color w:val="auto"/>
          <w:sz w:val="36"/>
          <w:szCs w:val="36"/>
          <w:highlight w:val="none"/>
          <w:lang w:val="en-US" w:eastAsia="zh-CN"/>
        </w:rPr>
        <w:t>6</w:t>
      </w:r>
      <w:r>
        <w:rPr>
          <w:b/>
          <w:color w:val="auto"/>
          <w:sz w:val="36"/>
          <w:szCs w:val="36"/>
          <w:highlight w:val="none"/>
        </w:rPr>
        <w:t>年</w:t>
      </w:r>
      <w:r>
        <w:rPr>
          <w:rFonts w:hint="eastAsia"/>
          <w:b/>
          <w:color w:val="auto"/>
          <w:sz w:val="36"/>
          <w:szCs w:val="36"/>
          <w:highlight w:val="none"/>
        </w:rPr>
        <w:t xml:space="preserve">  </w:t>
      </w:r>
      <w:r>
        <w:rPr>
          <w:b/>
          <w:color w:val="auto"/>
          <w:sz w:val="36"/>
          <w:szCs w:val="36"/>
          <w:highlight w:val="none"/>
        </w:rPr>
        <w:t>月</w:t>
      </w:r>
      <w:r>
        <w:rPr>
          <w:rFonts w:hint="eastAsia"/>
          <w:b/>
          <w:color w:val="auto"/>
          <w:sz w:val="36"/>
          <w:szCs w:val="36"/>
          <w:highlight w:val="none"/>
        </w:rPr>
        <w:t xml:space="preserve">  </w:t>
      </w:r>
      <w:r>
        <w:rPr>
          <w:b/>
          <w:color w:val="auto"/>
          <w:sz w:val="36"/>
          <w:szCs w:val="36"/>
          <w:highlight w:val="none"/>
        </w:rPr>
        <w:t>日</w:t>
      </w:r>
    </w:p>
    <w:p w14:paraId="12A9B0F3">
      <w:pPr>
        <w:jc w:val="center"/>
        <w:rPr>
          <w:b/>
          <w:color w:val="auto"/>
          <w:sz w:val="44"/>
          <w:szCs w:val="44"/>
          <w:highlight w:val="none"/>
        </w:rPr>
      </w:pPr>
      <w:r>
        <w:rPr>
          <w:b/>
          <w:color w:val="auto"/>
          <w:sz w:val="44"/>
          <w:szCs w:val="44"/>
          <w:highlight w:val="none"/>
        </w:rPr>
        <w:br w:type="page" w:clear="all"/>
      </w:r>
      <w:r>
        <w:rPr>
          <w:rFonts w:hint="eastAsia"/>
          <w:b/>
          <w:color w:val="auto"/>
          <w:sz w:val="44"/>
          <w:szCs w:val="44"/>
          <w:highlight w:val="none"/>
        </w:rPr>
        <w:t>投标文件目录</w:t>
      </w:r>
    </w:p>
    <w:p w14:paraId="12F61925">
      <w:pPr>
        <w:spacing w:line="400" w:lineRule="exact"/>
        <w:ind w:firstLine="241"/>
        <w:rPr>
          <w:b/>
          <w:caps/>
          <w:color w:val="auto"/>
          <w:sz w:val="24"/>
          <w:szCs w:val="24"/>
          <w:highlight w:val="none"/>
        </w:rPr>
      </w:pPr>
      <w:r>
        <w:rPr>
          <w:rFonts w:hint="eastAsia"/>
          <w:b/>
          <w:caps/>
          <w:color w:val="auto"/>
          <w:sz w:val="24"/>
          <w:szCs w:val="24"/>
          <w:highlight w:val="none"/>
        </w:rPr>
        <w:t>一、基本目录</w:t>
      </w:r>
    </w:p>
    <w:p w14:paraId="062F6322">
      <w:pPr>
        <w:spacing w:line="400" w:lineRule="exact"/>
        <w:ind w:firstLine="480"/>
        <w:rPr>
          <w:rFonts w:hint="eastAsia"/>
          <w:color w:val="auto"/>
          <w:sz w:val="24"/>
          <w:szCs w:val="24"/>
          <w:highlight w:val="none"/>
        </w:rPr>
      </w:pPr>
      <w:r>
        <w:rPr>
          <w:color w:val="auto"/>
          <w:sz w:val="24"/>
          <w:szCs w:val="24"/>
          <w:highlight w:val="none"/>
        </w:rPr>
        <w:t>1</w:t>
      </w:r>
      <w:r>
        <w:rPr>
          <w:rFonts w:hint="eastAsia"/>
          <w:color w:val="auto"/>
          <w:sz w:val="24"/>
          <w:szCs w:val="24"/>
          <w:highlight w:val="none"/>
        </w:rPr>
        <w:t>、开标一览表（格式见附件</w:t>
      </w:r>
      <w:r>
        <w:rPr>
          <w:color w:val="auto"/>
          <w:sz w:val="24"/>
          <w:szCs w:val="24"/>
          <w:highlight w:val="none"/>
        </w:rPr>
        <w:t>1</w:t>
      </w:r>
      <w:r>
        <w:rPr>
          <w:rFonts w:hint="eastAsia"/>
          <w:color w:val="auto"/>
          <w:sz w:val="24"/>
          <w:szCs w:val="24"/>
          <w:highlight w:val="none"/>
        </w:rPr>
        <w:t>）</w:t>
      </w:r>
    </w:p>
    <w:p w14:paraId="2EBEA3C2">
      <w:pPr>
        <w:spacing w:line="460" w:lineRule="exact"/>
        <w:ind w:firstLine="480" w:firstLineChars="200"/>
        <w:rPr>
          <w:color w:val="auto"/>
          <w:highlight w:val="none"/>
        </w:rPr>
      </w:pPr>
      <w:r>
        <w:rPr>
          <w:rFonts w:hint="eastAsia"/>
          <w:color w:val="auto"/>
          <w:sz w:val="24"/>
          <w:szCs w:val="24"/>
          <w:highlight w:val="none"/>
          <w:lang w:val="en-US" w:eastAsia="zh-CN"/>
        </w:rPr>
        <w:t>2</w:t>
      </w:r>
      <w:r>
        <w:rPr>
          <w:rFonts w:hint="eastAsia"/>
          <w:color w:val="auto"/>
          <w:sz w:val="24"/>
          <w:szCs w:val="24"/>
          <w:highlight w:val="none"/>
        </w:rPr>
        <w:t>、报价明细表（格式见附件</w:t>
      </w:r>
      <w:r>
        <w:rPr>
          <w:rFonts w:hint="eastAsia"/>
          <w:color w:val="auto"/>
          <w:sz w:val="24"/>
          <w:szCs w:val="24"/>
          <w:highlight w:val="none"/>
          <w:lang w:val="en-US" w:eastAsia="zh-CN"/>
        </w:rPr>
        <w:t>2</w:t>
      </w:r>
      <w:r>
        <w:rPr>
          <w:rFonts w:hint="eastAsia"/>
          <w:color w:val="auto"/>
          <w:sz w:val="24"/>
          <w:szCs w:val="24"/>
          <w:highlight w:val="none"/>
        </w:rPr>
        <w:t>）</w:t>
      </w:r>
    </w:p>
    <w:p w14:paraId="62FAB5CA">
      <w:pPr>
        <w:spacing w:line="400" w:lineRule="exact"/>
        <w:ind w:firstLine="241"/>
        <w:rPr>
          <w:b/>
          <w:caps/>
          <w:color w:val="auto"/>
          <w:sz w:val="24"/>
          <w:szCs w:val="24"/>
          <w:highlight w:val="none"/>
        </w:rPr>
      </w:pPr>
      <w:r>
        <w:rPr>
          <w:rFonts w:hint="eastAsia"/>
          <w:b/>
          <w:caps/>
          <w:color w:val="auto"/>
          <w:sz w:val="24"/>
          <w:szCs w:val="24"/>
          <w:highlight w:val="none"/>
        </w:rPr>
        <w:t>二、资格审查内容</w:t>
      </w:r>
    </w:p>
    <w:p w14:paraId="6C7532C9">
      <w:pPr>
        <w:spacing w:line="420" w:lineRule="exact"/>
        <w:ind w:firstLine="420"/>
        <w:rPr>
          <w:color w:val="auto"/>
          <w:sz w:val="24"/>
          <w:szCs w:val="22"/>
          <w:highlight w:val="none"/>
        </w:rPr>
      </w:pPr>
      <w:r>
        <w:rPr>
          <w:color w:val="auto"/>
          <w:sz w:val="24"/>
          <w:szCs w:val="22"/>
          <w:highlight w:val="none"/>
        </w:rPr>
        <w:t>1、满足《中华人民共和国政府采购法》第二十二条规定</w:t>
      </w:r>
      <w:r>
        <w:rPr>
          <w:rFonts w:hint="eastAsia"/>
          <w:color w:val="auto"/>
          <w:sz w:val="24"/>
          <w:szCs w:val="22"/>
          <w:highlight w:val="none"/>
          <w:lang w:eastAsia="zh-CN"/>
        </w:rPr>
        <w:t>，</w:t>
      </w:r>
      <w:r>
        <w:rPr>
          <w:color w:val="auto"/>
          <w:sz w:val="24"/>
          <w:szCs w:val="24"/>
          <w:highlight w:val="none"/>
        </w:rPr>
        <w:t>所需提供的证明材料：</w:t>
      </w:r>
    </w:p>
    <w:p w14:paraId="70F8C002">
      <w:pPr>
        <w:spacing w:line="420" w:lineRule="exact"/>
        <w:ind w:firstLine="720" w:firstLineChars="300"/>
        <w:rPr>
          <w:rFonts w:hint="eastAsia" w:eastAsia="宋体"/>
          <w:color w:val="auto"/>
          <w:sz w:val="24"/>
          <w:szCs w:val="22"/>
          <w:highlight w:val="none"/>
          <w:lang w:eastAsia="zh-CN"/>
        </w:rPr>
      </w:pPr>
      <w:r>
        <w:rPr>
          <w:rFonts w:hint="eastAsia"/>
          <w:color w:val="auto"/>
          <w:sz w:val="24"/>
          <w:szCs w:val="22"/>
          <w:highlight w:val="none"/>
          <w:lang w:val="en-US" w:eastAsia="zh-CN"/>
        </w:rPr>
        <w:t>1.1投标人的</w:t>
      </w:r>
      <w:r>
        <w:rPr>
          <w:color w:val="auto"/>
          <w:sz w:val="24"/>
          <w:szCs w:val="22"/>
          <w:highlight w:val="none"/>
        </w:rPr>
        <w:t>营业执照等证明文件</w:t>
      </w:r>
      <w:r>
        <w:rPr>
          <w:rFonts w:hint="eastAsia"/>
          <w:color w:val="auto"/>
          <w:sz w:val="24"/>
          <w:szCs w:val="22"/>
          <w:highlight w:val="none"/>
          <w:lang w:eastAsia="zh-CN"/>
        </w:rPr>
        <w:t>。</w:t>
      </w:r>
    </w:p>
    <w:p w14:paraId="2DB0A124">
      <w:pPr>
        <w:spacing w:line="420" w:lineRule="exact"/>
        <w:ind w:firstLine="720" w:firstLineChars="300"/>
        <w:rPr>
          <w:color w:val="auto"/>
          <w:sz w:val="24"/>
          <w:szCs w:val="22"/>
          <w:highlight w:val="none"/>
        </w:rPr>
      </w:pPr>
      <w:r>
        <w:rPr>
          <w:rFonts w:hint="eastAsia"/>
          <w:color w:val="auto"/>
          <w:sz w:val="24"/>
          <w:szCs w:val="22"/>
          <w:highlight w:val="none"/>
          <w:lang w:val="en-US" w:eastAsia="zh-CN"/>
        </w:rPr>
        <w:t>1.2投标人</w:t>
      </w:r>
      <w:r>
        <w:rPr>
          <w:color w:val="auto"/>
          <w:sz w:val="24"/>
          <w:szCs w:val="22"/>
          <w:highlight w:val="none"/>
        </w:rPr>
        <w:t>资格声明函（格式见附件</w:t>
      </w:r>
      <w:r>
        <w:rPr>
          <w:rFonts w:hint="eastAsia"/>
          <w:color w:val="auto"/>
          <w:sz w:val="24"/>
          <w:szCs w:val="22"/>
          <w:highlight w:val="none"/>
          <w:lang w:val="en-US" w:eastAsia="zh-CN"/>
        </w:rPr>
        <w:t>3</w:t>
      </w:r>
      <w:r>
        <w:rPr>
          <w:color w:val="auto"/>
          <w:sz w:val="24"/>
          <w:szCs w:val="22"/>
          <w:highlight w:val="none"/>
        </w:rPr>
        <w:t>）</w:t>
      </w:r>
      <w:r>
        <w:rPr>
          <w:rFonts w:hint="eastAsia"/>
          <w:color w:val="auto"/>
          <w:sz w:val="24"/>
          <w:szCs w:val="22"/>
          <w:highlight w:val="none"/>
        </w:rPr>
        <w:t>。</w:t>
      </w:r>
    </w:p>
    <w:p w14:paraId="33131DDC">
      <w:pPr>
        <w:numPr>
          <w:ilvl w:val="0"/>
          <w:numId w:val="5"/>
        </w:numPr>
        <w:spacing w:line="420" w:lineRule="exact"/>
        <w:ind w:firstLine="420"/>
        <w:rPr>
          <w:color w:val="auto"/>
          <w:sz w:val="24"/>
          <w:szCs w:val="22"/>
          <w:highlight w:val="none"/>
        </w:rPr>
      </w:pPr>
      <w:r>
        <w:rPr>
          <w:color w:val="auto"/>
          <w:sz w:val="24"/>
          <w:szCs w:val="22"/>
          <w:highlight w:val="none"/>
        </w:rPr>
        <w:t>中小企业声明函（格式见附件</w:t>
      </w:r>
      <w:r>
        <w:rPr>
          <w:rFonts w:hint="eastAsia"/>
          <w:color w:val="auto"/>
          <w:sz w:val="24"/>
          <w:szCs w:val="22"/>
          <w:highlight w:val="none"/>
          <w:lang w:val="en-US" w:eastAsia="zh-CN"/>
        </w:rPr>
        <w:t>4</w:t>
      </w:r>
      <w:r>
        <w:rPr>
          <w:color w:val="auto"/>
          <w:sz w:val="24"/>
          <w:szCs w:val="22"/>
          <w:highlight w:val="none"/>
        </w:rPr>
        <w:t>）或残疾人福利性单位声明函（格式见附件</w:t>
      </w:r>
      <w:r>
        <w:rPr>
          <w:rFonts w:hint="eastAsia"/>
          <w:color w:val="auto"/>
          <w:sz w:val="24"/>
          <w:szCs w:val="22"/>
          <w:highlight w:val="none"/>
          <w:lang w:val="en-US" w:eastAsia="zh-CN"/>
        </w:rPr>
        <w:t>5</w:t>
      </w:r>
      <w:r>
        <w:rPr>
          <w:color w:val="auto"/>
          <w:sz w:val="24"/>
          <w:szCs w:val="22"/>
          <w:highlight w:val="none"/>
        </w:rPr>
        <w:t>）或省级以上监狱管理局、戒毒管理局（含新疆生产建设兵团）出具的属于监狱企业的证明文件。</w:t>
      </w:r>
    </w:p>
    <w:p w14:paraId="36B1B3F7">
      <w:pPr>
        <w:spacing w:line="460" w:lineRule="exact"/>
        <w:ind w:firstLine="480" w:firstLineChars="200"/>
        <w:rPr>
          <w:color w:val="auto"/>
          <w:highlight w:val="none"/>
        </w:rPr>
      </w:pPr>
      <w:r>
        <w:rPr>
          <w:rFonts w:hint="eastAsia"/>
          <w:color w:val="auto"/>
          <w:sz w:val="24"/>
          <w:szCs w:val="24"/>
          <w:highlight w:val="none"/>
        </w:rPr>
        <w:t>3、</w:t>
      </w:r>
      <w:r>
        <w:rPr>
          <w:rFonts w:hint="eastAsia"/>
          <w:color w:val="auto"/>
          <w:sz w:val="24"/>
          <w:szCs w:val="24"/>
          <w:highlight w:val="none"/>
          <w:lang w:val="en-US" w:eastAsia="zh-CN"/>
        </w:rPr>
        <w:t>投标人</w:t>
      </w:r>
      <w:r>
        <w:rPr>
          <w:rFonts w:hint="eastAsia"/>
          <w:color w:val="auto"/>
          <w:sz w:val="24"/>
          <w:szCs w:val="24"/>
          <w:highlight w:val="none"/>
        </w:rPr>
        <w:t>具有</w:t>
      </w:r>
      <w:r>
        <w:rPr>
          <w:rFonts w:hint="eastAsia"/>
          <w:color w:val="auto"/>
          <w:sz w:val="24"/>
          <w:szCs w:val="24"/>
          <w:highlight w:val="none"/>
          <w:lang w:val="en-US" w:eastAsia="zh-CN"/>
        </w:rPr>
        <w:t>的</w:t>
      </w:r>
      <w:r>
        <w:rPr>
          <w:rFonts w:hint="eastAsia"/>
          <w:color w:val="auto"/>
          <w:sz w:val="24"/>
          <w:szCs w:val="24"/>
          <w:highlight w:val="none"/>
        </w:rPr>
        <w:t>主管部门颁发的《保安服务许可证》。</w:t>
      </w:r>
    </w:p>
    <w:p w14:paraId="606D0AFF">
      <w:pPr>
        <w:spacing w:line="400" w:lineRule="exact"/>
        <w:ind w:firstLine="241"/>
        <w:rPr>
          <w:b/>
          <w:caps/>
          <w:color w:val="auto"/>
          <w:sz w:val="24"/>
          <w:szCs w:val="24"/>
          <w:highlight w:val="none"/>
        </w:rPr>
      </w:pPr>
      <w:r>
        <w:rPr>
          <w:rFonts w:hint="eastAsia"/>
          <w:b/>
          <w:caps/>
          <w:color w:val="auto"/>
          <w:sz w:val="24"/>
          <w:szCs w:val="24"/>
          <w:highlight w:val="none"/>
        </w:rPr>
        <w:t>三、符合性审查内容</w:t>
      </w:r>
    </w:p>
    <w:p w14:paraId="73BB2942">
      <w:pPr>
        <w:spacing w:line="400" w:lineRule="exact"/>
        <w:ind w:firstLine="480"/>
        <w:rPr>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授权书</w:t>
      </w:r>
      <w:r>
        <w:rPr>
          <w:rFonts w:hint="eastAsia"/>
          <w:color w:val="auto"/>
          <w:sz w:val="24"/>
          <w:szCs w:val="24"/>
          <w:highlight w:val="none"/>
        </w:rPr>
        <w:t>（格式见附件</w:t>
      </w:r>
      <w:r>
        <w:rPr>
          <w:rFonts w:hint="eastAsia"/>
          <w:color w:val="auto"/>
          <w:sz w:val="24"/>
          <w:szCs w:val="24"/>
          <w:highlight w:val="none"/>
          <w:lang w:val="en-US" w:eastAsia="zh-CN"/>
        </w:rPr>
        <w:t>6</w:t>
      </w:r>
      <w:r>
        <w:rPr>
          <w:rFonts w:hint="eastAsia"/>
          <w:color w:val="auto"/>
          <w:sz w:val="24"/>
          <w:szCs w:val="24"/>
          <w:highlight w:val="none"/>
        </w:rPr>
        <w:t>）</w:t>
      </w:r>
    </w:p>
    <w:p w14:paraId="524BB5D9">
      <w:pPr>
        <w:spacing w:line="400" w:lineRule="exact"/>
        <w:ind w:firstLine="480"/>
        <w:rPr>
          <w:color w:val="auto"/>
          <w:sz w:val="24"/>
          <w:szCs w:val="24"/>
          <w:highlight w:val="none"/>
        </w:rPr>
      </w:pPr>
      <w:r>
        <w:rPr>
          <w:rFonts w:hint="eastAsia"/>
          <w:color w:val="auto"/>
          <w:sz w:val="24"/>
          <w:szCs w:val="24"/>
          <w:highlight w:val="none"/>
        </w:rPr>
        <w:t>2、投标函（格式见附件</w:t>
      </w:r>
      <w:r>
        <w:rPr>
          <w:rFonts w:hint="eastAsia"/>
          <w:color w:val="auto"/>
          <w:sz w:val="24"/>
          <w:szCs w:val="24"/>
          <w:highlight w:val="none"/>
          <w:lang w:val="en-US" w:eastAsia="zh-CN"/>
        </w:rPr>
        <w:t>7</w:t>
      </w:r>
      <w:r>
        <w:rPr>
          <w:rFonts w:hint="eastAsia"/>
          <w:color w:val="auto"/>
          <w:sz w:val="24"/>
          <w:szCs w:val="24"/>
          <w:highlight w:val="none"/>
        </w:rPr>
        <w:t>）</w:t>
      </w:r>
    </w:p>
    <w:p w14:paraId="3D8C1E2C">
      <w:pPr>
        <w:spacing w:line="400" w:lineRule="exact"/>
        <w:ind w:firstLine="480"/>
        <w:rPr>
          <w:color w:val="auto"/>
          <w:sz w:val="24"/>
          <w:szCs w:val="24"/>
          <w:highlight w:val="none"/>
        </w:rPr>
      </w:pPr>
      <w:r>
        <w:rPr>
          <w:rFonts w:hint="eastAsia"/>
          <w:color w:val="auto"/>
          <w:sz w:val="24"/>
          <w:szCs w:val="24"/>
          <w:highlight w:val="none"/>
        </w:rPr>
        <w:t>3、实质性要求响应及偏离表（格式见附件</w:t>
      </w:r>
      <w:r>
        <w:rPr>
          <w:rFonts w:hint="eastAsia"/>
          <w:color w:val="auto"/>
          <w:sz w:val="24"/>
          <w:szCs w:val="24"/>
          <w:highlight w:val="none"/>
          <w:lang w:val="en-US" w:eastAsia="zh-CN"/>
        </w:rPr>
        <w:t>8</w:t>
      </w:r>
      <w:r>
        <w:rPr>
          <w:rFonts w:hint="eastAsia"/>
          <w:color w:val="auto"/>
          <w:sz w:val="24"/>
          <w:szCs w:val="24"/>
          <w:highlight w:val="none"/>
        </w:rPr>
        <w:t>）</w:t>
      </w:r>
    </w:p>
    <w:p w14:paraId="436E5DBE">
      <w:pPr>
        <w:spacing w:line="400" w:lineRule="exact"/>
        <w:ind w:firstLine="241"/>
        <w:rPr>
          <w:b/>
          <w:caps/>
          <w:color w:val="auto"/>
          <w:sz w:val="24"/>
          <w:szCs w:val="24"/>
          <w:highlight w:val="none"/>
        </w:rPr>
      </w:pPr>
      <w:r>
        <w:rPr>
          <w:rFonts w:hint="eastAsia"/>
          <w:b/>
          <w:caps/>
          <w:color w:val="auto"/>
          <w:sz w:val="24"/>
          <w:szCs w:val="24"/>
          <w:highlight w:val="none"/>
        </w:rPr>
        <w:t>四、综合评审文件</w:t>
      </w:r>
    </w:p>
    <w:p w14:paraId="7C0F211B">
      <w:pPr>
        <w:spacing w:line="400" w:lineRule="exact"/>
        <w:ind w:firstLine="480"/>
        <w:rPr>
          <w:rFonts w:hint="eastAsia"/>
          <w:color w:val="auto"/>
          <w:sz w:val="24"/>
          <w:szCs w:val="24"/>
          <w:highlight w:val="none"/>
        </w:rPr>
      </w:pPr>
      <w:r>
        <w:rPr>
          <w:rFonts w:hint="eastAsia"/>
          <w:color w:val="auto"/>
          <w:sz w:val="24"/>
          <w:szCs w:val="24"/>
          <w:highlight w:val="none"/>
        </w:rPr>
        <w:t>1、项目</w:t>
      </w:r>
      <w:r>
        <w:rPr>
          <w:color w:val="auto"/>
          <w:sz w:val="24"/>
          <w:szCs w:val="24"/>
          <w:highlight w:val="none"/>
        </w:rPr>
        <w:t>服务要求响应及偏离表</w:t>
      </w:r>
      <w:r>
        <w:rPr>
          <w:rFonts w:hint="eastAsia"/>
          <w:color w:val="auto"/>
          <w:sz w:val="24"/>
          <w:szCs w:val="24"/>
          <w:highlight w:val="none"/>
        </w:rPr>
        <w:t>（格式见附件</w:t>
      </w:r>
      <w:r>
        <w:rPr>
          <w:rFonts w:hint="eastAsia"/>
          <w:color w:val="auto"/>
          <w:sz w:val="24"/>
          <w:szCs w:val="24"/>
          <w:highlight w:val="none"/>
          <w:lang w:val="en-US" w:eastAsia="zh-CN"/>
        </w:rPr>
        <w:t>9</w:t>
      </w:r>
      <w:r>
        <w:rPr>
          <w:rFonts w:hint="eastAsia"/>
          <w:color w:val="auto"/>
          <w:sz w:val="24"/>
          <w:szCs w:val="24"/>
          <w:highlight w:val="none"/>
        </w:rPr>
        <w:t>）</w:t>
      </w:r>
    </w:p>
    <w:p w14:paraId="79B8BE3F">
      <w:pPr>
        <w:spacing w:line="460" w:lineRule="exact"/>
        <w:ind w:firstLine="480" w:firstLineChars="200"/>
        <w:rPr>
          <w:color w:val="auto"/>
          <w:highlight w:val="none"/>
        </w:rPr>
      </w:pPr>
      <w:r>
        <w:rPr>
          <w:rFonts w:hint="eastAsia"/>
          <w:color w:val="auto"/>
          <w:sz w:val="24"/>
          <w:szCs w:val="24"/>
          <w:highlight w:val="none"/>
        </w:rPr>
        <w:t>2、投入要素明细表（格式见附件</w:t>
      </w:r>
      <w:r>
        <w:rPr>
          <w:rFonts w:hint="eastAsia"/>
          <w:color w:val="auto"/>
          <w:sz w:val="24"/>
          <w:szCs w:val="24"/>
          <w:highlight w:val="none"/>
          <w:lang w:val="en-US" w:eastAsia="zh-CN"/>
        </w:rPr>
        <w:t>10</w:t>
      </w:r>
      <w:r>
        <w:rPr>
          <w:rFonts w:hint="eastAsia"/>
          <w:color w:val="auto"/>
          <w:sz w:val="24"/>
          <w:szCs w:val="24"/>
          <w:highlight w:val="none"/>
        </w:rPr>
        <w:t>）</w:t>
      </w:r>
    </w:p>
    <w:p w14:paraId="27678ABE">
      <w:pPr>
        <w:spacing w:line="400" w:lineRule="exact"/>
        <w:ind w:firstLine="480"/>
        <w:rPr>
          <w:rFonts w:hint="eastAsia"/>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、项目服务方案（格式见附件</w:t>
      </w:r>
      <w:r>
        <w:rPr>
          <w:rFonts w:hint="eastAsia"/>
          <w:color w:val="auto"/>
          <w:sz w:val="24"/>
          <w:szCs w:val="24"/>
          <w:highlight w:val="none"/>
          <w:lang w:val="en-US" w:eastAsia="zh-CN"/>
        </w:rPr>
        <w:t>11</w:t>
      </w:r>
      <w:r>
        <w:rPr>
          <w:rFonts w:hint="eastAsia"/>
          <w:color w:val="auto"/>
          <w:sz w:val="24"/>
          <w:szCs w:val="24"/>
          <w:highlight w:val="none"/>
        </w:rPr>
        <w:t>）</w:t>
      </w:r>
    </w:p>
    <w:p w14:paraId="0D374023">
      <w:pPr>
        <w:spacing w:line="400" w:lineRule="exact"/>
        <w:ind w:firstLine="480"/>
        <w:rPr>
          <w:rFonts w:hint="eastAsia"/>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w:t>
      </w:r>
      <w:r>
        <w:rPr>
          <w:color w:val="auto"/>
          <w:sz w:val="24"/>
          <w:szCs w:val="24"/>
          <w:highlight w:val="none"/>
        </w:rPr>
        <w:t>商务条件响应及偏离表</w:t>
      </w:r>
      <w:r>
        <w:rPr>
          <w:rFonts w:hint="eastAsia"/>
          <w:color w:val="auto"/>
          <w:sz w:val="24"/>
          <w:szCs w:val="24"/>
          <w:highlight w:val="none"/>
        </w:rPr>
        <w:t>（格式见附件</w:t>
      </w:r>
      <w:r>
        <w:rPr>
          <w:rFonts w:hint="eastAsia"/>
          <w:color w:val="auto"/>
          <w:sz w:val="24"/>
          <w:szCs w:val="24"/>
          <w:highlight w:val="none"/>
          <w:lang w:val="en-US" w:eastAsia="zh-CN"/>
        </w:rPr>
        <w:t>12</w:t>
      </w:r>
      <w:r>
        <w:rPr>
          <w:rFonts w:hint="eastAsia"/>
          <w:color w:val="auto"/>
          <w:sz w:val="24"/>
          <w:szCs w:val="24"/>
          <w:highlight w:val="none"/>
        </w:rPr>
        <w:t>）</w:t>
      </w:r>
    </w:p>
    <w:p w14:paraId="4783E9C5">
      <w:pPr>
        <w:spacing w:line="400" w:lineRule="exact"/>
        <w:ind w:firstLine="480"/>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、业绩一览表（格式见附件</w:t>
      </w:r>
      <w:r>
        <w:rPr>
          <w:rFonts w:hint="eastAsia"/>
          <w:color w:val="auto"/>
          <w:sz w:val="24"/>
          <w:szCs w:val="24"/>
          <w:highlight w:val="none"/>
          <w:lang w:val="en-US" w:eastAsia="zh-CN"/>
        </w:rPr>
        <w:t>13</w:t>
      </w:r>
      <w:r>
        <w:rPr>
          <w:rFonts w:hint="eastAsia"/>
          <w:color w:val="auto"/>
          <w:sz w:val="24"/>
          <w:szCs w:val="24"/>
          <w:highlight w:val="none"/>
        </w:rPr>
        <w:t>）</w:t>
      </w:r>
    </w:p>
    <w:p w14:paraId="05F64510">
      <w:pPr>
        <w:spacing w:line="400" w:lineRule="exact"/>
        <w:ind w:firstLine="480"/>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、其他（格式见附件</w:t>
      </w:r>
      <w:r>
        <w:rPr>
          <w:rFonts w:hint="eastAsia"/>
          <w:color w:val="auto"/>
          <w:sz w:val="24"/>
          <w:szCs w:val="24"/>
          <w:highlight w:val="none"/>
          <w:lang w:val="en-US" w:eastAsia="zh-CN"/>
        </w:rPr>
        <w:t>14</w:t>
      </w:r>
      <w:r>
        <w:rPr>
          <w:rFonts w:hint="eastAsia"/>
          <w:color w:val="auto"/>
          <w:sz w:val="24"/>
          <w:szCs w:val="24"/>
          <w:highlight w:val="none"/>
        </w:rPr>
        <w:t>）</w:t>
      </w:r>
    </w:p>
    <w:p w14:paraId="53C42139">
      <w:pPr>
        <w:spacing w:line="400" w:lineRule="exact"/>
        <w:ind w:firstLine="482"/>
        <w:rPr>
          <w:b/>
          <w:bCs/>
          <w:color w:val="auto"/>
          <w:sz w:val="24"/>
          <w:szCs w:val="24"/>
          <w:highlight w:val="none"/>
          <w:u w:val="single"/>
        </w:rPr>
      </w:pPr>
      <w:r>
        <w:rPr>
          <w:rFonts w:hint="eastAsia"/>
          <w:b/>
          <w:bCs/>
          <w:color w:val="auto"/>
          <w:sz w:val="24"/>
          <w:szCs w:val="24"/>
          <w:highlight w:val="none"/>
          <w:u w:val="single"/>
        </w:rPr>
        <w:t>备注：针对“二、资格审查内容”和“三、符合性审查内容”，投标人必须在投标文件中提供相关材料，若有缺失或无效的，将导致其投标无效。</w:t>
      </w:r>
    </w:p>
    <w:p w14:paraId="263B5A34">
      <w:pPr>
        <w:pStyle w:val="76"/>
        <w:rPr>
          <w:rFonts w:ascii="Times New Roman"/>
          <w:b/>
          <w:bCs/>
          <w:color w:val="auto"/>
          <w:sz w:val="24"/>
          <w:szCs w:val="24"/>
          <w:highlight w:val="none"/>
        </w:rPr>
      </w:pPr>
    </w:p>
    <w:p w14:paraId="4E005634">
      <w:pPr>
        <w:pStyle w:val="3"/>
        <w:rPr>
          <w:color w:val="auto"/>
          <w:highlight w:val="none"/>
        </w:rPr>
      </w:pPr>
      <w:bookmarkStart w:id="129" w:name="_Toc31265"/>
      <w:r>
        <w:rPr>
          <w:rFonts w:hint="eastAsia"/>
          <w:color w:val="auto"/>
          <w:highlight w:val="none"/>
        </w:rPr>
        <w:br w:type="page" w:clear="all"/>
      </w:r>
      <w:bookmarkStart w:id="130" w:name="_Toc7962"/>
      <w:r>
        <w:rPr>
          <w:rFonts w:hint="eastAsia"/>
          <w:color w:val="auto"/>
          <w:highlight w:val="none"/>
        </w:rPr>
        <w:t>附件</w:t>
      </w:r>
      <w:r>
        <w:rPr>
          <w:color w:val="auto"/>
          <w:highlight w:val="none"/>
        </w:rPr>
        <w:t>1开标一览表</w:t>
      </w:r>
      <w:bookmarkEnd w:id="129"/>
      <w:bookmarkEnd w:id="130"/>
    </w:p>
    <w:p w14:paraId="22E45B52">
      <w:pPr>
        <w:rPr>
          <w:color w:val="auto"/>
          <w:highlight w:val="none"/>
        </w:rPr>
      </w:pPr>
    </w:p>
    <w:p w14:paraId="4344C237">
      <w:pPr>
        <w:jc w:val="center"/>
        <w:rPr>
          <w:rFonts w:hint="eastAsia" w:ascii="宋体" w:hAnsi="宋体"/>
          <w:b/>
          <w:color w:val="auto"/>
          <w:sz w:val="24"/>
          <w:szCs w:val="24"/>
          <w:highlight w:val="none"/>
        </w:rPr>
      </w:pPr>
      <w:r>
        <w:rPr>
          <w:rFonts w:hint="eastAsia" w:ascii="宋体" w:hAnsi="宋体"/>
          <w:b/>
          <w:color w:val="auto"/>
          <w:sz w:val="24"/>
          <w:szCs w:val="24"/>
          <w:highlight w:val="none"/>
        </w:rPr>
        <w:t>格式详见苏采云系统</w:t>
      </w:r>
    </w:p>
    <w:p w14:paraId="522F1420">
      <w:pPr>
        <w:pStyle w:val="3"/>
        <w:rPr>
          <w:rFonts w:hint="eastAsia"/>
          <w:b/>
          <w:bCs/>
          <w:color w:val="auto"/>
          <w:sz w:val="28"/>
          <w:szCs w:val="28"/>
          <w:highlight w:val="none"/>
        </w:rPr>
      </w:pPr>
      <w:bookmarkStart w:id="131" w:name="_Toc22864"/>
      <w:bookmarkStart w:id="132" w:name="_Toc7218"/>
      <w:bookmarkStart w:id="133" w:name="_Toc13424"/>
      <w:bookmarkStart w:id="134" w:name="_Toc9721"/>
      <w:bookmarkStart w:id="135" w:name="_Toc15563"/>
      <w:r>
        <w:rPr>
          <w:rFonts w:hint="eastAsia"/>
          <w:b/>
          <w:bCs/>
          <w:color w:val="auto"/>
          <w:sz w:val="28"/>
          <w:szCs w:val="28"/>
          <w:highlight w:val="none"/>
        </w:rPr>
        <w:br w:type="page"/>
      </w:r>
      <w:bookmarkStart w:id="136" w:name="_Toc8345"/>
      <w:bookmarkStart w:id="137" w:name="_Toc30498"/>
      <w:r>
        <w:rPr>
          <w:rFonts w:hint="eastAsia" w:ascii="Times New Roman" w:hAnsi="Times New Roman" w:eastAsia="宋体" w:cs="Times New Roman"/>
          <w:color w:val="auto"/>
          <w:highlight w:val="none"/>
        </w:rPr>
        <w:t>附件</w:t>
      </w: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rPr>
        <w:t xml:space="preserve"> 报价明细表</w:t>
      </w:r>
      <w:bookmarkEnd w:id="131"/>
      <w:bookmarkEnd w:id="132"/>
      <w:bookmarkEnd w:id="133"/>
      <w:bookmarkEnd w:id="134"/>
      <w:bookmarkEnd w:id="135"/>
      <w:bookmarkEnd w:id="136"/>
      <w:bookmarkEnd w:id="137"/>
    </w:p>
    <w:tbl>
      <w:tblPr>
        <w:tblStyle w:val="56"/>
        <w:tblW w:w="0" w:type="auto"/>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1"/>
        <w:gridCol w:w="1061"/>
        <w:gridCol w:w="199"/>
        <w:gridCol w:w="1365"/>
        <w:gridCol w:w="1155"/>
        <w:gridCol w:w="945"/>
        <w:gridCol w:w="1155"/>
        <w:gridCol w:w="1785"/>
      </w:tblGrid>
      <w:tr w14:paraId="28950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noWrap w:val="0"/>
            <w:vAlign w:val="center"/>
          </w:tcPr>
          <w:p w14:paraId="2C0ADB0E">
            <w:pPr>
              <w:jc w:val="center"/>
              <w:rPr>
                <w:b/>
                <w:color w:val="auto"/>
                <w:sz w:val="24"/>
                <w:highlight w:val="none"/>
              </w:rPr>
            </w:pPr>
            <w:r>
              <w:rPr>
                <w:b/>
                <w:color w:val="auto"/>
                <w:sz w:val="24"/>
                <w:highlight w:val="none"/>
              </w:rPr>
              <w:t>费用名称</w:t>
            </w:r>
          </w:p>
        </w:tc>
        <w:tc>
          <w:tcPr>
            <w:tcW w:w="1260" w:type="dxa"/>
            <w:gridSpan w:val="2"/>
            <w:noWrap w:val="0"/>
            <w:vAlign w:val="center"/>
          </w:tcPr>
          <w:p w14:paraId="35A12DAF">
            <w:pPr>
              <w:jc w:val="center"/>
              <w:rPr>
                <w:b/>
                <w:color w:val="auto"/>
                <w:sz w:val="24"/>
                <w:highlight w:val="none"/>
              </w:rPr>
            </w:pPr>
            <w:r>
              <w:rPr>
                <w:b/>
                <w:color w:val="auto"/>
                <w:sz w:val="24"/>
                <w:highlight w:val="none"/>
              </w:rPr>
              <w:t>人员类别</w:t>
            </w:r>
          </w:p>
        </w:tc>
        <w:tc>
          <w:tcPr>
            <w:tcW w:w="1365" w:type="dxa"/>
            <w:noWrap w:val="0"/>
            <w:vAlign w:val="center"/>
          </w:tcPr>
          <w:p w14:paraId="27BFE0A2">
            <w:pPr>
              <w:jc w:val="center"/>
              <w:rPr>
                <w:b/>
                <w:color w:val="auto"/>
                <w:sz w:val="24"/>
                <w:highlight w:val="none"/>
              </w:rPr>
            </w:pPr>
            <w:r>
              <w:rPr>
                <w:b/>
                <w:color w:val="auto"/>
                <w:sz w:val="24"/>
                <w:highlight w:val="none"/>
              </w:rPr>
              <w:t>费用名称</w:t>
            </w:r>
          </w:p>
        </w:tc>
        <w:tc>
          <w:tcPr>
            <w:tcW w:w="1155" w:type="dxa"/>
            <w:noWrap w:val="0"/>
            <w:vAlign w:val="center"/>
          </w:tcPr>
          <w:p w14:paraId="43C6598A">
            <w:pPr>
              <w:jc w:val="center"/>
              <w:rPr>
                <w:b/>
                <w:color w:val="auto"/>
                <w:sz w:val="24"/>
                <w:highlight w:val="none"/>
              </w:rPr>
            </w:pPr>
            <w:r>
              <w:rPr>
                <w:b/>
                <w:color w:val="auto"/>
                <w:sz w:val="24"/>
                <w:highlight w:val="none"/>
              </w:rPr>
              <w:t>单价</w:t>
            </w:r>
          </w:p>
        </w:tc>
        <w:tc>
          <w:tcPr>
            <w:tcW w:w="945" w:type="dxa"/>
            <w:noWrap w:val="0"/>
            <w:vAlign w:val="center"/>
          </w:tcPr>
          <w:p w14:paraId="72E63E3D">
            <w:pPr>
              <w:jc w:val="center"/>
              <w:rPr>
                <w:b/>
                <w:color w:val="auto"/>
                <w:sz w:val="24"/>
                <w:highlight w:val="none"/>
              </w:rPr>
            </w:pPr>
            <w:r>
              <w:rPr>
                <w:b/>
                <w:color w:val="auto"/>
                <w:sz w:val="24"/>
                <w:highlight w:val="none"/>
              </w:rPr>
              <w:t>数量</w:t>
            </w:r>
          </w:p>
        </w:tc>
        <w:tc>
          <w:tcPr>
            <w:tcW w:w="1155" w:type="dxa"/>
            <w:noWrap w:val="0"/>
            <w:vAlign w:val="center"/>
          </w:tcPr>
          <w:p w14:paraId="121182E8">
            <w:pPr>
              <w:jc w:val="center"/>
              <w:rPr>
                <w:b/>
                <w:color w:val="auto"/>
                <w:sz w:val="24"/>
                <w:highlight w:val="none"/>
              </w:rPr>
            </w:pPr>
            <w:r>
              <w:rPr>
                <w:b/>
                <w:color w:val="auto"/>
                <w:sz w:val="24"/>
                <w:highlight w:val="none"/>
              </w:rPr>
              <w:t>备注</w:t>
            </w:r>
          </w:p>
        </w:tc>
        <w:tc>
          <w:tcPr>
            <w:tcW w:w="1785" w:type="dxa"/>
            <w:noWrap w:val="0"/>
            <w:vAlign w:val="center"/>
          </w:tcPr>
          <w:p w14:paraId="2593761A">
            <w:pPr>
              <w:jc w:val="center"/>
              <w:rPr>
                <w:b/>
                <w:color w:val="auto"/>
                <w:sz w:val="24"/>
                <w:highlight w:val="none"/>
              </w:rPr>
            </w:pPr>
          </w:p>
        </w:tc>
      </w:tr>
      <w:tr w14:paraId="716D7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1551" w:type="dxa"/>
            <w:vMerge w:val="restart"/>
            <w:noWrap w:val="0"/>
            <w:vAlign w:val="center"/>
          </w:tcPr>
          <w:p w14:paraId="4AEB197B">
            <w:pPr>
              <w:jc w:val="center"/>
              <w:rPr>
                <w:color w:val="auto"/>
                <w:sz w:val="24"/>
                <w:szCs w:val="24"/>
                <w:highlight w:val="none"/>
              </w:rPr>
            </w:pPr>
            <w:r>
              <w:rPr>
                <w:color w:val="auto"/>
                <w:sz w:val="24"/>
                <w:szCs w:val="24"/>
                <w:highlight w:val="none"/>
              </w:rPr>
              <w:t>人员工资福利费用（</w:t>
            </w:r>
            <w:r>
              <w:rPr>
                <w:rFonts w:hint="eastAsia"/>
                <w:color w:val="auto"/>
                <w:sz w:val="24"/>
                <w:szCs w:val="24"/>
                <w:highlight w:val="none"/>
              </w:rPr>
              <w:t>/年</w:t>
            </w:r>
            <w:r>
              <w:rPr>
                <w:color w:val="auto"/>
                <w:sz w:val="24"/>
                <w:szCs w:val="24"/>
                <w:highlight w:val="none"/>
              </w:rPr>
              <w:t>）</w:t>
            </w:r>
          </w:p>
        </w:tc>
        <w:tc>
          <w:tcPr>
            <w:tcW w:w="1260" w:type="dxa"/>
            <w:gridSpan w:val="2"/>
            <w:vMerge w:val="restart"/>
            <w:noWrap w:val="0"/>
            <w:vAlign w:val="center"/>
          </w:tcPr>
          <w:p w14:paraId="7D7AC651">
            <w:pPr>
              <w:rPr>
                <w:color w:val="auto"/>
                <w:sz w:val="24"/>
                <w:szCs w:val="24"/>
                <w:highlight w:val="none"/>
              </w:rPr>
            </w:pPr>
          </w:p>
        </w:tc>
        <w:tc>
          <w:tcPr>
            <w:tcW w:w="1365" w:type="dxa"/>
            <w:noWrap w:val="0"/>
            <w:vAlign w:val="center"/>
          </w:tcPr>
          <w:p w14:paraId="56540C3B">
            <w:pPr>
              <w:rPr>
                <w:color w:val="auto"/>
                <w:sz w:val="24"/>
                <w:szCs w:val="24"/>
                <w:highlight w:val="none"/>
              </w:rPr>
            </w:pPr>
          </w:p>
        </w:tc>
        <w:tc>
          <w:tcPr>
            <w:tcW w:w="1155" w:type="dxa"/>
            <w:noWrap w:val="0"/>
            <w:vAlign w:val="center"/>
          </w:tcPr>
          <w:p w14:paraId="7C3B91B2">
            <w:pPr>
              <w:rPr>
                <w:color w:val="auto"/>
                <w:sz w:val="24"/>
                <w:szCs w:val="24"/>
                <w:highlight w:val="none"/>
              </w:rPr>
            </w:pPr>
          </w:p>
        </w:tc>
        <w:tc>
          <w:tcPr>
            <w:tcW w:w="945" w:type="dxa"/>
            <w:noWrap w:val="0"/>
            <w:vAlign w:val="center"/>
          </w:tcPr>
          <w:p w14:paraId="40BB9AAC">
            <w:pPr>
              <w:rPr>
                <w:color w:val="auto"/>
                <w:sz w:val="24"/>
                <w:szCs w:val="24"/>
                <w:highlight w:val="none"/>
              </w:rPr>
            </w:pPr>
          </w:p>
        </w:tc>
        <w:tc>
          <w:tcPr>
            <w:tcW w:w="1155" w:type="dxa"/>
            <w:noWrap w:val="0"/>
            <w:vAlign w:val="center"/>
          </w:tcPr>
          <w:p w14:paraId="0F1967B0">
            <w:pPr>
              <w:adjustRightInd w:val="0"/>
              <w:spacing w:line="312" w:lineRule="atLeast"/>
              <w:textAlignment w:val="baseline"/>
              <w:rPr>
                <w:color w:val="auto"/>
                <w:kern w:val="0"/>
                <w:sz w:val="28"/>
                <w:highlight w:val="none"/>
              </w:rPr>
            </w:pPr>
          </w:p>
        </w:tc>
        <w:tc>
          <w:tcPr>
            <w:tcW w:w="1785" w:type="dxa"/>
            <w:vMerge w:val="restart"/>
            <w:noWrap w:val="0"/>
            <w:vAlign w:val="center"/>
          </w:tcPr>
          <w:p w14:paraId="45ACF35B">
            <w:pPr>
              <w:adjustRightInd w:val="0"/>
              <w:spacing w:line="312" w:lineRule="atLeast"/>
              <w:textAlignment w:val="baseline"/>
              <w:rPr>
                <w:color w:val="auto"/>
                <w:kern w:val="0"/>
                <w:sz w:val="28"/>
                <w:highlight w:val="none"/>
              </w:rPr>
            </w:pPr>
            <w:r>
              <w:rPr>
                <w:color w:val="auto"/>
                <w:kern w:val="0"/>
                <w:sz w:val="24"/>
                <w:szCs w:val="24"/>
                <w:highlight w:val="none"/>
              </w:rPr>
              <w:t>费用名称：如每月基本工资、</w:t>
            </w:r>
            <w:r>
              <w:rPr>
                <w:rFonts w:hint="eastAsia"/>
                <w:color w:val="auto"/>
                <w:kern w:val="0"/>
                <w:sz w:val="24"/>
                <w:szCs w:val="24"/>
                <w:highlight w:val="none"/>
                <w:lang w:val="en-US" w:eastAsia="zh-CN"/>
              </w:rPr>
              <w:t>社会</w:t>
            </w:r>
            <w:r>
              <w:rPr>
                <w:color w:val="auto"/>
                <w:kern w:val="0"/>
                <w:sz w:val="24"/>
                <w:szCs w:val="24"/>
                <w:highlight w:val="none"/>
              </w:rPr>
              <w:t>保险费</w:t>
            </w:r>
            <w:r>
              <w:rPr>
                <w:rFonts w:hint="eastAsia"/>
                <w:color w:val="auto"/>
                <w:kern w:val="0"/>
                <w:sz w:val="24"/>
                <w:szCs w:val="24"/>
                <w:highlight w:val="none"/>
                <w:lang w:val="en-US" w:eastAsia="zh-CN"/>
              </w:rPr>
              <w:t>用</w:t>
            </w:r>
            <w:r>
              <w:rPr>
                <w:color w:val="auto"/>
                <w:kern w:val="0"/>
                <w:sz w:val="24"/>
                <w:szCs w:val="24"/>
                <w:highlight w:val="none"/>
              </w:rPr>
              <w:t>、</w:t>
            </w:r>
            <w:r>
              <w:rPr>
                <w:rFonts w:hint="eastAsia"/>
                <w:color w:val="auto"/>
                <w:sz w:val="24"/>
                <w:szCs w:val="24"/>
                <w:highlight w:val="none"/>
              </w:rPr>
              <w:t>加班费、</w:t>
            </w:r>
            <w:r>
              <w:rPr>
                <w:color w:val="auto"/>
                <w:kern w:val="0"/>
                <w:sz w:val="24"/>
                <w:szCs w:val="24"/>
                <w:highlight w:val="none"/>
              </w:rPr>
              <w:t>服装费、过节福利费等</w:t>
            </w:r>
          </w:p>
        </w:tc>
      </w:tr>
      <w:tr w14:paraId="35085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trPr>
        <w:tc>
          <w:tcPr>
            <w:tcW w:w="1551" w:type="dxa"/>
            <w:vMerge w:val="continue"/>
            <w:noWrap w:val="0"/>
            <w:vAlign w:val="center"/>
          </w:tcPr>
          <w:p w14:paraId="3AFFDC4A">
            <w:pPr>
              <w:jc w:val="center"/>
              <w:rPr>
                <w:color w:val="auto"/>
                <w:sz w:val="24"/>
                <w:highlight w:val="none"/>
              </w:rPr>
            </w:pPr>
          </w:p>
        </w:tc>
        <w:tc>
          <w:tcPr>
            <w:tcW w:w="1260" w:type="dxa"/>
            <w:gridSpan w:val="2"/>
            <w:vMerge w:val="continue"/>
            <w:noWrap w:val="0"/>
            <w:vAlign w:val="center"/>
          </w:tcPr>
          <w:p w14:paraId="6C230FF3">
            <w:pPr>
              <w:rPr>
                <w:color w:val="auto"/>
                <w:sz w:val="24"/>
                <w:highlight w:val="none"/>
              </w:rPr>
            </w:pPr>
          </w:p>
        </w:tc>
        <w:tc>
          <w:tcPr>
            <w:tcW w:w="1365" w:type="dxa"/>
            <w:noWrap w:val="0"/>
            <w:vAlign w:val="center"/>
          </w:tcPr>
          <w:p w14:paraId="0C9C9E04">
            <w:pPr>
              <w:rPr>
                <w:color w:val="auto"/>
                <w:sz w:val="24"/>
                <w:highlight w:val="none"/>
              </w:rPr>
            </w:pPr>
          </w:p>
        </w:tc>
        <w:tc>
          <w:tcPr>
            <w:tcW w:w="1155" w:type="dxa"/>
            <w:noWrap w:val="0"/>
            <w:vAlign w:val="center"/>
          </w:tcPr>
          <w:p w14:paraId="126DC354">
            <w:pPr>
              <w:rPr>
                <w:color w:val="auto"/>
                <w:sz w:val="24"/>
                <w:highlight w:val="none"/>
              </w:rPr>
            </w:pPr>
          </w:p>
        </w:tc>
        <w:tc>
          <w:tcPr>
            <w:tcW w:w="945" w:type="dxa"/>
            <w:noWrap w:val="0"/>
            <w:vAlign w:val="center"/>
          </w:tcPr>
          <w:p w14:paraId="602465DA">
            <w:pPr>
              <w:rPr>
                <w:color w:val="auto"/>
                <w:sz w:val="24"/>
                <w:highlight w:val="none"/>
              </w:rPr>
            </w:pPr>
          </w:p>
        </w:tc>
        <w:tc>
          <w:tcPr>
            <w:tcW w:w="1155" w:type="dxa"/>
            <w:noWrap w:val="0"/>
            <w:vAlign w:val="center"/>
          </w:tcPr>
          <w:p w14:paraId="4227D2C9">
            <w:pPr>
              <w:rPr>
                <w:color w:val="auto"/>
                <w:sz w:val="28"/>
                <w:highlight w:val="none"/>
              </w:rPr>
            </w:pPr>
          </w:p>
        </w:tc>
        <w:tc>
          <w:tcPr>
            <w:tcW w:w="1785" w:type="dxa"/>
            <w:vMerge w:val="continue"/>
            <w:noWrap w:val="0"/>
            <w:vAlign w:val="center"/>
          </w:tcPr>
          <w:p w14:paraId="5F830758">
            <w:pPr>
              <w:rPr>
                <w:color w:val="auto"/>
                <w:sz w:val="28"/>
                <w:highlight w:val="none"/>
              </w:rPr>
            </w:pPr>
          </w:p>
        </w:tc>
      </w:tr>
      <w:tr w14:paraId="5165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54E00A10">
            <w:pPr>
              <w:jc w:val="center"/>
              <w:rPr>
                <w:color w:val="auto"/>
                <w:sz w:val="24"/>
                <w:highlight w:val="none"/>
              </w:rPr>
            </w:pPr>
          </w:p>
        </w:tc>
        <w:tc>
          <w:tcPr>
            <w:tcW w:w="1260" w:type="dxa"/>
            <w:gridSpan w:val="2"/>
            <w:vMerge w:val="continue"/>
            <w:noWrap w:val="0"/>
            <w:vAlign w:val="center"/>
          </w:tcPr>
          <w:p w14:paraId="57107696">
            <w:pPr>
              <w:rPr>
                <w:color w:val="auto"/>
                <w:sz w:val="24"/>
                <w:highlight w:val="none"/>
              </w:rPr>
            </w:pPr>
          </w:p>
        </w:tc>
        <w:tc>
          <w:tcPr>
            <w:tcW w:w="1365" w:type="dxa"/>
            <w:noWrap w:val="0"/>
            <w:vAlign w:val="center"/>
          </w:tcPr>
          <w:p w14:paraId="1CAFAD5C">
            <w:pPr>
              <w:rPr>
                <w:color w:val="auto"/>
                <w:sz w:val="24"/>
                <w:highlight w:val="none"/>
              </w:rPr>
            </w:pPr>
            <w:r>
              <w:rPr>
                <w:color w:val="auto"/>
                <w:sz w:val="24"/>
                <w:highlight w:val="none"/>
              </w:rPr>
              <w:t>……</w:t>
            </w:r>
          </w:p>
        </w:tc>
        <w:tc>
          <w:tcPr>
            <w:tcW w:w="1155" w:type="dxa"/>
            <w:noWrap w:val="0"/>
            <w:vAlign w:val="center"/>
          </w:tcPr>
          <w:p w14:paraId="5463AE4A">
            <w:pPr>
              <w:rPr>
                <w:color w:val="auto"/>
                <w:sz w:val="24"/>
                <w:szCs w:val="24"/>
                <w:highlight w:val="none"/>
              </w:rPr>
            </w:pPr>
          </w:p>
        </w:tc>
        <w:tc>
          <w:tcPr>
            <w:tcW w:w="945" w:type="dxa"/>
            <w:noWrap w:val="0"/>
            <w:vAlign w:val="center"/>
          </w:tcPr>
          <w:p w14:paraId="3F863224">
            <w:pPr>
              <w:rPr>
                <w:color w:val="auto"/>
                <w:sz w:val="24"/>
                <w:szCs w:val="24"/>
                <w:highlight w:val="none"/>
              </w:rPr>
            </w:pPr>
          </w:p>
        </w:tc>
        <w:tc>
          <w:tcPr>
            <w:tcW w:w="1155" w:type="dxa"/>
            <w:noWrap w:val="0"/>
            <w:vAlign w:val="center"/>
          </w:tcPr>
          <w:p w14:paraId="56E70379">
            <w:pPr>
              <w:adjustRightInd w:val="0"/>
              <w:spacing w:line="312" w:lineRule="atLeast"/>
              <w:textAlignment w:val="baseline"/>
              <w:rPr>
                <w:color w:val="auto"/>
                <w:kern w:val="0"/>
                <w:sz w:val="28"/>
                <w:szCs w:val="24"/>
                <w:highlight w:val="none"/>
              </w:rPr>
            </w:pPr>
          </w:p>
        </w:tc>
        <w:tc>
          <w:tcPr>
            <w:tcW w:w="1785" w:type="dxa"/>
            <w:vMerge w:val="continue"/>
            <w:noWrap w:val="0"/>
            <w:vAlign w:val="center"/>
          </w:tcPr>
          <w:p w14:paraId="6F3FA016">
            <w:pPr>
              <w:adjustRightInd w:val="0"/>
              <w:spacing w:line="312" w:lineRule="atLeast"/>
              <w:textAlignment w:val="baseline"/>
              <w:rPr>
                <w:color w:val="auto"/>
                <w:kern w:val="0"/>
                <w:sz w:val="28"/>
                <w:szCs w:val="24"/>
                <w:highlight w:val="none"/>
              </w:rPr>
            </w:pPr>
          </w:p>
        </w:tc>
      </w:tr>
      <w:tr w14:paraId="1D2B8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0FC0B3A3">
            <w:pPr>
              <w:jc w:val="center"/>
              <w:rPr>
                <w:color w:val="auto"/>
                <w:sz w:val="24"/>
                <w:highlight w:val="none"/>
              </w:rPr>
            </w:pPr>
          </w:p>
        </w:tc>
        <w:tc>
          <w:tcPr>
            <w:tcW w:w="7665" w:type="dxa"/>
            <w:gridSpan w:val="7"/>
            <w:noWrap w:val="0"/>
            <w:vAlign w:val="center"/>
          </w:tcPr>
          <w:p w14:paraId="5B1F503D">
            <w:pPr>
              <w:adjustRightInd w:val="0"/>
              <w:spacing w:line="312" w:lineRule="atLeast"/>
              <w:textAlignment w:val="baseline"/>
              <w:rPr>
                <w:color w:val="auto"/>
                <w:kern w:val="0"/>
                <w:sz w:val="28"/>
                <w:szCs w:val="24"/>
                <w:highlight w:val="none"/>
              </w:rPr>
            </w:pPr>
            <w:r>
              <w:rPr>
                <w:color w:val="auto"/>
                <w:kern w:val="0"/>
                <w:sz w:val="24"/>
                <w:szCs w:val="24"/>
                <w:highlight w:val="none"/>
              </w:rPr>
              <w:t>单个该类别人员工资福利费用</w:t>
            </w:r>
            <w:r>
              <w:rPr>
                <w:color w:val="auto"/>
                <w:kern w:val="0"/>
                <w:sz w:val="24"/>
                <w:szCs w:val="24"/>
                <w:highlight w:val="none"/>
                <w:u w:val="single"/>
              </w:rPr>
              <w:t xml:space="preserve">         </w:t>
            </w:r>
            <w:r>
              <w:rPr>
                <w:color w:val="auto"/>
                <w:kern w:val="0"/>
                <w:sz w:val="24"/>
                <w:szCs w:val="24"/>
                <w:highlight w:val="none"/>
              </w:rPr>
              <w:t>元</w:t>
            </w:r>
            <w:r>
              <w:rPr>
                <w:rFonts w:hint="eastAsia"/>
                <w:color w:val="auto"/>
                <w:kern w:val="0"/>
                <w:sz w:val="24"/>
                <w:szCs w:val="24"/>
                <w:highlight w:val="none"/>
              </w:rPr>
              <w:t>/年</w:t>
            </w:r>
            <w:r>
              <w:rPr>
                <w:color w:val="auto"/>
                <w:kern w:val="0"/>
                <w:sz w:val="24"/>
                <w:szCs w:val="24"/>
                <w:highlight w:val="none"/>
              </w:rPr>
              <w:t>。</w:t>
            </w:r>
          </w:p>
        </w:tc>
      </w:tr>
      <w:tr w14:paraId="0D19D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1E7287C3">
            <w:pPr>
              <w:jc w:val="center"/>
              <w:rPr>
                <w:color w:val="auto"/>
                <w:sz w:val="24"/>
                <w:highlight w:val="none"/>
              </w:rPr>
            </w:pPr>
          </w:p>
        </w:tc>
        <w:tc>
          <w:tcPr>
            <w:tcW w:w="7665" w:type="dxa"/>
            <w:gridSpan w:val="7"/>
            <w:noWrap w:val="0"/>
            <w:vAlign w:val="center"/>
          </w:tcPr>
          <w:p w14:paraId="32D75C4A">
            <w:pPr>
              <w:adjustRightInd w:val="0"/>
              <w:spacing w:line="312" w:lineRule="atLeast"/>
              <w:textAlignment w:val="baseline"/>
              <w:rPr>
                <w:color w:val="auto"/>
                <w:kern w:val="0"/>
                <w:sz w:val="24"/>
                <w:szCs w:val="24"/>
                <w:highlight w:val="none"/>
              </w:rPr>
            </w:pPr>
            <w:r>
              <w:rPr>
                <w:color w:val="auto"/>
                <w:kern w:val="0"/>
                <w:sz w:val="24"/>
                <w:szCs w:val="24"/>
                <w:highlight w:val="none"/>
              </w:rPr>
              <w:t>该类别人员数量：</w:t>
            </w:r>
            <w:r>
              <w:rPr>
                <w:color w:val="auto"/>
                <w:kern w:val="0"/>
                <w:sz w:val="24"/>
                <w:szCs w:val="24"/>
                <w:highlight w:val="none"/>
                <w:u w:val="single"/>
              </w:rPr>
              <w:t xml:space="preserve">    </w:t>
            </w:r>
            <w:r>
              <w:rPr>
                <w:color w:val="auto"/>
                <w:kern w:val="0"/>
                <w:sz w:val="24"/>
                <w:szCs w:val="24"/>
                <w:highlight w:val="none"/>
              </w:rPr>
              <w:t>个。</w:t>
            </w:r>
          </w:p>
        </w:tc>
      </w:tr>
      <w:tr w14:paraId="2B039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69CF12AD">
            <w:pPr>
              <w:jc w:val="center"/>
              <w:rPr>
                <w:color w:val="auto"/>
                <w:sz w:val="24"/>
                <w:highlight w:val="none"/>
              </w:rPr>
            </w:pPr>
          </w:p>
        </w:tc>
        <w:tc>
          <w:tcPr>
            <w:tcW w:w="7665" w:type="dxa"/>
            <w:gridSpan w:val="7"/>
            <w:noWrap w:val="0"/>
            <w:vAlign w:val="center"/>
          </w:tcPr>
          <w:p w14:paraId="0E6A065A">
            <w:pPr>
              <w:adjustRightInd w:val="0"/>
              <w:spacing w:line="312" w:lineRule="atLeast"/>
              <w:textAlignment w:val="baseline"/>
              <w:rPr>
                <w:color w:val="auto"/>
                <w:kern w:val="0"/>
                <w:sz w:val="24"/>
                <w:szCs w:val="24"/>
                <w:highlight w:val="none"/>
              </w:rPr>
            </w:pPr>
            <w:r>
              <w:rPr>
                <w:color w:val="auto"/>
                <w:kern w:val="0"/>
                <w:sz w:val="24"/>
                <w:szCs w:val="24"/>
                <w:highlight w:val="none"/>
              </w:rPr>
              <w:t>该类别人员</w:t>
            </w:r>
            <w:r>
              <w:rPr>
                <w:rFonts w:hint="eastAsia"/>
                <w:color w:val="auto"/>
                <w:kern w:val="0"/>
                <w:sz w:val="24"/>
                <w:szCs w:val="24"/>
                <w:highlight w:val="none"/>
              </w:rPr>
              <w:t>年度</w:t>
            </w:r>
            <w:r>
              <w:rPr>
                <w:color w:val="auto"/>
                <w:kern w:val="0"/>
                <w:sz w:val="24"/>
                <w:szCs w:val="24"/>
                <w:highlight w:val="none"/>
              </w:rPr>
              <w:t>工资福利费用合计：</w:t>
            </w:r>
            <w:r>
              <w:rPr>
                <w:color w:val="auto"/>
                <w:kern w:val="0"/>
                <w:sz w:val="24"/>
                <w:szCs w:val="24"/>
                <w:highlight w:val="none"/>
                <w:u w:val="single"/>
              </w:rPr>
              <w:t xml:space="preserve">       </w:t>
            </w:r>
            <w:r>
              <w:rPr>
                <w:rFonts w:hint="eastAsia"/>
                <w:color w:val="auto"/>
                <w:sz w:val="24"/>
                <w:szCs w:val="24"/>
                <w:highlight w:val="none"/>
              </w:rPr>
              <w:t>/年</w:t>
            </w:r>
            <w:r>
              <w:rPr>
                <w:color w:val="auto"/>
                <w:kern w:val="0"/>
                <w:sz w:val="24"/>
                <w:szCs w:val="24"/>
                <w:highlight w:val="none"/>
              </w:rPr>
              <w:t>。</w:t>
            </w:r>
          </w:p>
        </w:tc>
      </w:tr>
      <w:tr w14:paraId="6D811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679DB0AC">
            <w:pPr>
              <w:jc w:val="center"/>
              <w:rPr>
                <w:color w:val="auto"/>
                <w:sz w:val="24"/>
                <w:highlight w:val="none"/>
              </w:rPr>
            </w:pPr>
          </w:p>
        </w:tc>
        <w:tc>
          <w:tcPr>
            <w:tcW w:w="1260" w:type="dxa"/>
            <w:gridSpan w:val="2"/>
            <w:vMerge w:val="restart"/>
            <w:noWrap w:val="0"/>
            <w:vAlign w:val="center"/>
          </w:tcPr>
          <w:p w14:paraId="2F870DF2">
            <w:pPr>
              <w:rPr>
                <w:color w:val="auto"/>
                <w:sz w:val="24"/>
                <w:highlight w:val="none"/>
              </w:rPr>
            </w:pPr>
          </w:p>
        </w:tc>
        <w:tc>
          <w:tcPr>
            <w:tcW w:w="1365" w:type="dxa"/>
            <w:noWrap w:val="0"/>
            <w:vAlign w:val="center"/>
          </w:tcPr>
          <w:p w14:paraId="2ADB581E">
            <w:pPr>
              <w:rPr>
                <w:color w:val="auto"/>
                <w:sz w:val="24"/>
                <w:highlight w:val="none"/>
              </w:rPr>
            </w:pPr>
          </w:p>
        </w:tc>
        <w:tc>
          <w:tcPr>
            <w:tcW w:w="1155" w:type="dxa"/>
            <w:noWrap w:val="0"/>
            <w:vAlign w:val="center"/>
          </w:tcPr>
          <w:p w14:paraId="35B23A92">
            <w:pPr>
              <w:rPr>
                <w:color w:val="auto"/>
                <w:sz w:val="24"/>
                <w:highlight w:val="none"/>
              </w:rPr>
            </w:pPr>
          </w:p>
        </w:tc>
        <w:tc>
          <w:tcPr>
            <w:tcW w:w="945" w:type="dxa"/>
            <w:noWrap w:val="0"/>
            <w:vAlign w:val="center"/>
          </w:tcPr>
          <w:p w14:paraId="330D95ED">
            <w:pPr>
              <w:rPr>
                <w:color w:val="auto"/>
                <w:sz w:val="24"/>
                <w:highlight w:val="none"/>
              </w:rPr>
            </w:pPr>
          </w:p>
        </w:tc>
        <w:tc>
          <w:tcPr>
            <w:tcW w:w="2940" w:type="dxa"/>
            <w:gridSpan w:val="2"/>
            <w:noWrap w:val="0"/>
            <w:vAlign w:val="center"/>
          </w:tcPr>
          <w:p w14:paraId="744AA4DC">
            <w:pPr>
              <w:rPr>
                <w:color w:val="auto"/>
                <w:sz w:val="24"/>
                <w:highlight w:val="none"/>
              </w:rPr>
            </w:pPr>
          </w:p>
        </w:tc>
      </w:tr>
      <w:tr w14:paraId="04180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28D09184">
            <w:pPr>
              <w:jc w:val="center"/>
              <w:rPr>
                <w:color w:val="auto"/>
                <w:sz w:val="24"/>
                <w:highlight w:val="none"/>
              </w:rPr>
            </w:pPr>
          </w:p>
        </w:tc>
        <w:tc>
          <w:tcPr>
            <w:tcW w:w="1260" w:type="dxa"/>
            <w:gridSpan w:val="2"/>
            <w:vMerge w:val="continue"/>
            <w:noWrap w:val="0"/>
            <w:vAlign w:val="center"/>
          </w:tcPr>
          <w:p w14:paraId="4751F14A">
            <w:pPr>
              <w:rPr>
                <w:color w:val="auto"/>
                <w:sz w:val="24"/>
                <w:highlight w:val="none"/>
              </w:rPr>
            </w:pPr>
          </w:p>
        </w:tc>
        <w:tc>
          <w:tcPr>
            <w:tcW w:w="1365" w:type="dxa"/>
            <w:noWrap w:val="0"/>
            <w:vAlign w:val="center"/>
          </w:tcPr>
          <w:p w14:paraId="0BBE7DB9">
            <w:pPr>
              <w:rPr>
                <w:color w:val="auto"/>
                <w:sz w:val="24"/>
                <w:highlight w:val="none"/>
              </w:rPr>
            </w:pPr>
          </w:p>
        </w:tc>
        <w:tc>
          <w:tcPr>
            <w:tcW w:w="1155" w:type="dxa"/>
            <w:noWrap w:val="0"/>
            <w:vAlign w:val="center"/>
          </w:tcPr>
          <w:p w14:paraId="2231EB5B">
            <w:pPr>
              <w:rPr>
                <w:color w:val="auto"/>
                <w:sz w:val="24"/>
                <w:highlight w:val="none"/>
              </w:rPr>
            </w:pPr>
          </w:p>
        </w:tc>
        <w:tc>
          <w:tcPr>
            <w:tcW w:w="945" w:type="dxa"/>
            <w:noWrap w:val="0"/>
            <w:vAlign w:val="center"/>
          </w:tcPr>
          <w:p w14:paraId="62AAEA07">
            <w:pPr>
              <w:rPr>
                <w:color w:val="auto"/>
                <w:sz w:val="24"/>
                <w:highlight w:val="none"/>
              </w:rPr>
            </w:pPr>
          </w:p>
        </w:tc>
        <w:tc>
          <w:tcPr>
            <w:tcW w:w="2940" w:type="dxa"/>
            <w:gridSpan w:val="2"/>
            <w:noWrap w:val="0"/>
            <w:vAlign w:val="center"/>
          </w:tcPr>
          <w:p w14:paraId="5088A5BC">
            <w:pPr>
              <w:rPr>
                <w:color w:val="auto"/>
                <w:sz w:val="28"/>
                <w:highlight w:val="none"/>
              </w:rPr>
            </w:pPr>
          </w:p>
        </w:tc>
      </w:tr>
      <w:tr w14:paraId="4AA70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0EDF54A0">
            <w:pPr>
              <w:jc w:val="center"/>
              <w:rPr>
                <w:color w:val="auto"/>
                <w:sz w:val="24"/>
                <w:highlight w:val="none"/>
              </w:rPr>
            </w:pPr>
          </w:p>
        </w:tc>
        <w:tc>
          <w:tcPr>
            <w:tcW w:w="1260" w:type="dxa"/>
            <w:gridSpan w:val="2"/>
            <w:vMerge w:val="continue"/>
            <w:noWrap w:val="0"/>
            <w:vAlign w:val="center"/>
          </w:tcPr>
          <w:p w14:paraId="7DF75DD2">
            <w:pPr>
              <w:rPr>
                <w:color w:val="auto"/>
                <w:sz w:val="24"/>
                <w:highlight w:val="none"/>
              </w:rPr>
            </w:pPr>
          </w:p>
        </w:tc>
        <w:tc>
          <w:tcPr>
            <w:tcW w:w="1365" w:type="dxa"/>
            <w:noWrap w:val="0"/>
            <w:vAlign w:val="center"/>
          </w:tcPr>
          <w:p w14:paraId="6F5E4E69">
            <w:pPr>
              <w:rPr>
                <w:color w:val="auto"/>
                <w:sz w:val="24"/>
                <w:highlight w:val="none"/>
              </w:rPr>
            </w:pPr>
            <w:r>
              <w:rPr>
                <w:color w:val="auto"/>
                <w:sz w:val="24"/>
                <w:highlight w:val="none"/>
              </w:rPr>
              <w:t>……</w:t>
            </w:r>
          </w:p>
        </w:tc>
        <w:tc>
          <w:tcPr>
            <w:tcW w:w="1155" w:type="dxa"/>
            <w:noWrap w:val="0"/>
            <w:vAlign w:val="center"/>
          </w:tcPr>
          <w:p w14:paraId="3F172458">
            <w:pPr>
              <w:rPr>
                <w:color w:val="auto"/>
                <w:szCs w:val="24"/>
                <w:highlight w:val="none"/>
              </w:rPr>
            </w:pPr>
          </w:p>
        </w:tc>
        <w:tc>
          <w:tcPr>
            <w:tcW w:w="945" w:type="dxa"/>
            <w:noWrap w:val="0"/>
            <w:vAlign w:val="center"/>
          </w:tcPr>
          <w:p w14:paraId="140D214B">
            <w:pPr>
              <w:rPr>
                <w:color w:val="auto"/>
                <w:szCs w:val="24"/>
                <w:highlight w:val="none"/>
              </w:rPr>
            </w:pPr>
          </w:p>
        </w:tc>
        <w:tc>
          <w:tcPr>
            <w:tcW w:w="2940" w:type="dxa"/>
            <w:gridSpan w:val="2"/>
            <w:noWrap w:val="0"/>
            <w:vAlign w:val="center"/>
          </w:tcPr>
          <w:p w14:paraId="5A6AFA1A">
            <w:pPr>
              <w:rPr>
                <w:color w:val="auto"/>
                <w:sz w:val="24"/>
                <w:highlight w:val="none"/>
              </w:rPr>
            </w:pPr>
          </w:p>
        </w:tc>
      </w:tr>
      <w:tr w14:paraId="5129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5F7FAA81">
            <w:pPr>
              <w:jc w:val="center"/>
              <w:rPr>
                <w:color w:val="auto"/>
                <w:sz w:val="24"/>
                <w:highlight w:val="none"/>
              </w:rPr>
            </w:pPr>
          </w:p>
        </w:tc>
        <w:tc>
          <w:tcPr>
            <w:tcW w:w="7665" w:type="dxa"/>
            <w:gridSpan w:val="7"/>
            <w:noWrap w:val="0"/>
            <w:vAlign w:val="center"/>
          </w:tcPr>
          <w:p w14:paraId="54E0BD08">
            <w:pPr>
              <w:rPr>
                <w:color w:val="auto"/>
                <w:sz w:val="24"/>
                <w:highlight w:val="none"/>
              </w:rPr>
            </w:pPr>
            <w:r>
              <w:rPr>
                <w:color w:val="auto"/>
                <w:sz w:val="24"/>
                <w:szCs w:val="24"/>
                <w:highlight w:val="none"/>
              </w:rPr>
              <w:t>单个该类别人员工资福利费用</w:t>
            </w:r>
            <w:r>
              <w:rPr>
                <w:color w:val="auto"/>
                <w:sz w:val="24"/>
                <w:szCs w:val="24"/>
                <w:highlight w:val="none"/>
                <w:u w:val="single"/>
              </w:rPr>
              <w:t xml:space="preserve">        </w:t>
            </w:r>
            <w:r>
              <w:rPr>
                <w:color w:val="auto"/>
                <w:sz w:val="24"/>
                <w:szCs w:val="24"/>
                <w:highlight w:val="none"/>
              </w:rPr>
              <w:t>元</w:t>
            </w:r>
            <w:r>
              <w:rPr>
                <w:rFonts w:hint="eastAsia"/>
                <w:color w:val="auto"/>
                <w:sz w:val="24"/>
                <w:szCs w:val="24"/>
                <w:highlight w:val="none"/>
              </w:rPr>
              <w:t>/年</w:t>
            </w:r>
            <w:r>
              <w:rPr>
                <w:color w:val="auto"/>
                <w:sz w:val="24"/>
                <w:szCs w:val="24"/>
                <w:highlight w:val="none"/>
              </w:rPr>
              <w:t>。</w:t>
            </w:r>
          </w:p>
        </w:tc>
      </w:tr>
      <w:tr w14:paraId="4EBB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5EFA21E3">
            <w:pPr>
              <w:jc w:val="center"/>
              <w:rPr>
                <w:color w:val="auto"/>
                <w:sz w:val="24"/>
                <w:highlight w:val="none"/>
              </w:rPr>
            </w:pPr>
          </w:p>
        </w:tc>
        <w:tc>
          <w:tcPr>
            <w:tcW w:w="7665" w:type="dxa"/>
            <w:gridSpan w:val="7"/>
            <w:noWrap w:val="0"/>
            <w:vAlign w:val="center"/>
          </w:tcPr>
          <w:p w14:paraId="439408E0">
            <w:pPr>
              <w:rPr>
                <w:color w:val="auto"/>
                <w:sz w:val="24"/>
                <w:szCs w:val="24"/>
                <w:highlight w:val="none"/>
              </w:rPr>
            </w:pPr>
            <w:r>
              <w:rPr>
                <w:color w:val="auto"/>
                <w:sz w:val="24"/>
                <w:szCs w:val="24"/>
                <w:highlight w:val="none"/>
              </w:rPr>
              <w:t>该类别人员数量：</w:t>
            </w:r>
            <w:r>
              <w:rPr>
                <w:color w:val="auto"/>
                <w:sz w:val="24"/>
                <w:szCs w:val="24"/>
                <w:highlight w:val="none"/>
                <w:u w:val="single"/>
              </w:rPr>
              <w:t xml:space="preserve">    </w:t>
            </w:r>
            <w:r>
              <w:rPr>
                <w:color w:val="auto"/>
                <w:sz w:val="24"/>
                <w:szCs w:val="24"/>
                <w:highlight w:val="none"/>
              </w:rPr>
              <w:t>个。</w:t>
            </w:r>
          </w:p>
        </w:tc>
      </w:tr>
      <w:tr w14:paraId="2D46E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32663C6C">
            <w:pPr>
              <w:jc w:val="center"/>
              <w:rPr>
                <w:color w:val="auto"/>
                <w:sz w:val="24"/>
                <w:highlight w:val="none"/>
              </w:rPr>
            </w:pPr>
          </w:p>
        </w:tc>
        <w:tc>
          <w:tcPr>
            <w:tcW w:w="7665" w:type="dxa"/>
            <w:gridSpan w:val="7"/>
            <w:noWrap w:val="0"/>
            <w:vAlign w:val="center"/>
          </w:tcPr>
          <w:p w14:paraId="78F983EE">
            <w:pPr>
              <w:rPr>
                <w:color w:val="auto"/>
                <w:sz w:val="24"/>
                <w:szCs w:val="24"/>
                <w:highlight w:val="none"/>
              </w:rPr>
            </w:pPr>
            <w:r>
              <w:rPr>
                <w:color w:val="auto"/>
                <w:sz w:val="24"/>
                <w:szCs w:val="24"/>
                <w:highlight w:val="none"/>
              </w:rPr>
              <w:t>该类别人员</w:t>
            </w:r>
            <w:r>
              <w:rPr>
                <w:rFonts w:hint="eastAsia"/>
                <w:color w:val="auto"/>
                <w:kern w:val="0"/>
                <w:sz w:val="24"/>
                <w:szCs w:val="24"/>
                <w:highlight w:val="none"/>
              </w:rPr>
              <w:t>年度</w:t>
            </w:r>
            <w:r>
              <w:rPr>
                <w:color w:val="auto"/>
                <w:sz w:val="24"/>
                <w:szCs w:val="24"/>
                <w:highlight w:val="none"/>
              </w:rPr>
              <w:t>工资福利费用合计：</w:t>
            </w:r>
            <w:r>
              <w:rPr>
                <w:color w:val="auto"/>
                <w:sz w:val="24"/>
                <w:szCs w:val="24"/>
                <w:highlight w:val="none"/>
                <w:u w:val="single"/>
              </w:rPr>
              <w:t xml:space="preserve">       </w:t>
            </w:r>
            <w:r>
              <w:rPr>
                <w:rFonts w:hint="eastAsia"/>
                <w:color w:val="auto"/>
                <w:sz w:val="24"/>
                <w:szCs w:val="24"/>
                <w:highlight w:val="none"/>
              </w:rPr>
              <w:t>/年</w:t>
            </w:r>
            <w:r>
              <w:rPr>
                <w:color w:val="auto"/>
                <w:sz w:val="24"/>
                <w:szCs w:val="24"/>
                <w:highlight w:val="none"/>
              </w:rPr>
              <w:t>。</w:t>
            </w:r>
          </w:p>
        </w:tc>
      </w:tr>
      <w:tr w14:paraId="22D45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221F4A84">
            <w:pPr>
              <w:jc w:val="center"/>
              <w:rPr>
                <w:color w:val="auto"/>
                <w:sz w:val="24"/>
                <w:highlight w:val="none"/>
              </w:rPr>
            </w:pPr>
          </w:p>
        </w:tc>
        <w:tc>
          <w:tcPr>
            <w:tcW w:w="1260" w:type="dxa"/>
            <w:gridSpan w:val="2"/>
            <w:noWrap w:val="0"/>
            <w:vAlign w:val="center"/>
          </w:tcPr>
          <w:p w14:paraId="3A44F27B">
            <w:pPr>
              <w:rPr>
                <w:color w:val="auto"/>
                <w:sz w:val="24"/>
                <w:highlight w:val="none"/>
              </w:rPr>
            </w:pPr>
            <w:r>
              <w:rPr>
                <w:color w:val="auto"/>
                <w:sz w:val="24"/>
                <w:highlight w:val="none"/>
              </w:rPr>
              <w:t>……</w:t>
            </w:r>
          </w:p>
        </w:tc>
        <w:tc>
          <w:tcPr>
            <w:tcW w:w="1365" w:type="dxa"/>
            <w:noWrap w:val="0"/>
            <w:vAlign w:val="center"/>
          </w:tcPr>
          <w:p w14:paraId="6D1EB850">
            <w:pPr>
              <w:rPr>
                <w:color w:val="auto"/>
                <w:sz w:val="24"/>
                <w:highlight w:val="none"/>
              </w:rPr>
            </w:pPr>
          </w:p>
        </w:tc>
        <w:tc>
          <w:tcPr>
            <w:tcW w:w="1155" w:type="dxa"/>
            <w:noWrap w:val="0"/>
            <w:vAlign w:val="center"/>
          </w:tcPr>
          <w:p w14:paraId="37140E6D">
            <w:pPr>
              <w:rPr>
                <w:color w:val="auto"/>
                <w:szCs w:val="24"/>
                <w:highlight w:val="none"/>
              </w:rPr>
            </w:pPr>
          </w:p>
        </w:tc>
        <w:tc>
          <w:tcPr>
            <w:tcW w:w="945" w:type="dxa"/>
            <w:noWrap w:val="0"/>
            <w:vAlign w:val="center"/>
          </w:tcPr>
          <w:p w14:paraId="40BB9B84">
            <w:pPr>
              <w:rPr>
                <w:color w:val="auto"/>
                <w:szCs w:val="24"/>
                <w:highlight w:val="none"/>
              </w:rPr>
            </w:pPr>
          </w:p>
        </w:tc>
        <w:tc>
          <w:tcPr>
            <w:tcW w:w="2940" w:type="dxa"/>
            <w:gridSpan w:val="2"/>
            <w:noWrap w:val="0"/>
            <w:vAlign w:val="center"/>
          </w:tcPr>
          <w:p w14:paraId="21F8A0EF">
            <w:pPr>
              <w:rPr>
                <w:color w:val="auto"/>
                <w:sz w:val="24"/>
                <w:highlight w:val="none"/>
              </w:rPr>
            </w:pPr>
          </w:p>
        </w:tc>
      </w:tr>
      <w:tr w14:paraId="59925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551" w:type="dxa"/>
            <w:vMerge w:val="continue"/>
            <w:noWrap w:val="0"/>
            <w:vAlign w:val="center"/>
          </w:tcPr>
          <w:p w14:paraId="12BD822A">
            <w:pPr>
              <w:jc w:val="center"/>
              <w:rPr>
                <w:color w:val="auto"/>
                <w:sz w:val="24"/>
                <w:highlight w:val="none"/>
              </w:rPr>
            </w:pPr>
          </w:p>
        </w:tc>
        <w:tc>
          <w:tcPr>
            <w:tcW w:w="7665" w:type="dxa"/>
            <w:gridSpan w:val="7"/>
            <w:noWrap w:val="0"/>
            <w:vAlign w:val="center"/>
          </w:tcPr>
          <w:p w14:paraId="3FF72319">
            <w:pPr>
              <w:rPr>
                <w:color w:val="auto"/>
                <w:sz w:val="24"/>
                <w:highlight w:val="none"/>
              </w:rPr>
            </w:pPr>
            <w:r>
              <w:rPr>
                <w:rFonts w:hint="eastAsia" w:ascii="Times New Roman" w:hAnsi="Times New Roman" w:eastAsia="宋体" w:cs="Times New Roman"/>
                <w:color w:val="auto"/>
                <w:sz w:val="24"/>
                <w:szCs w:val="24"/>
                <w:highlight w:val="none"/>
              </w:rPr>
              <w:t>人员工资福利费用合计：</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rPr>
              <w:t xml:space="preserve">  </w:t>
            </w:r>
            <w:r>
              <w:rPr>
                <w:rFonts w:hint="eastAsia"/>
                <w:color w:val="auto"/>
                <w:sz w:val="24"/>
                <w:szCs w:val="24"/>
                <w:highlight w:val="none"/>
              </w:rPr>
              <w:t>/年</w:t>
            </w:r>
            <w:r>
              <w:rPr>
                <w:rFonts w:hint="eastAsia" w:ascii="Times New Roman" w:hAnsi="Times New Roman" w:eastAsia="宋体" w:cs="Times New Roman"/>
                <w:color w:val="auto"/>
                <w:sz w:val="24"/>
                <w:szCs w:val="24"/>
                <w:highlight w:val="none"/>
              </w:rPr>
              <w:t>。</w:t>
            </w:r>
          </w:p>
        </w:tc>
      </w:tr>
      <w:tr w14:paraId="080F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1551" w:type="dxa"/>
            <w:noWrap w:val="0"/>
            <w:vAlign w:val="center"/>
          </w:tcPr>
          <w:p w14:paraId="1ADE6A0B">
            <w:pPr>
              <w:jc w:val="center"/>
              <w:rPr>
                <w:color w:val="auto"/>
                <w:sz w:val="24"/>
                <w:szCs w:val="24"/>
                <w:highlight w:val="none"/>
              </w:rPr>
            </w:pPr>
            <w:r>
              <w:rPr>
                <w:color w:val="auto"/>
                <w:sz w:val="24"/>
                <w:szCs w:val="24"/>
                <w:highlight w:val="none"/>
              </w:rPr>
              <w:t>设备工具费用（元</w:t>
            </w:r>
            <w:r>
              <w:rPr>
                <w:rFonts w:hint="eastAsia"/>
                <w:color w:val="auto"/>
                <w:sz w:val="24"/>
                <w:szCs w:val="24"/>
                <w:highlight w:val="none"/>
              </w:rPr>
              <w:t>/年</w:t>
            </w:r>
            <w:r>
              <w:rPr>
                <w:color w:val="auto"/>
                <w:sz w:val="24"/>
                <w:szCs w:val="24"/>
                <w:highlight w:val="none"/>
              </w:rPr>
              <w:t>）</w:t>
            </w:r>
          </w:p>
        </w:tc>
        <w:tc>
          <w:tcPr>
            <w:tcW w:w="7665" w:type="dxa"/>
            <w:gridSpan w:val="7"/>
            <w:noWrap w:val="0"/>
            <w:vAlign w:val="center"/>
          </w:tcPr>
          <w:p w14:paraId="2CD7E81D">
            <w:pPr>
              <w:pStyle w:val="262"/>
              <w:rPr>
                <w:rFonts w:ascii="Times New Roman" w:hAnsi="Times New Roman"/>
                <w:color w:val="auto"/>
                <w:szCs w:val="24"/>
                <w:highlight w:val="none"/>
              </w:rPr>
            </w:pPr>
            <w:r>
              <w:rPr>
                <w:rFonts w:ascii="Times New Roman" w:hAnsi="Times New Roman"/>
                <w:color w:val="auto"/>
                <w:szCs w:val="24"/>
                <w:highlight w:val="none"/>
              </w:rPr>
              <w:t>投标人应另行列表详细说明</w:t>
            </w:r>
          </w:p>
        </w:tc>
      </w:tr>
      <w:tr w14:paraId="1437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trPr>
        <w:tc>
          <w:tcPr>
            <w:tcW w:w="1551" w:type="dxa"/>
            <w:noWrap w:val="0"/>
            <w:vAlign w:val="center"/>
          </w:tcPr>
          <w:p w14:paraId="066E9C81">
            <w:pPr>
              <w:jc w:val="center"/>
              <w:rPr>
                <w:color w:val="auto"/>
                <w:sz w:val="24"/>
                <w:szCs w:val="24"/>
                <w:highlight w:val="none"/>
              </w:rPr>
            </w:pPr>
            <w:r>
              <w:rPr>
                <w:color w:val="auto"/>
                <w:sz w:val="24"/>
                <w:szCs w:val="24"/>
                <w:highlight w:val="none"/>
              </w:rPr>
              <w:t>其他费用（元</w:t>
            </w:r>
            <w:r>
              <w:rPr>
                <w:rFonts w:hint="eastAsia"/>
                <w:color w:val="auto"/>
                <w:sz w:val="24"/>
                <w:szCs w:val="24"/>
                <w:highlight w:val="none"/>
              </w:rPr>
              <w:t>/年</w:t>
            </w:r>
            <w:r>
              <w:rPr>
                <w:color w:val="auto"/>
                <w:sz w:val="24"/>
                <w:szCs w:val="24"/>
                <w:highlight w:val="none"/>
              </w:rPr>
              <w:t>）</w:t>
            </w:r>
          </w:p>
        </w:tc>
        <w:tc>
          <w:tcPr>
            <w:tcW w:w="7665" w:type="dxa"/>
            <w:gridSpan w:val="7"/>
            <w:noWrap w:val="0"/>
            <w:vAlign w:val="center"/>
          </w:tcPr>
          <w:p w14:paraId="20C61CFF">
            <w:pPr>
              <w:pStyle w:val="262"/>
              <w:rPr>
                <w:rFonts w:ascii="Times New Roman" w:hAnsi="Times New Roman"/>
                <w:color w:val="auto"/>
                <w:szCs w:val="24"/>
                <w:highlight w:val="none"/>
              </w:rPr>
            </w:pPr>
            <w:r>
              <w:rPr>
                <w:rFonts w:ascii="Times New Roman" w:hAnsi="Times New Roman"/>
                <w:color w:val="auto"/>
                <w:szCs w:val="24"/>
                <w:highlight w:val="none"/>
              </w:rPr>
              <w:t>投标人应另行列表详细说明</w:t>
            </w:r>
          </w:p>
        </w:tc>
      </w:tr>
      <w:tr w14:paraId="7453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1551" w:type="dxa"/>
            <w:noWrap w:val="0"/>
            <w:vAlign w:val="center"/>
          </w:tcPr>
          <w:p w14:paraId="32341280">
            <w:pPr>
              <w:jc w:val="center"/>
              <w:rPr>
                <w:color w:val="auto"/>
                <w:sz w:val="24"/>
                <w:szCs w:val="24"/>
                <w:highlight w:val="none"/>
              </w:rPr>
            </w:pPr>
            <w:r>
              <w:rPr>
                <w:color w:val="auto"/>
                <w:sz w:val="24"/>
                <w:szCs w:val="24"/>
                <w:highlight w:val="none"/>
              </w:rPr>
              <w:t>税费（元</w:t>
            </w:r>
            <w:r>
              <w:rPr>
                <w:rFonts w:hint="eastAsia"/>
                <w:color w:val="auto"/>
                <w:sz w:val="24"/>
                <w:szCs w:val="24"/>
                <w:highlight w:val="none"/>
              </w:rPr>
              <w:t>/年</w:t>
            </w:r>
            <w:r>
              <w:rPr>
                <w:color w:val="auto"/>
                <w:sz w:val="24"/>
                <w:szCs w:val="24"/>
                <w:highlight w:val="none"/>
              </w:rPr>
              <w:t>）</w:t>
            </w:r>
          </w:p>
        </w:tc>
        <w:tc>
          <w:tcPr>
            <w:tcW w:w="7665" w:type="dxa"/>
            <w:gridSpan w:val="7"/>
            <w:noWrap w:val="0"/>
            <w:vAlign w:val="center"/>
          </w:tcPr>
          <w:p w14:paraId="522DE759">
            <w:pPr>
              <w:pStyle w:val="262"/>
              <w:rPr>
                <w:rFonts w:ascii="Times New Roman" w:hAnsi="Times New Roman"/>
                <w:color w:val="auto"/>
                <w:szCs w:val="24"/>
                <w:highlight w:val="none"/>
              </w:rPr>
            </w:pPr>
            <w:r>
              <w:rPr>
                <w:rFonts w:ascii="Times New Roman" w:hAnsi="Times New Roman"/>
                <w:color w:val="auto"/>
                <w:szCs w:val="24"/>
                <w:highlight w:val="none"/>
              </w:rPr>
              <w:t>投标人应列明具体计算方式</w:t>
            </w:r>
          </w:p>
        </w:tc>
      </w:tr>
      <w:tr w14:paraId="47EE2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trPr>
        <w:tc>
          <w:tcPr>
            <w:tcW w:w="1551" w:type="dxa"/>
            <w:noWrap w:val="0"/>
            <w:vAlign w:val="center"/>
          </w:tcPr>
          <w:p w14:paraId="70BD5CC7">
            <w:pPr>
              <w:jc w:val="center"/>
              <w:rPr>
                <w:color w:val="auto"/>
                <w:sz w:val="24"/>
                <w:szCs w:val="24"/>
                <w:highlight w:val="none"/>
              </w:rPr>
            </w:pPr>
            <w:r>
              <w:rPr>
                <w:color w:val="auto"/>
                <w:sz w:val="24"/>
                <w:szCs w:val="24"/>
                <w:highlight w:val="none"/>
              </w:rPr>
              <w:t>管理费及利润（元</w:t>
            </w:r>
            <w:r>
              <w:rPr>
                <w:rFonts w:hint="eastAsia"/>
                <w:color w:val="auto"/>
                <w:sz w:val="24"/>
                <w:szCs w:val="24"/>
                <w:highlight w:val="none"/>
              </w:rPr>
              <w:t>/年</w:t>
            </w:r>
            <w:r>
              <w:rPr>
                <w:color w:val="auto"/>
                <w:sz w:val="24"/>
                <w:szCs w:val="24"/>
                <w:highlight w:val="none"/>
              </w:rPr>
              <w:t>）</w:t>
            </w:r>
          </w:p>
        </w:tc>
        <w:tc>
          <w:tcPr>
            <w:tcW w:w="7665" w:type="dxa"/>
            <w:gridSpan w:val="7"/>
            <w:noWrap w:val="0"/>
            <w:vAlign w:val="center"/>
          </w:tcPr>
          <w:p w14:paraId="2D67C0E3">
            <w:pPr>
              <w:pStyle w:val="262"/>
              <w:rPr>
                <w:rFonts w:ascii="Times New Roman" w:hAnsi="Times New Roman"/>
                <w:color w:val="auto"/>
                <w:szCs w:val="24"/>
                <w:highlight w:val="none"/>
              </w:rPr>
            </w:pPr>
          </w:p>
        </w:tc>
      </w:tr>
      <w:tr w14:paraId="7B645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trPr>
        <w:tc>
          <w:tcPr>
            <w:tcW w:w="2612" w:type="dxa"/>
            <w:gridSpan w:val="2"/>
            <w:noWrap w:val="0"/>
            <w:vAlign w:val="center"/>
          </w:tcPr>
          <w:p w14:paraId="27E4E29C">
            <w:pPr>
              <w:jc w:val="center"/>
              <w:rPr>
                <w:color w:val="auto"/>
                <w:sz w:val="24"/>
                <w:szCs w:val="24"/>
                <w:highlight w:val="none"/>
              </w:rPr>
            </w:pPr>
            <w:r>
              <w:rPr>
                <w:rFonts w:hint="eastAsia"/>
                <w:b/>
                <w:bCs/>
                <w:color w:val="auto"/>
                <w:sz w:val="24"/>
                <w:szCs w:val="24"/>
                <w:highlight w:val="none"/>
                <w:lang w:val="en-US" w:eastAsia="zh-CN"/>
              </w:rPr>
              <w:t>一年</w:t>
            </w:r>
            <w:r>
              <w:rPr>
                <w:b/>
                <w:bCs/>
                <w:color w:val="auto"/>
                <w:sz w:val="24"/>
                <w:szCs w:val="24"/>
                <w:highlight w:val="none"/>
              </w:rPr>
              <w:t>合计费用（元</w:t>
            </w:r>
            <w:r>
              <w:rPr>
                <w:color w:val="auto"/>
                <w:sz w:val="24"/>
                <w:szCs w:val="24"/>
                <w:highlight w:val="none"/>
              </w:rPr>
              <w:t>）</w:t>
            </w:r>
          </w:p>
        </w:tc>
        <w:tc>
          <w:tcPr>
            <w:tcW w:w="6604" w:type="dxa"/>
            <w:gridSpan w:val="6"/>
            <w:noWrap w:val="0"/>
            <w:vAlign w:val="center"/>
          </w:tcPr>
          <w:p w14:paraId="3F346EEF">
            <w:pPr>
              <w:rPr>
                <w:color w:val="auto"/>
                <w:sz w:val="24"/>
                <w:highlight w:val="none"/>
              </w:rPr>
            </w:pPr>
          </w:p>
        </w:tc>
      </w:tr>
      <w:tr w14:paraId="6F6B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trPr>
        <w:tc>
          <w:tcPr>
            <w:tcW w:w="2612" w:type="dxa"/>
            <w:gridSpan w:val="2"/>
            <w:noWrap w:val="0"/>
            <w:vAlign w:val="center"/>
          </w:tcPr>
          <w:p w14:paraId="479C98BE">
            <w:pPr>
              <w:jc w:val="center"/>
              <w:rPr>
                <w:b/>
                <w:bCs/>
                <w:color w:val="auto"/>
                <w:sz w:val="24"/>
                <w:szCs w:val="24"/>
                <w:highlight w:val="none"/>
              </w:rPr>
            </w:pPr>
            <w:r>
              <w:rPr>
                <w:rFonts w:hint="eastAsia"/>
                <w:b/>
                <w:bCs/>
                <w:color w:val="auto"/>
                <w:sz w:val="24"/>
                <w:szCs w:val="24"/>
                <w:highlight w:val="none"/>
                <w:lang w:val="en-US" w:eastAsia="zh-CN"/>
              </w:rPr>
              <w:t>二年</w:t>
            </w:r>
            <w:r>
              <w:rPr>
                <w:b/>
                <w:bCs/>
                <w:color w:val="auto"/>
                <w:sz w:val="24"/>
                <w:szCs w:val="24"/>
                <w:highlight w:val="none"/>
              </w:rPr>
              <w:t>合计费用（元）</w:t>
            </w:r>
          </w:p>
        </w:tc>
        <w:tc>
          <w:tcPr>
            <w:tcW w:w="6604" w:type="dxa"/>
            <w:gridSpan w:val="6"/>
            <w:noWrap w:val="0"/>
            <w:vAlign w:val="center"/>
          </w:tcPr>
          <w:p w14:paraId="7BB971DC">
            <w:pPr>
              <w:rPr>
                <w:b/>
                <w:bCs/>
                <w:color w:val="auto"/>
                <w:sz w:val="24"/>
                <w:highlight w:val="none"/>
              </w:rPr>
            </w:pPr>
          </w:p>
        </w:tc>
      </w:tr>
    </w:tbl>
    <w:p w14:paraId="79697964">
      <w:pPr>
        <w:spacing w:line="460" w:lineRule="exact"/>
        <w:rPr>
          <w:bCs/>
          <w:color w:val="auto"/>
          <w:sz w:val="24"/>
          <w:highlight w:val="none"/>
        </w:rPr>
      </w:pPr>
      <w:r>
        <w:rPr>
          <w:bCs/>
          <w:color w:val="auto"/>
          <w:sz w:val="24"/>
          <w:highlight w:val="none"/>
        </w:rPr>
        <w:t>注：1、投标人应将本项目所投入的有关费用分类别依次填报在上述表格中。</w:t>
      </w:r>
    </w:p>
    <w:p w14:paraId="6D4DE846">
      <w:pPr>
        <w:spacing w:line="460" w:lineRule="exact"/>
        <w:ind w:firstLine="480" w:firstLineChars="200"/>
        <w:rPr>
          <w:bCs/>
          <w:color w:val="auto"/>
          <w:sz w:val="24"/>
          <w:highlight w:val="none"/>
        </w:rPr>
      </w:pPr>
      <w:r>
        <w:rPr>
          <w:rFonts w:hint="eastAsia"/>
          <w:bCs/>
          <w:color w:val="auto"/>
          <w:sz w:val="24"/>
          <w:highlight w:val="none"/>
          <w:lang w:val="en-US" w:eastAsia="zh-CN"/>
        </w:rPr>
        <w:t>2</w:t>
      </w:r>
      <w:r>
        <w:rPr>
          <w:bCs/>
          <w:color w:val="auto"/>
          <w:sz w:val="24"/>
          <w:highlight w:val="none"/>
        </w:rPr>
        <w:t>、</w:t>
      </w:r>
      <w:r>
        <w:rPr>
          <w:rFonts w:hint="eastAsia"/>
          <w:bCs/>
          <w:color w:val="auto"/>
          <w:sz w:val="24"/>
          <w:highlight w:val="none"/>
        </w:rPr>
        <w:t>“二年合计费用”应与“开标一览表”中的“投标总报价”相一</w:t>
      </w:r>
      <w:r>
        <w:rPr>
          <w:bCs/>
          <w:color w:val="auto"/>
          <w:sz w:val="24"/>
          <w:highlight w:val="none"/>
        </w:rPr>
        <w:t>致。</w:t>
      </w:r>
    </w:p>
    <w:p w14:paraId="77EDC3A6">
      <w:pPr>
        <w:spacing w:line="460" w:lineRule="exact"/>
        <w:ind w:firstLine="480" w:firstLineChars="200"/>
        <w:rPr>
          <w:bCs/>
          <w:color w:val="auto"/>
          <w:sz w:val="24"/>
          <w:highlight w:val="none"/>
        </w:rPr>
      </w:pPr>
      <w:r>
        <w:rPr>
          <w:rFonts w:hint="eastAsia"/>
          <w:bCs/>
          <w:color w:val="auto"/>
          <w:sz w:val="24"/>
          <w:highlight w:val="none"/>
          <w:lang w:val="en-US" w:eastAsia="zh-CN"/>
        </w:rPr>
        <w:t>3</w:t>
      </w:r>
      <w:r>
        <w:rPr>
          <w:bCs/>
          <w:color w:val="auto"/>
          <w:sz w:val="24"/>
          <w:highlight w:val="none"/>
        </w:rPr>
        <w:t>、如有需要说明的事项，请在备注中列明。</w:t>
      </w:r>
    </w:p>
    <w:p w14:paraId="7B7AB2B9">
      <w:pPr>
        <w:pStyle w:val="22"/>
        <w:rPr>
          <w:color w:val="auto"/>
          <w:highlight w:val="none"/>
        </w:rPr>
      </w:pPr>
    </w:p>
    <w:p w14:paraId="6FD1570C">
      <w:pPr>
        <w:widowControl/>
        <w:jc w:val="left"/>
        <w:rPr>
          <w:color w:val="auto"/>
          <w:sz w:val="24"/>
          <w:szCs w:val="24"/>
          <w:highlight w:val="none"/>
        </w:rPr>
      </w:pPr>
      <w:r>
        <w:rPr>
          <w:color w:val="auto"/>
          <w:sz w:val="24"/>
          <w:szCs w:val="24"/>
          <w:highlight w:val="none"/>
        </w:rPr>
        <w:br w:type="page"/>
      </w:r>
    </w:p>
    <w:p w14:paraId="4D054D54">
      <w:pPr>
        <w:pStyle w:val="76"/>
        <w:ind w:firstLine="0"/>
        <w:jc w:val="center"/>
        <w:outlineLvl w:val="1"/>
        <w:rPr>
          <w:b/>
          <w:bCs/>
          <w:color w:val="auto"/>
          <w:sz w:val="24"/>
          <w:szCs w:val="32"/>
          <w:highlight w:val="none"/>
        </w:rPr>
      </w:pPr>
      <w:bookmarkStart w:id="138" w:name="_Toc207093987"/>
      <w:bookmarkStart w:id="139" w:name="_Toc204601695"/>
      <w:bookmarkStart w:id="140" w:name="_Toc2279"/>
      <w:r>
        <w:rPr>
          <w:rFonts w:hint="eastAsia" w:ascii="Times New Roman"/>
          <w:b/>
          <w:bCs/>
          <w:color w:val="auto"/>
          <w:szCs w:val="28"/>
          <w:highlight w:val="none"/>
        </w:rPr>
        <w:t>附件</w:t>
      </w:r>
      <w:bookmarkEnd w:id="138"/>
      <w:bookmarkEnd w:id="139"/>
      <w:r>
        <w:rPr>
          <w:rFonts w:hint="eastAsia" w:ascii="Times New Roman"/>
          <w:b/>
          <w:bCs/>
          <w:color w:val="auto"/>
          <w:szCs w:val="28"/>
          <w:highlight w:val="none"/>
          <w:lang w:val="en-US" w:eastAsia="zh-CN"/>
        </w:rPr>
        <w:t>3</w:t>
      </w:r>
      <w:r>
        <w:rPr>
          <w:rFonts w:hint="eastAsia" w:ascii="Times New Roman"/>
          <w:b/>
          <w:bCs/>
          <w:color w:val="auto"/>
          <w:szCs w:val="28"/>
          <w:highlight w:val="none"/>
        </w:rPr>
        <w:t>投标人资格声明函</w:t>
      </w:r>
      <w:bookmarkEnd w:id="140"/>
    </w:p>
    <w:p w14:paraId="2E96A75B">
      <w:pPr>
        <w:keepNext w:val="0"/>
        <w:keepLines w:val="0"/>
        <w:pageBreakBefore w:val="0"/>
        <w:kinsoku/>
        <w:wordWrap/>
        <w:overflowPunct/>
        <w:topLinePunct w:val="0"/>
        <w:autoSpaceDE/>
        <w:autoSpaceDN/>
        <w:bidi w:val="0"/>
        <w:adjustRightInd/>
        <w:snapToGrid/>
        <w:spacing w:line="600" w:lineRule="exact"/>
        <w:ind w:firstLine="24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致：常熟虞东招标代理有限公司</w:t>
      </w:r>
    </w:p>
    <w:p w14:paraId="01F551BB">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在参与本次项目投标中，我单位承诺：</w:t>
      </w:r>
    </w:p>
    <w:p w14:paraId="2E857CD1">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（一）具有良好的商业信誉和健全的财务会计制度；</w:t>
      </w:r>
    </w:p>
    <w:p w14:paraId="42994FDF">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（二）具有履行合同所必需的设备和专业技术能力；</w:t>
      </w:r>
    </w:p>
    <w:p w14:paraId="5352C201">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（三）有依法缴纳税收和社会保障资金的良好记录；</w:t>
      </w:r>
    </w:p>
    <w:p w14:paraId="41DBCBBF">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hAnsi="宋体"/>
          <w:color w:val="auto"/>
          <w:kern w:val="2"/>
          <w:sz w:val="24"/>
          <w:szCs w:val="24"/>
          <w:highlight w:val="none"/>
        </w:rPr>
      </w:pPr>
      <w:r>
        <w:rPr>
          <w:rFonts w:hint="eastAsia" w:ascii="宋体" w:hAnsi="宋体"/>
          <w:color w:val="auto"/>
          <w:kern w:val="2"/>
          <w:sz w:val="24"/>
          <w:szCs w:val="24"/>
          <w:highlight w:val="none"/>
        </w:rPr>
        <w:t>（四）参加政府采购活动前三年内，在经营活动中没有重大违法记录；</w:t>
      </w:r>
    </w:p>
    <w:p w14:paraId="451F436C">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w:t>
      </w:r>
      <w:r>
        <w:rPr>
          <w:rFonts w:hint="eastAsia" w:ascii="宋体" w:hAnsi="宋体"/>
          <w:color w:val="auto"/>
          <w:kern w:val="2"/>
          <w:sz w:val="24"/>
          <w:szCs w:val="24"/>
          <w:highlight w:val="none"/>
          <w:lang w:val="en-US" w:eastAsia="zh-CN"/>
        </w:rPr>
        <w:t>五</w:t>
      </w:r>
      <w:r>
        <w:rPr>
          <w:rFonts w:hint="eastAsia" w:ascii="宋体" w:hAnsi="宋体"/>
          <w:color w:val="auto"/>
          <w:kern w:val="2"/>
          <w:sz w:val="24"/>
          <w:szCs w:val="24"/>
          <w:highlight w:val="none"/>
        </w:rPr>
        <w:t>）与我单位存在“单位负责人为同一人或者存在直接控股、管理关系”的其他单位信息如下（如有，不论其是否参加同一合同项下的政府采购活动均须填写）：</w:t>
      </w:r>
    </w:p>
    <w:tbl>
      <w:tblPr>
        <w:tblStyle w:val="56"/>
        <w:tblW w:w="89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6"/>
        <w:gridCol w:w="4031"/>
        <w:gridCol w:w="3969"/>
      </w:tblGrid>
      <w:tr w14:paraId="5AB20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jc w:val="center"/>
        </w:trPr>
        <w:tc>
          <w:tcPr>
            <w:tcW w:w="976" w:type="dxa"/>
            <w:vAlign w:val="center"/>
          </w:tcPr>
          <w:p w14:paraId="3FA40FBF">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序号</w:t>
            </w:r>
          </w:p>
        </w:tc>
        <w:tc>
          <w:tcPr>
            <w:tcW w:w="4031" w:type="dxa"/>
            <w:vAlign w:val="center"/>
          </w:tcPr>
          <w:p w14:paraId="18CB0BAC">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单位名称</w:t>
            </w:r>
          </w:p>
        </w:tc>
        <w:tc>
          <w:tcPr>
            <w:tcW w:w="3969" w:type="dxa"/>
            <w:vAlign w:val="center"/>
          </w:tcPr>
          <w:p w14:paraId="3BE31DD5">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相互关系</w:t>
            </w:r>
          </w:p>
        </w:tc>
      </w:tr>
      <w:tr w14:paraId="23A79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tcPr>
          <w:p w14:paraId="177527D2">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w:t>
            </w:r>
          </w:p>
        </w:tc>
        <w:tc>
          <w:tcPr>
            <w:tcW w:w="4031" w:type="dxa"/>
            <w:vAlign w:val="center"/>
          </w:tcPr>
          <w:p w14:paraId="6F73206C">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宋体" w:hAnsi="宋体" w:cs="宋体"/>
                <w:bCs/>
                <w:color w:val="auto"/>
                <w:kern w:val="2"/>
                <w:sz w:val="24"/>
                <w:szCs w:val="24"/>
                <w:highlight w:val="none"/>
              </w:rPr>
            </w:pPr>
          </w:p>
        </w:tc>
        <w:tc>
          <w:tcPr>
            <w:tcW w:w="3969" w:type="dxa"/>
            <w:vAlign w:val="center"/>
          </w:tcPr>
          <w:p w14:paraId="73C1AD6D">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宋体" w:hAnsi="宋体" w:cs="宋体"/>
                <w:bCs/>
                <w:color w:val="auto"/>
                <w:kern w:val="2"/>
                <w:sz w:val="24"/>
                <w:szCs w:val="24"/>
                <w:highlight w:val="none"/>
              </w:rPr>
            </w:pPr>
          </w:p>
        </w:tc>
      </w:tr>
      <w:tr w14:paraId="1D9FB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tcPr>
          <w:p w14:paraId="45BF3230">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w:t>
            </w:r>
          </w:p>
        </w:tc>
        <w:tc>
          <w:tcPr>
            <w:tcW w:w="4031" w:type="dxa"/>
            <w:vAlign w:val="center"/>
          </w:tcPr>
          <w:p w14:paraId="063C1C1A">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宋体" w:hAnsi="宋体" w:cs="宋体"/>
                <w:bCs/>
                <w:color w:val="auto"/>
                <w:kern w:val="2"/>
                <w:sz w:val="24"/>
                <w:szCs w:val="24"/>
                <w:highlight w:val="none"/>
              </w:rPr>
            </w:pPr>
          </w:p>
        </w:tc>
        <w:tc>
          <w:tcPr>
            <w:tcW w:w="3969" w:type="dxa"/>
            <w:vAlign w:val="center"/>
          </w:tcPr>
          <w:p w14:paraId="503368E7">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宋体" w:hAnsi="宋体" w:cs="宋体"/>
                <w:bCs/>
                <w:color w:val="auto"/>
                <w:kern w:val="2"/>
                <w:sz w:val="24"/>
                <w:szCs w:val="24"/>
                <w:highlight w:val="none"/>
              </w:rPr>
            </w:pPr>
          </w:p>
        </w:tc>
      </w:tr>
      <w:tr w14:paraId="0F799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tcPr>
          <w:p w14:paraId="34998B66">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宋体" w:hAnsi="宋体" w:cs="宋体"/>
                <w:bCs/>
                <w:color w:val="auto"/>
                <w:kern w:val="2"/>
                <w:sz w:val="24"/>
                <w:szCs w:val="24"/>
                <w:highlight w:val="none"/>
              </w:rPr>
            </w:pPr>
            <w:r>
              <w:rPr>
                <w:rFonts w:ascii="宋体" w:hAnsi="宋体" w:cs="宋体"/>
                <w:bCs/>
                <w:color w:val="auto"/>
                <w:kern w:val="2"/>
                <w:sz w:val="24"/>
                <w:szCs w:val="24"/>
                <w:highlight w:val="none"/>
              </w:rPr>
              <w:t>…</w:t>
            </w:r>
          </w:p>
        </w:tc>
        <w:tc>
          <w:tcPr>
            <w:tcW w:w="4031" w:type="dxa"/>
            <w:vAlign w:val="center"/>
          </w:tcPr>
          <w:p w14:paraId="2ED91F08">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宋体" w:hAnsi="宋体" w:cs="宋体"/>
                <w:bCs/>
                <w:color w:val="auto"/>
                <w:kern w:val="2"/>
                <w:sz w:val="24"/>
                <w:szCs w:val="24"/>
                <w:highlight w:val="none"/>
              </w:rPr>
            </w:pPr>
          </w:p>
        </w:tc>
        <w:tc>
          <w:tcPr>
            <w:tcW w:w="3969" w:type="dxa"/>
            <w:vAlign w:val="center"/>
          </w:tcPr>
          <w:p w14:paraId="50AECC69">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宋体" w:hAnsi="宋体" w:cs="宋体"/>
                <w:bCs/>
                <w:color w:val="auto"/>
                <w:kern w:val="2"/>
                <w:sz w:val="24"/>
                <w:szCs w:val="24"/>
                <w:highlight w:val="none"/>
              </w:rPr>
            </w:pPr>
          </w:p>
        </w:tc>
      </w:tr>
    </w:tbl>
    <w:p w14:paraId="2990E915">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color w:val="auto"/>
          <w:kern w:val="2"/>
          <w:sz w:val="24"/>
          <w:szCs w:val="24"/>
          <w:highlight w:val="none"/>
        </w:rPr>
      </w:pPr>
      <w:r>
        <w:rPr>
          <w:rFonts w:hint="eastAsia"/>
          <w:color w:val="auto"/>
          <w:kern w:val="2"/>
          <w:sz w:val="24"/>
          <w:szCs w:val="24"/>
          <w:highlight w:val="none"/>
        </w:rPr>
        <w:t>注：供应商应按实填写，如果没有请填“无”。</w:t>
      </w:r>
    </w:p>
    <w:p w14:paraId="25E2171B">
      <w:pPr>
        <w:keepNext w:val="0"/>
        <w:keepLines w:val="0"/>
        <w:pageBreakBefore w:val="0"/>
        <w:kinsoku/>
        <w:wordWrap/>
        <w:overflowPunct/>
        <w:topLinePunct w:val="0"/>
        <w:autoSpaceDE/>
        <w:autoSpaceDN/>
        <w:bidi w:val="0"/>
        <w:adjustRightInd/>
        <w:snapToGrid/>
        <w:spacing w:line="600" w:lineRule="exact"/>
        <w:ind w:firstLine="480" w:firstLineChars="200"/>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上述声明真实有效，否则我方负全部责任。</w:t>
      </w:r>
    </w:p>
    <w:p w14:paraId="00546244">
      <w:pPr>
        <w:pStyle w:val="22"/>
        <w:rPr>
          <w:rFonts w:hint="eastAsia" w:ascii="宋体" w:hAnsi="宋体"/>
          <w:color w:val="auto"/>
          <w:sz w:val="24"/>
          <w:szCs w:val="24"/>
          <w:highlight w:val="none"/>
        </w:rPr>
      </w:pPr>
    </w:p>
    <w:p w14:paraId="4BBE6819">
      <w:pPr>
        <w:spacing w:line="600" w:lineRule="exact"/>
        <w:ind w:firstLine="492"/>
        <w:rPr>
          <w:rFonts w:hint="eastAsia" w:ascii="宋体" w:hAnsi="宋体"/>
          <w:bCs/>
          <w:color w:val="auto"/>
          <w:sz w:val="24"/>
          <w:szCs w:val="21"/>
          <w:highlight w:val="none"/>
        </w:rPr>
      </w:pPr>
    </w:p>
    <w:p w14:paraId="62AC6DA8">
      <w:pPr>
        <w:spacing w:line="440" w:lineRule="exact"/>
        <w:ind w:right="1442" w:firstLine="360"/>
        <w:jc w:val="right"/>
        <w:rPr>
          <w:rFonts w:hint="eastAsia" w:ascii="宋体" w:hAnsi="宋体"/>
          <w:color w:val="auto"/>
          <w:sz w:val="24"/>
          <w:szCs w:val="21"/>
          <w:highlight w:val="none"/>
        </w:rPr>
      </w:pPr>
      <w:r>
        <w:rPr>
          <w:rFonts w:hint="eastAsia" w:ascii="宋体" w:hAnsi="宋体"/>
          <w:color w:val="auto"/>
          <w:sz w:val="24"/>
          <w:szCs w:val="21"/>
          <w:highlight w:val="none"/>
        </w:rPr>
        <w:t>投标人名称</w:t>
      </w:r>
      <w:r>
        <w:rPr>
          <w:rFonts w:hint="eastAsia" w:ascii="宋体" w:hAnsi="宋体"/>
          <w:b/>
          <w:color w:val="auto"/>
          <w:sz w:val="24"/>
          <w:szCs w:val="24"/>
          <w:highlight w:val="none"/>
        </w:rPr>
        <w:t>（加盖CA电子公章）</w:t>
      </w:r>
      <w:r>
        <w:rPr>
          <w:rFonts w:hint="eastAsia" w:ascii="宋体" w:hAnsi="宋体"/>
          <w:color w:val="auto"/>
          <w:sz w:val="24"/>
          <w:szCs w:val="21"/>
          <w:highlight w:val="none"/>
        </w:rPr>
        <w:t>：</w:t>
      </w:r>
    </w:p>
    <w:p w14:paraId="0248244E">
      <w:pPr>
        <w:spacing w:line="440" w:lineRule="exact"/>
        <w:ind w:right="3602" w:firstLine="360"/>
        <w:jc w:val="center"/>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日期：</w:t>
      </w:r>
    </w:p>
    <w:p w14:paraId="52D761A1">
      <w:pPr>
        <w:spacing w:line="440" w:lineRule="exact"/>
        <w:ind w:right="3602" w:firstLine="360"/>
        <w:jc w:val="center"/>
        <w:rPr>
          <w:rFonts w:hint="eastAsia" w:ascii="宋体" w:hAnsi="宋体"/>
          <w:color w:val="auto"/>
          <w:sz w:val="24"/>
          <w:szCs w:val="21"/>
          <w:highlight w:val="none"/>
        </w:rPr>
      </w:pPr>
    </w:p>
    <w:p w14:paraId="2346AC38">
      <w:pPr>
        <w:spacing w:line="440" w:lineRule="exact"/>
        <w:ind w:right="3602" w:firstLine="360"/>
        <w:jc w:val="center"/>
        <w:rPr>
          <w:rFonts w:hint="eastAsia" w:ascii="宋体" w:hAnsi="宋体"/>
          <w:color w:val="auto"/>
          <w:sz w:val="24"/>
          <w:szCs w:val="21"/>
          <w:highlight w:val="none"/>
        </w:rPr>
      </w:pPr>
    </w:p>
    <w:p w14:paraId="0BF7B96D">
      <w:pPr>
        <w:rPr>
          <w:rFonts w:hint="eastAsia" w:ascii="宋体" w:hAnsi="宋体"/>
          <w:color w:val="auto"/>
          <w:sz w:val="24"/>
          <w:szCs w:val="21"/>
          <w:highlight w:val="none"/>
        </w:rPr>
      </w:pPr>
      <w:r>
        <w:rPr>
          <w:rFonts w:hint="eastAsia" w:ascii="宋体" w:hAnsi="宋体"/>
          <w:color w:val="auto"/>
          <w:sz w:val="24"/>
          <w:szCs w:val="21"/>
          <w:highlight w:val="none"/>
        </w:rPr>
        <w:br w:type="page"/>
      </w:r>
    </w:p>
    <w:p w14:paraId="64824D11">
      <w:pPr>
        <w:pStyle w:val="76"/>
        <w:ind w:firstLine="0"/>
        <w:jc w:val="center"/>
        <w:outlineLvl w:val="1"/>
        <w:rPr>
          <w:rFonts w:hint="eastAsia" w:ascii="Times New Roman"/>
          <w:b/>
          <w:bCs/>
          <w:color w:val="auto"/>
          <w:szCs w:val="28"/>
          <w:highlight w:val="none"/>
        </w:rPr>
      </w:pPr>
      <w:bookmarkStart w:id="141" w:name="_Toc32239"/>
      <w:r>
        <w:rPr>
          <w:rFonts w:hint="eastAsia" w:ascii="Times New Roman"/>
          <w:b/>
          <w:bCs/>
          <w:color w:val="auto"/>
          <w:szCs w:val="28"/>
          <w:highlight w:val="none"/>
        </w:rPr>
        <w:t>附件</w:t>
      </w:r>
      <w:r>
        <w:rPr>
          <w:rFonts w:hint="eastAsia" w:ascii="Times New Roman"/>
          <w:b/>
          <w:bCs/>
          <w:color w:val="auto"/>
          <w:szCs w:val="28"/>
          <w:highlight w:val="none"/>
          <w:lang w:val="en-US" w:eastAsia="zh-CN"/>
        </w:rPr>
        <w:t>4</w:t>
      </w:r>
      <w:r>
        <w:rPr>
          <w:rFonts w:hint="eastAsia" w:ascii="Times New Roman"/>
          <w:b/>
          <w:bCs/>
          <w:color w:val="auto"/>
          <w:szCs w:val="28"/>
          <w:highlight w:val="none"/>
        </w:rPr>
        <w:t>中小企业声明函</w:t>
      </w:r>
      <w:bookmarkEnd w:id="141"/>
    </w:p>
    <w:p w14:paraId="20467F01">
      <w:pPr>
        <w:spacing w:line="560" w:lineRule="exact"/>
        <w:ind w:firstLine="360"/>
        <w:rPr>
          <w:color w:val="auto"/>
          <w:sz w:val="24"/>
          <w:szCs w:val="21"/>
          <w:highlight w:val="none"/>
        </w:rPr>
      </w:pPr>
      <w:r>
        <w:rPr>
          <w:color w:val="auto"/>
          <w:sz w:val="24"/>
          <w:szCs w:val="21"/>
          <w:highlight w:val="none"/>
        </w:rPr>
        <w:t>本公司郑重声明，根据《政府采购促进中小企业发展管理办法》（财库[2020]46号）的规定，本公司参加</w:t>
      </w:r>
      <w:r>
        <w:rPr>
          <w:rFonts w:hint="eastAsia"/>
          <w:color w:val="auto"/>
          <w:sz w:val="24"/>
          <w:szCs w:val="21"/>
          <w:highlight w:val="none"/>
          <w:u w:val="single"/>
          <w:lang w:eastAsia="zh-CN"/>
        </w:rPr>
        <w:t>常熟市琴川街道社区卫生服务中心</w:t>
      </w:r>
      <w:r>
        <w:rPr>
          <w:color w:val="auto"/>
          <w:sz w:val="24"/>
          <w:szCs w:val="21"/>
          <w:highlight w:val="none"/>
          <w:lang w:val="zh-CN"/>
        </w:rPr>
        <w:t>的</w:t>
      </w:r>
      <w:r>
        <w:rPr>
          <w:rFonts w:hint="eastAsia"/>
          <w:color w:val="auto"/>
          <w:sz w:val="24"/>
          <w:szCs w:val="24"/>
          <w:highlight w:val="none"/>
          <w:u w:val="single"/>
          <w:lang w:eastAsia="zh-CN"/>
        </w:rPr>
        <w:t>琴川街道社区卫生服务中心安全服务</w:t>
      </w:r>
      <w:r>
        <w:rPr>
          <w:color w:val="auto"/>
          <w:sz w:val="24"/>
          <w:szCs w:val="21"/>
          <w:highlight w:val="none"/>
        </w:rPr>
        <w:t>采购活动，</w:t>
      </w:r>
      <w:r>
        <w:rPr>
          <w:rFonts w:hint="eastAsia"/>
          <w:color w:val="auto"/>
          <w:sz w:val="24"/>
          <w:szCs w:val="22"/>
          <w:highlight w:val="none"/>
        </w:rPr>
        <w:t>服务全部由符合政策要求的中小企业承接。相关企业的具体情况如下</w:t>
      </w:r>
      <w:r>
        <w:rPr>
          <w:color w:val="auto"/>
          <w:sz w:val="24"/>
          <w:szCs w:val="21"/>
          <w:highlight w:val="none"/>
        </w:rPr>
        <w:t>：</w:t>
      </w:r>
    </w:p>
    <w:p w14:paraId="208E45CB">
      <w:pPr>
        <w:widowControl/>
        <w:spacing w:line="480" w:lineRule="exact"/>
        <w:ind w:firstLine="480"/>
        <w:jc w:val="left"/>
        <w:rPr>
          <w:color w:val="auto"/>
          <w:sz w:val="24"/>
          <w:szCs w:val="24"/>
          <w:highlight w:val="none"/>
        </w:rPr>
      </w:pPr>
      <w:r>
        <w:rPr>
          <w:rFonts w:hint="eastAsia"/>
          <w:color w:val="auto"/>
          <w:sz w:val="24"/>
          <w:szCs w:val="24"/>
          <w:highlight w:val="none"/>
          <w:u w:val="single"/>
          <w:lang w:eastAsia="zh-CN"/>
        </w:rPr>
        <w:t>琴川街道社区卫生服务中心安全服务</w:t>
      </w:r>
      <w:r>
        <w:rPr>
          <w:color w:val="auto"/>
          <w:sz w:val="24"/>
          <w:szCs w:val="24"/>
          <w:highlight w:val="none"/>
        </w:rPr>
        <w:t>，属于</w:t>
      </w:r>
      <w:r>
        <w:rPr>
          <w:rFonts w:hint="eastAsia" w:ascii="宋体" w:hAnsi="宋体" w:cs="仿宋"/>
          <w:color w:val="auto"/>
          <w:sz w:val="24"/>
          <w:szCs w:val="24"/>
          <w:highlight w:val="none"/>
          <w:u w:val="single"/>
          <w:lang w:eastAsia="zh-CN"/>
        </w:rPr>
        <w:t>租赁和商务服务业</w:t>
      </w:r>
      <w:r>
        <w:rPr>
          <w:color w:val="auto"/>
          <w:sz w:val="24"/>
          <w:szCs w:val="24"/>
          <w:highlight w:val="none"/>
        </w:rPr>
        <w:t>；</w:t>
      </w:r>
      <w:r>
        <w:rPr>
          <w:color w:val="auto"/>
          <w:sz w:val="24"/>
          <w:szCs w:val="22"/>
          <w:highlight w:val="none"/>
        </w:rPr>
        <w:t>承接企业为</w:t>
      </w:r>
      <w:r>
        <w:rPr>
          <w:color w:val="auto"/>
          <w:sz w:val="24"/>
          <w:szCs w:val="22"/>
          <w:highlight w:val="none"/>
          <w:u w:val="single"/>
        </w:rPr>
        <w:t>（企业名称）</w:t>
      </w:r>
      <w:r>
        <w:rPr>
          <w:color w:val="auto"/>
          <w:sz w:val="24"/>
          <w:szCs w:val="22"/>
          <w:highlight w:val="none"/>
        </w:rPr>
        <w:t>，从业人员</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color w:val="auto"/>
          <w:sz w:val="24"/>
          <w:szCs w:val="22"/>
          <w:highlight w:val="none"/>
        </w:rPr>
        <w:t>人，营业收入为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color w:val="auto"/>
          <w:sz w:val="24"/>
          <w:szCs w:val="22"/>
          <w:highlight w:val="none"/>
        </w:rPr>
        <w:t>万元，资产总额为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color w:val="auto"/>
          <w:sz w:val="24"/>
          <w:szCs w:val="22"/>
          <w:highlight w:val="none"/>
        </w:rPr>
        <w:t>万元，属于</w:t>
      </w:r>
      <w:r>
        <w:rPr>
          <w:color w:val="auto"/>
          <w:sz w:val="24"/>
          <w:szCs w:val="22"/>
          <w:highlight w:val="none"/>
          <w:u w:val="single"/>
        </w:rPr>
        <w:t>（中型企业、小型企业、微型企业）</w:t>
      </w:r>
      <w:r>
        <w:rPr>
          <w:rFonts w:hint="eastAsia"/>
          <w:color w:val="auto"/>
          <w:sz w:val="24"/>
          <w:szCs w:val="24"/>
          <w:highlight w:val="none"/>
        </w:rPr>
        <w:t>。</w:t>
      </w:r>
    </w:p>
    <w:p w14:paraId="10A69107">
      <w:pPr>
        <w:widowControl/>
        <w:spacing w:line="480" w:lineRule="exact"/>
        <w:ind w:firstLine="480"/>
        <w:jc w:val="left"/>
        <w:rPr>
          <w:color w:val="auto"/>
          <w:sz w:val="24"/>
          <w:szCs w:val="24"/>
          <w:highlight w:val="none"/>
        </w:rPr>
      </w:pPr>
    </w:p>
    <w:p w14:paraId="30D04356">
      <w:pPr>
        <w:widowControl/>
        <w:spacing w:line="480" w:lineRule="exact"/>
        <w:ind w:firstLine="482"/>
        <w:jc w:val="left"/>
        <w:rPr>
          <w:b/>
          <w:bCs/>
          <w:color w:val="auto"/>
          <w:sz w:val="24"/>
          <w:szCs w:val="24"/>
          <w:highlight w:val="none"/>
        </w:rPr>
      </w:pPr>
      <w:r>
        <w:rPr>
          <w:b/>
          <w:bCs/>
          <w:color w:val="auto"/>
          <w:sz w:val="24"/>
          <w:szCs w:val="24"/>
          <w:highlight w:val="none"/>
        </w:rPr>
        <w:t>以上企业，不属于大企业的分支机构，不存在控股股东为大企业的情形，也不存在与大企业的负责人为同一人的情形。</w:t>
      </w:r>
    </w:p>
    <w:p w14:paraId="169BA9F6">
      <w:pPr>
        <w:widowControl/>
        <w:spacing w:line="480" w:lineRule="exact"/>
        <w:ind w:firstLine="480"/>
        <w:jc w:val="left"/>
        <w:rPr>
          <w:color w:val="auto"/>
          <w:sz w:val="24"/>
          <w:szCs w:val="24"/>
          <w:highlight w:val="none"/>
        </w:rPr>
      </w:pPr>
      <w:r>
        <w:rPr>
          <w:color w:val="auto"/>
          <w:sz w:val="24"/>
          <w:szCs w:val="24"/>
          <w:highlight w:val="none"/>
        </w:rPr>
        <w:t>本企业对上述声明内容的真实性负责。如有虚假，将依法承担相应责任。</w:t>
      </w:r>
    </w:p>
    <w:p w14:paraId="1D3E04A0">
      <w:pPr>
        <w:spacing w:line="520" w:lineRule="exact"/>
        <w:ind w:firstLine="480"/>
        <w:rPr>
          <w:color w:val="auto"/>
          <w:sz w:val="24"/>
          <w:highlight w:val="none"/>
        </w:rPr>
      </w:pPr>
    </w:p>
    <w:p w14:paraId="0EE34744">
      <w:pPr>
        <w:spacing w:line="520" w:lineRule="exact"/>
        <w:rPr>
          <w:color w:val="auto"/>
          <w:sz w:val="24"/>
          <w:highlight w:val="none"/>
        </w:rPr>
      </w:pPr>
    </w:p>
    <w:p w14:paraId="087BF831">
      <w:pPr>
        <w:spacing w:line="560" w:lineRule="exact"/>
        <w:ind w:right="2640" w:firstLine="360" w:firstLineChars="150"/>
        <w:jc w:val="right"/>
        <w:rPr>
          <w:rFonts w:hint="eastAsia" w:ascii="宋体" w:hAnsi="宋体"/>
          <w:color w:val="auto"/>
          <w:sz w:val="24"/>
          <w:szCs w:val="21"/>
          <w:highlight w:val="none"/>
        </w:rPr>
      </w:pPr>
      <w:r>
        <w:rPr>
          <w:rFonts w:hint="eastAsia" w:ascii="宋体" w:hAnsi="宋体"/>
          <w:color w:val="auto"/>
          <w:sz w:val="24"/>
          <w:szCs w:val="21"/>
          <w:highlight w:val="none"/>
        </w:rPr>
        <w:t>投标人名称</w:t>
      </w:r>
      <w:r>
        <w:rPr>
          <w:rFonts w:hint="eastAsia" w:ascii="宋体" w:hAnsi="宋体"/>
          <w:b/>
          <w:bCs/>
          <w:color w:val="auto"/>
          <w:sz w:val="24"/>
          <w:szCs w:val="24"/>
          <w:highlight w:val="none"/>
        </w:rPr>
        <w:t>（加盖CA电子公章）</w:t>
      </w:r>
      <w:r>
        <w:rPr>
          <w:rFonts w:hint="eastAsia" w:ascii="宋体" w:hAnsi="宋体"/>
          <w:b/>
          <w:bCs/>
          <w:color w:val="auto"/>
          <w:sz w:val="24"/>
          <w:szCs w:val="21"/>
          <w:highlight w:val="none"/>
        </w:rPr>
        <w:t>：</w:t>
      </w:r>
    </w:p>
    <w:p w14:paraId="4E42DFCD">
      <w:pPr>
        <w:spacing w:line="560" w:lineRule="exact"/>
        <w:ind w:right="2640" w:firstLine="360" w:firstLineChars="150"/>
        <w:jc w:val="right"/>
        <w:rPr>
          <w:rFonts w:hint="eastAsia" w:ascii="宋体" w:hAnsi="宋体"/>
          <w:color w:val="auto"/>
          <w:sz w:val="24"/>
          <w:szCs w:val="21"/>
          <w:highlight w:val="none"/>
        </w:rPr>
      </w:pPr>
      <w:r>
        <w:rPr>
          <w:rFonts w:hint="eastAsia" w:ascii="宋体" w:hAnsi="宋体"/>
          <w:color w:val="auto"/>
          <w:sz w:val="24"/>
          <w:szCs w:val="21"/>
          <w:highlight w:val="none"/>
        </w:rPr>
        <w:t>日  期：</w:t>
      </w:r>
    </w:p>
    <w:p w14:paraId="7F7DDE86">
      <w:pPr>
        <w:pStyle w:val="22"/>
        <w:rPr>
          <w:color w:val="auto"/>
          <w:highlight w:val="none"/>
        </w:rPr>
      </w:pPr>
    </w:p>
    <w:p w14:paraId="501F2E23">
      <w:pPr>
        <w:spacing w:line="420" w:lineRule="exact"/>
        <w:ind w:firstLine="480"/>
        <w:rPr>
          <w:color w:val="auto"/>
          <w:sz w:val="24"/>
          <w:szCs w:val="24"/>
          <w:highlight w:val="none"/>
        </w:rPr>
      </w:pPr>
      <w:r>
        <w:rPr>
          <w:rFonts w:hint="eastAsia"/>
          <w:color w:val="auto"/>
          <w:sz w:val="24"/>
          <w:szCs w:val="24"/>
          <w:highlight w:val="none"/>
        </w:rPr>
        <w:t>注：（1）从业人员、营业收入、资产总额填报上一年度数据，无上一年度数据的新成立企业可不填报。</w:t>
      </w:r>
    </w:p>
    <w:p w14:paraId="7487D2EB">
      <w:pPr>
        <w:spacing w:line="420" w:lineRule="exact"/>
        <w:ind w:firstLine="482"/>
        <w:jc w:val="left"/>
        <w:rPr>
          <w:b/>
          <w:bCs/>
          <w:color w:val="auto"/>
          <w:sz w:val="24"/>
          <w:szCs w:val="24"/>
          <w:highlight w:val="none"/>
        </w:rPr>
      </w:pPr>
      <w:r>
        <w:rPr>
          <w:rFonts w:hint="eastAsia"/>
          <w:b/>
          <w:bCs/>
          <w:color w:val="auto"/>
          <w:sz w:val="24"/>
          <w:szCs w:val="24"/>
          <w:highlight w:val="none"/>
        </w:rPr>
        <w:t>（</w:t>
      </w:r>
      <w:r>
        <w:rPr>
          <w:b/>
          <w:bCs/>
          <w:color w:val="auto"/>
          <w:sz w:val="24"/>
          <w:szCs w:val="24"/>
          <w:highlight w:val="none"/>
        </w:rPr>
        <w:t>2</w:t>
      </w:r>
      <w:r>
        <w:rPr>
          <w:rFonts w:hint="eastAsia"/>
          <w:b/>
          <w:bCs/>
          <w:color w:val="auto"/>
          <w:sz w:val="24"/>
          <w:szCs w:val="24"/>
          <w:highlight w:val="none"/>
        </w:rPr>
        <w:t>）本项目所属行业为：</w:t>
      </w:r>
      <w:r>
        <w:rPr>
          <w:rFonts w:hint="eastAsia"/>
          <w:b/>
          <w:bCs/>
          <w:color w:val="auto"/>
          <w:sz w:val="24"/>
          <w:szCs w:val="24"/>
          <w:highlight w:val="none"/>
          <w:lang w:eastAsia="zh-CN"/>
        </w:rPr>
        <w:t>租赁和商务服务业</w:t>
      </w:r>
      <w:r>
        <w:rPr>
          <w:rFonts w:hint="eastAsia"/>
          <w:b/>
          <w:bCs/>
          <w:color w:val="auto"/>
          <w:sz w:val="24"/>
          <w:szCs w:val="24"/>
          <w:highlight w:val="none"/>
        </w:rPr>
        <w:t>。</w:t>
      </w:r>
    </w:p>
    <w:p w14:paraId="37CC250D">
      <w:pPr>
        <w:spacing w:line="420" w:lineRule="exact"/>
        <w:ind w:firstLine="482"/>
        <w:rPr>
          <w:b/>
          <w:bCs/>
          <w:color w:val="auto"/>
          <w:sz w:val="24"/>
          <w:szCs w:val="24"/>
          <w:highlight w:val="none"/>
        </w:rPr>
      </w:pPr>
      <w:r>
        <w:rPr>
          <w:b/>
          <w:bCs/>
          <w:color w:val="auto"/>
          <w:sz w:val="24"/>
          <w:szCs w:val="24"/>
          <w:highlight w:val="none"/>
        </w:rPr>
        <w:t>（3）上述</w:t>
      </w:r>
      <w:r>
        <w:rPr>
          <w:rFonts w:hint="eastAsia"/>
          <w:b/>
          <w:bCs/>
          <w:color w:val="auto"/>
          <w:sz w:val="24"/>
          <w:szCs w:val="24"/>
          <w:highlight w:val="none"/>
        </w:rPr>
        <w:t>“</w:t>
      </w:r>
      <w:r>
        <w:rPr>
          <w:b/>
          <w:bCs/>
          <w:color w:val="auto"/>
          <w:sz w:val="24"/>
          <w:szCs w:val="24"/>
          <w:highlight w:val="none"/>
        </w:rPr>
        <w:t>中小企业声明函</w:t>
      </w:r>
      <w:r>
        <w:rPr>
          <w:rFonts w:hint="eastAsia"/>
          <w:b/>
          <w:bCs/>
          <w:color w:val="auto"/>
          <w:sz w:val="24"/>
          <w:szCs w:val="24"/>
          <w:highlight w:val="none"/>
        </w:rPr>
        <w:t>”</w:t>
      </w:r>
      <w:r>
        <w:rPr>
          <w:b/>
          <w:bCs/>
          <w:color w:val="auto"/>
          <w:sz w:val="24"/>
          <w:szCs w:val="24"/>
          <w:highlight w:val="none"/>
        </w:rPr>
        <w:t>格式原则上不得改动，因擅自改动引起的评审风险由</w:t>
      </w:r>
      <w:r>
        <w:rPr>
          <w:rFonts w:hint="eastAsia"/>
          <w:b/>
          <w:bCs/>
          <w:color w:val="auto"/>
          <w:sz w:val="24"/>
          <w:szCs w:val="24"/>
          <w:highlight w:val="none"/>
        </w:rPr>
        <w:t>投标人</w:t>
      </w:r>
      <w:r>
        <w:rPr>
          <w:b/>
          <w:bCs/>
          <w:color w:val="auto"/>
          <w:sz w:val="24"/>
          <w:szCs w:val="24"/>
          <w:highlight w:val="none"/>
        </w:rPr>
        <w:t>自行承担。</w:t>
      </w:r>
    </w:p>
    <w:p w14:paraId="300B16C9">
      <w:pPr>
        <w:spacing w:line="420" w:lineRule="exact"/>
        <w:ind w:firstLine="482"/>
        <w:rPr>
          <w:color w:val="auto"/>
          <w:sz w:val="24"/>
          <w:szCs w:val="24"/>
          <w:highlight w:val="none"/>
        </w:rPr>
      </w:pPr>
      <w:bookmarkStart w:id="142" w:name="_Hlk100143292"/>
      <w:r>
        <w:rPr>
          <w:rFonts w:hint="eastAsia"/>
          <w:b/>
          <w:bCs/>
          <w:color w:val="auto"/>
          <w:sz w:val="24"/>
          <w:szCs w:val="24"/>
          <w:highlight w:val="none"/>
        </w:rPr>
        <w:t>（</w:t>
      </w:r>
      <w:r>
        <w:rPr>
          <w:b/>
          <w:bCs/>
          <w:color w:val="auto"/>
          <w:sz w:val="24"/>
          <w:szCs w:val="24"/>
          <w:highlight w:val="none"/>
        </w:rPr>
        <w:t>4</w:t>
      </w:r>
      <w:r>
        <w:rPr>
          <w:rFonts w:hint="eastAsia"/>
          <w:b/>
          <w:bCs/>
          <w:color w:val="auto"/>
          <w:sz w:val="24"/>
          <w:szCs w:val="24"/>
          <w:highlight w:val="none"/>
        </w:rPr>
        <w:t>）如未对上述声明函内（中型企业、小型企业、微型企业）进行勾选或明确，</w:t>
      </w:r>
      <w:r>
        <w:rPr>
          <w:b/>
          <w:bCs/>
          <w:color w:val="auto"/>
          <w:sz w:val="24"/>
          <w:szCs w:val="24"/>
          <w:highlight w:val="none"/>
        </w:rPr>
        <w:t>引起的评审风险由</w:t>
      </w:r>
      <w:r>
        <w:rPr>
          <w:rFonts w:hint="eastAsia"/>
          <w:b/>
          <w:bCs/>
          <w:color w:val="auto"/>
          <w:sz w:val="24"/>
          <w:szCs w:val="24"/>
          <w:highlight w:val="none"/>
        </w:rPr>
        <w:t>投标人</w:t>
      </w:r>
      <w:r>
        <w:rPr>
          <w:b/>
          <w:bCs/>
          <w:color w:val="auto"/>
          <w:sz w:val="24"/>
          <w:szCs w:val="24"/>
          <w:highlight w:val="none"/>
        </w:rPr>
        <w:t>自行承担。</w:t>
      </w:r>
      <w:bookmarkEnd w:id="142"/>
    </w:p>
    <w:p w14:paraId="5FEB2B73">
      <w:pPr>
        <w:pStyle w:val="76"/>
        <w:rPr>
          <w:color w:val="auto"/>
          <w:highlight w:val="none"/>
        </w:rPr>
      </w:pPr>
    </w:p>
    <w:p w14:paraId="5C3FA3D3">
      <w:pPr>
        <w:pStyle w:val="75"/>
        <w:rPr>
          <w:rFonts w:ascii="Times New Roman" w:hAnsi="Times New Roman" w:eastAsia="宋体"/>
          <w:color w:val="auto"/>
          <w:sz w:val="24"/>
          <w:szCs w:val="24"/>
          <w:highlight w:val="none"/>
          <w:lang w:val="zh-CN"/>
        </w:rPr>
      </w:pPr>
    </w:p>
    <w:p w14:paraId="66303FDC">
      <w:pPr>
        <w:pStyle w:val="76"/>
        <w:ind w:firstLine="0"/>
        <w:jc w:val="center"/>
        <w:outlineLvl w:val="1"/>
        <w:rPr>
          <w:color w:val="auto"/>
          <w:highlight w:val="none"/>
        </w:rPr>
      </w:pPr>
      <w:bookmarkStart w:id="143" w:name="_Toc8704"/>
      <w:r>
        <w:rPr>
          <w:color w:val="auto"/>
          <w:highlight w:val="none"/>
        </w:rPr>
        <w:br w:type="page"/>
      </w:r>
      <w:bookmarkStart w:id="144" w:name="_Toc30717"/>
      <w:r>
        <w:rPr>
          <w:rFonts w:hint="eastAsia" w:ascii="Times New Roman"/>
          <w:b/>
          <w:bCs/>
          <w:color w:val="auto"/>
          <w:szCs w:val="28"/>
          <w:highlight w:val="none"/>
        </w:rPr>
        <w:t>附件</w:t>
      </w:r>
      <w:r>
        <w:rPr>
          <w:rFonts w:hint="eastAsia" w:ascii="Times New Roman"/>
          <w:b/>
          <w:bCs/>
          <w:color w:val="auto"/>
          <w:szCs w:val="28"/>
          <w:highlight w:val="none"/>
          <w:lang w:val="en-US" w:eastAsia="zh-CN"/>
        </w:rPr>
        <w:t>5</w:t>
      </w:r>
      <w:r>
        <w:rPr>
          <w:rFonts w:hint="eastAsia" w:ascii="Times New Roman"/>
          <w:b/>
          <w:bCs/>
          <w:color w:val="auto"/>
          <w:szCs w:val="28"/>
          <w:highlight w:val="none"/>
        </w:rPr>
        <w:t>残疾人福利性单位声明函</w:t>
      </w:r>
      <w:bookmarkEnd w:id="143"/>
      <w:bookmarkEnd w:id="144"/>
    </w:p>
    <w:p w14:paraId="1F524110">
      <w:pPr>
        <w:rPr>
          <w:color w:val="auto"/>
          <w:highlight w:val="none"/>
        </w:rPr>
      </w:pPr>
    </w:p>
    <w:p w14:paraId="4322B0BF">
      <w:pPr>
        <w:pStyle w:val="256"/>
        <w:spacing w:line="700" w:lineRule="exact"/>
        <w:ind w:firstLine="480"/>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本单位郑重声明，根据《财政部民政部中国残疾人联合会关于促进残疾人就业政府采购政策的通知》（财库〔2017〕141号）的规定，本单位为符合条件的残疾人福利性单位，且本单位参加______单位的______项目采购活动由本单位提供服务。</w:t>
      </w:r>
    </w:p>
    <w:p w14:paraId="2A886C59">
      <w:pPr>
        <w:pStyle w:val="256"/>
        <w:spacing w:line="700" w:lineRule="exact"/>
        <w:ind w:firstLine="480"/>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本单位对上述声明的真实性负责。如有虚假，将依法承担相应责任。</w:t>
      </w:r>
    </w:p>
    <w:p w14:paraId="6C58E93C">
      <w:pPr>
        <w:rPr>
          <w:color w:val="auto"/>
          <w:spacing w:val="6"/>
          <w:sz w:val="24"/>
          <w:szCs w:val="24"/>
          <w:highlight w:val="none"/>
        </w:rPr>
      </w:pPr>
    </w:p>
    <w:p w14:paraId="3E01E006">
      <w:pPr>
        <w:pStyle w:val="22"/>
        <w:rPr>
          <w:color w:val="auto"/>
          <w:highlight w:val="none"/>
        </w:rPr>
      </w:pPr>
    </w:p>
    <w:p w14:paraId="094B824A">
      <w:pPr>
        <w:spacing w:line="560" w:lineRule="exact"/>
        <w:ind w:right="2640" w:firstLine="360" w:firstLineChars="150"/>
        <w:jc w:val="right"/>
        <w:rPr>
          <w:rFonts w:hint="eastAsia" w:ascii="宋体" w:hAnsi="宋体"/>
          <w:color w:val="auto"/>
          <w:sz w:val="24"/>
          <w:szCs w:val="21"/>
          <w:highlight w:val="none"/>
        </w:rPr>
      </w:pPr>
      <w:r>
        <w:rPr>
          <w:rFonts w:hint="eastAsia" w:ascii="宋体" w:hAnsi="宋体"/>
          <w:color w:val="auto"/>
          <w:sz w:val="24"/>
          <w:szCs w:val="21"/>
          <w:highlight w:val="none"/>
        </w:rPr>
        <w:t>投标人名称</w:t>
      </w:r>
      <w:r>
        <w:rPr>
          <w:rFonts w:hint="eastAsia" w:ascii="宋体" w:hAnsi="宋体"/>
          <w:b/>
          <w:bCs/>
          <w:color w:val="auto"/>
          <w:sz w:val="24"/>
          <w:szCs w:val="24"/>
          <w:highlight w:val="none"/>
        </w:rPr>
        <w:t>（加盖CA电子公章）</w:t>
      </w:r>
      <w:r>
        <w:rPr>
          <w:rFonts w:hint="eastAsia" w:ascii="宋体" w:hAnsi="宋体"/>
          <w:color w:val="auto"/>
          <w:sz w:val="24"/>
          <w:szCs w:val="21"/>
          <w:highlight w:val="none"/>
        </w:rPr>
        <w:t>：</w:t>
      </w:r>
    </w:p>
    <w:p w14:paraId="73FB6126">
      <w:pPr>
        <w:spacing w:line="560" w:lineRule="exact"/>
        <w:ind w:right="2640" w:firstLine="360" w:firstLineChars="150"/>
        <w:jc w:val="right"/>
        <w:rPr>
          <w:rFonts w:hint="eastAsia" w:ascii="宋体" w:hAnsi="宋体"/>
          <w:color w:val="auto"/>
          <w:sz w:val="24"/>
          <w:szCs w:val="21"/>
          <w:highlight w:val="none"/>
        </w:rPr>
      </w:pPr>
      <w:r>
        <w:rPr>
          <w:rFonts w:hint="eastAsia" w:ascii="宋体" w:hAnsi="宋体"/>
          <w:color w:val="auto"/>
          <w:sz w:val="24"/>
          <w:szCs w:val="21"/>
          <w:highlight w:val="none"/>
        </w:rPr>
        <w:t>日  期：</w:t>
      </w:r>
    </w:p>
    <w:p w14:paraId="78742686">
      <w:pPr>
        <w:spacing w:line="420" w:lineRule="exact"/>
        <w:rPr>
          <w:b/>
          <w:bCs/>
          <w:color w:val="auto"/>
          <w:szCs w:val="21"/>
          <w:highlight w:val="none"/>
          <w:lang w:val="zh-CN"/>
        </w:rPr>
      </w:pPr>
      <w:r>
        <w:rPr>
          <w:b/>
          <w:bCs/>
          <w:color w:val="auto"/>
          <w:szCs w:val="21"/>
          <w:highlight w:val="none"/>
          <w:lang w:val="zh-CN"/>
        </w:rPr>
        <w:t>请</w:t>
      </w:r>
      <w:r>
        <w:rPr>
          <w:rFonts w:hint="eastAsia"/>
          <w:b/>
          <w:bCs/>
          <w:color w:val="auto"/>
          <w:szCs w:val="21"/>
          <w:highlight w:val="none"/>
        </w:rPr>
        <w:t>投标人</w:t>
      </w:r>
      <w:r>
        <w:rPr>
          <w:b/>
          <w:bCs/>
          <w:color w:val="auto"/>
          <w:szCs w:val="21"/>
          <w:highlight w:val="none"/>
          <w:lang w:val="zh-CN"/>
        </w:rPr>
        <w:t>认真阅读如下内容：</w:t>
      </w:r>
    </w:p>
    <w:p w14:paraId="1A4C0E7A">
      <w:pPr>
        <w:spacing w:line="420" w:lineRule="exact"/>
        <w:rPr>
          <w:color w:val="auto"/>
          <w:szCs w:val="21"/>
          <w:highlight w:val="none"/>
          <w:lang w:val="zh-CN"/>
        </w:rPr>
      </w:pPr>
      <w:r>
        <w:rPr>
          <w:color w:val="auto"/>
          <w:szCs w:val="21"/>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14:paraId="5E502D08">
      <w:pPr>
        <w:spacing w:line="420" w:lineRule="exact"/>
        <w:ind w:firstLine="420"/>
        <w:rPr>
          <w:color w:val="auto"/>
          <w:szCs w:val="21"/>
          <w:highlight w:val="none"/>
          <w:lang w:val="zh-CN"/>
        </w:rPr>
      </w:pPr>
      <w:r>
        <w:rPr>
          <w:rFonts w:hint="eastAsia"/>
          <w:color w:val="auto"/>
          <w:szCs w:val="21"/>
          <w:highlight w:val="none"/>
        </w:rPr>
        <w:t>1、</w:t>
      </w:r>
      <w:r>
        <w:rPr>
          <w:color w:val="auto"/>
          <w:szCs w:val="21"/>
          <w:highlight w:val="none"/>
          <w:lang w:val="zh-CN"/>
        </w:rPr>
        <w:t>安置的残疾人占本单位在职职工人数的比例不低于25%（含25%），并且安置的残疾人人数不少于</w:t>
      </w:r>
      <w:r>
        <w:rPr>
          <w:rFonts w:hint="eastAsia"/>
          <w:color w:val="auto"/>
          <w:szCs w:val="21"/>
          <w:highlight w:val="none"/>
          <w:lang w:val="zh-CN"/>
        </w:rPr>
        <w:t>10人（含10人）；</w:t>
      </w:r>
    </w:p>
    <w:p w14:paraId="74AFC540">
      <w:pPr>
        <w:spacing w:line="420" w:lineRule="exact"/>
        <w:ind w:firstLine="420"/>
        <w:rPr>
          <w:color w:val="auto"/>
          <w:szCs w:val="21"/>
          <w:highlight w:val="none"/>
        </w:rPr>
      </w:pPr>
      <w:r>
        <w:rPr>
          <w:rFonts w:hint="eastAsia"/>
          <w:color w:val="auto"/>
          <w:szCs w:val="21"/>
          <w:highlight w:val="none"/>
          <w:lang w:val="zh-CN"/>
        </w:rPr>
        <w:t>2、依法与安置的每位残疾人签订了一年以上（含一年）的劳动合同或服务协议；</w:t>
      </w:r>
    </w:p>
    <w:p w14:paraId="00585B9B">
      <w:pPr>
        <w:spacing w:line="420" w:lineRule="exact"/>
        <w:ind w:firstLine="420"/>
        <w:rPr>
          <w:color w:val="auto"/>
          <w:szCs w:val="21"/>
          <w:highlight w:val="none"/>
          <w:lang w:val="zh-CN"/>
        </w:rPr>
      </w:pPr>
      <w:r>
        <w:rPr>
          <w:rFonts w:hint="eastAsia"/>
          <w:color w:val="auto"/>
          <w:szCs w:val="21"/>
          <w:highlight w:val="none"/>
          <w:lang w:val="zh-CN"/>
        </w:rPr>
        <w:t>3、为安置的每位残疾人按月足额缴纳了基本养老保险、基本医疗保险、失业保险、工伤保险和生育保险等社会保险费；</w:t>
      </w:r>
    </w:p>
    <w:p w14:paraId="27AF3C17">
      <w:pPr>
        <w:spacing w:line="420" w:lineRule="exact"/>
        <w:ind w:firstLine="420"/>
        <w:rPr>
          <w:color w:val="auto"/>
          <w:szCs w:val="21"/>
          <w:highlight w:val="none"/>
        </w:rPr>
      </w:pPr>
      <w:r>
        <w:rPr>
          <w:rFonts w:hint="eastAsia"/>
          <w:color w:val="auto"/>
          <w:szCs w:val="21"/>
          <w:highlight w:val="none"/>
          <w:lang w:val="zh-CN"/>
        </w:rPr>
        <w:t>4、通过银行等金融机构向安置的每位残疾人，按月支付了不低于单位所在区县适用的经省级人民政府批准的月最低工资标准的工资；</w:t>
      </w:r>
    </w:p>
    <w:p w14:paraId="00C1F993">
      <w:pPr>
        <w:spacing w:line="420" w:lineRule="exact"/>
        <w:ind w:firstLine="420"/>
        <w:rPr>
          <w:color w:val="auto"/>
          <w:szCs w:val="21"/>
          <w:highlight w:val="none"/>
        </w:rPr>
      </w:pPr>
      <w:r>
        <w:rPr>
          <w:rFonts w:hint="eastAsia"/>
          <w:color w:val="auto"/>
          <w:szCs w:val="21"/>
          <w:highlight w:val="none"/>
          <w:lang w:val="zh-CN"/>
        </w:rPr>
        <w:t>5、提供本单位制造的货物、承担的工程或者服务（以下简称产品），或者提供其他残疾人福利性单位制造的货物（不包括使用非残疾人福利性单位注册商标的货物）。</w:t>
      </w:r>
    </w:p>
    <w:p w14:paraId="5427D7E3">
      <w:pPr>
        <w:spacing w:line="420" w:lineRule="exact"/>
        <w:ind w:firstLine="420"/>
        <w:rPr>
          <w:color w:val="auto"/>
          <w:szCs w:val="21"/>
          <w:highlight w:val="none"/>
        </w:rPr>
      </w:pPr>
      <w:r>
        <w:rPr>
          <w:rFonts w:hint="eastAsia"/>
          <w:color w:val="auto"/>
          <w:szCs w:val="21"/>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6B724C6">
      <w:pPr>
        <w:spacing w:line="440" w:lineRule="exact"/>
        <w:ind w:right="3602" w:firstLine="360"/>
        <w:jc w:val="center"/>
        <w:rPr>
          <w:rFonts w:hint="eastAsia" w:ascii="宋体" w:hAnsi="宋体"/>
          <w:color w:val="auto"/>
          <w:sz w:val="24"/>
          <w:szCs w:val="21"/>
          <w:highlight w:val="none"/>
        </w:rPr>
      </w:pPr>
    </w:p>
    <w:p w14:paraId="0337A56B">
      <w:pPr>
        <w:spacing w:line="480" w:lineRule="exact"/>
        <w:ind w:firstLine="480" w:firstLineChars="200"/>
        <w:rPr>
          <w:color w:val="auto"/>
          <w:sz w:val="24"/>
          <w:highlight w:val="none"/>
        </w:rPr>
      </w:pPr>
    </w:p>
    <w:p w14:paraId="686520BD">
      <w:pPr>
        <w:pStyle w:val="52"/>
        <w:spacing w:beforeAutospacing="0" w:afterAutospacing="0"/>
        <w:jc w:val="both"/>
        <w:rPr>
          <w:rFonts w:hint="eastAsia" w:asciiTheme="minorEastAsia" w:hAnsiTheme="minorEastAsia" w:cstheme="minorEastAsia"/>
          <w:color w:val="auto"/>
          <w:highlight w:val="none"/>
        </w:rPr>
      </w:pPr>
    </w:p>
    <w:p w14:paraId="071CEB1C">
      <w:pPr>
        <w:widowControl/>
        <w:jc w:val="left"/>
        <w:rPr>
          <w:color w:val="auto"/>
          <w:sz w:val="24"/>
          <w:szCs w:val="24"/>
          <w:highlight w:val="none"/>
        </w:rPr>
      </w:pPr>
      <w:r>
        <w:rPr>
          <w:color w:val="auto"/>
          <w:highlight w:val="none"/>
        </w:rPr>
        <w:br w:type="page"/>
      </w:r>
    </w:p>
    <w:p w14:paraId="613629E4">
      <w:pPr>
        <w:pStyle w:val="3"/>
        <w:rPr>
          <w:rFonts w:hint="eastAsia" w:eastAsia="宋体"/>
          <w:color w:val="auto"/>
          <w:highlight w:val="none"/>
          <w:lang w:eastAsia="zh-CN"/>
        </w:rPr>
      </w:pPr>
      <w:bookmarkStart w:id="145" w:name="_Toc13775"/>
      <w:bookmarkStart w:id="146" w:name="_Toc158691778"/>
      <w:bookmarkStart w:id="147" w:name="_Toc315868064"/>
      <w:bookmarkStart w:id="148" w:name="_Toc315875327"/>
      <w:r>
        <w:rPr>
          <w:rFonts w:hint="eastAsia"/>
          <w:color w:val="auto"/>
          <w:highlight w:val="none"/>
        </w:rPr>
        <w:t>附件</w:t>
      </w:r>
      <w:r>
        <w:rPr>
          <w:rFonts w:hint="eastAsia"/>
          <w:color w:val="auto"/>
          <w:highlight w:val="none"/>
          <w:lang w:val="en-US" w:eastAsia="zh-CN"/>
        </w:rPr>
        <w:t>6</w:t>
      </w:r>
      <w:r>
        <w:rPr>
          <w:rFonts w:hint="eastAsia"/>
          <w:color w:val="auto"/>
          <w:highlight w:val="none"/>
          <w:lang w:eastAsia="zh-CN"/>
        </w:rPr>
        <w:t>授权书</w:t>
      </w:r>
      <w:bookmarkEnd w:id="145"/>
    </w:p>
    <w:p w14:paraId="75F202C4">
      <w:pPr>
        <w:rPr>
          <w:color w:val="auto"/>
          <w:sz w:val="24"/>
          <w:szCs w:val="24"/>
          <w:highlight w:val="none"/>
        </w:rPr>
      </w:pPr>
    </w:p>
    <w:p w14:paraId="60610B78">
      <w:pPr>
        <w:spacing w:line="500" w:lineRule="exact"/>
        <w:ind w:firstLine="480"/>
        <w:rPr>
          <w:color w:val="auto"/>
          <w:sz w:val="24"/>
          <w:szCs w:val="24"/>
          <w:highlight w:val="none"/>
        </w:rPr>
      </w:pPr>
      <w:r>
        <w:rPr>
          <w:color w:val="auto"/>
          <w:sz w:val="24"/>
          <w:szCs w:val="24"/>
          <w:highlight w:val="none"/>
        </w:rPr>
        <w:t>本授权书声明：</w:t>
      </w:r>
      <w:r>
        <w:rPr>
          <w:color w:val="auto"/>
          <w:sz w:val="24"/>
          <w:szCs w:val="24"/>
          <w:highlight w:val="none"/>
          <w:u w:val="single"/>
        </w:rPr>
        <w:t>（投标人全称）</w:t>
      </w:r>
      <w:r>
        <w:rPr>
          <w:color w:val="auto"/>
          <w:sz w:val="24"/>
          <w:szCs w:val="24"/>
          <w:highlight w:val="none"/>
        </w:rPr>
        <w:t>授权</w:t>
      </w:r>
      <w:r>
        <w:rPr>
          <w:color w:val="auto"/>
          <w:sz w:val="24"/>
          <w:szCs w:val="24"/>
          <w:highlight w:val="none"/>
          <w:u w:val="single"/>
        </w:rPr>
        <w:t>（被授权人的姓名）</w:t>
      </w:r>
      <w:r>
        <w:rPr>
          <w:color w:val="auto"/>
          <w:sz w:val="24"/>
          <w:szCs w:val="24"/>
          <w:highlight w:val="none"/>
        </w:rPr>
        <w:t>为我方就</w:t>
      </w:r>
      <w:r>
        <w:rPr>
          <w:rFonts w:hint="eastAsia"/>
          <w:color w:val="auto"/>
          <w:sz w:val="24"/>
          <w:szCs w:val="24"/>
          <w:highlight w:val="none"/>
          <w:u w:val="single"/>
          <w:lang w:eastAsia="zh-CN"/>
        </w:rPr>
        <w:t>琴川街道社区卫生服务中心安全服务</w:t>
      </w:r>
      <w:r>
        <w:rPr>
          <w:color w:val="auto"/>
          <w:sz w:val="24"/>
          <w:szCs w:val="24"/>
          <w:highlight w:val="none"/>
        </w:rPr>
        <w:t>项目（项目编号：</w:t>
      </w:r>
      <w:r>
        <w:rPr>
          <w:rFonts w:hint="eastAsia"/>
          <w:color w:val="auto"/>
          <w:sz w:val="24"/>
          <w:szCs w:val="24"/>
          <w:highlight w:val="none"/>
          <w:lang w:eastAsia="zh-CN"/>
        </w:rPr>
        <w:t>JSZC-320581-CSYD-G2026-0005</w:t>
      </w:r>
      <w:r>
        <w:rPr>
          <w:color w:val="auto"/>
          <w:sz w:val="24"/>
          <w:szCs w:val="24"/>
          <w:highlight w:val="none"/>
        </w:rPr>
        <w:t>）采购活动的合法代理人，以本</w:t>
      </w:r>
      <w:r>
        <w:rPr>
          <w:rFonts w:hint="eastAsia"/>
          <w:color w:val="auto"/>
          <w:sz w:val="24"/>
          <w:szCs w:val="24"/>
          <w:highlight w:val="none"/>
        </w:rPr>
        <w:t>单位</w:t>
      </w:r>
      <w:r>
        <w:rPr>
          <w:color w:val="auto"/>
          <w:sz w:val="24"/>
          <w:szCs w:val="24"/>
          <w:highlight w:val="none"/>
        </w:rPr>
        <w:t>名义处理一切与该项目采购有关的事务。</w:t>
      </w:r>
    </w:p>
    <w:p w14:paraId="0601D496">
      <w:pPr>
        <w:spacing w:line="500" w:lineRule="exact"/>
        <w:ind w:firstLine="480"/>
        <w:rPr>
          <w:color w:val="auto"/>
          <w:sz w:val="24"/>
          <w:szCs w:val="24"/>
          <w:highlight w:val="none"/>
        </w:rPr>
      </w:pPr>
      <w:r>
        <w:rPr>
          <w:color w:val="auto"/>
          <w:sz w:val="24"/>
          <w:szCs w:val="24"/>
          <w:highlight w:val="none"/>
        </w:rPr>
        <w:t>本授权书于</w:t>
      </w:r>
      <w:r>
        <w:rPr>
          <w:rFonts w:hint="eastAsia"/>
          <w:color w:val="auto"/>
          <w:sz w:val="24"/>
          <w:szCs w:val="24"/>
          <w:highlight w:val="none"/>
          <w:u w:val="single"/>
        </w:rPr>
        <w:t>202</w:t>
      </w:r>
      <w:r>
        <w:rPr>
          <w:rFonts w:hint="eastAsia"/>
          <w:color w:val="auto"/>
          <w:sz w:val="24"/>
          <w:szCs w:val="24"/>
          <w:highlight w:val="none"/>
          <w:u w:val="single"/>
          <w:lang w:val="en-US" w:eastAsia="zh-CN"/>
        </w:rPr>
        <w:t>6</w:t>
      </w:r>
      <w:r>
        <w:rPr>
          <w:rFonts w:hint="eastAsia"/>
          <w:color w:val="auto"/>
          <w:sz w:val="24"/>
          <w:szCs w:val="24"/>
          <w:highlight w:val="none"/>
          <w:u w:val="single"/>
        </w:rPr>
        <w:t xml:space="preserve"> </w:t>
      </w:r>
      <w:r>
        <w:rPr>
          <w:color w:val="auto"/>
          <w:sz w:val="24"/>
          <w:szCs w:val="24"/>
          <w:highlight w:val="none"/>
        </w:rPr>
        <w:t>年____月____日</w:t>
      </w:r>
      <w:r>
        <w:rPr>
          <w:rFonts w:hint="eastAsia"/>
          <w:color w:val="auto"/>
          <w:sz w:val="24"/>
          <w:szCs w:val="24"/>
          <w:highlight w:val="none"/>
        </w:rPr>
        <w:t>起</w:t>
      </w:r>
      <w:r>
        <w:rPr>
          <w:color w:val="auto"/>
          <w:sz w:val="24"/>
          <w:szCs w:val="24"/>
          <w:highlight w:val="none"/>
        </w:rPr>
        <w:t>生效，特此声明。</w:t>
      </w:r>
    </w:p>
    <w:p w14:paraId="0F4537BE">
      <w:pPr>
        <w:spacing w:line="500" w:lineRule="exact"/>
        <w:rPr>
          <w:color w:val="auto"/>
          <w:sz w:val="24"/>
          <w:szCs w:val="24"/>
          <w:highlight w:val="none"/>
        </w:rPr>
      </w:pPr>
    </w:p>
    <w:p w14:paraId="6D781ECE">
      <w:pPr>
        <w:pStyle w:val="76"/>
        <w:spacing w:line="500" w:lineRule="exact"/>
        <w:rPr>
          <w:color w:val="auto"/>
          <w:highlight w:val="none"/>
        </w:rPr>
      </w:pPr>
    </w:p>
    <w:p w14:paraId="3442BA2D">
      <w:pPr>
        <w:spacing w:line="500" w:lineRule="exact"/>
        <w:rPr>
          <w:color w:val="auto"/>
          <w:sz w:val="24"/>
          <w:szCs w:val="24"/>
          <w:highlight w:val="none"/>
        </w:rPr>
      </w:pPr>
      <w:r>
        <w:rPr>
          <w:color w:val="auto"/>
          <w:sz w:val="24"/>
          <w:szCs w:val="24"/>
          <w:highlight w:val="none"/>
        </w:rPr>
        <w:t>被授权人身份证号码：</w:t>
      </w:r>
      <w:r>
        <w:rPr>
          <w:color w:val="auto"/>
          <w:sz w:val="24"/>
          <w:szCs w:val="24"/>
          <w:highlight w:val="none"/>
          <w:u w:val="single"/>
        </w:rPr>
        <w:t xml:space="preserve">                              </w:t>
      </w:r>
    </w:p>
    <w:p w14:paraId="7EED1534">
      <w:pPr>
        <w:spacing w:line="500" w:lineRule="exact"/>
        <w:rPr>
          <w:color w:val="auto"/>
          <w:sz w:val="24"/>
          <w:szCs w:val="24"/>
          <w:highlight w:val="none"/>
        </w:rPr>
      </w:pPr>
      <w:r>
        <w:rPr>
          <w:color w:val="auto"/>
          <w:sz w:val="24"/>
          <w:szCs w:val="24"/>
          <w:highlight w:val="none"/>
        </w:rPr>
        <w:t>被授权人联系电话（手机）：</w:t>
      </w:r>
      <w:r>
        <w:rPr>
          <w:color w:val="auto"/>
          <w:sz w:val="24"/>
          <w:szCs w:val="24"/>
          <w:highlight w:val="none"/>
          <w:u w:val="single"/>
        </w:rPr>
        <w:t xml:space="preserve">                              </w:t>
      </w:r>
    </w:p>
    <w:p w14:paraId="68536952">
      <w:pPr>
        <w:spacing w:line="500" w:lineRule="exact"/>
        <w:rPr>
          <w:b/>
          <w:bCs/>
          <w:color w:val="auto"/>
          <w:sz w:val="24"/>
          <w:szCs w:val="24"/>
          <w:highlight w:val="none"/>
        </w:rPr>
      </w:pPr>
      <w:r>
        <w:rPr>
          <w:b/>
          <w:bCs/>
          <w:color w:val="auto"/>
          <w:sz w:val="24"/>
          <w:szCs w:val="24"/>
          <w:highlight w:val="none"/>
        </w:rPr>
        <w:t>授权单位名称：</w:t>
      </w:r>
      <w:r>
        <w:rPr>
          <w:b/>
          <w:bCs/>
          <w:color w:val="auto"/>
          <w:sz w:val="24"/>
          <w:szCs w:val="24"/>
          <w:highlight w:val="none"/>
          <w:u w:val="single"/>
        </w:rPr>
        <w:t>（加盖CA电子公章）</w:t>
      </w:r>
    </w:p>
    <w:p w14:paraId="62FC4B53">
      <w:pPr>
        <w:spacing w:line="500" w:lineRule="exact"/>
        <w:rPr>
          <w:color w:val="auto"/>
          <w:sz w:val="24"/>
          <w:szCs w:val="24"/>
          <w:highlight w:val="none"/>
        </w:rPr>
      </w:pPr>
      <w:r>
        <w:rPr>
          <w:color w:val="auto"/>
          <w:sz w:val="24"/>
          <w:szCs w:val="24"/>
          <w:highlight w:val="none"/>
        </w:rPr>
        <w:t>单位地址：</w:t>
      </w:r>
      <w:r>
        <w:rPr>
          <w:color w:val="auto"/>
          <w:sz w:val="24"/>
          <w:szCs w:val="24"/>
          <w:highlight w:val="none"/>
          <w:u w:val="single"/>
        </w:rPr>
        <w:t xml:space="preserve">                              </w:t>
      </w:r>
    </w:p>
    <w:p w14:paraId="03E29582">
      <w:pPr>
        <w:spacing w:line="500" w:lineRule="exact"/>
        <w:rPr>
          <w:color w:val="auto"/>
          <w:sz w:val="24"/>
          <w:szCs w:val="24"/>
          <w:highlight w:val="none"/>
        </w:rPr>
      </w:pPr>
      <w:r>
        <w:rPr>
          <w:color w:val="auto"/>
          <w:sz w:val="24"/>
          <w:szCs w:val="24"/>
          <w:highlight w:val="none"/>
        </w:rPr>
        <w:t>日期：</w:t>
      </w:r>
      <w:r>
        <w:rPr>
          <w:color w:val="auto"/>
          <w:sz w:val="24"/>
          <w:szCs w:val="24"/>
          <w:highlight w:val="none"/>
          <w:u w:val="single"/>
        </w:rPr>
        <w:t xml:space="preserve">                              </w:t>
      </w:r>
    </w:p>
    <w:p w14:paraId="268E545A">
      <w:pPr>
        <w:rPr>
          <w:color w:val="auto"/>
          <w:sz w:val="24"/>
          <w:szCs w:val="24"/>
          <w:highlight w:val="none"/>
        </w:rPr>
      </w:pPr>
    </w:p>
    <w:p w14:paraId="3D46B60B">
      <w:pPr>
        <w:pStyle w:val="3"/>
        <w:rPr>
          <w:color w:val="auto"/>
          <w:highlight w:val="none"/>
        </w:rPr>
      </w:pPr>
      <w:bookmarkStart w:id="149" w:name="_Toc1095"/>
      <w:r>
        <w:rPr>
          <w:rFonts w:hint="eastAsia"/>
          <w:color w:val="auto"/>
          <w:highlight w:val="none"/>
        </w:rPr>
        <w:br w:type="page" w:clear="all"/>
      </w:r>
      <w:bookmarkStart w:id="150" w:name="_Toc4633"/>
      <w:r>
        <w:rPr>
          <w:rFonts w:hint="eastAsia"/>
          <w:color w:val="auto"/>
          <w:highlight w:val="none"/>
        </w:rPr>
        <w:t>附件</w:t>
      </w:r>
      <w:r>
        <w:rPr>
          <w:rFonts w:hint="eastAsia"/>
          <w:color w:val="auto"/>
          <w:highlight w:val="none"/>
          <w:lang w:val="en-US" w:eastAsia="zh-CN"/>
        </w:rPr>
        <w:t>7</w:t>
      </w:r>
      <w:r>
        <w:rPr>
          <w:color w:val="auto"/>
          <w:highlight w:val="none"/>
        </w:rPr>
        <w:t>投标函</w:t>
      </w:r>
      <w:bookmarkEnd w:id="149"/>
      <w:bookmarkEnd w:id="150"/>
    </w:p>
    <w:p w14:paraId="5CC2AA6C">
      <w:pPr>
        <w:spacing w:line="460" w:lineRule="exact"/>
        <w:rPr>
          <w:color w:val="auto"/>
          <w:sz w:val="24"/>
          <w:szCs w:val="24"/>
          <w:highlight w:val="none"/>
        </w:rPr>
      </w:pPr>
      <w:r>
        <w:rPr>
          <w:color w:val="auto"/>
          <w:sz w:val="24"/>
          <w:szCs w:val="24"/>
          <w:highlight w:val="none"/>
        </w:rPr>
        <w:t>致：常熟虞东招标代理有限公司</w:t>
      </w:r>
    </w:p>
    <w:p w14:paraId="3310D6B0">
      <w:pPr>
        <w:spacing w:line="460" w:lineRule="exact"/>
        <w:ind w:firstLine="480"/>
        <w:rPr>
          <w:color w:val="auto"/>
          <w:sz w:val="24"/>
          <w:szCs w:val="24"/>
          <w:highlight w:val="none"/>
        </w:rPr>
      </w:pPr>
      <w:r>
        <w:rPr>
          <w:color w:val="auto"/>
          <w:sz w:val="24"/>
          <w:szCs w:val="24"/>
          <w:highlight w:val="none"/>
        </w:rPr>
        <w:t>根据贵方的</w:t>
      </w:r>
      <w:r>
        <w:rPr>
          <w:rFonts w:hint="eastAsia"/>
          <w:color w:val="auto"/>
          <w:sz w:val="24"/>
          <w:szCs w:val="24"/>
          <w:highlight w:val="none"/>
          <w:u w:val="single"/>
          <w:lang w:eastAsia="zh-CN"/>
        </w:rPr>
        <w:t>琴川街道社区卫生服务中心安全服务</w:t>
      </w:r>
      <w:r>
        <w:rPr>
          <w:color w:val="auto"/>
          <w:sz w:val="24"/>
          <w:szCs w:val="24"/>
          <w:highlight w:val="none"/>
        </w:rPr>
        <w:t>项目招标文件（项目编号：</w:t>
      </w:r>
      <w:r>
        <w:rPr>
          <w:rFonts w:hint="eastAsia"/>
          <w:color w:val="auto"/>
          <w:sz w:val="24"/>
          <w:szCs w:val="24"/>
          <w:highlight w:val="none"/>
          <w:u w:val="single"/>
          <w:lang w:eastAsia="zh-CN"/>
        </w:rPr>
        <w:t>JSZC-320581-CSYD-G2026-0005</w:t>
      </w:r>
      <w:r>
        <w:rPr>
          <w:color w:val="auto"/>
          <w:sz w:val="24"/>
          <w:szCs w:val="24"/>
          <w:highlight w:val="none"/>
        </w:rPr>
        <w:t>），</w:t>
      </w:r>
      <w:r>
        <w:rPr>
          <w:rFonts w:hint="eastAsia"/>
          <w:color w:val="auto"/>
          <w:sz w:val="24"/>
          <w:szCs w:val="24"/>
          <w:highlight w:val="none"/>
        </w:rPr>
        <w:t>正式授权下述人员</w:t>
      </w:r>
      <w:r>
        <w:rPr>
          <w:color w:val="auto"/>
          <w:sz w:val="24"/>
          <w:szCs w:val="24"/>
          <w:highlight w:val="none"/>
          <w:u w:val="single"/>
        </w:rPr>
        <w:t>（</w:t>
      </w:r>
      <w:r>
        <w:rPr>
          <w:rFonts w:hint="eastAsia"/>
          <w:color w:val="auto"/>
          <w:sz w:val="24"/>
          <w:szCs w:val="24"/>
          <w:highlight w:val="none"/>
          <w:u w:val="single"/>
        </w:rPr>
        <w:t>姓名</w:t>
      </w:r>
      <w:r>
        <w:rPr>
          <w:color w:val="auto"/>
          <w:sz w:val="24"/>
          <w:szCs w:val="24"/>
          <w:highlight w:val="none"/>
          <w:u w:val="single"/>
        </w:rPr>
        <w:t>）</w:t>
      </w:r>
      <w:r>
        <w:rPr>
          <w:rFonts w:hint="eastAsia"/>
          <w:color w:val="auto"/>
          <w:sz w:val="24"/>
          <w:szCs w:val="24"/>
          <w:highlight w:val="none"/>
        </w:rPr>
        <w:t>代表我方</w:t>
      </w:r>
      <w:r>
        <w:rPr>
          <w:color w:val="auto"/>
          <w:sz w:val="24"/>
          <w:szCs w:val="24"/>
          <w:highlight w:val="none"/>
          <w:u w:val="single"/>
        </w:rPr>
        <w:t>（投标人全称）</w:t>
      </w:r>
      <w:r>
        <w:rPr>
          <w:rFonts w:hint="eastAsia" w:ascii="宋体" w:hAnsi="宋体"/>
          <w:color w:val="auto"/>
          <w:szCs w:val="21"/>
          <w:highlight w:val="none"/>
        </w:rPr>
        <w:t>，</w:t>
      </w:r>
      <w:r>
        <w:rPr>
          <w:rFonts w:hint="eastAsia"/>
          <w:color w:val="auto"/>
          <w:sz w:val="24"/>
          <w:szCs w:val="24"/>
          <w:highlight w:val="none"/>
        </w:rPr>
        <w:t>全权处理本次项目投标的有关事宜。</w:t>
      </w:r>
    </w:p>
    <w:p w14:paraId="2808F588">
      <w:pPr>
        <w:spacing w:line="460" w:lineRule="exact"/>
        <w:ind w:firstLine="480"/>
        <w:rPr>
          <w:color w:val="auto"/>
          <w:sz w:val="24"/>
          <w:szCs w:val="24"/>
          <w:highlight w:val="none"/>
        </w:rPr>
      </w:pPr>
      <w:r>
        <w:rPr>
          <w:color w:val="auto"/>
          <w:sz w:val="24"/>
          <w:szCs w:val="24"/>
          <w:highlight w:val="none"/>
        </w:rPr>
        <w:t>据此函，</w:t>
      </w:r>
      <w:r>
        <w:rPr>
          <w:color w:val="auto"/>
          <w:sz w:val="24"/>
          <w:szCs w:val="24"/>
          <w:highlight w:val="none"/>
          <w:u w:val="single"/>
        </w:rPr>
        <w:t>（</w:t>
      </w:r>
      <w:r>
        <w:rPr>
          <w:rFonts w:hint="eastAsia"/>
          <w:color w:val="auto"/>
          <w:sz w:val="24"/>
          <w:szCs w:val="24"/>
          <w:highlight w:val="none"/>
          <w:u w:val="single"/>
        </w:rPr>
        <w:t>姓名</w:t>
      </w:r>
      <w:r>
        <w:rPr>
          <w:color w:val="auto"/>
          <w:sz w:val="24"/>
          <w:szCs w:val="24"/>
          <w:highlight w:val="none"/>
          <w:u w:val="single"/>
        </w:rPr>
        <w:t>）</w:t>
      </w:r>
      <w:r>
        <w:rPr>
          <w:rFonts w:hint="eastAsia"/>
          <w:color w:val="auto"/>
          <w:sz w:val="24"/>
          <w:szCs w:val="24"/>
          <w:highlight w:val="none"/>
        </w:rPr>
        <w:t>代表兹宣布同意如下</w:t>
      </w:r>
      <w:r>
        <w:rPr>
          <w:color w:val="auto"/>
          <w:sz w:val="24"/>
          <w:szCs w:val="24"/>
          <w:highlight w:val="none"/>
        </w:rPr>
        <w:t>：</w:t>
      </w:r>
    </w:p>
    <w:p w14:paraId="7AC022D7">
      <w:pPr>
        <w:spacing w:line="460" w:lineRule="exact"/>
        <w:ind w:firstLine="480"/>
        <w:rPr>
          <w:color w:val="auto"/>
          <w:sz w:val="24"/>
          <w:szCs w:val="24"/>
          <w:highlight w:val="none"/>
        </w:rPr>
      </w:pPr>
      <w:r>
        <w:rPr>
          <w:rFonts w:hint="eastAsia"/>
          <w:color w:val="auto"/>
          <w:sz w:val="24"/>
          <w:szCs w:val="24"/>
          <w:highlight w:val="none"/>
        </w:rPr>
        <w:t>1、按招标文件规定的各项要求，向采购人提供所需服务（包含与服务相关的货物）。</w:t>
      </w:r>
    </w:p>
    <w:p w14:paraId="38059A67">
      <w:pPr>
        <w:spacing w:line="460" w:lineRule="exact"/>
        <w:ind w:firstLine="480"/>
        <w:rPr>
          <w:color w:val="auto"/>
          <w:sz w:val="24"/>
          <w:szCs w:val="24"/>
          <w:highlight w:val="none"/>
        </w:rPr>
      </w:pPr>
      <w:r>
        <w:rPr>
          <w:rFonts w:hint="eastAsia"/>
          <w:color w:val="auto"/>
          <w:sz w:val="24"/>
          <w:szCs w:val="24"/>
          <w:highlight w:val="none"/>
        </w:rPr>
        <w:t>2、我们完全理解贵方不一定将合同授予最低报价的投标人。</w:t>
      </w:r>
    </w:p>
    <w:p w14:paraId="4A01247A">
      <w:pPr>
        <w:spacing w:line="460" w:lineRule="exact"/>
        <w:ind w:firstLine="480"/>
        <w:rPr>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14:paraId="28E14BF7">
      <w:pPr>
        <w:spacing w:line="460" w:lineRule="exact"/>
        <w:ind w:firstLine="480"/>
        <w:rPr>
          <w:color w:val="auto"/>
          <w:sz w:val="24"/>
          <w:szCs w:val="24"/>
          <w:highlight w:val="none"/>
        </w:rPr>
      </w:pPr>
      <w:r>
        <w:rPr>
          <w:rFonts w:hint="eastAsia"/>
          <w:color w:val="auto"/>
          <w:sz w:val="24"/>
          <w:szCs w:val="24"/>
          <w:highlight w:val="none"/>
        </w:rPr>
        <w:t>4、</w:t>
      </w:r>
      <w:r>
        <w:rPr>
          <w:color w:val="auto"/>
          <w:sz w:val="24"/>
          <w:szCs w:val="24"/>
          <w:highlight w:val="none"/>
        </w:rPr>
        <w:t>我方同意投标有效期为</w:t>
      </w:r>
      <w:r>
        <w:rPr>
          <w:rFonts w:hint="eastAsia"/>
          <w:color w:val="auto"/>
          <w:sz w:val="24"/>
          <w:szCs w:val="24"/>
          <w:highlight w:val="none"/>
        </w:rPr>
        <w:t>开标之日后六十（60）天。</w:t>
      </w:r>
    </w:p>
    <w:p w14:paraId="662C0EEE">
      <w:pPr>
        <w:spacing w:line="460" w:lineRule="exact"/>
        <w:ind w:firstLine="480"/>
        <w:rPr>
          <w:color w:val="auto"/>
          <w:sz w:val="24"/>
          <w:szCs w:val="24"/>
          <w:highlight w:val="none"/>
        </w:rPr>
      </w:pPr>
      <w:r>
        <w:rPr>
          <w:rFonts w:hint="eastAsia"/>
          <w:color w:val="auto"/>
          <w:sz w:val="24"/>
          <w:szCs w:val="24"/>
          <w:highlight w:val="none"/>
        </w:rPr>
        <w:t>5、我们同意从规定的开标日期起遵循本投标文件，并在规定的投标有效期期满之前均具有约束力。</w:t>
      </w:r>
    </w:p>
    <w:p w14:paraId="4345B640">
      <w:pPr>
        <w:spacing w:line="460" w:lineRule="exact"/>
        <w:ind w:firstLine="480"/>
        <w:rPr>
          <w:color w:val="auto"/>
          <w:sz w:val="24"/>
          <w:szCs w:val="24"/>
          <w:highlight w:val="none"/>
        </w:rPr>
      </w:pPr>
      <w:r>
        <w:rPr>
          <w:rFonts w:hint="eastAsia"/>
          <w:color w:val="auto"/>
          <w:sz w:val="24"/>
          <w:szCs w:val="24"/>
          <w:highlight w:val="none"/>
        </w:rPr>
        <w:t>6、同意向贵方提供贵方可能另外要求的与投标有关的任何证据或资料，并保证我方已提供和将要提供的文件是真实的、准确的。</w:t>
      </w:r>
    </w:p>
    <w:p w14:paraId="646D7D67">
      <w:pPr>
        <w:spacing w:line="460" w:lineRule="exact"/>
        <w:ind w:firstLine="480"/>
        <w:rPr>
          <w:color w:val="auto"/>
          <w:sz w:val="24"/>
          <w:szCs w:val="24"/>
          <w:highlight w:val="none"/>
        </w:rPr>
      </w:pPr>
      <w:r>
        <w:rPr>
          <w:rFonts w:hint="eastAsia"/>
          <w:color w:val="auto"/>
          <w:sz w:val="24"/>
          <w:szCs w:val="24"/>
          <w:highlight w:val="none"/>
        </w:rPr>
        <w:t>7、一旦我方中标，我方将根据招标文件的规定，严格履行合同的责任和义务，并保证在招标文件规定的时间完成项目。</w:t>
      </w:r>
    </w:p>
    <w:p w14:paraId="5770D58C">
      <w:pPr>
        <w:spacing w:line="460" w:lineRule="exact"/>
        <w:ind w:firstLine="480"/>
        <w:rPr>
          <w:color w:val="auto"/>
          <w:sz w:val="24"/>
          <w:szCs w:val="24"/>
          <w:highlight w:val="none"/>
        </w:rPr>
      </w:pPr>
      <w:r>
        <w:rPr>
          <w:rFonts w:hint="eastAsia"/>
          <w:color w:val="auto"/>
          <w:sz w:val="24"/>
          <w:szCs w:val="24"/>
          <w:highlight w:val="none"/>
        </w:rPr>
        <w:t>8、与本投标有关的正式通讯地址为：</w:t>
      </w:r>
    </w:p>
    <w:p w14:paraId="1EBD42BD">
      <w:pPr>
        <w:pStyle w:val="28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地          址：</w:t>
      </w:r>
    </w:p>
    <w:p w14:paraId="5DB60F32">
      <w:pPr>
        <w:pStyle w:val="28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邮          编：</w:t>
      </w:r>
    </w:p>
    <w:p w14:paraId="2C71D665">
      <w:pPr>
        <w:pStyle w:val="28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电          话：</w:t>
      </w:r>
    </w:p>
    <w:p w14:paraId="263AA361">
      <w:pPr>
        <w:pStyle w:val="28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传          真：</w:t>
      </w:r>
    </w:p>
    <w:p w14:paraId="329A8D0A">
      <w:pPr>
        <w:pStyle w:val="28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投标人开户行：</w:t>
      </w:r>
    </w:p>
    <w:p w14:paraId="6E219970">
      <w:pPr>
        <w:pStyle w:val="28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账          号：</w:t>
      </w:r>
    </w:p>
    <w:p w14:paraId="1A08519B">
      <w:pPr>
        <w:pStyle w:val="28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日           期：________年____月____日</w:t>
      </w:r>
    </w:p>
    <w:p w14:paraId="4C2F5AC9">
      <w:pPr>
        <w:pStyle w:val="75"/>
        <w:rPr>
          <w:color w:val="auto"/>
          <w:highlight w:val="none"/>
        </w:rPr>
      </w:pPr>
    </w:p>
    <w:p w14:paraId="4A4833FE">
      <w:pPr>
        <w:spacing w:line="420" w:lineRule="exact"/>
        <w:ind w:firstLine="420"/>
        <w:rPr>
          <w:color w:val="auto"/>
          <w:szCs w:val="21"/>
          <w:highlight w:val="none"/>
        </w:rPr>
      </w:pPr>
      <w:r>
        <w:rPr>
          <w:rFonts w:hint="eastAsia"/>
          <w:color w:val="auto"/>
          <w:highlight w:val="none"/>
        </w:rPr>
        <w:br w:type="page" w:clear="all"/>
      </w:r>
    </w:p>
    <w:p w14:paraId="58F54DCF">
      <w:pPr>
        <w:pStyle w:val="3"/>
        <w:rPr>
          <w:rFonts w:hint="eastAsia"/>
          <w:color w:val="auto"/>
          <w:highlight w:val="none"/>
        </w:rPr>
      </w:pPr>
      <w:bookmarkStart w:id="151" w:name="_Toc30469"/>
      <w:bookmarkStart w:id="152" w:name="_Toc12012"/>
      <w:r>
        <w:rPr>
          <w:rFonts w:hint="eastAsia"/>
          <w:color w:val="auto"/>
          <w:highlight w:val="none"/>
        </w:rPr>
        <w:t>附件</w:t>
      </w:r>
      <w:r>
        <w:rPr>
          <w:rFonts w:hint="eastAsia"/>
          <w:color w:val="auto"/>
          <w:highlight w:val="none"/>
          <w:lang w:val="en-US" w:eastAsia="zh-CN"/>
        </w:rPr>
        <w:t>8</w:t>
      </w:r>
      <w:r>
        <w:rPr>
          <w:rFonts w:hint="eastAsia"/>
          <w:color w:val="auto"/>
          <w:highlight w:val="none"/>
        </w:rPr>
        <w:t>实质性要求响应及偏离表</w:t>
      </w:r>
      <w:bookmarkEnd w:id="151"/>
      <w:bookmarkEnd w:id="152"/>
    </w:p>
    <w:tbl>
      <w:tblPr>
        <w:tblStyle w:val="56"/>
        <w:tblW w:w="0" w:type="auto"/>
        <w:tblInd w:w="-3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4567"/>
        <w:gridCol w:w="2359"/>
        <w:gridCol w:w="2284"/>
      </w:tblGrid>
      <w:tr w14:paraId="49B9A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777" w:type="dxa"/>
            <w:noWrap w:val="0"/>
            <w:vAlign w:val="center"/>
          </w:tcPr>
          <w:p w14:paraId="5101DDA5">
            <w:pPr>
              <w:jc w:val="center"/>
              <w:rPr>
                <w:b/>
                <w:color w:val="auto"/>
                <w:sz w:val="24"/>
                <w:highlight w:val="none"/>
              </w:rPr>
            </w:pPr>
            <w:r>
              <w:rPr>
                <w:rFonts w:hint="eastAsia"/>
                <w:b/>
                <w:color w:val="auto"/>
                <w:sz w:val="24"/>
                <w:highlight w:val="none"/>
              </w:rPr>
              <w:t>序号</w:t>
            </w:r>
          </w:p>
        </w:tc>
        <w:tc>
          <w:tcPr>
            <w:tcW w:w="4567" w:type="dxa"/>
            <w:noWrap w:val="0"/>
            <w:vAlign w:val="center"/>
          </w:tcPr>
          <w:p w14:paraId="170FD3AD">
            <w:pPr>
              <w:jc w:val="center"/>
              <w:rPr>
                <w:b/>
                <w:color w:val="auto"/>
                <w:sz w:val="24"/>
                <w:highlight w:val="none"/>
              </w:rPr>
            </w:pPr>
            <w:r>
              <w:rPr>
                <w:rFonts w:hint="eastAsia"/>
                <w:b/>
                <w:color w:val="auto"/>
                <w:sz w:val="24"/>
                <w:highlight w:val="none"/>
              </w:rPr>
              <w:t>服务</w:t>
            </w:r>
            <w:r>
              <w:rPr>
                <w:b/>
                <w:color w:val="auto"/>
                <w:sz w:val="24"/>
                <w:highlight w:val="none"/>
              </w:rPr>
              <w:t>要求和商务要求中的实质性要求</w:t>
            </w:r>
          </w:p>
        </w:tc>
        <w:tc>
          <w:tcPr>
            <w:tcW w:w="2359" w:type="dxa"/>
            <w:noWrap w:val="0"/>
            <w:vAlign w:val="center"/>
          </w:tcPr>
          <w:p w14:paraId="471A42EC">
            <w:pPr>
              <w:jc w:val="center"/>
              <w:rPr>
                <w:b/>
                <w:color w:val="auto"/>
                <w:sz w:val="24"/>
                <w:highlight w:val="none"/>
              </w:rPr>
            </w:pPr>
            <w:r>
              <w:rPr>
                <w:rFonts w:hint="eastAsia"/>
                <w:b/>
                <w:color w:val="auto"/>
                <w:sz w:val="24"/>
                <w:highlight w:val="none"/>
              </w:rPr>
              <w:t>投标响应情况</w:t>
            </w:r>
          </w:p>
        </w:tc>
        <w:tc>
          <w:tcPr>
            <w:tcW w:w="2284" w:type="dxa"/>
            <w:noWrap w:val="0"/>
            <w:vAlign w:val="center"/>
          </w:tcPr>
          <w:p w14:paraId="3DB974F9">
            <w:pPr>
              <w:jc w:val="center"/>
              <w:rPr>
                <w:b/>
                <w:color w:val="auto"/>
                <w:sz w:val="24"/>
                <w:highlight w:val="none"/>
              </w:rPr>
            </w:pPr>
            <w:r>
              <w:rPr>
                <w:rFonts w:hint="eastAsia"/>
                <w:b/>
                <w:color w:val="auto"/>
                <w:sz w:val="24"/>
                <w:highlight w:val="none"/>
              </w:rPr>
              <w:t>超出、符合或偏离</w:t>
            </w:r>
          </w:p>
        </w:tc>
      </w:tr>
      <w:tr w14:paraId="261D7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777" w:type="dxa"/>
            <w:noWrap w:val="0"/>
            <w:vAlign w:val="center"/>
          </w:tcPr>
          <w:p w14:paraId="18F60E96">
            <w:pPr>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w:t>
            </w:r>
          </w:p>
        </w:tc>
        <w:tc>
          <w:tcPr>
            <w:tcW w:w="4567" w:type="dxa"/>
            <w:noWrap w:val="0"/>
            <w:vAlign w:val="center"/>
          </w:tcPr>
          <w:p w14:paraId="796B0DA5">
            <w:pPr>
              <w:jc w:val="left"/>
              <w:rPr>
                <w:rFonts w:hint="eastAsia"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en-US" w:eastAsia="zh-CN"/>
              </w:rPr>
              <w:t>1、所有人员没有违法犯罪记录。</w:t>
            </w:r>
          </w:p>
        </w:tc>
        <w:tc>
          <w:tcPr>
            <w:tcW w:w="2359" w:type="dxa"/>
            <w:noWrap w:val="0"/>
            <w:vAlign w:val="top"/>
          </w:tcPr>
          <w:p w14:paraId="402A04B9">
            <w:pPr>
              <w:jc w:val="left"/>
              <w:rPr>
                <w:rFonts w:hint="eastAsia" w:ascii="Times New Roman" w:hAnsi="Times New Roman" w:eastAsia="宋体" w:cs="Times New Roman"/>
                <w:color w:val="auto"/>
                <w:sz w:val="24"/>
                <w:szCs w:val="24"/>
                <w:highlight w:val="none"/>
              </w:rPr>
            </w:pPr>
          </w:p>
        </w:tc>
        <w:tc>
          <w:tcPr>
            <w:tcW w:w="2284" w:type="dxa"/>
            <w:noWrap w:val="0"/>
            <w:vAlign w:val="top"/>
          </w:tcPr>
          <w:p w14:paraId="0B9E2E81">
            <w:pPr>
              <w:jc w:val="left"/>
              <w:rPr>
                <w:rFonts w:hint="eastAsia" w:ascii="Times New Roman" w:hAnsi="Times New Roman" w:eastAsia="宋体" w:cs="Times New Roman"/>
                <w:color w:val="auto"/>
                <w:sz w:val="24"/>
                <w:szCs w:val="24"/>
                <w:highlight w:val="none"/>
              </w:rPr>
            </w:pPr>
          </w:p>
        </w:tc>
      </w:tr>
      <w:tr w14:paraId="0A4F4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777" w:type="dxa"/>
            <w:noWrap w:val="0"/>
            <w:vAlign w:val="center"/>
          </w:tcPr>
          <w:p w14:paraId="3B0BE606">
            <w:pPr>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w:t>
            </w:r>
          </w:p>
        </w:tc>
        <w:tc>
          <w:tcPr>
            <w:tcW w:w="4567" w:type="dxa"/>
            <w:noWrap w:val="0"/>
            <w:vAlign w:val="center"/>
          </w:tcPr>
          <w:p w14:paraId="6C21ACC8">
            <w:pPr>
              <w:jc w:val="left"/>
              <w:rPr>
                <w:rFonts w:hint="eastAsia"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en-US" w:eastAsia="zh-CN"/>
              </w:rPr>
              <w:t>2、全体工作人员具有保安上岗证。</w:t>
            </w:r>
          </w:p>
        </w:tc>
        <w:tc>
          <w:tcPr>
            <w:tcW w:w="2359" w:type="dxa"/>
            <w:noWrap w:val="0"/>
            <w:vAlign w:val="top"/>
          </w:tcPr>
          <w:p w14:paraId="7BBB02D2">
            <w:pPr>
              <w:spacing w:line="400" w:lineRule="exact"/>
              <w:jc w:val="center"/>
              <w:rPr>
                <w:rFonts w:ascii="宋体" w:hAnsi="宋体"/>
                <w:color w:val="auto"/>
                <w:sz w:val="24"/>
                <w:szCs w:val="24"/>
                <w:highlight w:val="none"/>
              </w:rPr>
            </w:pPr>
          </w:p>
        </w:tc>
        <w:tc>
          <w:tcPr>
            <w:tcW w:w="2284" w:type="dxa"/>
            <w:noWrap w:val="0"/>
            <w:vAlign w:val="top"/>
          </w:tcPr>
          <w:p w14:paraId="6B444119">
            <w:pPr>
              <w:spacing w:line="400" w:lineRule="exact"/>
              <w:jc w:val="center"/>
              <w:rPr>
                <w:rFonts w:ascii="宋体" w:hAnsi="宋体"/>
                <w:color w:val="auto"/>
                <w:sz w:val="24"/>
                <w:szCs w:val="24"/>
                <w:highlight w:val="none"/>
              </w:rPr>
            </w:pPr>
          </w:p>
        </w:tc>
      </w:tr>
      <w:tr w14:paraId="5B7B8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77" w:type="dxa"/>
            <w:noWrap w:val="0"/>
            <w:vAlign w:val="center"/>
          </w:tcPr>
          <w:p w14:paraId="5CBD8396">
            <w:pPr>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3</w:t>
            </w:r>
          </w:p>
        </w:tc>
        <w:tc>
          <w:tcPr>
            <w:tcW w:w="4567" w:type="dxa"/>
            <w:noWrap w:val="0"/>
            <w:vAlign w:val="top"/>
          </w:tcPr>
          <w:p w14:paraId="2DF3C8FC">
            <w:pPr>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付款方式</w:t>
            </w:r>
            <w:r>
              <w:rPr>
                <w:rFonts w:hint="eastAsia" w:cs="Times New Roman"/>
                <w:color w:val="auto"/>
                <w:sz w:val="24"/>
                <w:szCs w:val="24"/>
                <w:highlight w:val="none"/>
                <w:lang w:val="en-US" w:eastAsia="zh-CN"/>
              </w:rPr>
              <w:t>：</w:t>
            </w:r>
          </w:p>
          <w:p w14:paraId="060928D9">
            <w:pPr>
              <w:jc w:val="lef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合同签订后的30个自然日内，采购人向中标人支付合同总价的10%作为预付款。</w:t>
            </w:r>
          </w:p>
          <w:p w14:paraId="7BA417EA">
            <w:pPr>
              <w:jc w:val="lef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采购人留取合同总价的10%作为年度考核总费用（一年的考核费用为合同总价的5%，考核条款详见附件1-保安服务质量标准与监管考评标准细则）。</w:t>
            </w:r>
          </w:p>
          <w:p w14:paraId="4EF4C595">
            <w:pPr>
              <w:jc w:val="lef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服务费按半年度支付。服务期开始之日起每半年后的十个工作日内，采购人向中标人支付半年度的服务费用【（合同总价-预付款-留取的年度考核总费用）/24*6】。在每年服务期结束之后的15个工作日，采购人向中标人支付该年度实际考核费用。</w:t>
            </w:r>
          </w:p>
          <w:p w14:paraId="57996E22">
            <w:pPr>
              <w:jc w:val="lef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月度考核均分得分在95分（含）以上的，该年度考核费用全额支付；月度考核均分得分在95分（不含）以下的，每低一分扣除500元。</w:t>
            </w:r>
          </w:p>
          <w:p w14:paraId="0F0E2412">
            <w:pPr>
              <w:jc w:val="left"/>
              <w:rPr>
                <w:rFonts w:hint="eastAsia"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en-US" w:eastAsia="zh-CN"/>
              </w:rPr>
              <w:t>注：①在签订合同时，中标人明确表示无需预付款或者主动要求降低预付款比例的，可不适用上述第</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条规定。②</w:t>
            </w:r>
            <w:r>
              <w:rPr>
                <w:rFonts w:hint="eastAsia" w:ascii="Times New Roman" w:hAnsi="Times New Roman" w:eastAsia="宋体" w:cs="Times New Roman"/>
                <w:color w:val="auto"/>
                <w:sz w:val="24"/>
                <w:szCs w:val="24"/>
                <w:highlight w:val="none"/>
                <w:lang w:val="zh-CN" w:eastAsia="zh-CN"/>
              </w:rPr>
              <w:t>以上每次付款前，</w:t>
            </w:r>
            <w:r>
              <w:rPr>
                <w:rFonts w:hint="eastAsia" w:ascii="Times New Roman" w:hAnsi="Times New Roman" w:eastAsia="宋体" w:cs="Times New Roman"/>
                <w:color w:val="auto"/>
                <w:sz w:val="24"/>
                <w:szCs w:val="24"/>
                <w:highlight w:val="none"/>
                <w:lang w:val="en-US" w:eastAsia="zh-CN"/>
              </w:rPr>
              <w:t>中标人</w:t>
            </w:r>
            <w:r>
              <w:rPr>
                <w:rFonts w:hint="eastAsia" w:ascii="Times New Roman" w:hAnsi="Times New Roman" w:eastAsia="宋体" w:cs="Times New Roman"/>
                <w:color w:val="auto"/>
                <w:sz w:val="24"/>
                <w:szCs w:val="24"/>
                <w:highlight w:val="none"/>
                <w:lang w:val="zh-CN" w:eastAsia="zh-CN"/>
              </w:rPr>
              <w:t>均应提供符合</w:t>
            </w:r>
            <w:r>
              <w:rPr>
                <w:rFonts w:hint="eastAsia" w:ascii="Times New Roman" w:hAnsi="Times New Roman" w:eastAsia="宋体" w:cs="Times New Roman"/>
                <w:color w:val="auto"/>
                <w:sz w:val="24"/>
                <w:szCs w:val="24"/>
                <w:highlight w:val="none"/>
                <w:lang w:val="en-US" w:eastAsia="zh-CN"/>
              </w:rPr>
              <w:t>采购人</w:t>
            </w:r>
            <w:r>
              <w:rPr>
                <w:rFonts w:hint="eastAsia" w:ascii="Times New Roman" w:hAnsi="Times New Roman" w:eastAsia="宋体" w:cs="Times New Roman"/>
                <w:color w:val="auto"/>
                <w:sz w:val="24"/>
                <w:szCs w:val="24"/>
                <w:highlight w:val="none"/>
                <w:lang w:val="zh-CN" w:eastAsia="zh-CN"/>
              </w:rPr>
              <w:t>要求的同等金额的合法有效发票。</w:t>
            </w:r>
            <w:r>
              <w:rPr>
                <w:rFonts w:hint="eastAsia" w:ascii="Times New Roman" w:hAnsi="Times New Roman" w:eastAsia="宋体" w:cs="Times New Roman"/>
                <w:color w:val="auto"/>
                <w:sz w:val="24"/>
                <w:szCs w:val="24"/>
                <w:highlight w:val="none"/>
                <w:lang w:val="en-US" w:eastAsia="zh-CN"/>
              </w:rPr>
              <w:t>否则，采购人有权顺延付款时间，且不承担任何违约及/或赔偿责任</w:t>
            </w:r>
            <w:r>
              <w:rPr>
                <w:rFonts w:hint="eastAsia" w:ascii="Times New Roman" w:hAnsi="Times New Roman" w:eastAsia="宋体" w:cs="Times New Roman"/>
                <w:color w:val="auto"/>
                <w:sz w:val="24"/>
                <w:szCs w:val="24"/>
                <w:highlight w:val="none"/>
                <w:lang w:val="zh-CN" w:eastAsia="zh-CN"/>
              </w:rPr>
              <w:t>。</w:t>
            </w:r>
            <w:r>
              <w:rPr>
                <w:rFonts w:hint="eastAsia" w:ascii="Times New Roman" w:hAnsi="Times New Roman" w:eastAsia="宋体" w:cs="Times New Roman"/>
                <w:color w:val="auto"/>
                <w:sz w:val="24"/>
                <w:szCs w:val="24"/>
                <w:highlight w:val="none"/>
                <w:lang w:val="en-US" w:eastAsia="zh-CN"/>
              </w:rPr>
              <w:t>③本项目支付方式包括但不限于：数字人民币、现金、银行汇票、转账支票等。④不满足上述结算方式的作无效投标处理。</w:t>
            </w:r>
          </w:p>
        </w:tc>
        <w:tc>
          <w:tcPr>
            <w:tcW w:w="2359" w:type="dxa"/>
            <w:noWrap w:val="0"/>
            <w:vAlign w:val="top"/>
          </w:tcPr>
          <w:p w14:paraId="61CE91B0">
            <w:pPr>
              <w:spacing w:line="400" w:lineRule="exact"/>
              <w:jc w:val="center"/>
              <w:rPr>
                <w:rFonts w:ascii="宋体" w:hAnsi="宋体"/>
                <w:color w:val="auto"/>
                <w:sz w:val="24"/>
                <w:szCs w:val="24"/>
                <w:highlight w:val="none"/>
              </w:rPr>
            </w:pPr>
          </w:p>
        </w:tc>
        <w:tc>
          <w:tcPr>
            <w:tcW w:w="2284" w:type="dxa"/>
            <w:noWrap w:val="0"/>
            <w:vAlign w:val="top"/>
          </w:tcPr>
          <w:p w14:paraId="310588D5">
            <w:pPr>
              <w:spacing w:line="400" w:lineRule="exact"/>
              <w:jc w:val="center"/>
              <w:rPr>
                <w:rFonts w:ascii="宋体" w:hAnsi="宋体"/>
                <w:color w:val="auto"/>
                <w:sz w:val="24"/>
                <w:szCs w:val="24"/>
                <w:highlight w:val="none"/>
              </w:rPr>
            </w:pPr>
          </w:p>
        </w:tc>
      </w:tr>
    </w:tbl>
    <w:p w14:paraId="2DBDEAEC">
      <w:pPr>
        <w:spacing w:line="440" w:lineRule="exact"/>
        <w:rPr>
          <w:b/>
          <w:bCs/>
          <w:color w:val="auto"/>
          <w:sz w:val="24"/>
          <w:szCs w:val="24"/>
          <w:highlight w:val="none"/>
        </w:rPr>
      </w:pPr>
      <w:r>
        <w:rPr>
          <w:rFonts w:hint="eastAsia"/>
          <w:b/>
          <w:bCs/>
          <w:color w:val="auto"/>
          <w:sz w:val="24"/>
          <w:szCs w:val="24"/>
          <w:highlight w:val="none"/>
        </w:rPr>
        <w:t>注：1、</w:t>
      </w:r>
      <w:r>
        <w:rPr>
          <w:rFonts w:hint="eastAsia" w:ascii="宋体" w:hAnsi="宋体"/>
          <w:b/>
          <w:bCs/>
          <w:color w:val="auto"/>
          <w:sz w:val="24"/>
          <w:szCs w:val="24"/>
          <w:highlight w:val="none"/>
        </w:rPr>
        <w:t>投标人必须</w:t>
      </w:r>
      <w:r>
        <w:rPr>
          <w:rFonts w:ascii="宋体" w:hAnsi="宋体"/>
          <w:b/>
          <w:bCs/>
          <w:color w:val="auto"/>
          <w:sz w:val="24"/>
          <w:szCs w:val="24"/>
          <w:highlight w:val="none"/>
        </w:rPr>
        <w:t>对</w:t>
      </w:r>
      <w:r>
        <w:rPr>
          <w:rFonts w:hint="eastAsia" w:ascii="宋体" w:hAnsi="宋体"/>
          <w:b/>
          <w:bCs/>
          <w:color w:val="auto"/>
          <w:sz w:val="24"/>
          <w:szCs w:val="24"/>
          <w:highlight w:val="none"/>
        </w:rPr>
        <w:t>服务要求</w:t>
      </w:r>
      <w:r>
        <w:rPr>
          <w:rFonts w:ascii="宋体" w:hAnsi="宋体"/>
          <w:b/>
          <w:bCs/>
          <w:color w:val="auto"/>
          <w:sz w:val="24"/>
          <w:szCs w:val="24"/>
          <w:highlight w:val="none"/>
        </w:rPr>
        <w:t>和商务要求中的实质性要求逐条做出明确响应</w:t>
      </w:r>
      <w:r>
        <w:rPr>
          <w:rFonts w:hint="eastAsia" w:ascii="宋体" w:hAnsi="宋体"/>
          <w:b/>
          <w:bCs/>
          <w:color w:val="auto"/>
          <w:sz w:val="24"/>
          <w:szCs w:val="24"/>
          <w:highlight w:val="none"/>
        </w:rPr>
        <w:t>，</w:t>
      </w:r>
      <w:r>
        <w:rPr>
          <w:rFonts w:hint="eastAsia" w:ascii="宋体" w:hAnsi="宋体"/>
          <w:b/>
          <w:bCs/>
          <w:color w:val="auto"/>
          <w:sz w:val="24"/>
          <w:highlight w:val="none"/>
        </w:rPr>
        <w:t>否则作无效投标处理</w:t>
      </w:r>
      <w:r>
        <w:rPr>
          <w:rFonts w:hint="eastAsia"/>
          <w:b/>
          <w:bCs/>
          <w:color w:val="auto"/>
          <w:sz w:val="24"/>
          <w:szCs w:val="24"/>
          <w:highlight w:val="none"/>
        </w:rPr>
        <w:t>。</w:t>
      </w:r>
    </w:p>
    <w:p w14:paraId="4E458000">
      <w:pPr>
        <w:spacing w:line="440" w:lineRule="exact"/>
        <w:ind w:firstLine="480"/>
        <w:rPr>
          <w:rFonts w:hint="eastAsia" w:ascii="宋体" w:hAnsi="宋体"/>
          <w:color w:val="auto"/>
          <w:sz w:val="24"/>
          <w:szCs w:val="24"/>
          <w:highlight w:val="none"/>
        </w:rPr>
      </w:pPr>
      <w:r>
        <w:rPr>
          <w:color w:val="auto"/>
          <w:sz w:val="24"/>
          <w:szCs w:val="24"/>
          <w:highlight w:val="none"/>
        </w:rPr>
        <w:t>2、</w:t>
      </w:r>
      <w:r>
        <w:rPr>
          <w:rFonts w:hint="eastAsia" w:ascii="宋体" w:hAnsi="宋体"/>
          <w:color w:val="auto"/>
          <w:sz w:val="24"/>
          <w:szCs w:val="24"/>
          <w:highlight w:val="none"/>
        </w:rPr>
        <w:t>投标人未对实质性要求逐条作出明确响应的，该项目作无效投标处理。</w:t>
      </w:r>
    </w:p>
    <w:p w14:paraId="69EA1E5F">
      <w:pPr>
        <w:rPr>
          <w:rFonts w:hint="eastAsia" w:ascii="宋体" w:hAnsi="宋体"/>
          <w:color w:val="auto"/>
          <w:sz w:val="24"/>
          <w:szCs w:val="24"/>
          <w:highlight w:val="none"/>
        </w:rPr>
      </w:pPr>
      <w:r>
        <w:rPr>
          <w:rFonts w:hint="eastAsia" w:ascii="宋体" w:hAnsi="宋体"/>
          <w:color w:val="auto"/>
          <w:sz w:val="24"/>
          <w:szCs w:val="24"/>
          <w:highlight w:val="none"/>
        </w:rPr>
        <w:br w:type="page"/>
      </w:r>
    </w:p>
    <w:p w14:paraId="1008AEF8">
      <w:pPr>
        <w:pStyle w:val="3"/>
        <w:rPr>
          <w:color w:val="auto"/>
          <w:highlight w:val="none"/>
        </w:rPr>
      </w:pPr>
      <w:bookmarkStart w:id="153" w:name="_Toc10899"/>
      <w:r>
        <w:rPr>
          <w:rFonts w:hint="eastAsia"/>
          <w:color w:val="auto"/>
          <w:highlight w:val="none"/>
        </w:rPr>
        <w:t>附件</w:t>
      </w:r>
      <w:r>
        <w:rPr>
          <w:rFonts w:hint="eastAsia"/>
          <w:color w:val="auto"/>
          <w:highlight w:val="none"/>
          <w:lang w:val="en-US" w:eastAsia="zh-CN"/>
        </w:rPr>
        <w:t>9</w:t>
      </w:r>
      <w:r>
        <w:rPr>
          <w:bCs w:val="0"/>
          <w:color w:val="auto"/>
          <w:highlight w:val="none"/>
        </w:rPr>
        <w:t>项目服务要求响应及偏离表</w:t>
      </w:r>
      <w:bookmarkEnd w:id="153"/>
    </w:p>
    <w:tbl>
      <w:tblPr>
        <w:tblStyle w:val="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8"/>
        <w:gridCol w:w="3367"/>
        <w:gridCol w:w="2377"/>
        <w:gridCol w:w="2657"/>
      </w:tblGrid>
      <w:tr w14:paraId="3ABFF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968" w:type="dxa"/>
            <w:vAlign w:val="center"/>
          </w:tcPr>
          <w:p w14:paraId="04555F27">
            <w:pPr>
              <w:jc w:val="center"/>
              <w:rPr>
                <w:b/>
                <w:color w:val="auto"/>
                <w:sz w:val="24"/>
                <w:szCs w:val="24"/>
                <w:highlight w:val="none"/>
              </w:rPr>
            </w:pPr>
            <w:r>
              <w:rPr>
                <w:b/>
                <w:color w:val="auto"/>
                <w:sz w:val="24"/>
                <w:szCs w:val="24"/>
                <w:highlight w:val="none"/>
              </w:rPr>
              <w:t>序号</w:t>
            </w:r>
          </w:p>
        </w:tc>
        <w:tc>
          <w:tcPr>
            <w:tcW w:w="3367" w:type="dxa"/>
            <w:vAlign w:val="center"/>
          </w:tcPr>
          <w:p w14:paraId="4B613E42">
            <w:pPr>
              <w:jc w:val="center"/>
              <w:rPr>
                <w:b/>
                <w:color w:val="auto"/>
                <w:sz w:val="24"/>
                <w:szCs w:val="24"/>
                <w:highlight w:val="none"/>
              </w:rPr>
            </w:pPr>
            <w:r>
              <w:rPr>
                <w:b/>
                <w:color w:val="auto"/>
                <w:sz w:val="24"/>
                <w:szCs w:val="24"/>
                <w:highlight w:val="none"/>
              </w:rPr>
              <w:t>招标服务要求</w:t>
            </w:r>
          </w:p>
        </w:tc>
        <w:tc>
          <w:tcPr>
            <w:tcW w:w="2377" w:type="dxa"/>
            <w:vAlign w:val="center"/>
          </w:tcPr>
          <w:p w14:paraId="2F462C85">
            <w:pPr>
              <w:jc w:val="center"/>
              <w:rPr>
                <w:b/>
                <w:color w:val="auto"/>
                <w:sz w:val="24"/>
                <w:szCs w:val="24"/>
                <w:highlight w:val="none"/>
              </w:rPr>
            </w:pPr>
            <w:r>
              <w:rPr>
                <w:b/>
                <w:color w:val="auto"/>
                <w:sz w:val="24"/>
                <w:szCs w:val="24"/>
                <w:highlight w:val="none"/>
              </w:rPr>
              <w:t>有无偏离</w:t>
            </w:r>
          </w:p>
        </w:tc>
        <w:tc>
          <w:tcPr>
            <w:tcW w:w="2657" w:type="dxa"/>
            <w:vAlign w:val="center"/>
          </w:tcPr>
          <w:p w14:paraId="7E8C5178">
            <w:pPr>
              <w:jc w:val="center"/>
              <w:rPr>
                <w:b/>
                <w:color w:val="auto"/>
                <w:sz w:val="24"/>
                <w:szCs w:val="24"/>
                <w:highlight w:val="none"/>
              </w:rPr>
            </w:pPr>
            <w:r>
              <w:rPr>
                <w:b/>
                <w:color w:val="auto"/>
                <w:sz w:val="24"/>
                <w:szCs w:val="24"/>
                <w:highlight w:val="none"/>
              </w:rPr>
              <w:t>偏离内容及原因</w:t>
            </w:r>
          </w:p>
        </w:tc>
      </w:tr>
      <w:tr w14:paraId="3C5B3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37FA030C">
            <w:pPr>
              <w:jc w:val="center"/>
              <w:rPr>
                <w:color w:val="auto"/>
                <w:sz w:val="24"/>
                <w:szCs w:val="24"/>
                <w:highlight w:val="none"/>
              </w:rPr>
            </w:pPr>
            <w:r>
              <w:rPr>
                <w:color w:val="auto"/>
                <w:sz w:val="24"/>
                <w:szCs w:val="24"/>
                <w:highlight w:val="none"/>
              </w:rPr>
              <w:t>1</w:t>
            </w:r>
          </w:p>
        </w:tc>
        <w:tc>
          <w:tcPr>
            <w:tcW w:w="3367" w:type="dxa"/>
            <w:vAlign w:val="center"/>
          </w:tcPr>
          <w:p w14:paraId="266CB85A">
            <w:pPr>
              <w:jc w:val="center"/>
              <w:rPr>
                <w:color w:val="auto"/>
                <w:sz w:val="24"/>
                <w:szCs w:val="24"/>
                <w:highlight w:val="none"/>
              </w:rPr>
            </w:pPr>
          </w:p>
        </w:tc>
        <w:tc>
          <w:tcPr>
            <w:tcW w:w="2377" w:type="dxa"/>
            <w:vAlign w:val="center"/>
          </w:tcPr>
          <w:p w14:paraId="27C55324">
            <w:pPr>
              <w:jc w:val="center"/>
              <w:rPr>
                <w:color w:val="auto"/>
                <w:sz w:val="24"/>
                <w:szCs w:val="24"/>
                <w:highlight w:val="none"/>
              </w:rPr>
            </w:pPr>
          </w:p>
        </w:tc>
        <w:tc>
          <w:tcPr>
            <w:tcW w:w="2657" w:type="dxa"/>
            <w:vAlign w:val="center"/>
          </w:tcPr>
          <w:p w14:paraId="54CCC752">
            <w:pPr>
              <w:jc w:val="center"/>
              <w:rPr>
                <w:color w:val="auto"/>
                <w:sz w:val="24"/>
                <w:szCs w:val="24"/>
                <w:highlight w:val="none"/>
              </w:rPr>
            </w:pPr>
          </w:p>
        </w:tc>
      </w:tr>
      <w:tr w14:paraId="29984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6B8E6F82">
            <w:pPr>
              <w:jc w:val="center"/>
              <w:rPr>
                <w:color w:val="auto"/>
                <w:sz w:val="24"/>
                <w:szCs w:val="24"/>
                <w:highlight w:val="none"/>
              </w:rPr>
            </w:pPr>
            <w:r>
              <w:rPr>
                <w:color w:val="auto"/>
                <w:sz w:val="24"/>
                <w:szCs w:val="24"/>
                <w:highlight w:val="none"/>
              </w:rPr>
              <w:t>2</w:t>
            </w:r>
          </w:p>
        </w:tc>
        <w:tc>
          <w:tcPr>
            <w:tcW w:w="3367" w:type="dxa"/>
            <w:vAlign w:val="center"/>
          </w:tcPr>
          <w:p w14:paraId="489043AF">
            <w:pPr>
              <w:jc w:val="center"/>
              <w:rPr>
                <w:color w:val="auto"/>
                <w:sz w:val="24"/>
                <w:szCs w:val="24"/>
                <w:highlight w:val="none"/>
              </w:rPr>
            </w:pPr>
          </w:p>
        </w:tc>
        <w:tc>
          <w:tcPr>
            <w:tcW w:w="2377" w:type="dxa"/>
            <w:vAlign w:val="center"/>
          </w:tcPr>
          <w:p w14:paraId="3F5E113F">
            <w:pPr>
              <w:jc w:val="center"/>
              <w:rPr>
                <w:color w:val="auto"/>
                <w:sz w:val="24"/>
                <w:szCs w:val="24"/>
                <w:highlight w:val="none"/>
              </w:rPr>
            </w:pPr>
          </w:p>
        </w:tc>
        <w:tc>
          <w:tcPr>
            <w:tcW w:w="2657" w:type="dxa"/>
            <w:vAlign w:val="center"/>
          </w:tcPr>
          <w:p w14:paraId="62C2F500">
            <w:pPr>
              <w:jc w:val="center"/>
              <w:rPr>
                <w:color w:val="auto"/>
                <w:sz w:val="24"/>
                <w:szCs w:val="24"/>
                <w:highlight w:val="none"/>
              </w:rPr>
            </w:pPr>
          </w:p>
        </w:tc>
      </w:tr>
      <w:tr w14:paraId="702E2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44F6E3AF">
            <w:pPr>
              <w:jc w:val="center"/>
              <w:rPr>
                <w:color w:val="auto"/>
                <w:sz w:val="24"/>
                <w:szCs w:val="24"/>
                <w:highlight w:val="none"/>
              </w:rPr>
            </w:pPr>
            <w:r>
              <w:rPr>
                <w:color w:val="auto"/>
                <w:sz w:val="24"/>
                <w:szCs w:val="24"/>
                <w:highlight w:val="none"/>
              </w:rPr>
              <w:t>3</w:t>
            </w:r>
          </w:p>
        </w:tc>
        <w:tc>
          <w:tcPr>
            <w:tcW w:w="3367" w:type="dxa"/>
            <w:vAlign w:val="center"/>
          </w:tcPr>
          <w:p w14:paraId="227110F3">
            <w:pPr>
              <w:jc w:val="center"/>
              <w:rPr>
                <w:color w:val="auto"/>
                <w:sz w:val="24"/>
                <w:szCs w:val="24"/>
                <w:highlight w:val="none"/>
              </w:rPr>
            </w:pPr>
          </w:p>
        </w:tc>
        <w:tc>
          <w:tcPr>
            <w:tcW w:w="2377" w:type="dxa"/>
            <w:vAlign w:val="center"/>
          </w:tcPr>
          <w:p w14:paraId="0D06C403">
            <w:pPr>
              <w:jc w:val="center"/>
              <w:rPr>
                <w:color w:val="auto"/>
                <w:sz w:val="24"/>
                <w:szCs w:val="24"/>
                <w:highlight w:val="none"/>
              </w:rPr>
            </w:pPr>
          </w:p>
        </w:tc>
        <w:tc>
          <w:tcPr>
            <w:tcW w:w="2657" w:type="dxa"/>
            <w:vAlign w:val="center"/>
          </w:tcPr>
          <w:p w14:paraId="7C16CB80">
            <w:pPr>
              <w:jc w:val="center"/>
              <w:rPr>
                <w:color w:val="auto"/>
                <w:sz w:val="24"/>
                <w:szCs w:val="24"/>
                <w:highlight w:val="none"/>
              </w:rPr>
            </w:pPr>
          </w:p>
        </w:tc>
      </w:tr>
      <w:tr w14:paraId="25D76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72B3A434">
            <w:pPr>
              <w:jc w:val="center"/>
              <w:rPr>
                <w:color w:val="auto"/>
                <w:sz w:val="24"/>
                <w:szCs w:val="24"/>
                <w:highlight w:val="none"/>
              </w:rPr>
            </w:pPr>
            <w:r>
              <w:rPr>
                <w:color w:val="auto"/>
                <w:sz w:val="24"/>
                <w:szCs w:val="24"/>
                <w:highlight w:val="none"/>
              </w:rPr>
              <w:t>……</w:t>
            </w:r>
          </w:p>
        </w:tc>
        <w:tc>
          <w:tcPr>
            <w:tcW w:w="3367" w:type="dxa"/>
            <w:vAlign w:val="center"/>
          </w:tcPr>
          <w:p w14:paraId="34B1FA2B">
            <w:pPr>
              <w:jc w:val="center"/>
              <w:rPr>
                <w:color w:val="auto"/>
                <w:sz w:val="24"/>
                <w:szCs w:val="24"/>
                <w:highlight w:val="none"/>
              </w:rPr>
            </w:pPr>
          </w:p>
        </w:tc>
        <w:tc>
          <w:tcPr>
            <w:tcW w:w="2377" w:type="dxa"/>
            <w:vAlign w:val="center"/>
          </w:tcPr>
          <w:p w14:paraId="6E78E4D4">
            <w:pPr>
              <w:jc w:val="center"/>
              <w:rPr>
                <w:color w:val="auto"/>
                <w:sz w:val="24"/>
                <w:szCs w:val="24"/>
                <w:highlight w:val="none"/>
              </w:rPr>
            </w:pPr>
          </w:p>
        </w:tc>
        <w:tc>
          <w:tcPr>
            <w:tcW w:w="2657" w:type="dxa"/>
            <w:vAlign w:val="center"/>
          </w:tcPr>
          <w:p w14:paraId="20390BF0">
            <w:pPr>
              <w:jc w:val="center"/>
              <w:rPr>
                <w:color w:val="auto"/>
                <w:sz w:val="24"/>
                <w:szCs w:val="24"/>
                <w:highlight w:val="none"/>
              </w:rPr>
            </w:pPr>
          </w:p>
        </w:tc>
      </w:tr>
      <w:tr w14:paraId="1257D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4E4C241F">
            <w:pPr>
              <w:jc w:val="center"/>
              <w:rPr>
                <w:color w:val="auto"/>
                <w:sz w:val="24"/>
                <w:szCs w:val="24"/>
                <w:highlight w:val="none"/>
              </w:rPr>
            </w:pPr>
          </w:p>
        </w:tc>
        <w:tc>
          <w:tcPr>
            <w:tcW w:w="3367" w:type="dxa"/>
            <w:vAlign w:val="center"/>
          </w:tcPr>
          <w:p w14:paraId="0578ABAC">
            <w:pPr>
              <w:jc w:val="center"/>
              <w:rPr>
                <w:color w:val="auto"/>
                <w:sz w:val="24"/>
                <w:szCs w:val="24"/>
                <w:highlight w:val="none"/>
              </w:rPr>
            </w:pPr>
          </w:p>
        </w:tc>
        <w:tc>
          <w:tcPr>
            <w:tcW w:w="2377" w:type="dxa"/>
            <w:vAlign w:val="center"/>
          </w:tcPr>
          <w:p w14:paraId="41F2992A">
            <w:pPr>
              <w:jc w:val="center"/>
              <w:rPr>
                <w:color w:val="auto"/>
                <w:sz w:val="24"/>
                <w:szCs w:val="24"/>
                <w:highlight w:val="none"/>
              </w:rPr>
            </w:pPr>
          </w:p>
        </w:tc>
        <w:tc>
          <w:tcPr>
            <w:tcW w:w="2657" w:type="dxa"/>
            <w:vAlign w:val="center"/>
          </w:tcPr>
          <w:p w14:paraId="0C377F89">
            <w:pPr>
              <w:jc w:val="center"/>
              <w:rPr>
                <w:color w:val="auto"/>
                <w:sz w:val="24"/>
                <w:szCs w:val="24"/>
                <w:highlight w:val="none"/>
              </w:rPr>
            </w:pPr>
          </w:p>
        </w:tc>
      </w:tr>
      <w:tr w14:paraId="4C1BE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968" w:type="dxa"/>
            <w:vAlign w:val="center"/>
          </w:tcPr>
          <w:p w14:paraId="41231BF5">
            <w:pPr>
              <w:jc w:val="center"/>
              <w:rPr>
                <w:color w:val="auto"/>
                <w:sz w:val="24"/>
                <w:szCs w:val="24"/>
                <w:highlight w:val="none"/>
              </w:rPr>
            </w:pPr>
          </w:p>
        </w:tc>
        <w:tc>
          <w:tcPr>
            <w:tcW w:w="3367" w:type="dxa"/>
            <w:vAlign w:val="center"/>
          </w:tcPr>
          <w:p w14:paraId="430DFD46">
            <w:pPr>
              <w:jc w:val="center"/>
              <w:rPr>
                <w:color w:val="auto"/>
                <w:sz w:val="24"/>
                <w:szCs w:val="24"/>
                <w:highlight w:val="none"/>
              </w:rPr>
            </w:pPr>
          </w:p>
        </w:tc>
        <w:tc>
          <w:tcPr>
            <w:tcW w:w="2377" w:type="dxa"/>
            <w:vAlign w:val="center"/>
          </w:tcPr>
          <w:p w14:paraId="6915F977">
            <w:pPr>
              <w:jc w:val="center"/>
              <w:rPr>
                <w:color w:val="auto"/>
                <w:sz w:val="24"/>
                <w:szCs w:val="24"/>
                <w:highlight w:val="none"/>
              </w:rPr>
            </w:pPr>
          </w:p>
        </w:tc>
        <w:tc>
          <w:tcPr>
            <w:tcW w:w="2657" w:type="dxa"/>
            <w:vAlign w:val="center"/>
          </w:tcPr>
          <w:p w14:paraId="49E48857">
            <w:pPr>
              <w:jc w:val="center"/>
              <w:rPr>
                <w:color w:val="auto"/>
                <w:sz w:val="24"/>
                <w:szCs w:val="24"/>
                <w:highlight w:val="none"/>
              </w:rPr>
            </w:pPr>
          </w:p>
        </w:tc>
      </w:tr>
      <w:tr w14:paraId="24CD7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0C9CBA2C">
            <w:pPr>
              <w:jc w:val="center"/>
              <w:rPr>
                <w:color w:val="auto"/>
                <w:sz w:val="24"/>
                <w:szCs w:val="24"/>
                <w:highlight w:val="none"/>
              </w:rPr>
            </w:pPr>
          </w:p>
        </w:tc>
        <w:tc>
          <w:tcPr>
            <w:tcW w:w="3367" w:type="dxa"/>
            <w:vAlign w:val="center"/>
          </w:tcPr>
          <w:p w14:paraId="266114E3">
            <w:pPr>
              <w:jc w:val="center"/>
              <w:rPr>
                <w:color w:val="auto"/>
                <w:sz w:val="24"/>
                <w:szCs w:val="24"/>
                <w:highlight w:val="none"/>
              </w:rPr>
            </w:pPr>
          </w:p>
        </w:tc>
        <w:tc>
          <w:tcPr>
            <w:tcW w:w="2377" w:type="dxa"/>
            <w:vAlign w:val="center"/>
          </w:tcPr>
          <w:p w14:paraId="52D5D01A">
            <w:pPr>
              <w:jc w:val="center"/>
              <w:rPr>
                <w:color w:val="auto"/>
                <w:sz w:val="24"/>
                <w:szCs w:val="24"/>
                <w:highlight w:val="none"/>
              </w:rPr>
            </w:pPr>
          </w:p>
        </w:tc>
        <w:tc>
          <w:tcPr>
            <w:tcW w:w="2657" w:type="dxa"/>
            <w:vAlign w:val="center"/>
          </w:tcPr>
          <w:p w14:paraId="2970AA59">
            <w:pPr>
              <w:jc w:val="center"/>
              <w:rPr>
                <w:color w:val="auto"/>
                <w:sz w:val="24"/>
                <w:szCs w:val="24"/>
                <w:highlight w:val="none"/>
              </w:rPr>
            </w:pPr>
          </w:p>
        </w:tc>
      </w:tr>
      <w:tr w14:paraId="51B60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37A02CB1">
            <w:pPr>
              <w:jc w:val="center"/>
              <w:rPr>
                <w:color w:val="auto"/>
                <w:sz w:val="24"/>
                <w:szCs w:val="24"/>
                <w:highlight w:val="none"/>
              </w:rPr>
            </w:pPr>
          </w:p>
        </w:tc>
        <w:tc>
          <w:tcPr>
            <w:tcW w:w="3367" w:type="dxa"/>
            <w:vAlign w:val="center"/>
          </w:tcPr>
          <w:p w14:paraId="4BB9FD38">
            <w:pPr>
              <w:jc w:val="center"/>
              <w:rPr>
                <w:color w:val="auto"/>
                <w:sz w:val="24"/>
                <w:szCs w:val="24"/>
                <w:highlight w:val="none"/>
              </w:rPr>
            </w:pPr>
          </w:p>
        </w:tc>
        <w:tc>
          <w:tcPr>
            <w:tcW w:w="2377" w:type="dxa"/>
            <w:vAlign w:val="center"/>
          </w:tcPr>
          <w:p w14:paraId="147E693D">
            <w:pPr>
              <w:jc w:val="center"/>
              <w:rPr>
                <w:color w:val="auto"/>
                <w:sz w:val="24"/>
                <w:szCs w:val="24"/>
                <w:highlight w:val="none"/>
              </w:rPr>
            </w:pPr>
          </w:p>
        </w:tc>
        <w:tc>
          <w:tcPr>
            <w:tcW w:w="2657" w:type="dxa"/>
            <w:vAlign w:val="center"/>
          </w:tcPr>
          <w:p w14:paraId="2BE9FE37">
            <w:pPr>
              <w:jc w:val="center"/>
              <w:rPr>
                <w:color w:val="auto"/>
                <w:sz w:val="24"/>
                <w:szCs w:val="24"/>
                <w:highlight w:val="none"/>
              </w:rPr>
            </w:pPr>
          </w:p>
        </w:tc>
      </w:tr>
      <w:tr w14:paraId="3DFE9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5EE610C4">
            <w:pPr>
              <w:jc w:val="center"/>
              <w:rPr>
                <w:color w:val="auto"/>
                <w:sz w:val="24"/>
                <w:szCs w:val="24"/>
                <w:highlight w:val="none"/>
              </w:rPr>
            </w:pPr>
          </w:p>
        </w:tc>
        <w:tc>
          <w:tcPr>
            <w:tcW w:w="3367" w:type="dxa"/>
            <w:vAlign w:val="center"/>
          </w:tcPr>
          <w:p w14:paraId="52011769">
            <w:pPr>
              <w:jc w:val="center"/>
              <w:rPr>
                <w:color w:val="auto"/>
                <w:sz w:val="24"/>
                <w:szCs w:val="24"/>
                <w:highlight w:val="none"/>
              </w:rPr>
            </w:pPr>
          </w:p>
        </w:tc>
        <w:tc>
          <w:tcPr>
            <w:tcW w:w="2377" w:type="dxa"/>
            <w:vAlign w:val="center"/>
          </w:tcPr>
          <w:p w14:paraId="559A4451">
            <w:pPr>
              <w:jc w:val="center"/>
              <w:rPr>
                <w:color w:val="auto"/>
                <w:sz w:val="24"/>
                <w:szCs w:val="24"/>
                <w:highlight w:val="none"/>
              </w:rPr>
            </w:pPr>
          </w:p>
        </w:tc>
        <w:tc>
          <w:tcPr>
            <w:tcW w:w="2657" w:type="dxa"/>
            <w:vAlign w:val="center"/>
          </w:tcPr>
          <w:p w14:paraId="1A95D785">
            <w:pPr>
              <w:jc w:val="center"/>
              <w:rPr>
                <w:color w:val="auto"/>
                <w:sz w:val="24"/>
                <w:szCs w:val="24"/>
                <w:highlight w:val="none"/>
              </w:rPr>
            </w:pPr>
          </w:p>
        </w:tc>
      </w:tr>
      <w:tr w14:paraId="474AB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608B1F77">
            <w:pPr>
              <w:jc w:val="center"/>
              <w:rPr>
                <w:color w:val="auto"/>
                <w:sz w:val="24"/>
                <w:szCs w:val="24"/>
                <w:highlight w:val="none"/>
              </w:rPr>
            </w:pPr>
          </w:p>
        </w:tc>
        <w:tc>
          <w:tcPr>
            <w:tcW w:w="3367" w:type="dxa"/>
            <w:vAlign w:val="center"/>
          </w:tcPr>
          <w:p w14:paraId="438E349A">
            <w:pPr>
              <w:jc w:val="center"/>
              <w:rPr>
                <w:color w:val="auto"/>
                <w:sz w:val="24"/>
                <w:szCs w:val="24"/>
                <w:highlight w:val="none"/>
              </w:rPr>
            </w:pPr>
          </w:p>
        </w:tc>
        <w:tc>
          <w:tcPr>
            <w:tcW w:w="2377" w:type="dxa"/>
            <w:vAlign w:val="center"/>
          </w:tcPr>
          <w:p w14:paraId="3E71950D">
            <w:pPr>
              <w:jc w:val="center"/>
              <w:rPr>
                <w:color w:val="auto"/>
                <w:sz w:val="24"/>
                <w:szCs w:val="24"/>
                <w:highlight w:val="none"/>
              </w:rPr>
            </w:pPr>
          </w:p>
        </w:tc>
        <w:tc>
          <w:tcPr>
            <w:tcW w:w="2657" w:type="dxa"/>
            <w:vAlign w:val="center"/>
          </w:tcPr>
          <w:p w14:paraId="0CACCE2F">
            <w:pPr>
              <w:jc w:val="center"/>
              <w:rPr>
                <w:color w:val="auto"/>
                <w:sz w:val="24"/>
                <w:szCs w:val="24"/>
                <w:highlight w:val="none"/>
              </w:rPr>
            </w:pPr>
          </w:p>
        </w:tc>
      </w:tr>
      <w:tr w14:paraId="1218A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592146EA">
            <w:pPr>
              <w:jc w:val="center"/>
              <w:rPr>
                <w:color w:val="auto"/>
                <w:sz w:val="24"/>
                <w:szCs w:val="24"/>
                <w:highlight w:val="none"/>
              </w:rPr>
            </w:pPr>
          </w:p>
        </w:tc>
        <w:tc>
          <w:tcPr>
            <w:tcW w:w="3367" w:type="dxa"/>
            <w:vAlign w:val="center"/>
          </w:tcPr>
          <w:p w14:paraId="4D65AE87">
            <w:pPr>
              <w:jc w:val="center"/>
              <w:rPr>
                <w:color w:val="auto"/>
                <w:sz w:val="24"/>
                <w:szCs w:val="24"/>
                <w:highlight w:val="none"/>
              </w:rPr>
            </w:pPr>
          </w:p>
        </w:tc>
        <w:tc>
          <w:tcPr>
            <w:tcW w:w="2377" w:type="dxa"/>
            <w:vAlign w:val="center"/>
          </w:tcPr>
          <w:p w14:paraId="6686DCC5">
            <w:pPr>
              <w:jc w:val="center"/>
              <w:rPr>
                <w:color w:val="auto"/>
                <w:sz w:val="24"/>
                <w:szCs w:val="24"/>
                <w:highlight w:val="none"/>
              </w:rPr>
            </w:pPr>
          </w:p>
        </w:tc>
        <w:tc>
          <w:tcPr>
            <w:tcW w:w="2657" w:type="dxa"/>
            <w:vAlign w:val="center"/>
          </w:tcPr>
          <w:p w14:paraId="2AD29645">
            <w:pPr>
              <w:jc w:val="center"/>
              <w:rPr>
                <w:color w:val="auto"/>
                <w:sz w:val="24"/>
                <w:szCs w:val="24"/>
                <w:highlight w:val="none"/>
              </w:rPr>
            </w:pPr>
          </w:p>
        </w:tc>
      </w:tr>
      <w:tr w14:paraId="5635F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09F385A3">
            <w:pPr>
              <w:jc w:val="center"/>
              <w:rPr>
                <w:color w:val="auto"/>
                <w:sz w:val="24"/>
                <w:szCs w:val="24"/>
                <w:highlight w:val="none"/>
              </w:rPr>
            </w:pPr>
          </w:p>
        </w:tc>
        <w:tc>
          <w:tcPr>
            <w:tcW w:w="3367" w:type="dxa"/>
            <w:vAlign w:val="center"/>
          </w:tcPr>
          <w:p w14:paraId="6B0D1F20">
            <w:pPr>
              <w:jc w:val="center"/>
              <w:rPr>
                <w:color w:val="auto"/>
                <w:sz w:val="24"/>
                <w:szCs w:val="24"/>
                <w:highlight w:val="none"/>
              </w:rPr>
            </w:pPr>
          </w:p>
        </w:tc>
        <w:tc>
          <w:tcPr>
            <w:tcW w:w="2377" w:type="dxa"/>
            <w:vAlign w:val="center"/>
          </w:tcPr>
          <w:p w14:paraId="5ECD423D">
            <w:pPr>
              <w:jc w:val="center"/>
              <w:rPr>
                <w:color w:val="auto"/>
                <w:sz w:val="24"/>
                <w:szCs w:val="24"/>
                <w:highlight w:val="none"/>
              </w:rPr>
            </w:pPr>
          </w:p>
        </w:tc>
        <w:tc>
          <w:tcPr>
            <w:tcW w:w="2657" w:type="dxa"/>
            <w:vAlign w:val="center"/>
          </w:tcPr>
          <w:p w14:paraId="1F66E802">
            <w:pPr>
              <w:jc w:val="center"/>
              <w:rPr>
                <w:color w:val="auto"/>
                <w:sz w:val="24"/>
                <w:szCs w:val="24"/>
                <w:highlight w:val="none"/>
              </w:rPr>
            </w:pPr>
          </w:p>
        </w:tc>
      </w:tr>
      <w:tr w14:paraId="1D24A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0F6A5F7E">
            <w:pPr>
              <w:jc w:val="center"/>
              <w:rPr>
                <w:color w:val="auto"/>
                <w:sz w:val="24"/>
                <w:szCs w:val="24"/>
                <w:highlight w:val="none"/>
              </w:rPr>
            </w:pPr>
          </w:p>
        </w:tc>
        <w:tc>
          <w:tcPr>
            <w:tcW w:w="3367" w:type="dxa"/>
            <w:vAlign w:val="center"/>
          </w:tcPr>
          <w:p w14:paraId="1D420355">
            <w:pPr>
              <w:jc w:val="center"/>
              <w:rPr>
                <w:color w:val="auto"/>
                <w:sz w:val="24"/>
                <w:szCs w:val="24"/>
                <w:highlight w:val="none"/>
              </w:rPr>
            </w:pPr>
          </w:p>
        </w:tc>
        <w:tc>
          <w:tcPr>
            <w:tcW w:w="2377" w:type="dxa"/>
            <w:vAlign w:val="center"/>
          </w:tcPr>
          <w:p w14:paraId="6EA95102">
            <w:pPr>
              <w:jc w:val="center"/>
              <w:rPr>
                <w:color w:val="auto"/>
                <w:sz w:val="24"/>
                <w:szCs w:val="24"/>
                <w:highlight w:val="none"/>
              </w:rPr>
            </w:pPr>
          </w:p>
        </w:tc>
        <w:tc>
          <w:tcPr>
            <w:tcW w:w="2657" w:type="dxa"/>
            <w:vAlign w:val="center"/>
          </w:tcPr>
          <w:p w14:paraId="2E435FBF">
            <w:pPr>
              <w:jc w:val="center"/>
              <w:rPr>
                <w:color w:val="auto"/>
                <w:sz w:val="24"/>
                <w:szCs w:val="24"/>
                <w:highlight w:val="none"/>
              </w:rPr>
            </w:pPr>
          </w:p>
        </w:tc>
      </w:tr>
      <w:tr w14:paraId="63DF0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68" w:type="dxa"/>
            <w:vAlign w:val="center"/>
          </w:tcPr>
          <w:p w14:paraId="177FAB9E">
            <w:pPr>
              <w:jc w:val="center"/>
              <w:rPr>
                <w:color w:val="auto"/>
                <w:sz w:val="24"/>
                <w:szCs w:val="24"/>
                <w:highlight w:val="none"/>
              </w:rPr>
            </w:pPr>
          </w:p>
        </w:tc>
        <w:tc>
          <w:tcPr>
            <w:tcW w:w="3367" w:type="dxa"/>
            <w:vAlign w:val="center"/>
          </w:tcPr>
          <w:p w14:paraId="16792308">
            <w:pPr>
              <w:jc w:val="center"/>
              <w:rPr>
                <w:color w:val="auto"/>
                <w:sz w:val="24"/>
                <w:szCs w:val="24"/>
                <w:highlight w:val="none"/>
              </w:rPr>
            </w:pPr>
          </w:p>
        </w:tc>
        <w:tc>
          <w:tcPr>
            <w:tcW w:w="2377" w:type="dxa"/>
            <w:vAlign w:val="center"/>
          </w:tcPr>
          <w:p w14:paraId="39A7385D">
            <w:pPr>
              <w:jc w:val="center"/>
              <w:rPr>
                <w:color w:val="auto"/>
                <w:sz w:val="24"/>
                <w:szCs w:val="24"/>
                <w:highlight w:val="none"/>
              </w:rPr>
            </w:pPr>
          </w:p>
        </w:tc>
        <w:tc>
          <w:tcPr>
            <w:tcW w:w="2657" w:type="dxa"/>
            <w:vAlign w:val="center"/>
          </w:tcPr>
          <w:p w14:paraId="7FCDBCE5">
            <w:pPr>
              <w:jc w:val="center"/>
              <w:rPr>
                <w:color w:val="auto"/>
                <w:sz w:val="24"/>
                <w:szCs w:val="24"/>
                <w:highlight w:val="none"/>
              </w:rPr>
            </w:pPr>
          </w:p>
        </w:tc>
      </w:tr>
    </w:tbl>
    <w:p w14:paraId="7E3168C5">
      <w:pPr>
        <w:spacing w:line="500" w:lineRule="exact"/>
        <w:rPr>
          <w:rFonts w:hint="eastAsia" w:ascii="宋体" w:hAnsi="宋体" w:cs="宋体"/>
          <w:color w:val="auto"/>
          <w:sz w:val="24"/>
          <w:szCs w:val="24"/>
          <w:highlight w:val="none"/>
        </w:rPr>
      </w:pPr>
      <w:r>
        <w:rPr>
          <w:color w:val="auto"/>
          <w:sz w:val="24"/>
          <w:szCs w:val="24"/>
          <w:highlight w:val="none"/>
        </w:rPr>
        <w:t>注：1、投标人</w:t>
      </w:r>
      <w:r>
        <w:rPr>
          <w:color w:val="auto"/>
          <w:sz w:val="24"/>
          <w:highlight w:val="none"/>
        </w:rPr>
        <w:t>应</w:t>
      </w:r>
      <w:r>
        <w:rPr>
          <w:rFonts w:hint="eastAsia" w:ascii="宋体" w:hAnsi="宋体" w:cs="宋体"/>
          <w:color w:val="auto"/>
          <w:sz w:val="24"/>
          <w:highlight w:val="none"/>
        </w:rPr>
        <w:t>对本项目</w:t>
      </w:r>
      <w:r>
        <w:rPr>
          <w:rFonts w:hint="eastAsia" w:ascii="宋体" w:hAnsi="宋体" w:cs="宋体"/>
          <w:b/>
          <w:bCs/>
          <w:color w:val="auto"/>
          <w:sz w:val="24"/>
          <w:highlight w:val="none"/>
        </w:rPr>
        <w:t>“第四章 采购需求”中的“三、项目服务要求”中的要求进行逐项评议</w:t>
      </w:r>
      <w:r>
        <w:rPr>
          <w:rFonts w:hint="eastAsia" w:ascii="宋体" w:hAnsi="宋体" w:cs="宋体"/>
          <w:color w:val="auto"/>
          <w:sz w:val="24"/>
          <w:highlight w:val="none"/>
        </w:rPr>
        <w:t>。</w:t>
      </w:r>
    </w:p>
    <w:p w14:paraId="056EB17E">
      <w:pPr>
        <w:spacing w:line="500" w:lineRule="exact"/>
        <w:ind w:firstLine="480"/>
        <w:rPr>
          <w:color w:val="auto"/>
          <w:sz w:val="24"/>
          <w:szCs w:val="24"/>
          <w:highlight w:val="none"/>
        </w:rPr>
      </w:pPr>
      <w:r>
        <w:rPr>
          <w:color w:val="auto"/>
          <w:sz w:val="24"/>
          <w:szCs w:val="24"/>
          <w:highlight w:val="none"/>
        </w:rPr>
        <w:t>2、若</w:t>
      </w:r>
      <w:r>
        <w:rPr>
          <w:rFonts w:hint="eastAsia" w:ascii="宋体" w:hAnsi="宋体" w:cs="宋体"/>
          <w:color w:val="auto"/>
          <w:sz w:val="24"/>
          <w:szCs w:val="24"/>
          <w:highlight w:val="none"/>
        </w:rPr>
        <w:t>无偏离，在“有无偏离”栏中填写“无”；若有偏离在“有无偏离”栏中填写“有”并在“偏离内容及原因”栏中作出说明</w:t>
      </w:r>
      <w:r>
        <w:rPr>
          <w:color w:val="auto"/>
          <w:sz w:val="24"/>
          <w:szCs w:val="24"/>
          <w:highlight w:val="none"/>
        </w:rPr>
        <w:t>。</w:t>
      </w:r>
    </w:p>
    <w:p w14:paraId="38B39D81">
      <w:pPr>
        <w:spacing w:line="500" w:lineRule="exact"/>
        <w:ind w:firstLine="480"/>
        <w:rPr>
          <w:rFonts w:hint="eastAsia" w:ascii="宋体" w:hAnsi="宋体" w:cs="宋体"/>
          <w:color w:val="auto"/>
          <w:sz w:val="24"/>
          <w:szCs w:val="24"/>
          <w:highlight w:val="none"/>
        </w:rPr>
      </w:pPr>
      <w:r>
        <w:rPr>
          <w:color w:val="auto"/>
          <w:sz w:val="24"/>
          <w:szCs w:val="24"/>
          <w:highlight w:val="none"/>
        </w:rPr>
        <w:t>3</w:t>
      </w:r>
      <w:r>
        <w:rPr>
          <w:rFonts w:hint="eastAsia"/>
          <w:color w:val="auto"/>
          <w:sz w:val="24"/>
          <w:szCs w:val="24"/>
          <w:highlight w:val="none"/>
        </w:rPr>
        <w:t>、</w:t>
      </w:r>
      <w:r>
        <w:rPr>
          <w:rFonts w:hint="eastAsia" w:ascii="宋体" w:hAnsi="宋体" w:cs="宋体"/>
          <w:color w:val="auto"/>
          <w:sz w:val="24"/>
          <w:szCs w:val="24"/>
          <w:highlight w:val="none"/>
        </w:rPr>
        <w:t>表格不够可另接。</w:t>
      </w:r>
    </w:p>
    <w:p w14:paraId="24A44DF7">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05770661">
      <w:pPr>
        <w:pStyle w:val="3"/>
        <w:rPr>
          <w:color w:val="auto"/>
          <w:highlight w:val="none"/>
        </w:rPr>
      </w:pPr>
      <w:bookmarkStart w:id="154" w:name="_Toc22962"/>
      <w:bookmarkStart w:id="155" w:name="_Toc19374"/>
      <w:r>
        <w:rPr>
          <w:rFonts w:hint="eastAsia"/>
          <w:color w:val="auto"/>
          <w:highlight w:val="none"/>
        </w:rPr>
        <w:t>附件</w:t>
      </w:r>
      <w:r>
        <w:rPr>
          <w:rFonts w:hint="eastAsia"/>
          <w:color w:val="auto"/>
          <w:highlight w:val="none"/>
          <w:lang w:val="en-US" w:eastAsia="zh-CN"/>
        </w:rPr>
        <w:t>10</w:t>
      </w:r>
      <w:r>
        <w:rPr>
          <w:rFonts w:hint="eastAsia"/>
          <w:color w:val="auto"/>
          <w:highlight w:val="none"/>
        </w:rPr>
        <w:t xml:space="preserve"> </w:t>
      </w:r>
      <w:r>
        <w:rPr>
          <w:color w:val="auto"/>
          <w:highlight w:val="none"/>
        </w:rPr>
        <w:t>投入要素明细表</w:t>
      </w:r>
      <w:bookmarkEnd w:id="154"/>
      <w:bookmarkEnd w:id="155"/>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2297"/>
        <w:gridCol w:w="1254"/>
        <w:gridCol w:w="1236"/>
        <w:gridCol w:w="3937"/>
      </w:tblGrid>
      <w:tr w14:paraId="252F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50" w:type="dxa"/>
            <w:noWrap w:val="0"/>
            <w:vAlign w:val="center"/>
          </w:tcPr>
          <w:p w14:paraId="4B20AB11">
            <w:pPr>
              <w:jc w:val="center"/>
              <w:rPr>
                <w:b/>
                <w:color w:val="auto"/>
                <w:sz w:val="24"/>
                <w:highlight w:val="none"/>
              </w:rPr>
            </w:pPr>
            <w:r>
              <w:rPr>
                <w:b/>
                <w:color w:val="auto"/>
                <w:sz w:val="24"/>
                <w:highlight w:val="none"/>
              </w:rPr>
              <w:t>投入要素名称</w:t>
            </w:r>
          </w:p>
        </w:tc>
        <w:tc>
          <w:tcPr>
            <w:tcW w:w="2297" w:type="dxa"/>
            <w:noWrap w:val="0"/>
            <w:vAlign w:val="center"/>
          </w:tcPr>
          <w:p w14:paraId="35DCA4A8">
            <w:pPr>
              <w:jc w:val="center"/>
              <w:rPr>
                <w:b/>
                <w:color w:val="auto"/>
                <w:sz w:val="24"/>
                <w:highlight w:val="none"/>
              </w:rPr>
            </w:pPr>
            <w:r>
              <w:rPr>
                <w:b/>
                <w:color w:val="auto"/>
                <w:sz w:val="24"/>
                <w:highlight w:val="none"/>
              </w:rPr>
              <w:t>招标要求</w:t>
            </w:r>
          </w:p>
        </w:tc>
        <w:tc>
          <w:tcPr>
            <w:tcW w:w="1254" w:type="dxa"/>
            <w:noWrap w:val="0"/>
            <w:vAlign w:val="center"/>
          </w:tcPr>
          <w:p w14:paraId="11D4FA5E">
            <w:pPr>
              <w:jc w:val="center"/>
              <w:rPr>
                <w:b/>
                <w:color w:val="auto"/>
                <w:sz w:val="24"/>
                <w:highlight w:val="none"/>
              </w:rPr>
            </w:pPr>
            <w:r>
              <w:rPr>
                <w:b/>
                <w:color w:val="auto"/>
                <w:sz w:val="24"/>
                <w:highlight w:val="none"/>
              </w:rPr>
              <w:t>要求数量</w:t>
            </w:r>
          </w:p>
        </w:tc>
        <w:tc>
          <w:tcPr>
            <w:tcW w:w="1236" w:type="dxa"/>
            <w:noWrap w:val="0"/>
            <w:vAlign w:val="center"/>
          </w:tcPr>
          <w:p w14:paraId="464DB263">
            <w:pPr>
              <w:jc w:val="center"/>
              <w:rPr>
                <w:b/>
                <w:color w:val="auto"/>
                <w:sz w:val="24"/>
                <w:highlight w:val="none"/>
              </w:rPr>
            </w:pPr>
            <w:r>
              <w:rPr>
                <w:b/>
                <w:color w:val="auto"/>
                <w:sz w:val="24"/>
                <w:highlight w:val="none"/>
              </w:rPr>
              <w:t>投标投</w:t>
            </w:r>
          </w:p>
          <w:p w14:paraId="1A7B5F74">
            <w:pPr>
              <w:jc w:val="center"/>
              <w:rPr>
                <w:b/>
                <w:color w:val="auto"/>
                <w:sz w:val="24"/>
                <w:highlight w:val="none"/>
              </w:rPr>
            </w:pPr>
            <w:r>
              <w:rPr>
                <w:b/>
                <w:color w:val="auto"/>
                <w:sz w:val="24"/>
                <w:highlight w:val="none"/>
              </w:rPr>
              <w:t>入数量</w:t>
            </w:r>
          </w:p>
        </w:tc>
        <w:tc>
          <w:tcPr>
            <w:tcW w:w="3937" w:type="dxa"/>
            <w:noWrap w:val="0"/>
            <w:vAlign w:val="center"/>
          </w:tcPr>
          <w:p w14:paraId="2B035E28">
            <w:pPr>
              <w:jc w:val="center"/>
              <w:rPr>
                <w:color w:val="auto"/>
                <w:sz w:val="24"/>
                <w:highlight w:val="none"/>
              </w:rPr>
            </w:pPr>
            <w:r>
              <w:rPr>
                <w:b/>
                <w:color w:val="auto"/>
                <w:sz w:val="24"/>
                <w:szCs w:val="22"/>
                <w:highlight w:val="none"/>
              </w:rPr>
              <w:t>备注</w:t>
            </w:r>
          </w:p>
        </w:tc>
      </w:tr>
      <w:tr w14:paraId="58B2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1050" w:type="dxa"/>
            <w:vMerge w:val="restart"/>
            <w:noWrap w:val="0"/>
            <w:vAlign w:val="center"/>
          </w:tcPr>
          <w:p w14:paraId="19BBD46A">
            <w:pPr>
              <w:jc w:val="center"/>
              <w:rPr>
                <w:color w:val="auto"/>
                <w:sz w:val="24"/>
                <w:highlight w:val="none"/>
              </w:rPr>
            </w:pPr>
            <w:r>
              <w:rPr>
                <w:color w:val="auto"/>
                <w:sz w:val="24"/>
                <w:highlight w:val="none"/>
              </w:rPr>
              <w:t>工作</w:t>
            </w:r>
          </w:p>
          <w:p w14:paraId="3F783BCB">
            <w:pPr>
              <w:jc w:val="center"/>
              <w:rPr>
                <w:color w:val="auto"/>
                <w:sz w:val="24"/>
                <w:highlight w:val="none"/>
              </w:rPr>
            </w:pPr>
            <w:r>
              <w:rPr>
                <w:color w:val="auto"/>
                <w:sz w:val="24"/>
                <w:highlight w:val="none"/>
              </w:rPr>
              <w:t>人员</w:t>
            </w:r>
          </w:p>
        </w:tc>
        <w:tc>
          <w:tcPr>
            <w:tcW w:w="2297" w:type="dxa"/>
            <w:noWrap w:val="0"/>
            <w:vAlign w:val="center"/>
          </w:tcPr>
          <w:p w14:paraId="226BA4D7">
            <w:pPr>
              <w:jc w:val="center"/>
              <w:rPr>
                <w:rFonts w:hint="eastAsia"/>
                <w:color w:val="auto"/>
                <w:sz w:val="24"/>
                <w:highlight w:val="none"/>
              </w:rPr>
            </w:pPr>
            <w:r>
              <w:rPr>
                <w:rFonts w:hint="default" w:ascii="Times New Roman" w:hAnsi="Times New Roman" w:cs="Times New Roman"/>
                <w:color w:val="auto"/>
                <w:sz w:val="24"/>
                <w:highlight w:val="none"/>
              </w:rPr>
              <w:t>门卫</w:t>
            </w:r>
          </w:p>
        </w:tc>
        <w:tc>
          <w:tcPr>
            <w:tcW w:w="1254" w:type="dxa"/>
            <w:noWrap w:val="0"/>
            <w:vAlign w:val="center"/>
          </w:tcPr>
          <w:p w14:paraId="73757FA6">
            <w:pPr>
              <w:jc w:val="center"/>
              <w:rPr>
                <w:rFonts w:hint="eastAsia" w:eastAsia="宋体"/>
                <w:color w:val="auto"/>
                <w:sz w:val="24"/>
                <w:highlight w:val="none"/>
                <w:lang w:eastAsia="zh-CN"/>
              </w:rPr>
            </w:pPr>
            <w:r>
              <w:rPr>
                <w:rFonts w:hint="eastAsia" w:ascii="Times New Roman" w:hAnsi="Times New Roman" w:cs="Times New Roman"/>
                <w:color w:val="auto"/>
                <w:sz w:val="24"/>
                <w:highlight w:val="none"/>
                <w:lang w:val="en-US" w:eastAsia="zh-CN"/>
              </w:rPr>
              <w:t>4</w:t>
            </w:r>
            <w:r>
              <w:rPr>
                <w:rFonts w:hint="default" w:ascii="Times New Roman" w:hAnsi="Times New Roman" w:cs="Times New Roman"/>
                <w:color w:val="auto"/>
                <w:sz w:val="24"/>
                <w:highlight w:val="none"/>
              </w:rPr>
              <w:t>人</w:t>
            </w:r>
          </w:p>
        </w:tc>
        <w:tc>
          <w:tcPr>
            <w:tcW w:w="1236" w:type="dxa"/>
            <w:noWrap w:val="0"/>
            <w:vAlign w:val="center"/>
          </w:tcPr>
          <w:p w14:paraId="1528080E">
            <w:pPr>
              <w:rPr>
                <w:color w:val="auto"/>
                <w:sz w:val="24"/>
                <w:highlight w:val="none"/>
              </w:rPr>
            </w:pPr>
          </w:p>
        </w:tc>
        <w:tc>
          <w:tcPr>
            <w:tcW w:w="3937" w:type="dxa"/>
            <w:vMerge w:val="restart"/>
            <w:noWrap w:val="0"/>
            <w:vAlign w:val="center"/>
          </w:tcPr>
          <w:p w14:paraId="491F9CC3">
            <w:pPr>
              <w:jc w:val="center"/>
              <w:rPr>
                <w:color w:val="auto"/>
                <w:sz w:val="24"/>
                <w:highlight w:val="none"/>
              </w:rPr>
            </w:pPr>
            <w:r>
              <w:rPr>
                <w:color w:val="auto"/>
                <w:sz w:val="24"/>
                <w:szCs w:val="24"/>
                <w:highlight w:val="none"/>
              </w:rPr>
              <w:t>请</w:t>
            </w:r>
            <w:r>
              <w:rPr>
                <w:color w:val="auto"/>
                <w:kern w:val="0"/>
                <w:sz w:val="24"/>
                <w:szCs w:val="24"/>
                <w:highlight w:val="none"/>
              </w:rPr>
              <w:t>按</w:t>
            </w:r>
            <w:r>
              <w:rPr>
                <w:rFonts w:hint="eastAsia" w:ascii="宋体" w:hAnsi="宋体" w:cs="宋体"/>
                <w:color w:val="auto"/>
                <w:kern w:val="0"/>
                <w:sz w:val="24"/>
                <w:szCs w:val="24"/>
                <w:highlight w:val="none"/>
              </w:rPr>
              <w:t>照“表一”格</w:t>
            </w:r>
            <w:r>
              <w:rPr>
                <w:color w:val="auto"/>
                <w:kern w:val="0"/>
                <w:sz w:val="24"/>
                <w:szCs w:val="24"/>
                <w:highlight w:val="none"/>
              </w:rPr>
              <w:t>式</w:t>
            </w:r>
            <w:r>
              <w:rPr>
                <w:color w:val="auto"/>
                <w:sz w:val="24"/>
                <w:szCs w:val="24"/>
                <w:highlight w:val="none"/>
              </w:rPr>
              <w:t>列表详细说明</w:t>
            </w:r>
          </w:p>
        </w:tc>
      </w:tr>
      <w:tr w14:paraId="3A7CA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1050" w:type="dxa"/>
            <w:vMerge w:val="continue"/>
            <w:noWrap w:val="0"/>
            <w:vAlign w:val="center"/>
          </w:tcPr>
          <w:p w14:paraId="28744F27">
            <w:pPr>
              <w:jc w:val="center"/>
              <w:rPr>
                <w:color w:val="auto"/>
                <w:sz w:val="24"/>
                <w:highlight w:val="none"/>
              </w:rPr>
            </w:pPr>
          </w:p>
        </w:tc>
        <w:tc>
          <w:tcPr>
            <w:tcW w:w="2297" w:type="dxa"/>
            <w:noWrap w:val="0"/>
            <w:vAlign w:val="center"/>
          </w:tcPr>
          <w:p w14:paraId="5D405F85">
            <w:pPr>
              <w:jc w:val="center"/>
              <w:rPr>
                <w:rFonts w:hint="default" w:eastAsia="宋体"/>
                <w:color w:val="auto"/>
                <w:sz w:val="24"/>
                <w:highlight w:val="none"/>
                <w:lang w:val="en-US" w:eastAsia="zh-CN"/>
              </w:rPr>
            </w:pPr>
            <w:r>
              <w:rPr>
                <w:rFonts w:hint="default" w:ascii="Times New Roman" w:hAnsi="Times New Roman" w:cs="Times New Roman"/>
                <w:color w:val="auto"/>
                <w:sz w:val="24"/>
                <w:highlight w:val="none"/>
              </w:rPr>
              <w:t>门诊大厅巡查</w:t>
            </w:r>
            <w:r>
              <w:rPr>
                <w:rFonts w:hint="default" w:ascii="Times New Roman" w:hAnsi="Times New Roman" w:cs="Times New Roman"/>
                <w:color w:val="auto"/>
                <w:sz w:val="24"/>
                <w:highlight w:val="none"/>
                <w:lang w:val="en-US" w:eastAsia="zh-CN"/>
              </w:rPr>
              <w:t>保安（安检保安）</w:t>
            </w:r>
          </w:p>
        </w:tc>
        <w:tc>
          <w:tcPr>
            <w:tcW w:w="1254" w:type="dxa"/>
            <w:noWrap w:val="0"/>
            <w:vAlign w:val="center"/>
          </w:tcPr>
          <w:p w14:paraId="11FE543A">
            <w:pPr>
              <w:jc w:val="center"/>
              <w:rPr>
                <w:rFonts w:hint="eastAsia" w:eastAsia="宋体"/>
                <w:color w:val="auto"/>
                <w:sz w:val="24"/>
                <w:highlight w:val="none"/>
                <w:lang w:eastAsia="zh-CN"/>
              </w:rPr>
            </w:pPr>
            <w:r>
              <w:rPr>
                <w:rFonts w:hint="default"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rPr>
              <w:t>人</w:t>
            </w:r>
          </w:p>
        </w:tc>
        <w:tc>
          <w:tcPr>
            <w:tcW w:w="1236" w:type="dxa"/>
            <w:noWrap w:val="0"/>
            <w:vAlign w:val="center"/>
          </w:tcPr>
          <w:p w14:paraId="7AF2F042">
            <w:pPr>
              <w:rPr>
                <w:color w:val="auto"/>
                <w:sz w:val="24"/>
                <w:highlight w:val="none"/>
              </w:rPr>
            </w:pPr>
          </w:p>
        </w:tc>
        <w:tc>
          <w:tcPr>
            <w:tcW w:w="3937" w:type="dxa"/>
            <w:vMerge w:val="continue"/>
            <w:noWrap w:val="0"/>
            <w:vAlign w:val="center"/>
          </w:tcPr>
          <w:p w14:paraId="3B2E0F27">
            <w:pPr>
              <w:jc w:val="center"/>
              <w:rPr>
                <w:color w:val="auto"/>
                <w:sz w:val="24"/>
                <w:szCs w:val="24"/>
                <w:highlight w:val="none"/>
              </w:rPr>
            </w:pPr>
          </w:p>
        </w:tc>
      </w:tr>
      <w:tr w14:paraId="5450B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1050" w:type="dxa"/>
            <w:vMerge w:val="continue"/>
            <w:noWrap w:val="0"/>
            <w:vAlign w:val="center"/>
          </w:tcPr>
          <w:p w14:paraId="446EDFB3">
            <w:pPr>
              <w:jc w:val="center"/>
              <w:rPr>
                <w:color w:val="auto"/>
                <w:sz w:val="24"/>
                <w:highlight w:val="none"/>
              </w:rPr>
            </w:pPr>
          </w:p>
        </w:tc>
        <w:tc>
          <w:tcPr>
            <w:tcW w:w="2297" w:type="dxa"/>
            <w:noWrap w:val="0"/>
            <w:vAlign w:val="center"/>
          </w:tcPr>
          <w:p w14:paraId="0B8A45B2">
            <w:pPr>
              <w:jc w:val="center"/>
              <w:rPr>
                <w:color w:val="auto"/>
                <w:sz w:val="24"/>
                <w:highlight w:val="none"/>
              </w:rPr>
            </w:pPr>
            <w:r>
              <w:rPr>
                <w:rFonts w:hint="default" w:ascii="Times New Roman" w:hAnsi="Times New Roman" w:cs="Times New Roman"/>
                <w:color w:val="auto"/>
                <w:sz w:val="24"/>
                <w:highlight w:val="none"/>
                <w:lang w:val="en-US" w:eastAsia="zh-CN"/>
              </w:rPr>
              <w:t>消控室保安</w:t>
            </w:r>
          </w:p>
        </w:tc>
        <w:tc>
          <w:tcPr>
            <w:tcW w:w="1254" w:type="dxa"/>
            <w:noWrap w:val="0"/>
            <w:vAlign w:val="center"/>
          </w:tcPr>
          <w:p w14:paraId="0AA42E1D">
            <w:pPr>
              <w:jc w:val="center"/>
              <w:rPr>
                <w:rFonts w:hint="default" w:eastAsia="宋体"/>
                <w:color w:val="auto"/>
                <w:sz w:val="24"/>
                <w:highlight w:val="none"/>
                <w:lang w:val="en-US" w:eastAsia="zh-CN"/>
              </w:rPr>
            </w:pPr>
            <w:r>
              <w:rPr>
                <w:rFonts w:hint="eastAsia" w:ascii="Times New Roman" w:hAnsi="Times New Roman" w:cs="Times New Roman"/>
                <w:color w:val="auto"/>
                <w:sz w:val="24"/>
                <w:highlight w:val="none"/>
                <w:lang w:val="en-US" w:eastAsia="zh-CN"/>
              </w:rPr>
              <w:t>4</w:t>
            </w:r>
            <w:r>
              <w:rPr>
                <w:rFonts w:hint="default" w:ascii="Times New Roman" w:hAnsi="Times New Roman" w:cs="Times New Roman"/>
                <w:color w:val="auto"/>
                <w:sz w:val="24"/>
                <w:highlight w:val="none"/>
                <w:lang w:val="en-US" w:eastAsia="zh-CN"/>
              </w:rPr>
              <w:t>人</w:t>
            </w:r>
          </w:p>
        </w:tc>
        <w:tc>
          <w:tcPr>
            <w:tcW w:w="1236" w:type="dxa"/>
            <w:noWrap w:val="0"/>
            <w:vAlign w:val="center"/>
          </w:tcPr>
          <w:p w14:paraId="70708C3A">
            <w:pPr>
              <w:rPr>
                <w:color w:val="auto"/>
                <w:sz w:val="24"/>
                <w:highlight w:val="none"/>
              </w:rPr>
            </w:pPr>
          </w:p>
        </w:tc>
        <w:tc>
          <w:tcPr>
            <w:tcW w:w="3937" w:type="dxa"/>
            <w:vMerge w:val="continue"/>
            <w:noWrap w:val="0"/>
            <w:vAlign w:val="center"/>
          </w:tcPr>
          <w:p w14:paraId="7E19669B">
            <w:pPr>
              <w:jc w:val="center"/>
              <w:rPr>
                <w:color w:val="auto"/>
                <w:sz w:val="24"/>
                <w:szCs w:val="24"/>
                <w:highlight w:val="none"/>
              </w:rPr>
            </w:pPr>
          </w:p>
        </w:tc>
      </w:tr>
      <w:tr w14:paraId="6276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2" w:hRule="atLeast"/>
        </w:trPr>
        <w:tc>
          <w:tcPr>
            <w:tcW w:w="1050" w:type="dxa"/>
            <w:noWrap w:val="0"/>
            <w:vAlign w:val="center"/>
          </w:tcPr>
          <w:p w14:paraId="4C79F90E">
            <w:pPr>
              <w:jc w:val="center"/>
              <w:rPr>
                <w:color w:val="auto"/>
                <w:sz w:val="24"/>
                <w:highlight w:val="none"/>
              </w:rPr>
            </w:pPr>
            <w:r>
              <w:rPr>
                <w:color w:val="auto"/>
                <w:sz w:val="24"/>
                <w:highlight w:val="none"/>
              </w:rPr>
              <w:t>工具</w:t>
            </w:r>
          </w:p>
          <w:p w14:paraId="4EB07818">
            <w:pPr>
              <w:jc w:val="center"/>
              <w:rPr>
                <w:color w:val="auto"/>
                <w:sz w:val="24"/>
                <w:highlight w:val="none"/>
              </w:rPr>
            </w:pPr>
            <w:r>
              <w:rPr>
                <w:color w:val="auto"/>
                <w:sz w:val="24"/>
                <w:highlight w:val="none"/>
              </w:rPr>
              <w:t>设备</w:t>
            </w:r>
          </w:p>
        </w:tc>
        <w:tc>
          <w:tcPr>
            <w:tcW w:w="3551" w:type="dxa"/>
            <w:gridSpan w:val="2"/>
            <w:noWrap w:val="0"/>
            <w:vAlign w:val="center"/>
          </w:tcPr>
          <w:p w14:paraId="47AAE3DE">
            <w:pPr>
              <w:rPr>
                <w:color w:val="auto"/>
                <w:sz w:val="24"/>
                <w:highlight w:val="none"/>
              </w:rPr>
            </w:pPr>
            <w:r>
              <w:rPr>
                <w:color w:val="auto"/>
                <w:sz w:val="24"/>
                <w:highlight w:val="none"/>
              </w:rPr>
              <w:t>投入的工具设备和数量（如果有的话）</w:t>
            </w:r>
          </w:p>
        </w:tc>
        <w:tc>
          <w:tcPr>
            <w:tcW w:w="1236" w:type="dxa"/>
            <w:noWrap w:val="0"/>
            <w:vAlign w:val="center"/>
          </w:tcPr>
          <w:p w14:paraId="5022A6FF">
            <w:pPr>
              <w:rPr>
                <w:color w:val="auto"/>
                <w:sz w:val="24"/>
                <w:highlight w:val="none"/>
              </w:rPr>
            </w:pPr>
          </w:p>
        </w:tc>
        <w:tc>
          <w:tcPr>
            <w:tcW w:w="3937" w:type="dxa"/>
            <w:noWrap w:val="0"/>
            <w:vAlign w:val="center"/>
          </w:tcPr>
          <w:p w14:paraId="057D1EC0">
            <w:pPr>
              <w:jc w:val="center"/>
              <w:rPr>
                <w:color w:val="auto"/>
                <w:sz w:val="24"/>
                <w:highlight w:val="none"/>
              </w:rPr>
            </w:pPr>
            <w:r>
              <w:rPr>
                <w:rFonts w:hint="eastAsia"/>
                <w:color w:val="auto"/>
                <w:sz w:val="24"/>
                <w:highlight w:val="none"/>
                <w:lang w:val="en-US" w:eastAsia="zh-CN"/>
              </w:rPr>
              <w:t>可另行列表</w:t>
            </w:r>
            <w:r>
              <w:rPr>
                <w:rFonts w:hint="eastAsia" w:ascii="宋体" w:hAnsi="宋体" w:eastAsia="宋体" w:cs="宋体"/>
                <w:color w:val="auto"/>
                <w:kern w:val="0"/>
                <w:sz w:val="24"/>
                <w:szCs w:val="24"/>
                <w:highlight w:val="none"/>
                <w:lang w:val="en-US" w:eastAsia="zh-CN"/>
              </w:rPr>
              <w:t>详细</w:t>
            </w:r>
            <w:r>
              <w:rPr>
                <w:rFonts w:hint="eastAsia"/>
                <w:color w:val="auto"/>
                <w:sz w:val="24"/>
                <w:highlight w:val="none"/>
                <w:lang w:val="en-US" w:eastAsia="zh-CN"/>
              </w:rPr>
              <w:t>说明</w:t>
            </w:r>
          </w:p>
        </w:tc>
      </w:tr>
    </w:tbl>
    <w:p w14:paraId="54BAA847">
      <w:pPr>
        <w:spacing w:line="460" w:lineRule="exact"/>
        <w:rPr>
          <w:bCs/>
          <w:color w:val="auto"/>
          <w:sz w:val="24"/>
          <w:highlight w:val="none"/>
        </w:rPr>
      </w:pPr>
      <w:r>
        <w:rPr>
          <w:color w:val="auto"/>
          <w:sz w:val="24"/>
          <w:highlight w:val="none"/>
        </w:rPr>
        <w:t>注：</w:t>
      </w:r>
      <w:r>
        <w:rPr>
          <w:color w:val="auto"/>
          <w:sz w:val="24"/>
          <w:szCs w:val="24"/>
          <w:highlight w:val="none"/>
        </w:rPr>
        <w:t>1、</w:t>
      </w:r>
      <w:r>
        <w:rPr>
          <w:bCs/>
          <w:color w:val="auto"/>
          <w:sz w:val="24"/>
          <w:highlight w:val="none"/>
        </w:rPr>
        <w:t>投标人应将本项目所投入的有关</w:t>
      </w:r>
      <w:r>
        <w:rPr>
          <w:rFonts w:hint="eastAsia"/>
          <w:bCs/>
          <w:color w:val="auto"/>
          <w:sz w:val="24"/>
          <w:highlight w:val="none"/>
        </w:rPr>
        <w:t>服务</w:t>
      </w:r>
      <w:r>
        <w:rPr>
          <w:bCs/>
          <w:color w:val="auto"/>
          <w:sz w:val="24"/>
          <w:highlight w:val="none"/>
        </w:rPr>
        <w:t>要素情况分类别依次填报在上述表格中。</w:t>
      </w:r>
    </w:p>
    <w:p w14:paraId="1B84C479">
      <w:pPr>
        <w:spacing w:line="460" w:lineRule="exact"/>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2、工具设备属于投标人购买或租赁的请在备注栏中说明。</w:t>
      </w:r>
    </w:p>
    <w:p w14:paraId="5DC5A66A">
      <w:pPr>
        <w:spacing w:line="460" w:lineRule="exact"/>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3、因表述含糊导致的评标风险将由投标人承担。</w:t>
      </w:r>
    </w:p>
    <w:p w14:paraId="1CBAD2C4">
      <w:pPr>
        <w:spacing w:line="460" w:lineRule="exact"/>
        <w:ind w:firstLine="480" w:firstLineChars="20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4、如有需要说明的事项，请在备注中列明。</w:t>
      </w:r>
    </w:p>
    <w:p w14:paraId="203FB74C">
      <w:pPr>
        <w:pStyle w:val="22"/>
        <w:rPr>
          <w:color w:val="auto"/>
          <w:highlight w:val="none"/>
        </w:rPr>
      </w:pPr>
    </w:p>
    <w:p w14:paraId="326DE132">
      <w:pPr>
        <w:pStyle w:val="13"/>
        <w:overflowPunct w:val="0"/>
        <w:ind w:firstLine="0"/>
        <w:jc w:val="left"/>
        <w:rPr>
          <w:b/>
          <w:bCs/>
          <w:color w:val="auto"/>
          <w:sz w:val="24"/>
          <w:szCs w:val="24"/>
          <w:highlight w:val="none"/>
        </w:rPr>
      </w:pPr>
      <w:r>
        <w:rPr>
          <w:b/>
          <w:bCs/>
          <w:color w:val="auto"/>
          <w:sz w:val="24"/>
          <w:szCs w:val="24"/>
          <w:highlight w:val="none"/>
        </w:rPr>
        <w:t>表一：人员情况一览表</w:t>
      </w:r>
    </w:p>
    <w:tbl>
      <w:tblPr>
        <w:tblStyle w:val="56"/>
        <w:tblW w:w="10403" w:type="dxa"/>
        <w:tblInd w:w="-4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056"/>
        <w:gridCol w:w="1033"/>
        <w:gridCol w:w="802"/>
        <w:gridCol w:w="727"/>
        <w:gridCol w:w="756"/>
        <w:gridCol w:w="1142"/>
        <w:gridCol w:w="842"/>
        <w:gridCol w:w="704"/>
        <w:gridCol w:w="1969"/>
        <w:gridCol w:w="656"/>
      </w:tblGrid>
      <w:tr w14:paraId="42357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2C242124">
            <w:pPr>
              <w:pStyle w:val="13"/>
              <w:overflowPunct w:val="0"/>
              <w:ind w:firstLine="0"/>
              <w:jc w:val="center"/>
              <w:rPr>
                <w:b/>
                <w:bCs/>
                <w:color w:val="auto"/>
                <w:sz w:val="24"/>
                <w:szCs w:val="24"/>
                <w:highlight w:val="none"/>
              </w:rPr>
            </w:pPr>
            <w:r>
              <w:rPr>
                <w:b/>
                <w:bCs/>
                <w:color w:val="auto"/>
                <w:sz w:val="24"/>
                <w:szCs w:val="24"/>
                <w:highlight w:val="none"/>
              </w:rPr>
              <w:t>序号</w:t>
            </w:r>
          </w:p>
        </w:tc>
        <w:tc>
          <w:tcPr>
            <w:tcW w:w="1056" w:type="dxa"/>
            <w:tcBorders>
              <w:top w:val="single" w:color="auto" w:sz="4" w:space="0"/>
              <w:left w:val="single" w:color="auto" w:sz="4" w:space="0"/>
              <w:right w:val="single" w:color="auto" w:sz="4" w:space="0"/>
            </w:tcBorders>
            <w:noWrap w:val="0"/>
            <w:vAlign w:val="center"/>
          </w:tcPr>
          <w:p w14:paraId="0A57B7D3">
            <w:pPr>
              <w:pStyle w:val="13"/>
              <w:overflowPunct w:val="0"/>
              <w:ind w:firstLine="0"/>
              <w:jc w:val="center"/>
              <w:rPr>
                <w:b/>
                <w:bCs/>
                <w:color w:val="auto"/>
                <w:sz w:val="24"/>
                <w:szCs w:val="24"/>
                <w:highlight w:val="none"/>
              </w:rPr>
            </w:pPr>
            <w:r>
              <w:rPr>
                <w:b/>
                <w:bCs/>
                <w:color w:val="auto"/>
                <w:sz w:val="24"/>
                <w:szCs w:val="24"/>
                <w:highlight w:val="none"/>
              </w:rPr>
              <w:t>所担任岗位</w:t>
            </w:r>
          </w:p>
        </w:tc>
        <w:tc>
          <w:tcPr>
            <w:tcW w:w="1033" w:type="dxa"/>
            <w:tcBorders>
              <w:top w:val="single" w:color="auto" w:sz="4" w:space="0"/>
              <w:left w:val="single" w:color="auto" w:sz="4" w:space="0"/>
              <w:right w:val="single" w:color="auto" w:sz="4" w:space="0"/>
            </w:tcBorders>
            <w:noWrap w:val="0"/>
            <w:vAlign w:val="center"/>
          </w:tcPr>
          <w:p w14:paraId="78C7B270">
            <w:pPr>
              <w:pStyle w:val="13"/>
              <w:overflowPunct w:val="0"/>
              <w:ind w:firstLine="0"/>
              <w:jc w:val="center"/>
              <w:rPr>
                <w:b/>
                <w:bCs/>
                <w:color w:val="auto"/>
                <w:sz w:val="24"/>
                <w:szCs w:val="24"/>
                <w:highlight w:val="none"/>
              </w:rPr>
            </w:pPr>
            <w:r>
              <w:rPr>
                <w:b/>
                <w:bCs/>
                <w:color w:val="auto"/>
                <w:sz w:val="24"/>
                <w:szCs w:val="24"/>
                <w:highlight w:val="none"/>
              </w:rPr>
              <w:t>姓名</w:t>
            </w:r>
          </w:p>
        </w:tc>
        <w:tc>
          <w:tcPr>
            <w:tcW w:w="802" w:type="dxa"/>
            <w:tcBorders>
              <w:top w:val="single" w:color="auto" w:sz="4" w:space="0"/>
              <w:left w:val="single" w:color="auto" w:sz="4" w:space="0"/>
              <w:right w:val="single" w:color="auto" w:sz="4" w:space="0"/>
            </w:tcBorders>
            <w:noWrap w:val="0"/>
            <w:vAlign w:val="center"/>
          </w:tcPr>
          <w:p w14:paraId="0DFB5E53">
            <w:pPr>
              <w:pStyle w:val="13"/>
              <w:overflowPunct w:val="0"/>
              <w:ind w:firstLine="0"/>
              <w:jc w:val="center"/>
              <w:rPr>
                <w:b/>
                <w:bCs/>
                <w:color w:val="auto"/>
                <w:sz w:val="24"/>
                <w:szCs w:val="24"/>
                <w:highlight w:val="none"/>
              </w:rPr>
            </w:pPr>
            <w:r>
              <w:rPr>
                <w:b/>
                <w:bCs/>
                <w:color w:val="auto"/>
                <w:sz w:val="24"/>
                <w:szCs w:val="24"/>
                <w:highlight w:val="none"/>
              </w:rPr>
              <w:t>性别</w:t>
            </w:r>
          </w:p>
        </w:tc>
        <w:tc>
          <w:tcPr>
            <w:tcW w:w="727" w:type="dxa"/>
            <w:tcBorders>
              <w:top w:val="single" w:color="auto" w:sz="4" w:space="0"/>
              <w:left w:val="single" w:color="auto" w:sz="4" w:space="0"/>
              <w:right w:val="single" w:color="auto" w:sz="4" w:space="0"/>
            </w:tcBorders>
            <w:noWrap w:val="0"/>
            <w:vAlign w:val="center"/>
          </w:tcPr>
          <w:p w14:paraId="74187743">
            <w:pPr>
              <w:pStyle w:val="13"/>
              <w:overflowPunct w:val="0"/>
              <w:ind w:firstLine="0"/>
              <w:jc w:val="center"/>
              <w:rPr>
                <w:b/>
                <w:bCs/>
                <w:color w:val="auto"/>
                <w:sz w:val="24"/>
                <w:szCs w:val="24"/>
                <w:highlight w:val="none"/>
              </w:rPr>
            </w:pPr>
            <w:r>
              <w:rPr>
                <w:b/>
                <w:bCs/>
                <w:color w:val="auto"/>
                <w:sz w:val="24"/>
                <w:szCs w:val="24"/>
                <w:highlight w:val="none"/>
              </w:rPr>
              <w:t>年龄</w:t>
            </w:r>
          </w:p>
        </w:tc>
        <w:tc>
          <w:tcPr>
            <w:tcW w:w="756" w:type="dxa"/>
            <w:tcBorders>
              <w:top w:val="single" w:color="auto" w:sz="4" w:space="0"/>
              <w:left w:val="single" w:color="auto" w:sz="4" w:space="0"/>
              <w:right w:val="single" w:color="auto" w:sz="4" w:space="0"/>
            </w:tcBorders>
            <w:noWrap w:val="0"/>
            <w:vAlign w:val="center"/>
          </w:tcPr>
          <w:p w14:paraId="218BA500">
            <w:pPr>
              <w:pStyle w:val="13"/>
              <w:overflowPunct w:val="0"/>
              <w:ind w:firstLine="0"/>
              <w:jc w:val="center"/>
              <w:rPr>
                <w:rFonts w:hint="default" w:eastAsia="宋体"/>
                <w:b/>
                <w:bCs/>
                <w:color w:val="auto"/>
                <w:sz w:val="24"/>
                <w:szCs w:val="24"/>
                <w:highlight w:val="none"/>
                <w:lang w:val="en-US" w:eastAsia="zh-CN"/>
              </w:rPr>
            </w:pPr>
            <w:r>
              <w:rPr>
                <w:b/>
                <w:bCs/>
                <w:color w:val="auto"/>
                <w:sz w:val="24"/>
                <w:szCs w:val="24"/>
                <w:highlight w:val="none"/>
              </w:rPr>
              <w:t>学历</w:t>
            </w:r>
          </w:p>
        </w:tc>
        <w:tc>
          <w:tcPr>
            <w:tcW w:w="1142" w:type="dxa"/>
            <w:tcBorders>
              <w:top w:val="single" w:color="auto" w:sz="4" w:space="0"/>
              <w:left w:val="single" w:color="auto" w:sz="4" w:space="0"/>
              <w:bottom w:val="single" w:color="auto" w:sz="4" w:space="0"/>
              <w:right w:val="single" w:color="auto" w:sz="4" w:space="0"/>
            </w:tcBorders>
            <w:noWrap w:val="0"/>
            <w:vAlign w:val="center"/>
          </w:tcPr>
          <w:p w14:paraId="26D98C03">
            <w:pPr>
              <w:pStyle w:val="13"/>
              <w:overflowPunct w:val="0"/>
              <w:ind w:firstLine="0"/>
              <w:jc w:val="center"/>
              <w:rPr>
                <w:b/>
                <w:bCs/>
                <w:color w:val="auto"/>
                <w:sz w:val="24"/>
                <w:szCs w:val="24"/>
                <w:highlight w:val="none"/>
              </w:rPr>
            </w:pPr>
            <w:r>
              <w:rPr>
                <w:b/>
                <w:bCs/>
                <w:color w:val="auto"/>
                <w:sz w:val="24"/>
                <w:szCs w:val="24"/>
                <w:highlight w:val="none"/>
              </w:rPr>
              <w:t>职业资格、职称</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184956CF">
            <w:pPr>
              <w:pStyle w:val="13"/>
              <w:overflowPunct w:val="0"/>
              <w:ind w:firstLine="0"/>
              <w:jc w:val="center"/>
              <w:rPr>
                <w:b/>
                <w:bCs/>
                <w:color w:val="auto"/>
                <w:sz w:val="24"/>
                <w:szCs w:val="24"/>
                <w:highlight w:val="none"/>
              </w:rPr>
            </w:pPr>
            <w:r>
              <w:rPr>
                <w:rFonts w:hint="eastAsia"/>
                <w:b/>
                <w:bCs/>
                <w:color w:val="auto"/>
                <w:sz w:val="24"/>
                <w:szCs w:val="24"/>
                <w:highlight w:val="none"/>
              </w:rPr>
              <w:t>相关证书</w:t>
            </w:r>
          </w:p>
        </w:tc>
        <w:tc>
          <w:tcPr>
            <w:tcW w:w="704" w:type="dxa"/>
            <w:tcBorders>
              <w:top w:val="single" w:color="auto" w:sz="4" w:space="0"/>
              <w:left w:val="single" w:color="auto" w:sz="4" w:space="0"/>
              <w:bottom w:val="single" w:color="auto" w:sz="4" w:space="0"/>
              <w:right w:val="single" w:color="auto" w:sz="4" w:space="0"/>
            </w:tcBorders>
            <w:noWrap w:val="0"/>
            <w:vAlign w:val="center"/>
          </w:tcPr>
          <w:p w14:paraId="1C7D4AE8">
            <w:pPr>
              <w:pStyle w:val="13"/>
              <w:overflowPunct w:val="0"/>
              <w:ind w:firstLine="0"/>
              <w:jc w:val="center"/>
              <w:rPr>
                <w:b/>
                <w:bCs/>
                <w:color w:val="auto"/>
                <w:sz w:val="24"/>
                <w:szCs w:val="24"/>
                <w:highlight w:val="none"/>
              </w:rPr>
            </w:pPr>
            <w:r>
              <w:rPr>
                <w:b/>
                <w:bCs/>
                <w:color w:val="auto"/>
                <w:sz w:val="24"/>
                <w:szCs w:val="24"/>
                <w:highlight w:val="none"/>
              </w:rPr>
              <w:t>从业年限</w:t>
            </w:r>
          </w:p>
        </w:tc>
        <w:tc>
          <w:tcPr>
            <w:tcW w:w="1969" w:type="dxa"/>
            <w:tcBorders>
              <w:top w:val="single" w:color="auto" w:sz="4" w:space="0"/>
              <w:left w:val="single" w:color="auto" w:sz="4" w:space="0"/>
              <w:bottom w:val="single" w:color="auto" w:sz="4" w:space="0"/>
              <w:right w:val="single" w:color="auto" w:sz="4" w:space="0"/>
            </w:tcBorders>
            <w:noWrap w:val="0"/>
            <w:vAlign w:val="center"/>
          </w:tcPr>
          <w:p w14:paraId="4AAFD1B2">
            <w:pPr>
              <w:pStyle w:val="13"/>
              <w:overflowPunct w:val="0"/>
              <w:ind w:firstLine="0"/>
              <w:jc w:val="center"/>
              <w:rPr>
                <w:b/>
                <w:bCs/>
                <w:color w:val="auto"/>
                <w:sz w:val="24"/>
                <w:szCs w:val="24"/>
                <w:highlight w:val="none"/>
              </w:rPr>
            </w:pPr>
            <w:r>
              <w:rPr>
                <w:b/>
                <w:bCs/>
                <w:color w:val="auto"/>
                <w:sz w:val="24"/>
                <w:szCs w:val="24"/>
                <w:highlight w:val="none"/>
              </w:rPr>
              <w:t>主要资历、经验或承担过的项目</w:t>
            </w:r>
          </w:p>
        </w:tc>
        <w:tc>
          <w:tcPr>
            <w:tcW w:w="656" w:type="dxa"/>
            <w:tcBorders>
              <w:top w:val="single" w:color="auto" w:sz="4" w:space="0"/>
              <w:left w:val="single" w:color="auto" w:sz="4" w:space="0"/>
              <w:bottom w:val="single" w:color="auto" w:sz="4" w:space="0"/>
              <w:right w:val="single" w:color="auto" w:sz="4" w:space="0"/>
            </w:tcBorders>
            <w:noWrap w:val="0"/>
            <w:vAlign w:val="center"/>
          </w:tcPr>
          <w:p w14:paraId="0B550677">
            <w:pPr>
              <w:pStyle w:val="13"/>
              <w:overflowPunct w:val="0"/>
              <w:ind w:firstLine="0"/>
              <w:jc w:val="center"/>
              <w:rPr>
                <w:b/>
                <w:bCs/>
                <w:color w:val="auto"/>
                <w:sz w:val="24"/>
                <w:szCs w:val="24"/>
                <w:highlight w:val="none"/>
              </w:rPr>
            </w:pPr>
            <w:r>
              <w:rPr>
                <w:b/>
                <w:bCs/>
                <w:color w:val="auto"/>
                <w:sz w:val="24"/>
                <w:szCs w:val="24"/>
                <w:highlight w:val="none"/>
              </w:rPr>
              <w:t>备注</w:t>
            </w:r>
          </w:p>
        </w:tc>
      </w:tr>
      <w:tr w14:paraId="2ED47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11571B8F">
            <w:pPr>
              <w:pStyle w:val="13"/>
              <w:overflowPunct w:val="0"/>
              <w:ind w:firstLine="0"/>
              <w:jc w:val="center"/>
              <w:rPr>
                <w:color w:val="auto"/>
                <w:sz w:val="24"/>
                <w:szCs w:val="24"/>
                <w:highlight w:val="none"/>
              </w:rPr>
            </w:pPr>
            <w:r>
              <w:rPr>
                <w:color w:val="auto"/>
                <w:sz w:val="24"/>
                <w:szCs w:val="24"/>
                <w:highlight w:val="none"/>
              </w:rPr>
              <w:t>1</w:t>
            </w:r>
          </w:p>
        </w:tc>
        <w:tc>
          <w:tcPr>
            <w:tcW w:w="1056" w:type="dxa"/>
            <w:tcBorders>
              <w:left w:val="single" w:color="auto" w:sz="4" w:space="0"/>
              <w:right w:val="single" w:color="auto" w:sz="4" w:space="0"/>
            </w:tcBorders>
            <w:noWrap w:val="0"/>
            <w:vAlign w:val="center"/>
          </w:tcPr>
          <w:p w14:paraId="226755AC">
            <w:pPr>
              <w:pStyle w:val="13"/>
              <w:overflowPunct w:val="0"/>
              <w:ind w:firstLine="0"/>
              <w:jc w:val="center"/>
              <w:rPr>
                <w:color w:val="auto"/>
                <w:szCs w:val="21"/>
                <w:highlight w:val="none"/>
              </w:rPr>
            </w:pPr>
          </w:p>
        </w:tc>
        <w:tc>
          <w:tcPr>
            <w:tcW w:w="1033" w:type="dxa"/>
            <w:tcBorders>
              <w:left w:val="single" w:color="auto" w:sz="4" w:space="0"/>
              <w:right w:val="single" w:color="auto" w:sz="4" w:space="0"/>
            </w:tcBorders>
            <w:noWrap w:val="0"/>
            <w:vAlign w:val="center"/>
          </w:tcPr>
          <w:p w14:paraId="4F9CF8CE">
            <w:pPr>
              <w:pStyle w:val="13"/>
              <w:overflowPunct w:val="0"/>
              <w:ind w:firstLine="0"/>
              <w:jc w:val="center"/>
              <w:rPr>
                <w:rFonts w:ascii="Times New Roman" w:hAnsi="Times New Roman" w:eastAsia="宋体" w:cs="Times New Roman"/>
                <w:color w:val="auto"/>
                <w:szCs w:val="21"/>
                <w:highlight w:val="none"/>
              </w:rPr>
            </w:pPr>
          </w:p>
        </w:tc>
        <w:tc>
          <w:tcPr>
            <w:tcW w:w="802" w:type="dxa"/>
            <w:tcBorders>
              <w:left w:val="single" w:color="auto" w:sz="4" w:space="0"/>
              <w:right w:val="single" w:color="auto" w:sz="4" w:space="0"/>
            </w:tcBorders>
            <w:noWrap w:val="0"/>
            <w:vAlign w:val="center"/>
          </w:tcPr>
          <w:p w14:paraId="66EF1C14">
            <w:pPr>
              <w:pStyle w:val="13"/>
              <w:overflowPunct w:val="0"/>
              <w:ind w:firstLine="0"/>
              <w:jc w:val="center"/>
              <w:rPr>
                <w:rFonts w:ascii="Times New Roman" w:hAnsi="Times New Roman" w:eastAsia="宋体" w:cs="Times New Roman"/>
                <w:color w:val="auto"/>
                <w:szCs w:val="21"/>
                <w:highlight w:val="none"/>
              </w:rPr>
            </w:pPr>
          </w:p>
        </w:tc>
        <w:tc>
          <w:tcPr>
            <w:tcW w:w="727" w:type="dxa"/>
            <w:tcBorders>
              <w:left w:val="single" w:color="auto" w:sz="4" w:space="0"/>
              <w:right w:val="single" w:color="auto" w:sz="4" w:space="0"/>
            </w:tcBorders>
            <w:noWrap w:val="0"/>
            <w:vAlign w:val="center"/>
          </w:tcPr>
          <w:p w14:paraId="59C6813B">
            <w:pPr>
              <w:pStyle w:val="13"/>
              <w:overflowPunct w:val="0"/>
              <w:ind w:firstLine="0"/>
              <w:jc w:val="center"/>
              <w:rPr>
                <w:rFonts w:ascii="Times New Roman" w:hAnsi="Times New Roman" w:eastAsia="宋体" w:cs="Times New Roman"/>
                <w:color w:val="auto"/>
                <w:szCs w:val="21"/>
                <w:highlight w:val="none"/>
              </w:rPr>
            </w:pPr>
          </w:p>
        </w:tc>
        <w:tc>
          <w:tcPr>
            <w:tcW w:w="756" w:type="dxa"/>
            <w:tcBorders>
              <w:left w:val="single" w:color="auto" w:sz="4" w:space="0"/>
              <w:right w:val="single" w:color="auto" w:sz="4" w:space="0"/>
            </w:tcBorders>
            <w:noWrap w:val="0"/>
            <w:vAlign w:val="center"/>
          </w:tcPr>
          <w:p w14:paraId="60E4E70C">
            <w:pPr>
              <w:pStyle w:val="13"/>
              <w:overflowPunct w:val="0"/>
              <w:ind w:firstLine="0"/>
              <w:jc w:val="center"/>
              <w:rPr>
                <w:rFonts w:ascii="Times New Roman" w:hAnsi="Times New Roman" w:eastAsia="宋体" w:cs="Times New Roman"/>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06955A03">
            <w:pPr>
              <w:pStyle w:val="13"/>
              <w:overflowPunct w:val="0"/>
              <w:ind w:firstLine="0"/>
              <w:jc w:val="center"/>
              <w:rPr>
                <w:rFonts w:ascii="Times New Roman" w:hAnsi="Times New Roman" w:eastAsia="宋体" w:cs="Times New Roman"/>
                <w:color w:val="auto"/>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14:paraId="65C99347">
            <w:pPr>
              <w:pStyle w:val="13"/>
              <w:overflowPunct w:val="0"/>
              <w:ind w:firstLine="0"/>
              <w:jc w:val="center"/>
              <w:rPr>
                <w:rFonts w:ascii="Times New Roman" w:hAnsi="Times New Roman" w:eastAsia="宋体" w:cs="Times New Roman"/>
                <w:color w:val="auto"/>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center"/>
          </w:tcPr>
          <w:p w14:paraId="0555DC6D">
            <w:pPr>
              <w:pStyle w:val="13"/>
              <w:overflowPunct w:val="0"/>
              <w:ind w:firstLine="0"/>
              <w:jc w:val="center"/>
              <w:rPr>
                <w:rFonts w:ascii="Times New Roman" w:hAnsi="Times New Roman" w:eastAsia="宋体" w:cs="Times New Roman"/>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noWrap w:val="0"/>
            <w:vAlign w:val="center"/>
          </w:tcPr>
          <w:p w14:paraId="3B97DE25">
            <w:pPr>
              <w:pStyle w:val="13"/>
              <w:overflowPunct w:val="0"/>
              <w:ind w:firstLine="0"/>
              <w:jc w:val="center"/>
              <w:rPr>
                <w:rFonts w:ascii="Times New Roman" w:hAnsi="Times New Roman" w:eastAsia="宋体" w:cs="Times New Roman"/>
                <w:color w:val="auto"/>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4D2A351D">
            <w:pPr>
              <w:pStyle w:val="13"/>
              <w:overflowPunct w:val="0"/>
              <w:ind w:firstLine="0"/>
              <w:jc w:val="center"/>
              <w:rPr>
                <w:rFonts w:ascii="Times New Roman" w:hAnsi="Times New Roman" w:eastAsia="宋体" w:cs="Times New Roman"/>
                <w:color w:val="auto"/>
                <w:szCs w:val="21"/>
                <w:highlight w:val="none"/>
              </w:rPr>
            </w:pPr>
          </w:p>
        </w:tc>
      </w:tr>
      <w:tr w14:paraId="400CA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7FAA4CCF">
            <w:pPr>
              <w:pStyle w:val="13"/>
              <w:overflowPunct w:val="0"/>
              <w:ind w:firstLine="0"/>
              <w:jc w:val="center"/>
              <w:rPr>
                <w:color w:val="auto"/>
                <w:sz w:val="24"/>
                <w:szCs w:val="24"/>
                <w:highlight w:val="none"/>
              </w:rPr>
            </w:pPr>
            <w:r>
              <w:rPr>
                <w:color w:val="auto"/>
                <w:sz w:val="24"/>
                <w:szCs w:val="24"/>
                <w:highlight w:val="none"/>
              </w:rPr>
              <w:t>2</w:t>
            </w:r>
          </w:p>
        </w:tc>
        <w:tc>
          <w:tcPr>
            <w:tcW w:w="1056" w:type="dxa"/>
            <w:tcBorders>
              <w:left w:val="single" w:color="auto" w:sz="4" w:space="0"/>
              <w:right w:val="single" w:color="auto" w:sz="4" w:space="0"/>
            </w:tcBorders>
            <w:noWrap w:val="0"/>
            <w:vAlign w:val="center"/>
          </w:tcPr>
          <w:p w14:paraId="03C5342F">
            <w:pPr>
              <w:pStyle w:val="13"/>
              <w:overflowPunct w:val="0"/>
              <w:ind w:firstLine="0"/>
              <w:jc w:val="center"/>
              <w:rPr>
                <w:color w:val="auto"/>
                <w:szCs w:val="21"/>
                <w:highlight w:val="none"/>
              </w:rPr>
            </w:pPr>
          </w:p>
        </w:tc>
        <w:tc>
          <w:tcPr>
            <w:tcW w:w="1033" w:type="dxa"/>
            <w:tcBorders>
              <w:left w:val="single" w:color="auto" w:sz="4" w:space="0"/>
              <w:right w:val="single" w:color="auto" w:sz="4" w:space="0"/>
            </w:tcBorders>
            <w:noWrap w:val="0"/>
            <w:vAlign w:val="center"/>
          </w:tcPr>
          <w:p w14:paraId="1D36B75F">
            <w:pPr>
              <w:pStyle w:val="13"/>
              <w:overflowPunct w:val="0"/>
              <w:ind w:firstLine="0"/>
              <w:jc w:val="center"/>
              <w:rPr>
                <w:rFonts w:ascii="Times New Roman" w:hAnsi="Times New Roman" w:eastAsia="宋体" w:cs="Times New Roman"/>
                <w:color w:val="auto"/>
                <w:szCs w:val="21"/>
                <w:highlight w:val="none"/>
              </w:rPr>
            </w:pPr>
          </w:p>
        </w:tc>
        <w:tc>
          <w:tcPr>
            <w:tcW w:w="802" w:type="dxa"/>
            <w:tcBorders>
              <w:left w:val="single" w:color="auto" w:sz="4" w:space="0"/>
              <w:right w:val="single" w:color="auto" w:sz="4" w:space="0"/>
            </w:tcBorders>
            <w:noWrap w:val="0"/>
            <w:vAlign w:val="center"/>
          </w:tcPr>
          <w:p w14:paraId="2DFE6788">
            <w:pPr>
              <w:pStyle w:val="13"/>
              <w:overflowPunct w:val="0"/>
              <w:ind w:firstLine="0"/>
              <w:jc w:val="center"/>
              <w:rPr>
                <w:rFonts w:ascii="Times New Roman" w:hAnsi="Times New Roman" w:eastAsia="宋体" w:cs="Times New Roman"/>
                <w:color w:val="auto"/>
                <w:szCs w:val="21"/>
                <w:highlight w:val="none"/>
              </w:rPr>
            </w:pPr>
          </w:p>
        </w:tc>
        <w:tc>
          <w:tcPr>
            <w:tcW w:w="727" w:type="dxa"/>
            <w:tcBorders>
              <w:left w:val="single" w:color="auto" w:sz="4" w:space="0"/>
              <w:right w:val="single" w:color="auto" w:sz="4" w:space="0"/>
            </w:tcBorders>
            <w:noWrap w:val="0"/>
            <w:vAlign w:val="center"/>
          </w:tcPr>
          <w:p w14:paraId="15472B86">
            <w:pPr>
              <w:pStyle w:val="13"/>
              <w:overflowPunct w:val="0"/>
              <w:ind w:firstLine="0"/>
              <w:jc w:val="center"/>
              <w:rPr>
                <w:rFonts w:ascii="Times New Roman" w:hAnsi="Times New Roman" w:eastAsia="宋体" w:cs="Times New Roman"/>
                <w:color w:val="auto"/>
                <w:szCs w:val="21"/>
                <w:highlight w:val="none"/>
              </w:rPr>
            </w:pPr>
          </w:p>
        </w:tc>
        <w:tc>
          <w:tcPr>
            <w:tcW w:w="756" w:type="dxa"/>
            <w:tcBorders>
              <w:left w:val="single" w:color="auto" w:sz="4" w:space="0"/>
              <w:right w:val="single" w:color="auto" w:sz="4" w:space="0"/>
            </w:tcBorders>
            <w:noWrap w:val="0"/>
            <w:vAlign w:val="center"/>
          </w:tcPr>
          <w:p w14:paraId="5E767DED">
            <w:pPr>
              <w:pStyle w:val="13"/>
              <w:overflowPunct w:val="0"/>
              <w:ind w:firstLine="0"/>
              <w:jc w:val="center"/>
              <w:rPr>
                <w:rFonts w:ascii="Times New Roman" w:hAnsi="Times New Roman" w:eastAsia="宋体" w:cs="Times New Roman"/>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1907BC5B">
            <w:pPr>
              <w:pStyle w:val="13"/>
              <w:overflowPunct w:val="0"/>
              <w:ind w:firstLine="0"/>
              <w:jc w:val="center"/>
              <w:rPr>
                <w:rFonts w:ascii="Times New Roman" w:hAnsi="Times New Roman" w:eastAsia="宋体" w:cs="Times New Roman"/>
                <w:color w:val="auto"/>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14:paraId="4B0BD6D1">
            <w:pPr>
              <w:pStyle w:val="13"/>
              <w:overflowPunct w:val="0"/>
              <w:ind w:firstLine="0"/>
              <w:jc w:val="center"/>
              <w:rPr>
                <w:rFonts w:ascii="Times New Roman" w:hAnsi="Times New Roman" w:eastAsia="宋体" w:cs="Times New Roman"/>
                <w:color w:val="auto"/>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center"/>
          </w:tcPr>
          <w:p w14:paraId="4A8D16F0">
            <w:pPr>
              <w:pStyle w:val="13"/>
              <w:overflowPunct w:val="0"/>
              <w:ind w:firstLine="0"/>
              <w:jc w:val="center"/>
              <w:rPr>
                <w:rFonts w:ascii="Times New Roman" w:hAnsi="Times New Roman" w:eastAsia="宋体" w:cs="Times New Roman"/>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noWrap w:val="0"/>
            <w:vAlign w:val="center"/>
          </w:tcPr>
          <w:p w14:paraId="2E25714C">
            <w:pPr>
              <w:pStyle w:val="13"/>
              <w:overflowPunct w:val="0"/>
              <w:ind w:firstLine="0"/>
              <w:jc w:val="center"/>
              <w:rPr>
                <w:rFonts w:ascii="Times New Roman" w:hAnsi="Times New Roman" w:eastAsia="宋体" w:cs="Times New Roman"/>
                <w:color w:val="auto"/>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05338C7A">
            <w:pPr>
              <w:pStyle w:val="13"/>
              <w:overflowPunct w:val="0"/>
              <w:ind w:firstLine="0"/>
              <w:jc w:val="center"/>
              <w:rPr>
                <w:rFonts w:ascii="Times New Roman" w:hAnsi="Times New Roman" w:eastAsia="宋体" w:cs="Times New Roman"/>
                <w:color w:val="auto"/>
                <w:szCs w:val="21"/>
                <w:highlight w:val="none"/>
              </w:rPr>
            </w:pPr>
          </w:p>
        </w:tc>
      </w:tr>
      <w:tr w14:paraId="6FB1D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58CC8B6B">
            <w:pPr>
              <w:pStyle w:val="13"/>
              <w:overflowPunct w:val="0"/>
              <w:ind w:firstLine="0"/>
              <w:jc w:val="center"/>
              <w:rPr>
                <w:color w:val="auto"/>
                <w:sz w:val="24"/>
                <w:szCs w:val="24"/>
                <w:highlight w:val="none"/>
              </w:rPr>
            </w:pPr>
            <w:r>
              <w:rPr>
                <w:color w:val="auto"/>
                <w:sz w:val="24"/>
                <w:szCs w:val="24"/>
                <w:highlight w:val="none"/>
              </w:rPr>
              <w:t>3</w:t>
            </w:r>
          </w:p>
        </w:tc>
        <w:tc>
          <w:tcPr>
            <w:tcW w:w="1056" w:type="dxa"/>
            <w:tcBorders>
              <w:left w:val="single" w:color="auto" w:sz="4" w:space="0"/>
              <w:right w:val="single" w:color="auto" w:sz="4" w:space="0"/>
            </w:tcBorders>
            <w:noWrap w:val="0"/>
            <w:vAlign w:val="center"/>
          </w:tcPr>
          <w:p w14:paraId="0B590BD9">
            <w:pPr>
              <w:pStyle w:val="13"/>
              <w:overflowPunct w:val="0"/>
              <w:ind w:firstLine="0"/>
              <w:jc w:val="center"/>
              <w:rPr>
                <w:color w:val="auto"/>
                <w:szCs w:val="21"/>
                <w:highlight w:val="none"/>
              </w:rPr>
            </w:pPr>
          </w:p>
        </w:tc>
        <w:tc>
          <w:tcPr>
            <w:tcW w:w="1033" w:type="dxa"/>
            <w:tcBorders>
              <w:left w:val="single" w:color="auto" w:sz="4" w:space="0"/>
              <w:right w:val="single" w:color="auto" w:sz="4" w:space="0"/>
            </w:tcBorders>
            <w:noWrap w:val="0"/>
            <w:vAlign w:val="center"/>
          </w:tcPr>
          <w:p w14:paraId="02426F78">
            <w:pPr>
              <w:pStyle w:val="13"/>
              <w:overflowPunct w:val="0"/>
              <w:ind w:firstLine="0"/>
              <w:jc w:val="center"/>
              <w:rPr>
                <w:rFonts w:ascii="Times New Roman" w:hAnsi="Times New Roman" w:eastAsia="宋体" w:cs="Times New Roman"/>
                <w:color w:val="auto"/>
                <w:szCs w:val="21"/>
                <w:highlight w:val="none"/>
              </w:rPr>
            </w:pPr>
          </w:p>
        </w:tc>
        <w:tc>
          <w:tcPr>
            <w:tcW w:w="802" w:type="dxa"/>
            <w:tcBorders>
              <w:left w:val="single" w:color="auto" w:sz="4" w:space="0"/>
              <w:right w:val="single" w:color="auto" w:sz="4" w:space="0"/>
            </w:tcBorders>
            <w:noWrap w:val="0"/>
            <w:vAlign w:val="center"/>
          </w:tcPr>
          <w:p w14:paraId="16F19BFF">
            <w:pPr>
              <w:pStyle w:val="13"/>
              <w:overflowPunct w:val="0"/>
              <w:ind w:firstLine="0"/>
              <w:jc w:val="center"/>
              <w:rPr>
                <w:rFonts w:ascii="Times New Roman" w:hAnsi="Times New Roman" w:eastAsia="宋体" w:cs="Times New Roman"/>
                <w:color w:val="auto"/>
                <w:szCs w:val="21"/>
                <w:highlight w:val="none"/>
              </w:rPr>
            </w:pPr>
          </w:p>
        </w:tc>
        <w:tc>
          <w:tcPr>
            <w:tcW w:w="727" w:type="dxa"/>
            <w:tcBorders>
              <w:left w:val="single" w:color="auto" w:sz="4" w:space="0"/>
              <w:right w:val="single" w:color="auto" w:sz="4" w:space="0"/>
            </w:tcBorders>
            <w:noWrap w:val="0"/>
            <w:vAlign w:val="center"/>
          </w:tcPr>
          <w:p w14:paraId="6FB065FD">
            <w:pPr>
              <w:pStyle w:val="13"/>
              <w:overflowPunct w:val="0"/>
              <w:ind w:firstLine="0"/>
              <w:jc w:val="center"/>
              <w:rPr>
                <w:rFonts w:ascii="Times New Roman" w:hAnsi="Times New Roman" w:eastAsia="宋体" w:cs="Times New Roman"/>
                <w:color w:val="auto"/>
                <w:szCs w:val="21"/>
                <w:highlight w:val="none"/>
              </w:rPr>
            </w:pPr>
          </w:p>
        </w:tc>
        <w:tc>
          <w:tcPr>
            <w:tcW w:w="756" w:type="dxa"/>
            <w:tcBorders>
              <w:left w:val="single" w:color="auto" w:sz="4" w:space="0"/>
              <w:right w:val="single" w:color="auto" w:sz="4" w:space="0"/>
            </w:tcBorders>
            <w:noWrap w:val="0"/>
            <w:vAlign w:val="center"/>
          </w:tcPr>
          <w:p w14:paraId="6E04B791">
            <w:pPr>
              <w:pStyle w:val="13"/>
              <w:overflowPunct w:val="0"/>
              <w:ind w:firstLine="0"/>
              <w:jc w:val="center"/>
              <w:rPr>
                <w:rFonts w:ascii="Times New Roman" w:hAnsi="Times New Roman" w:eastAsia="宋体" w:cs="Times New Roman"/>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6FBFCC8C">
            <w:pPr>
              <w:pStyle w:val="13"/>
              <w:overflowPunct w:val="0"/>
              <w:ind w:firstLine="0"/>
              <w:jc w:val="center"/>
              <w:rPr>
                <w:rFonts w:ascii="Times New Roman" w:hAnsi="Times New Roman" w:eastAsia="宋体" w:cs="Times New Roman"/>
                <w:color w:val="auto"/>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14:paraId="44513DEF">
            <w:pPr>
              <w:pStyle w:val="13"/>
              <w:overflowPunct w:val="0"/>
              <w:ind w:firstLine="0"/>
              <w:jc w:val="center"/>
              <w:rPr>
                <w:rFonts w:ascii="Times New Roman" w:hAnsi="Times New Roman" w:eastAsia="宋体" w:cs="Times New Roman"/>
                <w:color w:val="auto"/>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center"/>
          </w:tcPr>
          <w:p w14:paraId="042207EC">
            <w:pPr>
              <w:pStyle w:val="13"/>
              <w:overflowPunct w:val="0"/>
              <w:ind w:firstLine="0"/>
              <w:jc w:val="center"/>
              <w:rPr>
                <w:rFonts w:ascii="Times New Roman" w:hAnsi="Times New Roman" w:eastAsia="宋体" w:cs="Times New Roman"/>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noWrap w:val="0"/>
            <w:vAlign w:val="center"/>
          </w:tcPr>
          <w:p w14:paraId="4CB982AD">
            <w:pPr>
              <w:pStyle w:val="13"/>
              <w:overflowPunct w:val="0"/>
              <w:ind w:firstLine="0"/>
              <w:jc w:val="center"/>
              <w:rPr>
                <w:rFonts w:ascii="Times New Roman" w:hAnsi="Times New Roman" w:eastAsia="宋体" w:cs="Times New Roman"/>
                <w:color w:val="auto"/>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402480B7">
            <w:pPr>
              <w:pStyle w:val="13"/>
              <w:overflowPunct w:val="0"/>
              <w:ind w:firstLine="0"/>
              <w:jc w:val="center"/>
              <w:rPr>
                <w:rFonts w:ascii="Times New Roman" w:hAnsi="Times New Roman" w:eastAsia="宋体" w:cs="Times New Roman"/>
                <w:color w:val="auto"/>
                <w:szCs w:val="21"/>
                <w:highlight w:val="none"/>
              </w:rPr>
            </w:pPr>
          </w:p>
        </w:tc>
      </w:tr>
      <w:tr w14:paraId="25F88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0FFAD108">
            <w:pPr>
              <w:pStyle w:val="13"/>
              <w:overflowPunct w:val="0"/>
              <w:ind w:firstLine="0"/>
              <w:jc w:val="center"/>
              <w:rPr>
                <w:color w:val="auto"/>
                <w:sz w:val="24"/>
                <w:szCs w:val="24"/>
                <w:highlight w:val="none"/>
              </w:rPr>
            </w:pPr>
          </w:p>
        </w:tc>
        <w:tc>
          <w:tcPr>
            <w:tcW w:w="1056" w:type="dxa"/>
            <w:tcBorders>
              <w:left w:val="single" w:color="auto" w:sz="4" w:space="0"/>
              <w:right w:val="single" w:color="auto" w:sz="4" w:space="0"/>
            </w:tcBorders>
            <w:noWrap w:val="0"/>
            <w:vAlign w:val="top"/>
          </w:tcPr>
          <w:p w14:paraId="510E59AE">
            <w:pPr>
              <w:pStyle w:val="13"/>
              <w:overflowPunct w:val="0"/>
              <w:ind w:firstLine="0"/>
              <w:jc w:val="center"/>
              <w:rPr>
                <w:color w:val="auto"/>
                <w:szCs w:val="21"/>
                <w:highlight w:val="none"/>
              </w:rPr>
            </w:pPr>
          </w:p>
        </w:tc>
        <w:tc>
          <w:tcPr>
            <w:tcW w:w="1033" w:type="dxa"/>
            <w:tcBorders>
              <w:left w:val="single" w:color="auto" w:sz="4" w:space="0"/>
              <w:right w:val="single" w:color="auto" w:sz="4" w:space="0"/>
            </w:tcBorders>
            <w:noWrap w:val="0"/>
            <w:vAlign w:val="center"/>
          </w:tcPr>
          <w:p w14:paraId="5883F04A">
            <w:pPr>
              <w:pStyle w:val="13"/>
              <w:overflowPunct w:val="0"/>
              <w:ind w:firstLine="0"/>
              <w:jc w:val="center"/>
              <w:rPr>
                <w:rFonts w:ascii="Times New Roman" w:hAnsi="Times New Roman" w:eastAsia="宋体" w:cs="Times New Roman"/>
                <w:color w:val="auto"/>
                <w:szCs w:val="21"/>
                <w:highlight w:val="none"/>
              </w:rPr>
            </w:pPr>
          </w:p>
        </w:tc>
        <w:tc>
          <w:tcPr>
            <w:tcW w:w="802" w:type="dxa"/>
            <w:tcBorders>
              <w:left w:val="single" w:color="auto" w:sz="4" w:space="0"/>
              <w:right w:val="single" w:color="auto" w:sz="4" w:space="0"/>
            </w:tcBorders>
            <w:noWrap w:val="0"/>
            <w:vAlign w:val="center"/>
          </w:tcPr>
          <w:p w14:paraId="379DD9B0">
            <w:pPr>
              <w:pStyle w:val="13"/>
              <w:overflowPunct w:val="0"/>
              <w:ind w:firstLine="0"/>
              <w:jc w:val="center"/>
              <w:rPr>
                <w:rFonts w:ascii="Times New Roman" w:hAnsi="Times New Roman" w:eastAsia="宋体" w:cs="Times New Roman"/>
                <w:color w:val="auto"/>
                <w:szCs w:val="21"/>
                <w:highlight w:val="none"/>
              </w:rPr>
            </w:pPr>
          </w:p>
        </w:tc>
        <w:tc>
          <w:tcPr>
            <w:tcW w:w="727" w:type="dxa"/>
            <w:tcBorders>
              <w:left w:val="single" w:color="auto" w:sz="4" w:space="0"/>
              <w:right w:val="single" w:color="auto" w:sz="4" w:space="0"/>
            </w:tcBorders>
            <w:noWrap w:val="0"/>
            <w:vAlign w:val="center"/>
          </w:tcPr>
          <w:p w14:paraId="0129AACF">
            <w:pPr>
              <w:pStyle w:val="13"/>
              <w:overflowPunct w:val="0"/>
              <w:ind w:firstLine="0"/>
              <w:jc w:val="center"/>
              <w:rPr>
                <w:rFonts w:ascii="Times New Roman" w:hAnsi="Times New Roman" w:eastAsia="宋体" w:cs="Times New Roman"/>
                <w:color w:val="auto"/>
                <w:szCs w:val="21"/>
                <w:highlight w:val="none"/>
              </w:rPr>
            </w:pPr>
          </w:p>
        </w:tc>
        <w:tc>
          <w:tcPr>
            <w:tcW w:w="756" w:type="dxa"/>
            <w:tcBorders>
              <w:left w:val="single" w:color="auto" w:sz="4" w:space="0"/>
              <w:right w:val="single" w:color="auto" w:sz="4" w:space="0"/>
            </w:tcBorders>
            <w:noWrap w:val="0"/>
            <w:vAlign w:val="center"/>
          </w:tcPr>
          <w:p w14:paraId="3B177CDE">
            <w:pPr>
              <w:pStyle w:val="13"/>
              <w:overflowPunct w:val="0"/>
              <w:ind w:firstLine="0"/>
              <w:jc w:val="center"/>
              <w:rPr>
                <w:rFonts w:ascii="Times New Roman" w:hAnsi="Times New Roman" w:eastAsia="宋体" w:cs="Times New Roman"/>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119457DE">
            <w:pPr>
              <w:pStyle w:val="13"/>
              <w:overflowPunct w:val="0"/>
              <w:ind w:firstLine="0"/>
              <w:jc w:val="center"/>
              <w:rPr>
                <w:rFonts w:ascii="Times New Roman" w:hAnsi="Times New Roman" w:eastAsia="宋体" w:cs="Times New Roman"/>
                <w:color w:val="auto"/>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14:paraId="06267B1E">
            <w:pPr>
              <w:pStyle w:val="13"/>
              <w:overflowPunct w:val="0"/>
              <w:ind w:firstLine="0"/>
              <w:jc w:val="center"/>
              <w:rPr>
                <w:rFonts w:ascii="Times New Roman" w:hAnsi="Times New Roman" w:eastAsia="宋体" w:cs="Times New Roman"/>
                <w:color w:val="auto"/>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center"/>
          </w:tcPr>
          <w:p w14:paraId="6763056A">
            <w:pPr>
              <w:pStyle w:val="13"/>
              <w:overflowPunct w:val="0"/>
              <w:ind w:firstLine="0"/>
              <w:jc w:val="center"/>
              <w:rPr>
                <w:rFonts w:ascii="Times New Roman" w:hAnsi="Times New Roman" w:eastAsia="宋体" w:cs="Times New Roman"/>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noWrap w:val="0"/>
            <w:vAlign w:val="center"/>
          </w:tcPr>
          <w:p w14:paraId="30057204">
            <w:pPr>
              <w:pStyle w:val="13"/>
              <w:overflowPunct w:val="0"/>
              <w:ind w:firstLine="0"/>
              <w:jc w:val="center"/>
              <w:rPr>
                <w:rFonts w:ascii="Times New Roman" w:hAnsi="Times New Roman" w:eastAsia="宋体" w:cs="Times New Roman"/>
                <w:color w:val="auto"/>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1BA3CA44">
            <w:pPr>
              <w:pStyle w:val="13"/>
              <w:overflowPunct w:val="0"/>
              <w:ind w:firstLine="0"/>
              <w:jc w:val="center"/>
              <w:rPr>
                <w:rFonts w:ascii="Times New Roman" w:hAnsi="Times New Roman" w:eastAsia="宋体" w:cs="Times New Roman"/>
                <w:color w:val="auto"/>
                <w:szCs w:val="21"/>
                <w:highlight w:val="none"/>
              </w:rPr>
            </w:pPr>
          </w:p>
        </w:tc>
      </w:tr>
      <w:tr w14:paraId="4CBA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3B85907C">
            <w:pPr>
              <w:pStyle w:val="13"/>
              <w:overflowPunct w:val="0"/>
              <w:ind w:firstLine="0"/>
              <w:jc w:val="center"/>
              <w:rPr>
                <w:color w:val="auto"/>
                <w:sz w:val="24"/>
                <w:szCs w:val="24"/>
                <w:highlight w:val="none"/>
              </w:rPr>
            </w:pPr>
          </w:p>
        </w:tc>
        <w:tc>
          <w:tcPr>
            <w:tcW w:w="1056" w:type="dxa"/>
            <w:tcBorders>
              <w:left w:val="single" w:color="auto" w:sz="4" w:space="0"/>
              <w:right w:val="single" w:color="auto" w:sz="4" w:space="0"/>
            </w:tcBorders>
            <w:noWrap w:val="0"/>
            <w:vAlign w:val="top"/>
          </w:tcPr>
          <w:p w14:paraId="34BD62F1">
            <w:pPr>
              <w:pStyle w:val="13"/>
              <w:overflowPunct w:val="0"/>
              <w:ind w:firstLine="0"/>
              <w:jc w:val="center"/>
              <w:rPr>
                <w:color w:val="auto"/>
                <w:szCs w:val="21"/>
                <w:highlight w:val="none"/>
              </w:rPr>
            </w:pPr>
          </w:p>
        </w:tc>
        <w:tc>
          <w:tcPr>
            <w:tcW w:w="1033" w:type="dxa"/>
            <w:tcBorders>
              <w:left w:val="single" w:color="auto" w:sz="4" w:space="0"/>
              <w:right w:val="single" w:color="auto" w:sz="4" w:space="0"/>
            </w:tcBorders>
            <w:noWrap w:val="0"/>
            <w:vAlign w:val="center"/>
          </w:tcPr>
          <w:p w14:paraId="61DF6268">
            <w:pPr>
              <w:pStyle w:val="13"/>
              <w:overflowPunct w:val="0"/>
              <w:ind w:firstLine="0"/>
              <w:jc w:val="center"/>
              <w:rPr>
                <w:rFonts w:ascii="Times New Roman" w:hAnsi="Times New Roman" w:eastAsia="宋体" w:cs="Times New Roman"/>
                <w:color w:val="auto"/>
                <w:szCs w:val="21"/>
                <w:highlight w:val="none"/>
              </w:rPr>
            </w:pPr>
          </w:p>
        </w:tc>
        <w:tc>
          <w:tcPr>
            <w:tcW w:w="802" w:type="dxa"/>
            <w:tcBorders>
              <w:left w:val="single" w:color="auto" w:sz="4" w:space="0"/>
              <w:right w:val="single" w:color="auto" w:sz="4" w:space="0"/>
            </w:tcBorders>
            <w:noWrap w:val="0"/>
            <w:vAlign w:val="center"/>
          </w:tcPr>
          <w:p w14:paraId="291C3D06">
            <w:pPr>
              <w:pStyle w:val="13"/>
              <w:overflowPunct w:val="0"/>
              <w:ind w:firstLine="0"/>
              <w:jc w:val="center"/>
              <w:rPr>
                <w:rFonts w:ascii="Times New Roman" w:hAnsi="Times New Roman" w:eastAsia="宋体" w:cs="Times New Roman"/>
                <w:color w:val="auto"/>
                <w:szCs w:val="21"/>
                <w:highlight w:val="none"/>
              </w:rPr>
            </w:pPr>
          </w:p>
        </w:tc>
        <w:tc>
          <w:tcPr>
            <w:tcW w:w="727" w:type="dxa"/>
            <w:tcBorders>
              <w:left w:val="single" w:color="auto" w:sz="4" w:space="0"/>
              <w:right w:val="single" w:color="auto" w:sz="4" w:space="0"/>
            </w:tcBorders>
            <w:noWrap w:val="0"/>
            <w:vAlign w:val="center"/>
          </w:tcPr>
          <w:p w14:paraId="32F648D1">
            <w:pPr>
              <w:pStyle w:val="13"/>
              <w:overflowPunct w:val="0"/>
              <w:ind w:firstLine="0"/>
              <w:jc w:val="center"/>
              <w:rPr>
                <w:rFonts w:ascii="Times New Roman" w:hAnsi="Times New Roman" w:eastAsia="宋体" w:cs="Times New Roman"/>
                <w:color w:val="auto"/>
                <w:szCs w:val="21"/>
                <w:highlight w:val="none"/>
              </w:rPr>
            </w:pPr>
          </w:p>
        </w:tc>
        <w:tc>
          <w:tcPr>
            <w:tcW w:w="756" w:type="dxa"/>
            <w:tcBorders>
              <w:left w:val="single" w:color="auto" w:sz="4" w:space="0"/>
              <w:right w:val="single" w:color="auto" w:sz="4" w:space="0"/>
            </w:tcBorders>
            <w:noWrap w:val="0"/>
            <w:vAlign w:val="center"/>
          </w:tcPr>
          <w:p w14:paraId="3982D20B">
            <w:pPr>
              <w:pStyle w:val="13"/>
              <w:overflowPunct w:val="0"/>
              <w:ind w:firstLine="0"/>
              <w:jc w:val="center"/>
              <w:rPr>
                <w:rFonts w:ascii="Times New Roman" w:hAnsi="Times New Roman" w:eastAsia="宋体" w:cs="Times New Roman"/>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1CA4242D">
            <w:pPr>
              <w:pStyle w:val="13"/>
              <w:overflowPunct w:val="0"/>
              <w:ind w:firstLine="0"/>
              <w:jc w:val="center"/>
              <w:rPr>
                <w:rFonts w:ascii="Times New Roman" w:hAnsi="Times New Roman" w:eastAsia="宋体" w:cs="Times New Roman"/>
                <w:color w:val="auto"/>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14:paraId="62A100F9">
            <w:pPr>
              <w:pStyle w:val="13"/>
              <w:overflowPunct w:val="0"/>
              <w:ind w:firstLine="0"/>
              <w:jc w:val="center"/>
              <w:rPr>
                <w:rFonts w:ascii="Times New Roman" w:hAnsi="Times New Roman" w:eastAsia="宋体" w:cs="Times New Roman"/>
                <w:color w:val="auto"/>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center"/>
          </w:tcPr>
          <w:p w14:paraId="39DF17CB">
            <w:pPr>
              <w:pStyle w:val="13"/>
              <w:overflowPunct w:val="0"/>
              <w:ind w:firstLine="0"/>
              <w:jc w:val="center"/>
              <w:rPr>
                <w:rFonts w:ascii="Times New Roman" w:hAnsi="Times New Roman" w:eastAsia="宋体" w:cs="Times New Roman"/>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noWrap w:val="0"/>
            <w:vAlign w:val="center"/>
          </w:tcPr>
          <w:p w14:paraId="7968F856">
            <w:pPr>
              <w:pStyle w:val="13"/>
              <w:overflowPunct w:val="0"/>
              <w:ind w:firstLine="0"/>
              <w:jc w:val="center"/>
              <w:rPr>
                <w:rFonts w:ascii="Times New Roman" w:hAnsi="Times New Roman" w:eastAsia="宋体" w:cs="Times New Roman"/>
                <w:color w:val="auto"/>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48DF0611">
            <w:pPr>
              <w:pStyle w:val="13"/>
              <w:overflowPunct w:val="0"/>
              <w:ind w:firstLine="0"/>
              <w:jc w:val="center"/>
              <w:rPr>
                <w:rFonts w:ascii="Times New Roman" w:hAnsi="Times New Roman" w:eastAsia="宋体" w:cs="Times New Roman"/>
                <w:color w:val="auto"/>
                <w:szCs w:val="21"/>
                <w:highlight w:val="none"/>
              </w:rPr>
            </w:pPr>
          </w:p>
        </w:tc>
      </w:tr>
      <w:tr w14:paraId="3913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0109C972">
            <w:pPr>
              <w:pStyle w:val="13"/>
              <w:overflowPunct w:val="0"/>
              <w:ind w:firstLine="0"/>
              <w:jc w:val="center"/>
              <w:rPr>
                <w:color w:val="auto"/>
                <w:sz w:val="24"/>
                <w:szCs w:val="24"/>
                <w:highlight w:val="none"/>
              </w:rPr>
            </w:pPr>
          </w:p>
        </w:tc>
        <w:tc>
          <w:tcPr>
            <w:tcW w:w="1056" w:type="dxa"/>
            <w:tcBorders>
              <w:left w:val="single" w:color="auto" w:sz="4" w:space="0"/>
              <w:right w:val="single" w:color="auto" w:sz="4" w:space="0"/>
            </w:tcBorders>
            <w:noWrap w:val="0"/>
            <w:vAlign w:val="top"/>
          </w:tcPr>
          <w:p w14:paraId="453270C5">
            <w:pPr>
              <w:pStyle w:val="13"/>
              <w:overflowPunct w:val="0"/>
              <w:ind w:firstLine="0"/>
              <w:jc w:val="center"/>
              <w:rPr>
                <w:color w:val="auto"/>
                <w:szCs w:val="21"/>
                <w:highlight w:val="none"/>
              </w:rPr>
            </w:pPr>
          </w:p>
        </w:tc>
        <w:tc>
          <w:tcPr>
            <w:tcW w:w="1033" w:type="dxa"/>
            <w:tcBorders>
              <w:left w:val="single" w:color="auto" w:sz="4" w:space="0"/>
              <w:right w:val="single" w:color="auto" w:sz="4" w:space="0"/>
            </w:tcBorders>
            <w:noWrap w:val="0"/>
            <w:vAlign w:val="center"/>
          </w:tcPr>
          <w:p w14:paraId="06ABB6B3">
            <w:pPr>
              <w:pStyle w:val="13"/>
              <w:overflowPunct w:val="0"/>
              <w:ind w:firstLine="0"/>
              <w:jc w:val="center"/>
              <w:rPr>
                <w:rFonts w:ascii="Times New Roman" w:hAnsi="Times New Roman" w:eastAsia="宋体" w:cs="Times New Roman"/>
                <w:color w:val="auto"/>
                <w:szCs w:val="21"/>
                <w:highlight w:val="none"/>
              </w:rPr>
            </w:pPr>
          </w:p>
        </w:tc>
        <w:tc>
          <w:tcPr>
            <w:tcW w:w="802" w:type="dxa"/>
            <w:tcBorders>
              <w:left w:val="single" w:color="auto" w:sz="4" w:space="0"/>
              <w:right w:val="single" w:color="auto" w:sz="4" w:space="0"/>
            </w:tcBorders>
            <w:noWrap w:val="0"/>
            <w:vAlign w:val="center"/>
          </w:tcPr>
          <w:p w14:paraId="3AD81BE8">
            <w:pPr>
              <w:pStyle w:val="13"/>
              <w:overflowPunct w:val="0"/>
              <w:ind w:firstLine="0"/>
              <w:jc w:val="center"/>
              <w:rPr>
                <w:rFonts w:ascii="Times New Roman" w:hAnsi="Times New Roman" w:eastAsia="宋体" w:cs="Times New Roman"/>
                <w:color w:val="auto"/>
                <w:szCs w:val="21"/>
                <w:highlight w:val="none"/>
              </w:rPr>
            </w:pPr>
          </w:p>
        </w:tc>
        <w:tc>
          <w:tcPr>
            <w:tcW w:w="727" w:type="dxa"/>
            <w:tcBorders>
              <w:left w:val="single" w:color="auto" w:sz="4" w:space="0"/>
              <w:right w:val="single" w:color="auto" w:sz="4" w:space="0"/>
            </w:tcBorders>
            <w:noWrap w:val="0"/>
            <w:vAlign w:val="center"/>
          </w:tcPr>
          <w:p w14:paraId="6BB10B22">
            <w:pPr>
              <w:pStyle w:val="13"/>
              <w:overflowPunct w:val="0"/>
              <w:ind w:firstLine="0"/>
              <w:jc w:val="center"/>
              <w:rPr>
                <w:rFonts w:ascii="Times New Roman" w:hAnsi="Times New Roman" w:eastAsia="宋体" w:cs="Times New Roman"/>
                <w:color w:val="auto"/>
                <w:szCs w:val="21"/>
                <w:highlight w:val="none"/>
              </w:rPr>
            </w:pPr>
          </w:p>
        </w:tc>
        <w:tc>
          <w:tcPr>
            <w:tcW w:w="756" w:type="dxa"/>
            <w:tcBorders>
              <w:left w:val="single" w:color="auto" w:sz="4" w:space="0"/>
              <w:right w:val="single" w:color="auto" w:sz="4" w:space="0"/>
            </w:tcBorders>
            <w:noWrap w:val="0"/>
            <w:vAlign w:val="center"/>
          </w:tcPr>
          <w:p w14:paraId="0379E616">
            <w:pPr>
              <w:pStyle w:val="13"/>
              <w:overflowPunct w:val="0"/>
              <w:ind w:firstLine="0"/>
              <w:jc w:val="center"/>
              <w:rPr>
                <w:rFonts w:ascii="Times New Roman" w:hAnsi="Times New Roman" w:eastAsia="宋体" w:cs="Times New Roman"/>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4505E787">
            <w:pPr>
              <w:pStyle w:val="13"/>
              <w:overflowPunct w:val="0"/>
              <w:ind w:firstLine="0"/>
              <w:jc w:val="center"/>
              <w:rPr>
                <w:rFonts w:ascii="Times New Roman" w:hAnsi="Times New Roman" w:eastAsia="宋体" w:cs="Times New Roman"/>
                <w:color w:val="auto"/>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14:paraId="4A27D313">
            <w:pPr>
              <w:pStyle w:val="13"/>
              <w:overflowPunct w:val="0"/>
              <w:ind w:firstLine="0"/>
              <w:jc w:val="center"/>
              <w:rPr>
                <w:rFonts w:ascii="Times New Roman" w:hAnsi="Times New Roman" w:eastAsia="宋体" w:cs="Times New Roman"/>
                <w:color w:val="auto"/>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center"/>
          </w:tcPr>
          <w:p w14:paraId="3DC55797">
            <w:pPr>
              <w:pStyle w:val="13"/>
              <w:overflowPunct w:val="0"/>
              <w:ind w:firstLine="0"/>
              <w:jc w:val="center"/>
              <w:rPr>
                <w:rFonts w:ascii="Times New Roman" w:hAnsi="Times New Roman" w:eastAsia="宋体" w:cs="Times New Roman"/>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noWrap w:val="0"/>
            <w:vAlign w:val="center"/>
          </w:tcPr>
          <w:p w14:paraId="31FF2F9E">
            <w:pPr>
              <w:pStyle w:val="13"/>
              <w:overflowPunct w:val="0"/>
              <w:ind w:firstLine="0"/>
              <w:jc w:val="center"/>
              <w:rPr>
                <w:rFonts w:ascii="Times New Roman" w:hAnsi="Times New Roman" w:eastAsia="宋体" w:cs="Times New Roman"/>
                <w:color w:val="auto"/>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3E06660C">
            <w:pPr>
              <w:pStyle w:val="13"/>
              <w:overflowPunct w:val="0"/>
              <w:ind w:firstLine="0"/>
              <w:jc w:val="center"/>
              <w:rPr>
                <w:rFonts w:ascii="Times New Roman" w:hAnsi="Times New Roman" w:eastAsia="宋体" w:cs="Times New Roman"/>
                <w:color w:val="auto"/>
                <w:szCs w:val="21"/>
                <w:highlight w:val="none"/>
              </w:rPr>
            </w:pPr>
          </w:p>
        </w:tc>
      </w:tr>
      <w:tr w14:paraId="771A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2F47DCDA">
            <w:pPr>
              <w:pStyle w:val="13"/>
              <w:overflowPunct w:val="0"/>
              <w:ind w:firstLine="0"/>
              <w:jc w:val="center"/>
              <w:rPr>
                <w:color w:val="auto"/>
                <w:sz w:val="24"/>
                <w:szCs w:val="24"/>
                <w:highlight w:val="none"/>
              </w:rPr>
            </w:pPr>
          </w:p>
        </w:tc>
        <w:tc>
          <w:tcPr>
            <w:tcW w:w="1056" w:type="dxa"/>
            <w:tcBorders>
              <w:left w:val="single" w:color="auto" w:sz="4" w:space="0"/>
              <w:right w:val="single" w:color="auto" w:sz="4" w:space="0"/>
            </w:tcBorders>
            <w:noWrap w:val="0"/>
            <w:vAlign w:val="top"/>
          </w:tcPr>
          <w:p w14:paraId="1F7A2108">
            <w:pPr>
              <w:pStyle w:val="13"/>
              <w:overflowPunct w:val="0"/>
              <w:ind w:firstLine="0"/>
              <w:jc w:val="center"/>
              <w:rPr>
                <w:color w:val="auto"/>
                <w:szCs w:val="21"/>
                <w:highlight w:val="none"/>
              </w:rPr>
            </w:pPr>
          </w:p>
        </w:tc>
        <w:tc>
          <w:tcPr>
            <w:tcW w:w="1033" w:type="dxa"/>
            <w:tcBorders>
              <w:left w:val="single" w:color="auto" w:sz="4" w:space="0"/>
              <w:right w:val="single" w:color="auto" w:sz="4" w:space="0"/>
            </w:tcBorders>
            <w:noWrap w:val="0"/>
            <w:vAlign w:val="center"/>
          </w:tcPr>
          <w:p w14:paraId="393F4713">
            <w:pPr>
              <w:pStyle w:val="13"/>
              <w:overflowPunct w:val="0"/>
              <w:ind w:firstLine="0"/>
              <w:jc w:val="center"/>
              <w:rPr>
                <w:rFonts w:ascii="Times New Roman" w:hAnsi="Times New Roman" w:eastAsia="宋体" w:cs="Times New Roman"/>
                <w:color w:val="auto"/>
                <w:szCs w:val="21"/>
                <w:highlight w:val="none"/>
              </w:rPr>
            </w:pPr>
          </w:p>
        </w:tc>
        <w:tc>
          <w:tcPr>
            <w:tcW w:w="802" w:type="dxa"/>
            <w:tcBorders>
              <w:left w:val="single" w:color="auto" w:sz="4" w:space="0"/>
              <w:right w:val="single" w:color="auto" w:sz="4" w:space="0"/>
            </w:tcBorders>
            <w:noWrap w:val="0"/>
            <w:vAlign w:val="center"/>
          </w:tcPr>
          <w:p w14:paraId="3C97ADCB">
            <w:pPr>
              <w:pStyle w:val="13"/>
              <w:overflowPunct w:val="0"/>
              <w:ind w:firstLine="0"/>
              <w:jc w:val="center"/>
              <w:rPr>
                <w:rFonts w:ascii="Times New Roman" w:hAnsi="Times New Roman" w:eastAsia="宋体" w:cs="Times New Roman"/>
                <w:color w:val="auto"/>
                <w:szCs w:val="21"/>
                <w:highlight w:val="none"/>
              </w:rPr>
            </w:pPr>
          </w:p>
        </w:tc>
        <w:tc>
          <w:tcPr>
            <w:tcW w:w="727" w:type="dxa"/>
            <w:tcBorders>
              <w:left w:val="single" w:color="auto" w:sz="4" w:space="0"/>
              <w:right w:val="single" w:color="auto" w:sz="4" w:space="0"/>
            </w:tcBorders>
            <w:noWrap w:val="0"/>
            <w:vAlign w:val="center"/>
          </w:tcPr>
          <w:p w14:paraId="49997754">
            <w:pPr>
              <w:pStyle w:val="13"/>
              <w:overflowPunct w:val="0"/>
              <w:ind w:firstLine="0"/>
              <w:jc w:val="center"/>
              <w:rPr>
                <w:rFonts w:ascii="Times New Roman" w:hAnsi="Times New Roman" w:eastAsia="宋体" w:cs="Times New Roman"/>
                <w:color w:val="auto"/>
                <w:szCs w:val="21"/>
                <w:highlight w:val="none"/>
              </w:rPr>
            </w:pPr>
          </w:p>
        </w:tc>
        <w:tc>
          <w:tcPr>
            <w:tcW w:w="756" w:type="dxa"/>
            <w:tcBorders>
              <w:left w:val="single" w:color="auto" w:sz="4" w:space="0"/>
              <w:right w:val="single" w:color="auto" w:sz="4" w:space="0"/>
            </w:tcBorders>
            <w:noWrap w:val="0"/>
            <w:vAlign w:val="center"/>
          </w:tcPr>
          <w:p w14:paraId="1B081A3B">
            <w:pPr>
              <w:pStyle w:val="13"/>
              <w:overflowPunct w:val="0"/>
              <w:ind w:firstLine="0"/>
              <w:jc w:val="center"/>
              <w:rPr>
                <w:rFonts w:ascii="Times New Roman" w:hAnsi="Times New Roman" w:eastAsia="宋体" w:cs="Times New Roman"/>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215FBD44">
            <w:pPr>
              <w:pStyle w:val="13"/>
              <w:overflowPunct w:val="0"/>
              <w:ind w:firstLine="0"/>
              <w:jc w:val="center"/>
              <w:rPr>
                <w:rFonts w:ascii="Times New Roman" w:hAnsi="Times New Roman" w:eastAsia="宋体" w:cs="Times New Roman"/>
                <w:color w:val="auto"/>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14:paraId="3650FE72">
            <w:pPr>
              <w:pStyle w:val="13"/>
              <w:overflowPunct w:val="0"/>
              <w:ind w:firstLine="0"/>
              <w:jc w:val="center"/>
              <w:rPr>
                <w:rFonts w:ascii="Times New Roman" w:hAnsi="Times New Roman" w:eastAsia="宋体" w:cs="Times New Roman"/>
                <w:color w:val="auto"/>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center"/>
          </w:tcPr>
          <w:p w14:paraId="40B1B32A">
            <w:pPr>
              <w:pStyle w:val="13"/>
              <w:overflowPunct w:val="0"/>
              <w:ind w:firstLine="0"/>
              <w:jc w:val="center"/>
              <w:rPr>
                <w:rFonts w:ascii="Times New Roman" w:hAnsi="Times New Roman" w:eastAsia="宋体" w:cs="Times New Roman"/>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noWrap w:val="0"/>
            <w:vAlign w:val="center"/>
          </w:tcPr>
          <w:p w14:paraId="292440E7">
            <w:pPr>
              <w:pStyle w:val="13"/>
              <w:overflowPunct w:val="0"/>
              <w:ind w:firstLine="0"/>
              <w:jc w:val="center"/>
              <w:rPr>
                <w:rFonts w:ascii="Times New Roman" w:hAnsi="Times New Roman" w:eastAsia="宋体" w:cs="Times New Roman"/>
                <w:color w:val="auto"/>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5190A9C4">
            <w:pPr>
              <w:pStyle w:val="13"/>
              <w:overflowPunct w:val="0"/>
              <w:ind w:firstLine="0"/>
              <w:jc w:val="center"/>
              <w:rPr>
                <w:rFonts w:ascii="Times New Roman" w:hAnsi="Times New Roman" w:eastAsia="宋体" w:cs="Times New Roman"/>
                <w:color w:val="auto"/>
                <w:szCs w:val="21"/>
                <w:highlight w:val="none"/>
              </w:rPr>
            </w:pPr>
          </w:p>
        </w:tc>
      </w:tr>
      <w:tr w14:paraId="01E68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7FB36106">
            <w:pPr>
              <w:pStyle w:val="13"/>
              <w:overflowPunct w:val="0"/>
              <w:ind w:firstLine="0"/>
              <w:jc w:val="center"/>
              <w:rPr>
                <w:color w:val="auto"/>
                <w:sz w:val="24"/>
                <w:szCs w:val="24"/>
                <w:highlight w:val="none"/>
              </w:rPr>
            </w:pPr>
          </w:p>
        </w:tc>
        <w:tc>
          <w:tcPr>
            <w:tcW w:w="1056" w:type="dxa"/>
            <w:tcBorders>
              <w:left w:val="single" w:color="auto" w:sz="4" w:space="0"/>
              <w:right w:val="single" w:color="auto" w:sz="4" w:space="0"/>
            </w:tcBorders>
            <w:noWrap w:val="0"/>
            <w:vAlign w:val="top"/>
          </w:tcPr>
          <w:p w14:paraId="109F3C81">
            <w:pPr>
              <w:pStyle w:val="13"/>
              <w:overflowPunct w:val="0"/>
              <w:ind w:firstLine="0"/>
              <w:jc w:val="center"/>
              <w:rPr>
                <w:color w:val="auto"/>
                <w:szCs w:val="21"/>
                <w:highlight w:val="none"/>
              </w:rPr>
            </w:pPr>
          </w:p>
        </w:tc>
        <w:tc>
          <w:tcPr>
            <w:tcW w:w="1033" w:type="dxa"/>
            <w:tcBorders>
              <w:left w:val="single" w:color="auto" w:sz="4" w:space="0"/>
              <w:right w:val="single" w:color="auto" w:sz="4" w:space="0"/>
            </w:tcBorders>
            <w:noWrap w:val="0"/>
            <w:vAlign w:val="top"/>
          </w:tcPr>
          <w:p w14:paraId="1EB70EC7">
            <w:pPr>
              <w:pStyle w:val="13"/>
              <w:overflowPunct w:val="0"/>
              <w:ind w:firstLine="0"/>
              <w:jc w:val="center"/>
              <w:rPr>
                <w:color w:val="auto"/>
                <w:szCs w:val="21"/>
                <w:highlight w:val="none"/>
              </w:rPr>
            </w:pPr>
          </w:p>
        </w:tc>
        <w:tc>
          <w:tcPr>
            <w:tcW w:w="802" w:type="dxa"/>
            <w:tcBorders>
              <w:left w:val="single" w:color="auto" w:sz="4" w:space="0"/>
              <w:right w:val="single" w:color="auto" w:sz="4" w:space="0"/>
            </w:tcBorders>
            <w:noWrap w:val="0"/>
            <w:vAlign w:val="top"/>
          </w:tcPr>
          <w:p w14:paraId="777DCFD6">
            <w:pPr>
              <w:pStyle w:val="13"/>
              <w:overflowPunct w:val="0"/>
              <w:ind w:firstLine="0"/>
              <w:jc w:val="center"/>
              <w:rPr>
                <w:color w:val="auto"/>
                <w:szCs w:val="21"/>
                <w:highlight w:val="none"/>
              </w:rPr>
            </w:pPr>
          </w:p>
        </w:tc>
        <w:tc>
          <w:tcPr>
            <w:tcW w:w="727" w:type="dxa"/>
            <w:tcBorders>
              <w:left w:val="single" w:color="auto" w:sz="4" w:space="0"/>
              <w:right w:val="single" w:color="auto" w:sz="4" w:space="0"/>
            </w:tcBorders>
            <w:noWrap w:val="0"/>
            <w:vAlign w:val="top"/>
          </w:tcPr>
          <w:p w14:paraId="22152AB6">
            <w:pPr>
              <w:pStyle w:val="13"/>
              <w:overflowPunct w:val="0"/>
              <w:ind w:firstLine="0"/>
              <w:jc w:val="center"/>
              <w:rPr>
                <w:color w:val="auto"/>
                <w:szCs w:val="21"/>
                <w:highlight w:val="none"/>
              </w:rPr>
            </w:pPr>
          </w:p>
        </w:tc>
        <w:tc>
          <w:tcPr>
            <w:tcW w:w="756" w:type="dxa"/>
            <w:tcBorders>
              <w:left w:val="single" w:color="auto" w:sz="4" w:space="0"/>
              <w:right w:val="single" w:color="auto" w:sz="4" w:space="0"/>
            </w:tcBorders>
            <w:noWrap w:val="0"/>
            <w:vAlign w:val="top"/>
          </w:tcPr>
          <w:p w14:paraId="79B94543">
            <w:pPr>
              <w:pStyle w:val="13"/>
              <w:overflowPunct w:val="0"/>
              <w:ind w:firstLine="0"/>
              <w:jc w:val="center"/>
              <w:rPr>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top"/>
          </w:tcPr>
          <w:p w14:paraId="7051DA5C">
            <w:pPr>
              <w:pStyle w:val="13"/>
              <w:overflowPunct w:val="0"/>
              <w:ind w:firstLine="0"/>
              <w:jc w:val="center"/>
              <w:rPr>
                <w:color w:val="auto"/>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top"/>
          </w:tcPr>
          <w:p w14:paraId="0D9C61A6">
            <w:pPr>
              <w:pStyle w:val="13"/>
              <w:overflowPunct w:val="0"/>
              <w:ind w:firstLine="0"/>
              <w:jc w:val="center"/>
              <w:rPr>
                <w:color w:val="auto"/>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top"/>
          </w:tcPr>
          <w:p w14:paraId="7293F5B8">
            <w:pPr>
              <w:pStyle w:val="13"/>
              <w:overflowPunct w:val="0"/>
              <w:ind w:firstLine="0"/>
              <w:jc w:val="center"/>
              <w:rPr>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noWrap w:val="0"/>
            <w:vAlign w:val="top"/>
          </w:tcPr>
          <w:p w14:paraId="56581B9A">
            <w:pPr>
              <w:pStyle w:val="13"/>
              <w:overflowPunct w:val="0"/>
              <w:ind w:firstLine="0"/>
              <w:jc w:val="center"/>
              <w:rPr>
                <w:color w:val="auto"/>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top"/>
          </w:tcPr>
          <w:p w14:paraId="56CDEBD1">
            <w:pPr>
              <w:pStyle w:val="13"/>
              <w:overflowPunct w:val="0"/>
              <w:ind w:firstLine="0"/>
              <w:jc w:val="center"/>
              <w:rPr>
                <w:color w:val="auto"/>
                <w:szCs w:val="21"/>
                <w:highlight w:val="none"/>
              </w:rPr>
            </w:pPr>
          </w:p>
        </w:tc>
      </w:tr>
      <w:tr w14:paraId="08DA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16" w:type="dxa"/>
            <w:tcBorders>
              <w:top w:val="single" w:color="auto" w:sz="4" w:space="0"/>
              <w:left w:val="single" w:color="auto" w:sz="4" w:space="0"/>
              <w:bottom w:val="single" w:color="auto" w:sz="4" w:space="0"/>
              <w:right w:val="single" w:color="auto" w:sz="4" w:space="0"/>
            </w:tcBorders>
            <w:noWrap w:val="0"/>
            <w:vAlign w:val="center"/>
          </w:tcPr>
          <w:p w14:paraId="053F521F">
            <w:pPr>
              <w:pStyle w:val="13"/>
              <w:overflowPunct w:val="0"/>
              <w:ind w:firstLine="0"/>
              <w:jc w:val="center"/>
              <w:rPr>
                <w:color w:val="auto"/>
                <w:sz w:val="24"/>
                <w:szCs w:val="24"/>
                <w:highlight w:val="none"/>
              </w:rPr>
            </w:pPr>
            <w:r>
              <w:rPr>
                <w:color w:val="auto"/>
                <w:sz w:val="24"/>
                <w:szCs w:val="24"/>
                <w:highlight w:val="none"/>
              </w:rPr>
              <w:t>……</w:t>
            </w:r>
          </w:p>
        </w:tc>
        <w:tc>
          <w:tcPr>
            <w:tcW w:w="1056" w:type="dxa"/>
            <w:tcBorders>
              <w:left w:val="single" w:color="auto" w:sz="4" w:space="0"/>
              <w:bottom w:val="single" w:color="auto" w:sz="4" w:space="0"/>
              <w:right w:val="single" w:color="auto" w:sz="4" w:space="0"/>
            </w:tcBorders>
            <w:noWrap w:val="0"/>
            <w:vAlign w:val="top"/>
          </w:tcPr>
          <w:p w14:paraId="407BE7AF">
            <w:pPr>
              <w:pStyle w:val="13"/>
              <w:overflowPunct w:val="0"/>
              <w:ind w:firstLine="0"/>
              <w:jc w:val="center"/>
              <w:rPr>
                <w:color w:val="auto"/>
                <w:szCs w:val="21"/>
                <w:highlight w:val="none"/>
              </w:rPr>
            </w:pPr>
          </w:p>
        </w:tc>
        <w:tc>
          <w:tcPr>
            <w:tcW w:w="1033" w:type="dxa"/>
            <w:tcBorders>
              <w:left w:val="single" w:color="auto" w:sz="4" w:space="0"/>
              <w:bottom w:val="single" w:color="auto" w:sz="4" w:space="0"/>
              <w:right w:val="single" w:color="auto" w:sz="4" w:space="0"/>
            </w:tcBorders>
            <w:noWrap w:val="0"/>
            <w:vAlign w:val="top"/>
          </w:tcPr>
          <w:p w14:paraId="53579945">
            <w:pPr>
              <w:pStyle w:val="13"/>
              <w:overflowPunct w:val="0"/>
              <w:ind w:firstLine="0"/>
              <w:jc w:val="center"/>
              <w:rPr>
                <w:color w:val="auto"/>
                <w:szCs w:val="21"/>
                <w:highlight w:val="none"/>
              </w:rPr>
            </w:pPr>
          </w:p>
        </w:tc>
        <w:tc>
          <w:tcPr>
            <w:tcW w:w="802" w:type="dxa"/>
            <w:tcBorders>
              <w:left w:val="single" w:color="auto" w:sz="4" w:space="0"/>
              <w:bottom w:val="single" w:color="auto" w:sz="4" w:space="0"/>
              <w:right w:val="single" w:color="auto" w:sz="4" w:space="0"/>
            </w:tcBorders>
            <w:noWrap w:val="0"/>
            <w:vAlign w:val="top"/>
          </w:tcPr>
          <w:p w14:paraId="2D553DF2">
            <w:pPr>
              <w:pStyle w:val="13"/>
              <w:overflowPunct w:val="0"/>
              <w:ind w:firstLine="0"/>
              <w:jc w:val="center"/>
              <w:rPr>
                <w:color w:val="auto"/>
                <w:szCs w:val="21"/>
                <w:highlight w:val="none"/>
              </w:rPr>
            </w:pPr>
          </w:p>
        </w:tc>
        <w:tc>
          <w:tcPr>
            <w:tcW w:w="727" w:type="dxa"/>
            <w:tcBorders>
              <w:left w:val="single" w:color="auto" w:sz="4" w:space="0"/>
              <w:bottom w:val="single" w:color="auto" w:sz="4" w:space="0"/>
              <w:right w:val="single" w:color="auto" w:sz="4" w:space="0"/>
            </w:tcBorders>
            <w:noWrap w:val="0"/>
            <w:vAlign w:val="top"/>
          </w:tcPr>
          <w:p w14:paraId="604A9362">
            <w:pPr>
              <w:pStyle w:val="13"/>
              <w:overflowPunct w:val="0"/>
              <w:ind w:firstLine="0"/>
              <w:jc w:val="center"/>
              <w:rPr>
                <w:color w:val="auto"/>
                <w:szCs w:val="21"/>
                <w:highlight w:val="none"/>
              </w:rPr>
            </w:pPr>
          </w:p>
        </w:tc>
        <w:tc>
          <w:tcPr>
            <w:tcW w:w="756" w:type="dxa"/>
            <w:tcBorders>
              <w:left w:val="single" w:color="auto" w:sz="4" w:space="0"/>
              <w:bottom w:val="single" w:color="auto" w:sz="4" w:space="0"/>
              <w:right w:val="single" w:color="auto" w:sz="4" w:space="0"/>
            </w:tcBorders>
            <w:noWrap w:val="0"/>
            <w:vAlign w:val="top"/>
          </w:tcPr>
          <w:p w14:paraId="10E2EC31">
            <w:pPr>
              <w:pStyle w:val="13"/>
              <w:overflowPunct w:val="0"/>
              <w:ind w:firstLine="0"/>
              <w:jc w:val="center"/>
              <w:rPr>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top"/>
          </w:tcPr>
          <w:p w14:paraId="61B73EF8">
            <w:pPr>
              <w:pStyle w:val="13"/>
              <w:overflowPunct w:val="0"/>
              <w:ind w:firstLine="0"/>
              <w:jc w:val="center"/>
              <w:rPr>
                <w:color w:val="auto"/>
                <w:szCs w:val="21"/>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top"/>
          </w:tcPr>
          <w:p w14:paraId="3AF1AE3B">
            <w:pPr>
              <w:pStyle w:val="13"/>
              <w:overflowPunct w:val="0"/>
              <w:ind w:firstLine="0"/>
              <w:jc w:val="center"/>
              <w:rPr>
                <w:color w:val="auto"/>
                <w:szCs w:val="21"/>
                <w:highlight w:val="none"/>
              </w:rPr>
            </w:pPr>
          </w:p>
        </w:tc>
        <w:tc>
          <w:tcPr>
            <w:tcW w:w="704" w:type="dxa"/>
            <w:tcBorders>
              <w:top w:val="single" w:color="auto" w:sz="4" w:space="0"/>
              <w:left w:val="single" w:color="auto" w:sz="4" w:space="0"/>
              <w:bottom w:val="single" w:color="auto" w:sz="4" w:space="0"/>
              <w:right w:val="single" w:color="auto" w:sz="4" w:space="0"/>
            </w:tcBorders>
            <w:noWrap w:val="0"/>
            <w:vAlign w:val="top"/>
          </w:tcPr>
          <w:p w14:paraId="10A8E799">
            <w:pPr>
              <w:pStyle w:val="13"/>
              <w:overflowPunct w:val="0"/>
              <w:ind w:firstLine="0"/>
              <w:jc w:val="center"/>
              <w:rPr>
                <w:color w:val="auto"/>
                <w:szCs w:val="21"/>
                <w:highlight w:val="none"/>
              </w:rPr>
            </w:pPr>
          </w:p>
        </w:tc>
        <w:tc>
          <w:tcPr>
            <w:tcW w:w="1969" w:type="dxa"/>
            <w:tcBorders>
              <w:top w:val="single" w:color="auto" w:sz="4" w:space="0"/>
              <w:left w:val="single" w:color="auto" w:sz="4" w:space="0"/>
              <w:bottom w:val="single" w:color="auto" w:sz="4" w:space="0"/>
              <w:right w:val="single" w:color="auto" w:sz="4" w:space="0"/>
            </w:tcBorders>
            <w:noWrap w:val="0"/>
            <w:vAlign w:val="top"/>
          </w:tcPr>
          <w:p w14:paraId="4B7B6DD6">
            <w:pPr>
              <w:pStyle w:val="13"/>
              <w:overflowPunct w:val="0"/>
              <w:ind w:firstLine="0"/>
              <w:jc w:val="center"/>
              <w:rPr>
                <w:color w:val="auto"/>
                <w:szCs w:val="21"/>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top"/>
          </w:tcPr>
          <w:p w14:paraId="0FEE2D82">
            <w:pPr>
              <w:pStyle w:val="13"/>
              <w:overflowPunct w:val="0"/>
              <w:ind w:firstLine="0"/>
              <w:jc w:val="center"/>
              <w:rPr>
                <w:color w:val="auto"/>
                <w:szCs w:val="21"/>
                <w:highlight w:val="none"/>
              </w:rPr>
            </w:pPr>
          </w:p>
        </w:tc>
      </w:tr>
    </w:tbl>
    <w:p w14:paraId="5ADE0340">
      <w:pPr>
        <w:spacing w:line="460" w:lineRule="exact"/>
        <w:rPr>
          <w:color w:val="auto"/>
          <w:sz w:val="24"/>
          <w:szCs w:val="24"/>
          <w:highlight w:val="none"/>
        </w:rPr>
      </w:pPr>
      <w:r>
        <w:rPr>
          <w:bCs/>
          <w:color w:val="auto"/>
          <w:sz w:val="24"/>
          <w:highlight w:val="none"/>
        </w:rPr>
        <w:t>注：1、投标人</w:t>
      </w:r>
      <w:r>
        <w:rPr>
          <w:color w:val="auto"/>
          <w:sz w:val="24"/>
          <w:szCs w:val="24"/>
          <w:highlight w:val="none"/>
        </w:rPr>
        <w:t>应根据拟投入本项目</w:t>
      </w:r>
      <w:r>
        <w:rPr>
          <w:rFonts w:hint="eastAsia"/>
          <w:color w:val="auto"/>
          <w:sz w:val="24"/>
          <w:szCs w:val="24"/>
          <w:highlight w:val="none"/>
        </w:rPr>
        <w:t>工作</w:t>
      </w:r>
      <w:r>
        <w:rPr>
          <w:color w:val="auto"/>
          <w:sz w:val="24"/>
          <w:szCs w:val="24"/>
          <w:highlight w:val="none"/>
        </w:rPr>
        <w:t>人员情况分别填报上述表格。</w:t>
      </w:r>
    </w:p>
    <w:p w14:paraId="65B09A81">
      <w:pPr>
        <w:spacing w:line="460" w:lineRule="exact"/>
        <w:ind w:firstLine="480" w:firstLineChars="200"/>
        <w:rPr>
          <w:rFonts w:hint="default" w:eastAsia="宋体"/>
          <w:bCs/>
          <w:color w:val="auto"/>
          <w:sz w:val="24"/>
          <w:highlight w:val="none"/>
          <w:lang w:val="en-US" w:eastAsia="zh-CN"/>
        </w:rPr>
      </w:pPr>
      <w:r>
        <w:rPr>
          <w:color w:val="auto"/>
          <w:sz w:val="24"/>
          <w:szCs w:val="24"/>
          <w:highlight w:val="none"/>
        </w:rPr>
        <w:t>2、请投标人</w:t>
      </w:r>
      <w:r>
        <w:rPr>
          <w:rFonts w:hint="eastAsia"/>
          <w:color w:val="auto"/>
          <w:sz w:val="24"/>
          <w:szCs w:val="24"/>
          <w:highlight w:val="none"/>
          <w:lang w:val="en-US" w:eastAsia="zh-CN"/>
        </w:rPr>
        <w:t>根据“</w:t>
      </w:r>
      <w:r>
        <w:rPr>
          <w:color w:val="auto"/>
          <w:sz w:val="24"/>
          <w:szCs w:val="24"/>
          <w:highlight w:val="none"/>
        </w:rPr>
        <w:t>第五章</w:t>
      </w:r>
      <w:r>
        <w:rPr>
          <w:rFonts w:hint="eastAsia"/>
          <w:color w:val="auto"/>
          <w:sz w:val="24"/>
          <w:szCs w:val="24"/>
          <w:highlight w:val="none"/>
        </w:rPr>
        <w:t xml:space="preserve"> 评标方法与评标标准</w:t>
      </w:r>
      <w:r>
        <w:rPr>
          <w:rFonts w:hint="eastAsia"/>
          <w:color w:val="auto"/>
          <w:sz w:val="24"/>
          <w:szCs w:val="24"/>
          <w:highlight w:val="none"/>
          <w:lang w:eastAsia="zh-CN"/>
        </w:rPr>
        <w:t>”</w:t>
      </w:r>
      <w:r>
        <w:rPr>
          <w:rFonts w:hint="eastAsia"/>
          <w:color w:val="auto"/>
          <w:sz w:val="24"/>
          <w:szCs w:val="24"/>
          <w:highlight w:val="none"/>
          <w:lang w:val="en-US" w:eastAsia="zh-CN"/>
        </w:rPr>
        <w:t>要求</w:t>
      </w:r>
      <w:r>
        <w:rPr>
          <w:color w:val="auto"/>
          <w:sz w:val="24"/>
          <w:szCs w:val="24"/>
          <w:highlight w:val="none"/>
        </w:rPr>
        <w:t>提供</w:t>
      </w:r>
      <w:r>
        <w:rPr>
          <w:rFonts w:hint="eastAsia"/>
          <w:color w:val="auto"/>
          <w:sz w:val="24"/>
          <w:szCs w:val="24"/>
          <w:highlight w:val="none"/>
          <w:lang w:val="en-US" w:eastAsia="zh-CN"/>
        </w:rPr>
        <w:t>相关证明材料。</w:t>
      </w:r>
    </w:p>
    <w:bookmarkEnd w:id="146"/>
    <w:bookmarkEnd w:id="147"/>
    <w:bookmarkEnd w:id="148"/>
    <w:p w14:paraId="100F7252">
      <w:pPr>
        <w:widowControl/>
        <w:spacing w:line="440" w:lineRule="exact"/>
        <w:rPr>
          <w:rFonts w:hint="eastAsia" w:ascii="宋体" w:hAnsi="宋体" w:cs="宋体"/>
          <w:color w:val="auto"/>
          <w:sz w:val="24"/>
          <w:highlight w:val="none"/>
        </w:rPr>
      </w:pPr>
    </w:p>
    <w:p w14:paraId="528F88BF">
      <w:pPr>
        <w:pStyle w:val="3"/>
        <w:rPr>
          <w:rFonts w:hint="eastAsia"/>
          <w:color w:val="auto"/>
          <w:highlight w:val="none"/>
        </w:rPr>
      </w:pPr>
      <w:bookmarkStart w:id="156" w:name="_Toc159856436"/>
      <w:bookmarkStart w:id="157" w:name="_Toc19675"/>
      <w:r>
        <w:rPr>
          <w:rFonts w:hint="eastAsia"/>
          <w:color w:val="auto"/>
          <w:highlight w:val="none"/>
        </w:rPr>
        <w:t>附件</w:t>
      </w:r>
      <w:r>
        <w:rPr>
          <w:rFonts w:hint="eastAsia"/>
          <w:color w:val="auto"/>
          <w:highlight w:val="none"/>
          <w:lang w:val="en-US" w:eastAsia="zh-CN"/>
        </w:rPr>
        <w:t>11</w:t>
      </w:r>
      <w:r>
        <w:rPr>
          <w:rFonts w:hint="eastAsia"/>
          <w:color w:val="auto"/>
          <w:highlight w:val="none"/>
        </w:rPr>
        <w:t>项目服务方案</w:t>
      </w:r>
      <w:bookmarkEnd w:id="156"/>
      <w:bookmarkEnd w:id="157"/>
    </w:p>
    <w:p w14:paraId="6DD28D64">
      <w:pPr>
        <w:spacing w:line="360" w:lineRule="auto"/>
        <w:jc w:val="center"/>
        <w:rPr>
          <w:rFonts w:ascii="Calibri" w:hAnsi="Calibri"/>
          <w:bCs/>
          <w:color w:val="auto"/>
          <w:sz w:val="24"/>
          <w:szCs w:val="22"/>
          <w:highlight w:val="none"/>
        </w:rPr>
      </w:pPr>
    </w:p>
    <w:p w14:paraId="1EE24BF7">
      <w:pPr>
        <w:spacing w:line="360" w:lineRule="auto"/>
        <w:jc w:val="center"/>
        <w:rPr>
          <w:rFonts w:hint="eastAsia" w:ascii="Calibri" w:hAnsi="Calibri"/>
          <w:bCs/>
          <w:color w:val="auto"/>
          <w:sz w:val="24"/>
          <w:szCs w:val="22"/>
          <w:highlight w:val="none"/>
        </w:rPr>
      </w:pPr>
      <w:r>
        <w:rPr>
          <w:rFonts w:hint="eastAsia" w:ascii="Calibri" w:hAnsi="Calibri"/>
          <w:bCs/>
          <w:color w:val="auto"/>
          <w:sz w:val="24"/>
          <w:szCs w:val="22"/>
          <w:highlight w:val="none"/>
        </w:rPr>
        <w:t>根据本项目“第四章 采购需求”及“第五章 评标方法与评标标准”提供相关说明</w:t>
      </w:r>
    </w:p>
    <w:p w14:paraId="42B2A9E9">
      <w:pPr>
        <w:rPr>
          <w:rFonts w:hint="eastAsia" w:ascii="Calibri" w:hAnsi="Calibri"/>
          <w:bCs/>
          <w:color w:val="auto"/>
          <w:sz w:val="24"/>
          <w:szCs w:val="22"/>
          <w:highlight w:val="none"/>
        </w:rPr>
      </w:pPr>
      <w:r>
        <w:rPr>
          <w:rFonts w:hint="eastAsia" w:ascii="Calibri" w:hAnsi="Calibri"/>
          <w:bCs/>
          <w:color w:val="auto"/>
          <w:sz w:val="24"/>
          <w:szCs w:val="22"/>
          <w:highlight w:val="none"/>
        </w:rPr>
        <w:br w:type="page"/>
      </w:r>
    </w:p>
    <w:p w14:paraId="677DE6C5">
      <w:pPr>
        <w:rPr>
          <w:rFonts w:hint="eastAsia" w:ascii="Calibri" w:hAnsi="Calibri"/>
          <w:bCs/>
          <w:color w:val="auto"/>
          <w:sz w:val="24"/>
          <w:szCs w:val="22"/>
          <w:highlight w:val="none"/>
        </w:rPr>
      </w:pPr>
    </w:p>
    <w:p w14:paraId="3E9B5EF6">
      <w:pPr>
        <w:pStyle w:val="76"/>
        <w:ind w:firstLine="0"/>
        <w:jc w:val="center"/>
        <w:outlineLvl w:val="1"/>
        <w:rPr>
          <w:rFonts w:ascii="Times New Roman"/>
          <w:b/>
          <w:bCs/>
          <w:color w:val="auto"/>
          <w:szCs w:val="28"/>
          <w:highlight w:val="none"/>
        </w:rPr>
      </w:pPr>
      <w:bookmarkStart w:id="158" w:name="_Toc31176"/>
      <w:r>
        <w:rPr>
          <w:rFonts w:hint="eastAsia" w:ascii="Times New Roman"/>
          <w:b/>
          <w:bCs/>
          <w:color w:val="auto"/>
          <w:szCs w:val="28"/>
          <w:highlight w:val="none"/>
        </w:rPr>
        <w:t>附件</w:t>
      </w:r>
      <w:r>
        <w:rPr>
          <w:rFonts w:hint="eastAsia" w:ascii="Times New Roman"/>
          <w:b/>
          <w:bCs/>
          <w:color w:val="auto"/>
          <w:szCs w:val="28"/>
          <w:highlight w:val="none"/>
          <w:lang w:val="en-US" w:eastAsia="zh-CN"/>
        </w:rPr>
        <w:t>12</w:t>
      </w:r>
      <w:r>
        <w:rPr>
          <w:rFonts w:hint="eastAsia" w:ascii="Times New Roman"/>
          <w:b/>
          <w:bCs/>
          <w:color w:val="auto"/>
          <w:szCs w:val="28"/>
          <w:highlight w:val="none"/>
        </w:rPr>
        <w:t>商务条件响应及偏离表</w:t>
      </w:r>
      <w:bookmarkEnd w:id="158"/>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90"/>
        <w:gridCol w:w="2310"/>
        <w:gridCol w:w="2940"/>
      </w:tblGrid>
      <w:tr w14:paraId="1152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3990" w:type="dxa"/>
            <w:vAlign w:val="center"/>
          </w:tcPr>
          <w:p w14:paraId="36BB0E73">
            <w:pPr>
              <w:jc w:val="center"/>
              <w:rPr>
                <w:b/>
                <w:color w:val="auto"/>
                <w:sz w:val="24"/>
                <w:highlight w:val="none"/>
              </w:rPr>
            </w:pPr>
            <w:r>
              <w:rPr>
                <w:b/>
                <w:color w:val="auto"/>
                <w:sz w:val="24"/>
                <w:highlight w:val="none"/>
              </w:rPr>
              <w:t>合同条款</w:t>
            </w:r>
          </w:p>
        </w:tc>
        <w:tc>
          <w:tcPr>
            <w:tcW w:w="2310" w:type="dxa"/>
            <w:vAlign w:val="center"/>
          </w:tcPr>
          <w:p w14:paraId="230B1E4E">
            <w:pPr>
              <w:jc w:val="center"/>
              <w:rPr>
                <w:b/>
                <w:color w:val="auto"/>
                <w:sz w:val="24"/>
                <w:highlight w:val="none"/>
              </w:rPr>
            </w:pPr>
            <w:r>
              <w:rPr>
                <w:b/>
                <w:color w:val="auto"/>
                <w:sz w:val="24"/>
                <w:highlight w:val="none"/>
              </w:rPr>
              <w:t>有无偏离</w:t>
            </w:r>
          </w:p>
        </w:tc>
        <w:tc>
          <w:tcPr>
            <w:tcW w:w="2940" w:type="dxa"/>
            <w:vAlign w:val="center"/>
          </w:tcPr>
          <w:p w14:paraId="2A48FDD1">
            <w:pPr>
              <w:jc w:val="center"/>
              <w:rPr>
                <w:b/>
                <w:color w:val="auto"/>
                <w:sz w:val="24"/>
                <w:highlight w:val="none"/>
              </w:rPr>
            </w:pPr>
            <w:r>
              <w:rPr>
                <w:b/>
                <w:color w:val="auto"/>
                <w:sz w:val="24"/>
                <w:highlight w:val="none"/>
              </w:rPr>
              <w:t>偏离内容及原因</w:t>
            </w:r>
          </w:p>
        </w:tc>
      </w:tr>
      <w:tr w14:paraId="0AB8B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1BAEAC44">
            <w:pPr>
              <w:rPr>
                <w:color w:val="auto"/>
                <w:sz w:val="24"/>
                <w:szCs w:val="24"/>
                <w:highlight w:val="none"/>
              </w:rPr>
            </w:pPr>
            <w:r>
              <w:rPr>
                <w:color w:val="auto"/>
                <w:sz w:val="24"/>
                <w:highlight w:val="none"/>
              </w:rPr>
              <w:t>第一条 定义</w:t>
            </w:r>
          </w:p>
        </w:tc>
        <w:tc>
          <w:tcPr>
            <w:tcW w:w="2310" w:type="dxa"/>
            <w:vAlign w:val="center"/>
          </w:tcPr>
          <w:p w14:paraId="7FD9DE6E">
            <w:pPr>
              <w:jc w:val="center"/>
              <w:rPr>
                <w:color w:val="auto"/>
                <w:sz w:val="24"/>
                <w:highlight w:val="none"/>
              </w:rPr>
            </w:pPr>
          </w:p>
        </w:tc>
        <w:tc>
          <w:tcPr>
            <w:tcW w:w="2940" w:type="dxa"/>
            <w:vAlign w:val="center"/>
          </w:tcPr>
          <w:p w14:paraId="2D504171">
            <w:pPr>
              <w:rPr>
                <w:color w:val="auto"/>
                <w:sz w:val="24"/>
                <w:highlight w:val="none"/>
              </w:rPr>
            </w:pPr>
          </w:p>
        </w:tc>
      </w:tr>
      <w:tr w14:paraId="5868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43E64CCC">
            <w:pPr>
              <w:rPr>
                <w:color w:val="auto"/>
                <w:sz w:val="24"/>
                <w:szCs w:val="24"/>
                <w:highlight w:val="none"/>
              </w:rPr>
            </w:pPr>
            <w:r>
              <w:rPr>
                <w:color w:val="auto"/>
                <w:sz w:val="24"/>
                <w:highlight w:val="none"/>
              </w:rPr>
              <w:t>第二条 组成本合同的文件</w:t>
            </w:r>
          </w:p>
        </w:tc>
        <w:tc>
          <w:tcPr>
            <w:tcW w:w="2310" w:type="dxa"/>
            <w:vAlign w:val="center"/>
          </w:tcPr>
          <w:p w14:paraId="15B3A9EC">
            <w:pPr>
              <w:jc w:val="center"/>
              <w:rPr>
                <w:color w:val="auto"/>
                <w:sz w:val="24"/>
                <w:highlight w:val="none"/>
              </w:rPr>
            </w:pPr>
          </w:p>
        </w:tc>
        <w:tc>
          <w:tcPr>
            <w:tcW w:w="2940" w:type="dxa"/>
            <w:vAlign w:val="center"/>
          </w:tcPr>
          <w:p w14:paraId="16E854CB">
            <w:pPr>
              <w:rPr>
                <w:color w:val="auto"/>
                <w:sz w:val="24"/>
                <w:highlight w:val="none"/>
              </w:rPr>
            </w:pPr>
          </w:p>
        </w:tc>
      </w:tr>
      <w:tr w14:paraId="123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2451A543">
            <w:pPr>
              <w:rPr>
                <w:color w:val="auto"/>
                <w:sz w:val="24"/>
                <w:szCs w:val="24"/>
                <w:highlight w:val="none"/>
              </w:rPr>
            </w:pPr>
            <w:r>
              <w:rPr>
                <w:color w:val="auto"/>
                <w:sz w:val="24"/>
                <w:highlight w:val="none"/>
              </w:rPr>
              <w:t>第三条 合同内容</w:t>
            </w:r>
          </w:p>
        </w:tc>
        <w:tc>
          <w:tcPr>
            <w:tcW w:w="2310" w:type="dxa"/>
            <w:vAlign w:val="center"/>
          </w:tcPr>
          <w:p w14:paraId="2939C63D">
            <w:pPr>
              <w:jc w:val="center"/>
              <w:rPr>
                <w:color w:val="auto"/>
                <w:sz w:val="24"/>
                <w:highlight w:val="none"/>
              </w:rPr>
            </w:pPr>
          </w:p>
        </w:tc>
        <w:tc>
          <w:tcPr>
            <w:tcW w:w="2940" w:type="dxa"/>
            <w:vAlign w:val="center"/>
          </w:tcPr>
          <w:p w14:paraId="146706B5">
            <w:pPr>
              <w:rPr>
                <w:color w:val="auto"/>
                <w:sz w:val="24"/>
                <w:highlight w:val="none"/>
              </w:rPr>
            </w:pPr>
          </w:p>
        </w:tc>
      </w:tr>
      <w:tr w14:paraId="1C4F7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5BE5C476">
            <w:pPr>
              <w:rPr>
                <w:b/>
                <w:bCs/>
                <w:color w:val="auto"/>
                <w:sz w:val="24"/>
                <w:szCs w:val="24"/>
                <w:highlight w:val="none"/>
              </w:rPr>
            </w:pPr>
            <w:r>
              <w:rPr>
                <w:color w:val="auto"/>
                <w:sz w:val="24"/>
                <w:highlight w:val="none"/>
              </w:rPr>
              <w:t>第</w:t>
            </w:r>
            <w:r>
              <w:rPr>
                <w:rFonts w:hint="eastAsia"/>
                <w:color w:val="auto"/>
                <w:sz w:val="24"/>
                <w:highlight w:val="none"/>
              </w:rPr>
              <w:t>六</w:t>
            </w:r>
            <w:r>
              <w:rPr>
                <w:color w:val="auto"/>
                <w:sz w:val="24"/>
                <w:highlight w:val="none"/>
              </w:rPr>
              <w:t xml:space="preserve">条 </w:t>
            </w:r>
            <w:r>
              <w:rPr>
                <w:rFonts w:hint="eastAsia"/>
                <w:color w:val="auto"/>
                <w:sz w:val="24"/>
                <w:highlight w:val="none"/>
              </w:rPr>
              <w:t>验收办法</w:t>
            </w:r>
          </w:p>
        </w:tc>
        <w:tc>
          <w:tcPr>
            <w:tcW w:w="2310" w:type="dxa"/>
            <w:vAlign w:val="center"/>
          </w:tcPr>
          <w:p w14:paraId="5AC00170">
            <w:pPr>
              <w:jc w:val="center"/>
              <w:rPr>
                <w:color w:val="auto"/>
                <w:sz w:val="24"/>
                <w:highlight w:val="none"/>
              </w:rPr>
            </w:pPr>
          </w:p>
        </w:tc>
        <w:tc>
          <w:tcPr>
            <w:tcW w:w="2940" w:type="dxa"/>
            <w:vAlign w:val="center"/>
          </w:tcPr>
          <w:p w14:paraId="65901193">
            <w:pPr>
              <w:rPr>
                <w:color w:val="auto"/>
                <w:sz w:val="24"/>
                <w:highlight w:val="none"/>
              </w:rPr>
            </w:pPr>
          </w:p>
        </w:tc>
      </w:tr>
      <w:tr w14:paraId="6CD5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34493702">
            <w:pPr>
              <w:rPr>
                <w:color w:val="auto"/>
                <w:sz w:val="24"/>
                <w:szCs w:val="24"/>
                <w:highlight w:val="none"/>
              </w:rPr>
            </w:pPr>
            <w:r>
              <w:rPr>
                <w:color w:val="auto"/>
                <w:sz w:val="24"/>
                <w:szCs w:val="24"/>
                <w:highlight w:val="none"/>
              </w:rPr>
              <w:t>第</w:t>
            </w:r>
            <w:r>
              <w:rPr>
                <w:rFonts w:hint="eastAsia"/>
                <w:color w:val="auto"/>
                <w:sz w:val="24"/>
                <w:szCs w:val="24"/>
                <w:highlight w:val="none"/>
              </w:rPr>
              <w:t>七</w:t>
            </w:r>
            <w:r>
              <w:rPr>
                <w:color w:val="auto"/>
                <w:sz w:val="24"/>
                <w:szCs w:val="24"/>
                <w:highlight w:val="none"/>
              </w:rPr>
              <w:t>条 双方权利义务</w:t>
            </w:r>
          </w:p>
        </w:tc>
        <w:tc>
          <w:tcPr>
            <w:tcW w:w="2310" w:type="dxa"/>
            <w:vAlign w:val="center"/>
          </w:tcPr>
          <w:p w14:paraId="21E2EB86">
            <w:pPr>
              <w:jc w:val="center"/>
              <w:rPr>
                <w:color w:val="auto"/>
                <w:sz w:val="24"/>
                <w:highlight w:val="none"/>
              </w:rPr>
            </w:pPr>
          </w:p>
        </w:tc>
        <w:tc>
          <w:tcPr>
            <w:tcW w:w="2940" w:type="dxa"/>
            <w:vAlign w:val="center"/>
          </w:tcPr>
          <w:p w14:paraId="05E60358">
            <w:pPr>
              <w:rPr>
                <w:color w:val="auto"/>
                <w:sz w:val="24"/>
                <w:highlight w:val="none"/>
              </w:rPr>
            </w:pPr>
          </w:p>
        </w:tc>
      </w:tr>
      <w:tr w14:paraId="4E93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625A14AD">
            <w:pPr>
              <w:rPr>
                <w:color w:val="auto"/>
                <w:sz w:val="24"/>
                <w:szCs w:val="24"/>
                <w:highlight w:val="none"/>
              </w:rPr>
            </w:pPr>
            <w:r>
              <w:rPr>
                <w:color w:val="auto"/>
                <w:sz w:val="24"/>
                <w:szCs w:val="24"/>
                <w:highlight w:val="none"/>
              </w:rPr>
              <w:t>第</w:t>
            </w:r>
            <w:r>
              <w:rPr>
                <w:rFonts w:hint="eastAsia"/>
                <w:color w:val="auto"/>
                <w:sz w:val="24"/>
                <w:szCs w:val="24"/>
                <w:highlight w:val="none"/>
              </w:rPr>
              <w:t>八</w:t>
            </w:r>
            <w:r>
              <w:rPr>
                <w:color w:val="auto"/>
                <w:sz w:val="24"/>
                <w:szCs w:val="24"/>
                <w:highlight w:val="none"/>
              </w:rPr>
              <w:t>条 质量保证</w:t>
            </w:r>
          </w:p>
        </w:tc>
        <w:tc>
          <w:tcPr>
            <w:tcW w:w="2310" w:type="dxa"/>
            <w:vAlign w:val="center"/>
          </w:tcPr>
          <w:p w14:paraId="333C7E55">
            <w:pPr>
              <w:jc w:val="center"/>
              <w:rPr>
                <w:color w:val="auto"/>
                <w:sz w:val="24"/>
                <w:highlight w:val="none"/>
              </w:rPr>
            </w:pPr>
          </w:p>
        </w:tc>
        <w:tc>
          <w:tcPr>
            <w:tcW w:w="2940" w:type="dxa"/>
            <w:vAlign w:val="center"/>
          </w:tcPr>
          <w:p w14:paraId="0F86AA09">
            <w:pPr>
              <w:rPr>
                <w:color w:val="auto"/>
                <w:sz w:val="24"/>
                <w:highlight w:val="none"/>
              </w:rPr>
            </w:pPr>
          </w:p>
        </w:tc>
      </w:tr>
      <w:tr w14:paraId="0FD2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297C0CCF">
            <w:pPr>
              <w:rPr>
                <w:color w:val="auto"/>
                <w:sz w:val="24"/>
                <w:szCs w:val="24"/>
                <w:highlight w:val="none"/>
              </w:rPr>
            </w:pPr>
            <w:r>
              <w:rPr>
                <w:color w:val="auto"/>
                <w:sz w:val="24"/>
                <w:szCs w:val="24"/>
                <w:highlight w:val="none"/>
              </w:rPr>
              <w:t>第</w:t>
            </w:r>
            <w:r>
              <w:rPr>
                <w:rFonts w:hint="eastAsia"/>
                <w:color w:val="auto"/>
                <w:sz w:val="24"/>
                <w:szCs w:val="24"/>
                <w:highlight w:val="none"/>
              </w:rPr>
              <w:t>九</w:t>
            </w:r>
            <w:r>
              <w:rPr>
                <w:color w:val="auto"/>
                <w:sz w:val="24"/>
                <w:szCs w:val="24"/>
                <w:highlight w:val="none"/>
              </w:rPr>
              <w:t>条 违约责任</w:t>
            </w:r>
          </w:p>
        </w:tc>
        <w:tc>
          <w:tcPr>
            <w:tcW w:w="2310" w:type="dxa"/>
            <w:vAlign w:val="center"/>
          </w:tcPr>
          <w:p w14:paraId="4D3B6D4B">
            <w:pPr>
              <w:jc w:val="center"/>
              <w:rPr>
                <w:color w:val="auto"/>
                <w:sz w:val="24"/>
                <w:highlight w:val="none"/>
              </w:rPr>
            </w:pPr>
          </w:p>
        </w:tc>
        <w:tc>
          <w:tcPr>
            <w:tcW w:w="2940" w:type="dxa"/>
            <w:vAlign w:val="center"/>
          </w:tcPr>
          <w:p w14:paraId="421F4FDE">
            <w:pPr>
              <w:rPr>
                <w:color w:val="auto"/>
                <w:sz w:val="24"/>
                <w:highlight w:val="none"/>
              </w:rPr>
            </w:pPr>
          </w:p>
        </w:tc>
      </w:tr>
      <w:tr w14:paraId="1C67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4D80C9AF">
            <w:pPr>
              <w:rPr>
                <w:color w:val="auto"/>
                <w:sz w:val="24"/>
                <w:szCs w:val="24"/>
                <w:highlight w:val="none"/>
              </w:rPr>
            </w:pPr>
            <w:r>
              <w:rPr>
                <w:color w:val="auto"/>
                <w:sz w:val="24"/>
                <w:szCs w:val="24"/>
                <w:highlight w:val="none"/>
              </w:rPr>
              <w:t>第十条 不可抗力</w:t>
            </w:r>
          </w:p>
        </w:tc>
        <w:tc>
          <w:tcPr>
            <w:tcW w:w="2310" w:type="dxa"/>
            <w:vAlign w:val="center"/>
          </w:tcPr>
          <w:p w14:paraId="453C6A39">
            <w:pPr>
              <w:jc w:val="center"/>
              <w:rPr>
                <w:color w:val="auto"/>
                <w:sz w:val="24"/>
                <w:highlight w:val="none"/>
              </w:rPr>
            </w:pPr>
          </w:p>
        </w:tc>
        <w:tc>
          <w:tcPr>
            <w:tcW w:w="2940" w:type="dxa"/>
            <w:vAlign w:val="center"/>
          </w:tcPr>
          <w:p w14:paraId="1954DCE5">
            <w:pPr>
              <w:rPr>
                <w:color w:val="auto"/>
                <w:sz w:val="24"/>
                <w:highlight w:val="none"/>
              </w:rPr>
            </w:pPr>
          </w:p>
        </w:tc>
      </w:tr>
      <w:tr w14:paraId="736B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67A43FF2">
            <w:pPr>
              <w:rPr>
                <w:color w:val="auto"/>
                <w:sz w:val="24"/>
                <w:szCs w:val="24"/>
                <w:highlight w:val="none"/>
              </w:rPr>
            </w:pPr>
            <w:r>
              <w:rPr>
                <w:color w:val="auto"/>
                <w:sz w:val="24"/>
                <w:szCs w:val="24"/>
                <w:highlight w:val="none"/>
              </w:rPr>
              <w:t>第十</w:t>
            </w:r>
            <w:r>
              <w:rPr>
                <w:rFonts w:hint="eastAsia"/>
                <w:color w:val="auto"/>
                <w:sz w:val="24"/>
                <w:szCs w:val="24"/>
                <w:highlight w:val="none"/>
              </w:rPr>
              <w:t>一</w:t>
            </w:r>
            <w:r>
              <w:rPr>
                <w:color w:val="auto"/>
                <w:sz w:val="24"/>
                <w:szCs w:val="24"/>
                <w:highlight w:val="none"/>
              </w:rPr>
              <w:t>条</w:t>
            </w:r>
            <w:r>
              <w:rPr>
                <w:rFonts w:hint="eastAsia"/>
                <w:color w:val="auto"/>
                <w:sz w:val="24"/>
                <w:szCs w:val="24"/>
                <w:highlight w:val="none"/>
              </w:rPr>
              <w:t xml:space="preserve"> </w:t>
            </w:r>
            <w:r>
              <w:rPr>
                <w:color w:val="auto"/>
                <w:sz w:val="24"/>
                <w:szCs w:val="24"/>
                <w:highlight w:val="none"/>
              </w:rPr>
              <w:t>合同的补充</w:t>
            </w:r>
          </w:p>
        </w:tc>
        <w:tc>
          <w:tcPr>
            <w:tcW w:w="2310" w:type="dxa"/>
            <w:vAlign w:val="center"/>
          </w:tcPr>
          <w:p w14:paraId="5B0573DC">
            <w:pPr>
              <w:jc w:val="center"/>
              <w:rPr>
                <w:color w:val="auto"/>
                <w:sz w:val="24"/>
                <w:highlight w:val="none"/>
              </w:rPr>
            </w:pPr>
          </w:p>
        </w:tc>
        <w:tc>
          <w:tcPr>
            <w:tcW w:w="2940" w:type="dxa"/>
            <w:vAlign w:val="center"/>
          </w:tcPr>
          <w:p w14:paraId="6A52FBC1">
            <w:pPr>
              <w:rPr>
                <w:color w:val="auto"/>
                <w:sz w:val="24"/>
                <w:highlight w:val="none"/>
              </w:rPr>
            </w:pPr>
          </w:p>
        </w:tc>
      </w:tr>
      <w:tr w14:paraId="4094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4D5B6AE5">
            <w:pPr>
              <w:rPr>
                <w:color w:val="auto"/>
                <w:sz w:val="24"/>
                <w:szCs w:val="24"/>
                <w:highlight w:val="none"/>
              </w:rPr>
            </w:pPr>
            <w:r>
              <w:rPr>
                <w:color w:val="auto"/>
                <w:sz w:val="24"/>
                <w:szCs w:val="24"/>
                <w:highlight w:val="none"/>
              </w:rPr>
              <w:t>第十</w:t>
            </w:r>
            <w:r>
              <w:rPr>
                <w:rFonts w:hint="eastAsia"/>
                <w:color w:val="auto"/>
                <w:sz w:val="24"/>
                <w:szCs w:val="24"/>
                <w:highlight w:val="none"/>
              </w:rPr>
              <w:t>二</w:t>
            </w:r>
            <w:r>
              <w:rPr>
                <w:color w:val="auto"/>
                <w:sz w:val="24"/>
                <w:szCs w:val="24"/>
                <w:highlight w:val="none"/>
              </w:rPr>
              <w:t>条 合同的变更、中止</w:t>
            </w:r>
          </w:p>
        </w:tc>
        <w:tc>
          <w:tcPr>
            <w:tcW w:w="2310" w:type="dxa"/>
            <w:vAlign w:val="center"/>
          </w:tcPr>
          <w:p w14:paraId="3CDC0813">
            <w:pPr>
              <w:jc w:val="center"/>
              <w:rPr>
                <w:color w:val="auto"/>
                <w:sz w:val="24"/>
                <w:highlight w:val="none"/>
              </w:rPr>
            </w:pPr>
          </w:p>
        </w:tc>
        <w:tc>
          <w:tcPr>
            <w:tcW w:w="2940" w:type="dxa"/>
            <w:vAlign w:val="center"/>
          </w:tcPr>
          <w:p w14:paraId="023D7494">
            <w:pPr>
              <w:rPr>
                <w:color w:val="auto"/>
                <w:sz w:val="24"/>
                <w:highlight w:val="none"/>
              </w:rPr>
            </w:pPr>
          </w:p>
        </w:tc>
      </w:tr>
      <w:tr w14:paraId="2035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481CC0D9">
            <w:pPr>
              <w:rPr>
                <w:color w:val="auto"/>
                <w:sz w:val="24"/>
                <w:szCs w:val="24"/>
                <w:highlight w:val="none"/>
              </w:rPr>
            </w:pPr>
            <w:r>
              <w:rPr>
                <w:rFonts w:ascii="Times New Roman" w:hAnsi="Times New Roman" w:eastAsia="宋体" w:cs="Times New Roman"/>
                <w:color w:val="auto"/>
                <w:sz w:val="24"/>
                <w:szCs w:val="24"/>
                <w:highlight w:val="none"/>
              </w:rPr>
              <w:t>第十</w:t>
            </w:r>
            <w:r>
              <w:rPr>
                <w:rFonts w:hint="eastAsia" w:ascii="Times New Roman" w:hAnsi="Times New Roman" w:eastAsia="宋体" w:cs="Times New Roman"/>
                <w:color w:val="auto"/>
                <w:sz w:val="24"/>
                <w:szCs w:val="24"/>
                <w:highlight w:val="none"/>
              </w:rPr>
              <w:t>三</w:t>
            </w:r>
            <w:r>
              <w:rPr>
                <w:rFonts w:ascii="Times New Roman" w:hAnsi="Times New Roman" w:eastAsia="宋体" w:cs="Times New Roman"/>
                <w:color w:val="auto"/>
                <w:sz w:val="24"/>
                <w:szCs w:val="24"/>
                <w:highlight w:val="none"/>
              </w:rPr>
              <w:t>条 合同的</w:t>
            </w:r>
            <w:r>
              <w:rPr>
                <w:rFonts w:hint="eastAsia" w:ascii="Times New Roman" w:hAnsi="Times New Roman" w:eastAsia="宋体" w:cs="Times New Roman"/>
                <w:color w:val="auto"/>
                <w:sz w:val="24"/>
                <w:szCs w:val="24"/>
                <w:highlight w:val="none"/>
              </w:rPr>
              <w:t>解除、</w:t>
            </w:r>
            <w:r>
              <w:rPr>
                <w:rFonts w:ascii="Times New Roman" w:hAnsi="Times New Roman" w:eastAsia="宋体" w:cs="Times New Roman"/>
                <w:color w:val="auto"/>
                <w:sz w:val="24"/>
                <w:szCs w:val="24"/>
                <w:highlight w:val="none"/>
              </w:rPr>
              <w:t>终止</w:t>
            </w:r>
          </w:p>
        </w:tc>
        <w:tc>
          <w:tcPr>
            <w:tcW w:w="2310" w:type="dxa"/>
            <w:vAlign w:val="center"/>
          </w:tcPr>
          <w:p w14:paraId="16D36EA5">
            <w:pPr>
              <w:jc w:val="center"/>
              <w:rPr>
                <w:color w:val="auto"/>
                <w:sz w:val="24"/>
                <w:highlight w:val="none"/>
              </w:rPr>
            </w:pPr>
          </w:p>
        </w:tc>
        <w:tc>
          <w:tcPr>
            <w:tcW w:w="2940" w:type="dxa"/>
            <w:vAlign w:val="center"/>
          </w:tcPr>
          <w:p w14:paraId="26EC3050">
            <w:pPr>
              <w:rPr>
                <w:color w:val="auto"/>
                <w:sz w:val="24"/>
                <w:highlight w:val="none"/>
              </w:rPr>
            </w:pPr>
          </w:p>
        </w:tc>
      </w:tr>
      <w:tr w14:paraId="29024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1CB384D7">
            <w:pPr>
              <w:rPr>
                <w:color w:val="auto"/>
                <w:sz w:val="24"/>
                <w:szCs w:val="24"/>
                <w:highlight w:val="none"/>
              </w:rPr>
            </w:pPr>
            <w:r>
              <w:rPr>
                <w:rFonts w:ascii="Times New Roman" w:hAnsi="Times New Roman" w:eastAsia="宋体" w:cs="Times New Roman"/>
                <w:color w:val="auto"/>
                <w:sz w:val="24"/>
                <w:szCs w:val="24"/>
                <w:highlight w:val="none"/>
              </w:rPr>
              <w:t>第十</w:t>
            </w:r>
            <w:r>
              <w:rPr>
                <w:rFonts w:hint="eastAsia" w:ascii="Times New Roman" w:hAnsi="Times New Roman" w:eastAsia="宋体" w:cs="Times New Roman"/>
                <w:color w:val="auto"/>
                <w:sz w:val="24"/>
                <w:szCs w:val="24"/>
                <w:highlight w:val="none"/>
              </w:rPr>
              <w:t>四</w:t>
            </w:r>
            <w:r>
              <w:rPr>
                <w:rFonts w:ascii="Times New Roman" w:hAnsi="Times New Roman" w:eastAsia="宋体" w:cs="Times New Roman"/>
                <w:color w:val="auto"/>
                <w:sz w:val="24"/>
                <w:szCs w:val="24"/>
                <w:highlight w:val="none"/>
              </w:rPr>
              <w:t>条</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合同的转让</w:t>
            </w:r>
          </w:p>
        </w:tc>
        <w:tc>
          <w:tcPr>
            <w:tcW w:w="2310" w:type="dxa"/>
            <w:vAlign w:val="center"/>
          </w:tcPr>
          <w:p w14:paraId="159F0973">
            <w:pPr>
              <w:jc w:val="center"/>
              <w:rPr>
                <w:color w:val="auto"/>
                <w:sz w:val="24"/>
                <w:highlight w:val="none"/>
              </w:rPr>
            </w:pPr>
          </w:p>
        </w:tc>
        <w:tc>
          <w:tcPr>
            <w:tcW w:w="2940" w:type="dxa"/>
            <w:vAlign w:val="center"/>
          </w:tcPr>
          <w:p w14:paraId="480841FC">
            <w:pPr>
              <w:rPr>
                <w:color w:val="auto"/>
                <w:sz w:val="24"/>
                <w:highlight w:val="none"/>
              </w:rPr>
            </w:pPr>
          </w:p>
        </w:tc>
      </w:tr>
      <w:tr w14:paraId="4194A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678C83F3">
            <w:pPr>
              <w:rPr>
                <w:color w:val="auto"/>
                <w:sz w:val="24"/>
                <w:szCs w:val="24"/>
                <w:highlight w:val="none"/>
              </w:rPr>
            </w:pPr>
            <w:r>
              <w:rPr>
                <w:rFonts w:ascii="Times New Roman" w:hAnsi="Times New Roman" w:eastAsia="宋体" w:cs="Times New Roman"/>
                <w:color w:val="auto"/>
                <w:sz w:val="24"/>
                <w:szCs w:val="24"/>
                <w:highlight w:val="none"/>
              </w:rPr>
              <w:t>第十</w:t>
            </w:r>
            <w:r>
              <w:rPr>
                <w:rFonts w:hint="eastAsia" w:ascii="Times New Roman" w:hAnsi="Times New Roman" w:eastAsia="宋体" w:cs="Times New Roman"/>
                <w:color w:val="auto"/>
                <w:sz w:val="24"/>
                <w:szCs w:val="24"/>
                <w:highlight w:val="none"/>
              </w:rPr>
              <w:t>五</w:t>
            </w:r>
            <w:r>
              <w:rPr>
                <w:rFonts w:ascii="Times New Roman" w:hAnsi="Times New Roman" w:eastAsia="宋体" w:cs="Times New Roman"/>
                <w:color w:val="auto"/>
                <w:sz w:val="24"/>
                <w:szCs w:val="24"/>
                <w:highlight w:val="none"/>
              </w:rPr>
              <w:t>条 履约保证金</w:t>
            </w:r>
          </w:p>
        </w:tc>
        <w:tc>
          <w:tcPr>
            <w:tcW w:w="2310" w:type="dxa"/>
            <w:vAlign w:val="center"/>
          </w:tcPr>
          <w:p w14:paraId="674E0072">
            <w:pPr>
              <w:jc w:val="center"/>
              <w:rPr>
                <w:color w:val="auto"/>
                <w:sz w:val="24"/>
                <w:highlight w:val="none"/>
              </w:rPr>
            </w:pPr>
          </w:p>
        </w:tc>
        <w:tc>
          <w:tcPr>
            <w:tcW w:w="2940" w:type="dxa"/>
            <w:vAlign w:val="center"/>
          </w:tcPr>
          <w:p w14:paraId="445380F8">
            <w:pPr>
              <w:rPr>
                <w:color w:val="auto"/>
                <w:sz w:val="24"/>
                <w:highlight w:val="none"/>
              </w:rPr>
            </w:pPr>
          </w:p>
        </w:tc>
      </w:tr>
      <w:tr w14:paraId="0D1B4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17005BB7">
            <w:pPr>
              <w:rPr>
                <w:color w:val="auto"/>
                <w:sz w:val="24"/>
                <w:szCs w:val="24"/>
                <w:highlight w:val="none"/>
              </w:rPr>
            </w:pPr>
            <w:r>
              <w:rPr>
                <w:color w:val="auto"/>
                <w:sz w:val="24"/>
                <w:szCs w:val="24"/>
                <w:highlight w:val="none"/>
              </w:rPr>
              <w:t>第十</w:t>
            </w:r>
            <w:r>
              <w:rPr>
                <w:rFonts w:hint="eastAsia"/>
                <w:color w:val="auto"/>
                <w:sz w:val="24"/>
                <w:szCs w:val="24"/>
                <w:highlight w:val="none"/>
              </w:rPr>
              <w:t>六</w:t>
            </w:r>
            <w:r>
              <w:rPr>
                <w:color w:val="auto"/>
                <w:sz w:val="24"/>
                <w:szCs w:val="24"/>
                <w:highlight w:val="none"/>
              </w:rPr>
              <w:t>条 争议解决方式</w:t>
            </w:r>
          </w:p>
        </w:tc>
        <w:tc>
          <w:tcPr>
            <w:tcW w:w="2310" w:type="dxa"/>
            <w:vAlign w:val="center"/>
          </w:tcPr>
          <w:p w14:paraId="064F771F">
            <w:pPr>
              <w:jc w:val="center"/>
              <w:rPr>
                <w:color w:val="auto"/>
                <w:sz w:val="24"/>
                <w:highlight w:val="none"/>
              </w:rPr>
            </w:pPr>
          </w:p>
        </w:tc>
        <w:tc>
          <w:tcPr>
            <w:tcW w:w="2940" w:type="dxa"/>
            <w:vAlign w:val="center"/>
          </w:tcPr>
          <w:p w14:paraId="10A50CBD">
            <w:pPr>
              <w:rPr>
                <w:color w:val="auto"/>
                <w:sz w:val="24"/>
                <w:highlight w:val="none"/>
              </w:rPr>
            </w:pPr>
          </w:p>
        </w:tc>
      </w:tr>
      <w:tr w14:paraId="6BDC8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14CFC38F">
            <w:pPr>
              <w:rPr>
                <w:color w:val="auto"/>
                <w:sz w:val="24"/>
                <w:szCs w:val="24"/>
                <w:highlight w:val="none"/>
              </w:rPr>
            </w:pPr>
            <w:r>
              <w:rPr>
                <w:rFonts w:hint="eastAsia"/>
                <w:color w:val="auto"/>
                <w:sz w:val="24"/>
                <w:szCs w:val="24"/>
                <w:highlight w:val="none"/>
              </w:rPr>
              <w:t>第十七条 通知与送达</w:t>
            </w:r>
          </w:p>
        </w:tc>
        <w:tc>
          <w:tcPr>
            <w:tcW w:w="2310" w:type="dxa"/>
            <w:vAlign w:val="center"/>
          </w:tcPr>
          <w:p w14:paraId="18C10730">
            <w:pPr>
              <w:jc w:val="center"/>
              <w:rPr>
                <w:color w:val="auto"/>
                <w:sz w:val="24"/>
                <w:highlight w:val="none"/>
              </w:rPr>
            </w:pPr>
          </w:p>
        </w:tc>
        <w:tc>
          <w:tcPr>
            <w:tcW w:w="2940" w:type="dxa"/>
            <w:vAlign w:val="center"/>
          </w:tcPr>
          <w:p w14:paraId="53788B5D">
            <w:pPr>
              <w:rPr>
                <w:color w:val="auto"/>
                <w:sz w:val="24"/>
                <w:highlight w:val="none"/>
              </w:rPr>
            </w:pPr>
          </w:p>
        </w:tc>
      </w:tr>
      <w:tr w14:paraId="61586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990" w:type="dxa"/>
            <w:vAlign w:val="center"/>
          </w:tcPr>
          <w:p w14:paraId="6737BD76">
            <w:pPr>
              <w:rPr>
                <w:color w:val="auto"/>
                <w:sz w:val="24"/>
                <w:szCs w:val="24"/>
                <w:highlight w:val="none"/>
              </w:rPr>
            </w:pPr>
            <w:r>
              <w:rPr>
                <w:color w:val="auto"/>
                <w:sz w:val="24"/>
                <w:szCs w:val="24"/>
                <w:highlight w:val="none"/>
              </w:rPr>
              <w:t>第</w:t>
            </w:r>
            <w:r>
              <w:rPr>
                <w:rFonts w:hint="eastAsia"/>
                <w:color w:val="auto"/>
                <w:sz w:val="24"/>
                <w:szCs w:val="24"/>
                <w:highlight w:val="none"/>
              </w:rPr>
              <w:t>十八</w:t>
            </w:r>
            <w:r>
              <w:rPr>
                <w:color w:val="auto"/>
                <w:sz w:val="24"/>
                <w:szCs w:val="24"/>
                <w:highlight w:val="none"/>
              </w:rPr>
              <w:t>条 合同生效及其他</w:t>
            </w:r>
          </w:p>
        </w:tc>
        <w:tc>
          <w:tcPr>
            <w:tcW w:w="2310" w:type="dxa"/>
            <w:vAlign w:val="center"/>
          </w:tcPr>
          <w:p w14:paraId="25097C75">
            <w:pPr>
              <w:jc w:val="center"/>
              <w:rPr>
                <w:color w:val="auto"/>
                <w:sz w:val="24"/>
                <w:highlight w:val="none"/>
              </w:rPr>
            </w:pPr>
          </w:p>
        </w:tc>
        <w:tc>
          <w:tcPr>
            <w:tcW w:w="2940" w:type="dxa"/>
            <w:vAlign w:val="top"/>
          </w:tcPr>
          <w:p w14:paraId="7A99C37A">
            <w:pPr>
              <w:rPr>
                <w:color w:val="auto"/>
                <w:sz w:val="24"/>
                <w:highlight w:val="none"/>
              </w:rPr>
            </w:pPr>
          </w:p>
        </w:tc>
      </w:tr>
    </w:tbl>
    <w:p w14:paraId="604CCB8C">
      <w:pPr>
        <w:spacing w:line="440" w:lineRule="exact"/>
        <w:rPr>
          <w:color w:val="auto"/>
          <w:sz w:val="24"/>
          <w:szCs w:val="24"/>
          <w:highlight w:val="none"/>
        </w:rPr>
      </w:pPr>
      <w:r>
        <w:rPr>
          <w:color w:val="auto"/>
          <w:sz w:val="24"/>
          <w:szCs w:val="24"/>
          <w:highlight w:val="none"/>
        </w:rPr>
        <w:t>注：1、投标人应据实、详细填写上述表格，因表述含糊导致的评标风险将由投标人承担。</w:t>
      </w:r>
    </w:p>
    <w:p w14:paraId="2294EDB0">
      <w:pPr>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若无偏</w:t>
      </w:r>
      <w:r>
        <w:rPr>
          <w:rFonts w:hint="eastAsia" w:ascii="宋体" w:hAnsi="宋体" w:cs="宋体"/>
          <w:color w:val="auto"/>
          <w:sz w:val="24"/>
          <w:szCs w:val="24"/>
          <w:highlight w:val="none"/>
        </w:rPr>
        <w:t>离，在“有无偏离”栏中填写“无”；若有偏离在“有无偏离”栏中填写“有”，并在“偏离内容及原因”栏中</w:t>
      </w:r>
      <w:r>
        <w:rPr>
          <w:color w:val="auto"/>
          <w:sz w:val="24"/>
          <w:szCs w:val="24"/>
          <w:highlight w:val="none"/>
        </w:rPr>
        <w:t>作出说明。</w:t>
      </w:r>
    </w:p>
    <w:p w14:paraId="0612EAEA">
      <w:pPr>
        <w:spacing w:line="360" w:lineRule="auto"/>
        <w:jc w:val="center"/>
        <w:rPr>
          <w:rFonts w:hint="eastAsia" w:ascii="Calibri" w:hAnsi="Calibri"/>
          <w:bCs/>
          <w:color w:val="auto"/>
          <w:sz w:val="24"/>
          <w:szCs w:val="22"/>
          <w:highlight w:val="none"/>
        </w:rPr>
      </w:pPr>
    </w:p>
    <w:p w14:paraId="6208A723">
      <w:pPr>
        <w:spacing w:line="440" w:lineRule="exact"/>
        <w:jc w:val="center"/>
        <w:outlineLvl w:val="1"/>
        <w:rPr>
          <w:b/>
          <w:bCs/>
          <w:caps/>
          <w:color w:val="auto"/>
          <w:sz w:val="28"/>
          <w:szCs w:val="36"/>
          <w:highlight w:val="none"/>
        </w:rPr>
      </w:pPr>
      <w:r>
        <w:rPr>
          <w:color w:val="auto"/>
          <w:sz w:val="24"/>
          <w:szCs w:val="21"/>
          <w:highlight w:val="none"/>
        </w:rPr>
        <w:br w:type="page"/>
      </w:r>
      <w:bookmarkStart w:id="159" w:name="_Toc2006"/>
      <w:bookmarkStart w:id="160" w:name="_Toc354834784"/>
      <w:bookmarkStart w:id="161" w:name="_Toc159856437"/>
      <w:bookmarkStart w:id="162" w:name="_Toc43821328"/>
      <w:bookmarkStart w:id="163" w:name="_Toc522610225"/>
      <w:bookmarkStart w:id="164" w:name="_Toc146524609"/>
      <w:bookmarkStart w:id="165" w:name="_Toc387400419"/>
      <w:r>
        <w:rPr>
          <w:rFonts w:hint="eastAsia"/>
          <w:b/>
          <w:bCs/>
          <w:color w:val="auto"/>
          <w:sz w:val="28"/>
          <w:szCs w:val="28"/>
          <w:highlight w:val="none"/>
        </w:rPr>
        <w:t>附件</w:t>
      </w:r>
      <w:r>
        <w:rPr>
          <w:rFonts w:hint="eastAsia"/>
          <w:b/>
          <w:bCs/>
          <w:color w:val="auto"/>
          <w:sz w:val="28"/>
          <w:szCs w:val="28"/>
          <w:highlight w:val="none"/>
          <w:lang w:val="en-US" w:eastAsia="zh-CN"/>
        </w:rPr>
        <w:t>13</w:t>
      </w:r>
      <w:r>
        <w:rPr>
          <w:rFonts w:hint="eastAsia"/>
          <w:b/>
          <w:bCs/>
          <w:color w:val="auto"/>
          <w:sz w:val="28"/>
          <w:szCs w:val="28"/>
          <w:highlight w:val="none"/>
        </w:rPr>
        <w:t>业绩一览表</w:t>
      </w:r>
      <w:bookmarkEnd w:id="159"/>
      <w:bookmarkEnd w:id="160"/>
      <w:bookmarkEnd w:id="161"/>
      <w:bookmarkEnd w:id="162"/>
      <w:bookmarkEnd w:id="163"/>
      <w:bookmarkEnd w:id="164"/>
      <w:bookmarkEnd w:id="165"/>
    </w:p>
    <w:tbl>
      <w:tblPr>
        <w:tblStyle w:val="56"/>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86"/>
        <w:gridCol w:w="1814"/>
        <w:gridCol w:w="1798"/>
        <w:gridCol w:w="1798"/>
        <w:gridCol w:w="1735"/>
        <w:gridCol w:w="812"/>
      </w:tblGrid>
      <w:tr w14:paraId="14D96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30" w:type="dxa"/>
            <w:vAlign w:val="center"/>
          </w:tcPr>
          <w:p w14:paraId="36594182">
            <w:pPr>
              <w:overflowPunct w:val="0"/>
              <w:jc w:val="center"/>
              <w:rPr>
                <w:color w:val="auto"/>
                <w:kern w:val="2"/>
                <w:sz w:val="24"/>
                <w:szCs w:val="24"/>
                <w:highlight w:val="none"/>
              </w:rPr>
            </w:pPr>
            <w:r>
              <w:rPr>
                <w:color w:val="auto"/>
                <w:kern w:val="2"/>
                <w:sz w:val="24"/>
                <w:szCs w:val="24"/>
                <w:highlight w:val="none"/>
              </w:rPr>
              <w:t>序号</w:t>
            </w:r>
          </w:p>
        </w:tc>
        <w:tc>
          <w:tcPr>
            <w:tcW w:w="2086" w:type="dxa"/>
            <w:vAlign w:val="center"/>
          </w:tcPr>
          <w:p w14:paraId="1932E94D">
            <w:pPr>
              <w:overflowPunct w:val="0"/>
              <w:jc w:val="center"/>
              <w:rPr>
                <w:color w:val="auto"/>
                <w:kern w:val="2"/>
                <w:sz w:val="24"/>
                <w:szCs w:val="24"/>
                <w:highlight w:val="none"/>
              </w:rPr>
            </w:pPr>
            <w:r>
              <w:rPr>
                <w:color w:val="auto"/>
                <w:kern w:val="2"/>
                <w:sz w:val="24"/>
                <w:szCs w:val="24"/>
                <w:highlight w:val="none"/>
              </w:rPr>
              <w:t>项目名称</w:t>
            </w:r>
          </w:p>
        </w:tc>
        <w:tc>
          <w:tcPr>
            <w:tcW w:w="1814" w:type="dxa"/>
            <w:vAlign w:val="center"/>
          </w:tcPr>
          <w:p w14:paraId="512CF6FA">
            <w:pPr>
              <w:overflowPunct w:val="0"/>
              <w:jc w:val="center"/>
              <w:rPr>
                <w:color w:val="auto"/>
                <w:kern w:val="2"/>
                <w:sz w:val="24"/>
                <w:szCs w:val="24"/>
                <w:highlight w:val="none"/>
              </w:rPr>
            </w:pPr>
            <w:r>
              <w:rPr>
                <w:rFonts w:hint="eastAsia"/>
                <w:color w:val="auto"/>
                <w:kern w:val="2"/>
                <w:sz w:val="24"/>
                <w:szCs w:val="24"/>
                <w:highlight w:val="none"/>
              </w:rPr>
              <w:t>业主单位</w:t>
            </w:r>
          </w:p>
        </w:tc>
        <w:tc>
          <w:tcPr>
            <w:tcW w:w="1798" w:type="dxa"/>
            <w:vAlign w:val="center"/>
          </w:tcPr>
          <w:p w14:paraId="450BC404">
            <w:pPr>
              <w:overflowPunct w:val="0"/>
              <w:jc w:val="center"/>
              <w:rPr>
                <w:color w:val="auto"/>
                <w:kern w:val="2"/>
                <w:sz w:val="24"/>
                <w:szCs w:val="24"/>
                <w:highlight w:val="none"/>
              </w:rPr>
            </w:pPr>
            <w:r>
              <w:rPr>
                <w:rFonts w:hint="eastAsia"/>
                <w:color w:val="auto"/>
                <w:kern w:val="2"/>
                <w:sz w:val="24"/>
                <w:szCs w:val="24"/>
                <w:highlight w:val="none"/>
              </w:rPr>
              <w:t>合同内容</w:t>
            </w:r>
          </w:p>
        </w:tc>
        <w:tc>
          <w:tcPr>
            <w:tcW w:w="1798" w:type="dxa"/>
            <w:vAlign w:val="center"/>
          </w:tcPr>
          <w:p w14:paraId="6F6B9635">
            <w:pPr>
              <w:overflowPunct w:val="0"/>
              <w:jc w:val="center"/>
              <w:rPr>
                <w:color w:val="auto"/>
                <w:kern w:val="2"/>
                <w:sz w:val="24"/>
                <w:szCs w:val="24"/>
                <w:highlight w:val="none"/>
              </w:rPr>
            </w:pPr>
            <w:r>
              <w:rPr>
                <w:rFonts w:hint="eastAsia"/>
                <w:color w:val="auto"/>
                <w:kern w:val="2"/>
                <w:sz w:val="24"/>
                <w:szCs w:val="24"/>
                <w:highlight w:val="none"/>
              </w:rPr>
              <w:t>合同签订时间</w:t>
            </w:r>
          </w:p>
        </w:tc>
        <w:tc>
          <w:tcPr>
            <w:tcW w:w="1735" w:type="dxa"/>
            <w:vAlign w:val="center"/>
          </w:tcPr>
          <w:p w14:paraId="0D6E5768">
            <w:pPr>
              <w:overflowPunct w:val="0"/>
              <w:jc w:val="center"/>
              <w:rPr>
                <w:color w:val="auto"/>
                <w:kern w:val="2"/>
                <w:sz w:val="24"/>
                <w:szCs w:val="24"/>
                <w:highlight w:val="none"/>
              </w:rPr>
            </w:pPr>
            <w:r>
              <w:rPr>
                <w:color w:val="auto"/>
                <w:kern w:val="2"/>
                <w:sz w:val="24"/>
                <w:szCs w:val="24"/>
                <w:highlight w:val="none"/>
              </w:rPr>
              <w:t>业主联系人及联系电话</w:t>
            </w:r>
          </w:p>
        </w:tc>
        <w:tc>
          <w:tcPr>
            <w:tcW w:w="812" w:type="dxa"/>
            <w:vAlign w:val="center"/>
          </w:tcPr>
          <w:p w14:paraId="5D1BF6D6">
            <w:pPr>
              <w:overflowPunct w:val="0"/>
              <w:jc w:val="center"/>
              <w:rPr>
                <w:color w:val="auto"/>
                <w:kern w:val="2"/>
                <w:sz w:val="24"/>
                <w:szCs w:val="24"/>
                <w:highlight w:val="none"/>
              </w:rPr>
            </w:pPr>
            <w:r>
              <w:rPr>
                <w:color w:val="auto"/>
                <w:kern w:val="2"/>
                <w:sz w:val="24"/>
                <w:szCs w:val="24"/>
                <w:highlight w:val="none"/>
              </w:rPr>
              <w:t>备注</w:t>
            </w:r>
          </w:p>
        </w:tc>
      </w:tr>
      <w:tr w14:paraId="2388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vAlign w:val="center"/>
          </w:tcPr>
          <w:p w14:paraId="73B41393">
            <w:pPr>
              <w:overflowPunct w:val="0"/>
              <w:jc w:val="center"/>
              <w:rPr>
                <w:color w:val="auto"/>
                <w:kern w:val="2"/>
                <w:sz w:val="24"/>
                <w:szCs w:val="24"/>
                <w:highlight w:val="none"/>
              </w:rPr>
            </w:pPr>
            <w:r>
              <w:rPr>
                <w:color w:val="auto"/>
                <w:kern w:val="2"/>
                <w:sz w:val="24"/>
                <w:szCs w:val="24"/>
                <w:highlight w:val="none"/>
              </w:rPr>
              <w:t>1</w:t>
            </w:r>
          </w:p>
        </w:tc>
        <w:tc>
          <w:tcPr>
            <w:tcW w:w="2086" w:type="dxa"/>
            <w:vAlign w:val="center"/>
          </w:tcPr>
          <w:p w14:paraId="5E5FF32C">
            <w:pPr>
              <w:overflowPunct w:val="0"/>
              <w:jc w:val="center"/>
              <w:rPr>
                <w:color w:val="auto"/>
                <w:kern w:val="2"/>
                <w:sz w:val="24"/>
                <w:szCs w:val="24"/>
                <w:highlight w:val="none"/>
              </w:rPr>
            </w:pPr>
          </w:p>
        </w:tc>
        <w:tc>
          <w:tcPr>
            <w:tcW w:w="1814" w:type="dxa"/>
            <w:vAlign w:val="center"/>
          </w:tcPr>
          <w:p w14:paraId="2200DA18">
            <w:pPr>
              <w:overflowPunct w:val="0"/>
              <w:jc w:val="center"/>
              <w:rPr>
                <w:color w:val="auto"/>
                <w:kern w:val="2"/>
                <w:sz w:val="24"/>
                <w:szCs w:val="24"/>
                <w:highlight w:val="none"/>
              </w:rPr>
            </w:pPr>
          </w:p>
        </w:tc>
        <w:tc>
          <w:tcPr>
            <w:tcW w:w="1798" w:type="dxa"/>
            <w:vAlign w:val="center"/>
          </w:tcPr>
          <w:p w14:paraId="15BB8EE8">
            <w:pPr>
              <w:overflowPunct w:val="0"/>
              <w:jc w:val="center"/>
              <w:rPr>
                <w:color w:val="auto"/>
                <w:kern w:val="2"/>
                <w:sz w:val="24"/>
                <w:szCs w:val="24"/>
                <w:highlight w:val="none"/>
              </w:rPr>
            </w:pPr>
          </w:p>
        </w:tc>
        <w:tc>
          <w:tcPr>
            <w:tcW w:w="1798" w:type="dxa"/>
            <w:vAlign w:val="center"/>
          </w:tcPr>
          <w:p w14:paraId="576618FF">
            <w:pPr>
              <w:overflowPunct w:val="0"/>
              <w:jc w:val="center"/>
              <w:rPr>
                <w:color w:val="auto"/>
                <w:kern w:val="2"/>
                <w:sz w:val="24"/>
                <w:szCs w:val="24"/>
                <w:highlight w:val="none"/>
              </w:rPr>
            </w:pPr>
          </w:p>
        </w:tc>
        <w:tc>
          <w:tcPr>
            <w:tcW w:w="1735" w:type="dxa"/>
            <w:vAlign w:val="center"/>
          </w:tcPr>
          <w:p w14:paraId="02D9C9C1">
            <w:pPr>
              <w:overflowPunct w:val="0"/>
              <w:jc w:val="center"/>
              <w:rPr>
                <w:color w:val="auto"/>
                <w:kern w:val="2"/>
                <w:sz w:val="24"/>
                <w:szCs w:val="24"/>
                <w:highlight w:val="none"/>
              </w:rPr>
            </w:pPr>
          </w:p>
        </w:tc>
        <w:tc>
          <w:tcPr>
            <w:tcW w:w="812" w:type="dxa"/>
            <w:vAlign w:val="center"/>
          </w:tcPr>
          <w:p w14:paraId="781D9FCA">
            <w:pPr>
              <w:overflowPunct w:val="0"/>
              <w:jc w:val="center"/>
              <w:rPr>
                <w:color w:val="auto"/>
                <w:kern w:val="2"/>
                <w:sz w:val="24"/>
                <w:szCs w:val="24"/>
                <w:highlight w:val="none"/>
              </w:rPr>
            </w:pPr>
          </w:p>
        </w:tc>
      </w:tr>
      <w:tr w14:paraId="68F7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vAlign w:val="center"/>
          </w:tcPr>
          <w:p w14:paraId="35ACE082">
            <w:pPr>
              <w:overflowPunct w:val="0"/>
              <w:jc w:val="center"/>
              <w:rPr>
                <w:color w:val="auto"/>
                <w:kern w:val="2"/>
                <w:sz w:val="24"/>
                <w:szCs w:val="24"/>
                <w:highlight w:val="none"/>
              </w:rPr>
            </w:pPr>
            <w:r>
              <w:rPr>
                <w:color w:val="auto"/>
                <w:kern w:val="2"/>
                <w:sz w:val="24"/>
                <w:szCs w:val="24"/>
                <w:highlight w:val="none"/>
              </w:rPr>
              <w:t>2</w:t>
            </w:r>
          </w:p>
        </w:tc>
        <w:tc>
          <w:tcPr>
            <w:tcW w:w="2086" w:type="dxa"/>
            <w:vAlign w:val="center"/>
          </w:tcPr>
          <w:p w14:paraId="442DB5BD">
            <w:pPr>
              <w:overflowPunct w:val="0"/>
              <w:jc w:val="center"/>
              <w:rPr>
                <w:color w:val="auto"/>
                <w:kern w:val="2"/>
                <w:sz w:val="24"/>
                <w:szCs w:val="24"/>
                <w:highlight w:val="none"/>
              </w:rPr>
            </w:pPr>
          </w:p>
        </w:tc>
        <w:tc>
          <w:tcPr>
            <w:tcW w:w="1814" w:type="dxa"/>
            <w:vAlign w:val="center"/>
          </w:tcPr>
          <w:p w14:paraId="28A1FDAF">
            <w:pPr>
              <w:overflowPunct w:val="0"/>
              <w:jc w:val="center"/>
              <w:rPr>
                <w:color w:val="auto"/>
                <w:kern w:val="2"/>
                <w:sz w:val="24"/>
                <w:szCs w:val="24"/>
                <w:highlight w:val="none"/>
              </w:rPr>
            </w:pPr>
          </w:p>
        </w:tc>
        <w:tc>
          <w:tcPr>
            <w:tcW w:w="1798" w:type="dxa"/>
            <w:vAlign w:val="center"/>
          </w:tcPr>
          <w:p w14:paraId="698DFD3C">
            <w:pPr>
              <w:overflowPunct w:val="0"/>
              <w:jc w:val="center"/>
              <w:rPr>
                <w:color w:val="auto"/>
                <w:kern w:val="2"/>
                <w:sz w:val="24"/>
                <w:szCs w:val="24"/>
                <w:highlight w:val="none"/>
              </w:rPr>
            </w:pPr>
          </w:p>
        </w:tc>
        <w:tc>
          <w:tcPr>
            <w:tcW w:w="1798" w:type="dxa"/>
            <w:vAlign w:val="center"/>
          </w:tcPr>
          <w:p w14:paraId="0738DEC3">
            <w:pPr>
              <w:overflowPunct w:val="0"/>
              <w:jc w:val="center"/>
              <w:rPr>
                <w:color w:val="auto"/>
                <w:kern w:val="2"/>
                <w:sz w:val="24"/>
                <w:szCs w:val="24"/>
                <w:highlight w:val="none"/>
              </w:rPr>
            </w:pPr>
          </w:p>
        </w:tc>
        <w:tc>
          <w:tcPr>
            <w:tcW w:w="1735" w:type="dxa"/>
            <w:vAlign w:val="center"/>
          </w:tcPr>
          <w:p w14:paraId="2BC68AE6">
            <w:pPr>
              <w:overflowPunct w:val="0"/>
              <w:jc w:val="center"/>
              <w:rPr>
                <w:color w:val="auto"/>
                <w:kern w:val="2"/>
                <w:sz w:val="24"/>
                <w:szCs w:val="24"/>
                <w:highlight w:val="none"/>
              </w:rPr>
            </w:pPr>
          </w:p>
        </w:tc>
        <w:tc>
          <w:tcPr>
            <w:tcW w:w="812" w:type="dxa"/>
            <w:vAlign w:val="center"/>
          </w:tcPr>
          <w:p w14:paraId="7ACB6BE6">
            <w:pPr>
              <w:overflowPunct w:val="0"/>
              <w:jc w:val="center"/>
              <w:rPr>
                <w:color w:val="auto"/>
                <w:kern w:val="2"/>
                <w:sz w:val="24"/>
                <w:szCs w:val="24"/>
                <w:highlight w:val="none"/>
              </w:rPr>
            </w:pPr>
          </w:p>
        </w:tc>
      </w:tr>
      <w:tr w14:paraId="1320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vAlign w:val="center"/>
          </w:tcPr>
          <w:p w14:paraId="719D5B41">
            <w:pPr>
              <w:overflowPunct w:val="0"/>
              <w:jc w:val="center"/>
              <w:rPr>
                <w:color w:val="auto"/>
                <w:kern w:val="2"/>
                <w:sz w:val="24"/>
                <w:szCs w:val="24"/>
                <w:highlight w:val="none"/>
              </w:rPr>
            </w:pPr>
            <w:r>
              <w:rPr>
                <w:color w:val="auto"/>
                <w:kern w:val="2"/>
                <w:sz w:val="24"/>
                <w:szCs w:val="24"/>
                <w:highlight w:val="none"/>
              </w:rPr>
              <w:t>3</w:t>
            </w:r>
          </w:p>
        </w:tc>
        <w:tc>
          <w:tcPr>
            <w:tcW w:w="2086" w:type="dxa"/>
            <w:vAlign w:val="center"/>
          </w:tcPr>
          <w:p w14:paraId="3CC2D00A">
            <w:pPr>
              <w:overflowPunct w:val="0"/>
              <w:jc w:val="center"/>
              <w:rPr>
                <w:color w:val="auto"/>
                <w:kern w:val="2"/>
                <w:sz w:val="24"/>
                <w:szCs w:val="24"/>
                <w:highlight w:val="none"/>
              </w:rPr>
            </w:pPr>
          </w:p>
        </w:tc>
        <w:tc>
          <w:tcPr>
            <w:tcW w:w="1814" w:type="dxa"/>
            <w:vAlign w:val="center"/>
          </w:tcPr>
          <w:p w14:paraId="18B3DA30">
            <w:pPr>
              <w:overflowPunct w:val="0"/>
              <w:jc w:val="center"/>
              <w:rPr>
                <w:color w:val="auto"/>
                <w:kern w:val="2"/>
                <w:sz w:val="24"/>
                <w:szCs w:val="24"/>
                <w:highlight w:val="none"/>
              </w:rPr>
            </w:pPr>
          </w:p>
        </w:tc>
        <w:tc>
          <w:tcPr>
            <w:tcW w:w="1798" w:type="dxa"/>
            <w:vAlign w:val="center"/>
          </w:tcPr>
          <w:p w14:paraId="46C63303">
            <w:pPr>
              <w:overflowPunct w:val="0"/>
              <w:jc w:val="center"/>
              <w:rPr>
                <w:color w:val="auto"/>
                <w:kern w:val="2"/>
                <w:sz w:val="24"/>
                <w:szCs w:val="24"/>
                <w:highlight w:val="none"/>
              </w:rPr>
            </w:pPr>
          </w:p>
        </w:tc>
        <w:tc>
          <w:tcPr>
            <w:tcW w:w="1798" w:type="dxa"/>
            <w:vAlign w:val="center"/>
          </w:tcPr>
          <w:p w14:paraId="3C9FD02F">
            <w:pPr>
              <w:overflowPunct w:val="0"/>
              <w:jc w:val="center"/>
              <w:rPr>
                <w:color w:val="auto"/>
                <w:kern w:val="2"/>
                <w:sz w:val="24"/>
                <w:szCs w:val="24"/>
                <w:highlight w:val="none"/>
              </w:rPr>
            </w:pPr>
          </w:p>
        </w:tc>
        <w:tc>
          <w:tcPr>
            <w:tcW w:w="1735" w:type="dxa"/>
            <w:vAlign w:val="center"/>
          </w:tcPr>
          <w:p w14:paraId="5A026999">
            <w:pPr>
              <w:overflowPunct w:val="0"/>
              <w:jc w:val="center"/>
              <w:rPr>
                <w:color w:val="auto"/>
                <w:kern w:val="2"/>
                <w:sz w:val="24"/>
                <w:szCs w:val="24"/>
                <w:highlight w:val="none"/>
              </w:rPr>
            </w:pPr>
          </w:p>
        </w:tc>
        <w:tc>
          <w:tcPr>
            <w:tcW w:w="812" w:type="dxa"/>
            <w:vAlign w:val="center"/>
          </w:tcPr>
          <w:p w14:paraId="2999FA36">
            <w:pPr>
              <w:overflowPunct w:val="0"/>
              <w:jc w:val="center"/>
              <w:rPr>
                <w:color w:val="auto"/>
                <w:kern w:val="2"/>
                <w:sz w:val="24"/>
                <w:szCs w:val="24"/>
                <w:highlight w:val="none"/>
              </w:rPr>
            </w:pPr>
          </w:p>
        </w:tc>
      </w:tr>
      <w:tr w14:paraId="2E45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vAlign w:val="center"/>
          </w:tcPr>
          <w:p w14:paraId="666B058D">
            <w:pPr>
              <w:overflowPunct w:val="0"/>
              <w:jc w:val="center"/>
              <w:rPr>
                <w:color w:val="auto"/>
                <w:kern w:val="2"/>
                <w:sz w:val="24"/>
                <w:szCs w:val="24"/>
                <w:highlight w:val="none"/>
              </w:rPr>
            </w:pPr>
            <w:r>
              <w:rPr>
                <w:color w:val="auto"/>
                <w:kern w:val="2"/>
                <w:sz w:val="24"/>
                <w:szCs w:val="24"/>
                <w:highlight w:val="none"/>
              </w:rPr>
              <w:t>4</w:t>
            </w:r>
          </w:p>
        </w:tc>
        <w:tc>
          <w:tcPr>
            <w:tcW w:w="2086" w:type="dxa"/>
            <w:vAlign w:val="center"/>
          </w:tcPr>
          <w:p w14:paraId="32C0DF05">
            <w:pPr>
              <w:overflowPunct w:val="0"/>
              <w:jc w:val="center"/>
              <w:rPr>
                <w:color w:val="auto"/>
                <w:kern w:val="2"/>
                <w:sz w:val="24"/>
                <w:szCs w:val="24"/>
                <w:highlight w:val="none"/>
              </w:rPr>
            </w:pPr>
          </w:p>
        </w:tc>
        <w:tc>
          <w:tcPr>
            <w:tcW w:w="1814" w:type="dxa"/>
            <w:vAlign w:val="center"/>
          </w:tcPr>
          <w:p w14:paraId="2C3892C4">
            <w:pPr>
              <w:overflowPunct w:val="0"/>
              <w:jc w:val="center"/>
              <w:rPr>
                <w:color w:val="auto"/>
                <w:kern w:val="2"/>
                <w:sz w:val="24"/>
                <w:szCs w:val="24"/>
                <w:highlight w:val="none"/>
              </w:rPr>
            </w:pPr>
          </w:p>
        </w:tc>
        <w:tc>
          <w:tcPr>
            <w:tcW w:w="1798" w:type="dxa"/>
            <w:vAlign w:val="center"/>
          </w:tcPr>
          <w:p w14:paraId="11633BC7">
            <w:pPr>
              <w:overflowPunct w:val="0"/>
              <w:jc w:val="center"/>
              <w:rPr>
                <w:color w:val="auto"/>
                <w:kern w:val="2"/>
                <w:sz w:val="24"/>
                <w:szCs w:val="24"/>
                <w:highlight w:val="none"/>
              </w:rPr>
            </w:pPr>
          </w:p>
        </w:tc>
        <w:tc>
          <w:tcPr>
            <w:tcW w:w="1798" w:type="dxa"/>
            <w:vAlign w:val="center"/>
          </w:tcPr>
          <w:p w14:paraId="26F8FB37">
            <w:pPr>
              <w:overflowPunct w:val="0"/>
              <w:jc w:val="center"/>
              <w:rPr>
                <w:color w:val="auto"/>
                <w:kern w:val="2"/>
                <w:sz w:val="24"/>
                <w:szCs w:val="24"/>
                <w:highlight w:val="none"/>
              </w:rPr>
            </w:pPr>
          </w:p>
        </w:tc>
        <w:tc>
          <w:tcPr>
            <w:tcW w:w="1735" w:type="dxa"/>
            <w:vAlign w:val="center"/>
          </w:tcPr>
          <w:p w14:paraId="38CA301E">
            <w:pPr>
              <w:overflowPunct w:val="0"/>
              <w:jc w:val="center"/>
              <w:rPr>
                <w:color w:val="auto"/>
                <w:kern w:val="2"/>
                <w:sz w:val="24"/>
                <w:szCs w:val="24"/>
                <w:highlight w:val="none"/>
              </w:rPr>
            </w:pPr>
          </w:p>
        </w:tc>
        <w:tc>
          <w:tcPr>
            <w:tcW w:w="812" w:type="dxa"/>
            <w:vAlign w:val="center"/>
          </w:tcPr>
          <w:p w14:paraId="3FA4BF26">
            <w:pPr>
              <w:overflowPunct w:val="0"/>
              <w:jc w:val="center"/>
              <w:rPr>
                <w:color w:val="auto"/>
                <w:kern w:val="2"/>
                <w:sz w:val="24"/>
                <w:szCs w:val="24"/>
                <w:highlight w:val="none"/>
              </w:rPr>
            </w:pPr>
          </w:p>
        </w:tc>
      </w:tr>
      <w:tr w14:paraId="745E2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vAlign w:val="center"/>
          </w:tcPr>
          <w:p w14:paraId="4937C043">
            <w:pPr>
              <w:overflowPunct w:val="0"/>
              <w:jc w:val="center"/>
              <w:rPr>
                <w:color w:val="auto"/>
                <w:kern w:val="2"/>
                <w:sz w:val="24"/>
                <w:szCs w:val="24"/>
                <w:highlight w:val="none"/>
              </w:rPr>
            </w:pPr>
            <w:r>
              <w:rPr>
                <w:rFonts w:hint="eastAsia" w:ascii="宋体" w:hAnsi="宋体"/>
                <w:color w:val="auto"/>
                <w:kern w:val="2"/>
                <w:sz w:val="24"/>
                <w:szCs w:val="24"/>
                <w:highlight w:val="none"/>
              </w:rPr>
              <w:t>…</w:t>
            </w:r>
          </w:p>
        </w:tc>
        <w:tc>
          <w:tcPr>
            <w:tcW w:w="2086" w:type="dxa"/>
            <w:tcBorders>
              <w:bottom w:val="single" w:color="auto" w:sz="4" w:space="0"/>
            </w:tcBorders>
            <w:vAlign w:val="center"/>
          </w:tcPr>
          <w:p w14:paraId="7AD7B556">
            <w:pPr>
              <w:overflowPunct w:val="0"/>
              <w:jc w:val="center"/>
              <w:rPr>
                <w:color w:val="auto"/>
                <w:kern w:val="2"/>
                <w:sz w:val="24"/>
                <w:szCs w:val="24"/>
                <w:highlight w:val="none"/>
              </w:rPr>
            </w:pPr>
          </w:p>
        </w:tc>
        <w:tc>
          <w:tcPr>
            <w:tcW w:w="1814" w:type="dxa"/>
            <w:tcBorders>
              <w:bottom w:val="single" w:color="auto" w:sz="4" w:space="0"/>
            </w:tcBorders>
            <w:vAlign w:val="center"/>
          </w:tcPr>
          <w:p w14:paraId="40548CC4">
            <w:pPr>
              <w:overflowPunct w:val="0"/>
              <w:jc w:val="center"/>
              <w:rPr>
                <w:color w:val="auto"/>
                <w:kern w:val="2"/>
                <w:sz w:val="24"/>
                <w:szCs w:val="24"/>
                <w:highlight w:val="none"/>
              </w:rPr>
            </w:pPr>
          </w:p>
        </w:tc>
        <w:tc>
          <w:tcPr>
            <w:tcW w:w="1798" w:type="dxa"/>
            <w:tcBorders>
              <w:bottom w:val="single" w:color="auto" w:sz="4" w:space="0"/>
            </w:tcBorders>
            <w:vAlign w:val="center"/>
          </w:tcPr>
          <w:p w14:paraId="06A92408">
            <w:pPr>
              <w:overflowPunct w:val="0"/>
              <w:jc w:val="center"/>
              <w:rPr>
                <w:color w:val="auto"/>
                <w:kern w:val="2"/>
                <w:sz w:val="24"/>
                <w:szCs w:val="24"/>
                <w:highlight w:val="none"/>
              </w:rPr>
            </w:pPr>
          </w:p>
        </w:tc>
        <w:tc>
          <w:tcPr>
            <w:tcW w:w="1798" w:type="dxa"/>
            <w:tcBorders>
              <w:bottom w:val="single" w:color="auto" w:sz="4" w:space="0"/>
            </w:tcBorders>
            <w:vAlign w:val="center"/>
          </w:tcPr>
          <w:p w14:paraId="21D7FECE">
            <w:pPr>
              <w:overflowPunct w:val="0"/>
              <w:jc w:val="center"/>
              <w:rPr>
                <w:color w:val="auto"/>
                <w:kern w:val="2"/>
                <w:sz w:val="24"/>
                <w:szCs w:val="24"/>
                <w:highlight w:val="none"/>
              </w:rPr>
            </w:pPr>
          </w:p>
        </w:tc>
        <w:tc>
          <w:tcPr>
            <w:tcW w:w="1735" w:type="dxa"/>
            <w:tcBorders>
              <w:bottom w:val="single" w:color="auto" w:sz="4" w:space="0"/>
            </w:tcBorders>
            <w:vAlign w:val="center"/>
          </w:tcPr>
          <w:p w14:paraId="7656EBA4">
            <w:pPr>
              <w:overflowPunct w:val="0"/>
              <w:jc w:val="center"/>
              <w:rPr>
                <w:color w:val="auto"/>
                <w:kern w:val="2"/>
                <w:sz w:val="24"/>
                <w:szCs w:val="24"/>
                <w:highlight w:val="none"/>
              </w:rPr>
            </w:pPr>
          </w:p>
        </w:tc>
        <w:tc>
          <w:tcPr>
            <w:tcW w:w="812" w:type="dxa"/>
            <w:tcBorders>
              <w:bottom w:val="single" w:color="auto" w:sz="4" w:space="0"/>
            </w:tcBorders>
            <w:vAlign w:val="center"/>
          </w:tcPr>
          <w:p w14:paraId="7F9AE55D">
            <w:pPr>
              <w:overflowPunct w:val="0"/>
              <w:jc w:val="center"/>
              <w:rPr>
                <w:color w:val="auto"/>
                <w:kern w:val="2"/>
                <w:sz w:val="24"/>
                <w:szCs w:val="24"/>
                <w:highlight w:val="none"/>
              </w:rPr>
            </w:pPr>
          </w:p>
        </w:tc>
      </w:tr>
    </w:tbl>
    <w:p w14:paraId="5BB6C98D">
      <w:pPr>
        <w:spacing w:line="440" w:lineRule="exact"/>
        <w:rPr>
          <w:color w:val="auto"/>
          <w:kern w:val="2"/>
          <w:sz w:val="24"/>
          <w:szCs w:val="22"/>
          <w:highlight w:val="none"/>
        </w:rPr>
      </w:pPr>
      <w:r>
        <w:rPr>
          <w:rFonts w:ascii="Calibri" w:hAnsi="Calibri"/>
          <w:color w:val="auto"/>
          <w:kern w:val="2"/>
          <w:sz w:val="24"/>
          <w:szCs w:val="22"/>
          <w:highlight w:val="none"/>
        </w:rPr>
        <w:t>注：</w:t>
      </w:r>
      <w:r>
        <w:rPr>
          <w:rFonts w:hint="eastAsia"/>
          <w:color w:val="auto"/>
          <w:kern w:val="2"/>
          <w:sz w:val="24"/>
          <w:szCs w:val="22"/>
          <w:highlight w:val="none"/>
        </w:rPr>
        <w:t>1、</w:t>
      </w:r>
      <w:r>
        <w:rPr>
          <w:rFonts w:ascii="Calibri" w:hAnsi="Calibri"/>
          <w:bCs/>
          <w:color w:val="auto"/>
          <w:sz w:val="24"/>
          <w:szCs w:val="24"/>
          <w:highlight w:val="none"/>
        </w:rPr>
        <w:t>投标人</w:t>
      </w:r>
      <w:r>
        <w:rPr>
          <w:rFonts w:hint="eastAsia"/>
          <w:bCs/>
          <w:color w:val="auto"/>
          <w:kern w:val="2"/>
          <w:sz w:val="24"/>
          <w:szCs w:val="24"/>
          <w:highlight w:val="none"/>
        </w:rPr>
        <w:t>根据“第五章  评审因素和评分标准”要求提供相关证明材料</w:t>
      </w:r>
      <w:r>
        <w:rPr>
          <w:rFonts w:hint="eastAsia" w:ascii="Calibri" w:hAnsi="Calibri"/>
          <w:color w:val="auto"/>
          <w:kern w:val="2"/>
          <w:sz w:val="24"/>
          <w:szCs w:val="24"/>
          <w:highlight w:val="none"/>
        </w:rPr>
        <w:t>。</w:t>
      </w:r>
    </w:p>
    <w:p w14:paraId="0E5F0529">
      <w:pPr>
        <w:spacing w:line="440" w:lineRule="exact"/>
        <w:ind w:firstLine="480" w:firstLineChars="200"/>
        <w:rPr>
          <w:rFonts w:ascii="Calibri" w:hAnsi="Calibri"/>
          <w:color w:val="auto"/>
          <w:kern w:val="2"/>
          <w:sz w:val="24"/>
          <w:szCs w:val="22"/>
          <w:highlight w:val="none"/>
        </w:rPr>
      </w:pPr>
      <w:r>
        <w:rPr>
          <w:rFonts w:hint="eastAsia" w:ascii="Calibri" w:hAnsi="Calibri"/>
          <w:color w:val="auto"/>
          <w:kern w:val="2"/>
          <w:sz w:val="24"/>
          <w:szCs w:val="22"/>
          <w:highlight w:val="none"/>
        </w:rPr>
        <w:t>2</w:t>
      </w:r>
      <w:r>
        <w:rPr>
          <w:rFonts w:ascii="Calibri" w:hAnsi="Calibri"/>
          <w:color w:val="auto"/>
          <w:kern w:val="2"/>
          <w:sz w:val="24"/>
          <w:szCs w:val="22"/>
          <w:highlight w:val="none"/>
        </w:rPr>
        <w:t>、如有需要说明的事项，请在备注中列明。</w:t>
      </w:r>
    </w:p>
    <w:p w14:paraId="6E55AEB0">
      <w:pPr>
        <w:spacing w:line="440" w:lineRule="exact"/>
        <w:ind w:firstLine="480" w:firstLineChars="200"/>
        <w:rPr>
          <w:rFonts w:hint="eastAsia" w:ascii="宋体" w:hAnsi="宋体"/>
          <w:color w:val="auto"/>
          <w:kern w:val="2"/>
          <w:sz w:val="24"/>
          <w:szCs w:val="24"/>
          <w:highlight w:val="none"/>
        </w:rPr>
      </w:pPr>
      <w:r>
        <w:rPr>
          <w:rFonts w:hint="eastAsia" w:ascii="Calibri" w:hAnsi="Calibri"/>
          <w:color w:val="auto"/>
          <w:kern w:val="2"/>
          <w:sz w:val="24"/>
          <w:szCs w:val="22"/>
          <w:highlight w:val="none"/>
        </w:rPr>
        <w:t>3、我方在此声明，我方所提供的以上资料均真实和准确；我方保证上述信息的真实和准确，并愿意承担因我方就此弄虚作假所引起的一切法律后果。</w:t>
      </w:r>
    </w:p>
    <w:p w14:paraId="3F2DDEE2">
      <w:pPr>
        <w:spacing w:line="440" w:lineRule="exact"/>
        <w:jc w:val="center"/>
        <w:outlineLvl w:val="1"/>
        <w:rPr>
          <w:b/>
          <w:bCs/>
          <w:color w:val="auto"/>
          <w:sz w:val="28"/>
          <w:szCs w:val="28"/>
          <w:highlight w:val="none"/>
        </w:rPr>
      </w:pPr>
      <w:r>
        <w:rPr>
          <w:rFonts w:ascii="Calibri" w:hAnsi="Calibri"/>
          <w:color w:val="auto"/>
          <w:sz w:val="24"/>
          <w:szCs w:val="24"/>
          <w:highlight w:val="none"/>
        </w:rPr>
        <w:br w:type="page" w:clear="all"/>
      </w:r>
      <w:bookmarkStart w:id="166" w:name="_Toc27804"/>
      <w:bookmarkStart w:id="167" w:name="_Toc159856438"/>
      <w:r>
        <w:rPr>
          <w:rFonts w:hint="eastAsia"/>
          <w:b/>
          <w:bCs/>
          <w:color w:val="auto"/>
          <w:sz w:val="28"/>
          <w:szCs w:val="28"/>
          <w:highlight w:val="none"/>
        </w:rPr>
        <w:t>附件</w:t>
      </w:r>
      <w:r>
        <w:rPr>
          <w:rFonts w:hint="eastAsia"/>
          <w:b/>
          <w:bCs/>
          <w:color w:val="auto"/>
          <w:sz w:val="28"/>
          <w:szCs w:val="28"/>
          <w:highlight w:val="none"/>
          <w:lang w:val="en-US" w:eastAsia="zh-CN"/>
        </w:rPr>
        <w:t>14</w:t>
      </w:r>
      <w:r>
        <w:rPr>
          <w:rFonts w:hint="eastAsia"/>
          <w:b/>
          <w:bCs/>
          <w:color w:val="auto"/>
          <w:sz w:val="28"/>
          <w:szCs w:val="28"/>
          <w:highlight w:val="none"/>
        </w:rPr>
        <w:t>其他</w:t>
      </w:r>
      <w:bookmarkEnd w:id="166"/>
      <w:bookmarkEnd w:id="167"/>
    </w:p>
    <w:p w14:paraId="5DCC515A">
      <w:pPr>
        <w:spacing w:line="400" w:lineRule="exact"/>
        <w:ind w:firstLine="480"/>
        <w:rPr>
          <w:color w:val="auto"/>
          <w:sz w:val="24"/>
          <w:highlight w:val="none"/>
        </w:rPr>
      </w:pPr>
      <w:r>
        <w:rPr>
          <w:color w:val="auto"/>
          <w:sz w:val="24"/>
          <w:highlight w:val="none"/>
        </w:rPr>
        <w:t>1</w:t>
      </w:r>
      <w:r>
        <w:rPr>
          <w:rFonts w:hint="eastAsia"/>
          <w:color w:val="auto"/>
          <w:sz w:val="24"/>
          <w:highlight w:val="none"/>
        </w:rPr>
        <w:t>、投标人根据“</w:t>
      </w:r>
      <w:r>
        <w:rPr>
          <w:rFonts w:hint="eastAsia"/>
          <w:color w:val="auto"/>
          <w:sz w:val="24"/>
          <w:szCs w:val="24"/>
          <w:highlight w:val="none"/>
        </w:rPr>
        <w:t>第五章 评标方法与评标标准</w:t>
      </w:r>
      <w:r>
        <w:rPr>
          <w:rFonts w:hint="eastAsia"/>
          <w:color w:val="auto"/>
          <w:sz w:val="24"/>
          <w:highlight w:val="none"/>
        </w:rPr>
        <w:t>”提供相关其他证明材料。</w:t>
      </w:r>
    </w:p>
    <w:p w14:paraId="7EF4A4A5">
      <w:pPr>
        <w:widowControl/>
        <w:jc w:val="center"/>
        <w:rPr>
          <w:color w:val="auto"/>
          <w:sz w:val="24"/>
          <w:highlight w:val="none"/>
        </w:rPr>
      </w:pPr>
      <w:r>
        <w:rPr>
          <w:color w:val="auto"/>
          <w:sz w:val="24"/>
          <w:highlight w:val="none"/>
        </w:rPr>
        <w:br w:type="page"/>
      </w:r>
      <w:r>
        <w:rPr>
          <w:rFonts w:hint="eastAsia" w:ascii="宋体" w:hAnsi="宋体" w:cs="仿宋"/>
          <w:b/>
          <w:bCs/>
          <w:color w:val="auto"/>
          <w:sz w:val="32"/>
          <w:szCs w:val="32"/>
          <w:highlight w:val="none"/>
        </w:rPr>
        <w:t>质疑函范本</w:t>
      </w:r>
    </w:p>
    <w:p w14:paraId="0A5D4A2D">
      <w:pPr>
        <w:adjustRightInd w:val="0"/>
        <w:snapToGrid w:val="0"/>
        <w:spacing w:before="240" w:beforeLines="100"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37F35A1E">
      <w:pPr>
        <w:adjustRightInd w:val="0"/>
        <w:snapToGrid w:val="0"/>
        <w:spacing w:line="360" w:lineRule="auto"/>
        <w:rPr>
          <w:rFonts w:hint="eastAsia" w:ascii="宋体" w:hAnsi="宋体" w:cs="仿宋"/>
          <w:color w:val="auto"/>
          <w:sz w:val="24"/>
          <w:szCs w:val="24"/>
          <w:highlight w:val="none"/>
          <w:u w:val="dotted"/>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dotted"/>
        </w:rPr>
        <w:t xml:space="preserve">                                                              </w:t>
      </w:r>
    </w:p>
    <w:p w14:paraId="0DD50C77">
      <w:pPr>
        <w:adjustRightInd w:val="0"/>
        <w:snapToGrid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414BE35C">
      <w:pPr>
        <w:adjustRightInd w:val="0"/>
        <w:snapToGrid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175E07C2">
      <w:pPr>
        <w:adjustRightInd w:val="0"/>
        <w:snapToGrid w:val="0"/>
        <w:spacing w:line="360" w:lineRule="auto"/>
        <w:rPr>
          <w:rFonts w:hint="eastAsia" w:ascii="宋体" w:hAnsi="宋体" w:cs="仿宋"/>
          <w:color w:val="auto"/>
          <w:sz w:val="24"/>
          <w:szCs w:val="24"/>
          <w:highlight w:val="none"/>
          <w:u w:val="dotted"/>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dotted"/>
        </w:rPr>
        <w:t xml:space="preserve">                                                                 </w:t>
      </w:r>
    </w:p>
    <w:p w14:paraId="0D5C4DF5">
      <w:pPr>
        <w:adjustRightInd w:val="0"/>
        <w:snapToGrid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2927777D">
      <w:pPr>
        <w:adjustRightInd w:val="0"/>
        <w:snapToGrid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6A1FB4D3">
      <w:pPr>
        <w:adjustRightInd w:val="0"/>
        <w:snapToGrid w:val="0"/>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5D68E841">
      <w:pPr>
        <w:adjustRightInd w:val="0"/>
        <w:snapToGrid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dotted"/>
        </w:rPr>
        <w:t xml:space="preserve">                                                          </w:t>
      </w:r>
    </w:p>
    <w:p w14:paraId="1CA2EB25">
      <w:pPr>
        <w:adjustRightInd w:val="0"/>
        <w:snapToGrid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dotted"/>
        </w:rPr>
        <w:t xml:space="preserve">                           </w:t>
      </w:r>
    </w:p>
    <w:p w14:paraId="3123A2A4">
      <w:pPr>
        <w:adjustRightInd w:val="0"/>
        <w:snapToGrid w:val="0"/>
        <w:spacing w:line="360" w:lineRule="auto"/>
        <w:rPr>
          <w:rFonts w:hint="eastAsia" w:ascii="宋体" w:hAnsi="宋体" w:cs="仿宋"/>
          <w:color w:val="auto"/>
          <w:sz w:val="24"/>
          <w:szCs w:val="24"/>
          <w:highlight w:val="none"/>
          <w:u w:val="dotted"/>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dotted"/>
        </w:rPr>
        <w:t xml:space="preserve">                                                              </w:t>
      </w:r>
    </w:p>
    <w:p w14:paraId="3F2329E5">
      <w:pPr>
        <w:adjustRightInd w:val="0"/>
        <w:snapToGrid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dotted"/>
        </w:rPr>
        <w:t xml:space="preserve">                                                        </w:t>
      </w:r>
    </w:p>
    <w:p w14:paraId="430B187F">
      <w:pPr>
        <w:adjustRightInd w:val="0"/>
        <w:snapToGrid w:val="0"/>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1BB7A5F8">
      <w:pPr>
        <w:adjustRightInd w:val="0"/>
        <w:snapToGrid w:val="0"/>
        <w:spacing w:line="360" w:lineRule="auto"/>
        <w:rPr>
          <w:rFonts w:hint="eastAsia" w:ascii="宋体" w:hAnsi="宋体" w:cs="仿宋"/>
          <w:color w:val="auto"/>
          <w:sz w:val="24"/>
          <w:szCs w:val="24"/>
          <w:highlight w:val="none"/>
          <w:u w:val="dotted"/>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dotted"/>
        </w:rPr>
        <w:t xml:space="preserve">                                                              </w:t>
      </w:r>
    </w:p>
    <w:p w14:paraId="6F66C8CC">
      <w:pPr>
        <w:adjustRightInd w:val="0"/>
        <w:snapToGrid w:val="0"/>
        <w:spacing w:line="360" w:lineRule="auto"/>
        <w:rPr>
          <w:rFonts w:hint="eastAsia" w:ascii="宋体" w:hAnsi="宋体" w:cs="仿宋"/>
          <w:color w:val="auto"/>
          <w:sz w:val="24"/>
          <w:szCs w:val="24"/>
          <w:highlight w:val="none"/>
          <w:u w:val="dotted"/>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dotted"/>
        </w:rPr>
        <w:t xml:space="preserve">                                                                </w:t>
      </w:r>
    </w:p>
    <w:p w14:paraId="553232AB">
      <w:pPr>
        <w:adjustRightInd w:val="0"/>
        <w:snapToGrid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dotted"/>
        </w:rPr>
        <w:t xml:space="preserve">                                                                           </w:t>
      </w:r>
    </w:p>
    <w:p w14:paraId="01CEAE01">
      <w:pPr>
        <w:adjustRightInd w:val="0"/>
        <w:snapToGrid w:val="0"/>
        <w:spacing w:line="360" w:lineRule="auto"/>
        <w:rPr>
          <w:rFonts w:hint="eastAsia" w:ascii="宋体" w:hAnsi="宋体" w:cs="仿宋"/>
          <w:color w:val="auto"/>
          <w:sz w:val="24"/>
          <w:szCs w:val="24"/>
          <w:highlight w:val="none"/>
          <w:u w:val="dotted"/>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dotted"/>
        </w:rPr>
        <w:t xml:space="preserve">                                                                 </w:t>
      </w:r>
    </w:p>
    <w:p w14:paraId="70F614B5">
      <w:pPr>
        <w:adjustRightInd w:val="0"/>
        <w:snapToGrid w:val="0"/>
        <w:spacing w:line="360" w:lineRule="auto"/>
        <w:rPr>
          <w:rFonts w:hint="eastAsia" w:ascii="宋体" w:hAnsi="宋体" w:cs="仿宋"/>
          <w:color w:val="auto"/>
          <w:sz w:val="24"/>
          <w:szCs w:val="24"/>
          <w:highlight w:val="none"/>
          <w:u w:val="dotted"/>
        </w:rPr>
      </w:pPr>
      <w:r>
        <w:rPr>
          <w:rFonts w:hint="eastAsia" w:ascii="宋体" w:hAnsi="宋体" w:cs="仿宋"/>
          <w:color w:val="auto"/>
          <w:sz w:val="24"/>
          <w:szCs w:val="24"/>
          <w:highlight w:val="none"/>
          <w:u w:val="dotted"/>
        </w:rPr>
        <w:t xml:space="preserve">                                                                           </w:t>
      </w:r>
    </w:p>
    <w:p w14:paraId="2B855460">
      <w:pPr>
        <w:adjustRightInd w:val="0"/>
        <w:snapToGrid w:val="0"/>
        <w:spacing w:line="360" w:lineRule="auto"/>
        <w:rPr>
          <w:rFonts w:hint="eastAsia" w:ascii="宋体" w:hAnsi="宋体" w:cs="仿宋"/>
          <w:color w:val="auto"/>
          <w:sz w:val="24"/>
          <w:szCs w:val="24"/>
          <w:highlight w:val="none"/>
          <w:u w:val="dotted"/>
        </w:rPr>
      </w:pPr>
      <w:r>
        <w:rPr>
          <w:rFonts w:hint="eastAsia" w:ascii="宋体" w:hAnsi="宋体" w:cs="仿宋"/>
          <w:color w:val="auto"/>
          <w:sz w:val="24"/>
          <w:szCs w:val="24"/>
          <w:highlight w:val="none"/>
        </w:rPr>
        <w:t>质疑事项2</w:t>
      </w:r>
    </w:p>
    <w:p w14:paraId="3502B194">
      <w:pPr>
        <w:adjustRightInd w:val="0"/>
        <w:snapToGrid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w:t>
      </w:r>
    </w:p>
    <w:p w14:paraId="43635847">
      <w:pPr>
        <w:adjustRightInd w:val="0"/>
        <w:snapToGrid w:val="0"/>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553E69A4">
      <w:pPr>
        <w:adjustRightInd w:val="0"/>
        <w:snapToGrid w:val="0"/>
        <w:spacing w:line="360" w:lineRule="auto"/>
        <w:rPr>
          <w:rFonts w:hint="eastAsia" w:ascii="宋体" w:hAnsi="宋体" w:cs="仿宋"/>
          <w:color w:val="auto"/>
          <w:sz w:val="24"/>
          <w:szCs w:val="24"/>
          <w:highlight w:val="none"/>
          <w:u w:val="dotted"/>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dotted"/>
        </w:rPr>
        <w:t xml:space="preserve">                                                                     </w:t>
      </w:r>
    </w:p>
    <w:p w14:paraId="5667AE37">
      <w:pPr>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p>
    <w:p w14:paraId="62935490">
      <w:pPr>
        <w:rPr>
          <w:rFonts w:hint="eastAsia" w:ascii="宋体" w:hAnsi="宋体"/>
          <w:color w:val="auto"/>
          <w:sz w:val="24"/>
          <w:szCs w:val="24"/>
          <w:highlight w:val="none"/>
        </w:rPr>
      </w:pPr>
      <w:r>
        <w:rPr>
          <w:rFonts w:hint="eastAsia" w:ascii="宋体" w:hAnsi="宋体"/>
          <w:color w:val="auto"/>
          <w:sz w:val="24"/>
          <w:szCs w:val="24"/>
          <w:highlight w:val="none"/>
        </w:rPr>
        <w:t xml:space="preserve">日期：    </w:t>
      </w:r>
    </w:p>
    <w:p w14:paraId="491FF752">
      <w:pPr>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质疑函制作说明：</w:t>
      </w:r>
    </w:p>
    <w:p w14:paraId="6A5FEAEA">
      <w:pPr>
        <w:widowControl/>
        <w:spacing w:line="44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1.供应商提出质疑时，应提交质疑函和必要的证明材料（线上获取采购文件后的</w:t>
      </w:r>
      <w:r>
        <w:rPr>
          <w:color w:val="auto"/>
          <w:sz w:val="24"/>
          <w:szCs w:val="24"/>
          <w:highlight w:val="none"/>
        </w:rPr>
        <w:t>《投标供应商确认函》</w:t>
      </w:r>
      <w:r>
        <w:rPr>
          <w:rFonts w:hint="eastAsia" w:ascii="宋体" w:hAnsi="宋体"/>
          <w:color w:val="auto"/>
          <w:sz w:val="24"/>
          <w:szCs w:val="24"/>
          <w:highlight w:val="none"/>
        </w:rPr>
        <w:t>、质疑供应商的营业执照复印件等）。</w:t>
      </w:r>
    </w:p>
    <w:p w14:paraId="7CC402F3">
      <w:pPr>
        <w:widowControl/>
        <w:spacing w:line="44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06B20C5B">
      <w:pPr>
        <w:widowControl/>
        <w:spacing w:line="44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7790BE12">
      <w:pPr>
        <w:widowControl/>
        <w:spacing w:line="44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06D8AF87">
      <w:pPr>
        <w:widowControl/>
        <w:spacing w:line="44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41D2929A">
      <w:pPr>
        <w:widowControl/>
        <w:spacing w:line="44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21C7068E">
      <w:pPr>
        <w:jc w:val="center"/>
        <w:rPr>
          <w:color w:val="auto"/>
          <w:highlight w:val="none"/>
        </w:rPr>
      </w:pPr>
    </w:p>
    <w:p w14:paraId="6B532D08">
      <w:pPr>
        <w:spacing w:line="400" w:lineRule="exact"/>
        <w:ind w:firstLine="480"/>
        <w:rPr>
          <w:color w:val="auto"/>
          <w:sz w:val="24"/>
          <w:szCs w:val="24"/>
          <w:highlight w:val="none"/>
        </w:rPr>
      </w:pPr>
    </w:p>
    <w:p w14:paraId="70F375A1">
      <w:pPr>
        <w:spacing w:line="440" w:lineRule="exact"/>
        <w:ind w:firstLine="3735"/>
        <w:rPr>
          <w:b/>
          <w:color w:val="auto"/>
          <w:sz w:val="24"/>
          <w:szCs w:val="24"/>
          <w:highlight w:val="none"/>
        </w:rPr>
      </w:pPr>
    </w:p>
    <w:p w14:paraId="4C1CA3CC">
      <w:pPr>
        <w:rPr>
          <w:color w:val="auto"/>
          <w:sz w:val="24"/>
          <w:szCs w:val="24"/>
          <w:highlight w:val="none"/>
        </w:rPr>
      </w:pPr>
    </w:p>
    <w:p w14:paraId="711645A7">
      <w:pPr>
        <w:rPr>
          <w:color w:val="auto"/>
          <w:sz w:val="24"/>
          <w:szCs w:val="24"/>
          <w:highlight w:val="none"/>
        </w:rPr>
      </w:pPr>
    </w:p>
    <w:p w14:paraId="502AD2E6">
      <w:pPr>
        <w:rPr>
          <w:color w:val="auto"/>
          <w:sz w:val="24"/>
          <w:szCs w:val="24"/>
          <w:highlight w:val="none"/>
        </w:rPr>
      </w:pPr>
    </w:p>
    <w:p w14:paraId="3D040E7C">
      <w:pPr>
        <w:rPr>
          <w:color w:val="auto"/>
          <w:sz w:val="24"/>
          <w:szCs w:val="24"/>
          <w:highlight w:val="none"/>
        </w:rPr>
      </w:pPr>
    </w:p>
    <w:p w14:paraId="79C03B22">
      <w:pPr>
        <w:rPr>
          <w:color w:val="auto"/>
          <w:sz w:val="24"/>
          <w:szCs w:val="24"/>
          <w:highlight w:val="none"/>
        </w:rPr>
      </w:pPr>
    </w:p>
    <w:p w14:paraId="260A83A2">
      <w:pPr>
        <w:rPr>
          <w:color w:val="auto"/>
          <w:sz w:val="24"/>
          <w:szCs w:val="24"/>
          <w:highlight w:val="none"/>
        </w:rPr>
      </w:pPr>
    </w:p>
    <w:p w14:paraId="53906A32">
      <w:pPr>
        <w:rPr>
          <w:color w:val="auto"/>
          <w:sz w:val="24"/>
          <w:szCs w:val="24"/>
          <w:highlight w:val="none"/>
        </w:rPr>
      </w:pPr>
    </w:p>
    <w:p w14:paraId="46573359">
      <w:pPr>
        <w:rPr>
          <w:color w:val="auto"/>
          <w:sz w:val="24"/>
          <w:szCs w:val="24"/>
          <w:highlight w:val="none"/>
        </w:rPr>
      </w:pPr>
    </w:p>
    <w:p w14:paraId="7D3CB704">
      <w:pPr>
        <w:rPr>
          <w:color w:val="auto"/>
          <w:sz w:val="24"/>
          <w:szCs w:val="24"/>
          <w:highlight w:val="none"/>
        </w:rPr>
      </w:pPr>
    </w:p>
    <w:p w14:paraId="25F7B2BE">
      <w:pPr>
        <w:rPr>
          <w:color w:val="auto"/>
          <w:sz w:val="24"/>
          <w:szCs w:val="24"/>
          <w:highlight w:val="none"/>
        </w:rPr>
      </w:pPr>
    </w:p>
    <w:p w14:paraId="166425EB">
      <w:pPr>
        <w:rPr>
          <w:color w:val="auto"/>
          <w:sz w:val="24"/>
          <w:szCs w:val="24"/>
          <w:highlight w:val="none"/>
        </w:rPr>
      </w:pPr>
    </w:p>
    <w:p w14:paraId="38C1B44E">
      <w:pPr>
        <w:rPr>
          <w:color w:val="auto"/>
          <w:sz w:val="24"/>
          <w:szCs w:val="24"/>
          <w:highlight w:val="none"/>
        </w:rPr>
      </w:pPr>
    </w:p>
    <w:p w14:paraId="73BC39CE">
      <w:pPr>
        <w:rPr>
          <w:color w:val="auto"/>
          <w:sz w:val="24"/>
          <w:szCs w:val="24"/>
          <w:highlight w:val="none"/>
        </w:rPr>
      </w:pPr>
    </w:p>
    <w:p w14:paraId="55A8FB66">
      <w:pPr>
        <w:rPr>
          <w:color w:val="auto"/>
          <w:sz w:val="24"/>
          <w:szCs w:val="24"/>
          <w:highlight w:val="none"/>
        </w:rPr>
      </w:pPr>
    </w:p>
    <w:p w14:paraId="6DC23E12">
      <w:pPr>
        <w:rPr>
          <w:color w:val="auto"/>
          <w:sz w:val="24"/>
          <w:szCs w:val="24"/>
          <w:highlight w:val="none"/>
        </w:rPr>
      </w:pPr>
    </w:p>
    <w:p w14:paraId="19725B4A">
      <w:pPr>
        <w:rPr>
          <w:color w:val="auto"/>
          <w:sz w:val="24"/>
          <w:szCs w:val="24"/>
          <w:highlight w:val="none"/>
        </w:rPr>
      </w:pPr>
    </w:p>
    <w:p w14:paraId="4B7664C5">
      <w:pPr>
        <w:rPr>
          <w:color w:val="auto"/>
          <w:sz w:val="24"/>
          <w:szCs w:val="24"/>
          <w:highlight w:val="none"/>
        </w:rPr>
      </w:pPr>
    </w:p>
    <w:p w14:paraId="07664E54">
      <w:pPr>
        <w:rPr>
          <w:color w:val="auto"/>
          <w:sz w:val="24"/>
          <w:szCs w:val="24"/>
          <w:highlight w:val="none"/>
        </w:rPr>
      </w:pPr>
    </w:p>
    <w:p w14:paraId="3C724CD6">
      <w:pPr>
        <w:rPr>
          <w:color w:val="auto"/>
          <w:sz w:val="24"/>
          <w:szCs w:val="24"/>
          <w:highlight w:val="none"/>
        </w:rPr>
      </w:pPr>
    </w:p>
    <w:p w14:paraId="2E8F8F10">
      <w:pPr>
        <w:rPr>
          <w:color w:val="auto"/>
          <w:sz w:val="24"/>
          <w:szCs w:val="24"/>
          <w:highlight w:val="none"/>
        </w:rPr>
      </w:pPr>
    </w:p>
    <w:p w14:paraId="700BFA0F">
      <w:pPr>
        <w:rPr>
          <w:color w:val="auto"/>
          <w:sz w:val="24"/>
          <w:szCs w:val="24"/>
          <w:highlight w:val="none"/>
        </w:rPr>
      </w:pPr>
    </w:p>
    <w:p w14:paraId="0AA9BDEB">
      <w:pPr>
        <w:rPr>
          <w:color w:val="auto"/>
          <w:sz w:val="24"/>
          <w:szCs w:val="24"/>
          <w:highlight w:val="none"/>
        </w:rPr>
      </w:pPr>
    </w:p>
    <w:p w14:paraId="4AC6A183">
      <w:pPr>
        <w:rPr>
          <w:color w:val="auto"/>
          <w:sz w:val="24"/>
          <w:szCs w:val="24"/>
          <w:highlight w:val="none"/>
        </w:rPr>
      </w:pPr>
    </w:p>
    <w:p w14:paraId="43D1F08E">
      <w:pPr>
        <w:rPr>
          <w:color w:val="auto"/>
          <w:sz w:val="24"/>
          <w:szCs w:val="24"/>
          <w:highlight w:val="none"/>
        </w:rPr>
      </w:pPr>
    </w:p>
    <w:p w14:paraId="526F16CC">
      <w:pPr>
        <w:rPr>
          <w:color w:val="auto"/>
          <w:sz w:val="24"/>
          <w:szCs w:val="24"/>
          <w:highlight w:val="none"/>
        </w:rPr>
      </w:pPr>
    </w:p>
    <w:p w14:paraId="16295498">
      <w:pPr>
        <w:rPr>
          <w:color w:val="auto"/>
          <w:sz w:val="24"/>
          <w:szCs w:val="24"/>
          <w:highlight w:val="none"/>
        </w:rPr>
      </w:pPr>
    </w:p>
    <w:p w14:paraId="516F9AE5">
      <w:pPr>
        <w:rPr>
          <w:color w:val="auto"/>
          <w:sz w:val="24"/>
          <w:szCs w:val="24"/>
          <w:highlight w:val="none"/>
        </w:rPr>
      </w:pPr>
    </w:p>
    <w:p w14:paraId="37BC23E1">
      <w:pPr>
        <w:rPr>
          <w:color w:val="auto"/>
          <w:sz w:val="24"/>
          <w:szCs w:val="24"/>
          <w:highlight w:val="none"/>
        </w:rPr>
      </w:pPr>
    </w:p>
    <w:p w14:paraId="29BD8BF7">
      <w:pPr>
        <w:rPr>
          <w:color w:val="auto"/>
          <w:sz w:val="24"/>
          <w:szCs w:val="24"/>
          <w:highlight w:val="none"/>
        </w:rPr>
      </w:pPr>
    </w:p>
    <w:p w14:paraId="4C0C4F65">
      <w:pPr>
        <w:rPr>
          <w:color w:val="auto"/>
          <w:sz w:val="24"/>
          <w:szCs w:val="24"/>
          <w:highlight w:val="none"/>
        </w:rPr>
      </w:pPr>
    </w:p>
    <w:p w14:paraId="57CDB04B">
      <w:pPr>
        <w:rPr>
          <w:color w:val="auto"/>
          <w:sz w:val="24"/>
          <w:szCs w:val="24"/>
          <w:highlight w:val="none"/>
        </w:rPr>
      </w:pPr>
    </w:p>
    <w:p w14:paraId="2464293D">
      <w:pPr>
        <w:rPr>
          <w:color w:val="auto"/>
          <w:sz w:val="24"/>
          <w:szCs w:val="24"/>
          <w:highlight w:val="none"/>
        </w:rPr>
      </w:pPr>
    </w:p>
    <w:p w14:paraId="50FDB04D">
      <w:pPr>
        <w:rPr>
          <w:color w:val="auto"/>
          <w:sz w:val="24"/>
          <w:szCs w:val="24"/>
          <w:highlight w:val="none"/>
        </w:rPr>
      </w:pPr>
    </w:p>
    <w:p w14:paraId="45B92EA3">
      <w:pPr>
        <w:rPr>
          <w:color w:val="auto"/>
          <w:sz w:val="24"/>
          <w:szCs w:val="24"/>
          <w:highlight w:val="none"/>
        </w:rPr>
      </w:pPr>
    </w:p>
    <w:p w14:paraId="47C6B086">
      <w:pPr>
        <w:rPr>
          <w:color w:val="auto"/>
          <w:sz w:val="24"/>
          <w:szCs w:val="24"/>
          <w:highlight w:val="none"/>
        </w:rPr>
      </w:pPr>
    </w:p>
    <w:p w14:paraId="361BD1D0">
      <w:pPr>
        <w:rPr>
          <w:color w:val="auto"/>
          <w:sz w:val="24"/>
          <w:szCs w:val="24"/>
          <w:highlight w:val="none"/>
        </w:rPr>
      </w:pPr>
    </w:p>
    <w:p w14:paraId="784F5BD4">
      <w:pPr>
        <w:rPr>
          <w:color w:val="auto"/>
          <w:sz w:val="24"/>
          <w:szCs w:val="24"/>
          <w:highlight w:val="none"/>
        </w:rPr>
      </w:pPr>
    </w:p>
    <w:p w14:paraId="0D20679E">
      <w:pPr>
        <w:rPr>
          <w:color w:val="auto"/>
          <w:sz w:val="24"/>
          <w:szCs w:val="24"/>
          <w:highlight w:val="none"/>
        </w:rPr>
      </w:pPr>
    </w:p>
    <w:p w14:paraId="71074335">
      <w:pPr>
        <w:rPr>
          <w:color w:val="auto"/>
          <w:sz w:val="24"/>
          <w:szCs w:val="24"/>
          <w:highlight w:val="none"/>
        </w:rPr>
      </w:pPr>
    </w:p>
    <w:p w14:paraId="25686527">
      <w:pPr>
        <w:tabs>
          <w:tab w:val="left" w:pos="5372"/>
        </w:tabs>
        <w:rPr>
          <w:color w:val="auto"/>
          <w:sz w:val="24"/>
          <w:szCs w:val="24"/>
          <w:highlight w:val="none"/>
        </w:rPr>
      </w:pPr>
      <w:r>
        <w:rPr>
          <w:color w:val="auto"/>
          <w:sz w:val="24"/>
          <w:szCs w:val="24"/>
          <w:highlight w:val="none"/>
        </w:rPr>
        <w:tab/>
      </w:r>
    </w:p>
    <w:sectPr>
      <w:footerReference r:id="rId7" w:type="first"/>
      <w:footerReference r:id="rId6" w:type="default"/>
      <w:pgSz w:w="11907" w:h="16840"/>
      <w:pgMar w:top="1134" w:right="882" w:bottom="1134" w:left="1365" w:header="567" w:footer="794"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64329">
    <w:pPr>
      <w:pStyle w:val="3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BAA77">
    <w:pPr>
      <w:pStyle w:val="35"/>
      <w:framePr w:wrap="around" w:vAnchor="text" w:hAnchor="margin" w:xAlign="right" w:y="1"/>
      <w:rPr>
        <w:rStyle w:val="61"/>
      </w:rPr>
    </w:pPr>
    <w:r>
      <w:fldChar w:fldCharType="begin"/>
    </w:r>
    <w:r>
      <w:rPr>
        <w:rStyle w:val="61"/>
      </w:rPr>
      <w:instrText xml:space="preserve">PAGE  </w:instrText>
    </w:r>
    <w:r>
      <w:fldChar w:fldCharType="separate"/>
    </w:r>
    <w:r>
      <w:rPr>
        <w:rStyle w:val="61"/>
      </w:rPr>
      <w:t>16</w:t>
    </w:r>
    <w:r>
      <w:fldChar w:fldCharType="end"/>
    </w:r>
  </w:p>
  <w:p w14:paraId="01375C05">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E2197">
    <w:pPr>
      <w:pStyle w:val="35"/>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A02875">
                          <w:pPr>
                            <w:pStyle w:val="3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AA02875">
                    <w:pPr>
                      <w:pStyle w:val="3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8CDD7">
    <w:pPr>
      <w:pStyle w:val="3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0F3779">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40F3779">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A902E">
    <w:pPr>
      <w:pStyle w:val="36"/>
      <w:jc w:val="both"/>
      <w:rPr>
        <w:rFonts w:hint="eastAsia" w:ascii="宋体" w:hAnsi="宋体"/>
        <w:color w:val="808080"/>
        <w:spacing w:val="6"/>
        <w:sz w:val="21"/>
      </w:rPr>
    </w:pPr>
    <w:r>
      <w:rPr>
        <w:rFonts w:hint="eastAsia" w:ascii="宋体" w:hAnsi="宋体"/>
        <w:bCs/>
        <w:color w:val="808080"/>
        <w:spacing w:val="6"/>
      </w:rPr>
      <w:t>常熟虞东招标代理有限公司招标文件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573F09"/>
    <w:multiLevelType w:val="multilevel"/>
    <w:tmpl w:val="04573F09"/>
    <w:lvl w:ilvl="0" w:tentative="0">
      <w:start w:val="1"/>
      <w:numFmt w:val="decimal"/>
      <w:pStyle w:val="275"/>
      <w:lvlText w:val="表%1："/>
      <w:lvlJc w:val="left"/>
      <w:pPr>
        <w:ind w:left="900" w:hanging="420"/>
      </w:pPr>
      <w:rPr>
        <w:rFonts w:hint="eastAsia"/>
        <w:b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2255558A"/>
    <w:multiLevelType w:val="multilevel"/>
    <w:tmpl w:val="2255558A"/>
    <w:lvl w:ilvl="0" w:tentative="0">
      <w:start w:val="1"/>
      <w:numFmt w:val="decimal"/>
      <w:pStyle w:val="27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000000"/>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CFB5E83"/>
    <w:multiLevelType w:val="multilevel"/>
    <w:tmpl w:val="2CFB5E83"/>
    <w:lvl w:ilvl="0" w:tentative="0">
      <w:start w:val="1"/>
      <w:numFmt w:val="decimal"/>
      <w:pStyle w:val="259"/>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B3D6492"/>
    <w:multiLevelType w:val="singleLevel"/>
    <w:tmpl w:val="3B3D6492"/>
    <w:lvl w:ilvl="0" w:tentative="0">
      <w:start w:val="2"/>
      <w:numFmt w:val="decimal"/>
      <w:suff w:val="nothing"/>
      <w:lvlText w:val="%1、"/>
      <w:lvlJc w:val="left"/>
    </w:lvl>
  </w:abstractNum>
  <w:abstractNum w:abstractNumId="4">
    <w:nsid w:val="68776058"/>
    <w:multiLevelType w:val="multilevel"/>
    <w:tmpl w:val="68776058"/>
    <w:lvl w:ilvl="0" w:tentative="0">
      <w:start w:val="1"/>
      <w:numFmt w:val="decimal"/>
      <w:pStyle w:val="265"/>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048"/>
    <w:rsid w:val="00000A02"/>
    <w:rsid w:val="00005713"/>
    <w:rsid w:val="0001037F"/>
    <w:rsid w:val="00017677"/>
    <w:rsid w:val="00017E34"/>
    <w:rsid w:val="00017F04"/>
    <w:rsid w:val="00020E8D"/>
    <w:rsid w:val="00021F77"/>
    <w:rsid w:val="00022A50"/>
    <w:rsid w:val="00023320"/>
    <w:rsid w:val="000237BE"/>
    <w:rsid w:val="000243C0"/>
    <w:rsid w:val="0002560F"/>
    <w:rsid w:val="00025EC4"/>
    <w:rsid w:val="00026874"/>
    <w:rsid w:val="00027BAF"/>
    <w:rsid w:val="00031E0C"/>
    <w:rsid w:val="000331FB"/>
    <w:rsid w:val="0003323D"/>
    <w:rsid w:val="0003374E"/>
    <w:rsid w:val="0003445C"/>
    <w:rsid w:val="00034E08"/>
    <w:rsid w:val="00036992"/>
    <w:rsid w:val="00037B03"/>
    <w:rsid w:val="00040BE7"/>
    <w:rsid w:val="00041D0F"/>
    <w:rsid w:val="00043A77"/>
    <w:rsid w:val="000440BC"/>
    <w:rsid w:val="000441C8"/>
    <w:rsid w:val="00044466"/>
    <w:rsid w:val="0004633B"/>
    <w:rsid w:val="00050DA1"/>
    <w:rsid w:val="0005551C"/>
    <w:rsid w:val="00056794"/>
    <w:rsid w:val="00056BCC"/>
    <w:rsid w:val="00062EA8"/>
    <w:rsid w:val="00066E32"/>
    <w:rsid w:val="00070A70"/>
    <w:rsid w:val="000712B0"/>
    <w:rsid w:val="00071FF8"/>
    <w:rsid w:val="00072369"/>
    <w:rsid w:val="0007437E"/>
    <w:rsid w:val="000769F5"/>
    <w:rsid w:val="00076A71"/>
    <w:rsid w:val="00077025"/>
    <w:rsid w:val="0007772B"/>
    <w:rsid w:val="00082D4A"/>
    <w:rsid w:val="00084088"/>
    <w:rsid w:val="000864F4"/>
    <w:rsid w:val="0009062D"/>
    <w:rsid w:val="000918A2"/>
    <w:rsid w:val="00094E70"/>
    <w:rsid w:val="00095D37"/>
    <w:rsid w:val="000A1B85"/>
    <w:rsid w:val="000A315E"/>
    <w:rsid w:val="000A485C"/>
    <w:rsid w:val="000A68B4"/>
    <w:rsid w:val="000A69D7"/>
    <w:rsid w:val="000A7481"/>
    <w:rsid w:val="000B396F"/>
    <w:rsid w:val="000B44D3"/>
    <w:rsid w:val="000B6599"/>
    <w:rsid w:val="000B6739"/>
    <w:rsid w:val="000B67EF"/>
    <w:rsid w:val="000B691A"/>
    <w:rsid w:val="000C1C54"/>
    <w:rsid w:val="000C1DF6"/>
    <w:rsid w:val="000C32A4"/>
    <w:rsid w:val="000C3FE1"/>
    <w:rsid w:val="000C6338"/>
    <w:rsid w:val="000C6B2A"/>
    <w:rsid w:val="000C6CC9"/>
    <w:rsid w:val="000D67D7"/>
    <w:rsid w:val="000D6A8E"/>
    <w:rsid w:val="000D7060"/>
    <w:rsid w:val="000E0438"/>
    <w:rsid w:val="000E1FC2"/>
    <w:rsid w:val="000E27D5"/>
    <w:rsid w:val="000E2C55"/>
    <w:rsid w:val="000E3EC3"/>
    <w:rsid w:val="000E5A2E"/>
    <w:rsid w:val="000F2366"/>
    <w:rsid w:val="000F54EA"/>
    <w:rsid w:val="000F6249"/>
    <w:rsid w:val="000F75CC"/>
    <w:rsid w:val="0010068B"/>
    <w:rsid w:val="00102375"/>
    <w:rsid w:val="00103109"/>
    <w:rsid w:val="00103E7F"/>
    <w:rsid w:val="001046DF"/>
    <w:rsid w:val="00104D8D"/>
    <w:rsid w:val="00105F4A"/>
    <w:rsid w:val="00105F64"/>
    <w:rsid w:val="00106813"/>
    <w:rsid w:val="00106ED9"/>
    <w:rsid w:val="00107286"/>
    <w:rsid w:val="0011142B"/>
    <w:rsid w:val="00112F63"/>
    <w:rsid w:val="00113340"/>
    <w:rsid w:val="0011345F"/>
    <w:rsid w:val="001153B3"/>
    <w:rsid w:val="00115DEA"/>
    <w:rsid w:val="00117EF6"/>
    <w:rsid w:val="0012097E"/>
    <w:rsid w:val="00120CD1"/>
    <w:rsid w:val="00122C48"/>
    <w:rsid w:val="001233EF"/>
    <w:rsid w:val="001245C4"/>
    <w:rsid w:val="00124E86"/>
    <w:rsid w:val="00133263"/>
    <w:rsid w:val="00134016"/>
    <w:rsid w:val="0013545B"/>
    <w:rsid w:val="00142CCE"/>
    <w:rsid w:val="00144913"/>
    <w:rsid w:val="001550A4"/>
    <w:rsid w:val="00155E5F"/>
    <w:rsid w:val="00160653"/>
    <w:rsid w:val="00160BDE"/>
    <w:rsid w:val="001623E8"/>
    <w:rsid w:val="00163B31"/>
    <w:rsid w:val="00164FDB"/>
    <w:rsid w:val="001650DD"/>
    <w:rsid w:val="00166904"/>
    <w:rsid w:val="00166A6F"/>
    <w:rsid w:val="0017017A"/>
    <w:rsid w:val="001726B3"/>
    <w:rsid w:val="00174B8D"/>
    <w:rsid w:val="001763A4"/>
    <w:rsid w:val="001807ED"/>
    <w:rsid w:val="00180997"/>
    <w:rsid w:val="00181137"/>
    <w:rsid w:val="00181D79"/>
    <w:rsid w:val="00182047"/>
    <w:rsid w:val="00182BAC"/>
    <w:rsid w:val="00183006"/>
    <w:rsid w:val="001837B2"/>
    <w:rsid w:val="001857DA"/>
    <w:rsid w:val="00186E9A"/>
    <w:rsid w:val="00187583"/>
    <w:rsid w:val="001922DE"/>
    <w:rsid w:val="00192F57"/>
    <w:rsid w:val="00194711"/>
    <w:rsid w:val="00194E92"/>
    <w:rsid w:val="00196745"/>
    <w:rsid w:val="00197198"/>
    <w:rsid w:val="00197A4E"/>
    <w:rsid w:val="001A05AF"/>
    <w:rsid w:val="001A0DD8"/>
    <w:rsid w:val="001A10B1"/>
    <w:rsid w:val="001A1D5A"/>
    <w:rsid w:val="001A2DFF"/>
    <w:rsid w:val="001A376F"/>
    <w:rsid w:val="001A611E"/>
    <w:rsid w:val="001A76CB"/>
    <w:rsid w:val="001B20DD"/>
    <w:rsid w:val="001B45C4"/>
    <w:rsid w:val="001B4B10"/>
    <w:rsid w:val="001B5A79"/>
    <w:rsid w:val="001B7C3A"/>
    <w:rsid w:val="001C54FB"/>
    <w:rsid w:val="001C5550"/>
    <w:rsid w:val="001C6CF1"/>
    <w:rsid w:val="001D0689"/>
    <w:rsid w:val="001D0B08"/>
    <w:rsid w:val="001D129D"/>
    <w:rsid w:val="001D4B55"/>
    <w:rsid w:val="001D4D2A"/>
    <w:rsid w:val="001D4D9B"/>
    <w:rsid w:val="001D6A45"/>
    <w:rsid w:val="001E1552"/>
    <w:rsid w:val="001E2995"/>
    <w:rsid w:val="001E4B16"/>
    <w:rsid w:val="001E4EF3"/>
    <w:rsid w:val="001E533A"/>
    <w:rsid w:val="001E6DD6"/>
    <w:rsid w:val="001E7470"/>
    <w:rsid w:val="001F1CCA"/>
    <w:rsid w:val="001F54C8"/>
    <w:rsid w:val="00200CFA"/>
    <w:rsid w:val="002024B4"/>
    <w:rsid w:val="0020574A"/>
    <w:rsid w:val="00214F0D"/>
    <w:rsid w:val="0021505C"/>
    <w:rsid w:val="00223220"/>
    <w:rsid w:val="002240ED"/>
    <w:rsid w:val="00224F0B"/>
    <w:rsid w:val="00225ED2"/>
    <w:rsid w:val="00230EE1"/>
    <w:rsid w:val="00232468"/>
    <w:rsid w:val="002340B3"/>
    <w:rsid w:val="00234157"/>
    <w:rsid w:val="00240003"/>
    <w:rsid w:val="002412D7"/>
    <w:rsid w:val="00242D6C"/>
    <w:rsid w:val="00243052"/>
    <w:rsid w:val="0024395E"/>
    <w:rsid w:val="00244377"/>
    <w:rsid w:val="0024497D"/>
    <w:rsid w:val="002470C9"/>
    <w:rsid w:val="0024773B"/>
    <w:rsid w:val="00253598"/>
    <w:rsid w:val="002538AE"/>
    <w:rsid w:val="00257179"/>
    <w:rsid w:val="00257201"/>
    <w:rsid w:val="00260674"/>
    <w:rsid w:val="002607B5"/>
    <w:rsid w:val="00262613"/>
    <w:rsid w:val="00263132"/>
    <w:rsid w:val="002645BD"/>
    <w:rsid w:val="0026699B"/>
    <w:rsid w:val="00275226"/>
    <w:rsid w:val="002753BF"/>
    <w:rsid w:val="00276447"/>
    <w:rsid w:val="00280568"/>
    <w:rsid w:val="00282E23"/>
    <w:rsid w:val="00283B3B"/>
    <w:rsid w:val="00285272"/>
    <w:rsid w:val="00287ABC"/>
    <w:rsid w:val="00287CA2"/>
    <w:rsid w:val="00290B28"/>
    <w:rsid w:val="002920E6"/>
    <w:rsid w:val="002927D3"/>
    <w:rsid w:val="0029349C"/>
    <w:rsid w:val="00294A85"/>
    <w:rsid w:val="00296781"/>
    <w:rsid w:val="00296B0A"/>
    <w:rsid w:val="002A05F0"/>
    <w:rsid w:val="002A21CC"/>
    <w:rsid w:val="002A2D08"/>
    <w:rsid w:val="002A3060"/>
    <w:rsid w:val="002A4937"/>
    <w:rsid w:val="002A5609"/>
    <w:rsid w:val="002B0585"/>
    <w:rsid w:val="002B064E"/>
    <w:rsid w:val="002B1589"/>
    <w:rsid w:val="002B2477"/>
    <w:rsid w:val="002B3CD6"/>
    <w:rsid w:val="002B69A7"/>
    <w:rsid w:val="002B6A64"/>
    <w:rsid w:val="002B7D98"/>
    <w:rsid w:val="002C138D"/>
    <w:rsid w:val="002C2E6D"/>
    <w:rsid w:val="002C3B38"/>
    <w:rsid w:val="002C7513"/>
    <w:rsid w:val="002C7DCA"/>
    <w:rsid w:val="002D2F7D"/>
    <w:rsid w:val="002D3FA7"/>
    <w:rsid w:val="002D6C37"/>
    <w:rsid w:val="002E0533"/>
    <w:rsid w:val="002E50DD"/>
    <w:rsid w:val="002E6A86"/>
    <w:rsid w:val="002E743A"/>
    <w:rsid w:val="002F2097"/>
    <w:rsid w:val="002F4EB2"/>
    <w:rsid w:val="002F538D"/>
    <w:rsid w:val="00301880"/>
    <w:rsid w:val="0030453E"/>
    <w:rsid w:val="0030607A"/>
    <w:rsid w:val="0031089B"/>
    <w:rsid w:val="0031118C"/>
    <w:rsid w:val="00312FA9"/>
    <w:rsid w:val="0031310D"/>
    <w:rsid w:val="003134C7"/>
    <w:rsid w:val="00315206"/>
    <w:rsid w:val="003171B1"/>
    <w:rsid w:val="00321CD3"/>
    <w:rsid w:val="00321E32"/>
    <w:rsid w:val="00322742"/>
    <w:rsid w:val="00323F58"/>
    <w:rsid w:val="00324253"/>
    <w:rsid w:val="00325B59"/>
    <w:rsid w:val="00334001"/>
    <w:rsid w:val="00336EB9"/>
    <w:rsid w:val="00337868"/>
    <w:rsid w:val="00340BAE"/>
    <w:rsid w:val="00341129"/>
    <w:rsid w:val="00341212"/>
    <w:rsid w:val="00342AFE"/>
    <w:rsid w:val="003432EE"/>
    <w:rsid w:val="00343E9F"/>
    <w:rsid w:val="00346BB6"/>
    <w:rsid w:val="003519E3"/>
    <w:rsid w:val="003541B0"/>
    <w:rsid w:val="00354C97"/>
    <w:rsid w:val="003566EF"/>
    <w:rsid w:val="00360749"/>
    <w:rsid w:val="003611C5"/>
    <w:rsid w:val="003621E7"/>
    <w:rsid w:val="00362355"/>
    <w:rsid w:val="0036356D"/>
    <w:rsid w:val="003639BC"/>
    <w:rsid w:val="00363C32"/>
    <w:rsid w:val="00364A01"/>
    <w:rsid w:val="003671B1"/>
    <w:rsid w:val="00367B0D"/>
    <w:rsid w:val="00370996"/>
    <w:rsid w:val="0037400E"/>
    <w:rsid w:val="003749D8"/>
    <w:rsid w:val="00374C76"/>
    <w:rsid w:val="00374E48"/>
    <w:rsid w:val="003762B9"/>
    <w:rsid w:val="00377C2B"/>
    <w:rsid w:val="00381670"/>
    <w:rsid w:val="00383C77"/>
    <w:rsid w:val="00386D2C"/>
    <w:rsid w:val="003874AC"/>
    <w:rsid w:val="00390D69"/>
    <w:rsid w:val="0039186B"/>
    <w:rsid w:val="003937A1"/>
    <w:rsid w:val="003947FD"/>
    <w:rsid w:val="00397127"/>
    <w:rsid w:val="003A4838"/>
    <w:rsid w:val="003A4FFF"/>
    <w:rsid w:val="003B06AE"/>
    <w:rsid w:val="003B20A2"/>
    <w:rsid w:val="003B49C2"/>
    <w:rsid w:val="003B4B53"/>
    <w:rsid w:val="003B7A54"/>
    <w:rsid w:val="003C0A9C"/>
    <w:rsid w:val="003C33ED"/>
    <w:rsid w:val="003C4745"/>
    <w:rsid w:val="003C5406"/>
    <w:rsid w:val="003C5E0D"/>
    <w:rsid w:val="003D0CC8"/>
    <w:rsid w:val="003D126A"/>
    <w:rsid w:val="003D478A"/>
    <w:rsid w:val="003D4AEF"/>
    <w:rsid w:val="003D6EE0"/>
    <w:rsid w:val="003E303D"/>
    <w:rsid w:val="003E48FB"/>
    <w:rsid w:val="003E5372"/>
    <w:rsid w:val="003E70AC"/>
    <w:rsid w:val="003E71F5"/>
    <w:rsid w:val="003F0355"/>
    <w:rsid w:val="003F4346"/>
    <w:rsid w:val="003F77FC"/>
    <w:rsid w:val="003F7CC3"/>
    <w:rsid w:val="00400AA5"/>
    <w:rsid w:val="0040381F"/>
    <w:rsid w:val="00403C28"/>
    <w:rsid w:val="00403D19"/>
    <w:rsid w:val="00404C18"/>
    <w:rsid w:val="00405654"/>
    <w:rsid w:val="00405BBA"/>
    <w:rsid w:val="00410805"/>
    <w:rsid w:val="0041503D"/>
    <w:rsid w:val="00420B40"/>
    <w:rsid w:val="004218A3"/>
    <w:rsid w:val="004236CC"/>
    <w:rsid w:val="00423BFF"/>
    <w:rsid w:val="00426D89"/>
    <w:rsid w:val="00427778"/>
    <w:rsid w:val="00432BE0"/>
    <w:rsid w:val="00432C23"/>
    <w:rsid w:val="00433654"/>
    <w:rsid w:val="00433E13"/>
    <w:rsid w:val="004350B0"/>
    <w:rsid w:val="00435483"/>
    <w:rsid w:val="00435A00"/>
    <w:rsid w:val="00435FFA"/>
    <w:rsid w:val="00436FDA"/>
    <w:rsid w:val="00441668"/>
    <w:rsid w:val="00441E01"/>
    <w:rsid w:val="00443052"/>
    <w:rsid w:val="004448A6"/>
    <w:rsid w:val="004468BA"/>
    <w:rsid w:val="004555A8"/>
    <w:rsid w:val="004560E3"/>
    <w:rsid w:val="0046136B"/>
    <w:rsid w:val="004614BB"/>
    <w:rsid w:val="00465D85"/>
    <w:rsid w:val="00470298"/>
    <w:rsid w:val="004713DC"/>
    <w:rsid w:val="0047217E"/>
    <w:rsid w:val="00474FC4"/>
    <w:rsid w:val="00477D41"/>
    <w:rsid w:val="004808BC"/>
    <w:rsid w:val="00482478"/>
    <w:rsid w:val="00482C78"/>
    <w:rsid w:val="0048451E"/>
    <w:rsid w:val="00484D80"/>
    <w:rsid w:val="00485262"/>
    <w:rsid w:val="00487576"/>
    <w:rsid w:val="00487598"/>
    <w:rsid w:val="00487FF9"/>
    <w:rsid w:val="00493389"/>
    <w:rsid w:val="004937D2"/>
    <w:rsid w:val="004946D7"/>
    <w:rsid w:val="004957E2"/>
    <w:rsid w:val="004964DF"/>
    <w:rsid w:val="00496F42"/>
    <w:rsid w:val="0049714A"/>
    <w:rsid w:val="004A0899"/>
    <w:rsid w:val="004A13BC"/>
    <w:rsid w:val="004A2CFA"/>
    <w:rsid w:val="004A4CB1"/>
    <w:rsid w:val="004A5003"/>
    <w:rsid w:val="004A6FCA"/>
    <w:rsid w:val="004A7B31"/>
    <w:rsid w:val="004B11B4"/>
    <w:rsid w:val="004B3973"/>
    <w:rsid w:val="004B658C"/>
    <w:rsid w:val="004C0364"/>
    <w:rsid w:val="004C039A"/>
    <w:rsid w:val="004C04DD"/>
    <w:rsid w:val="004C04FD"/>
    <w:rsid w:val="004C0E29"/>
    <w:rsid w:val="004C22D4"/>
    <w:rsid w:val="004C2BA4"/>
    <w:rsid w:val="004C641C"/>
    <w:rsid w:val="004D04BC"/>
    <w:rsid w:val="004D1A91"/>
    <w:rsid w:val="004D2A5E"/>
    <w:rsid w:val="004D3C6A"/>
    <w:rsid w:val="004D49C7"/>
    <w:rsid w:val="004D5FF0"/>
    <w:rsid w:val="004D6E82"/>
    <w:rsid w:val="004D7DA6"/>
    <w:rsid w:val="004E009D"/>
    <w:rsid w:val="004E0D4C"/>
    <w:rsid w:val="004E232F"/>
    <w:rsid w:val="004E283D"/>
    <w:rsid w:val="004E3099"/>
    <w:rsid w:val="004E58AC"/>
    <w:rsid w:val="004F0694"/>
    <w:rsid w:val="004F0AC4"/>
    <w:rsid w:val="004F2892"/>
    <w:rsid w:val="004F2DCB"/>
    <w:rsid w:val="004F77E7"/>
    <w:rsid w:val="004F7AFE"/>
    <w:rsid w:val="004F7DBA"/>
    <w:rsid w:val="00502DF9"/>
    <w:rsid w:val="00503A5D"/>
    <w:rsid w:val="005058ED"/>
    <w:rsid w:val="00505E98"/>
    <w:rsid w:val="00510520"/>
    <w:rsid w:val="00517941"/>
    <w:rsid w:val="00520D42"/>
    <w:rsid w:val="005242E2"/>
    <w:rsid w:val="00526B54"/>
    <w:rsid w:val="00527B9B"/>
    <w:rsid w:val="005310D5"/>
    <w:rsid w:val="005315C5"/>
    <w:rsid w:val="0053170E"/>
    <w:rsid w:val="00531AF4"/>
    <w:rsid w:val="00531DEF"/>
    <w:rsid w:val="00532CB5"/>
    <w:rsid w:val="005332A6"/>
    <w:rsid w:val="005406D8"/>
    <w:rsid w:val="00543603"/>
    <w:rsid w:val="005443C2"/>
    <w:rsid w:val="00545B70"/>
    <w:rsid w:val="00545EF1"/>
    <w:rsid w:val="0054656E"/>
    <w:rsid w:val="00553877"/>
    <w:rsid w:val="00554353"/>
    <w:rsid w:val="00557635"/>
    <w:rsid w:val="00557F9B"/>
    <w:rsid w:val="00561387"/>
    <w:rsid w:val="00561DB4"/>
    <w:rsid w:val="00567D35"/>
    <w:rsid w:val="00572617"/>
    <w:rsid w:val="00573267"/>
    <w:rsid w:val="00574AE7"/>
    <w:rsid w:val="00581025"/>
    <w:rsid w:val="00581E20"/>
    <w:rsid w:val="00584F68"/>
    <w:rsid w:val="0058733E"/>
    <w:rsid w:val="005875AB"/>
    <w:rsid w:val="005972CD"/>
    <w:rsid w:val="00597E06"/>
    <w:rsid w:val="005A1514"/>
    <w:rsid w:val="005A1A02"/>
    <w:rsid w:val="005A1B08"/>
    <w:rsid w:val="005A40B1"/>
    <w:rsid w:val="005A5B25"/>
    <w:rsid w:val="005B2169"/>
    <w:rsid w:val="005B2C0C"/>
    <w:rsid w:val="005B2C70"/>
    <w:rsid w:val="005B688C"/>
    <w:rsid w:val="005B6F2C"/>
    <w:rsid w:val="005B79CC"/>
    <w:rsid w:val="005B7FE1"/>
    <w:rsid w:val="005C41EE"/>
    <w:rsid w:val="005C7032"/>
    <w:rsid w:val="005D10B1"/>
    <w:rsid w:val="005D259C"/>
    <w:rsid w:val="005D31FC"/>
    <w:rsid w:val="005D4C69"/>
    <w:rsid w:val="005D70C4"/>
    <w:rsid w:val="005E1605"/>
    <w:rsid w:val="005E35F0"/>
    <w:rsid w:val="005E4891"/>
    <w:rsid w:val="005E4C9C"/>
    <w:rsid w:val="005E5BFB"/>
    <w:rsid w:val="005E7D0A"/>
    <w:rsid w:val="005F0789"/>
    <w:rsid w:val="005F0DEE"/>
    <w:rsid w:val="005F128F"/>
    <w:rsid w:val="005F1953"/>
    <w:rsid w:val="005F4723"/>
    <w:rsid w:val="00601109"/>
    <w:rsid w:val="00604304"/>
    <w:rsid w:val="0061254B"/>
    <w:rsid w:val="00613D30"/>
    <w:rsid w:val="00617D09"/>
    <w:rsid w:val="00620421"/>
    <w:rsid w:val="00620ABB"/>
    <w:rsid w:val="00625F49"/>
    <w:rsid w:val="00627C2B"/>
    <w:rsid w:val="00630431"/>
    <w:rsid w:val="006308BB"/>
    <w:rsid w:val="00631747"/>
    <w:rsid w:val="00631A3C"/>
    <w:rsid w:val="00634DFD"/>
    <w:rsid w:val="0063503E"/>
    <w:rsid w:val="0063515F"/>
    <w:rsid w:val="00635CFA"/>
    <w:rsid w:val="006367C1"/>
    <w:rsid w:val="006405D4"/>
    <w:rsid w:val="00641B53"/>
    <w:rsid w:val="00642091"/>
    <w:rsid w:val="00644866"/>
    <w:rsid w:val="0064656D"/>
    <w:rsid w:val="00646B49"/>
    <w:rsid w:val="00654E34"/>
    <w:rsid w:val="00660E05"/>
    <w:rsid w:val="00665FA6"/>
    <w:rsid w:val="0066690B"/>
    <w:rsid w:val="00670E45"/>
    <w:rsid w:val="006729AD"/>
    <w:rsid w:val="006739FF"/>
    <w:rsid w:val="00685CF7"/>
    <w:rsid w:val="00685ECC"/>
    <w:rsid w:val="00687D02"/>
    <w:rsid w:val="00690D5F"/>
    <w:rsid w:val="00694689"/>
    <w:rsid w:val="00696962"/>
    <w:rsid w:val="006A3A25"/>
    <w:rsid w:val="006A7C36"/>
    <w:rsid w:val="006A7D19"/>
    <w:rsid w:val="006B2B98"/>
    <w:rsid w:val="006B3F4A"/>
    <w:rsid w:val="006B45A0"/>
    <w:rsid w:val="006C08F6"/>
    <w:rsid w:val="006D0275"/>
    <w:rsid w:val="006D614E"/>
    <w:rsid w:val="006D74AF"/>
    <w:rsid w:val="006D7D19"/>
    <w:rsid w:val="006E127C"/>
    <w:rsid w:val="006E15A8"/>
    <w:rsid w:val="006E22ED"/>
    <w:rsid w:val="006E363D"/>
    <w:rsid w:val="006F233B"/>
    <w:rsid w:val="006F362B"/>
    <w:rsid w:val="006F5AA4"/>
    <w:rsid w:val="0070075E"/>
    <w:rsid w:val="00702C40"/>
    <w:rsid w:val="007035C3"/>
    <w:rsid w:val="0070360C"/>
    <w:rsid w:val="007048B1"/>
    <w:rsid w:val="007069E9"/>
    <w:rsid w:val="0071039D"/>
    <w:rsid w:val="00710457"/>
    <w:rsid w:val="00710900"/>
    <w:rsid w:val="00711624"/>
    <w:rsid w:val="00711E93"/>
    <w:rsid w:val="00722869"/>
    <w:rsid w:val="00723C08"/>
    <w:rsid w:val="007261D3"/>
    <w:rsid w:val="00726773"/>
    <w:rsid w:val="00727F0E"/>
    <w:rsid w:val="007308DC"/>
    <w:rsid w:val="00733E26"/>
    <w:rsid w:val="0073796E"/>
    <w:rsid w:val="00740823"/>
    <w:rsid w:val="007453E7"/>
    <w:rsid w:val="007463AE"/>
    <w:rsid w:val="00746E8B"/>
    <w:rsid w:val="007505BA"/>
    <w:rsid w:val="007524FF"/>
    <w:rsid w:val="00752D9F"/>
    <w:rsid w:val="00756F5D"/>
    <w:rsid w:val="007573F2"/>
    <w:rsid w:val="00757909"/>
    <w:rsid w:val="00761C3A"/>
    <w:rsid w:val="00762769"/>
    <w:rsid w:val="00764763"/>
    <w:rsid w:val="00767386"/>
    <w:rsid w:val="00767B4D"/>
    <w:rsid w:val="00771C70"/>
    <w:rsid w:val="0077553E"/>
    <w:rsid w:val="007755A4"/>
    <w:rsid w:val="00776308"/>
    <w:rsid w:val="007822E6"/>
    <w:rsid w:val="00782B96"/>
    <w:rsid w:val="00785D04"/>
    <w:rsid w:val="0078690F"/>
    <w:rsid w:val="007870D0"/>
    <w:rsid w:val="00790C6D"/>
    <w:rsid w:val="00794BF8"/>
    <w:rsid w:val="007A46B4"/>
    <w:rsid w:val="007A559A"/>
    <w:rsid w:val="007A6021"/>
    <w:rsid w:val="007A6AC7"/>
    <w:rsid w:val="007A7E42"/>
    <w:rsid w:val="007B0813"/>
    <w:rsid w:val="007C1464"/>
    <w:rsid w:val="007C3A8E"/>
    <w:rsid w:val="007C3B63"/>
    <w:rsid w:val="007C4204"/>
    <w:rsid w:val="007C5467"/>
    <w:rsid w:val="007C5C82"/>
    <w:rsid w:val="007D16B9"/>
    <w:rsid w:val="007D2FB2"/>
    <w:rsid w:val="007D36F5"/>
    <w:rsid w:val="007D4616"/>
    <w:rsid w:val="007D602D"/>
    <w:rsid w:val="007E2350"/>
    <w:rsid w:val="007E2358"/>
    <w:rsid w:val="007E64C2"/>
    <w:rsid w:val="007E7C09"/>
    <w:rsid w:val="007F15B7"/>
    <w:rsid w:val="008016DA"/>
    <w:rsid w:val="00801C10"/>
    <w:rsid w:val="00801CEA"/>
    <w:rsid w:val="00802B67"/>
    <w:rsid w:val="008032AD"/>
    <w:rsid w:val="0080610C"/>
    <w:rsid w:val="008071F0"/>
    <w:rsid w:val="00817C1A"/>
    <w:rsid w:val="00817D63"/>
    <w:rsid w:val="00822FA1"/>
    <w:rsid w:val="00824040"/>
    <w:rsid w:val="00824181"/>
    <w:rsid w:val="008251A1"/>
    <w:rsid w:val="0083013A"/>
    <w:rsid w:val="00830491"/>
    <w:rsid w:val="00830BD4"/>
    <w:rsid w:val="008316D9"/>
    <w:rsid w:val="008360A7"/>
    <w:rsid w:val="008369CD"/>
    <w:rsid w:val="00836B03"/>
    <w:rsid w:val="00841B43"/>
    <w:rsid w:val="008460AA"/>
    <w:rsid w:val="00846661"/>
    <w:rsid w:val="00846A7E"/>
    <w:rsid w:val="00850FEF"/>
    <w:rsid w:val="008544D2"/>
    <w:rsid w:val="00854EB2"/>
    <w:rsid w:val="008555EA"/>
    <w:rsid w:val="00857D6F"/>
    <w:rsid w:val="00861D58"/>
    <w:rsid w:val="008622E0"/>
    <w:rsid w:val="0086337B"/>
    <w:rsid w:val="00863D11"/>
    <w:rsid w:val="008643C6"/>
    <w:rsid w:val="00865290"/>
    <w:rsid w:val="00865CC8"/>
    <w:rsid w:val="0086688C"/>
    <w:rsid w:val="00867CD6"/>
    <w:rsid w:val="00870627"/>
    <w:rsid w:val="00870B8B"/>
    <w:rsid w:val="00873320"/>
    <w:rsid w:val="00873EE1"/>
    <w:rsid w:val="00876C14"/>
    <w:rsid w:val="00876F21"/>
    <w:rsid w:val="00877AB8"/>
    <w:rsid w:val="00881083"/>
    <w:rsid w:val="00886598"/>
    <w:rsid w:val="00887307"/>
    <w:rsid w:val="00887C15"/>
    <w:rsid w:val="00891434"/>
    <w:rsid w:val="00891470"/>
    <w:rsid w:val="00892220"/>
    <w:rsid w:val="008926AD"/>
    <w:rsid w:val="00893238"/>
    <w:rsid w:val="008A16F2"/>
    <w:rsid w:val="008A3278"/>
    <w:rsid w:val="008A3FBC"/>
    <w:rsid w:val="008B0141"/>
    <w:rsid w:val="008B26E1"/>
    <w:rsid w:val="008B4A8C"/>
    <w:rsid w:val="008B60A4"/>
    <w:rsid w:val="008C3638"/>
    <w:rsid w:val="008C3D2F"/>
    <w:rsid w:val="008C4ADF"/>
    <w:rsid w:val="008C4C03"/>
    <w:rsid w:val="008C575A"/>
    <w:rsid w:val="008C5F6D"/>
    <w:rsid w:val="008D0C5A"/>
    <w:rsid w:val="008D585A"/>
    <w:rsid w:val="008D5D18"/>
    <w:rsid w:val="008D6B44"/>
    <w:rsid w:val="008D778E"/>
    <w:rsid w:val="008D7B48"/>
    <w:rsid w:val="008E08D4"/>
    <w:rsid w:val="008E0A59"/>
    <w:rsid w:val="008E0B6A"/>
    <w:rsid w:val="008E0EEC"/>
    <w:rsid w:val="008E34E1"/>
    <w:rsid w:val="008E3A82"/>
    <w:rsid w:val="008E506D"/>
    <w:rsid w:val="008E5FD7"/>
    <w:rsid w:val="008E611C"/>
    <w:rsid w:val="008E6820"/>
    <w:rsid w:val="008F11DF"/>
    <w:rsid w:val="008F4070"/>
    <w:rsid w:val="008F56D9"/>
    <w:rsid w:val="008F5CF4"/>
    <w:rsid w:val="008F6EB2"/>
    <w:rsid w:val="008F6F8B"/>
    <w:rsid w:val="008F70EB"/>
    <w:rsid w:val="008F76CF"/>
    <w:rsid w:val="008F7A7F"/>
    <w:rsid w:val="00900083"/>
    <w:rsid w:val="00900827"/>
    <w:rsid w:val="0090139C"/>
    <w:rsid w:val="009015D1"/>
    <w:rsid w:val="00902E2E"/>
    <w:rsid w:val="00902F63"/>
    <w:rsid w:val="00903681"/>
    <w:rsid w:val="00904620"/>
    <w:rsid w:val="00904A0E"/>
    <w:rsid w:val="00905533"/>
    <w:rsid w:val="00905B44"/>
    <w:rsid w:val="00912D17"/>
    <w:rsid w:val="00914766"/>
    <w:rsid w:val="00914D5A"/>
    <w:rsid w:val="00915653"/>
    <w:rsid w:val="009160AF"/>
    <w:rsid w:val="009179A6"/>
    <w:rsid w:val="00920771"/>
    <w:rsid w:val="0092176A"/>
    <w:rsid w:val="00921C52"/>
    <w:rsid w:val="009239A5"/>
    <w:rsid w:val="00923B84"/>
    <w:rsid w:val="00925435"/>
    <w:rsid w:val="009263FB"/>
    <w:rsid w:val="00927A5E"/>
    <w:rsid w:val="0093164B"/>
    <w:rsid w:val="00931A9B"/>
    <w:rsid w:val="00933344"/>
    <w:rsid w:val="00934BFE"/>
    <w:rsid w:val="0093538A"/>
    <w:rsid w:val="0094048C"/>
    <w:rsid w:val="0094097D"/>
    <w:rsid w:val="009518BA"/>
    <w:rsid w:val="009540D0"/>
    <w:rsid w:val="009563FE"/>
    <w:rsid w:val="00956746"/>
    <w:rsid w:val="00961295"/>
    <w:rsid w:val="00961E4B"/>
    <w:rsid w:val="00964824"/>
    <w:rsid w:val="009700C6"/>
    <w:rsid w:val="0097024F"/>
    <w:rsid w:val="009713B1"/>
    <w:rsid w:val="00971905"/>
    <w:rsid w:val="00973049"/>
    <w:rsid w:val="0097520F"/>
    <w:rsid w:val="00975440"/>
    <w:rsid w:val="00975B25"/>
    <w:rsid w:val="009762C4"/>
    <w:rsid w:val="00976434"/>
    <w:rsid w:val="0098057C"/>
    <w:rsid w:val="0098111D"/>
    <w:rsid w:val="00982DC6"/>
    <w:rsid w:val="0098342D"/>
    <w:rsid w:val="00983E2B"/>
    <w:rsid w:val="00991282"/>
    <w:rsid w:val="009935E5"/>
    <w:rsid w:val="00995E9E"/>
    <w:rsid w:val="00997422"/>
    <w:rsid w:val="00997F0E"/>
    <w:rsid w:val="009A0D0F"/>
    <w:rsid w:val="009A2E52"/>
    <w:rsid w:val="009A7B67"/>
    <w:rsid w:val="009B14FE"/>
    <w:rsid w:val="009B4B2F"/>
    <w:rsid w:val="009B5885"/>
    <w:rsid w:val="009B6BB1"/>
    <w:rsid w:val="009C08C6"/>
    <w:rsid w:val="009C28EA"/>
    <w:rsid w:val="009C6134"/>
    <w:rsid w:val="009C79C9"/>
    <w:rsid w:val="009C7DA6"/>
    <w:rsid w:val="009D0D1B"/>
    <w:rsid w:val="009D1B98"/>
    <w:rsid w:val="009D369C"/>
    <w:rsid w:val="009D5723"/>
    <w:rsid w:val="009D6D54"/>
    <w:rsid w:val="009D6E61"/>
    <w:rsid w:val="009E421B"/>
    <w:rsid w:val="009E749E"/>
    <w:rsid w:val="009F3B99"/>
    <w:rsid w:val="009F3C91"/>
    <w:rsid w:val="009F3E0E"/>
    <w:rsid w:val="009F4A60"/>
    <w:rsid w:val="009F53B4"/>
    <w:rsid w:val="009F7725"/>
    <w:rsid w:val="00A00D3E"/>
    <w:rsid w:val="00A012DB"/>
    <w:rsid w:val="00A03B2A"/>
    <w:rsid w:val="00A051CB"/>
    <w:rsid w:val="00A060E8"/>
    <w:rsid w:val="00A07E2A"/>
    <w:rsid w:val="00A108F5"/>
    <w:rsid w:val="00A118A9"/>
    <w:rsid w:val="00A11D5E"/>
    <w:rsid w:val="00A11F3D"/>
    <w:rsid w:val="00A1235F"/>
    <w:rsid w:val="00A14563"/>
    <w:rsid w:val="00A147B1"/>
    <w:rsid w:val="00A1649C"/>
    <w:rsid w:val="00A16862"/>
    <w:rsid w:val="00A21750"/>
    <w:rsid w:val="00A23A97"/>
    <w:rsid w:val="00A245C3"/>
    <w:rsid w:val="00A26093"/>
    <w:rsid w:val="00A30354"/>
    <w:rsid w:val="00A414A3"/>
    <w:rsid w:val="00A414F6"/>
    <w:rsid w:val="00A4301F"/>
    <w:rsid w:val="00A476E9"/>
    <w:rsid w:val="00A51E8F"/>
    <w:rsid w:val="00A536CC"/>
    <w:rsid w:val="00A539D0"/>
    <w:rsid w:val="00A556BC"/>
    <w:rsid w:val="00A570BF"/>
    <w:rsid w:val="00A63795"/>
    <w:rsid w:val="00A753DC"/>
    <w:rsid w:val="00A765C1"/>
    <w:rsid w:val="00A76DA5"/>
    <w:rsid w:val="00A775E8"/>
    <w:rsid w:val="00A8050F"/>
    <w:rsid w:val="00A83977"/>
    <w:rsid w:val="00A841AB"/>
    <w:rsid w:val="00A8662E"/>
    <w:rsid w:val="00A86975"/>
    <w:rsid w:val="00A91DD3"/>
    <w:rsid w:val="00A93804"/>
    <w:rsid w:val="00A9577F"/>
    <w:rsid w:val="00A9665F"/>
    <w:rsid w:val="00A97E9B"/>
    <w:rsid w:val="00AA1CE4"/>
    <w:rsid w:val="00AA2A60"/>
    <w:rsid w:val="00AA4A29"/>
    <w:rsid w:val="00AA4A94"/>
    <w:rsid w:val="00AA59A0"/>
    <w:rsid w:val="00AB0230"/>
    <w:rsid w:val="00AB1874"/>
    <w:rsid w:val="00AB347C"/>
    <w:rsid w:val="00AB5875"/>
    <w:rsid w:val="00AC7F9B"/>
    <w:rsid w:val="00AD36BE"/>
    <w:rsid w:val="00AD5BA2"/>
    <w:rsid w:val="00AD5E47"/>
    <w:rsid w:val="00AD604F"/>
    <w:rsid w:val="00AE0BB3"/>
    <w:rsid w:val="00AE31E3"/>
    <w:rsid w:val="00AE436B"/>
    <w:rsid w:val="00AE52D4"/>
    <w:rsid w:val="00AE7733"/>
    <w:rsid w:val="00AF0CA0"/>
    <w:rsid w:val="00AF184F"/>
    <w:rsid w:val="00AF21FD"/>
    <w:rsid w:val="00AF3900"/>
    <w:rsid w:val="00AF5473"/>
    <w:rsid w:val="00AF5CA5"/>
    <w:rsid w:val="00AF6685"/>
    <w:rsid w:val="00B013CD"/>
    <w:rsid w:val="00B0321B"/>
    <w:rsid w:val="00B03E80"/>
    <w:rsid w:val="00B0417C"/>
    <w:rsid w:val="00B0455E"/>
    <w:rsid w:val="00B04F7F"/>
    <w:rsid w:val="00B062CE"/>
    <w:rsid w:val="00B073A8"/>
    <w:rsid w:val="00B0764C"/>
    <w:rsid w:val="00B130C4"/>
    <w:rsid w:val="00B14505"/>
    <w:rsid w:val="00B1585E"/>
    <w:rsid w:val="00B21A32"/>
    <w:rsid w:val="00B22E77"/>
    <w:rsid w:val="00B24680"/>
    <w:rsid w:val="00B2508A"/>
    <w:rsid w:val="00B25379"/>
    <w:rsid w:val="00B263D7"/>
    <w:rsid w:val="00B269C0"/>
    <w:rsid w:val="00B26A44"/>
    <w:rsid w:val="00B305A3"/>
    <w:rsid w:val="00B31B1E"/>
    <w:rsid w:val="00B36773"/>
    <w:rsid w:val="00B3696A"/>
    <w:rsid w:val="00B4086C"/>
    <w:rsid w:val="00B4088C"/>
    <w:rsid w:val="00B42C49"/>
    <w:rsid w:val="00B452B9"/>
    <w:rsid w:val="00B460D4"/>
    <w:rsid w:val="00B46AD0"/>
    <w:rsid w:val="00B50AD9"/>
    <w:rsid w:val="00B534B1"/>
    <w:rsid w:val="00B53581"/>
    <w:rsid w:val="00B5414D"/>
    <w:rsid w:val="00B553BC"/>
    <w:rsid w:val="00B56A86"/>
    <w:rsid w:val="00B601BC"/>
    <w:rsid w:val="00B61A9C"/>
    <w:rsid w:val="00B61FBD"/>
    <w:rsid w:val="00B6390E"/>
    <w:rsid w:val="00B63B82"/>
    <w:rsid w:val="00B65439"/>
    <w:rsid w:val="00B6568E"/>
    <w:rsid w:val="00B66987"/>
    <w:rsid w:val="00B715F6"/>
    <w:rsid w:val="00B72C5D"/>
    <w:rsid w:val="00B7308D"/>
    <w:rsid w:val="00B777EA"/>
    <w:rsid w:val="00B8004E"/>
    <w:rsid w:val="00B80137"/>
    <w:rsid w:val="00B80F9D"/>
    <w:rsid w:val="00B85B2D"/>
    <w:rsid w:val="00B87906"/>
    <w:rsid w:val="00B87C43"/>
    <w:rsid w:val="00B91E9B"/>
    <w:rsid w:val="00B9498B"/>
    <w:rsid w:val="00B94BDC"/>
    <w:rsid w:val="00B95F53"/>
    <w:rsid w:val="00BA2A9E"/>
    <w:rsid w:val="00BA3A65"/>
    <w:rsid w:val="00BA5F1A"/>
    <w:rsid w:val="00BA6ED0"/>
    <w:rsid w:val="00BA78B8"/>
    <w:rsid w:val="00BB5E88"/>
    <w:rsid w:val="00BB68B4"/>
    <w:rsid w:val="00BC0465"/>
    <w:rsid w:val="00BC0A79"/>
    <w:rsid w:val="00BC1F4B"/>
    <w:rsid w:val="00BC3C86"/>
    <w:rsid w:val="00BC521F"/>
    <w:rsid w:val="00BC6E55"/>
    <w:rsid w:val="00BC798A"/>
    <w:rsid w:val="00BD1809"/>
    <w:rsid w:val="00BD2286"/>
    <w:rsid w:val="00BD4798"/>
    <w:rsid w:val="00BD5E34"/>
    <w:rsid w:val="00BD7005"/>
    <w:rsid w:val="00BE04F6"/>
    <w:rsid w:val="00BE2139"/>
    <w:rsid w:val="00BE2919"/>
    <w:rsid w:val="00BE2923"/>
    <w:rsid w:val="00BE3CBE"/>
    <w:rsid w:val="00BE414C"/>
    <w:rsid w:val="00BE4E89"/>
    <w:rsid w:val="00BE5F21"/>
    <w:rsid w:val="00BE6FF6"/>
    <w:rsid w:val="00BF05C7"/>
    <w:rsid w:val="00BF0837"/>
    <w:rsid w:val="00BF0C8A"/>
    <w:rsid w:val="00BF1227"/>
    <w:rsid w:val="00BF4006"/>
    <w:rsid w:val="00BF5155"/>
    <w:rsid w:val="00BF51DC"/>
    <w:rsid w:val="00BF587A"/>
    <w:rsid w:val="00BF7CF6"/>
    <w:rsid w:val="00C01334"/>
    <w:rsid w:val="00C022A7"/>
    <w:rsid w:val="00C025E3"/>
    <w:rsid w:val="00C0471D"/>
    <w:rsid w:val="00C0763B"/>
    <w:rsid w:val="00C10D2D"/>
    <w:rsid w:val="00C17A6E"/>
    <w:rsid w:val="00C20C69"/>
    <w:rsid w:val="00C21098"/>
    <w:rsid w:val="00C25678"/>
    <w:rsid w:val="00C25932"/>
    <w:rsid w:val="00C27376"/>
    <w:rsid w:val="00C278B3"/>
    <w:rsid w:val="00C3127A"/>
    <w:rsid w:val="00C31A86"/>
    <w:rsid w:val="00C32B16"/>
    <w:rsid w:val="00C35A9D"/>
    <w:rsid w:val="00C36166"/>
    <w:rsid w:val="00C4522A"/>
    <w:rsid w:val="00C52E6B"/>
    <w:rsid w:val="00C546D0"/>
    <w:rsid w:val="00C56013"/>
    <w:rsid w:val="00C565D9"/>
    <w:rsid w:val="00C63F5B"/>
    <w:rsid w:val="00C642F6"/>
    <w:rsid w:val="00C651CA"/>
    <w:rsid w:val="00C66612"/>
    <w:rsid w:val="00C67D0C"/>
    <w:rsid w:val="00C70611"/>
    <w:rsid w:val="00C73081"/>
    <w:rsid w:val="00C732B0"/>
    <w:rsid w:val="00C745F8"/>
    <w:rsid w:val="00C7511A"/>
    <w:rsid w:val="00C761E0"/>
    <w:rsid w:val="00C77C5B"/>
    <w:rsid w:val="00C8064F"/>
    <w:rsid w:val="00C8156A"/>
    <w:rsid w:val="00C81BA3"/>
    <w:rsid w:val="00C81C61"/>
    <w:rsid w:val="00C83B45"/>
    <w:rsid w:val="00C855FE"/>
    <w:rsid w:val="00C86383"/>
    <w:rsid w:val="00C86EAB"/>
    <w:rsid w:val="00C9077E"/>
    <w:rsid w:val="00C92485"/>
    <w:rsid w:val="00C93106"/>
    <w:rsid w:val="00C94416"/>
    <w:rsid w:val="00C967AC"/>
    <w:rsid w:val="00CA0015"/>
    <w:rsid w:val="00CA36F7"/>
    <w:rsid w:val="00CA58F8"/>
    <w:rsid w:val="00CA5BE4"/>
    <w:rsid w:val="00CA5E1D"/>
    <w:rsid w:val="00CA7627"/>
    <w:rsid w:val="00CB0223"/>
    <w:rsid w:val="00CB5592"/>
    <w:rsid w:val="00CB7515"/>
    <w:rsid w:val="00CB7A86"/>
    <w:rsid w:val="00CC0BCB"/>
    <w:rsid w:val="00CC0C9B"/>
    <w:rsid w:val="00CC0E00"/>
    <w:rsid w:val="00CC1213"/>
    <w:rsid w:val="00CC15A1"/>
    <w:rsid w:val="00CC3549"/>
    <w:rsid w:val="00CC4C4A"/>
    <w:rsid w:val="00CC58FA"/>
    <w:rsid w:val="00CC73CD"/>
    <w:rsid w:val="00CC7AB1"/>
    <w:rsid w:val="00CD2B38"/>
    <w:rsid w:val="00CD314F"/>
    <w:rsid w:val="00CD5D2D"/>
    <w:rsid w:val="00CD68D6"/>
    <w:rsid w:val="00CE0EAA"/>
    <w:rsid w:val="00CE5AFD"/>
    <w:rsid w:val="00CE769A"/>
    <w:rsid w:val="00CF126C"/>
    <w:rsid w:val="00CF23CB"/>
    <w:rsid w:val="00CF295A"/>
    <w:rsid w:val="00CF45D2"/>
    <w:rsid w:val="00CF5059"/>
    <w:rsid w:val="00CF577B"/>
    <w:rsid w:val="00D0074D"/>
    <w:rsid w:val="00D00E56"/>
    <w:rsid w:val="00D0345C"/>
    <w:rsid w:val="00D03E7D"/>
    <w:rsid w:val="00D04FCC"/>
    <w:rsid w:val="00D06785"/>
    <w:rsid w:val="00D074B6"/>
    <w:rsid w:val="00D14820"/>
    <w:rsid w:val="00D16265"/>
    <w:rsid w:val="00D2008F"/>
    <w:rsid w:val="00D20163"/>
    <w:rsid w:val="00D20BDB"/>
    <w:rsid w:val="00D24A55"/>
    <w:rsid w:val="00D270E1"/>
    <w:rsid w:val="00D3064E"/>
    <w:rsid w:val="00D31624"/>
    <w:rsid w:val="00D31BCB"/>
    <w:rsid w:val="00D346B7"/>
    <w:rsid w:val="00D34755"/>
    <w:rsid w:val="00D37C7B"/>
    <w:rsid w:val="00D43C47"/>
    <w:rsid w:val="00D46663"/>
    <w:rsid w:val="00D46A3E"/>
    <w:rsid w:val="00D46CD8"/>
    <w:rsid w:val="00D525AC"/>
    <w:rsid w:val="00D52CB2"/>
    <w:rsid w:val="00D5495A"/>
    <w:rsid w:val="00D565A9"/>
    <w:rsid w:val="00D66371"/>
    <w:rsid w:val="00D66F88"/>
    <w:rsid w:val="00D67730"/>
    <w:rsid w:val="00D70E4F"/>
    <w:rsid w:val="00D732BF"/>
    <w:rsid w:val="00D73FE0"/>
    <w:rsid w:val="00D76CDC"/>
    <w:rsid w:val="00D8027D"/>
    <w:rsid w:val="00D80E63"/>
    <w:rsid w:val="00D81912"/>
    <w:rsid w:val="00D85613"/>
    <w:rsid w:val="00D85B6B"/>
    <w:rsid w:val="00D90087"/>
    <w:rsid w:val="00D92B4C"/>
    <w:rsid w:val="00D94216"/>
    <w:rsid w:val="00D95B8C"/>
    <w:rsid w:val="00DA0B5D"/>
    <w:rsid w:val="00DA103C"/>
    <w:rsid w:val="00DA137E"/>
    <w:rsid w:val="00DA2CE6"/>
    <w:rsid w:val="00DA61DC"/>
    <w:rsid w:val="00DB4532"/>
    <w:rsid w:val="00DB4FB7"/>
    <w:rsid w:val="00DC3D67"/>
    <w:rsid w:val="00DC3F7E"/>
    <w:rsid w:val="00DC5048"/>
    <w:rsid w:val="00DC7AD8"/>
    <w:rsid w:val="00DD1491"/>
    <w:rsid w:val="00DD1C82"/>
    <w:rsid w:val="00DD30E7"/>
    <w:rsid w:val="00DD3E66"/>
    <w:rsid w:val="00DD4369"/>
    <w:rsid w:val="00DD58D2"/>
    <w:rsid w:val="00DD6B09"/>
    <w:rsid w:val="00DE0BA5"/>
    <w:rsid w:val="00DE4BAD"/>
    <w:rsid w:val="00DE752A"/>
    <w:rsid w:val="00DE7EA2"/>
    <w:rsid w:val="00DF4CB1"/>
    <w:rsid w:val="00DF5935"/>
    <w:rsid w:val="00DF5D5B"/>
    <w:rsid w:val="00DF6795"/>
    <w:rsid w:val="00E030F2"/>
    <w:rsid w:val="00E053F1"/>
    <w:rsid w:val="00E074D9"/>
    <w:rsid w:val="00E15F78"/>
    <w:rsid w:val="00E160D8"/>
    <w:rsid w:val="00E16112"/>
    <w:rsid w:val="00E1696D"/>
    <w:rsid w:val="00E17B51"/>
    <w:rsid w:val="00E2264E"/>
    <w:rsid w:val="00E234EB"/>
    <w:rsid w:val="00E25DA3"/>
    <w:rsid w:val="00E26A1E"/>
    <w:rsid w:val="00E34F74"/>
    <w:rsid w:val="00E40BBD"/>
    <w:rsid w:val="00E4174C"/>
    <w:rsid w:val="00E419C9"/>
    <w:rsid w:val="00E42EC7"/>
    <w:rsid w:val="00E44119"/>
    <w:rsid w:val="00E45247"/>
    <w:rsid w:val="00E46C28"/>
    <w:rsid w:val="00E470AF"/>
    <w:rsid w:val="00E51F24"/>
    <w:rsid w:val="00E537A8"/>
    <w:rsid w:val="00E54024"/>
    <w:rsid w:val="00E5465C"/>
    <w:rsid w:val="00E572B6"/>
    <w:rsid w:val="00E57581"/>
    <w:rsid w:val="00E61833"/>
    <w:rsid w:val="00E67BC2"/>
    <w:rsid w:val="00E70836"/>
    <w:rsid w:val="00E73542"/>
    <w:rsid w:val="00E748DC"/>
    <w:rsid w:val="00E823B6"/>
    <w:rsid w:val="00E83428"/>
    <w:rsid w:val="00E84A83"/>
    <w:rsid w:val="00E87EE9"/>
    <w:rsid w:val="00E90992"/>
    <w:rsid w:val="00E91F27"/>
    <w:rsid w:val="00E92D4A"/>
    <w:rsid w:val="00E9336D"/>
    <w:rsid w:val="00E9663A"/>
    <w:rsid w:val="00E97388"/>
    <w:rsid w:val="00EA19B9"/>
    <w:rsid w:val="00EB0561"/>
    <w:rsid w:val="00EB3C94"/>
    <w:rsid w:val="00EB5F46"/>
    <w:rsid w:val="00EB6C25"/>
    <w:rsid w:val="00EB70C4"/>
    <w:rsid w:val="00EC2728"/>
    <w:rsid w:val="00ED0F2C"/>
    <w:rsid w:val="00ED1F95"/>
    <w:rsid w:val="00ED3D54"/>
    <w:rsid w:val="00ED46A8"/>
    <w:rsid w:val="00ED639C"/>
    <w:rsid w:val="00ED6E0C"/>
    <w:rsid w:val="00EE1026"/>
    <w:rsid w:val="00EE23D4"/>
    <w:rsid w:val="00EE29A2"/>
    <w:rsid w:val="00EE51CC"/>
    <w:rsid w:val="00EF06D4"/>
    <w:rsid w:val="00EF0BA5"/>
    <w:rsid w:val="00EF0FA3"/>
    <w:rsid w:val="00EF5131"/>
    <w:rsid w:val="00EF5AB0"/>
    <w:rsid w:val="00EF63E3"/>
    <w:rsid w:val="00EF76E1"/>
    <w:rsid w:val="00EF78BF"/>
    <w:rsid w:val="00F008AA"/>
    <w:rsid w:val="00F01B8D"/>
    <w:rsid w:val="00F020CD"/>
    <w:rsid w:val="00F026E2"/>
    <w:rsid w:val="00F02977"/>
    <w:rsid w:val="00F11040"/>
    <w:rsid w:val="00F1131E"/>
    <w:rsid w:val="00F12BA4"/>
    <w:rsid w:val="00F12DAD"/>
    <w:rsid w:val="00F1525E"/>
    <w:rsid w:val="00F16A9E"/>
    <w:rsid w:val="00F174CB"/>
    <w:rsid w:val="00F17718"/>
    <w:rsid w:val="00F2051D"/>
    <w:rsid w:val="00F26ADF"/>
    <w:rsid w:val="00F332D0"/>
    <w:rsid w:val="00F33A5B"/>
    <w:rsid w:val="00F35DF2"/>
    <w:rsid w:val="00F36548"/>
    <w:rsid w:val="00F3708C"/>
    <w:rsid w:val="00F37CAF"/>
    <w:rsid w:val="00F4161E"/>
    <w:rsid w:val="00F45D9B"/>
    <w:rsid w:val="00F530DB"/>
    <w:rsid w:val="00F5555A"/>
    <w:rsid w:val="00F57D05"/>
    <w:rsid w:val="00F604D2"/>
    <w:rsid w:val="00F62E71"/>
    <w:rsid w:val="00F63FC1"/>
    <w:rsid w:val="00F6643D"/>
    <w:rsid w:val="00F70179"/>
    <w:rsid w:val="00F70C47"/>
    <w:rsid w:val="00F70EE8"/>
    <w:rsid w:val="00F731D2"/>
    <w:rsid w:val="00F733EB"/>
    <w:rsid w:val="00F735DB"/>
    <w:rsid w:val="00F74A6A"/>
    <w:rsid w:val="00F75D2F"/>
    <w:rsid w:val="00F764D3"/>
    <w:rsid w:val="00F768AE"/>
    <w:rsid w:val="00F80C85"/>
    <w:rsid w:val="00F82049"/>
    <w:rsid w:val="00F83816"/>
    <w:rsid w:val="00F83953"/>
    <w:rsid w:val="00F86143"/>
    <w:rsid w:val="00F874E7"/>
    <w:rsid w:val="00F9224E"/>
    <w:rsid w:val="00F9351C"/>
    <w:rsid w:val="00F968E9"/>
    <w:rsid w:val="00F96E24"/>
    <w:rsid w:val="00F972C6"/>
    <w:rsid w:val="00F97887"/>
    <w:rsid w:val="00FA1D2A"/>
    <w:rsid w:val="00FA5CCB"/>
    <w:rsid w:val="00FA623E"/>
    <w:rsid w:val="00FA7743"/>
    <w:rsid w:val="00FB15A5"/>
    <w:rsid w:val="00FB187E"/>
    <w:rsid w:val="00FB2403"/>
    <w:rsid w:val="00FB2D07"/>
    <w:rsid w:val="00FB76C3"/>
    <w:rsid w:val="00FC4B85"/>
    <w:rsid w:val="00FC4C12"/>
    <w:rsid w:val="00FC501D"/>
    <w:rsid w:val="00FC62D6"/>
    <w:rsid w:val="00FC6DBE"/>
    <w:rsid w:val="00FC7271"/>
    <w:rsid w:val="00FC7C3F"/>
    <w:rsid w:val="00FD04C0"/>
    <w:rsid w:val="00FD32B0"/>
    <w:rsid w:val="00FD5960"/>
    <w:rsid w:val="00FD77FA"/>
    <w:rsid w:val="00FE05F4"/>
    <w:rsid w:val="00FE0811"/>
    <w:rsid w:val="00FE2893"/>
    <w:rsid w:val="00FE3392"/>
    <w:rsid w:val="00FE58CD"/>
    <w:rsid w:val="00FE7AC4"/>
    <w:rsid w:val="00FE7D37"/>
    <w:rsid w:val="00FF00CE"/>
    <w:rsid w:val="00FF1268"/>
    <w:rsid w:val="00FF1B9C"/>
    <w:rsid w:val="00FF3D13"/>
    <w:rsid w:val="00FF4A69"/>
    <w:rsid w:val="00FF505A"/>
    <w:rsid w:val="011E68E3"/>
    <w:rsid w:val="013A3F5D"/>
    <w:rsid w:val="014F1BA7"/>
    <w:rsid w:val="01BB574C"/>
    <w:rsid w:val="022B2C0A"/>
    <w:rsid w:val="028B18FB"/>
    <w:rsid w:val="02FE3E7B"/>
    <w:rsid w:val="030E7E36"/>
    <w:rsid w:val="030F14D6"/>
    <w:rsid w:val="032A6535"/>
    <w:rsid w:val="03435D32"/>
    <w:rsid w:val="039E740C"/>
    <w:rsid w:val="03D57DDA"/>
    <w:rsid w:val="03E32087"/>
    <w:rsid w:val="046E5030"/>
    <w:rsid w:val="04DA26C6"/>
    <w:rsid w:val="04DE21B6"/>
    <w:rsid w:val="04EB48D3"/>
    <w:rsid w:val="05571F68"/>
    <w:rsid w:val="055B3806"/>
    <w:rsid w:val="05A827C4"/>
    <w:rsid w:val="05E25CD6"/>
    <w:rsid w:val="06344057"/>
    <w:rsid w:val="06935222"/>
    <w:rsid w:val="07350087"/>
    <w:rsid w:val="07B100D7"/>
    <w:rsid w:val="08470072"/>
    <w:rsid w:val="085356C5"/>
    <w:rsid w:val="085F3CDF"/>
    <w:rsid w:val="08F8136C"/>
    <w:rsid w:val="092D3D00"/>
    <w:rsid w:val="095C5D9F"/>
    <w:rsid w:val="097924AD"/>
    <w:rsid w:val="099077F7"/>
    <w:rsid w:val="099F7A3A"/>
    <w:rsid w:val="09A57919"/>
    <w:rsid w:val="0A2F3891"/>
    <w:rsid w:val="0A764C3F"/>
    <w:rsid w:val="0A8235E3"/>
    <w:rsid w:val="0A894972"/>
    <w:rsid w:val="0AEE0C79"/>
    <w:rsid w:val="0B574A70"/>
    <w:rsid w:val="0B642CE9"/>
    <w:rsid w:val="0B770C6E"/>
    <w:rsid w:val="0B8415DD"/>
    <w:rsid w:val="0BBA6DDB"/>
    <w:rsid w:val="0C126BE9"/>
    <w:rsid w:val="0C564D28"/>
    <w:rsid w:val="0CEE4F60"/>
    <w:rsid w:val="0CF87B8D"/>
    <w:rsid w:val="0D042449"/>
    <w:rsid w:val="0D7A67F4"/>
    <w:rsid w:val="0DB066B9"/>
    <w:rsid w:val="0DBF4B4E"/>
    <w:rsid w:val="0DDF2AFB"/>
    <w:rsid w:val="0DF26CD2"/>
    <w:rsid w:val="0E625C06"/>
    <w:rsid w:val="0E6354DA"/>
    <w:rsid w:val="0EEE56EB"/>
    <w:rsid w:val="0F29227F"/>
    <w:rsid w:val="0F741251"/>
    <w:rsid w:val="0F9F36D8"/>
    <w:rsid w:val="103A670E"/>
    <w:rsid w:val="10A67900"/>
    <w:rsid w:val="10B753FB"/>
    <w:rsid w:val="10CC55B8"/>
    <w:rsid w:val="11301FEB"/>
    <w:rsid w:val="119C142F"/>
    <w:rsid w:val="119D2C66"/>
    <w:rsid w:val="11BD3153"/>
    <w:rsid w:val="122D2A41"/>
    <w:rsid w:val="12A470E3"/>
    <w:rsid w:val="13350077"/>
    <w:rsid w:val="13462EDF"/>
    <w:rsid w:val="13854144"/>
    <w:rsid w:val="14107EB2"/>
    <w:rsid w:val="14691913"/>
    <w:rsid w:val="14757D15"/>
    <w:rsid w:val="152F4368"/>
    <w:rsid w:val="155362A8"/>
    <w:rsid w:val="158C1A4E"/>
    <w:rsid w:val="15BF56EC"/>
    <w:rsid w:val="16557DFE"/>
    <w:rsid w:val="16572720"/>
    <w:rsid w:val="16783AEC"/>
    <w:rsid w:val="16BF34C9"/>
    <w:rsid w:val="16CD3E38"/>
    <w:rsid w:val="1798147D"/>
    <w:rsid w:val="17B24109"/>
    <w:rsid w:val="183A54FD"/>
    <w:rsid w:val="184F1E0C"/>
    <w:rsid w:val="188449CB"/>
    <w:rsid w:val="18860743"/>
    <w:rsid w:val="19265A82"/>
    <w:rsid w:val="19306900"/>
    <w:rsid w:val="196D545F"/>
    <w:rsid w:val="197C38F4"/>
    <w:rsid w:val="1A240213"/>
    <w:rsid w:val="1A324F85"/>
    <w:rsid w:val="1A756CC1"/>
    <w:rsid w:val="1A7A0E38"/>
    <w:rsid w:val="1A8A2877"/>
    <w:rsid w:val="1A98475D"/>
    <w:rsid w:val="1ACE63D1"/>
    <w:rsid w:val="1B0F0EC3"/>
    <w:rsid w:val="1B1953A9"/>
    <w:rsid w:val="1B2E169C"/>
    <w:rsid w:val="1B334486"/>
    <w:rsid w:val="1B446693"/>
    <w:rsid w:val="1BE17063"/>
    <w:rsid w:val="1BF27E9D"/>
    <w:rsid w:val="1BF400B9"/>
    <w:rsid w:val="1C0E117B"/>
    <w:rsid w:val="1C1147C7"/>
    <w:rsid w:val="1C2F6084"/>
    <w:rsid w:val="1C381D54"/>
    <w:rsid w:val="1C4F3541"/>
    <w:rsid w:val="1C4F709D"/>
    <w:rsid w:val="1C556DAA"/>
    <w:rsid w:val="1C6074FD"/>
    <w:rsid w:val="1C931680"/>
    <w:rsid w:val="1CB13CC4"/>
    <w:rsid w:val="1E1467F1"/>
    <w:rsid w:val="1E2167D7"/>
    <w:rsid w:val="1E5D1F46"/>
    <w:rsid w:val="1EEB7551"/>
    <w:rsid w:val="1FDC6E9A"/>
    <w:rsid w:val="20036B1D"/>
    <w:rsid w:val="205E6AE1"/>
    <w:rsid w:val="20E701EC"/>
    <w:rsid w:val="212626D1"/>
    <w:rsid w:val="22066450"/>
    <w:rsid w:val="221D665C"/>
    <w:rsid w:val="22274D44"/>
    <w:rsid w:val="22B96659"/>
    <w:rsid w:val="22D04DD1"/>
    <w:rsid w:val="23076924"/>
    <w:rsid w:val="2342170A"/>
    <w:rsid w:val="23452FA8"/>
    <w:rsid w:val="23846EF2"/>
    <w:rsid w:val="242B6642"/>
    <w:rsid w:val="246B4C91"/>
    <w:rsid w:val="24A7216D"/>
    <w:rsid w:val="24C57D67"/>
    <w:rsid w:val="24CE081D"/>
    <w:rsid w:val="24D64800"/>
    <w:rsid w:val="25711DDF"/>
    <w:rsid w:val="25BB4021"/>
    <w:rsid w:val="25EE5A8E"/>
    <w:rsid w:val="262B46D7"/>
    <w:rsid w:val="266320C3"/>
    <w:rsid w:val="2693076E"/>
    <w:rsid w:val="274E68CF"/>
    <w:rsid w:val="2759312C"/>
    <w:rsid w:val="27790766"/>
    <w:rsid w:val="27D112AE"/>
    <w:rsid w:val="28011B94"/>
    <w:rsid w:val="28335AC5"/>
    <w:rsid w:val="2835183D"/>
    <w:rsid w:val="28885F6A"/>
    <w:rsid w:val="289A48DA"/>
    <w:rsid w:val="289B3D96"/>
    <w:rsid w:val="29171209"/>
    <w:rsid w:val="294206B6"/>
    <w:rsid w:val="2961125F"/>
    <w:rsid w:val="2972620B"/>
    <w:rsid w:val="298365D8"/>
    <w:rsid w:val="29D37560"/>
    <w:rsid w:val="2A32072A"/>
    <w:rsid w:val="2A355B25"/>
    <w:rsid w:val="2A5F7045"/>
    <w:rsid w:val="2ABA24CE"/>
    <w:rsid w:val="2B1A7D4E"/>
    <w:rsid w:val="2B3D7387"/>
    <w:rsid w:val="2B42499D"/>
    <w:rsid w:val="2B430804"/>
    <w:rsid w:val="2B4F5CE8"/>
    <w:rsid w:val="2B5C5333"/>
    <w:rsid w:val="2B99310B"/>
    <w:rsid w:val="2BE617CC"/>
    <w:rsid w:val="2C2C73FB"/>
    <w:rsid w:val="2C5C383D"/>
    <w:rsid w:val="2C717766"/>
    <w:rsid w:val="2C954FA0"/>
    <w:rsid w:val="2CB61A5F"/>
    <w:rsid w:val="2CDC2BCF"/>
    <w:rsid w:val="2D1265F1"/>
    <w:rsid w:val="2D460049"/>
    <w:rsid w:val="2D596D01"/>
    <w:rsid w:val="2DA02531"/>
    <w:rsid w:val="2DBD655D"/>
    <w:rsid w:val="2DBE22D5"/>
    <w:rsid w:val="2E132621"/>
    <w:rsid w:val="2E1D524D"/>
    <w:rsid w:val="2F01691D"/>
    <w:rsid w:val="2F391545"/>
    <w:rsid w:val="2F6C023B"/>
    <w:rsid w:val="2FBB6ACC"/>
    <w:rsid w:val="2FE97292"/>
    <w:rsid w:val="30234671"/>
    <w:rsid w:val="306B55ED"/>
    <w:rsid w:val="30C16364"/>
    <w:rsid w:val="30DA11D4"/>
    <w:rsid w:val="30E402A4"/>
    <w:rsid w:val="311961A0"/>
    <w:rsid w:val="311B7998"/>
    <w:rsid w:val="311F752F"/>
    <w:rsid w:val="314D4C22"/>
    <w:rsid w:val="316D6AFF"/>
    <w:rsid w:val="317070E4"/>
    <w:rsid w:val="31D71BB7"/>
    <w:rsid w:val="3260395B"/>
    <w:rsid w:val="33105381"/>
    <w:rsid w:val="3340268B"/>
    <w:rsid w:val="33745910"/>
    <w:rsid w:val="337868DB"/>
    <w:rsid w:val="33ED121E"/>
    <w:rsid w:val="33FE342B"/>
    <w:rsid w:val="341C562B"/>
    <w:rsid w:val="34283812"/>
    <w:rsid w:val="34300B2E"/>
    <w:rsid w:val="34757B91"/>
    <w:rsid w:val="34A75871"/>
    <w:rsid w:val="34B23049"/>
    <w:rsid w:val="34E15227"/>
    <w:rsid w:val="34E40873"/>
    <w:rsid w:val="34F565DC"/>
    <w:rsid w:val="350B5E99"/>
    <w:rsid w:val="355F7EFA"/>
    <w:rsid w:val="35B2271F"/>
    <w:rsid w:val="362231BE"/>
    <w:rsid w:val="36A91D74"/>
    <w:rsid w:val="36B67FED"/>
    <w:rsid w:val="371C3DE3"/>
    <w:rsid w:val="3720190B"/>
    <w:rsid w:val="37576087"/>
    <w:rsid w:val="37584405"/>
    <w:rsid w:val="375A12C0"/>
    <w:rsid w:val="378B147A"/>
    <w:rsid w:val="37D83F93"/>
    <w:rsid w:val="380D00E1"/>
    <w:rsid w:val="3839587C"/>
    <w:rsid w:val="3950297B"/>
    <w:rsid w:val="3A6A62B8"/>
    <w:rsid w:val="3A7E7074"/>
    <w:rsid w:val="3AC32CD9"/>
    <w:rsid w:val="3ACF78CF"/>
    <w:rsid w:val="3AE91F0B"/>
    <w:rsid w:val="3B4007CD"/>
    <w:rsid w:val="3B4B7E09"/>
    <w:rsid w:val="3BE13D5E"/>
    <w:rsid w:val="3C39735A"/>
    <w:rsid w:val="3C4C7423"/>
    <w:rsid w:val="3C7544A7"/>
    <w:rsid w:val="3D0221DE"/>
    <w:rsid w:val="3D232155"/>
    <w:rsid w:val="3D4B4FC2"/>
    <w:rsid w:val="3D801355"/>
    <w:rsid w:val="3DBA4867"/>
    <w:rsid w:val="3DFB3880"/>
    <w:rsid w:val="3E1F6B52"/>
    <w:rsid w:val="3F204B9E"/>
    <w:rsid w:val="3F253AD3"/>
    <w:rsid w:val="3F312907"/>
    <w:rsid w:val="3F566811"/>
    <w:rsid w:val="407D3AFF"/>
    <w:rsid w:val="40BF1B15"/>
    <w:rsid w:val="40BF3F42"/>
    <w:rsid w:val="40E045E4"/>
    <w:rsid w:val="4160461A"/>
    <w:rsid w:val="41D37CA5"/>
    <w:rsid w:val="422E63C2"/>
    <w:rsid w:val="42332E3A"/>
    <w:rsid w:val="42C57F36"/>
    <w:rsid w:val="42E44134"/>
    <w:rsid w:val="4303280C"/>
    <w:rsid w:val="430640AA"/>
    <w:rsid w:val="432B7C9C"/>
    <w:rsid w:val="43A63197"/>
    <w:rsid w:val="44006D4C"/>
    <w:rsid w:val="440305EA"/>
    <w:rsid w:val="44644E21"/>
    <w:rsid w:val="446F7D12"/>
    <w:rsid w:val="44B71B00"/>
    <w:rsid w:val="44C24001"/>
    <w:rsid w:val="45101210"/>
    <w:rsid w:val="45123C90"/>
    <w:rsid w:val="45291E4A"/>
    <w:rsid w:val="45594965"/>
    <w:rsid w:val="4597548E"/>
    <w:rsid w:val="45B85B30"/>
    <w:rsid w:val="466B70CD"/>
    <w:rsid w:val="46841EB6"/>
    <w:rsid w:val="468D02EA"/>
    <w:rsid w:val="46DD7175"/>
    <w:rsid w:val="46EB5A91"/>
    <w:rsid w:val="471534D4"/>
    <w:rsid w:val="47277E49"/>
    <w:rsid w:val="47A345BE"/>
    <w:rsid w:val="47CC58C3"/>
    <w:rsid w:val="47D26C51"/>
    <w:rsid w:val="47F44E19"/>
    <w:rsid w:val="48306F7D"/>
    <w:rsid w:val="489E328D"/>
    <w:rsid w:val="48A90620"/>
    <w:rsid w:val="49900B72"/>
    <w:rsid w:val="499D73BF"/>
    <w:rsid w:val="49A85EBB"/>
    <w:rsid w:val="4A813361"/>
    <w:rsid w:val="4A9F386C"/>
    <w:rsid w:val="4AE93FAC"/>
    <w:rsid w:val="4B667DDC"/>
    <w:rsid w:val="4BA94387"/>
    <w:rsid w:val="4BBF129A"/>
    <w:rsid w:val="4BF717E8"/>
    <w:rsid w:val="4C76404F"/>
    <w:rsid w:val="4C7D7F89"/>
    <w:rsid w:val="4CB86415"/>
    <w:rsid w:val="4CBD7ED0"/>
    <w:rsid w:val="4CEE1E37"/>
    <w:rsid w:val="4D5F2D35"/>
    <w:rsid w:val="4D8409ED"/>
    <w:rsid w:val="4E571C5E"/>
    <w:rsid w:val="4E872543"/>
    <w:rsid w:val="4ED87BE5"/>
    <w:rsid w:val="4F8B7E11"/>
    <w:rsid w:val="4FDD69A0"/>
    <w:rsid w:val="50183C0E"/>
    <w:rsid w:val="503404A9"/>
    <w:rsid w:val="506A04F4"/>
    <w:rsid w:val="509947B0"/>
    <w:rsid w:val="513E2C61"/>
    <w:rsid w:val="5143724B"/>
    <w:rsid w:val="519F5DF6"/>
    <w:rsid w:val="51D13AD5"/>
    <w:rsid w:val="52B94C95"/>
    <w:rsid w:val="52EF6909"/>
    <w:rsid w:val="53285977"/>
    <w:rsid w:val="538C05FC"/>
    <w:rsid w:val="53B84F4D"/>
    <w:rsid w:val="53D77AC9"/>
    <w:rsid w:val="544144FC"/>
    <w:rsid w:val="549E4143"/>
    <w:rsid w:val="54E57FC4"/>
    <w:rsid w:val="54FA3343"/>
    <w:rsid w:val="55EF13D0"/>
    <w:rsid w:val="568B6949"/>
    <w:rsid w:val="56A33C92"/>
    <w:rsid w:val="56CE6835"/>
    <w:rsid w:val="56EF6ED8"/>
    <w:rsid w:val="570D19B1"/>
    <w:rsid w:val="58276B45"/>
    <w:rsid w:val="586E6522"/>
    <w:rsid w:val="587578B0"/>
    <w:rsid w:val="58951D01"/>
    <w:rsid w:val="58A75590"/>
    <w:rsid w:val="58AC19E4"/>
    <w:rsid w:val="58CD3249"/>
    <w:rsid w:val="59470717"/>
    <w:rsid w:val="5991071A"/>
    <w:rsid w:val="59B22FE1"/>
    <w:rsid w:val="59B639E8"/>
    <w:rsid w:val="59BD331E"/>
    <w:rsid w:val="59D800F7"/>
    <w:rsid w:val="5A4237C2"/>
    <w:rsid w:val="5AF5080B"/>
    <w:rsid w:val="5B4812AC"/>
    <w:rsid w:val="5B5419FF"/>
    <w:rsid w:val="5C292E8C"/>
    <w:rsid w:val="5C3655A9"/>
    <w:rsid w:val="5C441D55"/>
    <w:rsid w:val="5C4553A7"/>
    <w:rsid w:val="5C535134"/>
    <w:rsid w:val="5CA32CAC"/>
    <w:rsid w:val="5CAA564F"/>
    <w:rsid w:val="5CBF734C"/>
    <w:rsid w:val="5CE60D7D"/>
    <w:rsid w:val="5D612CC1"/>
    <w:rsid w:val="5DC15346"/>
    <w:rsid w:val="5DCF1811"/>
    <w:rsid w:val="5E4E4CFD"/>
    <w:rsid w:val="5E5214EC"/>
    <w:rsid w:val="5E7577D6"/>
    <w:rsid w:val="5EDF3CD6"/>
    <w:rsid w:val="5F4E49B7"/>
    <w:rsid w:val="5F7335FB"/>
    <w:rsid w:val="5F9F5213"/>
    <w:rsid w:val="5FE13A7D"/>
    <w:rsid w:val="5FF64F68"/>
    <w:rsid w:val="60003F04"/>
    <w:rsid w:val="607E12CC"/>
    <w:rsid w:val="60EE7870"/>
    <w:rsid w:val="613E1ECD"/>
    <w:rsid w:val="615269FA"/>
    <w:rsid w:val="6169352C"/>
    <w:rsid w:val="61B825BC"/>
    <w:rsid w:val="62966DA1"/>
    <w:rsid w:val="62EC4C13"/>
    <w:rsid w:val="633B34A5"/>
    <w:rsid w:val="634E142A"/>
    <w:rsid w:val="64247118"/>
    <w:rsid w:val="64740A1C"/>
    <w:rsid w:val="64772473"/>
    <w:rsid w:val="648744D7"/>
    <w:rsid w:val="648B7FE2"/>
    <w:rsid w:val="648D7D30"/>
    <w:rsid w:val="64C00105"/>
    <w:rsid w:val="64EC2EBA"/>
    <w:rsid w:val="65051FBC"/>
    <w:rsid w:val="652E506F"/>
    <w:rsid w:val="652F0DE7"/>
    <w:rsid w:val="65395D3A"/>
    <w:rsid w:val="65563E9D"/>
    <w:rsid w:val="65674A25"/>
    <w:rsid w:val="65746E1E"/>
    <w:rsid w:val="65931376"/>
    <w:rsid w:val="65B35574"/>
    <w:rsid w:val="662475C5"/>
    <w:rsid w:val="66303069"/>
    <w:rsid w:val="66560D21"/>
    <w:rsid w:val="666176C6"/>
    <w:rsid w:val="667411A7"/>
    <w:rsid w:val="66AA6977"/>
    <w:rsid w:val="66E71979"/>
    <w:rsid w:val="66F75934"/>
    <w:rsid w:val="67F4226C"/>
    <w:rsid w:val="682D7860"/>
    <w:rsid w:val="68594AF9"/>
    <w:rsid w:val="6894168D"/>
    <w:rsid w:val="691B590A"/>
    <w:rsid w:val="695A4156"/>
    <w:rsid w:val="69717C20"/>
    <w:rsid w:val="69872FA0"/>
    <w:rsid w:val="69B0699A"/>
    <w:rsid w:val="69D806E3"/>
    <w:rsid w:val="69F36887"/>
    <w:rsid w:val="6A2627B9"/>
    <w:rsid w:val="6A692D88"/>
    <w:rsid w:val="6A831677"/>
    <w:rsid w:val="6AD83BA0"/>
    <w:rsid w:val="6B427AC6"/>
    <w:rsid w:val="6BC404DB"/>
    <w:rsid w:val="6BD46CC3"/>
    <w:rsid w:val="6BE26E62"/>
    <w:rsid w:val="6C70478B"/>
    <w:rsid w:val="6C7F08A6"/>
    <w:rsid w:val="6CC47C9C"/>
    <w:rsid w:val="6D1C60F5"/>
    <w:rsid w:val="6D526E90"/>
    <w:rsid w:val="6D82064E"/>
    <w:rsid w:val="6D98787A"/>
    <w:rsid w:val="6DDD45E2"/>
    <w:rsid w:val="6E2F3C06"/>
    <w:rsid w:val="6E31778E"/>
    <w:rsid w:val="6E9F0480"/>
    <w:rsid w:val="6EB20ABF"/>
    <w:rsid w:val="6EC508C0"/>
    <w:rsid w:val="6ECB1F6F"/>
    <w:rsid w:val="6ED00F45"/>
    <w:rsid w:val="6F6049BF"/>
    <w:rsid w:val="6F7E312B"/>
    <w:rsid w:val="6FF375E1"/>
    <w:rsid w:val="705A5DF4"/>
    <w:rsid w:val="709F0A11"/>
    <w:rsid w:val="70FF3D63"/>
    <w:rsid w:val="713E2ADE"/>
    <w:rsid w:val="717464FF"/>
    <w:rsid w:val="718C6EBD"/>
    <w:rsid w:val="71D60C7B"/>
    <w:rsid w:val="72361A07"/>
    <w:rsid w:val="72952BD1"/>
    <w:rsid w:val="72D80D10"/>
    <w:rsid w:val="72ED47BB"/>
    <w:rsid w:val="730B2E93"/>
    <w:rsid w:val="730E203D"/>
    <w:rsid w:val="730E64E0"/>
    <w:rsid w:val="731955B0"/>
    <w:rsid w:val="733A1083"/>
    <w:rsid w:val="7340733F"/>
    <w:rsid w:val="734B4CD5"/>
    <w:rsid w:val="735B6AC9"/>
    <w:rsid w:val="73A0182E"/>
    <w:rsid w:val="73AB4FC9"/>
    <w:rsid w:val="73F12089"/>
    <w:rsid w:val="74312486"/>
    <w:rsid w:val="7489001F"/>
    <w:rsid w:val="74A76BEC"/>
    <w:rsid w:val="74B13ACC"/>
    <w:rsid w:val="74FB13B5"/>
    <w:rsid w:val="74FC0CE6"/>
    <w:rsid w:val="75041948"/>
    <w:rsid w:val="75114065"/>
    <w:rsid w:val="756B5E6B"/>
    <w:rsid w:val="75F83AA5"/>
    <w:rsid w:val="75FC1016"/>
    <w:rsid w:val="765863F0"/>
    <w:rsid w:val="76BB24DB"/>
    <w:rsid w:val="76CD220E"/>
    <w:rsid w:val="76DF08BF"/>
    <w:rsid w:val="77565351"/>
    <w:rsid w:val="777F175A"/>
    <w:rsid w:val="779F2A68"/>
    <w:rsid w:val="780305DD"/>
    <w:rsid w:val="786D3CA8"/>
    <w:rsid w:val="78713799"/>
    <w:rsid w:val="788D434B"/>
    <w:rsid w:val="788F1E71"/>
    <w:rsid w:val="789E3E62"/>
    <w:rsid w:val="791D122B"/>
    <w:rsid w:val="79243D9B"/>
    <w:rsid w:val="792F71B0"/>
    <w:rsid w:val="79F71A7C"/>
    <w:rsid w:val="7A036672"/>
    <w:rsid w:val="7A2938BC"/>
    <w:rsid w:val="7A634169"/>
    <w:rsid w:val="7A9C2623"/>
    <w:rsid w:val="7B087CB8"/>
    <w:rsid w:val="7B1448AF"/>
    <w:rsid w:val="7B3E36DA"/>
    <w:rsid w:val="7B533629"/>
    <w:rsid w:val="7B5B428C"/>
    <w:rsid w:val="7B6018A2"/>
    <w:rsid w:val="7B8F3F36"/>
    <w:rsid w:val="7B9652C4"/>
    <w:rsid w:val="7BFD3595"/>
    <w:rsid w:val="7C370855"/>
    <w:rsid w:val="7C5428D2"/>
    <w:rsid w:val="7C896BD7"/>
    <w:rsid w:val="7D2B7D32"/>
    <w:rsid w:val="7D9817C8"/>
    <w:rsid w:val="7D9A70CC"/>
    <w:rsid w:val="7DB303AF"/>
    <w:rsid w:val="7DDB16B4"/>
    <w:rsid w:val="7DDB3462"/>
    <w:rsid w:val="7DDB4769"/>
    <w:rsid w:val="7DDD71DA"/>
    <w:rsid w:val="7DE762AB"/>
    <w:rsid w:val="7E7E09BD"/>
    <w:rsid w:val="7E8D29AE"/>
    <w:rsid w:val="7EE43CA0"/>
    <w:rsid w:val="7EEF3669"/>
    <w:rsid w:val="7F435763"/>
    <w:rsid w:val="7FCA19E0"/>
    <w:rsid w:val="7FF07699"/>
    <w:rsid w:val="7FFB7DE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77"/>
    <w:qFormat/>
    <w:uiPriority w:val="0"/>
    <w:pPr>
      <w:keepNext/>
      <w:tabs>
        <w:tab w:val="left" w:pos="200"/>
      </w:tabs>
      <w:jc w:val="center"/>
      <w:outlineLvl w:val="0"/>
    </w:pPr>
    <w:rPr>
      <w:rFonts w:ascii="宋体" w:hAnsi="宋体"/>
      <w:b/>
      <w:sz w:val="36"/>
    </w:rPr>
  </w:style>
  <w:style w:type="paragraph" w:styleId="3">
    <w:name w:val="heading 2"/>
    <w:basedOn w:val="1"/>
    <w:next w:val="1"/>
    <w:link w:val="226"/>
    <w:qFormat/>
    <w:uiPriority w:val="0"/>
    <w:pPr>
      <w:keepNext/>
      <w:jc w:val="center"/>
      <w:outlineLvl w:val="1"/>
    </w:pPr>
    <w:rPr>
      <w:b/>
      <w:bCs/>
      <w:sz w:val="28"/>
      <w:szCs w:val="28"/>
    </w:rPr>
  </w:style>
  <w:style w:type="paragraph" w:styleId="4">
    <w:name w:val="heading 3"/>
    <w:basedOn w:val="1"/>
    <w:next w:val="1"/>
    <w:link w:val="227"/>
    <w:qFormat/>
    <w:uiPriority w:val="0"/>
    <w:pPr>
      <w:keepNext/>
      <w:jc w:val="center"/>
      <w:outlineLvl w:val="2"/>
    </w:pPr>
    <w:rPr>
      <w:rFonts w:ascii="宋体" w:hAnsi="宋体"/>
      <w:sz w:val="28"/>
    </w:rPr>
  </w:style>
  <w:style w:type="paragraph" w:styleId="5">
    <w:name w:val="heading 4"/>
    <w:basedOn w:val="1"/>
    <w:next w:val="1"/>
    <w:link w:val="80"/>
    <w:qFormat/>
    <w:uiPriority w:val="0"/>
    <w:pPr>
      <w:keepNext/>
      <w:outlineLvl w:val="3"/>
    </w:pPr>
    <w:rPr>
      <w:b/>
      <w:bCs/>
      <w:sz w:val="18"/>
    </w:rPr>
  </w:style>
  <w:style w:type="paragraph" w:styleId="6">
    <w:name w:val="heading 5"/>
    <w:basedOn w:val="1"/>
    <w:next w:val="1"/>
    <w:link w:val="228"/>
    <w:qFormat/>
    <w:uiPriority w:val="0"/>
    <w:pPr>
      <w:keepNext/>
      <w:jc w:val="center"/>
      <w:outlineLvl w:val="4"/>
    </w:pPr>
    <w:rPr>
      <w:b/>
      <w:bCs/>
      <w:sz w:val="18"/>
    </w:rPr>
  </w:style>
  <w:style w:type="paragraph" w:styleId="7">
    <w:name w:val="heading 6"/>
    <w:basedOn w:val="1"/>
    <w:next w:val="1"/>
    <w:link w:val="8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index 8"/>
    <w:basedOn w:val="1"/>
    <w:next w:val="1"/>
    <w:semiHidden/>
    <w:qFormat/>
    <w:uiPriority w:val="0"/>
    <w:pPr>
      <w:ind w:left="1400"/>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index 5"/>
    <w:basedOn w:val="1"/>
    <w:next w:val="1"/>
    <w:semiHidden/>
    <w:qFormat/>
    <w:uiPriority w:val="0"/>
    <w:pPr>
      <w:ind w:left="800"/>
    </w:pPr>
  </w:style>
  <w:style w:type="paragraph" w:styleId="16">
    <w:name w:val="Document Map"/>
    <w:basedOn w:val="1"/>
    <w:semiHidden/>
    <w:qFormat/>
    <w:uiPriority w:val="0"/>
    <w:pPr>
      <w:shd w:val="clear" w:color="auto" w:fill="000080"/>
    </w:pPr>
  </w:style>
  <w:style w:type="paragraph" w:styleId="17">
    <w:name w:val="annotation text"/>
    <w:basedOn w:val="1"/>
    <w:link w:val="230"/>
    <w:qFormat/>
    <w:uiPriority w:val="0"/>
    <w:pPr>
      <w:jc w:val="left"/>
    </w:pPr>
  </w:style>
  <w:style w:type="paragraph" w:styleId="18">
    <w:name w:val="index 6"/>
    <w:basedOn w:val="1"/>
    <w:next w:val="1"/>
    <w:semiHidden/>
    <w:qFormat/>
    <w:uiPriority w:val="0"/>
    <w:pPr>
      <w:ind w:left="1000"/>
    </w:pPr>
  </w:style>
  <w:style w:type="paragraph" w:styleId="19">
    <w:name w:val="Body Text"/>
    <w:basedOn w:val="1"/>
    <w:next w:val="20"/>
    <w:link w:val="225"/>
    <w:qFormat/>
    <w:uiPriority w:val="0"/>
    <w:rPr>
      <w:rFonts w:ascii="楷体_GB2312" w:hAnsi="Arial" w:eastAsia="楷体_GB2312"/>
      <w:sz w:val="28"/>
    </w:rPr>
  </w:style>
  <w:style w:type="paragraph" w:styleId="20">
    <w:name w:val="Body Text First Indent"/>
    <w:basedOn w:val="19"/>
    <w:next w:val="21"/>
    <w:unhideWhenUsed/>
    <w:qFormat/>
    <w:uiPriority w:val="99"/>
    <w:pPr>
      <w:ind w:firstLine="420" w:firstLineChars="100"/>
    </w:pPr>
  </w:style>
  <w:style w:type="paragraph" w:styleId="21">
    <w:name w:val="Body Text First Indent 2"/>
    <w:basedOn w:val="22"/>
    <w:next w:val="20"/>
    <w:qFormat/>
    <w:uiPriority w:val="0"/>
    <w:pPr>
      <w:ind w:firstLine="420" w:firstLineChars="200"/>
    </w:pPr>
  </w:style>
  <w:style w:type="paragraph" w:styleId="22">
    <w:name w:val="Body Text Indent"/>
    <w:basedOn w:val="1"/>
    <w:next w:val="23"/>
    <w:link w:val="224"/>
    <w:qFormat/>
    <w:uiPriority w:val="0"/>
    <w:pPr>
      <w:spacing w:line="312" w:lineRule="atLeast"/>
      <w:ind w:firstLine="574"/>
    </w:pPr>
    <w:rPr>
      <w:rFonts w:ascii="宋体"/>
      <w:sz w:val="28"/>
    </w:rPr>
  </w:style>
  <w:style w:type="paragraph" w:styleId="23">
    <w:name w:val="envelope return"/>
    <w:basedOn w:val="1"/>
    <w:qFormat/>
    <w:uiPriority w:val="0"/>
    <w:rPr>
      <w:rFonts w:ascii="Arial" w:hAnsi="Arial"/>
    </w:rPr>
  </w:style>
  <w:style w:type="paragraph" w:styleId="24">
    <w:name w:val="Block Text"/>
    <w:basedOn w:val="1"/>
    <w:qFormat/>
    <w:uiPriority w:val="0"/>
    <w:pPr>
      <w:tabs>
        <w:tab w:val="left" w:pos="822"/>
        <w:tab w:val="left" w:pos="2205"/>
        <w:tab w:val="left" w:pos="9000"/>
      </w:tabs>
      <w:spacing w:before="89"/>
      <w:ind w:left="1890" w:right="11" w:hanging="1409"/>
    </w:pPr>
    <w:rPr>
      <w:sz w:val="24"/>
    </w:rPr>
  </w:style>
  <w:style w:type="paragraph" w:styleId="25">
    <w:name w:val="index 4"/>
    <w:basedOn w:val="1"/>
    <w:next w:val="1"/>
    <w:semiHidden/>
    <w:qFormat/>
    <w:uiPriority w:val="0"/>
    <w:pPr>
      <w:ind w:left="600"/>
    </w:pPr>
  </w:style>
  <w:style w:type="paragraph" w:styleId="26">
    <w:name w:val="toc 5"/>
    <w:basedOn w:val="1"/>
    <w:next w:val="1"/>
    <w:unhideWhenUsed/>
    <w:qFormat/>
    <w:uiPriority w:val="39"/>
    <w:pPr>
      <w:spacing w:after="57"/>
      <w:ind w:left="1134"/>
    </w:pPr>
  </w:style>
  <w:style w:type="paragraph" w:styleId="27">
    <w:name w:val="toc 3"/>
    <w:basedOn w:val="1"/>
    <w:next w:val="1"/>
    <w:unhideWhenUsed/>
    <w:qFormat/>
    <w:uiPriority w:val="39"/>
    <w:pPr>
      <w:spacing w:after="57"/>
      <w:ind w:left="567"/>
    </w:pPr>
  </w:style>
  <w:style w:type="paragraph" w:styleId="28">
    <w:name w:val="Plain Text"/>
    <w:basedOn w:val="1"/>
    <w:link w:val="233"/>
    <w:qFormat/>
    <w:uiPriority w:val="0"/>
    <w:rPr>
      <w:rFonts w:ascii="宋体" w:hAnsi="Courier New" w:eastAsia="楷体_GB2312"/>
      <w:sz w:val="28"/>
    </w:rPr>
  </w:style>
  <w:style w:type="paragraph" w:styleId="29">
    <w:name w:val="toc 8"/>
    <w:basedOn w:val="1"/>
    <w:next w:val="1"/>
    <w:unhideWhenUsed/>
    <w:qFormat/>
    <w:uiPriority w:val="39"/>
    <w:pPr>
      <w:spacing w:after="57"/>
      <w:ind w:left="1984"/>
    </w:pPr>
  </w:style>
  <w:style w:type="paragraph" w:styleId="30">
    <w:name w:val="index 3"/>
    <w:basedOn w:val="1"/>
    <w:next w:val="1"/>
    <w:semiHidden/>
    <w:qFormat/>
    <w:uiPriority w:val="0"/>
    <w:pPr>
      <w:ind w:left="400"/>
    </w:pPr>
  </w:style>
  <w:style w:type="paragraph" w:styleId="31">
    <w:name w:val="Date"/>
    <w:basedOn w:val="1"/>
    <w:next w:val="1"/>
    <w:link w:val="235"/>
    <w:qFormat/>
    <w:uiPriority w:val="0"/>
    <w:pPr>
      <w:spacing w:line="312" w:lineRule="atLeast"/>
    </w:pPr>
    <w:rPr>
      <w:rFonts w:ascii="宋体"/>
      <w:sz w:val="28"/>
    </w:rPr>
  </w:style>
  <w:style w:type="paragraph" w:styleId="32">
    <w:name w:val="Body Text Indent 2"/>
    <w:basedOn w:val="1"/>
    <w:qFormat/>
    <w:uiPriority w:val="0"/>
    <w:pPr>
      <w:tabs>
        <w:tab w:val="left" w:pos="1785"/>
        <w:tab w:val="left" w:pos="1887"/>
        <w:tab w:val="left" w:pos="2112"/>
        <w:tab w:val="left" w:pos="9000"/>
      </w:tabs>
      <w:ind w:left="1890" w:hanging="1409"/>
    </w:pPr>
    <w:rPr>
      <w:sz w:val="24"/>
    </w:rPr>
  </w:style>
  <w:style w:type="paragraph" w:styleId="33">
    <w:name w:val="endnote text"/>
    <w:basedOn w:val="1"/>
    <w:link w:val="222"/>
    <w:qFormat/>
    <w:uiPriority w:val="0"/>
    <w:pPr>
      <w:jc w:val="left"/>
    </w:pPr>
    <w:rPr>
      <w:szCs w:val="21"/>
    </w:rPr>
  </w:style>
  <w:style w:type="paragraph" w:styleId="34">
    <w:name w:val="Balloon Text"/>
    <w:basedOn w:val="1"/>
    <w:link w:val="236"/>
    <w:unhideWhenUsed/>
    <w:qFormat/>
    <w:uiPriority w:val="0"/>
    <w:rPr>
      <w:rFonts w:ascii="Calibri" w:hAnsi="Calibri"/>
      <w:sz w:val="18"/>
      <w:szCs w:val="18"/>
    </w:rPr>
  </w:style>
  <w:style w:type="paragraph" w:styleId="35">
    <w:name w:val="footer"/>
    <w:basedOn w:val="1"/>
    <w:link w:val="237"/>
    <w:qFormat/>
    <w:uiPriority w:val="0"/>
    <w:pPr>
      <w:tabs>
        <w:tab w:val="center" w:pos="4153"/>
        <w:tab w:val="right" w:pos="8306"/>
      </w:tabs>
      <w:jc w:val="left"/>
    </w:pPr>
    <w:rPr>
      <w:sz w:val="18"/>
    </w:rPr>
  </w:style>
  <w:style w:type="paragraph" w:styleId="36">
    <w:name w:val="header"/>
    <w:basedOn w:val="1"/>
    <w:link w:val="238"/>
    <w:qFormat/>
    <w:uiPriority w:val="0"/>
    <w:pPr>
      <w:pBdr>
        <w:bottom w:val="single" w:color="000000" w:sz="6" w:space="1"/>
      </w:pBdr>
      <w:tabs>
        <w:tab w:val="center" w:pos="4153"/>
        <w:tab w:val="right" w:pos="8306"/>
      </w:tabs>
      <w:jc w:val="center"/>
    </w:pPr>
    <w:rPr>
      <w:sz w:val="18"/>
    </w:rPr>
  </w:style>
  <w:style w:type="paragraph" w:styleId="37">
    <w:name w:val="Signature"/>
    <w:basedOn w:val="1"/>
    <w:link w:val="239"/>
    <w:qFormat/>
    <w:uiPriority w:val="0"/>
    <w:pPr>
      <w:spacing w:after="600" w:line="312" w:lineRule="atLeast"/>
      <w:jc w:val="center"/>
    </w:pPr>
    <w:rPr>
      <w:rFonts w:eastAsia="仿宋_GB2312"/>
      <w:sz w:val="24"/>
    </w:rPr>
  </w:style>
  <w:style w:type="paragraph" w:styleId="38">
    <w:name w:val="toc 1"/>
    <w:basedOn w:val="1"/>
    <w:next w:val="1"/>
    <w:unhideWhenUsed/>
    <w:qFormat/>
    <w:uiPriority w:val="39"/>
    <w:pPr>
      <w:spacing w:after="57"/>
    </w:pPr>
  </w:style>
  <w:style w:type="paragraph" w:styleId="39">
    <w:name w:val="toc 4"/>
    <w:basedOn w:val="1"/>
    <w:next w:val="1"/>
    <w:unhideWhenUsed/>
    <w:qFormat/>
    <w:uiPriority w:val="39"/>
    <w:pPr>
      <w:spacing w:after="57"/>
      <w:ind w:left="850"/>
    </w:pPr>
  </w:style>
  <w:style w:type="paragraph" w:styleId="40">
    <w:name w:val="index heading"/>
    <w:basedOn w:val="1"/>
    <w:next w:val="41"/>
    <w:semiHidden/>
    <w:qFormat/>
    <w:uiPriority w:val="0"/>
  </w:style>
  <w:style w:type="paragraph" w:styleId="41">
    <w:name w:val="index 1"/>
    <w:basedOn w:val="1"/>
    <w:next w:val="1"/>
    <w:semiHidden/>
    <w:qFormat/>
    <w:uiPriority w:val="0"/>
  </w:style>
  <w:style w:type="paragraph" w:styleId="42">
    <w:name w:val="Subtitle"/>
    <w:basedOn w:val="1"/>
    <w:next w:val="1"/>
    <w:link w:val="242"/>
    <w:qFormat/>
    <w:uiPriority w:val="0"/>
    <w:pPr>
      <w:spacing w:before="240" w:after="60" w:line="312" w:lineRule="auto"/>
      <w:jc w:val="center"/>
      <w:outlineLvl w:val="1"/>
    </w:pPr>
    <w:rPr>
      <w:rFonts w:ascii="Cambria" w:hAnsi="Cambria"/>
      <w:b/>
      <w:bCs/>
      <w:sz w:val="32"/>
      <w:szCs w:val="32"/>
    </w:rPr>
  </w:style>
  <w:style w:type="paragraph" w:styleId="43">
    <w:name w:val="footnote text"/>
    <w:basedOn w:val="1"/>
    <w:link w:val="221"/>
    <w:semiHidden/>
    <w:unhideWhenUsed/>
    <w:qFormat/>
    <w:uiPriority w:val="99"/>
    <w:pPr>
      <w:spacing w:after="40"/>
    </w:pPr>
    <w:rPr>
      <w:sz w:val="18"/>
    </w:rPr>
  </w:style>
  <w:style w:type="paragraph" w:styleId="44">
    <w:name w:val="toc 6"/>
    <w:basedOn w:val="1"/>
    <w:next w:val="1"/>
    <w:unhideWhenUsed/>
    <w:qFormat/>
    <w:uiPriority w:val="39"/>
    <w:pPr>
      <w:spacing w:after="57"/>
      <w:ind w:left="1417"/>
    </w:pPr>
  </w:style>
  <w:style w:type="paragraph" w:styleId="45">
    <w:name w:val="Body Text Indent 3"/>
    <w:basedOn w:val="1"/>
    <w:qFormat/>
    <w:uiPriority w:val="0"/>
    <w:pPr>
      <w:ind w:firstLine="555"/>
    </w:pPr>
    <w:rPr>
      <w:b/>
      <w:bCs/>
      <w:sz w:val="28"/>
      <w:u w:val="single"/>
    </w:rPr>
  </w:style>
  <w:style w:type="paragraph" w:styleId="46">
    <w:name w:val="index 7"/>
    <w:basedOn w:val="1"/>
    <w:next w:val="1"/>
    <w:semiHidden/>
    <w:qFormat/>
    <w:uiPriority w:val="0"/>
    <w:pPr>
      <w:ind w:left="1200"/>
    </w:pPr>
  </w:style>
  <w:style w:type="paragraph" w:styleId="47">
    <w:name w:val="index 9"/>
    <w:basedOn w:val="1"/>
    <w:next w:val="1"/>
    <w:semiHidden/>
    <w:qFormat/>
    <w:uiPriority w:val="0"/>
    <w:pPr>
      <w:ind w:left="1600"/>
    </w:pPr>
  </w:style>
  <w:style w:type="paragraph" w:styleId="48">
    <w:name w:val="table of figures"/>
    <w:basedOn w:val="1"/>
    <w:next w:val="1"/>
    <w:semiHidden/>
    <w:qFormat/>
    <w:uiPriority w:val="0"/>
    <w:pPr>
      <w:ind w:left="840" w:hanging="420"/>
    </w:pPr>
  </w:style>
  <w:style w:type="paragraph" w:styleId="49">
    <w:name w:val="toc 2"/>
    <w:basedOn w:val="1"/>
    <w:next w:val="1"/>
    <w:unhideWhenUsed/>
    <w:qFormat/>
    <w:uiPriority w:val="39"/>
    <w:pPr>
      <w:spacing w:after="57"/>
      <w:ind w:left="283"/>
    </w:pPr>
  </w:style>
  <w:style w:type="paragraph" w:styleId="50">
    <w:name w:val="toc 9"/>
    <w:basedOn w:val="1"/>
    <w:next w:val="1"/>
    <w:unhideWhenUsed/>
    <w:qFormat/>
    <w:uiPriority w:val="39"/>
    <w:pPr>
      <w:spacing w:after="57"/>
      <w:ind w:left="2268"/>
    </w:pPr>
  </w:style>
  <w:style w:type="paragraph" w:styleId="51">
    <w:name w:val="HTML Preformatted"/>
    <w:basedOn w:val="1"/>
    <w:link w:val="24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52">
    <w:name w:val="Normal (Web)"/>
    <w:basedOn w:val="1"/>
    <w:qFormat/>
    <w:uiPriority w:val="0"/>
    <w:pPr>
      <w:spacing w:before="100" w:beforeAutospacing="1" w:after="100" w:afterAutospacing="1"/>
      <w:jc w:val="left"/>
    </w:pPr>
    <w:rPr>
      <w:sz w:val="24"/>
    </w:rPr>
  </w:style>
  <w:style w:type="paragraph" w:styleId="53">
    <w:name w:val="index 2"/>
    <w:basedOn w:val="1"/>
    <w:next w:val="1"/>
    <w:semiHidden/>
    <w:qFormat/>
    <w:uiPriority w:val="0"/>
    <w:pPr>
      <w:ind w:left="200"/>
    </w:pPr>
  </w:style>
  <w:style w:type="paragraph" w:styleId="54">
    <w:name w:val="Title"/>
    <w:basedOn w:val="1"/>
    <w:next w:val="1"/>
    <w:link w:val="247"/>
    <w:qFormat/>
    <w:uiPriority w:val="0"/>
    <w:pPr>
      <w:spacing w:before="240" w:after="60"/>
      <w:jc w:val="center"/>
      <w:outlineLvl w:val="0"/>
    </w:pPr>
    <w:rPr>
      <w:rFonts w:ascii="Cambria" w:hAnsi="Cambria"/>
      <w:b/>
      <w:bCs/>
      <w:sz w:val="32"/>
      <w:szCs w:val="32"/>
    </w:rPr>
  </w:style>
  <w:style w:type="paragraph" w:styleId="55">
    <w:name w:val="annotation subject"/>
    <w:basedOn w:val="17"/>
    <w:next w:val="17"/>
    <w:link w:val="248"/>
    <w:qFormat/>
    <w:uiPriority w:val="0"/>
    <w:rPr>
      <w:b/>
      <w:bCs/>
    </w:rPr>
  </w:style>
  <w:style w:type="table" w:styleId="57">
    <w:name w:val="Table Grid"/>
    <w:basedOn w:val="5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qFormat/>
    <w:uiPriority w:val="0"/>
    <w:rPr>
      <w:b/>
      <w:bCs/>
    </w:rPr>
  </w:style>
  <w:style w:type="character" w:styleId="60">
    <w:name w:val="endnote reference"/>
    <w:semiHidden/>
    <w:unhideWhenUsed/>
    <w:qFormat/>
    <w:uiPriority w:val="99"/>
    <w:rPr>
      <w:vertAlign w:val="superscript"/>
    </w:rPr>
  </w:style>
  <w:style w:type="character" w:styleId="61">
    <w:name w:val="page number"/>
    <w:qFormat/>
    <w:uiPriority w:val="0"/>
  </w:style>
  <w:style w:type="character" w:styleId="62">
    <w:name w:val="Emphasis"/>
    <w:qFormat/>
    <w:uiPriority w:val="20"/>
  </w:style>
  <w:style w:type="character" w:styleId="63">
    <w:name w:val="HTML Definition"/>
    <w:qFormat/>
    <w:uiPriority w:val="0"/>
  </w:style>
  <w:style w:type="character" w:styleId="64">
    <w:name w:val="HTML Typewriter"/>
    <w:qFormat/>
    <w:uiPriority w:val="0"/>
    <w:rPr>
      <w:rFonts w:ascii="monospace" w:hAnsi="monospace" w:eastAsia="monospace" w:cs="monospace"/>
      <w:sz w:val="20"/>
    </w:rPr>
  </w:style>
  <w:style w:type="character" w:styleId="65">
    <w:name w:val="HTML Acronym"/>
    <w:basedOn w:val="58"/>
    <w:qFormat/>
    <w:uiPriority w:val="0"/>
  </w:style>
  <w:style w:type="character" w:styleId="66">
    <w:name w:val="HTML Variable"/>
    <w:qFormat/>
    <w:uiPriority w:val="0"/>
  </w:style>
  <w:style w:type="character" w:styleId="67">
    <w:name w:val="Hyperlink"/>
    <w:qFormat/>
    <w:uiPriority w:val="99"/>
    <w:rPr>
      <w:color w:val="0000FF"/>
      <w:u w:val="none"/>
    </w:rPr>
  </w:style>
  <w:style w:type="character" w:styleId="68">
    <w:name w:val="HTML Code"/>
    <w:qFormat/>
    <w:uiPriority w:val="0"/>
    <w:rPr>
      <w:rFonts w:ascii="monospace" w:hAnsi="monospace" w:eastAsia="monospace" w:cs="monospace"/>
      <w:sz w:val="20"/>
    </w:rPr>
  </w:style>
  <w:style w:type="character" w:styleId="69">
    <w:name w:val="annotation reference"/>
    <w:qFormat/>
    <w:uiPriority w:val="0"/>
    <w:rPr>
      <w:sz w:val="21"/>
      <w:szCs w:val="21"/>
    </w:rPr>
  </w:style>
  <w:style w:type="character" w:styleId="70">
    <w:name w:val="HTML Cite"/>
    <w:qFormat/>
    <w:uiPriority w:val="0"/>
  </w:style>
  <w:style w:type="character" w:styleId="71">
    <w:name w:val="footnote reference"/>
    <w:unhideWhenUsed/>
    <w:qFormat/>
    <w:uiPriority w:val="99"/>
    <w:rPr>
      <w:vertAlign w:val="superscript"/>
    </w:rPr>
  </w:style>
  <w:style w:type="character" w:styleId="72">
    <w:name w:val="HTML Keyboard"/>
    <w:qFormat/>
    <w:uiPriority w:val="0"/>
    <w:rPr>
      <w:rFonts w:ascii="monospace" w:hAnsi="monospace" w:eastAsia="monospace" w:cs="monospace"/>
      <w:sz w:val="20"/>
    </w:rPr>
  </w:style>
  <w:style w:type="character" w:styleId="73">
    <w:name w:val="HTML Sample"/>
    <w:qFormat/>
    <w:uiPriority w:val="0"/>
    <w:rPr>
      <w:rFonts w:ascii="monospace" w:hAnsi="monospace" w:eastAsia="monospace" w:cs="monospace"/>
    </w:rPr>
  </w:style>
  <w:style w:type="paragraph" w:customStyle="1" w:styleId="74">
    <w:name w:val="Default"/>
    <w:qFormat/>
    <w:uiPriority w:val="0"/>
    <w:pPr>
      <w:widowControl w:val="0"/>
    </w:pPr>
    <w:rPr>
      <w:rFonts w:hint="default" w:ascii="仿宋_GB2312" w:hAnsi="Calibri" w:eastAsia="仿宋_GB2312" w:cs="仿宋_GB2312"/>
      <w:color w:val="000000"/>
      <w:sz w:val="24"/>
      <w:szCs w:val="24"/>
      <w:lang w:val="en-US" w:eastAsia="zh-CN" w:bidi="ar-SA"/>
    </w:rPr>
  </w:style>
  <w:style w:type="paragraph" w:customStyle="1" w:styleId="75">
    <w:name w:val="正文首行缩进1"/>
    <w:basedOn w:val="19"/>
    <w:next w:val="76"/>
    <w:unhideWhenUsed/>
    <w:qFormat/>
    <w:uiPriority w:val="99"/>
    <w:pPr>
      <w:ind w:firstLine="420"/>
    </w:pPr>
  </w:style>
  <w:style w:type="paragraph" w:customStyle="1" w:styleId="76">
    <w:name w:val="正文首行缩进 21"/>
    <w:basedOn w:val="22"/>
    <w:next w:val="75"/>
    <w:qFormat/>
    <w:uiPriority w:val="0"/>
    <w:pPr>
      <w:ind w:firstLine="420"/>
    </w:pPr>
  </w:style>
  <w:style w:type="character" w:customStyle="1" w:styleId="77">
    <w:name w:val="标题 1 字符"/>
    <w:link w:val="2"/>
    <w:qFormat/>
    <w:uiPriority w:val="9"/>
    <w:rPr>
      <w:rFonts w:ascii="Arial" w:hAnsi="Arial" w:eastAsia="Arial" w:cs="Arial"/>
      <w:sz w:val="40"/>
      <w:szCs w:val="40"/>
    </w:rPr>
  </w:style>
  <w:style w:type="character" w:customStyle="1" w:styleId="78">
    <w:name w:val="Heading 2 Char"/>
    <w:qFormat/>
    <w:uiPriority w:val="9"/>
    <w:rPr>
      <w:rFonts w:ascii="Arial" w:hAnsi="Arial" w:eastAsia="Arial" w:cs="Arial"/>
      <w:sz w:val="34"/>
    </w:rPr>
  </w:style>
  <w:style w:type="character" w:customStyle="1" w:styleId="79">
    <w:name w:val="Heading 3 Char"/>
    <w:qFormat/>
    <w:uiPriority w:val="9"/>
    <w:rPr>
      <w:rFonts w:ascii="Arial" w:hAnsi="Arial" w:eastAsia="Arial" w:cs="Arial"/>
      <w:sz w:val="30"/>
      <w:szCs w:val="30"/>
    </w:rPr>
  </w:style>
  <w:style w:type="character" w:customStyle="1" w:styleId="80">
    <w:name w:val="标题 4 字符"/>
    <w:link w:val="5"/>
    <w:qFormat/>
    <w:uiPriority w:val="9"/>
    <w:rPr>
      <w:rFonts w:ascii="Arial" w:hAnsi="Arial" w:eastAsia="Arial" w:cs="Arial"/>
      <w:b/>
      <w:bCs/>
      <w:sz w:val="26"/>
      <w:szCs w:val="26"/>
    </w:rPr>
  </w:style>
  <w:style w:type="character" w:customStyle="1" w:styleId="81">
    <w:name w:val="Heading 5 Char"/>
    <w:qFormat/>
    <w:uiPriority w:val="9"/>
    <w:rPr>
      <w:rFonts w:ascii="Arial" w:hAnsi="Arial" w:eastAsia="Arial" w:cs="Arial"/>
      <w:b/>
      <w:bCs/>
      <w:sz w:val="24"/>
      <w:szCs w:val="24"/>
    </w:rPr>
  </w:style>
  <w:style w:type="character" w:customStyle="1" w:styleId="82">
    <w:name w:val="标题 6 字符"/>
    <w:link w:val="7"/>
    <w:qFormat/>
    <w:uiPriority w:val="9"/>
    <w:rPr>
      <w:rFonts w:ascii="Arial" w:hAnsi="Arial" w:eastAsia="Arial" w:cs="Arial"/>
      <w:b/>
      <w:bCs/>
      <w:sz w:val="22"/>
      <w:szCs w:val="22"/>
    </w:rPr>
  </w:style>
  <w:style w:type="character" w:customStyle="1" w:styleId="83">
    <w:name w:val="标题 7 字符"/>
    <w:link w:val="8"/>
    <w:qFormat/>
    <w:uiPriority w:val="9"/>
    <w:rPr>
      <w:rFonts w:ascii="Arial" w:hAnsi="Arial" w:eastAsia="Arial" w:cs="Arial"/>
      <w:b/>
      <w:bCs/>
      <w:i/>
      <w:iCs/>
      <w:sz w:val="22"/>
      <w:szCs w:val="22"/>
    </w:rPr>
  </w:style>
  <w:style w:type="character" w:customStyle="1" w:styleId="84">
    <w:name w:val="标题 8 字符"/>
    <w:link w:val="9"/>
    <w:qFormat/>
    <w:uiPriority w:val="9"/>
    <w:rPr>
      <w:rFonts w:ascii="Arial" w:hAnsi="Arial" w:eastAsia="Arial" w:cs="Arial"/>
      <w:i/>
      <w:iCs/>
      <w:sz w:val="22"/>
      <w:szCs w:val="22"/>
    </w:rPr>
  </w:style>
  <w:style w:type="character" w:customStyle="1" w:styleId="85">
    <w:name w:val="标题 9 字符"/>
    <w:link w:val="10"/>
    <w:qFormat/>
    <w:uiPriority w:val="9"/>
    <w:rPr>
      <w:rFonts w:ascii="Arial" w:hAnsi="Arial" w:eastAsia="Arial" w:cs="Arial"/>
      <w:i/>
      <w:iCs/>
      <w:sz w:val="21"/>
      <w:szCs w:val="21"/>
    </w:rPr>
  </w:style>
  <w:style w:type="paragraph" w:styleId="86">
    <w:name w:val="No Spacing"/>
    <w:link w:val="253"/>
    <w:qFormat/>
    <w:uiPriority w:val="0"/>
    <w:rPr>
      <w:rFonts w:ascii="Calibri" w:hAnsi="Calibri" w:eastAsia="宋体" w:cs="Times New Roman"/>
      <w:sz w:val="22"/>
      <w:szCs w:val="22"/>
      <w:lang w:val="en-US" w:eastAsia="zh-CN" w:bidi="ar-SA"/>
    </w:rPr>
  </w:style>
  <w:style w:type="character" w:customStyle="1" w:styleId="87">
    <w:name w:val="Title Char"/>
    <w:qFormat/>
    <w:uiPriority w:val="10"/>
    <w:rPr>
      <w:sz w:val="48"/>
      <w:szCs w:val="48"/>
    </w:rPr>
  </w:style>
  <w:style w:type="character" w:customStyle="1" w:styleId="88">
    <w:name w:val="Subtitle Char"/>
    <w:qFormat/>
    <w:uiPriority w:val="11"/>
    <w:rPr>
      <w:sz w:val="24"/>
      <w:szCs w:val="24"/>
    </w:rPr>
  </w:style>
  <w:style w:type="paragraph" w:styleId="89">
    <w:name w:val="Quote"/>
    <w:basedOn w:val="1"/>
    <w:next w:val="1"/>
    <w:link w:val="90"/>
    <w:qFormat/>
    <w:uiPriority w:val="29"/>
    <w:pPr>
      <w:ind w:left="720" w:right="720"/>
    </w:pPr>
    <w:rPr>
      <w:i/>
    </w:rPr>
  </w:style>
  <w:style w:type="character" w:customStyle="1" w:styleId="90">
    <w:name w:val="引用 字符"/>
    <w:link w:val="89"/>
    <w:qFormat/>
    <w:uiPriority w:val="29"/>
    <w:rPr>
      <w:i/>
    </w:rPr>
  </w:style>
  <w:style w:type="paragraph" w:styleId="91">
    <w:name w:val="Intense Quote"/>
    <w:basedOn w:val="1"/>
    <w:next w:val="1"/>
    <w:link w:val="9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2">
    <w:name w:val="明显引用 字符"/>
    <w:link w:val="91"/>
    <w:qFormat/>
    <w:uiPriority w:val="30"/>
    <w:rPr>
      <w:i/>
    </w:rPr>
  </w:style>
  <w:style w:type="character" w:customStyle="1" w:styleId="93">
    <w:name w:val="Header Char"/>
    <w:qFormat/>
    <w:uiPriority w:val="99"/>
  </w:style>
  <w:style w:type="character" w:customStyle="1" w:styleId="94">
    <w:name w:val="Footer Char"/>
    <w:qFormat/>
    <w:uiPriority w:val="99"/>
  </w:style>
  <w:style w:type="character" w:customStyle="1" w:styleId="95">
    <w:name w:val="Caption Char"/>
    <w:qFormat/>
    <w:uiPriority w:val="99"/>
  </w:style>
  <w:style w:type="table" w:customStyle="1" w:styleId="9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9">
    <w:name w:val="无格式表格 31"/>
    <w:qFormat/>
    <w:uiPriority w:val="99"/>
    <w:tblPr>
      <w:tblCellMar>
        <w:top w:w="0" w:type="dxa"/>
        <w:left w:w="0" w:type="dxa"/>
        <w:bottom w:w="0" w:type="dxa"/>
        <w:right w:w="0" w:type="dxa"/>
      </w:tblCellMar>
    </w:tblPr>
  </w:style>
  <w:style w:type="table" w:customStyle="1" w:styleId="100">
    <w:name w:val="无格式表格 41"/>
    <w:qFormat/>
    <w:uiPriority w:val="99"/>
    <w:tblPr>
      <w:tblCellMar>
        <w:top w:w="0" w:type="dxa"/>
        <w:left w:w="0" w:type="dxa"/>
        <w:bottom w:w="0" w:type="dxa"/>
        <w:right w:w="0" w:type="dxa"/>
      </w:tblCellMar>
    </w:tblPr>
  </w:style>
  <w:style w:type="table" w:customStyle="1" w:styleId="101">
    <w:name w:val="无格式表格 51"/>
    <w:qFormat/>
    <w:uiPriority w:val="99"/>
    <w:tblPr>
      <w:tblCellMar>
        <w:top w:w="0" w:type="dxa"/>
        <w:left w:w="0" w:type="dxa"/>
        <w:bottom w:w="0" w:type="dxa"/>
        <w:right w:w="0" w:type="dxa"/>
      </w:tblCellMar>
    </w:tblPr>
  </w:style>
  <w:style w:type="table" w:customStyle="1" w:styleId="10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9">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4">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1">
    <w:name w:val="清单表 1 浅色1"/>
    <w:qFormat/>
    <w:uiPriority w:val="99"/>
    <w:tblPr>
      <w:tblCellMar>
        <w:top w:w="0" w:type="dxa"/>
        <w:left w:w="0" w:type="dxa"/>
        <w:bottom w:w="0" w:type="dxa"/>
        <w:right w:w="0" w:type="dxa"/>
      </w:tblCellMar>
    </w:tblPr>
  </w:style>
  <w:style w:type="table" w:customStyle="1" w:styleId="152">
    <w:name w:val="List Table 1 Light - Accent 1"/>
    <w:qFormat/>
    <w:uiPriority w:val="99"/>
    <w:tblPr>
      <w:tblCellMar>
        <w:top w:w="0" w:type="dxa"/>
        <w:left w:w="0" w:type="dxa"/>
        <w:bottom w:w="0" w:type="dxa"/>
        <w:right w:w="0" w:type="dxa"/>
      </w:tblCellMar>
    </w:tblPr>
  </w:style>
  <w:style w:type="table" w:customStyle="1" w:styleId="153">
    <w:name w:val="List Table 1 Light - Accent 2"/>
    <w:qFormat/>
    <w:uiPriority w:val="99"/>
    <w:tblPr>
      <w:tblCellMar>
        <w:top w:w="0" w:type="dxa"/>
        <w:left w:w="0" w:type="dxa"/>
        <w:bottom w:w="0" w:type="dxa"/>
        <w:right w:w="0" w:type="dxa"/>
      </w:tblCellMar>
    </w:tblPr>
  </w:style>
  <w:style w:type="table" w:customStyle="1" w:styleId="154">
    <w:name w:val="List Table 1 Light - Accent 3"/>
    <w:qFormat/>
    <w:uiPriority w:val="99"/>
    <w:tblPr>
      <w:tblCellMar>
        <w:top w:w="0" w:type="dxa"/>
        <w:left w:w="0" w:type="dxa"/>
        <w:bottom w:w="0" w:type="dxa"/>
        <w:right w:w="0" w:type="dxa"/>
      </w:tblCellMar>
    </w:tblPr>
  </w:style>
  <w:style w:type="table" w:customStyle="1" w:styleId="155">
    <w:name w:val="List Table 1 Light - Accent 4"/>
    <w:qFormat/>
    <w:uiPriority w:val="99"/>
    <w:tblPr>
      <w:tblCellMar>
        <w:top w:w="0" w:type="dxa"/>
        <w:left w:w="0" w:type="dxa"/>
        <w:bottom w:w="0" w:type="dxa"/>
        <w:right w:w="0" w:type="dxa"/>
      </w:tblCellMar>
    </w:tblPr>
  </w:style>
  <w:style w:type="table" w:customStyle="1" w:styleId="156">
    <w:name w:val="List Table 1 Light - Accent 5"/>
    <w:qFormat/>
    <w:uiPriority w:val="99"/>
    <w:tblPr>
      <w:tblCellMar>
        <w:top w:w="0" w:type="dxa"/>
        <w:left w:w="0" w:type="dxa"/>
        <w:bottom w:w="0" w:type="dxa"/>
        <w:right w:w="0" w:type="dxa"/>
      </w:tblCellMar>
    </w:tblPr>
  </w:style>
  <w:style w:type="table" w:customStyle="1" w:styleId="157">
    <w:name w:val="List Table 1 Light - Accent 6"/>
    <w:qFormat/>
    <w:uiPriority w:val="99"/>
    <w:tblPr>
      <w:tblCellMar>
        <w:top w:w="0" w:type="dxa"/>
        <w:left w:w="0" w:type="dxa"/>
        <w:bottom w:w="0" w:type="dxa"/>
        <w:right w:w="0" w:type="dxa"/>
      </w:tblCellMar>
    </w:tblPr>
  </w:style>
  <w:style w:type="table" w:customStyle="1" w:styleId="158">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9">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6">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3">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94">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5">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6">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7">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8">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9">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0">
    <w:name w:val="Lined - Accent"/>
    <w:qFormat/>
    <w:uiPriority w:val="99"/>
    <w:rPr>
      <w:color w:val="404040"/>
    </w:rPr>
    <w:tblPr>
      <w:tblCellMar>
        <w:top w:w="0" w:type="dxa"/>
        <w:left w:w="0" w:type="dxa"/>
        <w:bottom w:w="0" w:type="dxa"/>
        <w:right w:w="0" w:type="dxa"/>
      </w:tblCellMar>
    </w:tblPr>
  </w:style>
  <w:style w:type="table" w:customStyle="1" w:styleId="201">
    <w:name w:val="Lined - Accent 1"/>
    <w:qFormat/>
    <w:uiPriority w:val="99"/>
    <w:rPr>
      <w:color w:val="404040"/>
    </w:rPr>
    <w:tblPr>
      <w:tblCellMar>
        <w:top w:w="0" w:type="dxa"/>
        <w:left w:w="0" w:type="dxa"/>
        <w:bottom w:w="0" w:type="dxa"/>
        <w:right w:w="0" w:type="dxa"/>
      </w:tblCellMar>
    </w:tblPr>
  </w:style>
  <w:style w:type="table" w:customStyle="1" w:styleId="202">
    <w:name w:val="Lined - Accent 2"/>
    <w:qFormat/>
    <w:uiPriority w:val="99"/>
    <w:rPr>
      <w:color w:val="404040"/>
    </w:rPr>
    <w:tblPr>
      <w:tblCellMar>
        <w:top w:w="0" w:type="dxa"/>
        <w:left w:w="0" w:type="dxa"/>
        <w:bottom w:w="0" w:type="dxa"/>
        <w:right w:w="0" w:type="dxa"/>
      </w:tblCellMar>
    </w:tblPr>
  </w:style>
  <w:style w:type="table" w:customStyle="1" w:styleId="203">
    <w:name w:val="Lined - Accent 3"/>
    <w:qFormat/>
    <w:uiPriority w:val="99"/>
    <w:rPr>
      <w:color w:val="404040"/>
    </w:rPr>
    <w:tblPr>
      <w:tblCellMar>
        <w:top w:w="0" w:type="dxa"/>
        <w:left w:w="0" w:type="dxa"/>
        <w:bottom w:w="0" w:type="dxa"/>
        <w:right w:w="0" w:type="dxa"/>
      </w:tblCellMar>
    </w:tblPr>
  </w:style>
  <w:style w:type="table" w:customStyle="1" w:styleId="204">
    <w:name w:val="Lined - Accent 4"/>
    <w:qFormat/>
    <w:uiPriority w:val="99"/>
    <w:rPr>
      <w:color w:val="404040"/>
    </w:rPr>
    <w:tblPr>
      <w:tblCellMar>
        <w:top w:w="0" w:type="dxa"/>
        <w:left w:w="0" w:type="dxa"/>
        <w:bottom w:w="0" w:type="dxa"/>
        <w:right w:w="0" w:type="dxa"/>
      </w:tblCellMar>
    </w:tblPr>
  </w:style>
  <w:style w:type="table" w:customStyle="1" w:styleId="205">
    <w:name w:val="Lined - Accent 5"/>
    <w:qFormat/>
    <w:uiPriority w:val="99"/>
    <w:rPr>
      <w:color w:val="404040"/>
    </w:rPr>
    <w:tblPr>
      <w:tblCellMar>
        <w:top w:w="0" w:type="dxa"/>
        <w:left w:w="0" w:type="dxa"/>
        <w:bottom w:w="0" w:type="dxa"/>
        <w:right w:w="0" w:type="dxa"/>
      </w:tblCellMar>
    </w:tblPr>
  </w:style>
  <w:style w:type="table" w:customStyle="1" w:styleId="206">
    <w:name w:val="Lined - Accent 6"/>
    <w:qFormat/>
    <w:uiPriority w:val="99"/>
    <w:rPr>
      <w:color w:val="404040"/>
    </w:rPr>
    <w:tblPr>
      <w:tblCellMar>
        <w:top w:w="0" w:type="dxa"/>
        <w:left w:w="0" w:type="dxa"/>
        <w:bottom w:w="0" w:type="dxa"/>
        <w:right w:w="0" w:type="dxa"/>
      </w:tblCellMar>
    </w:tblPr>
  </w:style>
  <w:style w:type="table" w:customStyle="1" w:styleId="20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1">
    <w:name w:val="脚注文本 字符"/>
    <w:link w:val="43"/>
    <w:qFormat/>
    <w:uiPriority w:val="99"/>
    <w:rPr>
      <w:sz w:val="18"/>
    </w:rPr>
  </w:style>
  <w:style w:type="character" w:customStyle="1" w:styleId="222">
    <w:name w:val="尾注文本 字符"/>
    <w:link w:val="33"/>
    <w:qFormat/>
    <w:uiPriority w:val="99"/>
    <w:rPr>
      <w:sz w:val="20"/>
    </w:rPr>
  </w:style>
  <w:style w:type="paragraph" w:customStyle="1" w:styleId="223">
    <w:name w:val="TOC 标题1"/>
    <w:unhideWhenUsed/>
    <w:qFormat/>
    <w:uiPriority w:val="39"/>
    <w:rPr>
      <w:rFonts w:ascii="Times New Roman" w:hAnsi="Times New Roman" w:eastAsia="宋体" w:cs="Times New Roman"/>
      <w:lang w:val="en-US" w:eastAsia="zh-CN" w:bidi="ar-SA"/>
    </w:rPr>
  </w:style>
  <w:style w:type="character" w:customStyle="1" w:styleId="224">
    <w:name w:val="正文文本缩进 字符"/>
    <w:link w:val="22"/>
    <w:qFormat/>
    <w:uiPriority w:val="0"/>
    <w:rPr>
      <w:rFonts w:ascii="宋体" w:eastAsia="宋体"/>
      <w:sz w:val="28"/>
      <w:lang w:val="en-US" w:eastAsia="zh-CN" w:bidi="ar-SA"/>
    </w:rPr>
  </w:style>
  <w:style w:type="character" w:customStyle="1" w:styleId="225">
    <w:name w:val="正文文本 字符"/>
    <w:link w:val="19"/>
    <w:qFormat/>
    <w:uiPriority w:val="0"/>
    <w:rPr>
      <w:rFonts w:ascii="楷体_GB2312" w:hAnsi="Arial" w:eastAsia="楷体_GB2312"/>
      <w:sz w:val="28"/>
    </w:rPr>
  </w:style>
  <w:style w:type="character" w:customStyle="1" w:styleId="226">
    <w:name w:val="标题 2 字符"/>
    <w:link w:val="3"/>
    <w:qFormat/>
    <w:uiPriority w:val="0"/>
    <w:rPr>
      <w:b/>
      <w:bCs/>
      <w:sz w:val="28"/>
      <w:szCs w:val="28"/>
    </w:rPr>
  </w:style>
  <w:style w:type="character" w:customStyle="1" w:styleId="227">
    <w:name w:val="标题 3 字符"/>
    <w:link w:val="4"/>
    <w:semiHidden/>
    <w:qFormat/>
    <w:uiPriority w:val="0"/>
    <w:rPr>
      <w:rFonts w:ascii="宋体" w:hAnsi="宋体" w:eastAsia="宋体"/>
      <w:sz w:val="28"/>
      <w:lang w:val="en-US" w:eastAsia="zh-CN" w:bidi="ar-SA"/>
    </w:rPr>
  </w:style>
  <w:style w:type="character" w:customStyle="1" w:styleId="228">
    <w:name w:val="标题 5 字符"/>
    <w:link w:val="6"/>
    <w:semiHidden/>
    <w:qFormat/>
    <w:uiPriority w:val="0"/>
    <w:rPr>
      <w:rFonts w:eastAsia="宋体"/>
      <w:b/>
      <w:bCs/>
      <w:sz w:val="18"/>
      <w:lang w:val="en-US" w:eastAsia="zh-CN" w:bidi="ar-SA"/>
    </w:rPr>
  </w:style>
  <w:style w:type="paragraph" w:customStyle="1" w:styleId="229">
    <w:name w:val="目录 71"/>
    <w:basedOn w:val="1"/>
    <w:next w:val="1"/>
    <w:qFormat/>
    <w:uiPriority w:val="0"/>
    <w:pPr>
      <w:ind w:left="1260"/>
      <w:jc w:val="left"/>
    </w:pPr>
    <w:rPr>
      <w:szCs w:val="21"/>
    </w:rPr>
  </w:style>
  <w:style w:type="character" w:customStyle="1" w:styleId="230">
    <w:name w:val="批注文字 字符"/>
    <w:link w:val="17"/>
    <w:qFormat/>
    <w:uiPriority w:val="0"/>
    <w:rPr>
      <w:sz w:val="21"/>
    </w:rPr>
  </w:style>
  <w:style w:type="paragraph" w:customStyle="1" w:styleId="231">
    <w:name w:val="目录 51"/>
    <w:basedOn w:val="1"/>
    <w:next w:val="1"/>
    <w:semiHidden/>
    <w:qFormat/>
    <w:uiPriority w:val="0"/>
    <w:pPr>
      <w:ind w:left="840"/>
      <w:jc w:val="left"/>
    </w:pPr>
    <w:rPr>
      <w:szCs w:val="21"/>
    </w:rPr>
  </w:style>
  <w:style w:type="paragraph" w:customStyle="1" w:styleId="232">
    <w:name w:val="目录 31"/>
    <w:basedOn w:val="1"/>
    <w:next w:val="1"/>
    <w:semiHidden/>
    <w:qFormat/>
    <w:uiPriority w:val="0"/>
    <w:pPr>
      <w:ind w:left="420"/>
      <w:jc w:val="left"/>
    </w:pPr>
    <w:rPr>
      <w:i/>
      <w:iCs/>
      <w:szCs w:val="24"/>
    </w:rPr>
  </w:style>
  <w:style w:type="character" w:customStyle="1" w:styleId="233">
    <w:name w:val="纯文本 字符"/>
    <w:link w:val="28"/>
    <w:qFormat/>
    <w:uiPriority w:val="0"/>
    <w:rPr>
      <w:rFonts w:ascii="宋体" w:hAnsi="Courier New" w:eastAsia="宋体"/>
      <w:sz w:val="21"/>
      <w:lang w:val="en-US" w:eastAsia="zh-CN" w:bidi="ar-SA"/>
    </w:rPr>
  </w:style>
  <w:style w:type="paragraph" w:customStyle="1" w:styleId="234">
    <w:name w:val="目录 81"/>
    <w:basedOn w:val="1"/>
    <w:next w:val="1"/>
    <w:semiHidden/>
    <w:qFormat/>
    <w:uiPriority w:val="0"/>
    <w:pPr>
      <w:ind w:left="1470"/>
      <w:jc w:val="left"/>
    </w:pPr>
    <w:rPr>
      <w:szCs w:val="21"/>
    </w:rPr>
  </w:style>
  <w:style w:type="character" w:customStyle="1" w:styleId="235">
    <w:name w:val="日期 字符"/>
    <w:link w:val="31"/>
    <w:qFormat/>
    <w:uiPriority w:val="0"/>
    <w:rPr>
      <w:rFonts w:ascii="宋体"/>
      <w:sz w:val="28"/>
    </w:rPr>
  </w:style>
  <w:style w:type="character" w:customStyle="1" w:styleId="236">
    <w:name w:val="批注框文本 字符"/>
    <w:link w:val="34"/>
    <w:qFormat/>
    <w:uiPriority w:val="0"/>
    <w:rPr>
      <w:rFonts w:ascii="Calibri" w:hAnsi="Calibri" w:eastAsia="宋体"/>
      <w:sz w:val="18"/>
      <w:szCs w:val="18"/>
      <w:lang w:val="en-US" w:eastAsia="zh-CN" w:bidi="ar-SA"/>
    </w:rPr>
  </w:style>
  <w:style w:type="character" w:customStyle="1" w:styleId="237">
    <w:name w:val="页脚 字符"/>
    <w:link w:val="35"/>
    <w:qFormat/>
    <w:uiPriority w:val="0"/>
    <w:rPr>
      <w:rFonts w:eastAsia="宋体"/>
      <w:sz w:val="18"/>
      <w:lang w:val="en-US" w:eastAsia="zh-CN" w:bidi="ar-SA"/>
    </w:rPr>
  </w:style>
  <w:style w:type="character" w:customStyle="1" w:styleId="238">
    <w:name w:val="页眉 字符"/>
    <w:link w:val="36"/>
    <w:qFormat/>
    <w:uiPriority w:val="0"/>
    <w:rPr>
      <w:rFonts w:eastAsia="宋体"/>
      <w:sz w:val="18"/>
      <w:lang w:val="en-US" w:eastAsia="zh-CN" w:bidi="ar-SA"/>
    </w:rPr>
  </w:style>
  <w:style w:type="character" w:customStyle="1" w:styleId="239">
    <w:name w:val="签名 字符"/>
    <w:link w:val="37"/>
    <w:qFormat/>
    <w:uiPriority w:val="0"/>
    <w:rPr>
      <w:rFonts w:eastAsia="仿宋_GB2312"/>
      <w:sz w:val="24"/>
    </w:rPr>
  </w:style>
  <w:style w:type="paragraph" w:customStyle="1" w:styleId="240">
    <w:name w:val="目录 1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customStyle="1" w:styleId="241">
    <w:name w:val="目录 41"/>
    <w:basedOn w:val="1"/>
    <w:next w:val="1"/>
    <w:semiHidden/>
    <w:qFormat/>
    <w:uiPriority w:val="0"/>
    <w:pPr>
      <w:ind w:left="630"/>
      <w:jc w:val="left"/>
    </w:pPr>
    <w:rPr>
      <w:szCs w:val="21"/>
    </w:rPr>
  </w:style>
  <w:style w:type="character" w:customStyle="1" w:styleId="242">
    <w:name w:val="副标题 字符"/>
    <w:link w:val="42"/>
    <w:qFormat/>
    <w:uiPriority w:val="0"/>
    <w:rPr>
      <w:rFonts w:ascii="Cambria" w:hAnsi="Cambria" w:eastAsia="宋体"/>
      <w:b/>
      <w:bCs/>
      <w:sz w:val="32"/>
      <w:szCs w:val="32"/>
      <w:lang w:val="en-US" w:eastAsia="zh-CN" w:bidi="ar-SA"/>
    </w:rPr>
  </w:style>
  <w:style w:type="paragraph" w:customStyle="1" w:styleId="243">
    <w:name w:val="目录 61"/>
    <w:basedOn w:val="1"/>
    <w:next w:val="1"/>
    <w:semiHidden/>
    <w:qFormat/>
    <w:uiPriority w:val="0"/>
    <w:pPr>
      <w:ind w:left="1050"/>
      <w:jc w:val="left"/>
    </w:pPr>
    <w:rPr>
      <w:szCs w:val="21"/>
    </w:rPr>
  </w:style>
  <w:style w:type="paragraph" w:customStyle="1" w:styleId="244">
    <w:name w:val="目录 21"/>
    <w:basedOn w:val="1"/>
    <w:next w:val="1"/>
    <w:qFormat/>
    <w:uiPriority w:val="39"/>
    <w:pPr>
      <w:tabs>
        <w:tab w:val="right" w:leader="dot" w:pos="9450"/>
      </w:tabs>
      <w:spacing w:line="400" w:lineRule="exact"/>
      <w:ind w:left="525"/>
      <w:jc w:val="left"/>
    </w:pPr>
    <w:rPr>
      <w:rFonts w:ascii="宋体" w:hAnsi="宋体"/>
      <w:b/>
      <w:bCs/>
      <w:smallCaps/>
      <w:sz w:val="24"/>
      <w:szCs w:val="24"/>
    </w:rPr>
  </w:style>
  <w:style w:type="paragraph" w:customStyle="1" w:styleId="245">
    <w:name w:val="目录 91"/>
    <w:basedOn w:val="1"/>
    <w:next w:val="1"/>
    <w:semiHidden/>
    <w:qFormat/>
    <w:uiPriority w:val="0"/>
    <w:pPr>
      <w:ind w:left="1680"/>
      <w:jc w:val="left"/>
    </w:pPr>
    <w:rPr>
      <w:szCs w:val="21"/>
    </w:rPr>
  </w:style>
  <w:style w:type="character" w:customStyle="1" w:styleId="246">
    <w:name w:val="HTML 预设格式 字符"/>
    <w:link w:val="51"/>
    <w:qFormat/>
    <w:uiPriority w:val="99"/>
    <w:rPr>
      <w:rFonts w:ascii="宋体" w:hAnsi="宋体" w:cs="宋体"/>
      <w:sz w:val="24"/>
      <w:szCs w:val="24"/>
    </w:rPr>
  </w:style>
  <w:style w:type="character" w:customStyle="1" w:styleId="247">
    <w:name w:val="标题 字符"/>
    <w:link w:val="54"/>
    <w:qFormat/>
    <w:uiPriority w:val="0"/>
    <w:rPr>
      <w:rFonts w:ascii="Cambria" w:hAnsi="Cambria" w:eastAsia="宋体"/>
      <w:b/>
      <w:bCs/>
      <w:sz w:val="32"/>
      <w:szCs w:val="32"/>
      <w:lang w:val="en-US" w:eastAsia="zh-CN" w:bidi="ar-SA"/>
    </w:rPr>
  </w:style>
  <w:style w:type="character" w:customStyle="1" w:styleId="248">
    <w:name w:val="批注主题 字符"/>
    <w:link w:val="55"/>
    <w:qFormat/>
    <w:uiPriority w:val="0"/>
    <w:rPr>
      <w:b/>
      <w:bCs/>
      <w:sz w:val="21"/>
    </w:rPr>
  </w:style>
  <w:style w:type="character" w:customStyle="1" w:styleId="249">
    <w:name w:val="已访问的超链接1"/>
    <w:qFormat/>
    <w:uiPriority w:val="0"/>
    <w:rPr>
      <w:color w:val="800080"/>
      <w:u w:val="none"/>
    </w:rPr>
  </w:style>
  <w:style w:type="character" w:customStyle="1" w:styleId="250">
    <w:name w:val="font31"/>
    <w:qFormat/>
    <w:uiPriority w:val="0"/>
    <w:rPr>
      <w:rFonts w:ascii="Arial" w:hAnsi="Arial" w:cs="Arial"/>
      <w:color w:val="000000"/>
      <w:sz w:val="20"/>
      <w:szCs w:val="20"/>
      <w:u w:val="none"/>
    </w:rPr>
  </w:style>
  <w:style w:type="character" w:customStyle="1" w:styleId="251">
    <w:name w:val="王兴华的论文正文 Char"/>
    <w:link w:val="252"/>
    <w:qFormat/>
    <w:uiPriority w:val="0"/>
    <w:rPr>
      <w:rFonts w:eastAsia="宋体"/>
      <w:sz w:val="24"/>
      <w:szCs w:val="24"/>
      <w:lang w:val="en-US" w:eastAsia="zh-CN" w:bidi="ar-SA"/>
    </w:rPr>
  </w:style>
  <w:style w:type="paragraph" w:customStyle="1" w:styleId="252">
    <w:name w:val="王兴华的论文正文"/>
    <w:basedOn w:val="13"/>
    <w:link w:val="251"/>
    <w:qFormat/>
    <w:uiPriority w:val="0"/>
    <w:pPr>
      <w:spacing w:line="360" w:lineRule="auto"/>
      <w:ind w:firstLine="200"/>
    </w:pPr>
    <w:rPr>
      <w:sz w:val="24"/>
      <w:szCs w:val="24"/>
    </w:rPr>
  </w:style>
  <w:style w:type="character" w:customStyle="1" w:styleId="253">
    <w:name w:val="无间隔 字符"/>
    <w:link w:val="86"/>
    <w:qFormat/>
    <w:uiPriority w:val="0"/>
    <w:rPr>
      <w:rFonts w:ascii="Calibri" w:hAnsi="Calibri"/>
      <w:sz w:val="22"/>
      <w:szCs w:val="22"/>
      <w:lang w:val="en-US" w:eastAsia="zh-CN" w:bidi="ar-SA"/>
    </w:rPr>
  </w:style>
  <w:style w:type="character" w:customStyle="1" w:styleId="254">
    <w:name w:val="font41"/>
    <w:qFormat/>
    <w:uiPriority w:val="0"/>
    <w:rPr>
      <w:rFonts w:hint="eastAsia" w:ascii="宋体" w:hAnsi="宋体" w:eastAsia="宋体" w:cs="宋体"/>
      <w:color w:val="000000"/>
      <w:sz w:val="20"/>
      <w:szCs w:val="20"/>
      <w:u w:val="none"/>
    </w:rPr>
  </w:style>
  <w:style w:type="paragraph" w:customStyle="1" w:styleId="255">
    <w:name w:val="正文序号 3"/>
    <w:basedOn w:val="1"/>
    <w:qFormat/>
    <w:uiPriority w:val="0"/>
    <w:pPr>
      <w:tabs>
        <w:tab w:val="left" w:pos="1259"/>
      </w:tabs>
      <w:spacing w:before="60"/>
      <w:ind w:left="1259" w:hanging="420"/>
    </w:pPr>
    <w:rPr>
      <w:szCs w:val="24"/>
    </w:rPr>
  </w:style>
  <w:style w:type="paragraph" w:customStyle="1" w:styleId="256">
    <w:name w:val="纯文本2"/>
    <w:basedOn w:val="1"/>
    <w:qFormat/>
    <w:uiPriority w:val="0"/>
    <w:pPr>
      <w:widowControl/>
      <w:jc w:val="left"/>
    </w:pPr>
    <w:rPr>
      <w:rFonts w:ascii="宋体" w:hAnsi="Courier New" w:eastAsia="楷体_GB2312"/>
      <w:sz w:val="26"/>
    </w:rPr>
  </w:style>
  <w:style w:type="paragraph" w:customStyle="1" w:styleId="257">
    <w:name w:val="正文序号 1"/>
    <w:basedOn w:val="1"/>
    <w:qFormat/>
    <w:uiPriority w:val="0"/>
    <w:pPr>
      <w:tabs>
        <w:tab w:val="left" w:pos="839"/>
      </w:tabs>
      <w:spacing w:before="60"/>
      <w:ind w:left="839" w:hanging="419"/>
    </w:pPr>
    <w:rPr>
      <w:szCs w:val="24"/>
    </w:rPr>
  </w:style>
  <w:style w:type="paragraph" w:customStyle="1" w:styleId="258">
    <w:name w:val="列出段落1"/>
    <w:basedOn w:val="1"/>
    <w:next w:val="33"/>
    <w:qFormat/>
    <w:uiPriority w:val="0"/>
    <w:pPr>
      <w:spacing w:line="360" w:lineRule="auto"/>
      <w:ind w:firstLine="200"/>
    </w:pPr>
    <w:rPr>
      <w:rFonts w:ascii="Calibri" w:hAnsi="Calibri"/>
    </w:rPr>
  </w:style>
  <w:style w:type="paragraph" w:customStyle="1" w:styleId="259">
    <w:name w:val="Char Char Char"/>
    <w:basedOn w:val="1"/>
    <w:qFormat/>
    <w:uiPriority w:val="0"/>
    <w:pPr>
      <w:numPr>
        <w:ilvl w:val="0"/>
        <w:numId w:val="1"/>
      </w:numPr>
      <w:tabs>
        <w:tab w:val="left" w:pos="1545"/>
      </w:tabs>
    </w:pPr>
  </w:style>
  <w:style w:type="paragraph" w:customStyle="1" w:styleId="260">
    <w:name w:val="Char Char Char Char"/>
    <w:basedOn w:val="16"/>
    <w:qFormat/>
    <w:uiPriority w:val="0"/>
    <w:pPr>
      <w:spacing w:line="360" w:lineRule="auto"/>
    </w:pPr>
    <w:rPr>
      <w:rFonts w:ascii="Tahoma" w:hAnsi="Tahoma"/>
      <w:sz w:val="24"/>
      <w:szCs w:val="24"/>
    </w:rPr>
  </w:style>
  <w:style w:type="paragraph" w:customStyle="1" w:styleId="261">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262">
    <w:name w:val="Char Char1 Char Char Char Char Char Char Char"/>
    <w:basedOn w:val="1"/>
    <w:qFormat/>
    <w:uiPriority w:val="0"/>
    <w:rPr>
      <w:rFonts w:ascii="Tahoma" w:hAnsi="Tahoma"/>
      <w:sz w:val="24"/>
    </w:rPr>
  </w:style>
  <w:style w:type="paragraph" w:customStyle="1" w:styleId="263">
    <w:name w:val="正文缩进1"/>
    <w:basedOn w:val="1"/>
    <w:qFormat/>
    <w:uiPriority w:val="0"/>
    <w:pPr>
      <w:ind w:firstLine="420"/>
      <w:jc w:val="left"/>
    </w:pPr>
    <w:rPr>
      <w:rFonts w:ascii="宋体" w:hAnsi="Calibri"/>
      <w:sz w:val="24"/>
      <w:szCs w:val="22"/>
    </w:rPr>
  </w:style>
  <w:style w:type="paragraph" w:customStyle="1" w:styleId="264">
    <w:name w:val="索引 11"/>
    <w:basedOn w:val="1"/>
    <w:next w:val="1"/>
    <w:qFormat/>
    <w:uiPriority w:val="0"/>
    <w:pPr>
      <w:spacing w:line="360" w:lineRule="auto"/>
    </w:pPr>
    <w:rPr>
      <w:rFonts w:ascii="仿宋_GB2312" w:eastAsia="仿宋_GB2312"/>
      <w:sz w:val="24"/>
    </w:rPr>
  </w:style>
  <w:style w:type="paragraph" w:customStyle="1" w:styleId="265">
    <w:name w:val="Char"/>
    <w:basedOn w:val="1"/>
    <w:qFormat/>
    <w:uiPriority w:val="0"/>
    <w:pPr>
      <w:numPr>
        <w:ilvl w:val="0"/>
        <w:numId w:val="2"/>
      </w:numPr>
    </w:pPr>
    <w:rPr>
      <w:sz w:val="24"/>
      <w:szCs w:val="24"/>
    </w:rPr>
  </w:style>
  <w:style w:type="paragraph" w:customStyle="1" w:styleId="266">
    <w:name w:val="列出段落2"/>
    <w:basedOn w:val="1"/>
    <w:qFormat/>
    <w:uiPriority w:val="0"/>
    <w:pPr>
      <w:spacing w:line="360" w:lineRule="auto"/>
      <w:ind w:firstLine="420"/>
    </w:pPr>
    <w:rPr>
      <w:rFonts w:ascii="Calibri" w:hAnsi="Calibri"/>
      <w:sz w:val="24"/>
      <w:szCs w:val="22"/>
    </w:rPr>
  </w:style>
  <w:style w:type="paragraph" w:customStyle="1" w:styleId="267">
    <w:name w:val="+正文"/>
    <w:basedOn w:val="1"/>
    <w:qFormat/>
    <w:uiPriority w:val="0"/>
    <w:pPr>
      <w:spacing w:line="360" w:lineRule="auto"/>
      <w:ind w:firstLine="200"/>
    </w:pPr>
    <w:rPr>
      <w:sz w:val="24"/>
      <w:szCs w:val="28"/>
    </w:rPr>
  </w:style>
  <w:style w:type="paragraph" w:customStyle="1" w:styleId="268">
    <w:name w:val="正文序号 2"/>
    <w:basedOn w:val="1"/>
    <w:qFormat/>
    <w:uiPriority w:val="0"/>
    <w:pPr>
      <w:tabs>
        <w:tab w:val="left" w:pos="1049"/>
      </w:tabs>
      <w:spacing w:before="60"/>
      <w:ind w:left="1049" w:hanging="420"/>
    </w:pPr>
    <w:rPr>
      <w:szCs w:val="24"/>
    </w:rPr>
  </w:style>
  <w:style w:type="paragraph" w:customStyle="1" w:styleId="269">
    <w:name w:val="纯文本1"/>
    <w:basedOn w:val="1"/>
    <w:qFormat/>
    <w:uiPriority w:val="0"/>
    <w:rPr>
      <w:rFonts w:ascii="宋体" w:hAnsi="Courier New"/>
      <w:szCs w:val="22"/>
    </w:rPr>
  </w:style>
  <w:style w:type="paragraph" w:customStyle="1" w:styleId="270">
    <w:name w:val="Char1 Char Char Char"/>
    <w:basedOn w:val="1"/>
    <w:qFormat/>
    <w:uiPriority w:val="0"/>
    <w:rPr>
      <w:rFonts w:ascii="Tahoma" w:hAnsi="Tahoma"/>
      <w:sz w:val="24"/>
    </w:rPr>
  </w:style>
  <w:style w:type="paragraph" w:customStyle="1" w:styleId="271">
    <w:name w:val="样式1"/>
    <w:basedOn w:val="1"/>
    <w:qFormat/>
    <w:uiPriority w:val="0"/>
    <w:pPr>
      <w:numPr>
        <w:ilvl w:val="0"/>
        <w:numId w:val="3"/>
      </w:numPr>
    </w:pPr>
    <w:rPr>
      <w:rFonts w:ascii="宋体" w:hAnsi="宋体"/>
      <w:szCs w:val="21"/>
    </w:rPr>
  </w:style>
  <w:style w:type="paragraph" w:customStyle="1" w:styleId="272">
    <w:name w:val="Char Char1 Char Char Char Char Char Char Char1"/>
    <w:basedOn w:val="1"/>
    <w:qFormat/>
    <w:uiPriority w:val="0"/>
    <w:rPr>
      <w:rFonts w:ascii="Tahoma" w:hAnsi="Tahoma"/>
      <w:sz w:val="24"/>
    </w:rPr>
  </w:style>
  <w:style w:type="paragraph" w:customStyle="1" w:styleId="273">
    <w:name w:val="_Style 20"/>
    <w:basedOn w:val="1"/>
    <w:next w:val="274"/>
    <w:qFormat/>
    <w:uiPriority w:val="34"/>
    <w:pPr>
      <w:ind w:firstLine="420"/>
    </w:pPr>
    <w:rPr>
      <w:szCs w:val="22"/>
    </w:rPr>
  </w:style>
  <w:style w:type="paragraph" w:styleId="274">
    <w:name w:val="List Paragraph"/>
    <w:basedOn w:val="1"/>
    <w:qFormat/>
    <w:uiPriority w:val="34"/>
    <w:pPr>
      <w:ind w:firstLine="420"/>
    </w:pPr>
    <w:rPr>
      <w:rFonts w:ascii="Calibri" w:hAnsi="Calibri"/>
    </w:rPr>
  </w:style>
  <w:style w:type="paragraph" w:customStyle="1" w:styleId="275">
    <w:name w:val="表名称"/>
    <w:basedOn w:val="13"/>
    <w:next w:val="1"/>
    <w:qFormat/>
    <w:uiPriority w:val="0"/>
    <w:pPr>
      <w:numPr>
        <w:ilvl w:val="0"/>
        <w:numId w:val="4"/>
      </w:numPr>
      <w:ind w:firstLine="0"/>
      <w:jc w:val="center"/>
    </w:pPr>
  </w:style>
  <w:style w:type="character" w:customStyle="1" w:styleId="276">
    <w:name w:val="hover"/>
    <w:qFormat/>
    <w:uiPriority w:val="0"/>
    <w:rPr>
      <w:color w:val="5FB878"/>
    </w:rPr>
  </w:style>
  <w:style w:type="character" w:customStyle="1" w:styleId="277">
    <w:name w:val="hover1"/>
    <w:qFormat/>
    <w:uiPriority w:val="0"/>
    <w:rPr>
      <w:color w:val="FFFFFF"/>
    </w:rPr>
  </w:style>
  <w:style w:type="character" w:customStyle="1" w:styleId="278">
    <w:name w:val="hover2"/>
    <w:qFormat/>
    <w:uiPriority w:val="0"/>
    <w:rPr>
      <w:color w:val="5FB878"/>
    </w:rPr>
  </w:style>
  <w:style w:type="character" w:customStyle="1" w:styleId="279">
    <w:name w:val="hover3"/>
    <w:qFormat/>
    <w:uiPriority w:val="0"/>
    <w:rPr>
      <w:color w:val="5FB878"/>
    </w:rPr>
  </w:style>
  <w:style w:type="paragraph" w:customStyle="1" w:styleId="28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1">
    <w:name w:val="修订1"/>
    <w:hidden/>
    <w:semiHidden/>
    <w:qFormat/>
    <w:uiPriority w:val="99"/>
    <w:rPr>
      <w:rFonts w:ascii="Times New Roman" w:hAnsi="Times New Roman" w:eastAsia="宋体" w:cs="Times New Roman"/>
      <w:sz w:val="21"/>
      <w:lang w:val="en-US" w:eastAsia="zh-CN" w:bidi="ar-SA"/>
    </w:rPr>
  </w:style>
  <w:style w:type="table" w:customStyle="1" w:styleId="282">
    <w:name w:val="网格型1"/>
    <w:basedOn w:val="5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3">
    <w:name w:val="正文文本缩进1"/>
    <w:basedOn w:val="1"/>
    <w:next w:val="284"/>
    <w:qFormat/>
    <w:uiPriority w:val="0"/>
    <w:pPr>
      <w:spacing w:line="312" w:lineRule="atLeast"/>
      <w:ind w:firstLine="574"/>
    </w:pPr>
    <w:rPr>
      <w:rFonts w:ascii="宋体"/>
      <w:sz w:val="28"/>
    </w:rPr>
  </w:style>
  <w:style w:type="paragraph" w:customStyle="1" w:styleId="284">
    <w:name w:val="寄信人地址1"/>
    <w:basedOn w:val="1"/>
    <w:qFormat/>
    <w:uiPriority w:val="0"/>
    <w:rPr>
      <w:rFonts w:ascii="Arial" w:hAnsi="Arial"/>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BC1D33-B761-4EC4-8E2C-574B1B7112CD}">
  <ds:schemaRefs/>
</ds:datastoreItem>
</file>

<file path=docProps/app.xml><?xml version="1.0" encoding="utf-8"?>
<Properties xmlns="http://schemas.openxmlformats.org/officeDocument/2006/extended-properties" xmlns:vt="http://schemas.openxmlformats.org/officeDocument/2006/docPropsVTypes">
  <Template>Normal</Template>
  <Pages>51</Pages>
  <Words>373</Words>
  <Characters>433</Characters>
  <Lines>200</Lines>
  <Paragraphs>56</Paragraphs>
  <TotalTime>28</TotalTime>
  <ScaleCrop>false</ScaleCrop>
  <LinksUpToDate>false</LinksUpToDate>
  <CharactersWithSpaces>477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2025-10-15T08:59:00Z</dcterms:created>
  <dc:creator>us</dc:creator>
  <cp:lastModifiedBy>你微笑时很美</cp:lastModifiedBy>
  <cp:lastPrinted>2024-03-08T01:26:00Z</cp:lastPrinted>
  <dcterms:modified xsi:type="dcterms:W3CDTF">2026-06-03T03:13:52Z</dcterms:modified>
  <dc:title>招  标 </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eyJoZGlkIjoiYzdjMmViYzM2ZWM1MjUzY2Y4YmY0ZjhlZmM5ODg4ZTIiLCJ1c2VySWQiOiIzMjc1ODQxMDAifQ==</vt:lpwstr>
  </property>
  <property fmtid="{D5CDD505-2E9C-101B-9397-08002B2CF9AE}" pid="3" name="KSOProductBuildVer">
    <vt:lpwstr>2052-12.1.0.26375</vt:lpwstr>
  </property>
  <property fmtid="{D5CDD505-2E9C-101B-9397-08002B2CF9AE}" pid="4" name="ICV">
    <vt:lpwstr>A25D6CD5485E4C9B9C74CDDDFC275F51_13</vt:lpwstr>
  </property>
</Properties>
</file>