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96"/>
        </w:rPr>
        <w:t xml:space="preserve">竞争性磋商文件</w:t>
      </w:r>
      <w:r/>
    </w:p>
    <w:p>
      <w:pPr>
        <w:ind w:left="0" w:right="0" w:firstLine="261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项目名称：2026年度江苏省人社一体化信息平台南京公共服务</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运维项目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项目编号：</w:t>
      </w:r>
      <w:r>
        <w:rPr>
          <w:rFonts w:ascii="FangSong" w:hAnsi="FangSong" w:eastAsia="FangSong" w:cs="FangSong"/>
          <w:b/>
          <w:color w:val="000000"/>
          <w:sz w:val="32"/>
        </w:rPr>
        <w:t xml:space="preserve">JSZC-320100-JSGX-C2026-0013</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b/>
          <w:color w:val="000000"/>
          <w:sz w:val="30"/>
        </w:rPr>
        <w:t xml:space="preserve">   </w:t>
      </w:r>
      <w:r>
        <w:rPr>
          <w:rFonts w:ascii="FangSong" w:hAnsi="FangSong" w:eastAsia="FangSong" w:cs="FangSong"/>
          <w:color w:val="000000"/>
          <w:sz w:val="21"/>
        </w:rPr>
        <w:t xml:space="preserve">  </w:t>
      </w:r>
      <w:r>
        <w:rPr>
          <w:rFonts w:ascii="FangSong" w:hAnsi="FangSong" w:eastAsia="FangSong" w:cs="FangSong"/>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采购人名称：</w:t>
      </w:r>
      <w:r>
        <w:rPr>
          <w:rFonts w:ascii="FangSong" w:hAnsi="FangSong" w:eastAsia="FangSong" w:cs="FangSong"/>
          <w:b/>
          <w:color w:val="000000"/>
          <w:sz w:val="32"/>
        </w:rPr>
        <w:t xml:space="preserve">南京市人力资源和社会保障信息管理中心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采购代理机构：江苏国信政府采购服务中心有限公司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2026年6月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u w:val="none"/>
        </w:rPr>
        <w:t xml:space="preserve">目录</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759" w:history="1">
        <w:r>
          <w:rPr>
            <w:rStyle w:val="963"/>
            <w:rFonts w:ascii="FangSong" w:hAnsi="FangSong" w:eastAsia="FangSong" w:cs="FangSong"/>
            <w:color w:val="0000ee"/>
            <w:sz w:val="24"/>
            <w:u w:val="single"/>
          </w:rPr>
          <w:t xml:space="preserve">第一章 磋商邀请</w:t>
        </w:r>
      </w:hyperlink>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7990" w:history="1">
        <w:r>
          <w:rPr>
            <w:rStyle w:val="963"/>
            <w:rFonts w:ascii="FangSong" w:hAnsi="FangSong" w:eastAsia="FangSong" w:cs="FangSong"/>
            <w:color w:val="0000ee"/>
            <w:sz w:val="24"/>
            <w:u w:val="single"/>
          </w:rPr>
          <w:t xml:space="preserve">第二章 供应商须知</w:t>
        </w:r>
      </w:hyperlink>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355" w:history="1">
        <w:r>
          <w:rPr>
            <w:rStyle w:val="963"/>
            <w:rFonts w:ascii="FangSong" w:hAnsi="FangSong" w:eastAsia="FangSong" w:cs="FangSong"/>
            <w:color w:val="0000ee"/>
            <w:sz w:val="24"/>
            <w:u w:val="single"/>
          </w:rPr>
          <w:t xml:space="preserve">第三章 合同文本</w:t>
        </w:r>
      </w:hyperlink>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4620" w:history="1">
        <w:r>
          <w:rPr>
            <w:rStyle w:val="963"/>
            <w:rFonts w:ascii="FangSong" w:hAnsi="FangSong" w:eastAsia="FangSong" w:cs="FangSong"/>
            <w:color w:val="0000ee"/>
            <w:sz w:val="24"/>
            <w:u w:val="single"/>
          </w:rPr>
          <w:t xml:space="preserve">第四章</w:t>
        </w:r>
        <w:r>
          <w:rPr>
            <w:rStyle w:val="963"/>
            <w:rFonts w:ascii="FangSong" w:hAnsi="FangSong" w:eastAsia="FangSong" w:cs="FangSong"/>
            <w:color w:val="0000ee"/>
            <w:sz w:val="24"/>
            <w:u w:val="single"/>
          </w:rPr>
          <w:t xml:space="preserve"> 项目需求</w:t>
        </w:r>
      </w:hyperlink>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895" w:history="1">
        <w:r>
          <w:rPr>
            <w:rStyle w:val="963"/>
            <w:rFonts w:ascii="FangSong" w:hAnsi="FangSong" w:eastAsia="FangSong" w:cs="FangSong"/>
            <w:color w:val="0000ee"/>
            <w:sz w:val="24"/>
            <w:u w:val="single"/>
          </w:rPr>
          <w:t xml:space="preserve">第五章 评审方法与评审标准</w:t>
        </w:r>
      </w:hyperlink>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3868" w:history="1">
        <w:r>
          <w:rPr>
            <w:rStyle w:val="963"/>
            <w:rFonts w:ascii="FangSong" w:hAnsi="FangSong" w:eastAsia="FangSong" w:cs="FangSong"/>
            <w:color w:val="0000ee"/>
            <w:sz w:val="24"/>
            <w:u w:val="single"/>
          </w:rPr>
          <w:t xml:space="preserve">第六章 响应文件格式</w:t>
        </w:r>
      </w:hyperlink>
      <w:r/>
      <w:r/>
    </w:p>
    <w:p>
      <w:pPr>
        <w:ind w:left="210" w:right="0" w:firstLine="0"/>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91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第一章磋商邀请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南京市人力资源和社会保障信息管理中心的委托，江苏国信政府采购服务中心有限公司就2026年度江苏省人社一体化信息平台南京公共服务运维项目实施采购，本次采购采用竞争性磋商方式，欢迎符合条件的供应商参加磋商。</w:t>
      </w:r>
      <w:r/>
    </w:p>
    <w:p>
      <w:pPr>
        <w:ind w:left="0" w:right="0" w:firstLine="482"/>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b/>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2026年度江苏省人社一体化信息平台南京公共服务运维项目的潜在供应商应在</w:t>
      </w:r>
      <w:r>
        <w:rPr>
          <w:rFonts w:ascii="FangSong" w:hAnsi="FangSong" w:eastAsia="FangSong" w:cs="FangSong"/>
          <w:b/>
          <w:color w:val="000000"/>
          <w:sz w:val="24"/>
        </w:rPr>
        <w:t xml:space="preserve">江苏政府采购网</w:t>
      </w:r>
      <w:r>
        <w:rPr>
          <w:rFonts w:ascii="FangSong" w:hAnsi="FangSong" w:eastAsia="FangSong" w:cs="FangSong"/>
          <w:color w:val="000000"/>
          <w:sz w:val="24"/>
        </w:rPr>
        <w:t xml:space="preserve">获取磋商文件，并于2026年6月23日9时30分（北京时间）前递交响应文件。</w:t>
      </w:r>
      <w:r/>
    </w:p>
    <w:p>
      <w:pPr>
        <w:pStyle w:val="915"/>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1.项目编号：JSZC-320100-JSGX-C2026-0013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2.项目名称：2026年度江苏省人社一体化信息平台南京公共服务运维项目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4.预算金额：人民币119.18万元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5.最高限价：</w:t>
      </w:r>
      <w:r>
        <w:rPr>
          <w:rFonts w:ascii="FangSong" w:hAnsi="FangSong" w:eastAsia="FangSong" w:cs="FangSong"/>
          <w:b/>
          <w:i/>
          <w:color w:val="000000"/>
          <w:sz w:val="24"/>
          <w:u w:val="single"/>
        </w:rPr>
        <w:t xml:space="preserve">人民币119.18万元，报价超过此价格视为无效响应。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6.采购需求：2026年度江苏省人社一体化信息平台南京公共服务运维,具体详见项目需求。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7.合同履行期限：</w:t>
      </w:r>
      <w:r>
        <w:rPr>
          <w:rFonts w:ascii="FangSong" w:hAnsi="FangSong" w:eastAsia="FangSong" w:cs="FangSong"/>
          <w:color w:val="000000"/>
          <w:sz w:val="24"/>
          <w:u w:val="none"/>
        </w:rPr>
        <w:t xml:space="preserve">自合同签订之日起一年。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8.本项目是否属于专门面向中小企业采购项目：否。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9.本项目（是/否）接受联合体：否</w:t>
      </w:r>
      <w:r/>
    </w:p>
    <w:p>
      <w:pPr>
        <w:pStyle w:val="915"/>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二、供应商的资格要求：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w:t>
      </w:r>
      <w:r>
        <w:rPr>
          <w:rFonts w:ascii="FangSong" w:hAnsi="FangSong" w:eastAsia="FangSong" w:cs="FangSong"/>
          <w:color w:val="000000"/>
          <w:sz w:val="24"/>
        </w:rPr>
        <w:t xml:space="preserve">一）符合以下规定的条件，并提供下列材料；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（4）有依法缴纳税收的社会保障资金的良好记录；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（6）法律法规规定的其他条件：无。</w:t>
      </w:r>
      <w:r/>
    </w:p>
    <w:p>
      <w:pPr>
        <w:ind w:left="0" w:right="0" w:firstLine="0"/>
        <w:spacing w:before="0" w:after="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依据南京市财政局“关于在政府采购中推行信用承诺制的通知”，政府采购供应商只需在资格审查环节针对以上6项提供满足相应条件的书面承诺书（南京市政府采购供应商信用记录表暨信用承诺书），不再需要提供证明材料。供应商在中标（成交）后，应按采购文件要求，将由信用承诺书替代的证明材料提交采购人或采购代理机构核验。经核验无误后，由采购人或采购代理机构发出中标（成交）通知书。</w:t>
      </w:r>
      <w:r>
        <w:rPr>
          <w:rFonts w:ascii="FangSong" w:hAnsi="FangSong" w:eastAsia="FangSong" w:cs="FangSong"/>
          <w:b/>
          <w:color w:val="000000"/>
          <w:sz w:val="24"/>
        </w:rPr>
        <w:t xml:space="preserve">如供应商既未提供在线打印的“《南京市政府采购供应商信用记录表》”，也未提供以上6项的相关证明材料，将会被作为无效投标处理。</w:t>
      </w:r>
      <w:r/>
    </w:p>
    <w:p>
      <w:pPr>
        <w:ind w:left="0" w:right="0" w:firstLine="480"/>
        <w:spacing w:before="0" w:after="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（二）落实政府采购政策需满足的资格要求：</w:t>
      </w:r>
      <w:r/>
    </w:p>
    <w:p>
      <w:pPr>
        <w:ind w:left="0" w:right="0" w:firstLine="480"/>
        <w:spacing w:before="0" w:after="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本项目执行价格扣除优惠政策，具体详见采购文件。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（三）本项目的特定资格要求：</w:t>
      </w:r>
      <w:r>
        <w:rPr>
          <w:rFonts w:ascii="FangSong" w:hAnsi="FangSong" w:eastAsia="FangSong" w:cs="FangSong"/>
          <w:b/>
          <w:color w:val="000000"/>
          <w:sz w:val="24"/>
        </w:rPr>
        <w:t xml:space="preserve">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（2）供应商被“信用中国”（www.creditchina.gov.cn）、“中国政府采购网"(www.ccgp.gov.cn)等网站列入失信被执行人、重大税收违法案件当事人名单、政府采购严重违法失信行为记录名单。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（3）为采购项目提供整体设计、规范编制或者项目管理、监理、检测等服务供应商参加本项目的采购活动。</w:t>
      </w:r>
      <w:r/>
    </w:p>
    <w:p>
      <w:pPr>
        <w:pStyle w:val="915"/>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三、获取</w:t>
      </w:r>
      <w:r>
        <w:rPr>
          <w:rFonts w:ascii="FangSong" w:hAnsi="FangSong" w:eastAsia="FangSong" w:cs="FangSong"/>
          <w:b/>
          <w:color w:val="000000"/>
          <w:sz w:val="24"/>
        </w:rPr>
        <w:t xml:space="preserve">磋商文件</w:t>
      </w:r>
      <w:r/>
    </w:p>
    <w:p>
      <w:pPr>
        <w:ind w:left="0" w:right="0" w:firstLine="539"/>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时间：</w:t>
      </w:r>
      <w:r>
        <w:rPr>
          <w:rFonts w:ascii="FangSong" w:hAnsi="FangSong" w:eastAsia="FangSong" w:cs="FangSong"/>
          <w:color w:val="000000"/>
          <w:sz w:val="24"/>
        </w:rPr>
        <w:t xml:space="preserve">2026年6月11日至2026年6月17日，每天上午09:00至12:00，下午14:00至17:00（北京时间，法定节假日除外）。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地点：江苏政府采购网</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获取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标书工本费（售价）：0元</w:t>
      </w:r>
      <w:r/>
    </w:p>
    <w:p>
      <w:pPr>
        <w:pStyle w:val="915"/>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四、提交响应文件截止时间、磋商时间和地点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时间：202</w:t>
      </w:r>
      <w:r>
        <w:rPr>
          <w:rFonts w:ascii="FangSong" w:hAnsi="FangSong" w:eastAsia="FangSong" w:cs="FangSong"/>
          <w:color w:val="000000"/>
          <w:sz w:val="24"/>
        </w:rPr>
        <w:t xml:space="preserve">6年6月23日9:30（北京时间）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地点：江苏省政府采购交易系统（以下简称“苏采云系统”）网上开标大厅</w:t>
      </w:r>
      <w:r/>
    </w:p>
    <w:p>
      <w:pPr>
        <w:pStyle w:val="915"/>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时间：2026年6月23日9:30(北京时间)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地点：江苏政府采购网“苏采云”系统网上开标大厅</w:t>
      </w:r>
      <w:r/>
    </w:p>
    <w:p>
      <w:pPr>
        <w:pStyle w:val="915"/>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自本公告发布之日起3个工作日。</w:t>
      </w:r>
      <w:r/>
    </w:p>
    <w:p>
      <w:pPr>
        <w:pStyle w:val="915"/>
        <w:ind w:left="0" w:right="0" w:firstLine="37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七</w:t>
      </w:r>
      <w:r>
        <w:rPr>
          <w:rFonts w:ascii="FangSong" w:hAnsi="FangSong" w:eastAsia="FangSong" w:cs="FangSong"/>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w:t>
      </w:r>
      <w:r>
        <w:rPr>
          <w:rFonts w:ascii="FangSong" w:hAnsi="FangSong" w:eastAsia="FangSong" w:cs="FangSong"/>
          <w:color w:val="000000"/>
          <w:sz w:val="24"/>
        </w:rPr>
        <w:t xml:space="preserve">供应商诚信档案注册登记管理：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磋商文件，但必须在响应文件提交截止时间前2天内办理登记注册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（2）南京市政府采购供应商诚信档案管理系统客服电话：025-52718366；供应商可就用户注册与打印《南京市政府采购供应商信用记录表》等事宜进行咨询。</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2.潜在供应商访问政府采购管理交易系统（苏采云）的网络地址和方法：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“CA数字证书”的办理材料以及供应商操作手册详见：http://jsxcmm.com/help/gys.html。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（4）潜在供应商访问“苏采云”系统的网络地址和方法：“苏采云”系统的网址：http://jszfcg.jsczt.cn/jszc/login。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（5）采购文件（后缀名为“.kedt”）、供应商操作手册及政府采购客户端工具也可通过“苏采云”系统--已报名项目--报名详情页面内相应链接进行下载。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（6）招标代理机构（采购代理机构）将数据电文形式的采购文件加载至“苏采云”系统，供潜在供应商下载或者查阅。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（7）苏采云系统使用谷歌浏览器参与不见面开标。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（8）“苏采云”南京地区客服热线025-83633744、025-83633743，其他地区客服热线详见江苏政府采购网。</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b/>
          <w:color w:val="000000"/>
          <w:sz w:val="24"/>
        </w:rPr>
        <w:t xml:space="preserve">项目所属行业：</w:t>
      </w:r>
      <w:r>
        <w:rPr>
          <w:rFonts w:ascii="FangSong" w:hAnsi="FangSong" w:eastAsia="FangSong" w:cs="FangSong"/>
          <w:b/>
          <w:color w:val="000000"/>
          <w:sz w:val="24"/>
          <w:u w:val="none"/>
        </w:rPr>
        <w:t xml:space="preserve">本项目所属行业为“软件和信息技术服务业‌”。</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5.本项目以“江苏政府采购网”的具体公告内容为准。</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6.本项目不允许分包、转包。</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7.本项目不接受进口产品响应（注：本文件所称进口产品是指通过中国海关报关验放进入中国境内且产自关境外的产品）。</w:t>
      </w:r>
      <w:r/>
    </w:p>
    <w:p>
      <w:pPr>
        <w:pStyle w:val="915"/>
        <w:ind w:left="0"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八、本次磋商联系方式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名称：南京市人力资源和社会保障信息管理中心</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地址：南京市秦淮区游府西街53号</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联系人：程家骐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none"/>
        </w:rPr>
        <w:t xml:space="preserve">025-84503185</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2.招标代理信息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名称：江苏国信政府采购服务中心有限公司</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地址：南京市鼓楼区水佑岗6号京东产业园8F</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联系人：赵辰慧</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联系方式：18912930658、025-58615188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80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第二章供应商须知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供应商须知前附表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1933"/>
        <w:gridCol w:w="4854"/>
      </w:tblGrid>
      <w:tr>
        <w:trPr>
          <w:trHeight w:val="5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  容</w:t>
            </w:r>
            <w:r/>
          </w:p>
        </w:tc>
      </w:tr>
      <w:tr>
        <w:trPr>
          <w:trHeight w:val="1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名称：南京市人力资源和社会保障信息管理中心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地址：南京市秦淮区游府西街53号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联系人：程家骐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联系方式：025-84503185</w:t>
            </w:r>
            <w:r/>
          </w:p>
        </w:tc>
      </w:tr>
      <w:tr>
        <w:trPr>
          <w:trHeight w:val="1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名称：江苏国信政府采购服务中心有限公司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地址：南京市鼓楼区水佑岗6号京东产业园8F</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联系人：赵工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联系方式：18912930658、025-58615188</w:t>
            </w:r>
            <w:r/>
          </w:p>
        </w:tc>
      </w:tr>
      <w:tr>
        <w:trPr>
          <w:trHeight w:val="6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2026年度江苏省人社一体化信息平台南京公共服务运维项目</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JSZC-320100-JSGX-C2026-0013</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人民币119.18万元</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w:t>
            </w:r>
            <w:r/>
          </w:p>
        </w:tc>
      </w:tr>
      <w:tr>
        <w:trPr>
          <w:trHeight w:val="6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现场勘查/集中答疑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本项目不统一组织现场勘查及答疑</w:t>
            </w:r>
            <w:r/>
          </w:p>
        </w:tc>
      </w:tr>
      <w:tr>
        <w:trPr>
          <w:trHeight w:val="2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rPr>
                <w:rFonts w:ascii="FangSong" w:hAnsi="FangSong" w:eastAsia="FangSong" w:cs="FangSong"/>
                <w:b/>
                <w:color w:val="000000"/>
                <w:sz w:val="24"/>
              </w:rPr>
              <w:t xml:space="preserve">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要求提供。数额不得超过采购项目预算金额的2%，本项目的磋商保证金为人民币______元，提交方式为______。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收款人户名：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注：以电汇方式递交磋商保证金须在电汇凭据附言栏中写明项目编号、分包号及用途(磋商保证金)。</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响应文件接收时间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rPr>
                <w:rFonts w:ascii="FangSong" w:hAnsi="FangSong" w:eastAsia="FangSong" w:cs="FangSong"/>
                <w:color w:val="000000"/>
                <w:sz w:val="24"/>
                <w:u w:val="none"/>
              </w:rPr>
              <w:t xml:space="preserve">202</w:t>
            </w:r>
            <w:r>
              <w:rPr>
                <w:rFonts w:ascii="FangSong" w:hAnsi="FangSong" w:eastAsia="FangSong" w:cs="FangSong"/>
                <w:color w:val="000000"/>
                <w:sz w:val="24"/>
              </w:rPr>
              <w:t xml:space="preserve">6年6月23日9:30（北京时间）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接收地点： 江苏政府采购网“苏采云”系统网上开标大厅</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响应文件启封时间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时间：2026年6月23日9:30（北京时间）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地点：江苏政府采购网“苏采云”系统网上开标大厅</w:t>
            </w:r>
            <w:r/>
          </w:p>
        </w:tc>
      </w:tr>
      <w:tr>
        <w:trPr>
          <w:trHeight w:val="1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电子投标文件一份于开标截止时间前网上递交。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中标人于签订合同前打印一份正本材料递交至采购人。</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响应截止时间后六十天</w:t>
            </w:r>
            <w:r/>
          </w:p>
        </w:tc>
      </w:tr>
      <w:tr>
        <w:trPr>
          <w:trHeight w:val="11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4"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本项目招标代理服务费和专家评审费由采购人支付。</w:t>
            </w:r>
            <w:r/>
          </w:p>
        </w:tc>
      </w:tr>
    </w:tbl>
    <w:p>
      <w:pPr>
        <w:ind w:left="0" w:right="0" w:firstLine="1785"/>
        <w:jc w:val="both"/>
        <w:spacing w:before="0" w:after="15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1785"/>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（参加竞争性磋商的供应商以下简称“磋商供应商”）</w:t>
      </w:r>
      <w:r/>
    </w:p>
    <w:p>
      <w:pPr>
        <w:pStyle w:val="91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一、总则</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w:t>
      </w:r>
      <w:r>
        <w:rPr>
          <w:rFonts w:ascii="FangSong" w:hAnsi="FangSong" w:eastAsia="FangSong" w:cs="FangSong"/>
          <w:b/>
          <w:color w:val="000000"/>
          <w:sz w:val="24"/>
        </w:rPr>
        <w:t xml:space="preserve">.采购方式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 本次采取竞争性磋商的方式，本竞争性磋商文件（以下简称磋商文件）仅适用此项目。</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2.合格的</w:t>
      </w:r>
      <w:r>
        <w:rPr>
          <w:rFonts w:ascii="FangSong" w:hAnsi="FangSong" w:eastAsia="FangSong" w:cs="FangSong"/>
          <w:b/>
          <w:color w:val="000000"/>
          <w:sz w:val="24"/>
        </w:rPr>
        <w:t xml:space="preserve">磋商供应商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2.1满足本磋商文件“磋商邀请”中供应商资格要求的规定。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 满足本磋商文件实质性要求和条件的规定。</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3.适用法律</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3.1</w:t>
      </w:r>
      <w:r>
        <w:rPr>
          <w:rFonts w:ascii="FangSong" w:hAnsi="FangSong" w:eastAsia="FangSong" w:cs="FangSong"/>
          <w:color w:val="000000"/>
          <w:sz w:val="22"/>
        </w:rPr>
        <w:t xml:space="preserve">《中华人民共和国政府采购法》、《中华人民共和国政府采购法实施条例》、《政府采购竞争性磋商采购方式管理暂行办法》等有关法律、规章和规定等。</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4.政策功能</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4.1 政府采购促进中小企业发展，在政府采购活动中，供应商提供的服务符合下列情形的，享受中小企业扶持政策：</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（1）在服务采购项目中，服务由中小企业承接，即提供服务的人员为中小企业依照《中华人民共和国劳动合同法》订立劳动合同的从业人员。</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（2）以联合体形式参加政府采购活动，联合体各方均为中小企业的，联合体视同中小企业。其中，联合体各方均为小微企业的，联合体视同小微企业。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（3）中小企业供应商参加政府采购活动，应当出具《中小企业声明函》(格式见后附件)，否则不得享受相关中小企业扶持政策。</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统计局关于印发〈统计上大中小微型企业划分办法(2017)〉的通知》国统字〔2017〕213 号)确定的中型企业、小型企业和微型企业，但与大企业的负责人为同一人，或者与 大企业存在直接控股、管理关系的除外。符合中小企业划分标准的个体工商户，在政府采购活动中视同中小企业。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4.5 提供的产品属于信息安全产品的，供应商应当选择经国家认证的信息安全产品投标，并提供由中国信息安全认证中心按国家标准认证颁发的有效认证证书复印件。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4.6 提供的产品属于政府强制采购节能产品的，供应商应当选择依据国家标准中二级能效 (水效)指标认证的节能产品投标，并提供有效的节能产品认证证书复印件。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4.7 提供的产品属于环境标志产品的,供应商应当选择依据相关标准的最新版本认证的环境标志产品投标,并提供有效的环境标志产品认证证书复印件。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4.8未按要求提供相关材料的，不享受相关政策。</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5.磋商费用</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本项目招标代理服务费和专家评审费由采购人支付。</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6.磋商文件的约束力</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6.1 供应商一旦参加本项目采购活动，即被认为接受了本磋商文件的规定和约束。</w:t>
      </w:r>
      <w:r/>
    </w:p>
    <w:p>
      <w:pPr>
        <w:pStyle w:val="91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二、</w:t>
      </w:r>
      <w:r>
        <w:rPr>
          <w:rFonts w:ascii="FangSong" w:hAnsi="FangSong" w:eastAsia="FangSong" w:cs="FangSong"/>
          <w:b/>
          <w:color w:val="000000"/>
          <w:sz w:val="32"/>
        </w:rPr>
        <w:t xml:space="preserve">磋商文件</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7.磋商文件构成</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7.1 磋商文件由以下部分组成：</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（1）磋商邀请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（2）供应商须知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（3）合同文本</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（4）项目需求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（5）评审方法与评审标准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（6）响应文件格式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请仔细检查磋商文件是否齐全，如有缺漏请立即与招标代理联系解决。</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8.磋商文件的澄清</w:t>
      </w:r>
      <w:r>
        <w:rPr>
          <w:rFonts w:ascii="FangSong" w:hAnsi="FangSong" w:eastAsia="FangSong" w:cs="FangSong"/>
          <w:b/>
          <w:color w:val="000000"/>
          <w:sz w:val="24"/>
        </w:rPr>
        <w:t xml:space="preserve">及修改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江苏政府上发布书面更正公告形式通知所有获取磋商文件的供应商。不足5日的，招标代理应当顺延提交首次响应文件截止时间。</w:t>
      </w:r>
      <w:r/>
    </w:p>
    <w:p>
      <w:pPr>
        <w:pStyle w:val="91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三、响应文件的编制</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9.磋商响应文件份数和签署</w:t>
      </w:r>
      <w:r/>
    </w:p>
    <w:p>
      <w:pPr>
        <w:pStyle w:val="916"/>
        <w:ind w:left="0" w:right="0" w:firstLine="330"/>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电子投标文件一份于开标截止时间前网上递交，递交截止时间后上传的任何响应文件将被拒绝。</w:t>
      </w:r>
      <w:r/>
    </w:p>
    <w:p>
      <w:pPr>
        <w:pStyle w:val="916"/>
        <w:ind w:left="0" w:right="0" w:firstLine="330"/>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中标人于签订合同前打印一份正本材料递交至采购人。</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10.响应文件编制要求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10.1磋商供应商提交的响应文件以及磋商供应商与招标代理及采购人就有关磋商的所有来往函电均应使用简体中文。</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10.2 除技术性能另有规定外，响应文件所使用的度量衡单位，均须采用国家法定计量单位。</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11.参加磋商供应商资格的文件</w:t>
      </w:r>
      <w:r>
        <w:rPr>
          <w:rFonts w:ascii="FangSong" w:hAnsi="FangSong" w:eastAsia="FangSong" w:cs="FangSong"/>
          <w:b/>
          <w:color w:val="000000"/>
          <w:sz w:val="24"/>
        </w:rPr>
        <w:t xml:space="preserve">证明</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11.1磋商供应商应提交证明其有资格参加磋商和成交后有能力独立履行合同的文件，并作为其响应文件的一部分。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11.2磋商供应商除必须具有履行合同所需提供的设备以及服务的能力外，还必须具备相应的财务、技术方面的能力。</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11.3磋商供应商应填写并提交磋商文件所附的“资格证明文件”。</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12.磋商响应报价表</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12.1 磋商供应商应按照磋商文件规定格式填报磋商响应报价表（含分项报价）。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12.2标的物</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详见项目需求。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12.3有关费用处理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本次采购磋商供应商的报价应包括为完成本项目发生的所有费用，本磋商文件中另有规定的除外。</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12.4其它费用处理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磋商文件未列明，而磋商供应商认为必须的费用也须列入报价。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12.5报价采用的货币</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响应文件中的单价和总价，无特殊规定的采用人民币报价，以元为单位标注。磋商文件中另有规定的按规定执行。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12.6 磋商响应报价表上的价格应按磋商文件规定填写。</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13.项目需求响应方案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13.1提供为完成本项目的总体实施方案。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13.2对磋商文件中项目需求的技术与商务条款要求逐项作出应答，并提供依据或说明。</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13.3磋商供应商认为需要的其他技术文件或说明。</w:t>
      </w:r>
      <w:r/>
    </w:p>
    <w:p>
      <w:pPr>
        <w:pStyle w:val="91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四、响应文件的递交</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14.响应文件的密封</w:t>
      </w:r>
      <w:r>
        <w:rPr>
          <w:rFonts w:ascii="FangSong" w:hAnsi="FangSong" w:eastAsia="FangSong" w:cs="FangSong"/>
          <w:b/>
          <w:color w:val="000000"/>
          <w:sz w:val="24"/>
        </w:rPr>
        <w:t xml:space="preserve">（加密文件）和标记</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磋商供应商应在截止时间前在江苏政府采购网“苏采云”系统递交响应文件。</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15.响应文件开启时间</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15.1招标代理收到响应文件的时间不得迟于本磋商文件规定的响应文件接收截止时间。</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16.迟交的响应文件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16.1招标代理将拒绝在规定的响应文件接收截止时间后接收响应文件。</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17.响应文件的修改和撤回</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17.1磋商供应商在递交响应文件后，可以修改或撤回其磋商响应文件，但这种修改和撤回，必须在规定的响应文件接收截止时间前。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17.2磋商供应商的修改或撤回通知书，应按本文件规定进行编制、密封（加密文件）、标记和发送，并应在封套上加注“修改”和“撤回”字样。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17.3 磋商供应商在提交最后报价之前，可以根据磋商情况退出磋商。</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18.磋商响应有效期</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18.1 磋商响应有效期为招标代理规定的响应文件接收截止时间后六十（60）天。磋商响应有效期比规定短的将被视为非实质性响应性而予以拒绝。</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p>
    <w:p>
      <w:pPr>
        <w:pStyle w:val="91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五、磋商与评审</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19.磋商仪式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19.1招标代理将在磋商邀请中规定的时间和地点组织磋商开始仪式，仪式由招标代理主持，磋商供应商应委派携带有效证件的代表准时参加，参加仪式的代表需签名以证明其出席。</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20.磋商小组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20.1 磋商开始仪式结束后，招标代理将立即组织磋商小组进行评审。</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20.2 磋商小组由政府采购评审专家、采购人代表组成，且人员构成符合政府采购有关规定。</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21.磋商评审过程的保密与公正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21.1磋商小组、采购人和招标代理工作人员、相关监督人员等与评审工作有关的人员，对评审情况以及在评审过程中获悉的国家秘密、商业秘密负有保密责任。</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21.2在磋商评审过程中，磋商供应商不得以任何行为影响磋商评审过程，否则其响应文件将被作为无效响应文件。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22.评审过程的澄清、说明和更正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22.3 接到磋商小组澄清要求的供应商如未按规定做出澄清，其风险由供应商自行承担。</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23.对响应文件的初审</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23.1响应文件初审分为资格性检查和符合性检查。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资格性检查：依据法律法规和磋商文件的规定，对响应文件中的资格证明文件进行审查，以确定供应商是否具备参加磋商的资格。</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磋商小组在进行资格性审查的同时，将在“信用中国”网站（www.creditchina.gov.cn）和“中国政府采购网"(www.ccgp.gov.cn)查询供应商的信用记录，以确定供应商是否具备参加磋商的资格。查询结果将以网页打印的形式留存并归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符合性检查：依据磋商文件的规定，从响应文件的有效性、完整性和对磋商文件的响应程度进行审查，以确定是否对磋商文件的实质性要求作出响应。</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23.2在正式磋商之前，磋商小组将首先审查每份响应文件是否实质性响应了磋商文件的要求。实质性响应的响应文件应该是与磋商文件要求的条款、条件和规格相符，没有重大负偏离或保留。</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23.3 被认定为未实质性响应磋商文件的响应文件的情形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（1）未按照磋商文件规定要求密封（加密文件）、签署、盖章的；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（2）同一供应商提交两个以上（含两个）不同的响应文件或者磋商响应报价的；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（3）供应商不符合磋商文件中规定的合格磋商供应商资格要求的；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（4）不符合法律、法规和磋商文件中规定的其他实质性要求和条件的（本磋商文件中斜体且有下划线部分为实质性要求和条件）；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（5）其他法律、法规及本磋商文件规定的属于未实质性响应的响应文件的情形；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（6）供应商被 “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（7）本项目采购产品被财政部、国家发改委、生态环境部等列入“节能产品目录清单”、“环境标志产品目录清单”强制采购范围，而供应商所响应的产品不在强制采购范围内的。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23.4 未实质性响应磋商文件的响应文件按无效响应处理，磋商小组将予以拒绝，供应商不得通过修改或撤销不合要求的偏离或保留而使其响应文件成为实质性响应的文件。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23.5 磋商小组将允许修正响应文件中不构成重大负偏离的、微小的、非正规的、不一致的或不规则的地方，但这些修改不能影响任何供应商相应的名次排列。</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24.磋商程序及评审方法和标准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24.1磋商程序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24.1.1 对于通过资格性和符合性审查的供应商，磋商小组所有成员将集中与单一供应商分别进行磋商。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24.1.2 磋商文件能够详细列明采购标的的技术、服务要求的，磋商结束后，磋商小组将要求所有实质性响应的供应商在规定时间内提交最后报价。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24.2 评审方法和标准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24.2.1评审方法。经磋商确定最终采购需求和提交最后报价的供应商后，由磋商小组采用综合评分法对提交最后报价的供应商的响应文件和最后报价进行综合评分。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24.2.2评审标准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见本磋商文件第五章规定。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24.3采购活动终止的情况</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出现下列情形之一的，本次竞争性磋商采购活动将被终止：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（1）因情况变化，不再符合规定的竞争性磋商采购方式适用情形的；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（2）出现影响采购公正的违法、违规行为的；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（3）除本磋商文件第24.1.2条第三款规定的情形外，在采购过程中符合要求的供应商或者报价未超过采购预算的供应商不足3家的。</w:t>
      </w:r>
      <w:r/>
    </w:p>
    <w:p>
      <w:pPr>
        <w:pStyle w:val="91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六、成交</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25.确定成交单位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25.2采购人从评审报告提出的成交候选供应商中，按照排序由高到低的原则确定成交供应商。采购人确定成交供应商后，招标代理将在“江苏省招标投标公共服务平台”发布成交结果公告，公告期限为1个工作日。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25.3若有充分证据证明，成交供应商出现下列情况之一的，一经查实，将被取消成交资格：</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（1）提供虚假材料谋取成交的；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（2）与评审专家、采购人、其他供应商或者招标代理工作人员恶意串通的；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（3）向评审专家、采购人或招标代理工作人员行贿或者提供其他不正当利益的；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（4）恶意竞争，最后报价明显低于其自身合理成本且又无法提供证明的；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（5）不满足本磋商文件规定的实质性要求，但在评审过程中又未被磋商小组发现的；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（6）成交后无正当理由拒不与采购人签订政府采购合同或者未按照磋商文件确定的事项签订政府采购合同；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（7）将政府采购合同转包；</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26.质疑处理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26.1 提出质疑的供应商应当是参与所质疑项目采购活动的供应商。潜在供应商依法获取其可质疑的磋商文件的，可以对磋商文件提出质疑。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对项目需求部分的质疑，潜在供应商应向采购人提出，由采购人负责答复。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对项目需求部分以外内容的质疑，潜在供应商应向招标代理提出，由招标代理负责答复。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（1）对可以质疑的磋商文件提出质疑的，为收到磋商文件之日或者磋商文件公告期限届满之日；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（2）对采购过程提出质疑的，为各采购程序环节结束之日；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（3）对成交结果提出质疑的，为成交结果公告期限届满之日。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26.3质疑必须以参加磋商的法定代表人或授权代表（响应文件中所确定的）原件送达的方式提交。</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26.4未参加磋商活动的供应商或在磋商活动中自身权益未受到损害的供应商所提出的质疑不予受理。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26.5质疑函应当包括下列内容：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（1）质疑供应商的名称、地址、邮编、联系人、联系电话；</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（2）具体的质疑事项及明确的请求；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（3）认为自己合法权益受到损害或可能受到损害的相关证据材料；</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（4）提起质疑的日期；</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26.6招标代理机构收到质疑函后，将对质疑的形式和内容进行审查，如质疑函内容、格式不符合规定，招标代理机构将告知质疑人进行补正。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26.7质疑人应当在法定质疑期限内进行补正并重新提交质疑函，拒不补正或者在法定期限内未重新提交质疑函的，为无效质疑，招标代理机构有权不予受理。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 以下情形的质疑不予受理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26.8.1 内容不符合《政府采购质疑和投诉办法》第十二条规定的质疑。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26.8.2 超出政府采购法定期限的质疑。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26.8.3 以传真、电子邮件等方式递交的非原件形式的质疑。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26.8.4 未参加磋商活动的供应商或在磋商活动中自身权益未受到损害的供应商所提出的质疑。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26.8.5供应商组成联合体参加磋商，联合体中任何一方或多方未按要求签字、盖章、加盖公章的质疑。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pStyle w:val="91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七、合同签订相关事项</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27.成交通知书</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27.l 成交结果确定后，招标代理将向成交人发出成交通知书。请成交人在成交结果公示期满后，主动与项目负责人联系领取成交通知书。</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28.2成交通知书将是合同的一个组成部分。对采购人和成交人均具有法律效力。成交通知书发出后，采购人改变成交结果的，或者成交人放弃成交项目的，应当依法承担法律责任。</w:t>
      </w:r>
      <w:r/>
    </w:p>
    <w:p>
      <w:pPr>
        <w:pStyle w:val="916"/>
        <w:ind w:left="0" w:right="0" w:firstLine="361"/>
        <w:jc w:val="both"/>
        <w:spacing w:before="0" w:after="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28.签订合同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28.l成交供应商应当在成交通知书发出之日起三十日内，按照磋商文件确定的事项与采购人签订政府采购合同。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28.2 磋商文件、成交供应商的响应文件及磋商采购过程中有关澄清、承诺文件均应作为合同附件。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28.3 签订合同后，</w:t>
      </w:r>
      <w:r>
        <w:rPr>
          <w:rFonts w:ascii="FangSong" w:hAnsi="FangSong" w:eastAsia="FangSong" w:cs="FangSong"/>
          <w:i/>
          <w:color w:val="000000"/>
          <w:sz w:val="22"/>
          <w:u w:val="single"/>
        </w:rPr>
        <w:t xml:space="preserve">成交供应商不得将成交产品或服务进行转包</w:t>
      </w:r>
      <w:r>
        <w:rPr>
          <w:rFonts w:ascii="FangSong" w:hAnsi="FangSong" w:eastAsia="FangSong" w:cs="FangSong"/>
          <w:color w:val="000000"/>
          <w:sz w:val="22"/>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pStyle w:val="913"/>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91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第三章合同文本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采购项目合同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合同编号 ：</w:t>
      </w:r>
      <w:r>
        <w:rPr>
          <w:rFonts w:ascii="FangSong" w:hAnsi="FangSong" w:eastAsia="FangSong" w:cs="FangSong"/>
          <w:b/>
          <w:color w:val="000000"/>
          <w:sz w:val="30"/>
          <w:u w:val="single"/>
        </w:rPr>
        <w:t xml:space="preserve">                 </w:t>
      </w:r>
      <w:r/>
    </w:p>
    <w:p>
      <w:pPr>
        <w:ind w:left="2007" w:right="0" w:hanging="15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项目名称 ：</w:t>
      </w:r>
      <w:r>
        <w:rPr>
          <w:rFonts w:ascii="FangSong" w:hAnsi="FangSong" w:eastAsia="FangSong" w:cs="FangSong"/>
          <w:b/>
          <w:color w:val="000000"/>
          <w:sz w:val="30"/>
          <w:u w:val="single"/>
        </w:rPr>
        <w:t xml:space="preserve">2026年度江苏省人社一体化信息平台南京公共服务</w:t>
      </w:r>
      <w:r/>
    </w:p>
    <w:p>
      <w:pPr>
        <w:ind w:left="1986" w:right="0" w:hanging="7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single"/>
        </w:rPr>
        <w:t xml:space="preserve">运维项目</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采购人 ：</w:t>
      </w:r>
      <w:r>
        <w:rPr>
          <w:rFonts w:ascii="FangSong" w:hAnsi="FangSong" w:eastAsia="FangSong" w:cs="FangSong"/>
          <w:b/>
          <w:color w:val="000000"/>
          <w:sz w:val="30"/>
          <w:u w:val="single"/>
        </w:rPr>
        <w:t xml:space="preserve">南京市人力资源和社会保障信息管理中心</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成交单位 ：</w:t>
      </w:r>
      <w:r>
        <w:rPr>
          <w:rFonts w:ascii="FangSong" w:hAnsi="FangSong" w:eastAsia="FangSong" w:cs="FangSong"/>
          <w:b/>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191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签订日期 ：</w:t>
      </w:r>
      <w:r>
        <w:rPr>
          <w:rFonts w:ascii="FangSong" w:hAnsi="FangSong" w:eastAsia="FangSong" w:cs="FangSong"/>
          <w:color w:val="000000"/>
          <w:sz w:val="30"/>
          <w:u w:val="single"/>
        </w:rPr>
        <w:t xml:space="preserve">      </w:t>
      </w:r>
      <w:r>
        <w:rPr>
          <w:rFonts w:ascii="FangSong" w:hAnsi="FangSong" w:eastAsia="FangSong" w:cs="FangSong"/>
          <w:color w:val="000000"/>
          <w:sz w:val="30"/>
        </w:rPr>
        <w:t xml:space="preserve">年</w:t>
      </w:r>
      <w:r>
        <w:rPr>
          <w:rFonts w:ascii="FangSong" w:hAnsi="FangSong" w:eastAsia="FangSong" w:cs="FangSong"/>
          <w:color w:val="000000"/>
          <w:sz w:val="30"/>
          <w:u w:val="single"/>
        </w:rPr>
        <w:t xml:space="preserve">   </w:t>
      </w:r>
      <w:r>
        <w:rPr>
          <w:rFonts w:ascii="FangSong" w:hAnsi="FangSong" w:eastAsia="FangSong" w:cs="FangSong"/>
          <w:color w:val="000000"/>
          <w:sz w:val="30"/>
        </w:rPr>
        <w:t xml:space="preserve">月</w:t>
      </w:r>
      <w:r>
        <w:rPr>
          <w:rFonts w:ascii="FangSong" w:hAnsi="FangSong" w:eastAsia="FangSong" w:cs="FangSong"/>
          <w:color w:val="000000"/>
          <w:sz w:val="30"/>
          <w:u w:val="single"/>
        </w:rPr>
        <w:t xml:space="preserve">   </w:t>
      </w:r>
      <w:r>
        <w:rPr>
          <w:rFonts w:ascii="FangSong" w:hAnsi="FangSong" w:eastAsia="FangSong" w:cs="FangSong"/>
          <w:color w:val="000000"/>
          <w:sz w:val="30"/>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br w:type="page" w:clear="all"/>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5"/>
        <w:gridCol w:w="4677"/>
      </w:tblGrid>
      <w:tr>
        <w:trPr>
          <w:trHeight w:val="45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3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项目名称：2026年度江苏省人社一体化信息平台南京公共服务运维项目</w:t>
            </w:r>
            <w:r/>
          </w:p>
        </w:tc>
      </w:tr>
      <w:tr>
        <w:trPr>
          <w:trHeight w:val="45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采购人：（以下简称甲方）</w:t>
              <w:br/>
              <w:t xml:space="preserve">南京市人力资源和社会保障信息管理中心</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供应商：（以下简称乙方）</w:t>
            </w:r>
            <w:r/>
          </w:p>
        </w:tc>
      </w:tr>
      <w:tr>
        <w:trPr>
          <w:trHeight w:val="45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住所地：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南京市游府西街53号</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住所地：</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根据《中华人民共和国政府采购法》《中华人民共和国民法典》等法律法规的规定，甲乙双方经协商签订本合同。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合同标的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乙方提供下列服务：</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6"/>
        <w:gridCol w:w="6644"/>
        <w:gridCol w:w="873"/>
        <w:gridCol w:w="96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2026年度江苏省人社一体化信息平台南京公共服务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运维项目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服务内容和要求详见甲方采购文件，乙方投标（响应）文件标准优于采购文件的，执行响应文件标准。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合同总价款 </w:t>
      </w:r>
      <w:r/>
    </w:p>
    <w:p>
      <w:pPr>
        <w:ind w:left="55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本合同项下总价款为（大写）人民币，分项价款详见 《报价表》。</w:t>
        <w:br/>
        <w:t xml:space="preserve">本合同最终结算总价款按照招标文件约定执行。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本合同总价款包含以下内容：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（1）完成本服务项目发生的所有含税费用；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（2）支付给员工的工资和国家强制缴纳的各种社会保障资金；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（3）乙方应当提供的伴随服务/售后服务费用；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（4）供应商认为需要的其他费用。</w:t>
      </w:r>
      <w:r/>
    </w:p>
    <w:p>
      <w:pPr>
        <w:ind w:left="55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本合同为总价合同，合同执行期间总价不变。</w:t>
        <w:br/>
      </w:r>
      <w:r>
        <w:rPr>
          <w:rFonts w:ascii="FangSong" w:hAnsi="FangSong" w:eastAsia="FangSong" w:cs="FangSong"/>
          <w:b/>
          <w:color w:val="000000"/>
          <w:sz w:val="24"/>
        </w:rPr>
        <w:t xml:space="preserve">第三条 合同期限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合同签订之日起至维保期结束。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组成本合同的有关文件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下列关于      号的招标（采购）文件、投标（响应）文件，以及与本次采购活动相关的文件及有关附件是本合同不可分割的组成部分，与本合同具有同等法律效力，这些文件包括但不限于：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（1）投标（响应）文件和报价表；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（3）交付一览表；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（4）技术规格响应表；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（5）投标（响应）承诺；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（6）服务承诺；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（8）甲乙双方商定的其它文件。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权利保证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质量保证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乙方所提供的服务的技术规格应与招标（采购）文件规定的技术规格及所附的“技术规格响应表”相一致；若技术性能无特殊说明，则按国家有关部门最新颁布的标准及规范为准。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交付和验收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1.乙方应当自合同签订之日起一年内完成服务事项。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2.验收标准：按行业通行标准和乙方投标（响应）文件的承诺（详见合同附件载明的标准，并不低于国家相关标准）。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1.中标（成交）供应商应按以下第1方式向采购人缴纳履约保证金：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（1）无需缴纳履约保证金；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（2）投标保证金转为履约保证金；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（3）以支票、汇票、本票或者金融机构、担保机构出具的保函等非现金形式缴纳履约保证金，金额为。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2.履约保证金的有效期至时止。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4.履约保证金扣除甲方应得的补偿后的余额，在有效期满后个工作日内无息退还给乙方。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合同款支付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1.本合同项下所有款项均以人民币支付。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2.本合同项下的采购资金由乙方开具发票，甲方按照本条第3款的约定支付。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3.付款条件：</w:t>
      </w:r>
      <w:r>
        <w:rPr>
          <w:rFonts w:ascii="FangSong" w:hAnsi="FangSong" w:eastAsia="FangSong" w:cs="FangSong"/>
          <w:color w:val="000000"/>
          <w:sz w:val="24"/>
          <w:u w:val="none"/>
        </w:rPr>
        <w:t xml:space="preserve">合同签订后，投标人派驻工程师资质通过审核（对照响应文件要求），启动支付首付款流程，甲方支付合同总额的</w:t>
      </w:r>
      <w:r>
        <w:rPr>
          <w:rFonts w:ascii="FangSong" w:hAnsi="FangSong" w:eastAsia="FangSong" w:cs="FangSong"/>
          <w:color w:val="000000"/>
          <w:sz w:val="24"/>
        </w:rPr>
        <w:t xml:space="preserve">50%；运维期过半，验收合格后甲方支付合同总额的40%；项目结束，验收合格后甲方支付合同总额的10%。</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 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1.甲方无正当理由拒收服务、拒付服务款的，甲方向乙方偿付合同总价的5%违约金。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2.甲方未按合同规定的期限向乙方支付服务款的，每逾期1天甲方向乙方偿付欠款总额的5‰滞纳金，但累计滞纳金总额不超过欠款总额的5%。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3.如乙方不能交付服务的，甲方有权扣留全部履约保证金；同时乙方应向甲方支付合同总价5%的违约金。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4.乙方逾期交付的，每逾期1天，乙方向甲方偿付合同总额的5‰的滞纳金。如乙方逾期交付达10天，甲方有权解除合同，解除合同的通知自到达乙方时生效。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5.乙方所交付的服务不符合合同规定的，甲方有权拒收。甲方拒收的，乙方应向甲方支付合同总款5%的违约金。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提供的服务达不到约定标准的，应立即进行整改，并向甲方每次3000元标准支付违约金。乙方拒绝整改、整改后仍不符合约定或者累计发送3次以上需要整改情形的，甲方有权解除合同，乙方应退回全部合同费用，并按第4款处理，同时，乙方还须赔偿甲方因此遭受的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7.乙方未按本合同的规定和服务承诺提供伴随服务/售后服务的，应按合同总价款的5%向甲方承担违约责任。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8.乙方在承担上述3-7款一项或多项违约责任后，仍应继续履行合同规定的义务（甲方解除合同的除外）。甲方未能及时追究乙方的任何一项违约责任并不表明甲方放弃追究乙方该项或其他违约责任。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9.前述违约责任约定，不影响甲方依据采购文件规定以及乙方承诺内容追究乙方其它责任。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合同的变更和终止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1.除《政府采购法》第50条规定的情形外，本合同一经签订，甲乙双方不得擅自变更、中止或终止。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2.除发生法律规定的不能预见、不能避免并不能克服的客观情况外，甲乙双方不得放弃或拒绝履行合同。乙方放弃或拒绝履行合同，履约保证金不予退还，并按规定接受相关部门的处罚。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合同的转让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乙方不得擅自部分或全部转让其应履行的合同义务。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争议的解决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1.因服务的质量问题发生争议的，应当邀请国家认可的质量检测机构对服务质量进行鉴定。符合标准的，鉴定费由甲方承担；不符合标准的，鉴定费由乙方承担。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2.因履行本合同引起的或与本合同有关的争议，甲、乙双方应首先通过友好协商解决，如果协商不能解决争议，则采取以下第（2）种方式解决争议：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如没有约定，默认采取第2种方式解决争议。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3.仲裁期间本合同应继续履行。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诚实信用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乙方应诚实信用，严格按照招标（采购）文件要求和投标（响应）承诺履行合同，不向甲方进行商业贿赂或者提供不正当利益。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网络安全责任和义务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1.乙方要为本项目设置专门网络安全负责人，管理技术团队要相对独立，团队成员为正式员工。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2.政务信息平台要相对独立，包括物理隔离、逻辑隔离。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3.乙方不得转包、分包合同任务。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4.本项目中产生的政务数据、系统运维数据及收集的个人信息等数据资产归甲方所有。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5.必须按照甲方网络安全规定收集、使用、存储、处理数据。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6.必须采取技术措施保障甲方对数据的访问、利用、支配。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7.政务数据与其他数据分开存储、处理。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8.未经甲方同意，不得变更数据用途、用法，不得访问、修改、公开、披露、利用、转让、销毁、私自留存或向第三方提供。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9.合同终止时要按照甲方的要求及时处理数据。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10.应当按照《数据安全法》《个人信息保护法》等法律法规及相关政策规定的要求，加强个人信息保护。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11.严格按照规定采购相关产品和服务。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12.建立健全网络和数据安全保护机制，发现重大问题按规定及时向甲方和相关部门报告。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13.发生业务转型、合并重组、投资并购等重大事项，或者管理技术团队人员发生重大变化，应提前向甲方报告。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14.乙方每年要向甲方提交网络安全报告。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15.必须积极配合相关部门开展网络安全检查、测评、审计等监督管理工作，如发生拒绝或不配合监管的，将按照相关法律法规和协议文件追究相关方责任。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16.应如实完整提供网络安全管理情况，如发生隐匿、瞒报的，将按照相关法律法规和协议文件追究相关方责任。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17.违反网络安全相关条款的，将按照相关法律法规和协议文件追究相关方责任。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18.乙方必须定期组织相关人员网络安全培训。</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第十六条 合同生效及其他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1.本合同自签订之日起生效，两个工作日内在财政部门指定的媒体上公告。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2.本合同一式两份，甲乙双方各执一份。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3.本合同按照中华人民共和国的现行法律进行解释。</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5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p>
        </w:tc>
      </w:tr>
      <w:tr>
        <w:trPr>
          <w:trHeight w:val="5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（盖章）</w:t>
            </w:r>
            <w:r/>
          </w:p>
        </w:tc>
      </w:tr>
      <w:tr>
        <w:trPr>
          <w:trHeight w:val="5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r>
      <w:tr>
        <w:trPr>
          <w:trHeight w:val="5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5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5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6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bl>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913"/>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pStyle w:val="913"/>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第四章 项目需求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注：本章内容为实质性要求，供应商未对实质性要求明确响应或未按要求提供材料的，按无效响应处理。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1"/>
          <w:sz w:val="28"/>
          <w:u w:val="non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1"/>
          <w:sz w:val="28"/>
        </w:rPr>
        <w:t xml:space="preserve">4.1 项目概况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一、项目名称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2026年度江苏省人社一体化信息平台南京公共服务运维项目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二、项目背景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确保江苏省社会保险省级统筹和“放管服”改革各项任务落地落实，江苏省人社厅党组从2020年6月起全面启动省人社一体化信息平台建设。以群众需求为导向，以省集中建设为重点，以云平台架构为基础，全力推进公共就业、社会保险、人才人事和劳动关系等各类人社系统的省级集中和有机融合，着力打造全省“政策、流程、业务、标准、系统、数据、管理、服务”8统一的人力资源社会保障一体化信息平台，依托于业务、技术、数据、管理、软硬件集成一体化协同运行，真正实现“全省一体化、业务在线化、治理数据化、服务智能化”的转型升级和服务创新。省人</w:t>
      </w:r>
      <w:r>
        <w:rPr>
          <w:rFonts w:ascii="FangSong" w:hAnsi="FangSong" w:eastAsia="FangSong" w:cs="FangSong"/>
          <w:color w:val="000000"/>
          <w:sz w:val="24"/>
        </w:rPr>
        <w:t xml:space="preserve">社一体化信息平台是省、市、县（市区）、街道（乡镇）、社区（村）5级人社经办业务、行政审批和公共服务的大平台，是纵向集中统一、横向集约整合、纵横联动协同的大平台，是全省人社全业务、省集中、紧耦合的大平台。总体上技术架构新、系统数量多、统一标准难、复杂程度高、开发运维难度大。</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省人社厅《省人力资源社会保障一体化信息平台建设方案》、《关于加快推进省人社一体化信息平台第三批次切换上线工作的通知》、《省人社一体化信息平台第三批次切换上线工作计划》要求，省人社一体化信息平台2021年8月在南京上线运行。省人社一体化信息平台在南京上线后，养老、工伤、失业三险统一使用省人社一体化信息平台办理，社会保险和劳动就业培训板块本地化改造功能、老机关事业养老保险系统、老农保系统、运维平台系统、权限管理系统、统一门户系统、各部门本地统计查询功能、南京市公共就业服务能力提升示范系统在南京人社城乡一体化</w:t>
      </w:r>
      <w:r>
        <w:rPr>
          <w:rFonts w:ascii="FangSong" w:hAnsi="FangSong" w:eastAsia="FangSong" w:cs="FangSong"/>
          <w:color w:val="000000"/>
          <w:sz w:val="24"/>
        </w:rPr>
        <w:t xml:space="preserve">信息系统中运行办理。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三、项目建设目标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合江苏省人社一体化信息平台、南京市人社城乡一体化信息系统和南京市公共就业服务能力提升示范项目运维需求，南京市人力资源和社会保障局需要通过本项目实现我市纳入省人社一体化信息平台公共服务系统、社会保障卡管理系统、人力资源市场系统、机关事业养老保险系统、财务管理系统、电子档案系统维护，南京人社城乡一体化信息系统总集等板块的系统维护、按需做好南京人社其它创新应用技术支撑工作及软件适配，以确保公共服务和社会保障卡等业务正常运行和持续发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1"/>
          <w:sz w:val="28"/>
        </w:rPr>
        <w:t xml:space="preserve">4.2 产品清单</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4"/>
        <w:gridCol w:w="2179"/>
        <w:gridCol w:w="776"/>
        <w:gridCol w:w="762"/>
        <w:gridCol w:w="762"/>
        <w:gridCol w:w="1310"/>
        <w:gridCol w:w="1300"/>
        <w:gridCol w:w="762"/>
        <w:gridCol w:w="942"/>
      </w:tblGrid>
      <w:tr>
        <w:trPr>
          <w:trHeight w:val="81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7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单价上限（元）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5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7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2026年度江苏省人社一体化信息平台南京公共服务运维项目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主要产品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1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软件和信息技术服务业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1"/>
          <w:sz w:val="28"/>
        </w:rPr>
        <w:t xml:space="preserve">4.3 拟采购标的需要满足的技术、商务要求（本项为实质性响应）</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一、技术要求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（一）维保范围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包括以下维保范围：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1.江苏省人社一体化信息平台南京公共服务系统运维保障工作：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依托省人社一体化信息平台工单系统，负责包括网上办事大厅（南京频道）和智慧人社APP（南京频道）中就业创业、社会保险、人才人事、劳动关系、社会保障卡、公共查询等查询类服务的问题处理、统计分析等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（2）依托省人社一体化信息平台工单系统，负责省人社一体化信息平台中社保卡、人力资源市场、机关事业单位养老保险等系统南京相关数据的问题处理、统计汇总等工作；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配合省厅团队，处理南京提出的网上办事大厅、智慧人社APP、经办门户、开放服务平台、权限系统、电子地图等平台问题，解答和处理12333、服务对象、业务人员提出的各类关于公共服务系统操作的相关工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（4）根据采购人需求，组织社保卡、人力资源市场、机关事业单位养老保险、电子地图板块的业务培训，组织业务经办窗口和12333对公共服务涉及系统的操作培训。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2.江苏省人社一体化信息平台南京社会保障卡管理系统运维保障工作：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（1）负责社保卡核心业务系统在本地的日常运维工作，解答及处理业务人员提出的各类与社保卡相关的问题，配合友商协同处理一体化平台相关社保卡事项；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（2）负责南京全市省卡鉴权服务的运行保障工作；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（3）负责协调南京地方社保卡合作银行，确保其与省卡管系统的数据交互、制发卡等业务正常；</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（4）负责地市人社制卡网点日常保障工作；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（5）协助地方制卡设备，进行设备入网联测等相关工作；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（6）电子社保卡相关日常运维；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（7）社保卡发行、应用、社保卡合作金融资金等查询、统计分析工作。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3.江苏省人社一体化信息平台南京人力资源市场系统运维保障工作：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（1）负责人力资源市场日常的运维工作，解答和处理业务人员提出的各类关于人力资源市场的相关问题；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（2）负责指导一体化业务窗口经办人员职业介绍、预订招聘会、用人单位注册审核、职业指导计划发布等操作；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（3）协助指导现场求职人员、用人单位使用人力资源市场系统，包括小程序注册、职位发布、简历维护、投递简历、扫码签到、扫码签退等；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（4）配合本地进行LED屏、自助一体机、广告机等硬件设备接口对接、问题沟通等；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（5）配合定位现场招聘大厅软件报错等问题，协调相关方进行沟通解决；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（6）根据用户需求，定期组织业务经办窗口对人力资源市场系统的操作培训；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（7）定期到各业务经办窗口调研人力资源市场系统使用情况，到现场招聘大厅调研对展位TV页面、小程序等的使用情况，收集各方意见和建议，并组织研发进行分析，及时完善人力资源市场系统。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4.江苏省人社一体化信息平台南京财务管理系统运维保障工作：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（1）基金财务处理模块运维：负责基金财务核算核心模块的日常运维，保障会计核算全流程顺畅运行，支撑财务目标落地；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（2）基金报表管理模块运维：负责报表管理模块的全流程运维，保障报表定义、取数、生成、填报等功能正常，支撑报表管理工作高效开展；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（3）基金出纳管理模块运维：负责出纳管理模块的日常运维，保障出纳日记账及各类出纳报表正常生成、查询、导出及打印，支撑出纳工作有序开展；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（4）出纳结账运维：负责出纳结账功能的全流程运维，保障结账工作顺利完成，确保出纳账簿数据结转准确；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（5）年度建账运维：负责年度建账功能的运维保障，确保新年度账顺利生成，保障基础资料及年末余额准确结转；</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（6）基础资料管理运维：基于社保基金财务管理软件统一框架及社保基金财务核算要求，负责基础资料定义配置的运维工作；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（7）社保基金门户运维：负责社保基金门户的全流程运维，为社保基金财务管理子系统提供全面的运行支撑；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（8）用户管理运维：负责系统用户及角色的运维管理，保障不同角色权限清晰、操作正常，支撑系统安全有序运行。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5.江苏省人社一体化信息平台南京电子档案系统运维保障工作：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（1）业务窗口经办的档案归档和流动人员档案操作培训和技术支持；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（2）保障系统中各部门档案从收集整理、组卷移送、组卷审核、档案装盒、入库登记、档案排架、借阅审核等全流程的正常使用；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（3）平台数据统计分析利用；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（4）平台创新应用的技术支持，配合完成日常的统计分析报表，完成特殊的查询统计需求；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（5）对业务人员进行系统操作培训、指导和答疑；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（6）对采购单位提出的个性化功能提供技术支持；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（7）按照采购单位要求，以书面材料进行确认、流转、保存,并在采购单位指定的电子工作平台上按要求记载工作记录以保留痕迹。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6.南京人社城乡一体化信息系统总集运维保障工作：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（1）依托南京人社城乡一体化信息系统运维平台，负责处理统一门户、权限系统、社保卡（包括电子社保卡）、资源库、运维平台的相关业务需求和协调单；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（2）基于省厅的南京回流库，负责社保卡、人力资源市场等系统相关数据的汇总统计、接口对接工作；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（3）解答业务人员在工作中遇到的业务问题和操作问题。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7.按照业务需求做好各相关系统的问题处理、统计分析等工单处理和跟踪。</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按照接口规范管理要求，做好南京人社城乡一体化信息系统、江苏省人社一体化信息平台（含创新区）接口开发、接口安全测试以及数据交换平台升级相关工作，解决数据交互平台跨厂商、跨部门的业务交互和数据交互等问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8.每周上报工作周报，每月每季度对运维工作进行定期检查，每月汇总问题处理情况，形成问题报告。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9.依据部、省、市相关工作要求，结合用户需求，做好相关数据采集、抽取、清洗等提升数据质量的工作。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10.按照省市统一规划，负责对应系统的数据指标维护工作。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11.针对本项目运维范围内的系统，做好行政区划调整对应的程序适配与数据更新，切实满足采购单位实际业务需求。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12.按需做好南京人社其它创新应用技术支撑工作及软件适配。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13.完成采购人交办的其它工作。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（二）系统开发接口要求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严格按照采购人数据交互规范执行，依托采购人建设信息系统接口管控平台，投标人应按采购人技术规范，完成本项目所有对内对外提供支持的接口对接工作，包含不限于南京人社城乡一体化信息系统内部各板块之间调用的接口，包含不限于局门户网办大厅、我的南京APP“智慧人社”板块、南京人才公众号、社会保障卡南京一卡通微信小程序等公共服务渠道对接所需接口，包含不限于各部委办局、银行、自助机等专线渠道对接所需接口，具体工作要求包括接口的重新开发、调试、部署以及技术文档更新等。</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二、商务要求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（一）项目工期要求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自合同签订之日起一年。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（二）系统安全要求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1.供应商开发的系统符合省市人社部门等保要求及等级保护标准。供应商及其工作人员遵守采购人信息安全管理制度。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按照江苏省人社一体化信息平台和南京人社城乡一体化信息系统的代码编写规范进行程序开发，并向采购人提供符合等级保护2.0标准的技术资料，包括但不限于源代码合规性审计报告、应用软件渗透测试合规性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3.供应商提供程序中严禁留有“后门”，严禁利用后门实施违规、违法行为。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4.供应商配合采购人实施渗透测试、漏洞扫描工作，并根据测试扫描报告进行整改。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5.所有参与项目的人员应签订正式保密协议，并在工作中坚持保密原则，供应商严格规范执行各项保密制度，对在项目采购、建设、质保各阶段取得采购人各类信息进行保密管理，杜绝任何泄密事件的发生。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6.供应商须按照国家、省、市商用密码应用要求及密码应用性评估标准开展商用密码应用工作，根据采购人关于应用系统密评工作的实际要求，供应商做好相关密评工作。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（三）项目实施要求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1.供应商在项目实施过程中，严格执行采购人制定的与采购人运维管理平台相配套的IT管理体系和制度，执行需求管理、代码管理、数据访问、机房进出、系统运维等制度。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2.供应商每月必须定期进行应用系统性能检测、效能分析，确保对问题能够进行事先预防，避免出现故障和问题。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必须按国家、省、市行业标准规范，提交技术文档和验收文档。供应商必须保证本项目成果及所使用到资源的版权合法性，本项目成果及实施过程中一切产出物所有权及版权归采购人所有，包括但不限于：源代码、程序脚本、数据库字典、数据库对象以及系统运行部署说明、系统运维说明等支撑采购人系统正常运行的必须技术资料。未经采购人书面同意，不得散播、转让相关成果。涉及业务部分的相关内容必须得到采购人同意才可以使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4.供应商提出验收方案和详细设计说明书等验收文档清单，验收方案报采购人审核通过后，由采购人按照采购人内部项目管理办法组织验收。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（四）项目测试要求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1.功能测试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（1）供应商需要对被建系统功能提供保障，针对被建系统向采购人提交完整的功能自测报告和测试用例，测试用例必须完整覆盖需求文档中描述的所有需求点，测试报告必须包含对测试范围和测试结果的描述。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（2）供应商有责任配合采购人指定的第三方测试机构建系统进行功能抽测，提交第三方测试机构的需求文档以及测试用例、测试数据，同时提供对应工程师配合第三方功能抽测工作。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2.性能测试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（1）根据实际业务场景的需要供应商需针对被建系统的性能进行自测，所测场景与并发数必须与采购人负责人进行沟通确认，最终向采购人提交完整的性能测试用例和测试报告。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（2）供应商有责任配合采购人指定的第三方测试机构对被测系统的性能进行验证，根据测试需要提交第三方测试机构性能测试所需的用例和数据、同时提供对应工程师配合第三方性能测试工作。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（五）售后服务要求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1.供应商驻场服务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供应商组建不少于6人的服务团队，其中驻场工程师不少于4人（驻场项目经理1人，其它驻场人员不少于3人），远程技术支撑工程师不少于2人。</w:t>
      </w:r>
      <w:r>
        <w:rPr>
          <w:rFonts w:ascii="FangSong" w:hAnsi="FangSong" w:eastAsia="FangSong" w:cs="FangSong"/>
          <w:color w:val="000000"/>
          <w:sz w:val="24"/>
        </w:rPr>
        <w:t xml:space="preserve">合同签订后，投标人驻场工程师必须立即根据采购人要求驻场办公，且不能出现与其它同期信息化项目人员复用的情况（提供承诺函并加盖公章）。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服务期驻场工程师对江苏省人社一体化平台及南京人社城乡一体化信息系统涉及的公共服务系统、社会保障卡管理系统、人力资源市场系统、南京人社城乡一体化信息系统总集等板块各项业务具有一定的了解，与相关业务部门开展无障碍业务需求讨论和交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供应商服务期驻场工程师名单在响应文件中明确，成交后如需更改需征得采购人同意且变更之后人员资质不得低于标书要求。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2.供应商后台支撑服务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供应商为采购人项目建立后台支撑服务团队，后台支撑服务团队负责采购人项目的总体规划、各项工作计划及内容制定、重大故障处置。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供应商如无法解决采购人项目故障，需要聘请第三方专业公司或专业人士协助解决，期间所发生的费用由供应商承担。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须确保承担的工作内容7*24小时平稳运行。如出现故障，供应商在10分钟内电话响应，若电话中无法解决，根据实际情况需要，30分钟内到达现场进行维护。到达现场后对故障处理，在5时至19时出现的故障，15分钟内须诊断系统故障，30分钟内解决故障，期间须保证业务系统不间断地正常运行。在19时至5时出现故障，30分钟内须诊断系统故障，60分钟内解决故障，期间须保证业务系统不间断地正常运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（六）项目考核与违约要求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供应商应承诺在项目实施过程中接受采购人及监理方（或者采购人委托的有关各方）的监督管理，若违反项目合同及有关项目管理指令、要求时承担相应的违约金，接受以下工作质量考核评价办法。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1.驻场人员考勤处理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按照采购人考勤制度执行。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2.人员变更处理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经采购人同意，项目经理变更，采购人有权终止合同；技术人员变更不得多于2次，每超过1人次的，按照合同款的5%进行扣除。供应商驻场工程师在服务期内出现本人、配偶、本人二代直系亲属体检查出重大疾病，需离开现场治疗或者陪护的，由供应商提出申请并附佐证材料，经采购人确认且同意后，变更现场人员不计入项目合同期变更人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3.人员复用处理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一经发现，每复用一人，按照20.4万元扣除。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4.项目验收不通过处理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供应商必须按国家、省、市行业标准规范，提交基础文档、过程文档、技术文档和验收文档。由采购人进行抽查审核。</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采购人验收和竣工验收：如没有通过采购人验收，采购人向供应商扣除合同金额10%作为违约金。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5.出现对社会造成重大影响事故的处理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供应商在开展项目实施过程中，因自身管理不善，出现对社会造成重大影响的事故时，采购人扣除合同金额10%作为违约金，同时，根据事故的严重性及其造成的后果，采购人保留进一步追究供应商法律责任的权利。</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6.项目验收后维保期维护不到位的处理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建设完项目并验收后，应当对系统进行妥善维护，保障系统的正常运行。如出现故障导致采购人系统无法进行正常工作，供应商应及时排除故障，如因该系统自身原因服务端出现故障，导致系统服务无法正常运行，采购人有权要求扣除合同金额的10%作为违约金，每延期1小时，采购人扣除合同金额10%作为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7.供应商不服从采购人管理，项目建设出现严重后果的处理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供应商出现不服从采购人管理，对采购人工作要求故意拖延、拒不执行，项目建设出现严重后果、不服从采购人要求等违法、违规行为，由采购人组织相关部门专家对供应商违法、违规行为进行评估，违法行为移送司法机关处理，违规行为根据情节严重程度，处以取消合同、取消付款、处以违约金等措施，具体违约金额为项目合同金额的10%-30%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8.网络安全事件的违约金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交供应商因本项目人员、技术、管理等原因直接或间接产生的各类网络安全事件，采购人根据违法、违规行为根据情节严重程度，处以取消合同、取消付款、处以违约金等措施，具体违约金金额为项目合同金额的10%～300%，具体执行标准由采购人确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（七）服务保障和自罚承诺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1.供应商应对照磋商文件要求，书面说明已对采购人的需求做出了实质性的响应，或申明与需求的偏差和例外。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2.如果发生因供应商安全措施不力造成的事故责任、或者其他工作失误，由此所产生的一切责任由供应商承担。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3.如因供应商投入人员过少原因，造成无法在承诺工期内完成服务，由此产生的一切责任由供应商承担。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（八）报价说明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2.供应商的任何错漏、优惠、竞争性报价不得作为减轻责任、减少服务、增加收费、降低服务质量的理由。</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3.供应商报价除包含采购文件中列明的项目外还应包括保障服务正常运行应当具有的物资和服务，对服务正常运行应当具有的物资和服务理解不一致的以采购人理解为准。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（九）付款条件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投标人派驻工程师资质通过审核（对照响应文件要求），启动支付首付款流程，甲方支付合同总额的50%；运维期过半，验收合格后甲方支付合同总额的40%；项目结束，验收合格后甲方支付合同总额的10%。</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（十）廉政条款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成交供应商在项目执行期间须勤政廉洁履行合同要求，规范维护双方合法权益，严禁商业贿赂，谋取不正当利益和违法、违纪行为发生，严格按照采购人要求履行相关廉政制度和义务。</w:t>
      </w:r>
      <w:r/>
    </w:p>
    <w:p>
      <w:pPr>
        <w:pStyle w:val="913"/>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91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第五章评审方法与评审标准</w:t>
      </w:r>
      <w:r/>
    </w:p>
    <w:p>
      <w:pPr>
        <w:ind w:left="0" w:right="0" w:firstLine="441"/>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一、定标办法</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right="0" w:firstLine="441"/>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二、政府采购政策功能落实</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1.小微型企业价格扣除</w:t>
      </w:r>
      <w:r/>
    </w:p>
    <w:p>
      <w:pPr>
        <w:ind w:left="437"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（1）本项目对小型和微型企业提供的服务给予10%的扣除价格，用扣除后的价格参与评审。（2）供应商需按照磋商文件的要求提供相应的《小微企业声明函》。</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（3）企业标准请参照《关于印发中小企业划型标准规定的通知》（工信部联企业[2011]300号）文件规定自行填写。</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2.残疾人福利单位价格扣除</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（1）本项目对残疾人福利性单位视同小型、微型企业，给予10%的价格扣除，用扣除后的价格参与评审。</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（2）残疾人福利单位需按照磋商文件的要求提供《残疾人福利性单位声明函》。</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（3）残疾人福利单位标准请参照《关于促进残疾人就业政府采购政策的通知》（财库〔2017〕141号）。</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3.监狱和戒毒企业价格扣除</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（1）本项目对监狱和戒毒企业（简称监狱企业）视同小型、微型企业，给予10%的价格扣除，用扣除后的价格参与评审。</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（3）监狱企业标准请参照《关于政府采购支持监狱企业发展有关问题的通知》（财库[2014]68号）。</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4.残疾人福利单位、监狱企业属于小型、微型企业的，不重复享受政策。</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6、联合体各方均为小型、微型企业（残疾人福利单位、监狱企业）的，联合体享受10%价格扣除，用扣除后的价格参与评审。</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三、评审办法和评审标准</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342"/>
        <w:gridCol w:w="5444"/>
        <w:gridCol w:w="654"/>
      </w:tblGrid>
      <w:tr>
        <w:trPr>
          <w:trHeight w:val="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分值</w:t>
            </w:r>
            <w:r/>
          </w:p>
        </w:tc>
      </w:tr>
      <w:tr>
        <w:trPr>
          <w:trHeight w:val="2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价格（10分）</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价格（10分）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采用低价优先法计算，即满足招标文件要求且投标价格最低的投标报价为评标基准价，其价格分为满分。其他投标人的价格分统一按照下列公式计算：投标报价得分=(评标基准价/最终磋商报价)×10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技术（54分）</w:t>
            </w:r>
            <w:r/>
          </w:p>
        </w:tc>
      </w:tr>
      <w:tr>
        <w:trPr>
          <w:trHeight w:val="2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总体目标理解及运维方案（10分）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评委根据投标人对江苏省人社一体化信息平台和南京人社城乡一体化信息系统建设现状与问题的理解和认识，提供对本项目总体的运维目标、运维思路及运维方案等进行综合评分：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（1）内容全面，理解准确，满足采购需求，得10分。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（2）内容较全面，理解较准确，较为满足采购需求，得7分。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（3）内容不全面，理解基本准确，基本满足采购需求，得4分。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10</w:t>
            </w:r>
            <w:r/>
          </w:p>
        </w:tc>
      </w:tr>
      <w:tr>
        <w:trPr>
          <w:trHeight w:val="3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需求及难点分析（10分）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评委根据投标人针对采购文件中业务需求，提出的需求分析、重难点问题分析以及应对策略等内容进行综合评分：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（1）需求内容全面，难点分析准确，应对策略科学合理，得10分。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（2）需求内容较全面，难点分析较准确，应对策略较为科学合理，得7分。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（3）需求内容不全面，难点分析基本准确，应对策略基本科学合理，得4分。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实施方案 （10分）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评委根据投标人对本运维项目提出的实施方案进行综合评分：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（1）实施方案全面，具有合理的进度安排、组织架构，具有良好的进度控制、风险控制管理、质量保障措施，得10分。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（2）实施方案较全面，进度安排、组织架构较合理，进度控制、风险控制管理、质量保障措施、信息安全管理措施较好，得7分。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（3）实施方案不全面，进度安排、组织架构不合理，没有进度控制、风险控制管理、质量保障措施、信息安全管理措施，得4分。</w:t>
            </w:r>
            <w:r/>
          </w:p>
          <w:p>
            <w:pPr>
              <w:ind w:left="0" w:right="0" w:firstLine="0"/>
              <w:jc w:val="both"/>
              <w:spacing w:before="210" w:after="21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测试方案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评委根据投标人提供的测试方案中的测试目标、测试内容、缺陷记录与管理等进行综合评分：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（1）测试方案完整合理，可操作性强，得6分。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（2）测试方案比较完整合理，可操作性较强，得4分。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（3）测试方案不够完整合理，可操作性不强，得2分。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安全管理方案（6分）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依照安全等级保护三级标准，评委根据投标人提供的安全管理方案中的系统安全策略、安全管理策略等进行综合评分：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（1）安全策略和安全管理策略合理可行，得6分。</w:t>
            </w:r>
            <w:r/>
          </w:p>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（2）安全策略和安全管理策略基本合理可行，得4分。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（3）安全策略和安全管理策略不够合理，可行性一般，得2分。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技术培训方案（6分）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评委根据投标人提供的技术培训方案进行综合评分：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（1）培训方案全面合理有效，具有详细的培训计划、培训师资力量、培训内容，得6分。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（2）培训方案较为全面，有效性较好，培训计划、培训师资力量、培训内容较详细，得4分。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（3）培训方案片面，不具有执行有效性，培训计划、培训师资力量、培训内容不详细，得2分。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维保服务方案（6分）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评委根据投标人提供的售后服务方案进行综合评分：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（1）售后服务方案全面合理，服务流程及内容具体，响应时间迅速，服务人员齐备，得6分。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（2）售后服务方案较全面，有服务流程及内容、响应时间较为迅速、服务人员匹配基本满足需求，得4分。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（3）售后服务方案较片面，有服务流程及内容空洞或欠缺，响应时间缓慢，服务人员匹配欠缺，得2分。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r>
      <w:tr>
        <w:trPr>
          <w:trHeight w:val="5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商务（36分）</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业绩         （9分）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根据投标人自2023年7月1日（含，以合同签订时间为准）至今，承担过的类似运维项目业绩打分，每提供一个得3分，最多得9分。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注：需提供业绩合同关键页复印件及用户联系人、联系电话并加盖公章。关键页包括但不限于合同服务内容、合同签订时间、合同双方盖章页等，且能反映相关信息，未提供或未按要求提供的不得分。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9</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项目经理能力（6分）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投标人拟投入本项目的项目经理具有人社一体化信息平台开发或运维的得6分。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注：需提供人员工作经验证明函并加盖供应商公章，否则不得分。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技术人员能力（12分）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投标人拟投入本项目的驻场技术人员（除项目经理外）中有2人具有人社一体化信息平台开发或运维经验的得8分，在此基础上每多提供一名具有人社一体化信息平台开发或运维经验的驻场人员加2分，最多得12分。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注：需提供人员工作经验证明函并加盖供应商公章，否则不得分。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12</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服务承诺</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供应商承诺拟投入本项目的项目经理在项目合同期内不变更的得6分。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供应商承诺拟投入本项目的技术人员（除项目经理外）在项目合同期内不变更的得3分。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注：需提供承诺函并加盖公章，格式自拟，未提供或未按要求提供的不得分。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9</w:t>
            </w:r>
            <w:r/>
          </w:p>
        </w:tc>
      </w:tr>
      <w:tr>
        <w:trPr>
          <w:trHeight w:val="5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9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91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供应商名称 ：</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授权代表签字：</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日期 ：</w:t>
      </w:r>
      <w:r>
        <w:rPr>
          <w:rFonts w:ascii="FangSong" w:hAnsi="FangSong" w:eastAsia="FangSong" w:cs="FangSong"/>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（注：供应商应根据附件顺序编制响应文件并制作目录（须生成页码））</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资格审查索引表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5"/>
        <w:gridCol w:w="5100"/>
        <w:gridCol w:w="3039"/>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资格要求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在响应文件中的页码位置</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注：此表为表样，行数可自行添加，但表式不变。</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评分索引表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5369"/>
        <w:gridCol w:w="2997"/>
      </w:tblGrid>
      <w:tr>
        <w:trPr>
          <w:trHeight w:val="8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在响应文件中的页码位置</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9"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1084"/>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08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响应文件主要目录</w:t>
      </w:r>
      <w:r/>
    </w:p>
    <w:p>
      <w:pPr>
        <w:pStyle w:val="914"/>
        <w:ind w:left="0" w:right="0" w:firstLine="0"/>
        <w:jc w:val="center"/>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一、信用记录表</w:t>
      </w:r>
      <w:r/>
    </w:p>
    <w:p>
      <w:pPr>
        <w:ind w:left="0" w:right="0" w:firstLine="0"/>
        <w:spacing w:before="0" w:after="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0"/>
        <w:spacing w:before="0" w:after="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请各供应商响应文件内装订“信用南京”或“南京公共采购信息网”在线打印其《南京市政府采购供应商信用记录表》。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二、特定资格要求的证明文件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如果本项目申请人的特定资格要求中要求提供的，必须提供。</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三、承诺函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致：江苏国信政府采购服务中心有限公司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w:t>
      </w:r>
      <w:r>
        <w:rPr>
          <w:rFonts w:ascii="FangSong" w:hAnsi="FangSong" w:eastAsia="FangSong" w:cs="FangSong"/>
          <w:color w:val="000000"/>
          <w:sz w:val="24"/>
          <w:u w:val="single"/>
        </w:rPr>
        <w:t xml:space="preserve">（项目名称）（项目编号）</w:t>
      </w:r>
      <w:r>
        <w:rPr>
          <w:rFonts w:ascii="FangSong" w:hAnsi="FangSong" w:eastAsia="FangSong" w:cs="FangSong"/>
          <w:color w:val="000000"/>
          <w:sz w:val="24"/>
        </w:rPr>
        <w:t xml:space="preserve">招标公告，我公司郑重承诺：在参加本次政府采购活动不存在下列情况：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（1）负责人为同一人或者存在直接控股、管理关系的不同供应商，参加同一合同项下的政府采购活动。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（2）供应商被“信用中国”（www.creditchina.gov.cn）、“中国政府采购网"(www.ccgp.gov.cn)等网站列入失信被执行人、重大税收违法案件当事人名单、政府采购严重违法失信行为记录名单。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（3）为采购项目提供整体设计、规范编制或者项目管理、监理、检测等服务供应商参加本项目的采购活动。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特此承诺！</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供应商（加盖公章）：</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法人或授权代表（签字）：</w:t>
      </w:r>
      <w:r/>
    </w:p>
    <w:p>
      <w:pPr>
        <w:ind w:left="0" w:right="0" w:firstLine="55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00" w:line="9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四、法人授权书</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本授权书声明：____________（供应商名称）授权________________（被授权人的姓名）为我方就</w:t>
      </w:r>
      <w:r>
        <w:rPr>
          <w:rFonts w:ascii="FangSong" w:hAnsi="FangSong" w:eastAsia="FangSong" w:cs="FangSong"/>
          <w:color w:val="000000"/>
          <w:sz w:val="24"/>
          <w:u w:val="single"/>
        </w:rPr>
        <w:t xml:space="preserve">项目编号为</w:t>
      </w:r>
      <w:r>
        <w:rPr>
          <w:rFonts w:ascii="FangSong" w:hAnsi="FangSong" w:eastAsia="FangSong" w:cs="FangSong"/>
          <w:color w:val="000000"/>
          <w:sz w:val="24"/>
        </w:rPr>
        <w:t xml:space="preserve">号的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项目采购活动的合法代理人，以本单位名义全权处理一切与该项目采购有关的事务。</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本授权书于______年____月____日起生效，特此声明。</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被授权人身份证号码：</w:t>
      </w:r>
      <w:r>
        <w:rPr>
          <w:rFonts w:ascii="FangSong" w:hAnsi="FangSong" w:eastAsia="FangSong" w:cs="FangSong"/>
          <w:color w:val="000000"/>
          <w:sz w:val="24"/>
          <w:u w:val="single"/>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被授权人联系电话：（手机）</w:t>
      </w:r>
      <w:r>
        <w:rPr>
          <w:rFonts w:ascii="FangSong" w:hAnsi="FangSong" w:eastAsia="FangSong" w:cs="FangSong"/>
          <w:color w:val="000000"/>
          <w:sz w:val="24"/>
          <w:u w:val="single"/>
        </w:rPr>
        <w:t xml:space="preserve">                          </w:t>
      </w:r>
      <w:r/>
    </w:p>
    <w:p>
      <w:pPr>
        <w:ind w:left="0" w:right="0" w:firstLine="120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法人（签字）：</w:t>
      </w:r>
      <w:r>
        <w:rPr>
          <w:rFonts w:ascii="FangSong" w:hAnsi="FangSong" w:eastAsia="FangSong" w:cs="FangSong"/>
          <w:color w:val="000000"/>
          <w:sz w:val="24"/>
          <w:u w:val="single"/>
        </w:rPr>
        <w:t xml:space="preserve">                              </w:t>
      </w:r>
      <w:r/>
    </w:p>
    <w:p>
      <w:pPr>
        <w:ind w:left="0" w:right="0" w:firstLine="120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授权单位名称：</w:t>
      </w:r>
      <w:r>
        <w:rPr>
          <w:rFonts w:ascii="FangSong" w:hAnsi="FangSong" w:eastAsia="FangSong" w:cs="FangSong"/>
          <w:color w:val="000000"/>
          <w:sz w:val="24"/>
          <w:u w:val="single"/>
        </w:rPr>
        <w:t xml:space="preserve">（加盖公章）</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单位地址：</w:t>
      </w:r>
      <w:r>
        <w:rPr>
          <w:rFonts w:ascii="FangSong" w:hAnsi="FangSong" w:eastAsia="FangSong" w:cs="FangSong"/>
          <w:color w:val="000000"/>
          <w:sz w:val="24"/>
          <w:u w:val="single"/>
        </w:rPr>
        <w:t xml:space="preserve">                                         </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p>
    <w:p>
      <w:pPr>
        <w:ind w:left="0" w:right="0" w:firstLine="482"/>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附：法定代表人、供应商授权代表的身份证复印件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br w:type="page" w:clear="all"/>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五、响应函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致：江苏国信政府采购服务中心有限公司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根据贵方的</w:t>
      </w:r>
      <w:r>
        <w:rPr>
          <w:rFonts w:ascii="FangSong" w:hAnsi="FangSong" w:eastAsia="FangSong" w:cs="FangSong"/>
          <w:color w:val="000000"/>
          <w:sz w:val="24"/>
          <w:u w:val="single"/>
        </w:rPr>
        <w:t xml:space="preserve">项目编号为</w:t>
      </w:r>
      <w:r>
        <w:rPr>
          <w:rFonts w:ascii="FangSong" w:hAnsi="FangSong" w:eastAsia="FangSong" w:cs="FangSong"/>
          <w:color w:val="000000"/>
          <w:sz w:val="24"/>
        </w:rPr>
        <w:t xml:space="preserve">号的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项目磋商文件，正式授权下述签字人_________________(姓名)代表我方______________（供应商的名称），全权处理本次项目磋商的有关事宜。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1.按磋商文件规定的各项要求，向买方提供所需服务（包含于服务相关的产品）。</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2.我们完全理解贵方不一定将合同授予最低报价的供应商。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3.我们已详细审核全部磋商文件及其有效补充文件，我们知道必须放弃提出含糊不清或误解问题的权利。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4.我们同意从规定的开标日期起遵循本响应文件，并在规定的磋商有效期期满之前均具有约束力。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5.同意向贵方提供贵方可能另外要求的与磋商有关的任何证据或资料，并保证我方已提供和将要提供的文件是真实的、准确的。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6.一旦我方成交,我方将根据磋商文件的规定，严格履行合同的责任和义务,并保证在磋商文件规定的时间完成项目，交付买方验收、使用。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7.与本磋商有关的正式通讯地址为：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项目</w:t>
      </w:r>
      <w:r>
        <w:rPr>
          <w:rFonts w:ascii="FangSong" w:hAnsi="FangSong" w:eastAsia="FangSong" w:cs="FangSong"/>
          <w:color w:val="000000"/>
          <w:sz w:val="24"/>
          <w:highlight w:val="none"/>
        </w:rPr>
        <w:t xml:space="preserve">负责人</w:t>
      </w:r>
      <w:r>
        <w:rPr>
          <w:rFonts w:ascii="FangSong" w:hAnsi="FangSong" w:eastAsia="FangSong" w:cs="FangSong"/>
          <w:color w:val="000000"/>
          <w:sz w:val="24"/>
          <w:highlight w:val="none"/>
        </w:rPr>
        <w:t xml:space="preserve">及</w:t>
      </w:r>
      <w:r>
        <w:rPr>
          <w:rFonts w:ascii="FangSong" w:hAnsi="FangSong" w:eastAsia="FangSong" w:cs="FangSong"/>
          <w:color w:val="000000"/>
          <w:sz w:val="24"/>
          <w:highlight w:val="none"/>
        </w:rPr>
        <w:t xml:space="preserve">联系</w:t>
      </w:r>
      <w:r>
        <w:rPr>
          <w:rFonts w:ascii="FangSong" w:hAnsi="FangSong" w:eastAsia="FangSong" w:cs="FangSong"/>
          <w:color w:val="000000"/>
          <w:sz w:val="24"/>
          <w:highlight w:val="none"/>
        </w:rPr>
        <w:t xml:space="preserve">电话</w:t>
      </w:r>
      <w:r>
        <w:rPr>
          <w:rFonts w:ascii="FangSong" w:hAnsi="FangSong" w:eastAsia="FangSong" w:cs="FangSong"/>
          <w:color w:val="000000"/>
          <w:sz w:val="24"/>
          <w:highlight w:val="none"/>
        </w:rPr>
        <w:t xml:space="preserve">：</w:t>
      </w:r>
      <w:r>
        <w:rPr>
          <w:sz w:val="24"/>
          <w:szCs w:val="24"/>
        </w:rPr>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br w:type="page" w:clear="all"/>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六、中小企业声明函</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本公司郑重声明，根据《政府采购促进中小企业发展管理办法》(财库[2020]46号)的规定，本公司参加江苏国信政府采购服务中心有限公司组织的项目编号为</w:t>
      </w:r>
      <w:r>
        <w:rPr>
          <w:rFonts w:ascii="FangSong" w:hAnsi="FangSong" w:eastAsia="FangSong" w:cs="FangSong"/>
          <w:color w:val="000000"/>
          <w:sz w:val="24"/>
          <w:u w:val="single"/>
        </w:rPr>
        <w:t xml:space="preserve">JSZC-320100-JSGX-C2026-0013</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（2026年度江苏省人社一体化信息平台南京公共服务运维项目）</w:t>
      </w:r>
      <w:r>
        <w:rPr>
          <w:rFonts w:ascii="FangSong" w:hAnsi="FangSong" w:eastAsia="FangSong" w:cs="FangSong"/>
          <w:color w:val="000000"/>
          <w:sz w:val="24"/>
        </w:rPr>
        <w:t xml:space="preserve">的磋商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2026年度江苏省人社一体化信息平台南京公共服务运维项目</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软件和信息技术服务业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企业名称（加盖公章）：</w:t>
      </w:r>
      <w:r/>
    </w:p>
    <w:p>
      <w:pPr>
        <w:ind w:left="0" w:right="480" w:firstLine="6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备注2：供应商如不提供此声明函，价格将不做相应扣除。</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备注3:本项目所属行业为“软件和信息技术服务业‌”。</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br w:type="page" w:clear="all"/>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七、残疾人福利性单位声明函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FangSong" w:hAnsi="FangSong" w:eastAsia="FangSong" w:cs="FangSong"/>
          <w:color w:val="000000"/>
          <w:sz w:val="24"/>
          <w:u w:val="single"/>
        </w:rPr>
        <w:t xml:space="preserve">______</w:t>
      </w:r>
      <w:r>
        <w:rPr>
          <w:rFonts w:ascii="FangSong" w:hAnsi="FangSong" w:eastAsia="FangSong" w:cs="FangSong"/>
          <w:color w:val="000000"/>
          <w:sz w:val="24"/>
        </w:rPr>
        <w:t xml:space="preserve">单位的磋商文件编号为</w:t>
      </w:r>
      <w:r>
        <w:rPr>
          <w:rFonts w:ascii="FangSong" w:hAnsi="FangSong" w:eastAsia="FangSong" w:cs="FangSong"/>
          <w:color w:val="000000"/>
          <w:sz w:val="24"/>
          <w:u w:val="single"/>
        </w:rPr>
        <w:t xml:space="preserve">_____</w:t>
      </w:r>
      <w:r>
        <w:rPr>
          <w:rFonts w:ascii="FangSong" w:hAnsi="FangSong" w:eastAsia="FangSong" w:cs="FangSong"/>
          <w:color w:val="000000"/>
          <w:sz w:val="24"/>
        </w:rPr>
        <w:t xml:space="preserve">_的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项目（分包号：**）采购活动由本单位提供服务。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（备注：1、供应商如不提供此声明函，价格将不做相应扣除。2、成交人为残疾人福利单位的，此声明函将随成交结果同时公告，接受社会监督）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FangSong" w:hAnsi="FangSong" w:eastAsia="FangSong" w:cs="FangSong"/>
          <w:color w:val="000000"/>
          <w:sz w:val="24"/>
        </w:rPr>
        <w:t xml:space="preserve">          供应商全称（加盖公章）：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证明材料：本单位在职职工人数和安置残疾人人数、与安置的每位残疾人签订了一年以上（含一年）的劳动合同或服务协议、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安置的残疾人在法定劳动年龄内且持有《中华人民共和国残疾人证》或者《中华人民共和国残疾军人证（1至8级）》，包括具有劳动条件和劳动意愿的精神残疾人。（未提供证明或材料不全的不予折扣）</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br w:type="page" w:clear="all"/>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八、监狱企业声明函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单位名称(盖章):</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注:1、成交供应商为监狱企业且评审中享受了监狱企业相关政府采购支持政策的,其《监狱企业声明函》将在中标、成交公示中公告,接受社会监督。</w:t>
      </w:r>
      <w:r/>
    </w:p>
    <w:p>
      <w:pPr>
        <w:ind w:left="0" w:right="1560" w:firstLine="0"/>
        <w:jc w:val="left"/>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u w:val="none"/>
        </w:rPr>
        <w:t xml:space="preserve">九、</w:t>
      </w:r>
      <w:r>
        <w:rPr>
          <w:rFonts w:ascii="FangSong" w:hAnsi="FangSong" w:eastAsia="FangSong" w:cs="FangSong"/>
          <w:b/>
          <w:color w:val="000000"/>
          <w:sz w:val="32"/>
          <w:highlight w:val="none"/>
        </w:rPr>
        <w:t xml:space="preserve">报价表</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t xml:space="preserve">（格式可根据项目情况自行调整）</w:t>
      </w:r>
      <w:r>
        <w:rPr>
          <w:highlight w:val="none"/>
        </w:rPr>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36"/>
        <w:gridCol w:w="5204"/>
      </w:tblGrid>
      <w:tr>
        <w:trPr>
          <w:trHeight w:val="7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2026年度江苏省人社一体化信息平台南京公共服务运维项目</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spacing w:before="0" w:after="0" w:line="40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元（大写）</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元（小写）</w:t>
            </w: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供应商是否为小微企业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FangSong" w:hAnsi="FangSong" w:eastAsia="FangSong" w:cs="FangSong"/>
          <w:color w:val="000000"/>
          <w:sz w:val="21"/>
        </w:rPr>
        <w:t xml:space="preserve">说明：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1、本项目仅接受一个价格，不得填报有选择性报价方案。</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2、响应文件所报的响应价格（首次报价）不得超过磋商文件规定的预算价、限价，超过磋商文件规定的，按无效响应处理。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3、磋商结束后，磋商小组将要求所有实质性响应的供应商在规定时间内提交最后报价（二次或多次报价）。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4、供应商须根据企业自身实际情况，在“供应商是否为小微企业”栏后“是”或“否”上打“√”。</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br w:type="page" w:clear="all"/>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十、分项报价表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1086"/>
        <w:gridCol w:w="1040"/>
        <w:gridCol w:w="762"/>
        <w:gridCol w:w="975"/>
        <w:gridCol w:w="1292"/>
        <w:gridCol w:w="143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p>
      <w:pPr>
        <w:ind w:left="105"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1、行数不够，可自行添加。</w:t>
      </w:r>
      <w:r/>
    </w:p>
    <w:p>
      <w:pPr>
        <w:ind w:left="105"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2、供应商的报价应包括采购人需求的服务（包含与服务相关的产品）价格、质量保证费用、售后服务费用、验收所需费用和所有相关税金费用及为完成整个项目所产生的其它所有费用。</w:t>
      </w:r>
      <w:r/>
    </w:p>
    <w:p>
      <w:pPr>
        <w:ind w:left="105"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3、经磋商后，如果成交价高于或低于供应商在响应文件所报响应价格（首次报价）的，分项报价同比例调整。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br w:type="page" w:clear="all"/>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十一、</w:t>
      </w:r>
      <w:r>
        <w:rPr>
          <w:rFonts w:ascii="FangSong" w:hAnsi="FangSong" w:eastAsia="FangSong" w:cs="FangSong"/>
          <w:b/>
          <w:color w:val="000000"/>
          <w:sz w:val="32"/>
        </w:rPr>
        <w:t xml:space="preserve">技术要求响应及偏离表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5"/>
        <w:gridCol w:w="2507"/>
        <w:gridCol w:w="2139"/>
        <w:gridCol w:w="1051"/>
        <w:gridCol w:w="906"/>
        <w:gridCol w:w="930"/>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满足、正或负偏离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 行数不够，可自行添加。请供应商针对磋商文件第四章 项目需求逐条进行响应。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十二、商务要求响应及偏离表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2679"/>
        <w:gridCol w:w="2873"/>
        <w:gridCol w:w="1297"/>
        <w:gridCol w:w="1608"/>
      </w:tblGrid>
      <w:tr>
        <w:trPr>
          <w:trHeight w:val="2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满足、正或负偏离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材料</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 行数不够，可自行添加。请供应商针对磋商文件中的商务条款进行响应。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br w:type="page" w:clear="all"/>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十三、</w:t>
      </w:r>
      <w:r>
        <w:rPr>
          <w:rFonts w:ascii="FangSong" w:hAnsi="FangSong" w:eastAsia="FangSong" w:cs="FangSong"/>
          <w:b/>
          <w:color w:val="000000"/>
          <w:sz w:val="32"/>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（格式自拟）</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十四、业绩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经营业绩（参考格式）</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438"/>
        <w:gridCol w:w="1182"/>
        <w:gridCol w:w="1181"/>
        <w:gridCol w:w="1230"/>
        <w:gridCol w:w="1911"/>
      </w:tblGrid>
      <w:tr>
        <w:trPr>
          <w:trHeight w:val="7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jc w:val="center"/>
              <w:rPr>
                <w:sz w:val="24"/>
                <w:szCs w:val="24"/>
              </w:rPr>
            </w:pPr>
            <w:r>
              <w:rPr>
                <w:sz w:val="24"/>
                <w:szCs w:val="24"/>
              </w:rPr>
              <w:t xml:space="preserve">备注</w:t>
            </w:r>
            <w:r>
              <w:rPr>
                <w:sz w:val="24"/>
                <w:szCs w:val="24"/>
              </w:rPr>
            </w:r>
            <w:r>
              <w:rPr>
                <w:sz w:val="24"/>
                <w:szCs w:val="24"/>
              </w:rP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注：此表为表样，行数可自行添加，但表式不变。根据评分标准要求，附上业绩证明材料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十五、履约能力</w:t>
      </w:r>
      <w:r/>
    </w:p>
    <w:p>
      <w:pPr>
        <w:pStyle w:val="914"/>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十六、附件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我公司郑重声明：我公司具备履行本项采购合同所必需的设备和专业技术能力，为履行本项采购合同我公司具备如下主要设备和主要专业技术能力：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（公章）</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无重大违法记录声明</w:t>
      </w:r>
      <w:r>
        <w:rPr>
          <w:rFonts w:ascii="SimHei" w:hAnsi="SimHei" w:eastAsia="SimHei" w:cs="SimHei"/>
          <w:color w:val="000000"/>
          <w:sz w:val="28"/>
        </w:rPr>
        <w:t xml:space="preserve">（格式）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（说明：重大违法记录，是指供应商因违法经营受到刑事处罚或者责令停产停业、吊销许可证或者执照、较大数额罚款等行政处罚。）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erReference w:type="first" r:id="rId10"/>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lear" w:pos="4153" w:leader="none"/>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8"/>
      <w:isLgl w:val="false"/>
      <w:suff w:val="nothing"/>
      <w:lvlText w:val=""/>
      <w:lvlJc w:val="left"/>
      <w:pPr>
        <w:ind w:left="0" w:firstLine="0"/>
      </w:pPr>
      <w:rPr>
        <w:rFonts w:hint="eastAsia"/>
      </w:rPr>
    </w:lvl>
    <w:lvl w:ilvl="6">
      <w:start w:val="1"/>
      <w:numFmt w:val="none"/>
      <w:pStyle w:val="919"/>
      <w:isLgl w:val="false"/>
      <w:suff w:val="nothing"/>
      <w:lvlText w:val=""/>
      <w:lvlJc w:val="left"/>
      <w:pPr>
        <w:ind w:left="0" w:firstLine="0"/>
      </w:pPr>
      <w:rPr>
        <w:rFonts w:hint="eastAsia"/>
      </w:rPr>
    </w:lvl>
    <w:lvl w:ilvl="7">
      <w:start w:val="1"/>
      <w:numFmt w:val="none"/>
      <w:pStyle w:val="920"/>
      <w:isLgl w:val="false"/>
      <w:suff w:val="nothing"/>
      <w:lvlText w:val=""/>
      <w:lvlJc w:val="left"/>
      <w:pPr>
        <w:ind w:left="0" w:firstLine="0"/>
      </w:pPr>
      <w:rPr>
        <w:rFonts w:hint="eastAsia"/>
      </w:rPr>
    </w:lvl>
    <w:lvl w:ilvl="8">
      <w:start w:val="1"/>
      <w:numFmt w:val="none"/>
      <w:pStyle w:val="921"/>
      <w:isLgl w:val="false"/>
      <w:suff w:val="nothing"/>
      <w:lvlText w:val=""/>
      <w:lvlJc w:val="left"/>
      <w:pPr>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22"/>
    <w:link w:val="913"/>
    <w:uiPriority w:val="9"/>
    <w:rPr>
      <w:rFonts w:ascii="Arial" w:hAnsi="Arial" w:eastAsia="Arial" w:cs="Arial"/>
      <w:sz w:val="40"/>
      <w:szCs w:val="40"/>
    </w:rPr>
  </w:style>
  <w:style w:type="character" w:styleId="761">
    <w:name w:val="Heading 2 Char"/>
    <w:basedOn w:val="922"/>
    <w:link w:val="914"/>
    <w:uiPriority w:val="9"/>
    <w:rPr>
      <w:rFonts w:ascii="Arial" w:hAnsi="Arial" w:eastAsia="Arial" w:cs="Arial"/>
      <w:sz w:val="34"/>
    </w:rPr>
  </w:style>
  <w:style w:type="character" w:styleId="762">
    <w:name w:val="Heading 3 Char"/>
    <w:basedOn w:val="922"/>
    <w:link w:val="915"/>
    <w:uiPriority w:val="9"/>
    <w:rPr>
      <w:rFonts w:ascii="Arial" w:hAnsi="Arial" w:eastAsia="Arial" w:cs="Arial"/>
      <w:sz w:val="30"/>
      <w:szCs w:val="30"/>
    </w:rPr>
  </w:style>
  <w:style w:type="character" w:styleId="763">
    <w:name w:val="Heading 4 Char"/>
    <w:basedOn w:val="922"/>
    <w:link w:val="916"/>
    <w:uiPriority w:val="9"/>
    <w:rPr>
      <w:rFonts w:ascii="Arial" w:hAnsi="Arial" w:eastAsia="Arial" w:cs="Arial"/>
      <w:b/>
      <w:bCs/>
      <w:sz w:val="26"/>
      <w:szCs w:val="26"/>
    </w:rPr>
  </w:style>
  <w:style w:type="character" w:styleId="764">
    <w:name w:val="Heading 5 Char"/>
    <w:basedOn w:val="922"/>
    <w:link w:val="917"/>
    <w:uiPriority w:val="9"/>
    <w:rPr>
      <w:rFonts w:ascii="Arial" w:hAnsi="Arial" w:eastAsia="Arial" w:cs="Arial"/>
      <w:b/>
      <w:bCs/>
      <w:sz w:val="24"/>
      <w:szCs w:val="24"/>
    </w:rPr>
  </w:style>
  <w:style w:type="character" w:styleId="765">
    <w:name w:val="Heading 6 Char"/>
    <w:basedOn w:val="922"/>
    <w:link w:val="918"/>
    <w:uiPriority w:val="9"/>
    <w:rPr>
      <w:rFonts w:ascii="Arial" w:hAnsi="Arial" w:eastAsia="Arial" w:cs="Arial"/>
      <w:b/>
      <w:bCs/>
      <w:sz w:val="22"/>
      <w:szCs w:val="22"/>
    </w:rPr>
  </w:style>
  <w:style w:type="character" w:styleId="766">
    <w:name w:val="Heading 7 Char"/>
    <w:basedOn w:val="922"/>
    <w:link w:val="919"/>
    <w:uiPriority w:val="9"/>
    <w:rPr>
      <w:rFonts w:ascii="Arial" w:hAnsi="Arial" w:eastAsia="Arial" w:cs="Arial"/>
      <w:b/>
      <w:bCs/>
      <w:i/>
      <w:iCs/>
      <w:sz w:val="22"/>
      <w:szCs w:val="22"/>
    </w:rPr>
  </w:style>
  <w:style w:type="character" w:styleId="767">
    <w:name w:val="Heading 8 Char"/>
    <w:basedOn w:val="922"/>
    <w:link w:val="920"/>
    <w:uiPriority w:val="9"/>
    <w:rPr>
      <w:rFonts w:ascii="Arial" w:hAnsi="Arial" w:eastAsia="Arial" w:cs="Arial"/>
      <w:i/>
      <w:iCs/>
      <w:sz w:val="22"/>
      <w:szCs w:val="22"/>
    </w:rPr>
  </w:style>
  <w:style w:type="character" w:styleId="768">
    <w:name w:val="Heading 9 Char"/>
    <w:basedOn w:val="922"/>
    <w:link w:val="921"/>
    <w:uiPriority w:val="9"/>
    <w:rPr>
      <w:rFonts w:ascii="Arial" w:hAnsi="Arial" w:eastAsia="Arial" w:cs="Arial"/>
      <w:i/>
      <w:iCs/>
      <w:sz w:val="21"/>
      <w:szCs w:val="21"/>
    </w:rPr>
  </w:style>
  <w:style w:type="character" w:styleId="769">
    <w:name w:val="Title Char"/>
    <w:basedOn w:val="922"/>
    <w:link w:val="955"/>
    <w:uiPriority w:val="10"/>
    <w:rPr>
      <w:sz w:val="48"/>
      <w:szCs w:val="48"/>
    </w:rPr>
  </w:style>
  <w:style w:type="paragraph" w:styleId="770">
    <w:name w:val="Subtitle"/>
    <w:basedOn w:val="912"/>
    <w:next w:val="912"/>
    <w:link w:val="771"/>
    <w:uiPriority w:val="11"/>
    <w:qFormat/>
    <w:pPr>
      <w:spacing w:before="200" w:after="200"/>
    </w:pPr>
    <w:rPr>
      <w:sz w:val="24"/>
      <w:szCs w:val="24"/>
    </w:rPr>
  </w:style>
  <w:style w:type="character" w:styleId="771">
    <w:name w:val="Subtitle Char"/>
    <w:basedOn w:val="922"/>
    <w:link w:val="770"/>
    <w:uiPriority w:val="11"/>
    <w:rPr>
      <w:sz w:val="24"/>
      <w:szCs w:val="24"/>
    </w:rPr>
  </w:style>
  <w:style w:type="paragraph" w:styleId="772">
    <w:name w:val="Quote"/>
    <w:basedOn w:val="912"/>
    <w:next w:val="912"/>
    <w:link w:val="773"/>
    <w:uiPriority w:val="29"/>
    <w:qFormat/>
    <w:pPr>
      <w:ind w:left="720" w:right="720"/>
    </w:pPr>
    <w:rPr>
      <w:i/>
    </w:rPr>
  </w:style>
  <w:style w:type="character" w:styleId="773">
    <w:name w:val="Quote Char"/>
    <w:link w:val="772"/>
    <w:uiPriority w:val="29"/>
    <w:rPr>
      <w:i/>
    </w:rPr>
  </w:style>
  <w:style w:type="paragraph" w:styleId="774">
    <w:name w:val="Intense Quote"/>
    <w:basedOn w:val="912"/>
    <w:next w:val="912"/>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2"/>
    <w:link w:val="943"/>
    <w:uiPriority w:val="99"/>
  </w:style>
  <w:style w:type="character" w:styleId="777">
    <w:name w:val="Footer Char"/>
    <w:basedOn w:val="922"/>
    <w:link w:val="942"/>
    <w:uiPriority w:val="99"/>
  </w:style>
  <w:style w:type="paragraph" w:styleId="778">
    <w:name w:val="Caption"/>
    <w:basedOn w:val="912"/>
    <w:next w:val="912"/>
    <w:uiPriority w:val="35"/>
    <w:semiHidden/>
    <w:unhideWhenUsed/>
    <w:qFormat/>
    <w:pPr>
      <w:spacing w:line="276" w:lineRule="auto"/>
    </w:pPr>
    <w:rPr>
      <w:b/>
      <w:bCs/>
      <w:color w:val="4f81bd" w:themeColor="accent1"/>
      <w:sz w:val="18"/>
      <w:szCs w:val="18"/>
    </w:rPr>
  </w:style>
  <w:style w:type="character" w:styleId="779">
    <w:name w:val="Caption Char"/>
    <w:basedOn w:val="778"/>
    <w:link w:val="942"/>
    <w:uiPriority w:val="99"/>
  </w:style>
  <w:style w:type="table" w:styleId="780">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5">
    <w:name w:val="footnote text"/>
    <w:basedOn w:val="91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basedOn w:val="922"/>
    <w:uiPriority w:val="99"/>
    <w:unhideWhenUsed/>
    <w:rPr>
      <w:vertAlign w:val="superscript"/>
    </w:rPr>
  </w:style>
  <w:style w:type="paragraph" w:styleId="908">
    <w:name w:val="endnote text"/>
    <w:basedOn w:val="91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2"/>
    <w:uiPriority w:val="99"/>
    <w:semiHidden/>
    <w:unhideWhenUsed/>
    <w:rPr>
      <w:vertAlign w:val="superscript"/>
    </w:rPr>
  </w:style>
  <w:style w:type="paragraph" w:styleId="911">
    <w:name w:val="TOC Heading"/>
    <w:uiPriority w:val="39"/>
    <w:unhideWhenUsed/>
  </w:style>
  <w:style w:type="paragraph" w:styleId="91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13">
    <w:name w:val="Heading 1"/>
    <w:basedOn w:val="912"/>
    <w:next w:val="912"/>
    <w:uiPriority w:val="0"/>
    <w:qFormat/>
    <w:pPr>
      <w:jc w:val="center"/>
      <w:keepNext/>
      <w:outlineLvl w:val="0"/>
    </w:pPr>
    <w:rPr>
      <w:rFonts w:ascii="楷体_GB2312" w:eastAsia="楷体_GB2312"/>
      <w:sz w:val="28"/>
      <w:szCs w:val="28"/>
    </w:rPr>
  </w:style>
  <w:style w:type="paragraph" w:styleId="914">
    <w:name w:val="Heading 2"/>
    <w:basedOn w:val="912"/>
    <w:next w:val="912"/>
    <w:link w:val="9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5">
    <w:name w:val="Heading 3"/>
    <w:basedOn w:val="912"/>
    <w:next w:val="912"/>
    <w:uiPriority w:val="0"/>
    <w:qFormat/>
    <w:pPr>
      <w:keepLines/>
      <w:keepNext/>
      <w:spacing w:before="260" w:after="260" w:line="416" w:lineRule="auto"/>
      <w:outlineLvl w:val="2"/>
    </w:pPr>
    <w:rPr>
      <w:b/>
      <w:bCs/>
      <w:sz w:val="32"/>
      <w:szCs w:val="32"/>
    </w:rPr>
  </w:style>
  <w:style w:type="paragraph" w:styleId="916">
    <w:name w:val="Heading 4"/>
    <w:basedOn w:val="912"/>
    <w:next w:val="912"/>
    <w:uiPriority w:val="0"/>
    <w:qFormat/>
    <w:pPr>
      <w:keepLines/>
      <w:keepNext/>
      <w:spacing w:before="280" w:after="290" w:line="376" w:lineRule="auto"/>
      <w:outlineLvl w:val="3"/>
    </w:pPr>
    <w:rPr>
      <w:rFonts w:ascii="Arial" w:hAnsi="Arial" w:eastAsia="黑体" w:cs="Arial"/>
      <w:b/>
      <w:bCs/>
      <w:sz w:val="28"/>
      <w:szCs w:val="28"/>
    </w:rPr>
  </w:style>
  <w:style w:type="paragraph" w:styleId="917">
    <w:name w:val="Heading 5"/>
    <w:basedOn w:val="912"/>
    <w:next w:val="924"/>
    <w:uiPriority w:val="0"/>
    <w:qFormat/>
    <w:pPr>
      <w:keepNext/>
      <w:outlineLvl w:val="4"/>
    </w:pPr>
    <w:rPr>
      <w:rFonts w:ascii="宋体"/>
      <w:color w:val="000000"/>
      <w:sz w:val="28"/>
      <w:szCs w:val="28"/>
    </w:rPr>
  </w:style>
  <w:style w:type="paragraph" w:styleId="918">
    <w:name w:val="Heading 6"/>
    <w:basedOn w:val="912"/>
    <w:next w:val="9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name w:val="Heading 7"/>
    <w:basedOn w:val="912"/>
    <w:next w:val="912"/>
    <w:uiPriority w:val="0"/>
    <w:qFormat/>
    <w:pPr>
      <w:numPr>
        <w:ilvl w:val="6"/>
        <w:numId w:val="1"/>
      </w:numPr>
      <w:keepLines/>
      <w:keepNext/>
      <w:spacing w:before="240" w:after="64" w:line="320" w:lineRule="auto"/>
      <w:outlineLvl w:val="6"/>
    </w:pPr>
    <w:rPr>
      <w:b/>
      <w:bCs/>
      <w:sz w:val="24"/>
      <w:szCs w:val="24"/>
    </w:rPr>
  </w:style>
  <w:style w:type="paragraph" w:styleId="920">
    <w:name w:val="Heading 8"/>
    <w:basedOn w:val="912"/>
    <w:next w:val="9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1">
    <w:name w:val="Heading 9"/>
    <w:basedOn w:val="912"/>
    <w:next w:val="912"/>
    <w:uiPriority w:val="0"/>
    <w:qFormat/>
    <w:pPr>
      <w:numPr>
        <w:ilvl w:val="8"/>
        <w:numId w:val="1"/>
      </w:numPr>
      <w:keepLines/>
      <w:keepNext/>
      <w:spacing w:before="240" w:after="64" w:line="320" w:lineRule="auto"/>
      <w:outlineLvl w:val="8"/>
    </w:pPr>
    <w:rPr>
      <w:rFonts w:ascii="Arial" w:hAnsi="Arial" w:eastAsia="黑体"/>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Normal Indent"/>
    <w:basedOn w:val="912"/>
    <w:link w:val="969"/>
    <w:uiPriority w:val="0"/>
    <w:qFormat/>
    <w:pPr>
      <w:ind w:firstLine="420"/>
    </w:pPr>
  </w:style>
  <w:style w:type="paragraph" w:styleId="925">
    <w:name w:val="List 3"/>
    <w:basedOn w:val="912"/>
    <w:uiPriority w:val="0"/>
    <w:qFormat/>
    <w:pPr>
      <w:ind w:left="100" w:hanging="200"/>
    </w:pPr>
  </w:style>
  <w:style w:type="paragraph" w:styleId="926">
    <w:name w:val="toc 7"/>
    <w:basedOn w:val="912"/>
    <w:next w:val="912"/>
    <w:uiPriority w:val="0"/>
    <w:semiHidden/>
    <w:qFormat/>
    <w:pPr>
      <w:ind w:left="1260"/>
      <w:jc w:val="left"/>
    </w:pPr>
  </w:style>
  <w:style w:type="paragraph" w:styleId="927">
    <w:name w:val="Document Map"/>
    <w:basedOn w:val="912"/>
    <w:uiPriority w:val="0"/>
    <w:semiHidden/>
    <w:qFormat/>
    <w:pPr>
      <w:shd w:val="clear" w:color="auto" w:fill="000080"/>
    </w:pPr>
  </w:style>
  <w:style w:type="paragraph" w:styleId="928">
    <w:name w:val="annotation text"/>
    <w:basedOn w:val="912"/>
    <w:link w:val="970"/>
    <w:uiPriority w:val="0"/>
    <w:qFormat/>
    <w:pPr>
      <w:jc w:val="left"/>
    </w:pPr>
  </w:style>
  <w:style w:type="paragraph" w:styleId="929">
    <w:name w:val="Body Text 3"/>
    <w:basedOn w:val="912"/>
    <w:uiPriority w:val="0"/>
    <w:qFormat/>
    <w:rPr>
      <w:rFonts w:ascii="仿宋_GB2312" w:hAnsi="Arial" w:eastAsia="仿宋_GB2312"/>
      <w:sz w:val="32"/>
      <w:szCs w:val="32"/>
    </w:rPr>
  </w:style>
  <w:style w:type="paragraph" w:styleId="930">
    <w:name w:val="Body Text"/>
    <w:basedOn w:val="912"/>
    <w:link w:val="971"/>
    <w:uiPriority w:val="0"/>
    <w:qFormat/>
    <w:rPr>
      <w:rFonts w:ascii="楷体_GB2312" w:hAnsi="Arial" w:eastAsia="楷体_GB2312"/>
      <w:sz w:val="28"/>
      <w:szCs w:val="28"/>
    </w:rPr>
  </w:style>
  <w:style w:type="paragraph" w:styleId="931">
    <w:name w:val="Body Text Indent"/>
    <w:basedOn w:val="912"/>
    <w:next w:val="932"/>
    <w:uiPriority w:val="0"/>
    <w:qFormat/>
    <w:pPr>
      <w:ind w:firstLine="645"/>
    </w:pPr>
    <w:rPr>
      <w:rFonts w:ascii="楷体_GB2312" w:eastAsia="楷体_GB2312"/>
      <w:sz w:val="32"/>
      <w:szCs w:val="32"/>
    </w:rPr>
  </w:style>
  <w:style w:type="paragraph" w:styleId="932">
    <w:name w:val="envelope return"/>
    <w:basedOn w:val="912"/>
    <w:uiPriority w:val="99"/>
    <w:unhideWhenUsed/>
    <w:qFormat/>
    <w:rPr>
      <w:rFonts w:ascii="Arial" w:hAnsi="Arial"/>
    </w:rPr>
  </w:style>
  <w:style w:type="paragraph" w:styleId="933">
    <w:name w:val="List 2"/>
    <w:basedOn w:val="912"/>
    <w:uiPriority w:val="0"/>
    <w:qFormat/>
    <w:pPr>
      <w:ind w:left="100" w:hanging="200"/>
    </w:pPr>
  </w:style>
  <w:style w:type="paragraph" w:styleId="934">
    <w:name w:val="index 4"/>
    <w:basedOn w:val="912"/>
    <w:next w:val="912"/>
    <w:uiPriority w:val="99"/>
    <w:unhideWhenUsed/>
    <w:qFormat/>
    <w:pPr>
      <w:ind w:left="600"/>
    </w:pPr>
  </w:style>
  <w:style w:type="paragraph" w:styleId="935">
    <w:name w:val="toc 5"/>
    <w:basedOn w:val="912"/>
    <w:next w:val="912"/>
    <w:uiPriority w:val="0"/>
    <w:semiHidden/>
    <w:qFormat/>
    <w:pPr>
      <w:ind w:left="840"/>
      <w:jc w:val="left"/>
    </w:pPr>
  </w:style>
  <w:style w:type="paragraph" w:styleId="936">
    <w:name w:val="toc 3"/>
    <w:basedOn w:val="912"/>
    <w:next w:val="912"/>
    <w:uiPriority w:val="0"/>
    <w:semiHidden/>
    <w:qFormat/>
    <w:pPr>
      <w:ind w:left="420"/>
      <w:jc w:val="left"/>
    </w:pPr>
    <w:rPr>
      <w:i/>
      <w:iCs/>
      <w:szCs w:val="24"/>
    </w:rPr>
  </w:style>
  <w:style w:type="paragraph" w:styleId="937">
    <w:name w:val="Plain Text"/>
    <w:basedOn w:val="912"/>
    <w:next w:val="912"/>
    <w:link w:val="972"/>
    <w:uiPriority w:val="0"/>
    <w:qFormat/>
    <w:rPr>
      <w:rFonts w:ascii="宋体" w:hAnsi="Courier New" w:cs="Courier New"/>
    </w:rPr>
  </w:style>
  <w:style w:type="paragraph" w:styleId="938">
    <w:name w:val="toc 8"/>
    <w:basedOn w:val="912"/>
    <w:next w:val="912"/>
    <w:uiPriority w:val="0"/>
    <w:semiHidden/>
    <w:qFormat/>
    <w:pPr>
      <w:ind w:left="1470"/>
      <w:jc w:val="left"/>
    </w:pPr>
  </w:style>
  <w:style w:type="paragraph" w:styleId="939">
    <w:name w:val="Date"/>
    <w:basedOn w:val="912"/>
    <w:next w:val="912"/>
    <w:uiPriority w:val="0"/>
    <w:qFormat/>
    <w:rPr>
      <w:sz w:val="24"/>
      <w:szCs w:val="24"/>
    </w:rPr>
  </w:style>
  <w:style w:type="paragraph" w:styleId="940">
    <w:name w:val="Body Text Indent 2"/>
    <w:basedOn w:val="912"/>
    <w:uiPriority w:val="0"/>
    <w:qFormat/>
    <w:pPr>
      <w:ind w:left="630" w:firstLine="645"/>
    </w:pPr>
    <w:rPr>
      <w:rFonts w:ascii="Arial" w:hAnsi="Arial" w:eastAsia="仿宋_GB2312" w:cs="Arial"/>
      <w:sz w:val="32"/>
      <w:szCs w:val="32"/>
    </w:rPr>
  </w:style>
  <w:style w:type="paragraph" w:styleId="941">
    <w:name w:val="Balloon Text"/>
    <w:basedOn w:val="912"/>
    <w:uiPriority w:val="0"/>
    <w:semiHidden/>
    <w:qFormat/>
    <w:rPr>
      <w:sz w:val="18"/>
      <w:szCs w:val="18"/>
    </w:rPr>
  </w:style>
  <w:style w:type="paragraph" w:styleId="942">
    <w:name w:val="Footer"/>
    <w:basedOn w:val="912"/>
    <w:uiPriority w:val="0"/>
    <w:qFormat/>
    <w:pPr>
      <w:jc w:val="left"/>
      <w:tabs>
        <w:tab w:val="center" w:pos="4153" w:leader="none"/>
        <w:tab w:val="right" w:pos="8306" w:leader="none"/>
      </w:tabs>
    </w:pPr>
    <w:rPr>
      <w:sz w:val="18"/>
      <w:szCs w:val="18"/>
    </w:rPr>
  </w:style>
  <w:style w:type="paragraph" w:styleId="943">
    <w:name w:val="Header"/>
    <w:basedOn w:val="912"/>
    <w:link w:val="973"/>
    <w:uiPriority w:val="99"/>
    <w:qFormat/>
    <w:pPr>
      <w:jc w:val="center"/>
      <w:tabs>
        <w:tab w:val="center" w:pos="4153" w:leader="none"/>
        <w:tab w:val="right" w:pos="8306" w:leader="none"/>
      </w:tabs>
      <w:pBdr>
        <w:bottom w:val="single" w:color="auto" w:sz="6" w:space="1"/>
      </w:pBdr>
    </w:pPr>
    <w:rPr>
      <w:sz w:val="18"/>
      <w:szCs w:val="18"/>
    </w:rPr>
  </w:style>
  <w:style w:type="paragraph" w:styleId="944">
    <w:name w:val="toc 1"/>
    <w:basedOn w:val="912"/>
    <w:next w:val="912"/>
    <w:uiPriority w:val="39"/>
    <w:qFormat/>
    <w:pPr>
      <w:jc w:val="left"/>
      <w:spacing w:before="120" w:after="120" w:line="400" w:lineRule="exact"/>
      <w:tabs>
        <w:tab w:val="right" w:pos="8720" w:leader="dot"/>
      </w:tabs>
    </w:pPr>
    <w:rPr>
      <w:rFonts w:ascii="宋体" w:hAnsi="宋体"/>
      <w:caps/>
      <w:sz w:val="24"/>
      <w:szCs w:val="24"/>
    </w:rPr>
  </w:style>
  <w:style w:type="paragraph" w:styleId="945">
    <w:name w:val="toc 4"/>
    <w:basedOn w:val="912"/>
    <w:next w:val="912"/>
    <w:uiPriority w:val="0"/>
    <w:semiHidden/>
    <w:qFormat/>
    <w:pPr>
      <w:ind w:left="630"/>
      <w:jc w:val="left"/>
    </w:pPr>
  </w:style>
  <w:style w:type="paragraph" w:styleId="946">
    <w:name w:val="List"/>
    <w:basedOn w:val="912"/>
    <w:uiPriority w:val="0"/>
    <w:qFormat/>
    <w:pPr>
      <w:ind w:left="200" w:hanging="200"/>
    </w:pPr>
  </w:style>
  <w:style w:type="paragraph" w:styleId="947">
    <w:name w:val="toc 6"/>
    <w:basedOn w:val="912"/>
    <w:next w:val="912"/>
    <w:uiPriority w:val="0"/>
    <w:semiHidden/>
    <w:qFormat/>
    <w:pPr>
      <w:ind w:left="1050"/>
      <w:jc w:val="left"/>
    </w:pPr>
  </w:style>
  <w:style w:type="paragraph" w:styleId="948">
    <w:name w:val="Body Text Indent 3"/>
    <w:basedOn w:val="912"/>
    <w:uiPriority w:val="0"/>
    <w:qFormat/>
    <w:pPr>
      <w:ind w:left="645" w:firstLine="645"/>
    </w:pPr>
    <w:rPr>
      <w:rFonts w:ascii="Arial" w:hAnsi="Arial" w:eastAsia="仿宋_GB2312" w:cs="Arial"/>
      <w:color w:val="ffff00"/>
      <w:sz w:val="32"/>
      <w:szCs w:val="32"/>
    </w:rPr>
  </w:style>
  <w:style w:type="paragraph" w:styleId="949">
    <w:name w:val="table of figures"/>
    <w:basedOn w:val="912"/>
    <w:next w:val="912"/>
    <w:uiPriority w:val="0"/>
    <w:semiHidden/>
    <w:qFormat/>
    <w:pPr>
      <w:ind w:left="840" w:hanging="420"/>
    </w:pPr>
  </w:style>
  <w:style w:type="paragraph" w:styleId="950">
    <w:name w:val="toc 2"/>
    <w:basedOn w:val="912"/>
    <w:next w:val="912"/>
    <w:uiPriority w:val="39"/>
    <w:qFormat/>
    <w:pPr>
      <w:ind w:left="210"/>
      <w:jc w:val="left"/>
    </w:pPr>
    <w:rPr>
      <w:smallCaps/>
      <w:szCs w:val="24"/>
    </w:rPr>
  </w:style>
  <w:style w:type="paragraph" w:styleId="951">
    <w:name w:val="toc 9"/>
    <w:basedOn w:val="912"/>
    <w:next w:val="912"/>
    <w:uiPriority w:val="0"/>
    <w:semiHidden/>
    <w:qFormat/>
    <w:pPr>
      <w:ind w:left="1680"/>
      <w:jc w:val="left"/>
    </w:pPr>
  </w:style>
  <w:style w:type="paragraph" w:styleId="952">
    <w:name w:val="Body Text 2"/>
    <w:basedOn w:val="912"/>
    <w:uiPriority w:val="0"/>
    <w:qFormat/>
    <w:pPr>
      <w:jc w:val="center"/>
      <w:widowControl/>
    </w:pPr>
    <w:rPr>
      <w:rFonts w:ascii="楷体_GB2312" w:eastAsia="楷体_GB2312"/>
      <w:sz w:val="28"/>
      <w:szCs w:val="28"/>
    </w:rPr>
  </w:style>
  <w:style w:type="paragraph" w:styleId="953">
    <w:name w:val="Normal (Web)"/>
    <w:basedOn w:val="912"/>
    <w:uiPriority w:val="99"/>
    <w:qFormat/>
    <w:pPr>
      <w:jc w:val="left"/>
      <w:spacing w:before="100" w:beforeAutospacing="1" w:after="100" w:afterAutospacing="1"/>
      <w:widowControl/>
    </w:pPr>
    <w:rPr>
      <w:rFonts w:ascii="宋体" w:hAnsi="宋体" w:cs="宋体"/>
      <w:sz w:val="24"/>
      <w:szCs w:val="24"/>
    </w:rPr>
  </w:style>
  <w:style w:type="paragraph" w:styleId="954">
    <w:name w:val="index 1"/>
    <w:basedOn w:val="912"/>
    <w:next w:val="912"/>
    <w:uiPriority w:val="0"/>
    <w:semiHidden/>
    <w:qFormat/>
    <w:pPr>
      <w:spacing w:line="240" w:lineRule="atLeast"/>
    </w:pPr>
    <w:rPr>
      <w:b/>
      <w:bCs/>
    </w:rPr>
  </w:style>
  <w:style w:type="paragraph" w:styleId="955">
    <w:name w:val="Title"/>
    <w:basedOn w:val="912"/>
    <w:next w:val="912"/>
    <w:link w:val="974"/>
    <w:uiPriority w:val="0"/>
    <w:qFormat/>
    <w:pPr>
      <w:jc w:val="center"/>
      <w:spacing w:before="240" w:after="60"/>
      <w:outlineLvl w:val="0"/>
    </w:pPr>
    <w:rPr>
      <w:rFonts w:ascii="Cambria" w:hAnsi="Cambria"/>
      <w:b/>
      <w:bCs/>
      <w:sz w:val="32"/>
      <w:szCs w:val="32"/>
    </w:rPr>
  </w:style>
  <w:style w:type="paragraph" w:styleId="956">
    <w:name w:val="annotation subject"/>
    <w:basedOn w:val="928"/>
    <w:next w:val="928"/>
    <w:uiPriority w:val="0"/>
    <w:semiHidden/>
    <w:qFormat/>
    <w:rPr>
      <w:b/>
      <w:bCs/>
    </w:rPr>
  </w:style>
  <w:style w:type="paragraph" w:styleId="957">
    <w:name w:val="Body Text First Indent"/>
    <w:basedOn w:val="930"/>
    <w:uiPriority w:val="0"/>
    <w:qFormat/>
    <w:pPr>
      <w:ind w:firstLine="200"/>
      <w:spacing w:line="360" w:lineRule="auto"/>
    </w:pPr>
    <w:rPr>
      <w:rFonts w:ascii="仿宋_GB2312" w:eastAsia="仿宋_GB2312"/>
      <w:sz w:val="30"/>
      <w:szCs w:val="30"/>
    </w:rPr>
  </w:style>
  <w:style w:type="paragraph" w:styleId="958">
    <w:name w:val="Body Text First Indent 2"/>
    <w:basedOn w:val="931"/>
    <w:next w:val="912"/>
    <w:uiPriority w:val="0"/>
    <w:qFormat/>
    <w:pPr>
      <w:ind w:firstLine="420"/>
      <w:spacing w:line="360" w:lineRule="auto"/>
    </w:pPr>
    <w:rPr>
      <w:rFonts w:ascii="宋体" w:hAnsi="宋体" w:eastAsia="宋体"/>
      <w:sz w:val="21"/>
      <w:szCs w:val="20"/>
    </w:rPr>
  </w:style>
  <w:style w:type="table" w:styleId="959">
    <w:name w:val="Table Grid"/>
    <w:basedOn w:val="9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0">
    <w:name w:val="Strong"/>
    <w:uiPriority w:val="0"/>
    <w:qFormat/>
    <w:rPr>
      <w:b/>
      <w:bCs/>
    </w:rPr>
  </w:style>
  <w:style w:type="character" w:styleId="961">
    <w:name w:val="page number"/>
    <w:uiPriority w:val="0"/>
    <w:qFormat/>
  </w:style>
  <w:style w:type="character" w:styleId="962">
    <w:name w:val="FollowedHyperlink"/>
    <w:uiPriority w:val="0"/>
    <w:qFormat/>
    <w:rPr>
      <w:color w:val="800080"/>
      <w:u w:val="single"/>
    </w:rPr>
  </w:style>
  <w:style w:type="character" w:styleId="963">
    <w:name w:val="Hyperlink"/>
    <w:uiPriority w:val="99"/>
    <w:qFormat/>
    <w:rPr>
      <w:color w:val="0000ff"/>
      <w:u w:val="single"/>
    </w:rPr>
  </w:style>
  <w:style w:type="character" w:styleId="964">
    <w:name w:val="annotation reference"/>
    <w:uiPriority w:val="0"/>
    <w:semiHidden/>
    <w:qFormat/>
    <w:rPr>
      <w:sz w:val="21"/>
      <w:szCs w:val="21"/>
    </w:rPr>
  </w:style>
  <w:style w:type="paragraph" w:styleId="965" w:customStyle="1">
    <w:name w:val="索引 411"/>
    <w:basedOn w:val="912"/>
    <w:next w:val="912"/>
    <w:uiPriority w:val="0"/>
    <w:semiHidden/>
    <w:qFormat/>
    <w:pPr>
      <w:ind w:left="1260"/>
    </w:pPr>
    <w:rPr>
      <w:rFonts w:ascii="Calibri" w:hAnsi="Calibri" w:eastAsia="Calibri" w:cs="宋体"/>
      <w:sz w:val="20"/>
      <w:lang w:val="zh-CN"/>
    </w:rPr>
  </w:style>
  <w:style w:type="paragraph" w:styleId="966" w:customStyle="1">
    <w:name w:val="索引 41"/>
    <w:basedOn w:val="912"/>
    <w:next w:val="912"/>
    <w:uiPriority w:val="0"/>
    <w:semiHidden/>
    <w:qFormat/>
    <w:pPr>
      <w:ind w:left="1260"/>
    </w:pPr>
    <w:rPr>
      <w:rFonts w:ascii="Calibri" w:hAnsi="Calibri" w:eastAsia="Calibri" w:cs="宋体"/>
      <w:sz w:val="20"/>
      <w:lang w:val="zh-CN"/>
    </w:rPr>
  </w:style>
  <w:style w:type="paragraph" w:styleId="967"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character" w:styleId="968" w:customStyle="1">
    <w:name w:val="标题 2 字符"/>
    <w:link w:val="914"/>
    <w:uiPriority w:val="0"/>
    <w:qFormat/>
    <w:rPr>
      <w:rFonts w:ascii="Arial" w:hAnsi="Arial" w:eastAsia="幼圆" w:cs="Arial"/>
      <w:b/>
      <w:bCs/>
      <w:sz w:val="44"/>
      <w:szCs w:val="44"/>
    </w:rPr>
  </w:style>
  <w:style w:type="character" w:styleId="969" w:customStyle="1">
    <w:name w:val="正文缩进 字符"/>
    <w:link w:val="924"/>
    <w:uiPriority w:val="0"/>
    <w:qFormat/>
    <w:rPr>
      <w:sz w:val="21"/>
      <w:szCs w:val="21"/>
    </w:rPr>
  </w:style>
  <w:style w:type="character" w:styleId="970" w:customStyle="1">
    <w:name w:val="批注文字 字符"/>
    <w:link w:val="928"/>
    <w:uiPriority w:val="0"/>
    <w:qFormat/>
    <w:rPr>
      <w:sz w:val="21"/>
      <w:szCs w:val="21"/>
    </w:rPr>
  </w:style>
  <w:style w:type="character" w:styleId="971" w:customStyle="1">
    <w:name w:val="正文文本 字符"/>
    <w:link w:val="930"/>
    <w:uiPriority w:val="0"/>
    <w:qFormat/>
    <w:rPr>
      <w:rFonts w:ascii="楷体_GB2312" w:hAnsi="Arial" w:eastAsia="楷体_GB2312"/>
      <w:sz w:val="28"/>
      <w:szCs w:val="28"/>
    </w:rPr>
  </w:style>
  <w:style w:type="character" w:styleId="972" w:customStyle="1">
    <w:name w:val="纯文本 字符"/>
    <w:link w:val="937"/>
    <w:uiPriority w:val="0"/>
    <w:qFormat/>
    <w:rPr>
      <w:rFonts w:ascii="宋体" w:hAnsi="Courier New" w:cs="Courier New"/>
      <w:sz w:val="21"/>
      <w:szCs w:val="21"/>
    </w:rPr>
  </w:style>
  <w:style w:type="character" w:styleId="973" w:customStyle="1">
    <w:name w:val="页眉 字符"/>
    <w:link w:val="943"/>
    <w:uiPriority w:val="99"/>
    <w:qFormat/>
    <w:rPr>
      <w:sz w:val="18"/>
      <w:szCs w:val="18"/>
    </w:rPr>
  </w:style>
  <w:style w:type="character" w:styleId="974" w:customStyle="1">
    <w:name w:val="标题 字符"/>
    <w:link w:val="955"/>
    <w:uiPriority w:val="0"/>
    <w:qFormat/>
    <w:rPr>
      <w:rFonts w:ascii="Cambria" w:hAnsi="Cambria" w:cs="Times New Roman"/>
      <w:b/>
      <w:bCs/>
      <w:sz w:val="32"/>
      <w:szCs w:val="32"/>
    </w:rPr>
  </w:style>
  <w:style w:type="character" w:styleId="975" w:customStyle="1">
    <w:name w:val="font5 Char"/>
    <w:uiPriority w:val="0"/>
    <w:qFormat/>
    <w:rPr>
      <w:rFonts w:ascii="宋体" w:hAnsi="宋体" w:eastAsia="宋体"/>
      <w:sz w:val="28"/>
      <w:szCs w:val="28"/>
      <w:lang w:val="en-US" w:eastAsia="zh-CN" w:bidi="ar-SA"/>
    </w:rPr>
  </w:style>
  <w:style w:type="character" w:styleId="976" w:customStyle="1">
    <w:name w:val="二级目录 Char"/>
    <w:link w:val="977"/>
    <w:uiPriority w:val="0"/>
    <w:qFormat/>
    <w:rPr>
      <w:b/>
      <w:sz w:val="30"/>
      <w:szCs w:val="28"/>
      <w:lang w:val="en-US" w:eastAsia="zh-CN" w:bidi="ar-SA"/>
    </w:rPr>
  </w:style>
  <w:style w:type="paragraph" w:styleId="977" w:customStyle="1">
    <w:name w:val="二级目录"/>
    <w:next w:val="912"/>
    <w:link w:val="97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912"/>
    <w:link w:val="978"/>
    <w:uiPriority w:val="0"/>
    <w:qFormat/>
    <w:pPr>
      <w:contextualSpacing/>
      <w:ind w:left="720"/>
      <w:jc w:val="left"/>
      <w:widowControl/>
    </w:pPr>
    <w:rPr>
      <w:rFonts w:ascii="Calibri" w:hAnsi="Calibri"/>
      <w:sz w:val="24"/>
      <w:szCs w:val="24"/>
      <w:lang w:eastAsia="en-US" w:bidi="en-US"/>
    </w:rPr>
  </w:style>
  <w:style w:type="paragraph" w:styleId="980" w:customStyle="1">
    <w:name w:val="Body Text(ch)"/>
    <w:basedOn w:val="912"/>
    <w:next w:val="930"/>
    <w:uiPriority w:val="0"/>
    <w:qFormat/>
    <w:pPr>
      <w:spacing w:after="120"/>
    </w:pPr>
    <w:rPr>
      <w:rFonts w:ascii="宋体" w:hAnsi="Arial"/>
      <w:bCs/>
      <w:iCs/>
      <w:szCs w:val="24"/>
    </w:rPr>
  </w:style>
  <w:style w:type="paragraph" w:styleId="981" w:customStyle="1">
    <w:name w:val="xl27"/>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2" w:customStyle="1">
    <w:name w:val="xl26"/>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3" w:customStyle="1">
    <w:name w:val="Char"/>
    <w:basedOn w:val="912"/>
    <w:uiPriority w:val="0"/>
    <w:qFormat/>
    <w:pPr>
      <w:ind w:firstLine="200"/>
      <w:tabs>
        <w:tab w:val="left" w:pos="360" w:leader="none"/>
      </w:tabs>
    </w:pPr>
    <w:rPr>
      <w:sz w:val="28"/>
      <w:szCs w:val="30"/>
    </w:rPr>
  </w:style>
  <w:style w:type="paragraph" w:styleId="984" w:customStyle="1">
    <w:name w:val="Char1"/>
    <w:basedOn w:val="927"/>
    <w:uiPriority w:val="0"/>
    <w:qFormat/>
    <w:rPr>
      <w:rFonts w:ascii="Tahoma" w:hAnsi="Tahoma"/>
      <w:sz w:val="24"/>
      <w:szCs w:val="24"/>
    </w:rPr>
  </w:style>
  <w:style w:type="paragraph" w:styleId="985" w:customStyle="1">
    <w:name w:val="普通正文"/>
    <w:basedOn w:val="912"/>
    <w:uiPriority w:val="0"/>
    <w:qFormat/>
    <w:pPr>
      <w:ind w:firstLine="480"/>
      <w:jc w:val="left"/>
      <w:spacing w:before="120" w:after="120" w:line="360" w:lineRule="auto"/>
    </w:pPr>
    <w:rPr>
      <w:rFonts w:ascii="Arial" w:hAnsi="Arial"/>
      <w:sz w:val="24"/>
      <w:szCs w:val="24"/>
    </w:rPr>
  </w:style>
  <w:style w:type="paragraph" w:styleId="986" w:customStyle="1">
    <w:name w:val="table_lines"/>
    <w:basedOn w:val="912"/>
    <w:uiPriority w:val="0"/>
    <w:qFormat/>
    <w:pPr>
      <w:jc w:val="left"/>
      <w:widowControl/>
    </w:pPr>
    <w:rPr>
      <w:sz w:val="20"/>
      <w:szCs w:val="20"/>
      <w:lang w:val="de-DE" w:eastAsia="de-DE"/>
    </w:rPr>
  </w:style>
  <w:style w:type="paragraph" w:styleId="98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8" w:customStyle="1">
    <w:name w:val="font7"/>
    <w:basedOn w:val="912"/>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927"/>
    <w:uiPriority w:val="0"/>
    <w:qFormat/>
    <w:pPr>
      <w:spacing w:line="360" w:lineRule="auto"/>
    </w:pPr>
    <w:rPr>
      <w:rFonts w:ascii="Tahoma" w:hAnsi="Tahoma"/>
      <w:sz w:val="24"/>
      <w:szCs w:val="24"/>
    </w:rPr>
  </w:style>
  <w:style w:type="paragraph" w:styleId="990">
    <w:name w:val="List Paragraph"/>
    <w:basedOn w:val="912"/>
    <w:uiPriority w:val="0"/>
    <w:qFormat/>
    <w:pPr>
      <w:contextualSpacing/>
      <w:ind w:left="720"/>
      <w:jc w:val="left"/>
      <w:widowControl/>
    </w:pPr>
    <w:rPr>
      <w:rFonts w:ascii="Calibri" w:hAnsi="Calibri"/>
      <w:sz w:val="24"/>
      <w:szCs w:val="24"/>
      <w:lang w:eastAsia="en-US" w:bidi="en-US"/>
    </w:rPr>
  </w:style>
  <w:style w:type="paragraph" w:styleId="991" w:customStyle="1">
    <w:name w:val="4"/>
    <w:basedOn w:val="912"/>
    <w:next w:val="948"/>
    <w:uiPriority w:val="0"/>
    <w:qFormat/>
    <w:pPr>
      <w:ind w:firstLine="420"/>
      <w:spacing w:line="360" w:lineRule="auto"/>
    </w:pPr>
    <w:rPr>
      <w:color w:val="ff0000"/>
      <w:sz w:val="24"/>
      <w:szCs w:val="24"/>
    </w:rPr>
  </w:style>
  <w:style w:type="paragraph" w:styleId="992" w:customStyle="1">
    <w:name w:val="普通 (Web)"/>
    <w:basedOn w:val="912"/>
    <w:uiPriority w:val="0"/>
    <w:qFormat/>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912"/>
    <w:uiPriority w:val="0"/>
    <w:qFormat/>
    <w:pPr>
      <w:spacing w:line="360" w:lineRule="auto"/>
    </w:pPr>
    <w:rPr>
      <w:sz w:val="24"/>
      <w:szCs w:val="20"/>
    </w:rPr>
  </w:style>
  <w:style w:type="paragraph" w:styleId="994" w:customStyle="1">
    <w:name w:val="样式1"/>
    <w:basedOn w:val="912"/>
    <w:uiPriority w:val="0"/>
    <w:qFormat/>
    <w:pPr>
      <w:numPr>
        <w:ilvl w:val="0"/>
        <w:numId w:val="3"/>
      </w:numPr>
    </w:pPr>
    <w:rPr>
      <w:rFonts w:ascii="宋体" w:hAnsi="宋体"/>
    </w:rPr>
  </w:style>
  <w:style w:type="paragraph" w:styleId="995" w:customStyle="1">
    <w:name w:val="font6"/>
    <w:basedOn w:val="912"/>
    <w:uiPriority w:val="0"/>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9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912"/>
    <w:next w:val="9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标题3"/>
    <w:basedOn w:val="912"/>
    <w:next w:val="912"/>
    <w:uiPriority w:val="0"/>
    <w:qFormat/>
    <w:pPr>
      <w:ind w:firstLine="624"/>
      <w:spacing w:line="590" w:lineRule="atLeast"/>
    </w:pPr>
    <w:rPr>
      <w:rFonts w:ascii="方正黑体_GBK" w:eastAsia="方正黑体_GBK"/>
      <w:sz w:val="32"/>
      <w:szCs w:val="32"/>
    </w:rPr>
  </w:style>
  <w:style w:type="paragraph" w:styleId="999" w:customStyle="1">
    <w:name w:val="xl24"/>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0" w:customStyle="1">
    <w:name w:val="xl29"/>
    <w:basedOn w:val="91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1" w:customStyle="1">
    <w:name w:val="Char Char Char Char Char Char Char Char"/>
    <w:basedOn w:val="912"/>
    <w:uiPriority w:val="0"/>
    <w:qFormat/>
    <w:pPr>
      <w:jc w:val="left"/>
      <w:spacing w:after="160" w:line="240" w:lineRule="exact"/>
      <w:widowControl/>
    </w:pPr>
    <w:rPr>
      <w:rFonts w:ascii="Verdana" w:hAnsi="Verdana"/>
      <w:sz w:val="20"/>
      <w:szCs w:val="20"/>
      <w:lang w:eastAsia="en-US"/>
    </w:rPr>
  </w:style>
  <w:style w:type="paragraph" w:styleId="1002" w:customStyle="1">
    <w:name w:val="xl28"/>
    <w:basedOn w:val="91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3" w:customStyle="1">
    <w:name w:val="Char Char Char Char Char Char Char Char1"/>
    <w:basedOn w:val="912"/>
    <w:uiPriority w:val="0"/>
    <w:qFormat/>
    <w:pPr>
      <w:jc w:val="left"/>
      <w:spacing w:after="160" w:line="240" w:lineRule="exact"/>
      <w:widowControl/>
    </w:pPr>
    <w:rPr>
      <w:rFonts w:ascii="Verdana" w:hAnsi="Verdana"/>
      <w:sz w:val="20"/>
      <w:szCs w:val="20"/>
      <w:lang w:eastAsia="en-US"/>
    </w:rPr>
  </w:style>
  <w:style w:type="paragraph" w:styleId="1004" w:customStyle="1">
    <w:name w:val="xl30"/>
    <w:basedOn w:val="912"/>
    <w:uiPriority w:val="0"/>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
    <w:basedOn w:val="927"/>
    <w:uiPriority w:val="0"/>
    <w:qFormat/>
    <w:pPr>
      <w:spacing w:line="360" w:lineRule="auto"/>
    </w:pPr>
    <w:rPr>
      <w:rFonts w:ascii="Tahoma" w:hAnsi="Tahoma"/>
      <w:sz w:val="24"/>
      <w:szCs w:val="24"/>
    </w:rPr>
  </w:style>
  <w:style w:type="paragraph" w:styleId="1006" w:customStyle="1">
    <w:name w:val="table_1stline"/>
    <w:basedOn w:val="912"/>
    <w:uiPriority w:val="0"/>
    <w:qFormat/>
    <w:pPr>
      <w:jc w:val="left"/>
      <w:spacing w:before="120"/>
      <w:widowControl/>
    </w:pPr>
    <w:rPr>
      <w:bCs/>
      <w:sz w:val="20"/>
      <w:szCs w:val="20"/>
      <w:lang w:val="de-DE" w:eastAsia="de-DE"/>
    </w:rPr>
  </w:style>
  <w:style w:type="paragraph" w:styleId="1007" w:customStyle="1">
    <w:name w:val="font5"/>
    <w:basedOn w:val="912"/>
    <w:uiPriority w:val="0"/>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912"/>
    <w:next w:val="9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customStyle="1">
    <w:name w:val="修订1"/>
    <w:uiPriority w:val="99"/>
    <w:semiHidden/>
    <w:qFormat/>
    <w:rPr>
      <w:rFonts w:ascii="Times New Roman" w:hAnsi="Times New Roman" w:eastAsia="宋体" w:cs="Times New Roman"/>
      <w:sz w:val="21"/>
      <w:szCs w:val="21"/>
      <w:lang w:val="en-US" w:eastAsia="zh-CN" w:bidi="ar-SA"/>
    </w:rPr>
  </w:style>
  <w:style w:type="paragraph" w:styleId="101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1" w:customStyle="1">
    <w:name w:val="项目需求正文文本"/>
    <w:basedOn w:val="912"/>
    <w:uiPriority w:val="0"/>
    <w:qFormat/>
    <w:pPr>
      <w:ind w:firstLine="1682"/>
      <w:spacing w:line="360" w:lineRule="auto"/>
    </w:pPr>
    <w:rPr>
      <w:sz w:val="24"/>
      <w:szCs w:val="20"/>
    </w:rPr>
  </w:style>
  <w:style w:type="paragraph" w:styleId="1012" w:customStyle="1">
    <w:name w:val="表格字体"/>
    <w:basedOn w:val="912"/>
    <w:uiPriority w:val="0"/>
    <w:qFormat/>
    <w:pPr>
      <w:spacing w:line="360" w:lineRule="auto"/>
    </w:pPr>
  </w:style>
  <w:style w:type="paragraph" w:styleId="1013" w:customStyle="1">
    <w:name w:val="H正文"/>
    <w:basedOn w:val="912"/>
    <w:uiPriority w:val="0"/>
    <w:qFormat/>
    <w:pPr>
      <w:ind w:firstLine="200"/>
    </w:pPr>
    <w:rPr>
      <w:rFonts w:ascii="宋体"/>
      <w:sz w:val="24"/>
      <w:szCs w:val="20"/>
    </w:rPr>
  </w:style>
  <w:style w:type="paragraph" w:styleId="1014" w:customStyle="1">
    <w:name w:val="WPSOffice手动目录 1"/>
    <w:uiPriority w:val="0"/>
    <w:qFormat/>
    <w:rPr>
      <w:rFonts w:ascii="Times New Roman" w:hAnsi="Times New Roman" w:eastAsia="宋体" w:cs="Times New Roman"/>
      <w:lang w:val="en-US" w:eastAsia="zh-CN" w:bidi="ar-SA"/>
    </w:rPr>
  </w:style>
  <w:style w:type="paragraph" w:styleId="1015" w:customStyle="1">
    <w:name w:val="WPSOffice手动目录 2"/>
    <w:uiPriority w:val="0"/>
    <w:qFormat/>
    <w:pPr>
      <w:ind w:left="200"/>
    </w:pPr>
    <w:rPr>
      <w:rFonts w:ascii="Times New Roman" w:hAnsi="Times New Roman" w:eastAsia="宋体" w:cs="Times New Roman"/>
      <w:lang w:val="en-US" w:eastAsia="zh-CN" w:bidi="ar-SA"/>
    </w:rPr>
  </w:style>
  <w:style w:type="paragraph" w:styleId="1016" w:customStyle="1">
    <w:name w:val="首行缩进"/>
    <w:basedOn w:val="912"/>
    <w:uiPriority w:val="0"/>
    <w:qFormat/>
    <w:pPr>
      <w:ind w:firstLine="420"/>
      <w:spacing w:line="360" w:lineRule="auto"/>
    </w:pPr>
    <w:rPr>
      <w:sz w:val="20"/>
    </w:rPr>
  </w:style>
  <w:style w:type="paragraph" w:styleId="1017" w:customStyle="1">
    <w:name w:val="段"/>
    <w:next w:val="912"/>
    <w:uiPriority w:val="0"/>
    <w:qFormat/>
    <w:pPr>
      <w:ind w:firstLine="200"/>
      <w:jc w:val="both"/>
    </w:pPr>
    <w:rPr>
      <w:rFonts w:ascii="宋体" w:hAnsi="Times New Roman" w:eastAsia="宋体" w:cs="Times New Roman"/>
      <w:sz w:val="21"/>
      <w:lang w:val="en-US" w:eastAsia="zh-CN" w:bidi="ar-SA"/>
    </w:rPr>
  </w:style>
  <w:style w:type="paragraph" w:styleId="1018" w:customStyle="1">
    <w:name w:val="Char Char Char Char Char Char Char Char Char Char Char Char Char"/>
    <w:basedOn w:val="912"/>
    <w:uiPriority w:val="0"/>
    <w:qFormat/>
    <w:pPr>
      <w:ind w:firstLine="480"/>
      <w:spacing w:line="360" w:lineRule="auto"/>
    </w:pPr>
    <w:rPr>
      <w:rFonts w:hAnsi="宋体"/>
      <w:color w:val="000000"/>
      <w:sz w:val="18"/>
      <w:szCs w:val="18"/>
    </w:rPr>
  </w:style>
  <w:style w:type="paragraph" w:styleId="1019" w:customStyle="1">
    <w:name w:val="Table Paragraph"/>
    <w:basedOn w:val="912"/>
    <w:uiPriority w:val="1"/>
    <w:qFormat/>
    <w:rPr>
      <w:rFonts w:ascii="仿宋" w:hAnsi="仿宋" w:eastAsia="仿宋" w:cs="仿宋"/>
      <w:lang w:val="zh-CN" w:bidi="zh-CN"/>
    </w:rPr>
  </w:style>
  <w:style w:type="paragraph" w:styleId="1020" w:customStyle="1">
    <w:name w:val="正文_0_0_0"/>
    <w:uiPriority w:val="0"/>
    <w:qFormat/>
    <w:pPr>
      <w:contextualSpacing/>
      <w:jc w:val="both"/>
      <w:spacing w:line="400" w:lineRule="exact"/>
      <w:widowControl w:val="off"/>
    </w:pPr>
    <w:rPr>
      <w:rFonts w:ascii="Calibri" w:hAnsi="Calibri" w:eastAsia="宋体" w:cs="Times New Roman"/>
      <w:sz w:val="21"/>
      <w:szCs w:val="22"/>
      <w:lang w:val="en-US" w:eastAsia="zh-CN" w:bidi="ar-SA"/>
    </w:rPr>
  </w:style>
  <w:style w:type="paragraph" w:styleId="1021"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022" w:customStyle="1">
    <w:name w:val="Table Text"/>
    <w:basedOn w:val="912"/>
    <w:uiPriority w:val="0"/>
    <w:semiHidden/>
    <w:qFormat/>
    <w:rPr>
      <w:rFonts w:ascii="宋体" w:hAnsi="宋体" w:eastAsia="宋体" w:cs="宋体"/>
      <w:sz w:val="21"/>
      <w:szCs w:val="21"/>
      <w:lang w:val="en-US" w:eastAsia="en-US" w:bidi="ar-SA"/>
    </w:rPr>
  </w:style>
  <w:style w:type="table" w:styleId="1023" w:customStyle="1">
    <w:name w:val="Table Normal"/>
    <w:uiPriority w:val="0"/>
    <w:qFormat/>
    <w:rPr>
      <w:lang w:val="en-US" w:eastAsia="zh-CN" w:bidi="ar-SA"/>
    </w:rPr>
    <w:tblPr/>
  </w:style>
  <w:style w:type="paragraph" w:styleId="1024" w:customStyle="1">
    <w:name w:val="纯文本11"/>
    <w:basedOn w:val="912"/>
    <w:uiPriority w:val="0"/>
    <w:qFormat/>
    <w:rPr>
      <w:rFonts w:ascii="宋体" w:hAnsi="Courier New" w:eastAsia="宋体" w:cs="Courier New"/>
      <w:szCs w:val="21"/>
    </w:rPr>
  </w:style>
  <w:style w:type="paragraph" w:styleId="1025" w:customStyle="1">
    <w:name w:val="正文首行缩进 21"/>
    <w:basedOn w:val="1026"/>
    <w:next w:val="912"/>
    <w:uiPriority w:val="0"/>
    <w:qFormat/>
    <w:pPr>
      <w:ind w:firstLine="420"/>
      <w:spacing w:line="360" w:lineRule="auto"/>
    </w:pPr>
    <w:rPr>
      <w:rFonts w:ascii="宋体" w:hAnsi="宋体" w:eastAsia="宋体"/>
      <w:sz w:val="21"/>
      <w:szCs w:val="20"/>
    </w:rPr>
  </w:style>
  <w:style w:type="paragraph" w:styleId="1026" w:customStyle="1">
    <w:name w:val="正文文本缩进1"/>
    <w:basedOn w:val="912"/>
    <w:next w:val="1027"/>
    <w:uiPriority w:val="0"/>
    <w:qFormat/>
    <w:pPr>
      <w:ind w:firstLine="645"/>
    </w:pPr>
    <w:rPr>
      <w:rFonts w:ascii="楷体_GB2312" w:eastAsia="楷体_GB2312"/>
      <w:sz w:val="32"/>
      <w:szCs w:val="32"/>
    </w:rPr>
  </w:style>
  <w:style w:type="paragraph" w:styleId="1027" w:customStyle="1">
    <w:name w:val="寄信人地址1"/>
    <w:basedOn w:val="912"/>
    <w:uiPriority w:val="0"/>
    <w:qFormat/>
    <w:rPr>
      <w:rFonts w:ascii="Arial" w:hAnsi="Arial" w:eastAsia="宋体" w:cs="宋体"/>
    </w:rPr>
  </w:style>
  <w:style w:type="paragraph" w:styleId="1028" w:customStyle="1">
    <w:name w:val="列表段落1"/>
    <w:basedOn w:val="912"/>
    <w:uiPriority w:val="34"/>
    <w:qFormat/>
    <w:pPr>
      <w:ind w:firstLine="420"/>
      <w:jc w:val="both"/>
      <w:widowControl w:val="off"/>
    </w:pPr>
    <w:rPr>
      <w:sz w:val="21"/>
      <w:szCs w:val="21"/>
    </w:rPr>
  </w:style>
  <w:style w:type="paragraph" w:styleId="1029" w:customStyle="1">
    <w:name w:val="纯文本1"/>
    <w:uiPriority w:val="0"/>
    <w:qFormat/>
    <w:pPr>
      <w:jc w:val="both"/>
      <w:widowControl w:val="off"/>
    </w:pPr>
    <w:rPr>
      <w:rFonts w:ascii="宋体" w:hAnsi="Courier New" w:eastAsia="宋体" w:cs="Courier New"/>
      <w:sz w:val="21"/>
      <w:szCs w:val="22"/>
      <w:lang w:val="en-US" w:eastAsia="zh-CN" w:bidi="ar-SA"/>
    </w:rPr>
  </w:style>
  <w:style w:type="character" w:styleId="1030" w:customStyle="1">
    <w:name w:val="批注引用1"/>
    <w:uiPriority w:val="0"/>
    <w:qFormat/>
    <w:rPr>
      <w:rFonts w:eastAsia="Calibri" w:cs="宋体"/>
      <w:sz w:val="24"/>
      <w:szCs w:val="24"/>
      <w:lang w:val="en-US" w:eastAsia="zh-CN" w:bidi="ar-SA"/>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5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99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35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62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86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L&amp;X</dc:creator>
  <cp:lastModifiedBy>赵辰慧</cp:lastModifiedBy>
  <cp:revision>9</cp:revision>
  <dcterms:created xsi:type="dcterms:W3CDTF">2023-09-19T19:19:00Z</dcterms:created>
  <dcterms:modified xsi:type="dcterms:W3CDTF">2026-06-10T03:27:43Z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38F10B4D6B164EFEA16326EAC39B857A_13</vt:lpwstr>
  </property>
  <property fmtid="{D5CDD505-2E9C-101B-9397-08002B2CF9AE}" pid="4" name="KSOTemplateDocerSaveRecord">
    <vt:lpwstr>eyJoZGlkIjoiN2QxMmU5OTZiNDllYzg4ZGQxZTAzMWNiYjI0OTQ5M2MiLCJ1c2VySWQiOiI1NjIyNDkyNjAifQ==</vt:lpwstr>
  </property>
</Properties>
</file>