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79"/>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79"/>
        <w:ind w:firstLine="0"/>
        <w:rPr>
          <w:rFonts w:hint="eastAsia" w:asciiTheme="minorEastAsia" w:hAnsiTheme="minorEastAsia" w:eastAsiaTheme="minorEastAsia" w:cstheme="minorEastAsia"/>
          <w:b/>
          <w:bCs/>
          <w:sz w:val="32"/>
        </w:rPr>
        <w:outlineLvl w:val="0"/>
      </w:pPr>
      <w:r/>
      <w:bookmarkStart w:id="0" w:name="_Toc20483"/>
      <w:r/>
      <w:r/>
    </w:p>
    <w:p>
      <w:pPr>
        <w:pStyle w:val="1079"/>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79"/>
        <w:ind w:firstLine="0"/>
        <w:rPr>
          <w:rFonts w:hint="eastAsia" w:asciiTheme="minorEastAsia" w:hAnsiTheme="minorEastAsia" w:cstheme="minorEastAsia"/>
          <w:b/>
          <w:bCs/>
          <w:sz w:val="32"/>
        </w:rPr>
        <w:outlineLvl w:val="0"/>
      </w:pPr>
      <w:r>
        <w:rPr>
          <w:rFonts w:hint="eastAsia" w:asciiTheme="minorEastAsia" w:hAnsiTheme="minorEastAsia" w:eastAsiaTheme="minorEastAsia" w:cstheme="minorEastAsia"/>
          <w:b/>
          <w:bCs/>
          <w:sz w:val="32"/>
        </w:rPr>
        <w:t xml:space="preserve">项目名称：</w:t>
      </w:r>
      <w:bookmarkEnd w:id="0"/>
      <w:r>
        <w:rPr>
          <w:rFonts w:hint="eastAsia"/>
          <w:b/>
          <w:bCs/>
          <w:sz w:val="32"/>
        </w:rPr>
        <w:t xml:space="preserve">常州刘国钧高等职业技术学校一期区域光网（以太）建设</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项目编号：JSZC-320400-JZCG-G2026-0136</w:t>
      </w:r>
      <w:r>
        <w:rPr>
          <w:rFonts w:hint="eastAsia" w:asciiTheme="minorEastAsia" w:hAnsiTheme="minorEastAsia" w:eastAsiaTheme="minorEastAsia" w:cstheme="minorEastAsia"/>
          <w:b/>
          <w:bCs/>
          <w:sz w:val="32"/>
        </w:rPr>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sz w:val="30"/>
          <w:szCs w:val="30"/>
          <w:highlight w:val="none"/>
        </w:rPr>
      </w:r>
      <w:r>
        <w:rPr>
          <w:rFonts w:hint="eastAsia" w:asciiTheme="minorEastAsia" w:hAnsiTheme="minorEastAsia" w:eastAsiaTheme="minorEastAsia" w:cstheme="minorEastAsia"/>
          <w:b/>
          <w:sz w:val="30"/>
          <w:szCs w:val="30"/>
          <w:highlight w:val="none"/>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79"/>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2026年5月</w:t>
      </w:r>
      <w:r/>
    </w:p>
    <w:p>
      <w:pPr>
        <w:pStyle w:val="1079"/>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                        </w:t>
      </w:r>
      <w:r/>
    </w:p>
    <w:p>
      <w:pPr>
        <w:pStyle w:val="1079"/>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highlight w:val="none"/>
        </w:rPr>
      </w:r>
      <w:r>
        <w:rPr>
          <w:rFonts w:hint="eastAsia" w:asciiTheme="minorEastAsia" w:hAnsiTheme="minorEastAsia" w:eastAsiaTheme="minorEastAsia" w:cstheme="minorEastAsia"/>
          <w:highlight w:val="none"/>
        </w:rP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513029200"/>
      <w:r/>
      <w:bookmarkStart w:id="3" w:name="_Toc20823272"/>
      <w:r/>
      <w:bookmarkStart w:id="4" w:name="_Toc523127445"/>
      <w:r/>
      <w:bookmarkStart w:id="5" w:name="_Toc16938516"/>
      <w:r/>
      <w:bookmarkStart w:id="6" w:name="_Toc479757206"/>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108"/>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108"/>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108"/>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108"/>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rPr>
          <w:rFonts w:hint="eastAsia" w:asciiTheme="minorEastAsia" w:hAnsiTheme="minorEastAsia" w:eastAsiaTheme="minorEastAsia" w:cstheme="minorEastAsia"/>
        </w:rP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4"/>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受［常州刘国钧高等职业技术学校］的委托，常州市教育基本建设与装备管理中心（采购代理机构）就［常州刘国钧高等职业技术学校一期区域光网（以太）建设］(项目编号：JSZC-320400-JZCG-G2026-0136</w:t>
      </w:r>
      <w:r>
        <w:rPr>
          <w:rFonts w:hint="eastAsia" w:ascii="宋体" w:hAnsi="宋体"/>
          <w:sz w:val="24"/>
          <w:szCs w:val="24"/>
        </w:rPr>
        <w:tab/>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u w:val="single"/>
        </w:rPr>
        <w:t xml:space="preserve">  常州刘国钧高等职业技术学校一期区域光网（以太）建设</w:t>
      </w:r>
      <w:r>
        <w:rPr>
          <w:rFonts w:hint="eastAsia" w:ascii="宋体" w:hAnsi="宋体"/>
          <w:sz w:val="24"/>
          <w:szCs w:val="24"/>
          <w:u w:val="single"/>
        </w:rPr>
        <w:t xml:space="preserve"> </w:t>
      </w:r>
      <w:r>
        <w:rPr>
          <w:rFonts w:hint="eastAsia" w:asciiTheme="minorEastAsia" w:hAnsiTheme="minorEastAsia" w:eastAsiaTheme="minorEastAsia" w:cstheme="minorEastAsia"/>
          <w:sz w:val="24"/>
          <w:szCs w:val="24"/>
        </w:rPr>
        <w:t xml:space="preserve">公开招标项目的潜在供应商可在</w:t>
      </w:r>
      <w:r>
        <w:rPr>
          <w:rFonts w:hint="eastAsia" w:asciiTheme="minorEastAsia" w:hAnsiTheme="minorEastAsia" w:eastAsiaTheme="minorEastAsia" w:cstheme="minorEastAsia"/>
          <w:sz w:val="24"/>
          <w:szCs w:val="24"/>
          <w:u w:val="single"/>
        </w:rPr>
        <w:t xml:space="preserve">“江苏政府采购网、常州市政府采购网”自行免费下载采购</w:t>
      </w:r>
      <w:r>
        <w:rPr>
          <w:rFonts w:hint="eastAsia" w:asciiTheme="minorEastAsia" w:hAnsiTheme="minorEastAsia" w:eastAsiaTheme="minorEastAsia" w:cstheme="minorEastAsia"/>
          <w:sz w:val="24"/>
          <w:szCs w:val="24"/>
        </w:rPr>
        <w:t xml:space="preserve">文件，并于</w:t>
      </w:r>
      <w:r>
        <w:rPr>
          <w:rFonts w:hint="eastAsia" w:asciiTheme="minorEastAsia" w:hAnsiTheme="minorEastAsia" w:eastAsiaTheme="minorEastAsia" w:cstheme="minorEastAsia"/>
          <w:sz w:val="24"/>
          <w:szCs w:val="24"/>
          <w:u w:val="single"/>
        </w:rPr>
        <w:t xml:space="preserve">  2026  </w:t>
      </w:r>
      <w:r>
        <w:rPr>
          <w:rFonts w:hint="eastAsia" w:asciiTheme="minorEastAsia" w:hAnsiTheme="minorEastAsia" w:eastAsiaTheme="minorEastAsia" w:cstheme="minorEastAsia"/>
          <w:bCs/>
          <w:sz w:val="24"/>
          <w:szCs w:val="24"/>
          <w:u w:val="single"/>
        </w:rPr>
        <w:t xml:space="preserve">年 </w:t>
      </w:r>
      <w:r>
        <w:rPr>
          <w:rFonts w:hint="eastAsia" w:asciiTheme="minorEastAsia" w:hAnsiTheme="minorEastAsia" w:eastAsiaTheme="minorEastAsia" w:cstheme="minorEastAsia"/>
          <w:bCs/>
          <w:sz w:val="24"/>
          <w:szCs w:val="24"/>
          <w:u w:val="single"/>
          <w:lang w:val="en-US" w:eastAsia="zh-CN"/>
        </w:rPr>
        <w:t xml:space="preserve">6</w:t>
      </w:r>
      <w:r>
        <w:rPr>
          <w:rFonts w:hint="eastAsia" w:asciiTheme="minorEastAsia" w:hAnsiTheme="minorEastAsia" w:eastAsiaTheme="minorEastAsia" w:cstheme="minorEastAsia"/>
          <w:bCs/>
          <w:sz w:val="24"/>
          <w:szCs w:val="24"/>
          <w:u w:val="single"/>
        </w:rPr>
        <w:t xml:space="preserve">月22</w:t>
      </w:r>
      <w:r>
        <w:rPr>
          <w:rFonts w:hint="eastAsia" w:asciiTheme="minorEastAsia" w:hAnsiTheme="minorEastAsia" w:eastAsiaTheme="minorEastAsia" w:cstheme="minorEastAsia"/>
          <w:bCs/>
          <w:sz w:val="24"/>
          <w:szCs w:val="24"/>
          <w:u w:val="single"/>
        </w:rPr>
        <w:t xml:space="preserve">日 14  点 00 分（</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0"/>
        <w:ind w:firstLine="498"/>
        <w:spacing w:before="156" w:after="156" w:line="360" w:lineRule="auto"/>
        <w:rPr>
          <w:rFonts w:hint="eastAsia" w:asciiTheme="minorEastAsia" w:hAnsiTheme="minorEastAsia" w:eastAsiaTheme="minorEastAsia" w:cstheme="minorEastAsia"/>
        </w:rPr>
      </w:pPr>
      <w:r/>
      <w:bookmarkStart w:id="9" w:name="_Toc28359079"/>
      <w:r/>
      <w:bookmarkStart w:id="10" w:name="_Toc38985263"/>
      <w:r/>
      <w:bookmarkStart w:id="11" w:name="_Toc28359002"/>
      <w:r/>
      <w:bookmarkStart w:id="12" w:name="_Toc35393790"/>
      <w:r/>
      <w:bookmarkStart w:id="13" w:name="_Toc35393621"/>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1.项目编号：JSZC-320400-JZCG-G2026-0136</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2.项目名称：</w:t>
      </w:r>
      <w:bookmarkEnd w:id="14"/>
      <w:r>
        <w:rPr>
          <w:rFonts w:hint="eastAsia" w:ascii="宋体" w:hAnsi="宋体"/>
          <w:sz w:val="24"/>
          <w:szCs w:val="24"/>
        </w:rPr>
        <w:t xml:space="preserve">常州刘国钧高等职业技术学校一期区域光网（以太）建设</w:t>
      </w:r>
      <w:r/>
    </w:p>
    <w:p>
      <w:pPr>
        <w:ind w:firstLine="480"/>
        <w:spacing w:line="360" w:lineRule="auto"/>
        <w:rPr>
          <w:rFonts w:hint="eastAsia" w:ascii="宋体" w:hAnsi="宋体"/>
          <w:sz w:val="24"/>
          <w:szCs w:val="24"/>
        </w:rPr>
      </w:pPr>
      <w:r/>
      <w:bookmarkStart w:id="15" w:name="_Toc28359003"/>
      <w:r/>
      <w:bookmarkStart w:id="16" w:name="_Toc35393622"/>
      <w:r/>
      <w:bookmarkStart w:id="17" w:name="_Toc35393791"/>
      <w:r/>
      <w:bookmarkStart w:id="18" w:name="_Toc38985264"/>
      <w:r/>
      <w:bookmarkStart w:id="19" w:name="_Toc28359080"/>
      <w:r>
        <w:rPr>
          <w:rFonts w:hint="eastAsia" w:ascii="宋体" w:hAnsi="宋体"/>
          <w:sz w:val="24"/>
          <w:szCs w:val="24"/>
        </w:rPr>
        <w:t xml:space="preserve">3.预算金额：</w:t>
      </w:r>
      <w:r>
        <w:rPr>
          <w:rFonts w:hint="eastAsia" w:ascii="宋体" w:hAnsi="宋体"/>
          <w:sz w:val="24"/>
          <w:szCs w:val="24"/>
          <w:lang w:val="en-US" w:eastAsia="zh-CN"/>
        </w:rPr>
        <w:t xml:space="preserve">351.05</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351.05</w:t>
      </w:r>
      <w:r>
        <w:rPr>
          <w:rFonts w:hint="eastAsia" w:ascii="宋体" w:hAnsi="宋体"/>
          <w:sz w:val="24"/>
          <w:szCs w:val="24"/>
          <w:u w:val="single"/>
        </w:rPr>
        <w:t xml:space="preserve"> </w:t>
      </w:r>
      <w:r>
        <w:rPr>
          <w:rFonts w:hint="eastAsia" w:ascii="宋体" w:hAnsi="宋体"/>
          <w:sz w:val="24"/>
          <w:szCs w:val="24"/>
        </w:rPr>
        <w:t xml:space="preserve">万元。</w:t>
      </w:r>
      <w:r/>
    </w:p>
    <w:tbl>
      <w:tblPr>
        <w:tblStyle w:val="802"/>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052"/>
        <w:gridCol w:w="1712"/>
        <w:gridCol w:w="1757"/>
        <w:gridCol w:w="1565"/>
      </w:tblGrid>
      <w:tr>
        <w:trPr>
          <w:trHeight w:val="600"/>
        </w:trPr>
        <w:tc>
          <w:tcPr>
            <w:tcW w:w="250"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1792"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005"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03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trHeight w:val="600"/>
        </w:trPr>
        <w:tc>
          <w:tcPr>
            <w:tcW w:w="250"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1</w:t>
            </w:r>
            <w:r/>
          </w:p>
        </w:tc>
        <w:tc>
          <w:tcPr>
            <w:tcW w:w="1792" w:type="pct"/>
            <w:vAlign w:val="center"/>
            <w:textDirection w:val="lrTb"/>
            <w:noWrap w:val="false"/>
          </w:tcPr>
          <w:p>
            <w:pPr>
              <w:jc w:val="center"/>
              <w:spacing w:line="360" w:lineRule="auto"/>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rPr>
              <w:t xml:space="preserve">常州刘国钧高等职业技术学校一期区域光网（以太）建设</w:t>
            </w:r>
            <w:r/>
          </w:p>
        </w:tc>
        <w:tc>
          <w:tcPr>
            <w:tcW w:w="1005"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103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919" w:type="pct"/>
            <w:vAlign w:val="center"/>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bl>
    <w:p>
      <w:pPr>
        <w:pStyle w:val="806"/>
        <w:rPr>
          <w:rFonts w:hint="eastAsia"/>
        </w:rPr>
      </w:pPr>
      <w:r>
        <w:t xml:space="preserve">注：</w:t>
      </w:r>
      <w:r/>
    </w:p>
    <w:p>
      <w:pPr>
        <w:pStyle w:val="806"/>
        <w:numPr>
          <w:ilvl w:val="0"/>
          <w:numId w:val="4"/>
        </w:numPr>
        <w:rPr>
          <w:rFonts w:hint="eastAsia"/>
          <w:b/>
          <w:bCs/>
        </w:rPr>
      </w:pPr>
      <w:r>
        <w:rPr>
          <w:b/>
          <w:bCs/>
        </w:rPr>
        <w:t xml:space="preserve">采购包报价不得超过预算金额</w:t>
      </w:r>
      <w:r>
        <w:rPr>
          <w:rFonts w:hint="eastAsia"/>
          <w:b/>
          <w:bCs/>
        </w:rPr>
        <w:t xml:space="preserve">和最高限额</w:t>
      </w:r>
      <w:r>
        <w:rPr>
          <w:b/>
          <w:bCs/>
        </w:rPr>
        <w:t xml:space="preserve">，否则作无效</w:t>
      </w:r>
      <w:r>
        <w:rPr>
          <w:rFonts w:hint="eastAsia"/>
          <w:b/>
          <w:bCs/>
        </w:rPr>
        <w:t xml:space="preserve">投标</w:t>
      </w:r>
      <w:r>
        <w:rPr>
          <w:b/>
          <w:bCs/>
        </w:rPr>
        <w:t xml:space="preserve">处理。</w:t>
      </w:r>
      <w:r/>
    </w:p>
    <w:p>
      <w:pPr>
        <w:pStyle w:val="806"/>
        <w:numPr>
          <w:ilvl w:val="0"/>
          <w:numId w:val="4"/>
        </w:numPr>
        <w:rPr>
          <w:rFonts w:hint="eastAsia"/>
          <w:b/>
          <w:bCs/>
        </w:rPr>
      </w:pPr>
      <w:r>
        <w:rPr>
          <w:rFonts w:hint="eastAsia"/>
          <w:b/>
          <w:bCs/>
        </w:rPr>
        <w:t xml:space="preserve">凡是框架协议采购的设备不在本次报价范围内。</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 常州刘国钧高等职业技术学校一期区域光网（以太）建设，包括综合布线、设备安装调试、网络结构调整、管理优化提升及项目集成。（详细内容见本招标文件第四章）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28359081"/>
      <w:r/>
      <w:bookmarkStart w:id="21" w:name="_Toc38985265"/>
      <w:r/>
      <w:bookmarkStart w:id="22" w:name="_Toc35393623"/>
      <w:r/>
      <w:bookmarkStart w:id="23" w:name="_Toc28359004"/>
      <w:r/>
      <w:bookmarkStart w:id="24" w:name="_Toc35393792"/>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38985266"/>
      <w:r/>
      <w:bookmarkStart w:id="26" w:name="_Toc28359082"/>
      <w:r/>
      <w:bookmarkStart w:id="27" w:name="_Toc35393793"/>
      <w:r/>
      <w:bookmarkStart w:id="28" w:name="_Toc35393624"/>
      <w:r/>
      <w:bookmarkStart w:id="29" w:name="_Toc28359005"/>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r/>
      <w:bookmarkEnd w:id="26"/>
      <w:r/>
      <w:bookmarkEnd w:id="27"/>
      <w:r/>
      <w:bookmarkEnd w:id="28"/>
      <w:r/>
      <w:bookmarkEnd w:id="29"/>
      <w:r/>
      <w:r/>
    </w:p>
    <w:p>
      <w:pPr>
        <w:pStyle w:val="1000"/>
        <w:ind w:firstLine="498"/>
        <w:spacing w:before="156" w:after="156" w:line="360" w:lineRule="auto"/>
        <w:rPr>
          <w:rFonts w:hint="eastAsia" w:asciiTheme="minorEastAsia" w:hAnsiTheme="minorEastAsia" w:eastAsiaTheme="minorEastAsia" w:cstheme="minorEastAsia"/>
        </w:rPr>
      </w:pPr>
      <w:r/>
      <w:bookmarkStart w:id="30" w:name="_Toc35393625"/>
      <w:r/>
      <w:bookmarkStart w:id="31" w:name="_Toc38985267"/>
      <w:r/>
      <w:bookmarkStart w:id="32" w:name="_Toc28359084"/>
      <w:r/>
      <w:bookmarkStart w:id="33" w:name="_Toc28359007"/>
      <w:r/>
      <w:bookmarkStart w:id="34" w:name="_Toc35393794"/>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795"/>
      <w:r/>
      <w:bookmarkStart w:id="36" w:name="_Toc38985268"/>
      <w:r/>
      <w:bookmarkStart w:id="37" w:name="_Toc35393626"/>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1000"/>
        <w:ind w:firstLine="498"/>
        <w:spacing w:before="156" w:after="156" w:line="360" w:lineRule="auto"/>
      </w:pPr>
      <w:r/>
      <w:bookmarkStart w:id="38" w:name="_Toc35393627"/>
      <w:r/>
      <w:bookmarkStart w:id="39" w:name="_Toc28359085"/>
      <w:r/>
      <w:bookmarkStart w:id="40" w:name="_Toc28359008"/>
      <w:r/>
      <w:bookmarkStart w:id="41" w:name="_Toc38985269"/>
      <w:r/>
      <w:bookmarkStart w:id="42" w:name="_Toc35393796"/>
      <w:r/>
      <w:bookmarkStart w:id="43" w:name="_Toc28359087"/>
      <w:r/>
      <w:bookmarkStart w:id="44" w:name="_Toc28359010"/>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名  称：常州刘国钧高等职业技术学校</w:t>
      </w:r>
      <w:r>
        <w:rPr>
          <w:rFonts w:hint="eastAsia" w:ascii="宋体" w:hAnsi="宋体" w:cs="宋体"/>
          <w:sz w:val="24"/>
          <w:szCs w:val="24"/>
        </w:rPr>
        <w:tab/>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址：常州市常州经济开发区富民路296号</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 张先生</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联系方式：0519-68785271</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r/>
      <w:bookmarkEnd w:id="44"/>
      <w:r/>
      <w:r/>
    </w:p>
    <w:p>
      <w:pPr>
        <w:pStyle w:val="1000"/>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r/>
      <w:bookmarkEnd w:id="3"/>
      <w:r/>
      <w:bookmarkEnd w:id="4"/>
      <w:r/>
      <w:bookmarkEnd w:id="5"/>
      <w:r/>
      <w:bookmarkEnd w:id="6"/>
      <w:r/>
      <w:r/>
    </w:p>
    <w:p>
      <w:pPr>
        <w:pStyle w:val="996"/>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120614221"/>
      <w:r/>
      <w:bookmarkStart w:id="48" w:name="_Toc20823314"/>
      <w:r/>
      <w:bookmarkStart w:id="49" w:name="_Toc16938558"/>
      <w:r/>
      <w:bookmarkStart w:id="50" w:name="_Toc513029242"/>
      <w:r/>
      <w:bookmarkStart w:id="51" w:name="_Toc479757207"/>
      <w:r>
        <w:rPr>
          <w:rFonts w:hint="eastAsia" w:asciiTheme="minorEastAsia" w:hAnsiTheme="minorEastAsia" w:eastAsiaTheme="minorEastAsia" w:cstheme="minorEastAsia"/>
        </w:rPr>
        <w:t xml:space="preserve">第二章  </w:t>
      </w:r>
      <w:bookmarkEnd w:id="45"/>
      <w:r/>
      <w:bookmarkStart w:id="52" w:name="_Toc513029202"/>
      <w:r/>
      <w:bookmarkStart w:id="53" w:name="_Toc120614213"/>
      <w:r/>
      <w:bookmarkStart w:id="54" w:name="_Toc16938518"/>
      <w:r/>
      <w:bookmarkStart w:id="55" w:name="_Toc20823274"/>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1000"/>
        <w:ind w:firstLine="498"/>
        <w:spacing w:before="156" w:after="156" w:line="360" w:lineRule="auto"/>
        <w:rPr>
          <w:rFonts w:hint="eastAsia" w:asciiTheme="minorEastAsia" w:hAnsiTheme="minorEastAsia" w:eastAsiaTheme="minorEastAsia" w:cstheme="minorEastAsia"/>
        </w:rPr>
      </w:pPr>
      <w:r/>
      <w:bookmarkStart w:id="56" w:name="_Toc16938519"/>
      <w:r/>
      <w:bookmarkStart w:id="57" w:name="_Toc20823275"/>
      <w:r/>
      <w:bookmarkStart w:id="58" w:name="_Toc120614214"/>
      <w:r/>
      <w:bookmarkStart w:id="59" w:name="_Toc513029203"/>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5" w:name="_Toc16938521"/>
      <w:r/>
      <w:bookmarkStart w:id="66" w:name="_Toc513029205"/>
      <w:r/>
      <w:bookmarkStart w:id="67" w:name="_Toc20823277"/>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68" w:name="_Toc20823278"/>
      <w:r/>
      <w:bookmarkStart w:id="69" w:name="_Toc513029206"/>
      <w:r/>
      <w:bookmarkStart w:id="70" w:name="_Toc16938522"/>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71" w:name="_Toc513029207"/>
      <w:r/>
      <w:bookmarkStart w:id="72" w:name="_Toc16938523"/>
      <w:r/>
      <w:bookmarkStart w:id="73" w:name="_Toc462564067"/>
      <w:r/>
      <w:bookmarkStart w:id="74" w:name="_Toc20823279"/>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1002"/>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1000"/>
        <w:ind w:firstLine="321"/>
        <w:spacing w:before="156" w:after="156" w:line="360" w:lineRule="auto"/>
        <w:rPr>
          <w:rFonts w:hint="eastAsia" w:asciiTheme="minorEastAsia" w:hAnsiTheme="minorEastAsia" w:eastAsiaTheme="minorEastAsia" w:cstheme="minorEastAsia"/>
        </w:rPr>
      </w:pPr>
      <w:r/>
      <w:bookmarkStart w:id="75" w:name="_Toc120614215"/>
      <w:r/>
      <w:bookmarkStart w:id="76" w:name="_Toc16938525"/>
      <w:r/>
      <w:bookmarkStart w:id="77" w:name="_Toc513029209"/>
      <w:r/>
      <w:bookmarkStart w:id="78" w:name="_Toc20823281"/>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79" w:name="_Toc20823282"/>
      <w:r/>
      <w:bookmarkStart w:id="80" w:name="_Toc16938526"/>
      <w:r/>
      <w:bookmarkStart w:id="81" w:name="_Toc513029210"/>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82" w:name="_Toc513029211"/>
      <w:r/>
      <w:bookmarkStart w:id="83" w:name="_Toc20823283"/>
      <w:r/>
      <w:bookmarkStart w:id="84" w:name="_Toc16938527"/>
      <w:r/>
      <w:bookmarkStart w:id="85" w:name="_Toc462564070"/>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86" w:name="_Toc513029212"/>
      <w:r/>
      <w:bookmarkStart w:id="87" w:name="_Toc462564071"/>
      <w:r/>
      <w:bookmarkStart w:id="88" w:name="_Toc16938528"/>
      <w:r/>
      <w:bookmarkStart w:id="89" w:name="_Toc20823284"/>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1000"/>
        <w:ind w:firstLine="482"/>
        <w:spacing w:before="156" w:after="156" w:line="360" w:lineRule="auto"/>
        <w:rPr>
          <w:rFonts w:hint="eastAsia" w:asciiTheme="minorEastAsia" w:hAnsiTheme="minorEastAsia" w:eastAsiaTheme="minorEastAsia" w:cstheme="minorEastAsia"/>
        </w:rPr>
      </w:pPr>
      <w:r/>
      <w:bookmarkStart w:id="90" w:name="_Toc120614216"/>
      <w:r/>
      <w:bookmarkStart w:id="91" w:name="_Toc20823285"/>
      <w:r/>
      <w:bookmarkStart w:id="92" w:name="_Toc462564072"/>
      <w:r/>
      <w:bookmarkStart w:id="93" w:name="_Toc513029213"/>
      <w:r/>
      <w:bookmarkStart w:id="94" w:name="_Toc16938529"/>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1002"/>
        <w:ind w:firstLine="560"/>
        <w:spacing w:before="0" w:after="0" w:line="240" w:lineRule="auto"/>
        <w:rPr>
          <w:rFonts w:hint="eastAsia" w:asciiTheme="minorEastAsia" w:hAnsiTheme="minorEastAsia" w:eastAsiaTheme="minorEastAsia" w:cstheme="minorEastAsia"/>
          <w:bCs w:val="0"/>
        </w:rPr>
      </w:pPr>
      <w:r/>
      <w:bookmarkStart w:id="95" w:name="_Toc462564073"/>
      <w:r/>
      <w:bookmarkStart w:id="96" w:name="_Toc16938530"/>
      <w:r/>
      <w:bookmarkStart w:id="97" w:name="_Toc513029214"/>
      <w:r/>
      <w:bookmarkStart w:id="98" w:name="_Toc20823286"/>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99" w:name="_Toc16938531"/>
      <w:r/>
      <w:bookmarkStart w:id="100" w:name="_Toc20823287"/>
      <w:r/>
      <w:bookmarkStart w:id="101" w:name="_Toc462564074"/>
      <w:r/>
      <w:bookmarkStart w:id="102" w:name="_Toc513029215"/>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03" w:name="_Hlt26954838"/>
      <w:r/>
      <w:bookmarkEnd w:id="103"/>
      <w:r/>
      <w:bookmarkStart w:id="104" w:name="_Hlt26668975"/>
      <w:r/>
      <w:bookmarkEnd w:id="104"/>
      <w:r/>
      <w:bookmarkStart w:id="105" w:name="_Hlt26670360"/>
      <w:r/>
      <w:bookmarkEnd w:id="105"/>
      <w:r/>
      <w:bookmarkStart w:id="106" w:name="_Toc513029219"/>
      <w:r/>
      <w:bookmarkStart w:id="107" w:name="_Toc14577357"/>
      <w:r/>
      <w:bookmarkStart w:id="108" w:name="_Toc49090509"/>
      <w:r/>
      <w:bookmarkStart w:id="109" w:name="_Toc14577354"/>
      <w:r/>
      <w:bookmarkStart w:id="110" w:name="_Toc49090507"/>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r/>
      <w:bookmarkEnd w:id="110"/>
      <w:r/>
      <w:bookmarkEnd w:id="111"/>
      <w:r/>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17" w:name="_Hlt26954846"/>
      <w:r/>
      <w:bookmarkEnd w:id="117"/>
      <w:r/>
      <w:bookmarkStart w:id="118" w:name="_Hlt26670425"/>
      <w:r/>
      <w:bookmarkEnd w:id="118"/>
      <w:r/>
      <w:bookmarkStart w:id="119" w:name="_Hlt26954844"/>
      <w:r/>
      <w:bookmarkEnd w:id="119"/>
      <w:r/>
      <w:bookmarkStart w:id="120" w:name="_Hlt26668983"/>
      <w:r/>
      <w:bookmarkEnd w:id="120"/>
      <w:r/>
      <w:bookmarkStart w:id="121" w:name="_Hlt26954848"/>
      <w:r/>
      <w:bookmarkEnd w:id="121"/>
      <w:r/>
      <w:bookmarkStart w:id="122" w:name="_Hlt26670482"/>
      <w:r/>
      <w:bookmarkEnd w:id="122"/>
      <w:r/>
      <w:bookmarkStart w:id="123" w:name="_Hlt26670486"/>
      <w:r/>
      <w:bookmarkEnd w:id="123"/>
      <w:r/>
      <w:bookmarkStart w:id="124" w:name="_Hlt26954842"/>
      <w:r/>
      <w:bookmarkEnd w:id="124"/>
      <w:r/>
      <w:bookmarkStart w:id="125" w:name="_Hlt26670403"/>
      <w:r/>
      <w:bookmarkEnd w:id="125"/>
      <w:r/>
      <w:bookmarkStart w:id="126" w:name="_Hlt26954731"/>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r/>
      <w:bookmarkEnd w:id="128"/>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1000"/>
        <w:ind w:firstLine="482"/>
        <w:spacing w:before="156" w:after="156" w:line="360" w:lineRule="auto"/>
        <w:rPr>
          <w:rFonts w:hint="eastAsia" w:asciiTheme="minorEastAsia" w:hAnsiTheme="minorEastAsia" w:eastAsiaTheme="minorEastAsia" w:cstheme="minorEastAsia"/>
        </w:rPr>
      </w:pPr>
      <w:r/>
      <w:bookmarkStart w:id="134" w:name="_Hlt26954739"/>
      <w:r/>
      <w:bookmarkEnd w:id="134"/>
      <w:r/>
      <w:bookmarkStart w:id="135" w:name="_Hlt26954852"/>
      <w:r/>
      <w:bookmarkEnd w:id="135"/>
      <w:r/>
      <w:bookmarkStart w:id="136" w:name="_Toc513029224"/>
      <w:r/>
      <w:bookmarkStart w:id="137" w:name="_Toc120614217"/>
      <w:r/>
      <w:bookmarkStart w:id="138" w:name="_Toc16938540"/>
      <w:r/>
      <w:bookmarkStart w:id="139" w:name="_Toc20823296"/>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1002"/>
        <w:ind w:firstLine="560"/>
        <w:spacing w:before="0" w:after="0" w:line="240" w:lineRule="auto"/>
        <w:rPr>
          <w:rFonts w:hint="eastAsia" w:asciiTheme="minorEastAsia" w:hAnsiTheme="minorEastAsia" w:eastAsiaTheme="minorEastAsia" w:cstheme="minorEastAsia"/>
          <w:b w:val="0"/>
          <w:bCs w:val="0"/>
        </w:rPr>
      </w:pPr>
      <w:r/>
      <w:bookmarkStart w:id="140" w:name="_Toc462564084"/>
      <w:r/>
      <w:bookmarkStart w:id="141" w:name="_Toc513029225"/>
      <w:r/>
      <w:bookmarkStart w:id="142" w:name="_Toc16938541"/>
      <w:r/>
      <w:bookmarkStart w:id="143" w:name="_Toc20823297"/>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105"/>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20823298"/>
      <w:r/>
      <w:bookmarkStart w:id="145" w:name="_Toc513029226"/>
      <w:r/>
      <w:bookmarkStart w:id="146" w:name="_Toc16938542"/>
      <w:r/>
      <w:r/>
    </w:p>
    <w:p>
      <w:pPr>
        <w:pStyle w:val="1002"/>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513029227"/>
      <w:r/>
      <w:bookmarkStart w:id="149" w:name="_Toc20823299"/>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50" w:name="_Toc16938544"/>
      <w:r/>
      <w:bookmarkStart w:id="151" w:name="_Toc513029228"/>
      <w:r/>
      <w:bookmarkStart w:id="152" w:name="_Toc20823300"/>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1000"/>
        <w:ind w:firstLine="482"/>
        <w:spacing w:before="156" w:after="156" w:line="360" w:lineRule="auto"/>
        <w:rPr>
          <w:rFonts w:hint="eastAsia" w:asciiTheme="minorEastAsia" w:hAnsiTheme="minorEastAsia" w:eastAsiaTheme="minorEastAsia" w:cstheme="minorEastAsia"/>
        </w:rPr>
      </w:pPr>
      <w:r/>
      <w:bookmarkStart w:id="153" w:name="_Toc16938545"/>
      <w:r/>
      <w:bookmarkStart w:id="154" w:name="_Toc513029229"/>
      <w:r/>
      <w:bookmarkStart w:id="155" w:name="_Toc20823301"/>
      <w:r/>
      <w:bookmarkStart w:id="156" w:name="_Toc120614218"/>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57" w:name="_Toc513029230"/>
      <w:r/>
      <w:bookmarkStart w:id="158" w:name="_Toc16938546"/>
      <w:r/>
      <w:bookmarkStart w:id="159" w:name="_Toc20823302"/>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0" w:name="_Toc513029231"/>
      <w:r/>
      <w:bookmarkStart w:id="161" w:name="_Toc16938547"/>
      <w:r/>
      <w:bookmarkStart w:id="162" w:name="_Toc20823303"/>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r/>
      <w:bookmarkEnd w:id="161"/>
      <w:r/>
      <w:bookmarkEnd w:id="162"/>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3" w:name="_Toc513029232"/>
      <w:r/>
      <w:bookmarkStart w:id="164" w:name="_Toc20823304"/>
      <w:r/>
      <w:bookmarkStart w:id="165" w:name="_Toc16938548"/>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1002"/>
        <w:ind w:firstLine="420"/>
        <w:spacing w:before="0" w:after="0" w:line="240" w:lineRule="auto"/>
        <w:rPr>
          <w:rFonts w:hint="eastAsia" w:asciiTheme="minorEastAsia" w:hAnsiTheme="minorEastAsia" w:eastAsiaTheme="minorEastAsia" w:cstheme="minorEastAsia"/>
          <w:b w:val="0"/>
          <w:bCs w:val="0"/>
        </w:rPr>
      </w:pPr>
      <w:r/>
      <w:bookmarkStart w:id="166" w:name="_Toc16938549"/>
      <w:r/>
      <w:bookmarkStart w:id="167" w:name="_Toc20823305"/>
      <w:r/>
      <w:bookmarkStart w:id="168" w:name="_Toc513029233"/>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20823306"/>
      <w:r/>
      <w:bookmarkStart w:id="170" w:name="_Toc16938550"/>
      <w:r/>
      <w:bookmarkStart w:id="171" w:name="_Toc513029234"/>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1002"/>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16938551"/>
      <w:r/>
      <w:bookmarkStart w:id="173" w:name="_Toc513029235"/>
      <w:r/>
      <w:bookmarkStart w:id="174" w:name="_Toc20823307"/>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1000"/>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1002"/>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1002"/>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1002"/>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00"/>
        <w:spacing w:before="156" w:after="156" w:line="360" w:lineRule="auto"/>
        <w:rPr>
          <w:rFonts w:hint="eastAsia" w:asciiTheme="minorEastAsia" w:hAnsiTheme="minorEastAsia" w:eastAsiaTheme="minorEastAsia" w:cstheme="minorEastAsia"/>
        </w:rPr>
      </w:pPr>
      <w:r/>
      <w:bookmarkStart w:id="180" w:name="_Toc120614220"/>
      <w:r/>
      <w:bookmarkStart w:id="181" w:name="_Toc16938552"/>
      <w:r/>
      <w:bookmarkStart w:id="182" w:name="_Toc513029236"/>
      <w:r/>
      <w:bookmarkStart w:id="183" w:name="_Toc20823308"/>
      <w:r>
        <w:rPr>
          <w:rFonts w:hint="eastAsia" w:asciiTheme="minorEastAsia" w:hAnsiTheme="minorEastAsia" w:eastAsiaTheme="minorEastAsia" w:cstheme="minorEastAsia"/>
        </w:rPr>
        <w:t xml:space="preserve">七、授予合同</w:t>
      </w:r>
      <w:bookmarkEnd w:id="180"/>
      <w:r/>
      <w:bookmarkEnd w:id="181"/>
      <w:r/>
      <w:bookmarkEnd w:id="182"/>
      <w:r/>
      <w:bookmarkEnd w:id="183"/>
      <w:r/>
      <w:r/>
    </w:p>
    <w:p>
      <w:pPr>
        <w:pStyle w:val="1002"/>
        <w:ind w:firstLine="600"/>
        <w:spacing w:before="0" w:after="0" w:line="240" w:lineRule="auto"/>
        <w:rPr>
          <w:rFonts w:hint="eastAsia" w:asciiTheme="minorEastAsia" w:hAnsiTheme="minorEastAsia" w:eastAsiaTheme="minorEastAsia" w:cstheme="minorEastAsia"/>
          <w:b w:val="0"/>
          <w:sz w:val="30"/>
          <w:szCs w:val="30"/>
        </w:rPr>
      </w:pPr>
      <w:r/>
      <w:bookmarkStart w:id="184" w:name="_Toc513029237"/>
      <w:r/>
      <w:bookmarkStart w:id="185" w:name="_Toc16938553"/>
      <w:r/>
      <w:bookmarkStart w:id="186" w:name="_Toc20823309"/>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1002"/>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97"/>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r/>
      <w:bookmarkEnd w:id="48"/>
      <w:r/>
      <w:bookmarkEnd w:id="49"/>
      <w:r/>
      <w:bookmarkEnd w:id="50"/>
      <w:r/>
      <w:bookmarkEnd w:id="51"/>
      <w:r/>
      <w:r/>
    </w:p>
    <w:p>
      <w:pPr>
        <w:jc w:val="center"/>
        <w:keepNext/>
        <w:rPr>
          <w:rFonts w:hint="eastAsia" w:asciiTheme="minorEastAsia" w:hAnsiTheme="minorEastAsia" w:eastAsiaTheme="minorEastAsia" w:cstheme="minorEastAsia"/>
          <w:bCs/>
          <w:sz w:val="44"/>
          <w:szCs w:val="28"/>
        </w:rPr>
        <w:outlineLvl w:val="0"/>
      </w:pPr>
      <w:r/>
      <w:bookmarkStart w:id="187" w:name="_Toc513029243"/>
      <w:r/>
      <w:bookmarkStart w:id="188" w:name="_Toc16938559"/>
      <w:r/>
      <w:bookmarkStart w:id="189" w:name="_Toc20823315"/>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年（自交货验收合格之日起计），因人为因素出现的故障不在免费保修范围内。超过保修期的机器设备，终生维修，维修时只收部件成本费。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宋体" w:hAnsi="宋体" w:cs="Courier New"/>
          <w:color w:val="auto"/>
          <w:sz w:val="24"/>
          <w:szCs w:val="24"/>
          <w:u w:val="single"/>
          <w:lang w:val="en-US" w:eastAsia="zh-CN"/>
        </w:rPr>
        <w:t xml:space="preserve"> ‌6‰‌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r/>
      <w:bookmarkEnd w:id="188"/>
      <w:r/>
      <w:bookmarkEnd w:id="189"/>
      <w:r/>
      <w:r/>
    </w:p>
    <w:p>
      <w:pPr>
        <w:pStyle w:val="994"/>
        <w:rPr>
          <w:rFonts w:hint="eastAsia" w:asciiTheme="minorEastAsia" w:hAnsiTheme="minorEastAsia" w:eastAsiaTheme="minorEastAsia" w:cstheme="minorEastAsia"/>
          <w:b/>
          <w:bCs/>
          <w:sz w:val="44"/>
        </w:rPr>
      </w:pPr>
      <w:r/>
      <w:bookmarkStart w:id="191" w:name="_Toc17950"/>
      <w:r/>
      <w:bookmarkStart w:id="192" w:name="_Toc120614281"/>
      <w:r/>
      <w:bookmarkStart w:id="193" w:name="_Toc26554093"/>
      <w:r/>
      <w:bookmarkStart w:id="194" w:name="_Toc49090575"/>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84"/>
        <w:numPr>
          <w:ilvl w:val="0"/>
          <w:numId w:val="5"/>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spacing w:line="360" w:lineRule="auto"/>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sz w:val="24"/>
          <w:szCs w:val="24"/>
        </w:rPr>
        <w:t xml:space="preserve">常州刘国钧高等职业技术学校一期区域光网（以太）建设</w:t>
      </w:r>
      <w:r/>
    </w:p>
    <w:p>
      <w:pPr>
        <w:spacing w:line="360" w:lineRule="auto"/>
        <w:rPr>
          <w:rFonts w:hint="eastAsia" w:ascii="宋体" w:hAnsi="宋体"/>
          <w:sz w:val="24"/>
          <w:szCs w:val="24"/>
        </w:rPr>
      </w:pPr>
      <w:r>
        <w:rPr>
          <w:rFonts w:hint="eastAsia" w:ascii="宋体" w:hAnsi="宋体"/>
          <w:sz w:val="24"/>
          <w:szCs w:val="24"/>
        </w:rPr>
        <w:t xml:space="preserve">2.预算金额：</w:t>
      </w:r>
      <w:r>
        <w:rPr>
          <w:rFonts w:hint="eastAsia" w:ascii="宋体" w:hAnsi="宋体"/>
          <w:sz w:val="24"/>
          <w:szCs w:val="24"/>
          <w:lang w:val="en-US" w:eastAsia="zh-CN"/>
        </w:rPr>
        <w:t xml:space="preserve">351.05</w:t>
      </w:r>
      <w:r>
        <w:rPr>
          <w:rFonts w:hint="eastAsia" w:ascii="宋体" w:hAnsi="宋体"/>
          <w:sz w:val="24"/>
          <w:szCs w:val="24"/>
        </w:rPr>
        <w:t xml:space="preserve"> 万元</w:t>
      </w:r>
      <w:r/>
    </w:p>
    <w:tbl>
      <w:tblPr>
        <w:tblStyle w:val="802"/>
        <w:tblW w:w="4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51"/>
        <w:gridCol w:w="1711"/>
        <w:gridCol w:w="1755"/>
      </w:tblGrid>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2125"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192"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22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r>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1</w:t>
            </w:r>
            <w:r/>
          </w:p>
        </w:tc>
        <w:tc>
          <w:tcPr>
            <w:tcW w:w="2125" w:type="pct"/>
            <w:vAlign w:val="center"/>
            <w:textDirection w:val="lrTb"/>
            <w:noWrap w:val="false"/>
          </w:tcPr>
          <w:p>
            <w:pPr>
              <w:jc w:val="center"/>
              <w:spacing w:line="360" w:lineRule="auto"/>
              <w:rPr>
                <w:rFonts w:hint="eastAsia" w:asciiTheme="minorEastAsia" w:hAnsiTheme="minorEastAsia" w:eastAsiaTheme="minorEastAsia" w:cstheme="minorEastAsia"/>
                <w:color w:val="0000ff"/>
              </w:rPr>
            </w:pPr>
            <w:r>
              <w:rPr>
                <w:rFonts w:hint="eastAsia" w:asciiTheme="minorEastAsia" w:hAnsiTheme="minorEastAsia" w:eastAsiaTheme="minorEastAsia" w:cstheme="minorEastAsia"/>
              </w:rPr>
              <w:t xml:space="preserve">常州刘国钧高等职业技术学校一期区域光网（以太）建设</w:t>
            </w:r>
            <w:r/>
          </w:p>
        </w:tc>
        <w:tc>
          <w:tcPr>
            <w:tcW w:w="119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c>
          <w:tcPr>
            <w:tcW w:w="1222" w:type="pct"/>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351.05</w:t>
            </w:r>
            <w:r/>
          </w:p>
        </w:tc>
      </w:tr>
    </w:tbl>
    <w:p>
      <w:pPr>
        <w:pStyle w:val="803"/>
      </w:pPr>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采购项目概况（简介）：</w:t>
      </w:r>
      <w:r/>
    </w:p>
    <w:p>
      <w:pPr>
        <w:ind w:firstLine="480"/>
        <w:spacing w:line="360" w:lineRule="auto"/>
        <w:rPr>
          <w:rFonts w:hint="eastAsia" w:ascii="宋体" w:hAnsi="宋体"/>
          <w:sz w:val="24"/>
          <w:szCs w:val="24"/>
        </w:rPr>
      </w:pPr>
      <w:r>
        <w:rPr>
          <w:rFonts w:hint="eastAsia" w:ascii="宋体" w:hAnsi="宋体"/>
          <w:sz w:val="24"/>
          <w:szCs w:val="24"/>
        </w:rPr>
        <w:t xml:space="preserve">常州刘国钧高等职业技术学校一期区域光网（以太）项目，采用全光建设形成一张多业务万兆有线承载网。通过光入室的方式，在教学办公楼宇每个房间安装接入设备。有线网络根据每房间类型、用途、人数进行合理化点位部署，为建设区域提供有线网络覆盖。项目包括综合布线、设备安装调试、网络结构调整、管理优化提升及项目集成。</w:t>
      </w:r>
      <w:r/>
    </w:p>
    <w:p>
      <w:pPr>
        <w:spacing w:line="360" w:lineRule="auto"/>
        <w:rPr>
          <w:rFonts w:hint="eastAsia" w:ascii="宋体" w:hAnsi="宋体"/>
          <w:sz w:val="24"/>
          <w:szCs w:val="24"/>
        </w:rPr>
      </w:pPr>
      <w:r>
        <w:rPr>
          <w:rFonts w:hint="eastAsia" w:ascii="宋体" w:hAnsi="宋体"/>
          <w:sz w:val="24"/>
          <w:szCs w:val="24"/>
        </w:rPr>
        <w:t xml:space="preserve">4.合同履行期限：自合同签订生效之日起、项目验收合格之日止；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rPr>
        <w:t xml:space="preserve">6.</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rPr>
        <w:t xml:space="preserve">8.</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9.</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10.本项目的特定资格要求：无；</w:t>
      </w:r>
      <w:r/>
    </w:p>
    <w:p>
      <w:pPr>
        <w:spacing w:line="360" w:lineRule="auto"/>
        <w:rPr>
          <w:sz w:val="24"/>
        </w:rPr>
      </w:pPr>
      <w:r>
        <w:rPr>
          <w:rFonts w:hint="eastAsia"/>
          <w:sz w:val="24"/>
        </w:rPr>
        <w:t xml:space="preserve">11.项目类别：货物类；</w:t>
      </w:r>
      <w:r/>
    </w:p>
    <w:p>
      <w:pPr>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12.其他，统一安排现场踏勘，时间：2026年 </w:t>
      </w:r>
      <w:r>
        <w:rPr>
          <w:rFonts w:hint="eastAsia" w:asciiTheme="minorEastAsia" w:hAnsiTheme="minorEastAsia" w:eastAsiaTheme="minorEastAsia" w:cstheme="minorEastAsia"/>
          <w:b/>
          <w:bCs/>
          <w:sz w:val="24"/>
          <w:lang w:val="en-US" w:eastAsia="zh-CN"/>
        </w:rPr>
        <w:t xml:space="preserve">6</w:t>
      </w:r>
      <w:r>
        <w:rPr>
          <w:rFonts w:hint="eastAsia" w:asciiTheme="minorEastAsia" w:hAnsiTheme="minorEastAsia" w:eastAsiaTheme="minorEastAsia" w:cstheme="minorEastAsia"/>
          <w:b/>
          <w:bCs/>
          <w:sz w:val="24"/>
        </w:rPr>
        <w:t xml:space="preserve">月</w:t>
      </w:r>
      <w:r>
        <w:rPr>
          <w:rFonts w:hint="eastAsia" w:asciiTheme="minorEastAsia" w:hAnsiTheme="minorEastAsia" w:eastAsiaTheme="minorEastAsia" w:cstheme="minorEastAsia"/>
          <w:b/>
          <w:bCs/>
          <w:sz w:val="24"/>
          <w:lang w:val="en-US" w:eastAsia="zh-CN"/>
        </w:rPr>
        <w:t xml:space="preserve">2</w:t>
      </w:r>
      <w:r>
        <w:rPr>
          <w:rFonts w:hint="eastAsia" w:asciiTheme="minorEastAsia" w:hAnsiTheme="minorEastAsia" w:eastAsiaTheme="minorEastAsia" w:cstheme="minorEastAsia"/>
          <w:b/>
          <w:bCs/>
          <w:sz w:val="24"/>
        </w:rPr>
        <w:t xml:space="preserve"> 日  8点00分-16点00分，采购单位联系人见（联系方式见采购文件第一章）。</w:t>
      </w:r>
      <w:r/>
    </w:p>
    <w:p>
      <w:pPr>
        <w:pStyle w:val="1084"/>
        <w:numPr>
          <w:ilvl w:val="0"/>
          <w:numId w:val="5"/>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4"/>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4"/>
        <w:numPr>
          <w:ilvl w:val="0"/>
          <w:numId w:val="5"/>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宋体" w:hAnsi="宋体" w:cs="宋体"/>
              </w:rPr>
              <w:t xml:space="preserve">本项目合同主体与付款单位为：</w:t>
            </w:r>
            <w:r>
              <w:rPr>
                <w:rFonts w:hint="eastAsia" w:asciiTheme="minorEastAsia" w:hAnsiTheme="minorEastAsia" w:eastAsiaTheme="minorEastAsia" w:cstheme="minorEastAsia"/>
              </w:rPr>
              <w:t xml:space="preserve">常州刘国钧高等职业技术学校</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w:t>
            </w:r>
            <w:r>
              <w:rPr>
                <w:rFonts w:hint="eastAsia"/>
                <w:color w:val="auto"/>
                <w:lang w:val="en-US" w:eastAsia="zh-CN"/>
              </w:rPr>
              <w:t xml:space="preserve">指定</w:t>
            </w:r>
            <w:r>
              <w:rPr>
                <w:rFonts w:hint="eastAsia"/>
                <w:color w:val="auto"/>
              </w:rPr>
              <w:t xml:space="preserve">所投产品</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color w:val="auto"/>
                <w:lang w:val="en-US" w:eastAsia="zh-CN"/>
              </w:rPr>
              <w:t xml:space="preserve">刘国钧高职校的所有网络设备及</w:t>
            </w:r>
            <w:r>
              <w:rPr>
                <w:rFonts w:hint="eastAsia" w:ascii="宋体" w:hAnsi="宋体" w:eastAsia="宋体" w:cs="宋体"/>
                <w:color w:val="auto"/>
                <w:sz w:val="21"/>
                <w:szCs w:val="21"/>
                <w:highlight w:val="none"/>
                <w:lang w:val="en-US" w:eastAsia="zh-CN"/>
              </w:rPr>
              <w:t xml:space="preserve">六类双绞线、所有光缆、</w:t>
            </w:r>
            <w:r>
              <w:rPr>
                <w:rFonts w:hint="eastAsia" w:ascii="宋体" w:hAnsi="宋体" w:eastAsia="宋体" w:cs="宋体"/>
                <w:i w:val="0"/>
                <w:iCs w:val="0"/>
                <w:color w:val="auto"/>
                <w:sz w:val="21"/>
                <w:szCs w:val="21"/>
                <w:highlight w:val="none"/>
                <w:u w:val="none"/>
                <w:lang w:val="en-US" w:eastAsia="zh-CN" w:bidi="ar"/>
              </w:rPr>
              <w:t xml:space="preserve">光纤尾纤、跳线、所有机柜</w:t>
            </w:r>
            <w:r>
              <w:rPr>
                <w:rFonts w:hint="eastAsia"/>
                <w:color w:val="auto"/>
              </w:rPr>
              <w:t xml:space="preserve">)。</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7月 30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rPr>
            </w:pPr>
            <w:r>
              <w:rPr>
                <w:rFonts w:hint="eastAsia" w:ascii="宋体" w:hAnsi="宋体" w:cs="宋体"/>
              </w:rPr>
              <w:t xml:space="preserve">未按要求提供上述材料的，相关检测报告视为无效佐证材料。</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rPr>
          <w:rFonts w:hint="eastAsia" w:asciiTheme="minorEastAsia" w:hAnsiTheme="minorEastAsia" w:eastAsiaTheme="minorEastAsia" w:cstheme="minorEastAsia"/>
          <w:b/>
          <w:i/>
          <w:sz w:val="24"/>
        </w:rPr>
      </w:pPr>
      <w:r>
        <w:rPr>
          <w:rFonts w:hint="eastAsia" w:asciiTheme="minorEastAsia" w:hAnsiTheme="minorEastAsia" w:eastAsiaTheme="minorEastAsia" w:cstheme="minorEastAsia"/>
          <w:b/>
          <w:i/>
          <w:sz w:val="24"/>
        </w:rPr>
      </w:r>
      <w:r/>
    </w:p>
    <w:p>
      <w:pPr>
        <w:pStyle w:val="1084"/>
        <w:numPr>
          <w:ilvl w:val="0"/>
          <w:numId w:val="5"/>
        </w:numPr>
        <w:ind w:left="0"/>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lang w:eastAsia="zh-CN"/>
        </w:rPr>
        <w:t xml:space="preserve">建设实施要求</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核心区域改造</w:t>
      </w:r>
      <w:r/>
    </w:p>
    <w:p>
      <w:pPr>
        <w:pStyle w:val="806"/>
        <w:ind w:firstLine="480"/>
        <w:spacing w:before="0" w:line="400" w:lineRule="exact"/>
        <w:rPr>
          <w:rFonts w:hint="eastAsia"/>
          <w:sz w:val="21"/>
        </w:rPr>
      </w:pPr>
      <w:r>
        <w:rPr>
          <w:sz w:val="21"/>
        </w:rPr>
        <w:t xml:space="preserve">为最大化利用现网资源、降低改造成本，同时解决网络故障节点多、业务干扰等问题。</w:t>
      </w:r>
      <w:r/>
    </w:p>
    <w:p>
      <w:pPr>
        <w:pStyle w:val="799"/>
        <w:numPr>
          <w:ilvl w:val="2"/>
          <w:numId w:val="8"/>
        </w:numPr>
        <w:spacing w:before="0" w:after="0" w:line="400" w:lineRule="exact"/>
        <w:rPr>
          <w:b w:val="0"/>
          <w:bCs/>
          <w:sz w:val="21"/>
          <w:szCs w:val="21"/>
          <w:u w:val="none"/>
        </w:rPr>
      </w:pPr>
      <w:r>
        <w:rPr>
          <w:b w:val="0"/>
          <w:bCs/>
          <w:sz w:val="21"/>
          <w:szCs w:val="21"/>
          <w:u w:val="none"/>
        </w:rPr>
        <w:t xml:space="preserve">现网设备复用与改造：复用现有核心交换机、BRAS等设备作为有线承载网基础架构，重点对现有BRAS设备进行部署调整，原核心交换机主要承载</w:t>
      </w:r>
      <w:r>
        <w:rPr>
          <w:rFonts w:hint="eastAsia"/>
          <w:b w:val="0"/>
          <w:bCs/>
          <w:sz w:val="21"/>
          <w:szCs w:val="21"/>
          <w:u w:val="none"/>
        </w:rPr>
        <w:t xml:space="preserve">除</w:t>
      </w:r>
      <w:r>
        <w:rPr>
          <w:b w:val="0"/>
          <w:bCs/>
          <w:sz w:val="21"/>
          <w:szCs w:val="21"/>
          <w:u w:val="none"/>
        </w:rPr>
        <w:t xml:space="preserve">教学和办公业务</w:t>
      </w:r>
      <w:r>
        <w:rPr>
          <w:rFonts w:hint="eastAsia"/>
          <w:b w:val="0"/>
          <w:bCs/>
          <w:sz w:val="21"/>
          <w:szCs w:val="21"/>
          <w:u w:val="none"/>
        </w:rPr>
        <w:t xml:space="preserve">外的其它</w:t>
      </w:r>
      <w:r>
        <w:rPr>
          <w:b w:val="0"/>
          <w:bCs/>
          <w:sz w:val="21"/>
          <w:szCs w:val="21"/>
          <w:u w:val="none"/>
        </w:rPr>
        <w:t xml:space="preserve">流量的转发。</w:t>
      </w:r>
      <w:r/>
    </w:p>
    <w:p>
      <w:pPr>
        <w:pStyle w:val="1116"/>
        <w:spacing w:before="0" w:after="0" w:line="400" w:lineRule="exact"/>
        <w:rPr>
          <w:sz w:val="21"/>
          <w:szCs w:val="21"/>
        </w:rPr>
      </w:pPr>
      <w:r>
        <w:rPr>
          <w:sz w:val="21"/>
          <w:szCs w:val="21"/>
        </w:rPr>
        <w:t xml:space="preserve">网络设备利旧清单</w:t>
      </w:r>
      <w:r/>
    </w:p>
    <w:tbl>
      <w:tblPr>
        <w:tblStyle w:val="802"/>
        <w:tblW w:w="5619" w:type="dxa"/>
        <w:jc w:val="center"/>
        <w:tblCellSpacing w:w="11" w:type="dxa"/>
        <w:tblLayout w:type="fixed"/>
        <w:tblCellMar>
          <w:left w:w="108" w:type="dxa"/>
          <w:top w:w="0" w:type="dxa"/>
          <w:right w:w="108" w:type="dxa"/>
          <w:bottom w:w="0" w:type="dxa"/>
        </w:tblCellMar>
        <w:tblLook w:val="04A0" w:firstRow="1" w:lastRow="0" w:firstColumn="1" w:lastColumn="0" w:noHBand="0" w:noVBand="1"/>
      </w:tblPr>
      <w:tblGrid>
        <w:gridCol w:w="982"/>
        <w:gridCol w:w="1843"/>
        <w:gridCol w:w="1802"/>
        <w:gridCol w:w="992"/>
      </w:tblGrid>
      <w:tr>
        <w:trPr>
          <w:cantSplit/>
          <w:jc w:val="center"/>
          <w:tblCellSpacing w:w="11" w:type="dxa"/>
          <w:trHeight w:val="20"/>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行次</w:t>
            </w:r>
            <w:r/>
          </w:p>
        </w:tc>
        <w:tc>
          <w:tcPr>
            <w:tcBorders>
              <w:top w:val="single" w:color="000000" w:sz="4" w:space="0"/>
              <w:left w:val="none" w:color="000000" w:sz="4" w:space="0"/>
              <w:bottom w:val="single" w:color="000000" w:sz="4" w:space="0"/>
              <w:right w:val="single" w:color="000000" w:sz="4" w:space="0"/>
            </w:tcBorders>
            <w:tcW w:w="1821"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资产名称</w:t>
            </w:r>
            <w:r/>
          </w:p>
        </w:tc>
        <w:tc>
          <w:tcPr>
            <w:tcBorders>
              <w:top w:val="single" w:color="000000" w:sz="4" w:space="0"/>
              <w:left w:val="none" w:color="000000" w:sz="4" w:space="0"/>
              <w:bottom w:val="single" w:color="000000" w:sz="4" w:space="0"/>
              <w:right w:val="single" w:color="000000" w:sz="4" w:space="0"/>
            </w:tcBorders>
            <w:tcW w:w="1780"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规格</w:t>
            </w:r>
            <w:r/>
          </w:p>
        </w:tc>
        <w:tc>
          <w:tcPr>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数量</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核心交换机</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华为1</w:t>
            </w:r>
            <w:r>
              <w:rPr>
                <w:rFonts w:ascii="宋体" w:hAnsi="宋体" w:cs="宋体"/>
              </w:rPr>
              <w:t xml:space="preserve">2708</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多业务网网关</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ME</w:t>
            </w:r>
            <w:r>
              <w:rPr>
                <w:rFonts w:ascii="宋体" w:hAnsi="宋体" w:cs="宋体"/>
              </w:rPr>
              <w:t xml:space="preserve">60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汇聚交换机</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华为S</w:t>
            </w:r>
            <w:r>
              <w:rPr>
                <w:rFonts w:ascii="宋体" w:hAnsi="宋体" w:cs="宋体"/>
              </w:rPr>
              <w:t xml:space="preserve">5720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8</w:t>
            </w:r>
            <w:r/>
          </w:p>
        </w:tc>
      </w:tr>
      <w:tr>
        <w:trPr>
          <w:cantSplit/>
          <w:jc w:val="center"/>
          <w:tblCellSpacing w:w="11" w:type="dxa"/>
          <w:trHeight w:val="20"/>
        </w:trPr>
        <w:tc>
          <w:tcPr>
            <w:tcBorders>
              <w:top w:val="none" w:color="000000" w:sz="4" w:space="0"/>
              <w:left w:val="single" w:color="000000" w:sz="4" w:space="0"/>
              <w:bottom w:val="single" w:color="000000" w:sz="4" w:space="0"/>
              <w:right w:val="single" w:color="000000" w:sz="4" w:space="0"/>
            </w:tcBorders>
            <w:tcW w:w="94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4</w:t>
            </w:r>
            <w:r/>
          </w:p>
        </w:tc>
        <w:tc>
          <w:tcPr>
            <w:tcBorders>
              <w:top w:val="none" w:color="000000" w:sz="4" w:space="0"/>
              <w:left w:val="none" w:color="000000" w:sz="4" w:space="0"/>
              <w:bottom w:val="single" w:color="000000" w:sz="4" w:space="0"/>
              <w:right w:val="single" w:color="000000" w:sz="4" w:space="0"/>
            </w:tcBorders>
            <w:tcW w:w="1821"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无线控制器</w:t>
            </w:r>
            <w:r/>
          </w:p>
        </w:tc>
        <w:tc>
          <w:tcPr>
            <w:tcBorders>
              <w:top w:val="none" w:color="000000" w:sz="4" w:space="0"/>
              <w:left w:val="none" w:color="000000" w:sz="4" w:space="0"/>
              <w:bottom w:val="single" w:color="000000" w:sz="4" w:space="0"/>
              <w:right w:val="single" w:color="000000" w:sz="4" w:space="0"/>
            </w:tcBorders>
            <w:tcW w:w="178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H3</w:t>
            </w:r>
            <w:r>
              <w:rPr>
                <w:rFonts w:ascii="宋体" w:hAnsi="宋体" w:cs="宋体"/>
              </w:rPr>
              <w:t xml:space="preserve">C WX3540</w:t>
            </w:r>
            <w:r/>
          </w:p>
        </w:tc>
        <w:tc>
          <w:tcPr>
            <w:tcBorders>
              <w:top w:val="none" w:color="000000" w:sz="4" w:space="0"/>
              <w:left w:val="none" w:color="000000" w:sz="4" w:space="0"/>
              <w:bottom w:val="single" w:color="000000" w:sz="4" w:space="0"/>
              <w:right w:val="single" w:color="000000" w:sz="4" w:space="0"/>
            </w:tcBorders>
            <w:tcW w:w="959" w:type="dxa"/>
            <w:vAlign w:val="center"/>
            <w:textDirection w:val="lrTb"/>
            <w:noWrap/>
          </w:tcPr>
          <w:p>
            <w:pPr>
              <w:jc w:val="center"/>
              <w:spacing w:line="400" w:lineRule="exact"/>
              <w:widowControl/>
              <w:rPr>
                <w:rFonts w:hint="eastAsia" w:ascii="宋体" w:hAnsi="宋体" w:cs="宋体"/>
              </w:rPr>
            </w:pPr>
            <w:r>
              <w:rPr>
                <w:rFonts w:ascii="宋体" w:hAnsi="宋体" w:cs="宋体"/>
              </w:rPr>
              <w:t xml:space="preserve">2</w:t>
            </w:r>
            <w:r/>
          </w:p>
        </w:tc>
      </w:tr>
    </w:tbl>
    <w:p>
      <w:pPr>
        <w:ind w:firstLine="420"/>
        <w:spacing w:line="400" w:lineRule="exact"/>
        <w:rPr>
          <w:rFonts w:hint="eastAsia" w:ascii="宋体" w:hAnsi="宋体" w:cs="宋体"/>
        </w:rPr>
      </w:pPr>
      <w:r>
        <w:rPr>
          <w:rFonts w:hint="eastAsia" w:ascii="宋体" w:hAnsi="宋体" w:cs="宋体"/>
        </w:rPr>
      </w:r>
      <w:r/>
    </w:p>
    <w:p>
      <w:pPr>
        <w:pStyle w:val="799"/>
        <w:numPr>
          <w:ilvl w:val="2"/>
          <w:numId w:val="8"/>
        </w:numPr>
        <w:spacing w:before="0" w:after="0" w:line="400" w:lineRule="exact"/>
        <w:rPr>
          <w:b w:val="0"/>
          <w:bCs/>
          <w:sz w:val="21"/>
          <w:szCs w:val="21"/>
          <w:u w:val="none"/>
        </w:rPr>
      </w:pPr>
      <w:r>
        <w:rPr>
          <w:b w:val="0"/>
          <w:bCs/>
          <w:sz w:val="21"/>
          <w:szCs w:val="21"/>
          <w:u w:val="none"/>
        </w:rPr>
        <w:t xml:space="preserve">核心区域冗余建设：本次项目针对改造区域部署高性能光核心设备，确保教学、办公两个场景的业务流量高速转发无瓶颈，且互不干扰。</w:t>
      </w:r>
      <w:r/>
    </w:p>
    <w:p>
      <w:pPr>
        <w:pStyle w:val="799"/>
        <w:numPr>
          <w:ilvl w:val="2"/>
          <w:numId w:val="8"/>
        </w:numPr>
        <w:spacing w:before="0" w:after="0" w:line="400" w:lineRule="exact"/>
        <w:rPr>
          <w:b w:val="0"/>
          <w:bCs/>
          <w:sz w:val="21"/>
          <w:szCs w:val="21"/>
          <w:u w:val="none"/>
        </w:rPr>
      </w:pPr>
      <w:r/>
      <w:bookmarkStart w:id="197" w:name="OLE_LINK27"/>
      <w:r>
        <w:rPr>
          <w:b w:val="0"/>
          <w:bCs/>
          <w:sz w:val="21"/>
          <w:szCs w:val="21"/>
          <w:u w:val="none"/>
        </w:rPr>
        <w:t xml:space="preserve">管理优化提升</w:t>
      </w:r>
      <w:bookmarkEnd w:id="197"/>
      <w:r>
        <w:rPr>
          <w:b w:val="0"/>
          <w:bCs/>
          <w:sz w:val="21"/>
          <w:szCs w:val="21"/>
          <w:u w:val="none"/>
        </w:rPr>
        <w:t xml:space="preserve">建设：配套设备链路综合运维与安全管理（包括：1、网络设备运维与日志分析；2、光链路可视管理；3、哑终端安全使用管理）提升网络监控与可视化、智能化管理能力。</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接入改造原则</w:t>
      </w:r>
      <w:r/>
    </w:p>
    <w:p>
      <w:pPr>
        <w:pStyle w:val="806"/>
        <w:ind w:firstLine="480"/>
        <w:spacing w:before="0" w:line="400" w:lineRule="exact"/>
        <w:rPr>
          <w:rFonts w:hint="eastAsia"/>
          <w:sz w:val="21"/>
        </w:rPr>
      </w:pPr>
      <w:r>
        <w:rPr>
          <w:sz w:val="21"/>
        </w:rPr>
        <w:t xml:space="preserve">接入场景改造建设：采用万兆光网络建设有线综合承载网，组网架构简化架构，直接承载以太网业务，无需额外协议转换。</w:t>
      </w:r>
      <w:r/>
    </w:p>
    <w:p>
      <w:pPr>
        <w:pStyle w:val="799"/>
        <w:numPr>
          <w:ilvl w:val="2"/>
          <w:numId w:val="8"/>
        </w:numPr>
        <w:spacing w:before="0" w:after="0" w:line="400" w:lineRule="exact"/>
        <w:rPr>
          <w:sz w:val="21"/>
          <w:szCs w:val="21"/>
          <w:u w:val="none"/>
        </w:rPr>
      </w:pPr>
      <w:r>
        <w:rPr>
          <w:sz w:val="21"/>
          <w:szCs w:val="21"/>
          <w:u w:val="none"/>
        </w:rPr>
        <w:t xml:space="preserve">办公场景组网原则</w:t>
      </w:r>
      <w:r/>
    </w:p>
    <w:p>
      <w:pPr>
        <w:pStyle w:val="806"/>
        <w:numPr>
          <w:ilvl w:val="0"/>
          <w:numId w:val="9"/>
        </w:numPr>
        <w:ind w:firstLine="480"/>
        <w:spacing w:before="0" w:line="400" w:lineRule="exact"/>
        <w:rPr>
          <w:rFonts w:hint="eastAsia" w:cs="宋体"/>
          <w:sz w:val="21"/>
        </w:rPr>
      </w:pPr>
      <w:r>
        <w:rPr>
          <w:sz w:val="21"/>
        </w:rPr>
        <w:t xml:space="preserve">采用8口设备作为光接入端设备。可以满足多种业务接入，为用户提供高速宽带等多种业务。支持壁挂安装。光接入端设备上行10G端口连接分光器(无源汇聚)、下行千兆端口可接入有线网络设备。</w:t>
      </w:r>
      <w:r/>
    </w:p>
    <w:p>
      <w:pPr>
        <w:pStyle w:val="806"/>
        <w:numPr>
          <w:ilvl w:val="0"/>
          <w:numId w:val="9"/>
        </w:numPr>
        <w:ind w:firstLine="480"/>
        <w:spacing w:before="0" w:line="400" w:lineRule="exact"/>
        <w:rPr>
          <w:rFonts w:hint="eastAsia"/>
          <w:sz w:val="21"/>
        </w:rPr>
      </w:pPr>
      <w:r>
        <w:rPr>
          <w:sz w:val="21"/>
        </w:rPr>
        <w:t xml:space="preserve">整体设计为一级分光模式，分光器(无源汇聚)下行口通过桥架和管道将光缆延伸至多媒体箱连接入户设备10G端口，连接入户以太光设备。分光器(无源汇聚)上行口通过主干光缆互联至办公光核心40G端口。</w:t>
      </w:r>
      <w:r/>
    </w:p>
    <w:p>
      <w:pPr>
        <w:pStyle w:val="799"/>
        <w:numPr>
          <w:ilvl w:val="2"/>
          <w:numId w:val="8"/>
        </w:numPr>
        <w:spacing w:before="0" w:after="0" w:line="400" w:lineRule="exact"/>
        <w:rPr>
          <w:sz w:val="21"/>
          <w:szCs w:val="21"/>
          <w:u w:val="none"/>
        </w:rPr>
      </w:pPr>
      <w:r>
        <w:rPr>
          <w:sz w:val="21"/>
          <w:szCs w:val="21"/>
          <w:u w:val="none"/>
        </w:rPr>
        <w:t xml:space="preserve">教学场景组网原则</w:t>
      </w:r>
      <w:r/>
    </w:p>
    <w:p>
      <w:pPr>
        <w:pStyle w:val="806"/>
        <w:numPr>
          <w:ilvl w:val="0"/>
          <w:numId w:val="10"/>
        </w:numPr>
        <w:ind w:firstLine="480"/>
        <w:spacing w:before="0" w:line="400" w:lineRule="exact"/>
        <w:rPr>
          <w:rFonts w:hint="eastAsia"/>
          <w:sz w:val="21"/>
        </w:rPr>
      </w:pPr>
      <w:r>
        <w:rPr>
          <w:sz w:val="21"/>
        </w:rPr>
        <w:t xml:space="preserve">采用8口设备作为光接入端设备。可以满足多种业务接入，为用户提供高速宽带等多种业务。支持壁挂安装。光接入端设备上行10G端口连接、下行千兆端口可接入有线网络设备。</w:t>
      </w:r>
      <w:r/>
    </w:p>
    <w:p>
      <w:pPr>
        <w:pStyle w:val="806"/>
        <w:numPr>
          <w:ilvl w:val="0"/>
          <w:numId w:val="10"/>
        </w:numPr>
        <w:ind w:firstLine="480"/>
        <w:spacing w:before="0" w:line="400" w:lineRule="exact"/>
        <w:rPr>
          <w:rFonts w:hint="eastAsia"/>
          <w:sz w:val="21"/>
        </w:rPr>
      </w:pPr>
      <w:r>
        <w:rPr>
          <w:sz w:val="21"/>
        </w:rPr>
        <w:t xml:space="preserve">8口光接入设备支持POE功能，充分考虑未来诸如录播摄像头、无线AP等设备接入的需要，未来教室内多媒体业务终端（需具备DHCP功能）接入网中可实现对地址的可管可控，实现资产的全生命周期管理。</w:t>
      </w:r>
      <w:r/>
    </w:p>
    <w:p>
      <w:pPr>
        <w:pStyle w:val="806"/>
        <w:numPr>
          <w:ilvl w:val="0"/>
          <w:numId w:val="10"/>
        </w:numPr>
        <w:ind w:firstLine="480"/>
        <w:spacing w:before="0" w:line="400" w:lineRule="exact"/>
        <w:rPr>
          <w:rFonts w:hint="eastAsia"/>
          <w:sz w:val="21"/>
        </w:rPr>
      </w:pPr>
      <w:r>
        <w:rPr>
          <w:sz w:val="21"/>
        </w:rPr>
        <w:t xml:space="preserve">整体设计为一级分光模式，分光器(无源汇聚)下行口通过桥架和管道将光缆延伸至多媒体箱连接入户设备10G端口，连接入户以太光设备。分光器(无源汇聚)上行口通过主干光缆互联至教学光核心端口。</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点位数量设计</w:t>
      </w:r>
      <w:r/>
    </w:p>
    <w:p>
      <w:pPr>
        <w:pStyle w:val="806"/>
        <w:ind w:firstLine="480"/>
        <w:spacing w:before="0" w:line="400" w:lineRule="exact"/>
        <w:rPr>
          <w:rFonts w:hint="eastAsia"/>
          <w:sz w:val="21"/>
        </w:rPr>
      </w:pPr>
      <w:r>
        <w:rPr>
          <w:sz w:val="21"/>
        </w:rPr>
        <w:t xml:space="preserve">本次改造涉及：教学楼1、教学楼2、教学楼3、财经综合楼、北门西、图书馆、图书馆前面配电间、体育馆、西门、看台、食堂、北门东、培训综合楼、机电楼、东门、机电边配电间、动漫楼外、动漫楼、汽车楼、超市、洗衣房、锅炉房、学生宿舍15、学生宿舍17、学生宿舍21、学生宿舍23、宿舍区配电间。</w:t>
      </w:r>
      <w:r/>
    </w:p>
    <w:tbl>
      <w:tblPr>
        <w:tblStyle w:val="802"/>
        <w:tblW w:w="7020" w:type="dxa"/>
        <w:jc w:val="center"/>
        <w:tblLayout w:type="autofit"/>
        <w:tblCellMar>
          <w:left w:w="108" w:type="dxa"/>
          <w:top w:w="0" w:type="dxa"/>
          <w:right w:w="108" w:type="dxa"/>
          <w:bottom w:w="0" w:type="dxa"/>
        </w:tblCellMar>
        <w:tblLook w:val="04A0" w:firstRow="1" w:lastRow="0" w:firstColumn="1" w:lastColumn="0" w:noHBand="0" w:noVBand="1"/>
      </w:tblPr>
      <w:tblGrid>
        <w:gridCol w:w="1950"/>
        <w:gridCol w:w="1692"/>
        <w:gridCol w:w="1710"/>
        <w:gridCol w:w="1692"/>
      </w:tblGrid>
      <w:tr>
        <w:trPr>
          <w:jc w:val="center"/>
          <w:trHeight w:val="340" w:hRule="exact"/>
        </w:trPr>
        <w:tc>
          <w:tcPr>
            <w:tcBorders>
              <w:top w:val="single" w:color="000000" w:sz="4" w:space="0"/>
              <w:left w:val="single" w:color="000000" w:sz="4" w:space="0"/>
              <w:bottom w:val="single" w:color="000000" w:sz="4" w:space="0"/>
              <w:right w:val="single" w:color="000000" w:sz="4" w:space="0"/>
            </w:tcBorders>
            <w:tcW w:w="1950" w:type="dxa"/>
            <w:vAlign w:val="center"/>
            <w:vMerge w:val="restart"/>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楼宇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教学办公区</w:t>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楼宇</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教学办公区</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1950" w:type="dxa"/>
            <w:vAlign w:val="center"/>
            <w:vMerge w:val="continue"/>
            <w:textDirection w:val="lrTb"/>
            <w:noWrap/>
          </w:tcPr>
          <w:p>
            <w:pPr>
              <w:jc w:val="center"/>
              <w:spacing w:after="100" w:afterAutospacing="1" w:line="240" w:lineRule="atLeast"/>
              <w:rPr>
                <w:rFonts w:hint="eastAsia" w:cs="宋体" w:asciiTheme="minorEastAsia" w:hAnsiTheme="minorEastAsia" w:eastAsiaTheme="minorEastAsia"/>
                <w:b/>
                <w:bCs/>
              </w:rPr>
            </w:pPr>
            <w:r>
              <w:rPr>
                <w:rFonts w:hint="eastAsia" w:cs="宋体" w:asciiTheme="minorEastAsia" w:hAnsiTheme="minorEastAsia" w:eastAsiaTheme="minorEastAsia"/>
                <w:b/>
                <w:bC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办公8口以太光</w:t>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tcPr>
          <w:p>
            <w:pPr>
              <w:jc w:val="center"/>
              <w:spacing w:after="100" w:afterAutospacing="1" w:line="240" w:lineRule="atLeast"/>
              <w:rPr>
                <w:rFonts w:hint="eastAsia" w:cs="宋体" w:asciiTheme="minorEastAsia" w:hAnsiTheme="minorEastAsia" w:eastAsiaTheme="minorEastAsia"/>
                <w:b/>
                <w:bCs/>
              </w:rPr>
            </w:pPr>
            <w:r>
              <w:rPr>
                <w:rFonts w:hint="eastAsia" w:cs="宋体" w:asciiTheme="minorEastAsia" w:hAnsiTheme="minorEastAsia" w:eastAsiaTheme="minorEastAsia"/>
                <w:b/>
                <w:bC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b/>
                <w:bCs/>
              </w:rPr>
            </w:pPr>
            <w:r>
              <w:rPr>
                <w:rFonts w:hint="eastAsia" w:cs="宋体" w:asciiTheme="minorEastAsia" w:hAnsiTheme="minorEastAsia" w:eastAsiaTheme="minorEastAsia"/>
                <w:b/>
                <w:bCs/>
                <w:lang w:bidi="ar"/>
              </w:rPr>
              <w:t xml:space="preserve">办公8口以太光</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东门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机电楼边配电间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教学楼3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动漫楼外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财经综合楼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动漫楼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43</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大门西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16</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大门东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超市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图书馆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洗衣房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图书馆前面配电间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锅炉房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体育馆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西门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看台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食堂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学生宿舍23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华夏楼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宿舍区配电间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1</w:t>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机电楼A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after="100" w:afterAutospacing="1" w:line="240" w:lineRule="atLeast"/>
              <w:rPr>
                <w:rFonts w:hint="eastAsia" w:cs="宋体" w:asciiTheme="minorEastAsia" w:hAnsiTheme="minorEastAsia" w:eastAsiaTheme="minorEastAsia"/>
              </w:rPr>
            </w:pPr>
            <w:r>
              <w:rPr>
                <w:rFonts w:hint="eastAsia" w:cs="宋体"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after="100" w:afterAutospacing="1" w:line="240" w:lineRule="atLeast"/>
              <w:rPr>
                <w:rFonts w:hint="eastAsia" w:cs="宋体" w:asciiTheme="minorEastAsia" w:hAnsiTheme="minorEastAsia" w:eastAsiaTheme="minorEastAsia"/>
              </w:rPr>
            </w:pPr>
            <w:r>
              <w:rPr>
                <w:rFonts w:hint="eastAsia" w:cs="宋体" w:asciiTheme="minorEastAsia" w:hAnsiTheme="minorEastAsia" w:eastAsiaTheme="minorEastAsia"/>
              </w:rPr>
            </w:r>
            <w:r/>
          </w:p>
        </w:tc>
      </w:tr>
      <w:tr>
        <w:trPr>
          <w:jc w:val="center"/>
          <w:trHeight w:val="340"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100" w:afterAutospacing="1" w:line="240" w:lineRule="atLeast"/>
              <w:widowControl/>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461</w:t>
            </w:r>
            <w:r/>
          </w:p>
        </w:tc>
      </w:tr>
    </w:tbl>
    <w:p>
      <w:pPr>
        <w:pStyle w:val="803"/>
        <w:ind w:firstLine="0"/>
        <w:jc w:val="center"/>
        <w:spacing w:line="400" w:lineRule="exact"/>
        <w:rPr>
          <w:sz w:val="21"/>
          <w:szCs w:val="21"/>
        </w:rPr>
      </w:pPr>
      <w:r>
        <w:rPr>
          <w:sz w:val="21"/>
          <w:szCs w:val="21"/>
        </w:rPr>
      </w:r>
      <w:r/>
    </w:p>
    <w:p>
      <w:pPr>
        <w:pStyle w:val="806"/>
        <w:ind w:firstLine="480"/>
        <w:spacing w:before="0" w:line="400" w:lineRule="exact"/>
        <w:rPr>
          <w:rFonts w:hint="eastAsia"/>
          <w:sz w:val="21"/>
        </w:rPr>
      </w:pPr>
      <w:r>
        <w:rPr>
          <w:sz w:val="21"/>
        </w:rPr>
        <w:t xml:space="preserve">注：请投标人自行到校做现场详细勘察，仔细核对核算。</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设备安装及其它施工要求</w:t>
      </w:r>
      <w:r/>
    </w:p>
    <w:p>
      <w:pPr>
        <w:pStyle w:val="806"/>
        <w:ind w:firstLine="480"/>
        <w:spacing w:before="0" w:line="400" w:lineRule="exact"/>
        <w:rPr>
          <w:rFonts w:hint="eastAsia"/>
          <w:sz w:val="21"/>
        </w:rPr>
      </w:pPr>
      <w:r>
        <w:rPr>
          <w:sz w:val="21"/>
        </w:rPr>
        <w:t xml:space="preserve">供应商须提供专业的设备安装服务，包括设备的通信组网、调试及开通。本项目在实施过程中，要求成交供应商提供每栋楼宇所有接入设备点位数量表及深化设计点位图纸，提交用户方认可后方可进场，具体要求如下：</w:t>
      </w:r>
      <w:r/>
    </w:p>
    <w:p>
      <w:pPr>
        <w:pStyle w:val="799"/>
        <w:numPr>
          <w:ilvl w:val="2"/>
          <w:numId w:val="8"/>
        </w:numPr>
        <w:spacing w:before="0" w:after="0" w:line="400" w:lineRule="exact"/>
        <w:rPr>
          <w:b w:val="0"/>
          <w:bCs/>
          <w:sz w:val="21"/>
          <w:szCs w:val="21"/>
          <w:u w:val="none"/>
        </w:rPr>
      </w:pPr>
      <w:r>
        <w:rPr>
          <w:b w:val="0"/>
          <w:bCs/>
          <w:sz w:val="21"/>
          <w:szCs w:val="21"/>
          <w:u w:val="none"/>
        </w:rPr>
        <w:t xml:space="preserve">有线信息点网线须采用国标六类非屏蔽双绞线缆。</w:t>
      </w:r>
      <w:r/>
    </w:p>
    <w:p>
      <w:pPr>
        <w:pStyle w:val="799"/>
        <w:numPr>
          <w:ilvl w:val="2"/>
          <w:numId w:val="8"/>
        </w:numPr>
        <w:spacing w:before="0" w:after="0" w:line="400" w:lineRule="exact"/>
        <w:rPr>
          <w:b w:val="0"/>
          <w:bCs/>
          <w:sz w:val="21"/>
          <w:szCs w:val="21"/>
          <w:u w:val="none"/>
        </w:rPr>
      </w:pPr>
      <w:r>
        <w:rPr>
          <w:b w:val="0"/>
          <w:bCs/>
          <w:sz w:val="21"/>
          <w:szCs w:val="21"/>
          <w:u w:val="none"/>
        </w:rPr>
        <w:t xml:space="preserve">室内光接入设备点位上联采用软铠装室内光缆，螺旋钢带铠装保护层。单开门箱体设计采用4芯软铠装光缆；双开门箱体设计采用4芯软铠装光缆。</w:t>
      </w:r>
      <w:r/>
    </w:p>
    <w:p>
      <w:pPr>
        <w:pStyle w:val="799"/>
        <w:numPr>
          <w:ilvl w:val="2"/>
          <w:numId w:val="8"/>
        </w:numPr>
        <w:spacing w:before="0" w:after="0" w:line="400" w:lineRule="exact"/>
        <w:rPr>
          <w:b w:val="0"/>
          <w:bCs/>
          <w:sz w:val="21"/>
          <w:szCs w:val="21"/>
          <w:u w:val="none"/>
        </w:rPr>
      </w:pPr>
      <w:r>
        <w:rPr>
          <w:b w:val="0"/>
          <w:bCs/>
          <w:sz w:val="21"/>
          <w:szCs w:val="21"/>
          <w:u w:val="none"/>
        </w:rPr>
        <w:t xml:space="preserve">本项目核心机房内、楼宇光纤汇聚点的光纤跳线，均需使用可寻线类型的跳线，无需单独对线缆张贴纸质标签，但需提供核心机房内本次项目所建设设备的互联拓扑及互联描述文档。</w:t>
      </w:r>
      <w:r/>
    </w:p>
    <w:p>
      <w:pPr>
        <w:pStyle w:val="799"/>
        <w:numPr>
          <w:ilvl w:val="2"/>
          <w:numId w:val="8"/>
        </w:numPr>
        <w:spacing w:before="0" w:after="0" w:line="400" w:lineRule="exact"/>
        <w:rPr>
          <w:b w:val="0"/>
          <w:bCs/>
          <w:sz w:val="21"/>
          <w:szCs w:val="21"/>
          <w:u w:val="none"/>
        </w:rPr>
      </w:pPr>
      <w:r>
        <w:rPr>
          <w:b w:val="0"/>
          <w:bCs/>
          <w:sz w:val="21"/>
          <w:szCs w:val="21"/>
          <w:u w:val="none"/>
        </w:rPr>
        <w:t xml:space="preserve">多媒体箱内连接光接入设备的水晶头需添加水晶头护套</w:t>
      </w:r>
      <w:r/>
    </w:p>
    <w:p>
      <w:pPr>
        <w:pStyle w:val="799"/>
        <w:numPr>
          <w:ilvl w:val="2"/>
          <w:numId w:val="8"/>
        </w:numPr>
        <w:spacing w:before="0" w:after="0" w:line="400" w:lineRule="exact"/>
        <w:rPr>
          <w:b w:val="0"/>
          <w:bCs/>
          <w:sz w:val="21"/>
          <w:szCs w:val="21"/>
          <w:u w:val="none"/>
        </w:rPr>
      </w:pPr>
      <w:r>
        <w:rPr>
          <w:b w:val="0"/>
          <w:bCs/>
          <w:sz w:val="21"/>
          <w:szCs w:val="21"/>
          <w:u w:val="none"/>
        </w:rPr>
        <w:t xml:space="preserve">本项目所涉及箱体及柜体须使用快速查询方式进行标注及管理(便于手持终端现场快速查询)。</w:t>
      </w:r>
      <w:r/>
    </w:p>
    <w:p>
      <w:pPr>
        <w:pStyle w:val="799"/>
        <w:numPr>
          <w:ilvl w:val="2"/>
          <w:numId w:val="8"/>
        </w:numPr>
        <w:spacing w:before="0" w:after="0" w:line="400" w:lineRule="exact"/>
        <w:rPr>
          <w:b w:val="0"/>
          <w:bCs/>
          <w:sz w:val="21"/>
          <w:szCs w:val="21"/>
          <w:u w:val="none"/>
        </w:rPr>
      </w:pPr>
      <w:r>
        <w:rPr>
          <w:b w:val="0"/>
          <w:bCs/>
          <w:sz w:val="21"/>
          <w:szCs w:val="21"/>
          <w:u w:val="none"/>
        </w:rPr>
        <w:t xml:space="preserve">成交供应商在设备安装过程中如需进行打孔、切割、进户等有较大噪音及需要采购人现场配合的工作时，必须考虑招标人的实际情况，只能在事先约定的时间进场安装。</w:t>
      </w:r>
      <w:r/>
    </w:p>
    <w:p>
      <w:pPr>
        <w:pStyle w:val="799"/>
        <w:numPr>
          <w:ilvl w:val="2"/>
          <w:numId w:val="8"/>
        </w:numPr>
        <w:spacing w:before="0" w:after="0" w:line="400" w:lineRule="exact"/>
        <w:rPr>
          <w:b w:val="0"/>
          <w:bCs/>
          <w:sz w:val="21"/>
          <w:szCs w:val="21"/>
          <w:u w:val="none"/>
        </w:rPr>
      </w:pPr>
      <w:r>
        <w:rPr>
          <w:b w:val="0"/>
          <w:bCs/>
          <w:sz w:val="21"/>
          <w:szCs w:val="21"/>
          <w:u w:val="none"/>
        </w:rPr>
        <w:t xml:space="preserve">PVC管及线缆敷设：</w:t>
      </w:r>
      <w:r/>
    </w:p>
    <w:p>
      <w:pPr>
        <w:pStyle w:val="806"/>
        <w:numPr>
          <w:ilvl w:val="0"/>
          <w:numId w:val="11"/>
        </w:numPr>
        <w:ind w:firstLine="480"/>
        <w:spacing w:before="0" w:line="400" w:lineRule="exact"/>
        <w:rPr>
          <w:rFonts w:hint="eastAsia"/>
          <w:sz w:val="21"/>
        </w:rPr>
      </w:pPr>
      <w:r>
        <w:rPr>
          <w:sz w:val="21"/>
        </w:rPr>
        <w:t xml:space="preserve">每个点布放的线缆种类，数</w:t>
      </w:r>
      <w:r>
        <w:rPr>
          <w:color w:val="auto"/>
          <w:sz w:val="21"/>
        </w:rPr>
        <w:t xml:space="preserve">量必须严格按照</w:t>
      </w:r>
      <w:r>
        <w:rPr>
          <w:rFonts w:hint="eastAsia"/>
          <w:color w:val="auto"/>
          <w:sz w:val="21"/>
        </w:rPr>
        <w:t xml:space="preserve">投标供应商深化并经甲方确认后的</w:t>
      </w:r>
      <w:r>
        <w:rPr>
          <w:color w:val="auto"/>
          <w:sz w:val="21"/>
        </w:rPr>
        <w:t xml:space="preserve">设计图纸的要求执行；所有敷设的线缆两头要求进行标记，线缆长度必须留足，并要有一定的余量。</w:t>
      </w:r>
      <w:r/>
    </w:p>
    <w:p>
      <w:pPr>
        <w:pStyle w:val="806"/>
        <w:numPr>
          <w:ilvl w:val="0"/>
          <w:numId w:val="11"/>
        </w:numPr>
        <w:ind w:firstLine="480"/>
        <w:spacing w:before="0" w:line="400" w:lineRule="exact"/>
        <w:rPr>
          <w:rFonts w:hint="eastAsia"/>
          <w:sz w:val="21"/>
        </w:rPr>
      </w:pPr>
      <w:r>
        <w:rPr>
          <w:sz w:val="21"/>
        </w:rPr>
        <w:t xml:space="preserve">避免线缆弯曲超过90度；避免过紧的缠绕线缆；不可损坏线缆的外皮；不可切坏缆内的各单芯护套及芯线；对线缆的接续分接头或修理均不容许；损坏的或破裂的线缆必须除去；垂直干线如光缆敷设时,每隔1.5～2米用线扎固定在桥架内壁上，避免线缆自重损坏线缆；在牵引和绑扎线缆时，要求清除线缆上的应力，不要过紧的绑扎线缆。</w:t>
      </w:r>
      <w:r/>
    </w:p>
    <w:p>
      <w:pPr>
        <w:pStyle w:val="806"/>
        <w:ind w:firstLine="480"/>
        <w:spacing w:before="0" w:line="400" w:lineRule="exact"/>
        <w:rPr>
          <w:rFonts w:hint="eastAsia"/>
          <w:sz w:val="21"/>
        </w:rPr>
      </w:pPr>
      <w:r>
        <w:rPr>
          <w:sz w:val="21"/>
        </w:rPr>
        <w:t xml:space="preserve">除以上说明外，需按照国家GB/T50312-2000规范和相关的电气安装规范进行安装。</w:t>
      </w:r>
      <w:r/>
    </w:p>
    <w:p>
      <w:pPr>
        <w:pStyle w:val="799"/>
        <w:numPr>
          <w:ilvl w:val="2"/>
          <w:numId w:val="8"/>
        </w:numPr>
        <w:spacing w:before="0" w:after="0" w:line="400" w:lineRule="exact"/>
        <w:rPr>
          <w:b w:val="0"/>
          <w:bCs/>
          <w:sz w:val="21"/>
          <w:szCs w:val="21"/>
          <w:u w:val="none"/>
        </w:rPr>
      </w:pPr>
      <w:r>
        <w:rPr>
          <w:b w:val="0"/>
          <w:bCs/>
          <w:sz w:val="21"/>
          <w:szCs w:val="21"/>
          <w:u w:val="none"/>
        </w:rPr>
        <w:t xml:space="preserve">安装结束后，必须及时完成楼宇现场的恢复清理，确保墙面、楼道等整洁美观。</w:t>
      </w:r>
      <w:r/>
    </w:p>
    <w:p>
      <w:pPr>
        <w:pStyle w:val="799"/>
        <w:numPr>
          <w:ilvl w:val="2"/>
          <w:numId w:val="8"/>
        </w:numPr>
        <w:spacing w:before="0" w:after="0" w:line="400" w:lineRule="exact"/>
        <w:rPr>
          <w:b w:val="0"/>
          <w:bCs/>
          <w:sz w:val="21"/>
          <w:szCs w:val="21"/>
          <w:u w:val="none"/>
        </w:rPr>
      </w:pPr>
      <w:r>
        <w:rPr>
          <w:b w:val="0"/>
          <w:bCs/>
          <w:sz w:val="21"/>
          <w:szCs w:val="21"/>
          <w:u w:val="none"/>
        </w:rPr>
        <w:t xml:space="preserve">项目验收前，成交供应商须提供项目建设的完整文档资料，包括所有接入设备的安装部署图纸、整体拓扑结构、所有设备IP地址表、项目调试配置文档、线缆点位数据表，以便今后的管理和维护。</w:t>
      </w:r>
      <w:r/>
    </w:p>
    <w:p>
      <w:pPr>
        <w:pStyle w:val="799"/>
        <w:numPr>
          <w:ilvl w:val="1"/>
          <w:numId w:val="8"/>
        </w:numPr>
        <w:spacing w:before="0" w:after="0" w:line="400" w:lineRule="exact"/>
        <w:rPr>
          <w:rFonts w:hint="eastAsia" w:ascii="黑体" w:hAnsi="黑体" w:cs="黑体"/>
          <w:sz w:val="21"/>
          <w:szCs w:val="21"/>
          <w:u w:val="none"/>
        </w:rPr>
      </w:pPr>
      <w:r>
        <w:rPr>
          <w:sz w:val="21"/>
          <w:szCs w:val="21"/>
          <w:u w:val="none"/>
        </w:rPr>
        <w:t xml:space="preserve">室外光缆建设</w:t>
      </w:r>
      <w:r/>
    </w:p>
    <w:p>
      <w:pPr>
        <w:pStyle w:val="806"/>
        <w:ind w:firstLine="480"/>
        <w:spacing w:before="0" w:line="400" w:lineRule="exact"/>
        <w:rPr>
          <w:rFonts w:hint="eastAsia"/>
          <w:sz w:val="21"/>
        </w:rPr>
      </w:pPr>
      <w:r>
        <w:rPr>
          <w:sz w:val="21"/>
        </w:rPr>
        <w:t xml:space="preserve">本次项目需完成楼宇主干光缆建设以满足此次项目使用所需。相关需求如下：</w:t>
      </w:r>
      <w:r/>
    </w:p>
    <w:p>
      <w:pPr>
        <w:pStyle w:val="799"/>
        <w:numPr>
          <w:ilvl w:val="2"/>
          <w:numId w:val="8"/>
        </w:numPr>
        <w:spacing w:before="0" w:after="0" w:line="400" w:lineRule="exact"/>
        <w:rPr>
          <w:b w:val="0"/>
          <w:bCs/>
          <w:sz w:val="21"/>
          <w:szCs w:val="21"/>
          <w:u w:val="none"/>
        </w:rPr>
      </w:pPr>
      <w:r>
        <w:rPr>
          <w:b w:val="0"/>
          <w:bCs/>
          <w:sz w:val="21"/>
          <w:szCs w:val="21"/>
          <w:u w:val="none"/>
        </w:rPr>
        <w:t xml:space="preserve">汇聚点设置：光缆中心汇聚点为图文楼2楼中心机房，144芯*2到图文楼7楼中心机房；</w:t>
      </w:r>
      <w:r/>
    </w:p>
    <w:p>
      <w:pPr>
        <w:pStyle w:val="799"/>
        <w:numPr>
          <w:ilvl w:val="2"/>
          <w:numId w:val="8"/>
        </w:numPr>
        <w:spacing w:before="0" w:after="0" w:line="400" w:lineRule="exact"/>
        <w:rPr>
          <w:sz w:val="21"/>
        </w:rPr>
      </w:pPr>
      <w:r>
        <w:rPr>
          <w:b w:val="0"/>
          <w:bCs/>
          <w:sz w:val="21"/>
          <w:szCs w:val="21"/>
          <w:u w:val="none"/>
        </w:rPr>
        <w:t xml:space="preserve">区域汇聚点：根据学校要求和地勘情况设置，</w:t>
      </w:r>
      <w:r>
        <w:rPr>
          <w:rFonts w:hint="eastAsia"/>
          <w:b w:val="0"/>
          <w:bCs/>
          <w:sz w:val="21"/>
          <w:szCs w:val="21"/>
          <w:u w:val="none"/>
        </w:rPr>
        <w:t xml:space="preserve">教学楼汇聚和宿舍汇聚</w:t>
      </w:r>
      <w:r>
        <w:rPr>
          <w:b w:val="0"/>
          <w:bCs/>
          <w:sz w:val="21"/>
          <w:szCs w:val="21"/>
          <w:u w:val="none"/>
        </w:rPr>
        <w:t xml:space="preserve">144芯</w:t>
      </w:r>
      <w:r>
        <w:rPr>
          <w:rFonts w:hint="eastAsia"/>
          <w:b w:val="0"/>
          <w:bCs/>
          <w:sz w:val="21"/>
          <w:szCs w:val="21"/>
          <w:u w:val="none"/>
        </w:rPr>
        <w:t xml:space="preserve">、其它</w:t>
      </w:r>
      <w:r>
        <w:rPr>
          <w:b w:val="0"/>
          <w:bCs/>
          <w:sz w:val="21"/>
          <w:szCs w:val="21"/>
          <w:u w:val="none"/>
        </w:rPr>
        <w:t xml:space="preserve">汇聚</w:t>
      </w:r>
      <w:r>
        <w:rPr>
          <w:rFonts w:hint="eastAsia"/>
          <w:b w:val="0"/>
          <w:bCs/>
          <w:sz w:val="21"/>
          <w:szCs w:val="21"/>
          <w:u w:val="none"/>
        </w:rPr>
        <w:t xml:space="preserve">4</w:t>
      </w:r>
      <w:r>
        <w:rPr>
          <w:b w:val="0"/>
          <w:bCs/>
          <w:sz w:val="21"/>
          <w:szCs w:val="21"/>
          <w:u w:val="none"/>
        </w:rPr>
        <w:t xml:space="preserve">8芯到图文楼2楼；</w:t>
      </w:r>
      <w:r/>
    </w:p>
    <w:p>
      <w:pPr>
        <w:pStyle w:val="799"/>
        <w:numPr>
          <w:ilvl w:val="2"/>
          <w:numId w:val="8"/>
        </w:numPr>
        <w:spacing w:before="0" w:after="0" w:line="400" w:lineRule="exact"/>
        <w:rPr>
          <w:b w:val="0"/>
          <w:bCs/>
          <w:color w:val="auto"/>
          <w:sz w:val="21"/>
          <w:u w:val="none"/>
        </w:rPr>
      </w:pPr>
      <w:r>
        <w:rPr>
          <w:b w:val="0"/>
          <w:bCs/>
          <w:sz w:val="21"/>
          <w:u w:val="none"/>
        </w:rPr>
        <w:t xml:space="preserve">设计楼宇清单：到以下楼宇采用48芯室外光缆，图文楼、教学楼1号楼、教学楼2号楼、教学楼3号楼、学生宿舍15号楼、学生宿舍17号楼、学生宿舍21号楼、学生宿舍23号楼、师生公寓</w:t>
      </w:r>
      <w:r>
        <w:rPr>
          <w:b w:val="0"/>
          <w:bCs/>
          <w:color w:val="auto"/>
          <w:sz w:val="21"/>
          <w:u w:val="none"/>
        </w:rPr>
        <w:t xml:space="preserve">、华夏楼、财经综合楼、机电楼A、机电楼B、动漫楼、动漫楼外围、体育、后勤楼、食堂、看台、超市、洗衣房、锅炉房、大门-西侧、西门、宿舍区配电间、图书馆北面配电间、大门-东侧、东门、机电边配电间</w:t>
      </w:r>
      <w:r>
        <w:rPr>
          <w:rFonts w:hint="eastAsia"/>
          <w:b w:val="0"/>
          <w:bCs/>
          <w:color w:val="auto"/>
          <w:sz w:val="21"/>
          <w:u w:val="none"/>
        </w:rPr>
        <w:t xml:space="preserve">。</w:t>
      </w:r>
      <w:r/>
    </w:p>
    <w:p>
      <w:pPr>
        <w:pStyle w:val="799"/>
        <w:numPr>
          <w:ilvl w:val="1"/>
          <w:numId w:val="8"/>
        </w:numPr>
        <w:spacing w:before="0" w:after="0" w:line="400" w:lineRule="exact"/>
        <w:rPr>
          <w:rFonts w:hint="eastAsia" w:ascii="黑体" w:hAnsi="黑体" w:cs="黑体"/>
          <w:color w:val="auto"/>
          <w:sz w:val="21"/>
          <w:szCs w:val="21"/>
          <w:u w:val="none"/>
        </w:rPr>
      </w:pPr>
      <w:r>
        <w:rPr>
          <w:color w:val="auto"/>
          <w:sz w:val="21"/>
          <w:szCs w:val="21"/>
          <w:u w:val="none"/>
        </w:rPr>
        <w:t xml:space="preserve">管理功能提升建设</w:t>
      </w:r>
      <w:r/>
    </w:p>
    <w:p>
      <w:pPr>
        <w:pStyle w:val="806"/>
        <w:ind w:firstLine="480"/>
        <w:spacing w:before="0" w:line="400" w:lineRule="exact"/>
        <w:rPr>
          <w:rFonts w:hint="eastAsia"/>
          <w:color w:val="auto"/>
          <w:sz w:val="21"/>
        </w:rPr>
      </w:pPr>
      <w:r>
        <w:rPr>
          <w:color w:val="auto"/>
          <w:sz w:val="21"/>
        </w:rPr>
        <w:t xml:space="preserve">本次项目对现网及改造楼宇需要实现提升网络监控与可视化、智能化管理能力，配套设备链路综合运维与安全管理（包括：1、网络设备运维与日志分析；2、光链路可视管理；3、哑终端安全使用管理）。具体要求如下：</w:t>
      </w:r>
      <w:r/>
    </w:p>
    <w:p>
      <w:pPr>
        <w:pStyle w:val="806"/>
        <w:numPr>
          <w:ilvl w:val="0"/>
          <w:numId w:val="12"/>
        </w:numPr>
        <w:ind w:firstLine="480"/>
        <w:spacing w:before="0" w:line="400" w:lineRule="exact"/>
        <w:rPr>
          <w:rFonts w:hAnsi="Times New Roman"/>
          <w:bCs/>
          <w:sz w:val="21"/>
        </w:rPr>
      </w:pPr>
      <w:r>
        <w:rPr>
          <w:rFonts w:hAnsi="Times New Roman"/>
          <w:bCs/>
          <w:color w:val="auto"/>
          <w:sz w:val="21"/>
        </w:rPr>
        <w:t xml:space="preserve">可实现对网络维护工作起到督促作</w:t>
      </w:r>
      <w:r>
        <w:rPr>
          <w:rFonts w:hAnsi="Times New Roman"/>
          <w:bCs/>
          <w:sz w:val="21"/>
        </w:rPr>
        <w:t xml:space="preserve">用，支持对出口流量、核心网络、无线网络、光网络的可视化快速巡检。</w:t>
      </w:r>
      <w:r/>
    </w:p>
    <w:p>
      <w:pPr>
        <w:pStyle w:val="806"/>
        <w:numPr>
          <w:ilvl w:val="0"/>
          <w:numId w:val="12"/>
        </w:numPr>
        <w:ind w:firstLine="480"/>
        <w:spacing w:before="0" w:line="400" w:lineRule="exact"/>
        <w:rPr>
          <w:rFonts w:hint="eastAsia"/>
          <w:bCs/>
          <w:sz w:val="21"/>
        </w:rPr>
      </w:pPr>
      <w:r>
        <w:rPr>
          <w:bCs/>
          <w:sz w:val="21"/>
        </w:rPr>
        <w:t xml:space="preserve">可实现对网络建设工作起到检查作用，支持对光网设备分布情况的可视化展现，支持对设备的在线/离线状态及时间的展现，设备端口光衰数据的展现。</w:t>
      </w:r>
      <w:r/>
    </w:p>
    <w:p>
      <w:pPr>
        <w:pStyle w:val="806"/>
        <w:numPr>
          <w:ilvl w:val="0"/>
          <w:numId w:val="12"/>
        </w:numPr>
        <w:ind w:firstLine="480"/>
        <w:spacing w:before="0" w:line="400" w:lineRule="exact"/>
        <w:rPr>
          <w:rFonts w:hint="eastAsia"/>
          <w:bCs/>
          <w:sz w:val="21"/>
        </w:rPr>
      </w:pPr>
      <w:r>
        <w:rPr>
          <w:bCs/>
          <w:sz w:val="21"/>
        </w:rPr>
        <w:t xml:space="preserve">可实现对用户使用网络起到监督作用，支持记录用户入网连接位置信息、连接时长，快速展现入网感知。</w:t>
      </w:r>
      <w:r/>
    </w:p>
    <w:p>
      <w:pPr>
        <w:pStyle w:val="806"/>
        <w:numPr>
          <w:ilvl w:val="0"/>
          <w:numId w:val="12"/>
        </w:numPr>
        <w:ind w:firstLine="480"/>
        <w:spacing w:before="0" w:line="400" w:lineRule="exact"/>
        <w:rPr>
          <w:rFonts w:hint="eastAsia"/>
          <w:bCs/>
          <w:sz w:val="21"/>
        </w:rPr>
      </w:pPr>
      <w:r>
        <w:rPr>
          <w:bCs/>
          <w:sz w:val="21"/>
        </w:rPr>
        <w:t xml:space="preserve">实现通过快速查询方式(便于手持终端现场快速查询)，自动化采集并登记端口及互联信息，包括但不限于项目名称、设备基础参数、链路连接关系、端口使用状态等。</w:t>
      </w:r>
      <w:r/>
    </w:p>
    <w:p>
      <w:pPr>
        <w:pStyle w:val="806"/>
        <w:numPr>
          <w:ilvl w:val="0"/>
          <w:numId w:val="12"/>
        </w:numPr>
        <w:ind w:firstLine="480"/>
        <w:spacing w:before="0" w:line="400" w:lineRule="exact"/>
        <w:rPr>
          <w:rFonts w:hint="eastAsia"/>
          <w:bCs/>
          <w:sz w:val="21"/>
        </w:rPr>
      </w:pPr>
      <w:r>
        <w:rPr>
          <w:bCs/>
          <w:sz w:val="21"/>
        </w:rPr>
        <w:t xml:space="preserve">可实现快速查询方式，实时、准确展现机柜内设备基本信息，包含设备品牌、型号、规格、硬件配置等。</w:t>
      </w:r>
      <w:r/>
    </w:p>
    <w:p>
      <w:pPr>
        <w:pStyle w:val="806"/>
        <w:numPr>
          <w:ilvl w:val="0"/>
          <w:numId w:val="12"/>
        </w:numPr>
        <w:ind w:firstLine="480"/>
        <w:spacing w:before="0" w:line="400" w:lineRule="exact"/>
        <w:rPr>
          <w:rFonts w:hint="eastAsia"/>
          <w:bCs/>
          <w:sz w:val="21"/>
        </w:rPr>
      </w:pPr>
      <w:r>
        <w:rPr>
          <w:bCs/>
          <w:sz w:val="21"/>
        </w:rPr>
        <w:t xml:space="preserve">可实现多媒体箱使用快速查询方式 (便于手持终端现场快速查询)，展现该多媒体箱内接入设备名称、序列号、MAC 地址、设备所在楼宇、安装位置等基本信息。</w:t>
      </w:r>
      <w:r/>
    </w:p>
    <w:p>
      <w:pPr>
        <w:pStyle w:val="806"/>
        <w:numPr>
          <w:ilvl w:val="0"/>
          <w:numId w:val="12"/>
        </w:numPr>
        <w:ind w:firstLine="480"/>
        <w:spacing w:before="0" w:line="400" w:lineRule="exact"/>
        <w:rPr>
          <w:rFonts w:hint="eastAsia"/>
          <w:bCs/>
          <w:sz w:val="21"/>
        </w:rPr>
      </w:pPr>
      <w:r>
        <w:rPr>
          <w:bCs/>
          <w:sz w:val="21"/>
        </w:rPr>
        <w:t xml:space="preserve">可实现所有在线设备自动发现设备的端口使用情况，实现所有设备的可视化。</w:t>
      </w:r>
      <w:r/>
    </w:p>
    <w:p>
      <w:pPr>
        <w:pStyle w:val="806"/>
        <w:numPr>
          <w:ilvl w:val="0"/>
          <w:numId w:val="12"/>
        </w:numPr>
        <w:ind w:firstLine="480"/>
        <w:spacing w:before="0" w:line="400" w:lineRule="exact"/>
        <w:rPr>
          <w:rFonts w:hint="eastAsia"/>
          <w:bCs/>
          <w:sz w:val="21"/>
        </w:rPr>
      </w:pPr>
      <w:r>
        <w:rPr>
          <w:bCs/>
          <w:sz w:val="21"/>
        </w:rPr>
        <w:t xml:space="preserve">可实现光纤使用的记录可视化，使用电子配线架同时可以实现光路的自动检测光纤端口的使用情况。</w:t>
      </w:r>
      <w:r/>
    </w:p>
    <w:p>
      <w:pPr>
        <w:pStyle w:val="806"/>
        <w:numPr>
          <w:ilvl w:val="0"/>
          <w:numId w:val="12"/>
        </w:numPr>
        <w:ind w:firstLine="480"/>
        <w:spacing w:before="0" w:line="400" w:lineRule="exact"/>
        <w:rPr>
          <w:rFonts w:hint="eastAsia"/>
          <w:bCs/>
          <w:sz w:val="21"/>
        </w:rPr>
      </w:pPr>
      <w:r>
        <w:rPr>
          <w:bCs/>
          <w:sz w:val="21"/>
        </w:rPr>
        <w:t xml:space="preserve">可实现资产使用的可视化统计，并且为后期学校的数字化建设提供底层数据。</w:t>
      </w:r>
      <w:r/>
    </w:p>
    <w:p>
      <w:pPr>
        <w:pStyle w:val="806"/>
        <w:numPr>
          <w:ilvl w:val="0"/>
          <w:numId w:val="12"/>
        </w:numPr>
        <w:ind w:firstLine="480"/>
        <w:spacing w:before="0" w:line="400" w:lineRule="exact"/>
        <w:rPr>
          <w:rFonts w:hint="eastAsia"/>
          <w:sz w:val="21"/>
        </w:rPr>
      </w:pPr>
      <w:r>
        <w:rPr>
          <w:bCs/>
          <w:sz w:val="21"/>
        </w:rPr>
        <w:t xml:space="preserve">可实现对哑终端类设备地址分配、绑定或白名单等功能，实现安全管理。</w:t>
      </w:r>
      <w:r/>
    </w:p>
    <w:p>
      <w:pPr>
        <w:pStyle w:val="1084"/>
        <w:numPr>
          <w:ilvl w:val="0"/>
          <w:numId w:val="5"/>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13"/>
        </w:numPr>
        <w:spacing w:line="276"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基本要求：</w:t>
      </w:r>
      <w:r/>
    </w:p>
    <w:tbl>
      <w:tblPr>
        <w:tblStyle w:val="802"/>
        <w:tblW w:w="8282" w:type="dxa"/>
        <w:tblInd w:w="100" w:type="dxa"/>
        <w:tblLayout w:type="fixed"/>
        <w:tblCellMar>
          <w:left w:w="108" w:type="dxa"/>
          <w:top w:w="0" w:type="dxa"/>
          <w:right w:w="108" w:type="dxa"/>
          <w:bottom w:w="0" w:type="dxa"/>
        </w:tblCellMar>
        <w:tblLook w:val="04A0" w:firstRow="1" w:lastRow="0" w:firstColumn="1" w:lastColumn="0" w:noHBand="0" w:noVBand="1"/>
      </w:tblPr>
      <w:tblGrid>
        <w:gridCol w:w="878"/>
        <w:gridCol w:w="5016"/>
        <w:gridCol w:w="1143"/>
        <w:gridCol w:w="1245"/>
      </w:tblGrid>
      <w:tr>
        <w:trPr>
          <w:trHeight w:val="90"/>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val="false"/>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bidi="ar"/>
              </w:rPr>
              <w:t xml:space="preserve">数量</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以太光汇聚交换机（核心产品）</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套</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8口光接入设备</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480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24口光接入设备</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光模块</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配套全光网络、万兆</w:t>
            </w:r>
            <w:r>
              <w:rPr>
                <w:rFonts w:hint="eastAsia" w:asciiTheme="minorEastAsia" w:hAnsiTheme="minorEastAsia" w:eastAsiaTheme="minorEastAsia" w:cstheme="minorEastAsia"/>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528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bookmarkStart w:id="198" w:name="OLE_LINK5"/>
            <w:r/>
            <w:bookmarkStart w:id="199" w:name="OLE_LINK4"/>
            <w:r>
              <w:rPr>
                <w:rFonts w:hint="eastAsia" w:asciiTheme="minorEastAsia" w:hAnsiTheme="minorEastAsia" w:eastAsiaTheme="minorEastAsia" w:cstheme="minorEastAsia"/>
                <w:highlight w:val="none"/>
              </w:rPr>
              <w:t xml:space="preserve">单模万兆光模块</w:t>
            </w:r>
            <w:bookmarkEnd w:id="198"/>
            <w:r/>
            <w:bookmarkEnd w:id="199"/>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套</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台</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37000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单开门多媒体箱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237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双开门多媒体箱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4口熔接盒</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461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法兰盘</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3688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单芯尾纤</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3688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LC-LC-60公分-单模光纤跳线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461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LC-LC-1米-单模光纤跳线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590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LC-LC-10米-单模光纤跳线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六类网线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箱</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六类水晶头</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阴阳式衰减器</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单口面板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987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24</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双口面板</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25</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六类模块</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26</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明装配电箱</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RVV3*1</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9000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C32/断路器/D</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C16/断路器/D</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86明盒</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1070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个</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辅材线槽</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6500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32</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48芯室外单模光缆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6800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33</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144芯室外单模光缆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34</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LC单芯尾纤</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1728</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90"/>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35</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110</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36</w:t>
            </w:r>
            <w:r/>
          </w:p>
        </w:tc>
        <w:tc>
          <w:tcPr>
            <w:tcBorders>
              <w:top w:val="single" w:color="000000" w:sz="4" w:space="0"/>
              <w:left w:val="single" w:color="000000" w:sz="4" w:space="0"/>
              <w:bottom w:val="single" w:color="000000" w:sz="4" w:space="0"/>
              <w:right w:val="single" w:color="000000" w:sz="4" w:space="0"/>
            </w:tcBorders>
            <w:tcW w:w="5016" w:type="dxa"/>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桥架线管</w:t>
            </w:r>
            <w:r/>
          </w:p>
        </w:tc>
        <w:tc>
          <w:tcPr>
            <w:tcBorders>
              <w:top w:val="single" w:color="000000" w:sz="4" w:space="0"/>
              <w:left w:val="single" w:color="000000" w:sz="4" w:space="0"/>
              <w:bottom w:val="single" w:color="000000" w:sz="4" w:space="0"/>
              <w:right w:val="single" w:color="000000" w:sz="4" w:space="0"/>
            </w:tcBorders>
            <w:tcW w:w="1143"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3245</w:t>
            </w:r>
            <w:r/>
          </w:p>
        </w:tc>
        <w:tc>
          <w:tcPr>
            <w:tcBorders>
              <w:top w:val="single" w:color="000000" w:sz="4" w:space="0"/>
              <w:left w:val="single" w:color="000000" w:sz="4" w:space="0"/>
              <w:bottom w:val="single" w:color="000000" w:sz="4" w:space="0"/>
              <w:right w:val="single" w:color="000000" w:sz="4" w:space="0"/>
            </w:tcBorders>
            <w:tcW w:w="1245" w:type="dxa"/>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米</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37</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设备拆除</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38</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光纤链路测试</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39</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铜缆链路测试</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r>
        <w:trPr>
          <w:trHeight w:val="255"/>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40</w:t>
            </w:r>
            <w:r/>
          </w:p>
        </w:tc>
        <w:tc>
          <w:tcPr>
            <w:tcBorders>
              <w:top w:val="single" w:color="000000" w:sz="4" w:space="0"/>
              <w:left w:val="single" w:color="000000" w:sz="4" w:space="0"/>
              <w:bottom w:val="single" w:color="000000" w:sz="4" w:space="0"/>
              <w:right w:val="single" w:color="000000" w:sz="4" w:space="0"/>
            </w:tcBorders>
            <w:tcW w:w="5016" w:type="dxa"/>
            <w:vAlign w:val="center"/>
            <w:textDirection w:val="lrTb"/>
            <w:noWrap/>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光纤熔接</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5416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点</w:t>
            </w:r>
            <w:r/>
          </w:p>
        </w:tc>
      </w:tr>
    </w:tbl>
    <w:p>
      <w:pPr>
        <w:ind w:left="420"/>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802"/>
        <w:tblW w:w="8771" w:type="dxa"/>
        <w:jc w:val="center"/>
        <w:tblLayout w:type="fixed"/>
        <w:tblCellMar>
          <w:left w:w="108" w:type="dxa"/>
          <w:top w:w="0" w:type="dxa"/>
          <w:right w:w="108" w:type="dxa"/>
          <w:bottom w:w="0" w:type="dxa"/>
        </w:tblCellMar>
        <w:tblLook w:val="04A0" w:firstRow="1" w:lastRow="0" w:firstColumn="1" w:lastColumn="0" w:noHBand="0" w:noVBand="1"/>
      </w:tblPr>
      <w:tblGrid>
        <w:gridCol w:w="642"/>
        <w:gridCol w:w="1571"/>
        <w:gridCol w:w="6558"/>
      </w:tblGrid>
      <w:tr>
        <w:trPr>
          <w:jc w:val="center"/>
          <w:trHeight w:val="255"/>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宋体" w:hAnsi="宋体" w:cs="宋体"/>
                <w:b/>
                <w:bCs/>
              </w:rPr>
            </w:pPr>
            <w:r/>
            <w:bookmarkStart w:id="200" w:name="_Toc23334"/>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宋体" w:hAnsi="宋体" w:cs="宋体"/>
                <w:b/>
                <w:bCs/>
              </w:rPr>
            </w:pPr>
            <w:r>
              <w:rPr>
                <w:rFonts w:hint="eastAsia" w:ascii="宋体" w:hAnsi="宋体" w:cs="宋体"/>
                <w:b/>
                <w:bCs/>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center"/>
              <w:spacing w:line="400" w:lineRule="exact"/>
              <w:widowControl/>
              <w:rPr>
                <w:rFonts w:hint="eastAsia" w:ascii="宋体" w:hAnsi="宋体" w:cs="宋体"/>
                <w:b/>
                <w:bCs/>
              </w:rPr>
            </w:pPr>
            <w:r>
              <w:rPr>
                <w:rFonts w:hint="eastAsia" w:ascii="宋体" w:hAnsi="宋体" w:cs="宋体"/>
                <w:b/>
                <w:bCs/>
                <w:lang w:bidi="ar"/>
              </w:rPr>
              <w:t xml:space="preserve">规格参数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 xml:space="preserve">以太光汇聚交换机（核心产品）</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auto"/>
              </w:rPr>
              <w:t xml:space="preserve">★1.性能要求：</w:t>
            </w:r>
            <w:bookmarkStart w:id="201" w:name="OLE_LINK20"/>
            <w:r/>
            <w:bookmarkStart w:id="202" w:name="OLE_LINK19"/>
            <w:r>
              <w:rPr>
                <w:rFonts w:hint="eastAsia" w:ascii="宋体" w:hAnsi="宋体" w:cs="宋体"/>
                <w:color w:val="auto"/>
              </w:rPr>
              <w:t xml:space="preserve">总包转发率</w:t>
            </w:r>
            <w:bookmarkEnd w:id="201"/>
            <w:r/>
            <w:bookmarkEnd w:id="202"/>
            <w:r>
              <w:rPr>
                <w:rFonts w:hint="eastAsia" w:ascii="宋体" w:hAnsi="宋体" w:cs="宋体"/>
                <w:color w:val="auto"/>
              </w:rPr>
              <w:t xml:space="preserve">≧21600（或7200*3）Mpps，</w:t>
            </w:r>
            <w:bookmarkStart w:id="203" w:name="OLE_LINK21"/>
            <w:r/>
            <w:bookmarkStart w:id="204" w:name="OLE_LINK22"/>
            <w:r>
              <w:rPr>
                <w:rFonts w:hint="eastAsia" w:ascii="宋体" w:hAnsi="宋体" w:cs="宋体"/>
                <w:color w:val="auto"/>
              </w:rPr>
              <w:t xml:space="preserve">总交换容量</w:t>
            </w:r>
            <w:bookmarkEnd w:id="203"/>
            <w:r/>
            <w:bookmarkEnd w:id="204"/>
            <w:r>
              <w:rPr>
                <w:rFonts w:hint="eastAsia" w:ascii="宋体" w:hAnsi="宋体" w:cs="宋体"/>
                <w:color w:val="auto"/>
              </w:rPr>
              <w:t xml:space="preserve">≧114（或38*3）Tbps。</w:t>
            </w: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p>
          <w:p>
            <w:pPr>
              <w:jc w:val="left"/>
              <w:spacing w:line="400" w:lineRule="exact"/>
              <w:widowControl/>
              <w:rPr>
                <w:rFonts w:hint="eastAsia" w:ascii="宋体" w:hAnsi="宋体" w:cs="宋体"/>
              </w:rPr>
            </w:pPr>
            <w:r>
              <w:rPr>
                <w:rFonts w:hint="eastAsia" w:ascii="宋体" w:hAnsi="宋体" w:cs="宋体"/>
              </w:rPr>
              <w:t xml:space="preserve">★2.配置要求：满配电源、满配风扇，万兆光接口≥</w:t>
            </w:r>
            <w:r>
              <w:rPr>
                <w:rFonts w:ascii="宋体" w:hAnsi="宋体" w:cs="宋体"/>
              </w:rPr>
              <w:t xml:space="preserve">12</w:t>
            </w:r>
            <w:r>
              <w:rPr>
                <w:rFonts w:hint="eastAsia" w:ascii="宋体" w:hAnsi="宋体" w:cs="宋体"/>
              </w:rPr>
              <w:t xml:space="preserve">，配置分光后≥288个10G光接入设备的连接能力（含模块，LC接口），满足接入端264台交换机接入需求（提供承诺函并加盖供应商公章并加盖供应商公章）</w:t>
            </w:r>
            <w:r/>
          </w:p>
          <w:p>
            <w:pPr>
              <w:jc w:val="left"/>
              <w:spacing w:line="400" w:lineRule="exact"/>
              <w:widowControl/>
              <w:rPr>
                <w:rFonts w:hint="eastAsia" w:ascii="宋体" w:hAnsi="宋体" w:cs="宋体"/>
              </w:rPr>
            </w:pPr>
            <w:r/>
            <w:bookmarkStart w:id="205" w:name="OLE_LINK33"/>
            <w:r/>
            <w:bookmarkStart w:id="206" w:name="OLE_LINK34"/>
            <w:r>
              <w:rPr>
                <w:rFonts w:hint="eastAsia" w:ascii="宋体" w:hAnsi="宋体" w:cs="宋体"/>
              </w:rPr>
              <w:t xml:space="preserve">3.汇聚设备双上行至双核心；确保能与学校现有核心交换机（华为12708）使用标准协议互联，提供承诺函并加盖供应商公章。</w:t>
            </w:r>
            <w:bookmarkEnd w:id="205"/>
            <w:r/>
            <w:bookmarkEnd w:id="206"/>
            <w:r/>
            <w:r/>
          </w:p>
          <w:p>
            <w:pPr>
              <w:jc w:val="left"/>
              <w:spacing w:line="400" w:lineRule="exact"/>
              <w:widowControl/>
              <w:rPr>
                <w:rFonts w:hint="eastAsia" w:ascii="宋体" w:hAnsi="宋体" w:cs="宋体"/>
              </w:rPr>
            </w:pPr>
            <w:r>
              <w:rPr>
                <w:rFonts w:hint="eastAsia" w:ascii="宋体" w:hAnsi="宋体" w:cs="宋体"/>
              </w:rPr>
              <w:t xml:space="preserve">4.支持IPv4/IPv6双协议栈；支持IPv6静态路由、RIPng、OSPFv3、BGP+、IPv6 IS-IS。</w:t>
            </w:r>
            <w:r/>
          </w:p>
          <w:p>
            <w:pPr>
              <w:jc w:val="left"/>
              <w:spacing w:line="400" w:lineRule="exact"/>
              <w:widowControl/>
              <w:rPr>
                <w:rFonts w:hint="eastAsia" w:ascii="宋体" w:hAnsi="宋体" w:cs="宋体"/>
                <w:color w:val="auto"/>
              </w:rPr>
            </w:pPr>
            <w:r>
              <w:rPr>
                <w:rFonts w:hint="eastAsia" w:ascii="宋体" w:hAnsi="宋体" w:cs="宋体"/>
              </w:rPr>
              <w:t xml:space="preserve">5</w:t>
            </w:r>
            <w:r>
              <w:rPr>
                <w:rFonts w:hint="eastAsia" w:ascii="宋体" w:hAnsi="宋体" w:cs="宋体"/>
                <w:color w:val="auto"/>
              </w:rPr>
              <w:t xml:space="preserve">.支持MAC地址认证、802.1X认证。</w:t>
            </w:r>
            <w:r/>
          </w:p>
          <w:p>
            <w:pPr>
              <w:pStyle w:val="803"/>
              <w:ind w:firstLine="0"/>
              <w:rPr>
                <w:rFonts w:hint="eastAsia" w:ascii="宋体" w:hAnsi="宋体" w:cs="宋体"/>
                <w:color w:val="auto"/>
                <w:sz w:val="21"/>
                <w:szCs w:val="21"/>
              </w:rPr>
            </w:pPr>
            <w:r/>
            <w:bookmarkStart w:id="207" w:name="OLE_LINK16"/>
            <w:r/>
            <w:bookmarkStart w:id="208" w:name="OLE_LINK15"/>
            <w:r>
              <w:rPr>
                <w:rFonts w:hint="eastAsia" w:ascii="宋体" w:hAnsi="宋体" w:cs="宋体"/>
                <w:color w:val="auto"/>
                <w:sz w:val="21"/>
                <w:szCs w:val="21"/>
              </w:rPr>
              <w:t xml:space="preserve">▲</w:t>
            </w:r>
            <w:bookmarkEnd w:id="207"/>
            <w:r/>
            <w:bookmarkEnd w:id="208"/>
            <w:r>
              <w:rPr>
                <w:rFonts w:hint="eastAsia" w:ascii="宋体" w:hAnsi="宋体" w:cs="宋体"/>
                <w:color w:val="auto"/>
                <w:sz w:val="21"/>
                <w:szCs w:val="21"/>
              </w:rPr>
              <w:t xml:space="preserve">6.采用CLOS交换架构。提供原厂白皮书或者产品画册或者（产品官网链接和截图）证明材料并加盖投标人公章。</w:t>
            </w:r>
            <w:r/>
          </w:p>
          <w:p>
            <w:pPr>
              <w:pStyle w:val="803"/>
              <w:ind w:firstLine="0"/>
              <w:rPr>
                <w:rFonts w:hint="eastAsia"/>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eastAsia="zh-CN"/>
              </w:rPr>
              <w:t xml:space="preserve">投标</w:t>
            </w:r>
            <w:r>
              <w:rPr>
                <w:rFonts w:hint="eastAsia" w:asciiTheme="minorEastAsia" w:hAnsiTheme="minorEastAsia" w:eastAsiaTheme="minorEastAsia" w:cstheme="minorEastAsia"/>
                <w:color w:val="auto"/>
                <w:sz w:val="21"/>
                <w:szCs w:val="21"/>
                <w:lang w:bidi="ar"/>
              </w:rPr>
              <w:t xml:space="preserve">时须提供：进网许可证清晰扫描件；工信部官网查询结果截图，显示设备型号、生产企业、许可证编号及状态为“有效”。</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8口光接入设备</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000000"/>
              </w:rPr>
            </w:pPr>
            <w:r>
              <w:rPr>
                <w:rFonts w:hint="eastAsia" w:ascii="宋体" w:hAnsi="宋体" w:cs="宋体"/>
              </w:rPr>
              <w:t xml:space="preserve">★1.整机要求：千兆电口≥8，万兆光口≥1；支持POE、POE+，整机POE供电功率≥120W；无风扇设计；包转发率≥105Mpps，交换容量≥6.72Tbps。</w:t>
            </w: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p>
          <w:p>
            <w:pPr>
              <w:jc w:val="left"/>
              <w:spacing w:line="400" w:lineRule="exact"/>
              <w:widowControl/>
              <w:rPr>
                <w:rFonts w:hint="eastAsia" w:ascii="宋体" w:hAnsi="宋体" w:cs="宋体"/>
              </w:rPr>
            </w:pPr>
            <w:r>
              <w:rPr>
                <w:rFonts w:hint="eastAsia" w:ascii="宋体" w:hAnsi="宋体" w:cs="宋体"/>
              </w:rPr>
              <w:t xml:space="preserve">2.无风扇静音设计，自然散热；</w:t>
            </w:r>
            <w:r/>
          </w:p>
          <w:p>
            <w:pPr>
              <w:jc w:val="left"/>
              <w:spacing w:line="400" w:lineRule="exact"/>
              <w:widowControl/>
              <w:rPr>
                <w:rFonts w:hint="eastAsia" w:ascii="宋体" w:hAnsi="宋体" w:cs="宋体"/>
              </w:rPr>
            </w:pPr>
            <w:r>
              <w:rPr>
                <w:rFonts w:hint="eastAsia" w:ascii="宋体" w:hAnsi="宋体" w:cs="宋体"/>
              </w:rPr>
              <w:t xml:space="preserve">3.支持静态MAC地址、支持MAC地址过滤；</w:t>
            </w:r>
            <w:r/>
          </w:p>
          <w:p>
            <w:pPr>
              <w:jc w:val="left"/>
              <w:spacing w:line="400" w:lineRule="exact"/>
              <w:widowControl/>
              <w:rPr>
                <w:rFonts w:hint="eastAsia" w:ascii="宋体" w:hAnsi="宋体" w:cs="宋体"/>
              </w:rPr>
            </w:pPr>
            <w:r>
              <w:rPr>
                <w:rFonts w:hint="eastAsia" w:ascii="宋体" w:hAnsi="宋体" w:cs="宋体"/>
              </w:rPr>
              <w:t xml:space="preserve">4.支持QinQ；</w:t>
            </w:r>
            <w:r/>
          </w:p>
          <w:p>
            <w:pPr>
              <w:jc w:val="left"/>
              <w:spacing w:line="400" w:lineRule="exact"/>
              <w:widowControl/>
              <w:rPr>
                <w:rFonts w:hint="eastAsia" w:ascii="宋体" w:hAnsi="宋体" w:cs="宋体"/>
              </w:rPr>
            </w:pPr>
            <w:r>
              <w:rPr>
                <w:rFonts w:hint="eastAsia" w:ascii="宋体" w:hAnsi="宋体" w:cs="宋体"/>
              </w:rPr>
              <w:t xml:space="preserve">5.支持DHCP Server；静态路由、RIP、RIPng、OSPF、OSPFv3协议。</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24口光接入设备</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★1.整机要求：包转发率≥171Mpps，交换容量≥6.72Tbps。（提供官网截图或者产品彩页，材料需并加盖投标人公章）</w:t>
            </w:r>
            <w:r/>
          </w:p>
          <w:p>
            <w:pPr>
              <w:jc w:val="left"/>
              <w:spacing w:line="400" w:lineRule="exact"/>
              <w:widowControl/>
              <w:rPr>
                <w:rFonts w:hint="eastAsia" w:ascii="宋体" w:hAnsi="宋体" w:cs="宋体"/>
              </w:rPr>
            </w:pPr>
            <w:r>
              <w:rPr>
                <w:rFonts w:hint="eastAsia" w:ascii="宋体" w:hAnsi="宋体" w:cs="宋体"/>
              </w:rPr>
              <w:t xml:space="preserve">2.支持千兆电口≥24，万兆光口≥4</w:t>
            </w:r>
            <w:r/>
          </w:p>
          <w:p>
            <w:pPr>
              <w:jc w:val="left"/>
              <w:spacing w:line="400" w:lineRule="exact"/>
              <w:widowControl/>
              <w:rPr>
                <w:rFonts w:hint="eastAsia" w:ascii="宋体" w:hAnsi="宋体" w:cs="宋体"/>
              </w:rPr>
            </w:pPr>
            <w:r>
              <w:rPr>
                <w:rFonts w:hint="eastAsia" w:ascii="宋体" w:hAnsi="宋体" w:cs="宋体"/>
              </w:rPr>
              <w:t xml:space="preserve">★3.支持PoE+供电，整机PoE功率≥370W（提供官网截图或者产品彩页，材料需并加盖投标人公章）</w:t>
            </w:r>
            <w:r/>
          </w:p>
          <w:p>
            <w:pPr>
              <w:jc w:val="left"/>
              <w:spacing w:line="400" w:lineRule="exact"/>
              <w:widowControl/>
              <w:rPr>
                <w:rFonts w:hint="eastAsia" w:ascii="宋体" w:hAnsi="宋体" w:cs="宋体"/>
              </w:rPr>
            </w:pPr>
            <w:r>
              <w:rPr>
                <w:rFonts w:hint="eastAsia" w:ascii="宋体" w:hAnsi="宋体" w:cs="宋体"/>
              </w:rPr>
              <w:t xml:space="preserve">4.支持802.1Q VLAN；支持静态MAC地址、支持MAC地址过滤；支持QinQ；</w:t>
            </w:r>
            <w:r>
              <w:rPr>
                <w:rFonts w:ascii="宋体" w:hAnsi="宋体" w:cs="宋体"/>
              </w:rPr>
              <w:t xml:space="preserve"> </w:t>
            </w:r>
            <w:r/>
          </w:p>
          <w:p>
            <w:pPr>
              <w:jc w:val="left"/>
              <w:spacing w:line="400" w:lineRule="exact"/>
              <w:widowControl/>
              <w:rPr>
                <w:rFonts w:hint="eastAsia" w:ascii="宋体" w:hAnsi="宋体" w:cs="宋体"/>
              </w:rPr>
            </w:pPr>
            <w:r>
              <w:rPr>
                <w:rFonts w:hint="eastAsia" w:ascii="宋体" w:hAnsi="宋体" w:cs="宋体"/>
              </w:rPr>
              <w:t xml:space="preserve">5.支持DHCP Server；静态路由、RIP、RIPng、OSPF、OSPFv3协议。</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 xml:space="preserve">光模块</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配套全光网络、万兆</w:t>
            </w:r>
            <w:r>
              <w:rPr>
                <w:rFonts w:hint="eastAsia" w:asciiTheme="minorEastAsia" w:hAnsiTheme="minorEastAsia" w:eastAsiaTheme="minorEastAsia" w:cstheme="minorEastAsia"/>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1.与汇聚交换机的聚合模块配套使用，分光器(无源汇聚)放置在楼栋侧；</w:t>
            </w:r>
            <w:r/>
          </w:p>
          <w:p>
            <w:pPr>
              <w:jc w:val="left"/>
              <w:spacing w:line="400" w:lineRule="exact"/>
              <w:widowControl/>
              <w:rPr>
                <w:rFonts w:hint="eastAsia" w:ascii="宋体" w:hAnsi="宋体" w:cs="宋体"/>
                <w:color w:val="auto"/>
              </w:rPr>
            </w:pPr>
            <w:r>
              <w:rPr>
                <w:rFonts w:hint="eastAsia" w:ascii="宋体" w:hAnsi="宋体" w:cs="宋体"/>
                <w:color w:val="auto"/>
              </w:rPr>
              <w:t xml:space="preserve">2.10G LC单模光模块，传输距离≥</w:t>
            </w:r>
            <w:r>
              <w:rPr>
                <w:rFonts w:ascii="宋体" w:hAnsi="宋体" w:cs="宋体"/>
                <w:color w:val="auto"/>
              </w:rPr>
              <w:t xml:space="preserve">8</w:t>
            </w:r>
            <w:r>
              <w:rPr>
                <w:rFonts w:hint="eastAsia" w:ascii="宋体" w:hAnsi="宋体" w:cs="宋体"/>
                <w:color w:val="auto"/>
              </w:rPr>
              <w:t xml:space="preserve">km。</w:t>
            </w:r>
            <w:r/>
          </w:p>
          <w:p>
            <w:pPr>
              <w:jc w:val="left"/>
              <w:spacing w:line="400" w:lineRule="exact"/>
              <w:widowControl/>
              <w:rPr>
                <w:rFonts w:hint="eastAsia"/>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光模块序列号官网可查。</w:t>
            </w:r>
            <w:r>
              <w:rPr>
                <w:rFonts w:hint="eastAsia" w:ascii="宋体" w:hAnsi="宋体" w:cs="宋体"/>
                <w:b/>
                <w:bCs/>
                <w:color w:val="auto"/>
              </w:rPr>
              <w:t xml:space="preserve">光模块序列号官网或者400或邮件方式可查,提供官网查询截图（含链接地址）或400电话号码或邮件地址。</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单模万兆光模块</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color w:val="auto"/>
                <w:lang w:bidi="ar"/>
              </w:rPr>
              <w:t xml:space="preserve">★光收发一体模块SFP+ 万兆模块(1310nm、10km、LC)，光模块序列号官网可查。</w:t>
            </w: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1.采用B/S架构，客户端无需安装任何插件，可随时随地访问。</w:t>
            </w:r>
            <w:r/>
          </w:p>
          <w:p>
            <w:pPr>
              <w:jc w:val="left"/>
              <w:spacing w:line="400" w:lineRule="exact"/>
              <w:widowControl/>
              <w:rPr>
                <w:rFonts w:hint="eastAsia" w:ascii="宋体" w:hAnsi="宋体" w:cs="宋体"/>
              </w:rPr>
            </w:pPr>
            <w:r>
              <w:rPr>
                <w:rFonts w:hint="eastAsia" w:ascii="宋体" w:hAnsi="宋体" w:cs="宋体"/>
              </w:rPr>
              <w:t xml:space="preserve">2.实现全校资源的统一监控，</w:t>
            </w:r>
            <w:r>
              <w:rPr>
                <w:rFonts w:hint="eastAsia"/>
              </w:rPr>
              <w:t xml:space="preserve">支持对主流网络设备（有线、无线）和</w:t>
            </w:r>
            <w:r>
              <w:rPr>
                <w:rFonts w:hint="eastAsia" w:ascii="宋体" w:hAnsi="宋体" w:cs="宋体"/>
              </w:rPr>
              <w:t xml:space="preserve">哑终端</w:t>
            </w:r>
            <w:r>
              <w:rPr>
                <w:rFonts w:hint="eastAsia"/>
              </w:rPr>
              <w:t xml:space="preserve">的可视化管理</w:t>
            </w:r>
            <w:r>
              <w:rPr>
                <w:rFonts w:hint="eastAsia" w:ascii="宋体" w:hAnsi="宋体" w:cs="宋体"/>
              </w:rPr>
              <w:t xml:space="preserve">。</w:t>
            </w:r>
            <w:r/>
          </w:p>
          <w:p>
            <w:pPr>
              <w:jc w:val="left"/>
              <w:spacing w:line="400" w:lineRule="exact"/>
              <w:widowControl/>
              <w:rPr>
                <w:rFonts w:hint="eastAsia" w:ascii="宋体" w:hAnsi="宋体" w:cs="宋体"/>
              </w:rPr>
            </w:pPr>
            <w:r>
              <w:rPr>
                <w:rFonts w:hint="eastAsia" w:ascii="宋体" w:hAnsi="宋体" w:cs="宋体"/>
              </w:rPr>
              <w:t xml:space="preserve">3.能实现拓扑自动发现，实时同步展示设备状态、（光）链路状态，实现可视化管理。</w:t>
            </w:r>
            <w:r/>
          </w:p>
          <w:p>
            <w:pPr>
              <w:jc w:val="left"/>
              <w:spacing w:line="400" w:lineRule="exact"/>
              <w:widowControl/>
              <w:rPr>
                <w:rFonts w:hint="eastAsia" w:ascii="宋体" w:hAnsi="宋体" w:cs="宋体"/>
              </w:rPr>
            </w:pPr>
            <w:r>
              <w:rPr>
                <w:rFonts w:hint="eastAsia" w:ascii="宋体" w:hAnsi="宋体" w:cs="宋体"/>
              </w:rPr>
              <w:t xml:space="preserve">4.能通过MAC地址绑定或白名单配置，实现校内哑终端设备的安全管理。</w:t>
            </w:r>
            <w:r/>
          </w:p>
          <w:p>
            <w:pPr>
              <w:jc w:val="left"/>
              <w:spacing w:line="400" w:lineRule="exact"/>
              <w:widowControl/>
              <w:rPr>
                <w:rFonts w:hint="eastAsia" w:ascii="宋体" w:hAnsi="宋体" w:cs="宋体"/>
              </w:rPr>
            </w:pPr>
            <w:r>
              <w:rPr>
                <w:rFonts w:hint="eastAsia" w:ascii="宋体" w:hAnsi="宋体" w:cs="宋体"/>
              </w:rPr>
              <w:t xml:space="preserve">5.能实现主动预防，智能故障分析，自动溯源故障路径以及故障根因，提升诊断效率。</w:t>
            </w:r>
            <w:r/>
          </w:p>
          <w:p>
            <w:pPr>
              <w:jc w:val="left"/>
              <w:spacing w:line="400" w:lineRule="exact"/>
              <w:widowControl/>
              <w:rPr>
                <w:rFonts w:hint="eastAsia" w:ascii="宋体" w:hAnsi="宋体" w:cs="宋体"/>
              </w:rPr>
            </w:pPr>
            <w:r>
              <w:rPr>
                <w:rFonts w:hint="eastAsia" w:ascii="宋体" w:hAnsi="宋体" w:cs="宋体"/>
              </w:rPr>
              <w:t xml:space="preserve">★6.网络设备管理需提供授权不少于1250（有线设备720台、无线设备530台）个，哑终端授权不少于100个。现有设备和今后新增设备能接入平台。（提供承诺函并加盖供应商公章）</w:t>
            </w:r>
            <w:r/>
          </w:p>
          <w:p>
            <w:pPr>
              <w:jc w:val="left"/>
              <w:spacing w:line="400" w:lineRule="exact"/>
              <w:widowControl/>
              <w:rPr>
                <w:rFonts w:hint="eastAsia" w:ascii="宋体" w:hAnsi="宋体" w:cs="宋体"/>
              </w:rPr>
            </w:pP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。（提供承诺函并加盖供应商公章）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整机CPU≥24核，≥2.0GHZ主频；内存≥64G；硬盘≥2*480G SSD+3*6T SATA HDD；网口≥2个千兆电口+2个万兆光口，双电源</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整机CPU≥24核，≥2.0GHZ主频；内存≥64G；硬盘≥2*480G SSD+3*6T SATA HDD；网口≥2个千兆电口+2个万兆光口，双电源</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1.光纤类型：G.652.D/B1.3单模光纤（9/125μm），支持1310nm和1550nm窗口。</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2.规格及结构：芯数范围4芯，单芯子缆分支光缆；结构：铠装。</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▲3.提供所投产品以下技术参数的检测报告：光缆光纤特性 、光缆机械性能、光缆衰减温度特性（光缆温度特性）</w:t>
            </w:r>
            <w:r>
              <w:rPr>
                <w:rFonts w:hint="eastAsia" w:ascii="宋体" w:hAnsi="宋体" w:cs="宋体"/>
                <w:b/>
                <w:bCs/>
                <w:color w:val="auto"/>
              </w:rPr>
              <w:t xml:space="preserve">或者</w:t>
            </w:r>
            <w:r>
              <w:rPr>
                <w:rFonts w:hint="eastAsia" w:ascii="宋体" w:hAnsi="宋体" w:cs="宋体"/>
                <w:color w:val="auto"/>
              </w:rPr>
              <w:t xml:space="preserve">衰减系数、光缆护套性能等。提供所投</w:t>
            </w:r>
            <w:r>
              <w:rPr>
                <w:rFonts w:hint="eastAsia" w:ascii="宋体" w:hAnsi="宋体" w:cs="宋体"/>
                <w:color w:val="auto"/>
                <w:lang w:bidi="ar"/>
              </w:rPr>
              <w:t xml:space="preserve">室内单模光缆</w:t>
            </w:r>
            <w:r>
              <w:rPr>
                <w:rFonts w:hint="eastAsia" w:ascii="宋体" w:hAnsi="宋体" w:cs="宋体"/>
                <w:color w:val="auto"/>
              </w:rPr>
              <w:t xml:space="preserve">产品第三方检测机构出具且具有CMA标志的符合GB/T 9771.3-2020或YD/T1258.4-2019或（ANSI/TIA-568-3.D-2016、ANSI/TIA-568-C.3-2008）等现行国家或行业标准的全文</w:t>
            </w:r>
            <w:r>
              <w:rPr>
                <w:rFonts w:hint="eastAsia" w:ascii="宋体" w:hAnsi="宋体" w:cs="宋体"/>
                <w:b/>
                <w:bCs/>
                <w:color w:val="auto"/>
              </w:rPr>
              <w:t xml:space="preserve">检测报告</w:t>
            </w:r>
            <w:r>
              <w:rPr>
                <w:rFonts w:hint="eastAsia" w:ascii="宋体" w:hAnsi="宋体" w:cs="宋体"/>
                <w:color w:val="auto"/>
              </w:rPr>
              <w:t xml:space="preserve">扫描件</w:t>
            </w:r>
            <w:r>
              <w:rPr>
                <w:rFonts w:hint="eastAsia" w:ascii="宋体" w:hAnsi="宋体" w:cs="宋体"/>
                <w:b/>
                <w:bCs/>
                <w:color w:val="auto"/>
              </w:rPr>
              <w:t xml:space="preserve">（芯数不限）</w:t>
            </w:r>
            <w:r>
              <w:rPr>
                <w:rFonts w:hint="eastAsia" w:ascii="宋体" w:hAnsi="宋体" w:cs="宋体"/>
                <w:color w:val="auto"/>
              </w:rPr>
              <w:t xml:space="preserve">。检测报告中须体现检测依据以及是否通过检测的结论。</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4.护套材料：采用低烟无卤阻燃材料。</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▲5.燃烧性能要求：所投</w:t>
            </w:r>
            <w:r>
              <w:rPr>
                <w:rFonts w:hint="eastAsia" w:ascii="宋体" w:hAnsi="宋体" w:cs="宋体"/>
                <w:color w:val="auto"/>
                <w:lang w:bidi="ar"/>
              </w:rPr>
              <w:t xml:space="preserve">室内单模光缆</w:t>
            </w:r>
            <w:r>
              <w:rPr>
                <w:rFonts w:hint="eastAsia" w:ascii="宋体" w:hAnsi="宋体" w:cs="宋体"/>
                <w:color w:val="auto"/>
              </w:rPr>
              <w:t xml:space="preserve">产品至少达到单根电缆火焰垂直蔓延试验要求。提供所投产品具有CMA标志的、由第三方检测机构出具的、符合GB/T 18380.12-2022或GB/T 18380.22-2008或IEC 60332-1-2：2015标准中的单根电缆火焰垂直蔓延试验的全文</w:t>
            </w:r>
            <w:r>
              <w:rPr>
                <w:rFonts w:hint="eastAsia" w:ascii="宋体" w:hAnsi="宋体" w:cs="宋体"/>
                <w:b/>
                <w:bCs/>
                <w:color w:val="auto"/>
              </w:rPr>
              <w:t xml:space="preserve">检测报告</w:t>
            </w:r>
            <w:r>
              <w:rPr>
                <w:rFonts w:hint="eastAsia" w:ascii="宋体" w:hAnsi="宋体" w:cs="宋体"/>
                <w:color w:val="auto"/>
              </w:rPr>
              <w:t xml:space="preserve">扫描件。检测报告中须体现检测依据以及是否通过检测的结论。</w:t>
            </w:r>
            <w:r/>
          </w:p>
          <w:p>
            <w:pPr>
              <w:numPr>
                <w:ilvl w:val="1"/>
                <w:numId w:val="0"/>
              </w:numPr>
              <w:jc w:val="left"/>
              <w:spacing w:line="400" w:lineRule="exact"/>
              <w:rPr>
                <w:rFonts w:hint="eastAsia" w:ascii="宋体" w:hAnsi="宋体" w:cs="宋体"/>
                <w:color w:val="auto"/>
              </w:rPr>
            </w:pPr>
            <w:r>
              <w:rPr>
                <w:rFonts w:hint="eastAsia" w:ascii="宋体" w:hAnsi="宋体" w:cs="宋体"/>
                <w:color w:val="auto"/>
              </w:rPr>
              <w:t xml:space="preserve">6.烟密度：透光率应不小于50%。</w:t>
            </w:r>
            <w:r/>
          </w:p>
          <w:p>
            <w:pPr>
              <w:jc w:val="left"/>
              <w:spacing w:line="400" w:lineRule="exact"/>
              <w:widowControl/>
              <w:rPr>
                <w:rFonts w:hint="eastAsia" w:ascii="宋体" w:hAnsi="宋体" w:cs="宋体"/>
                <w:color w:val="auto"/>
              </w:rPr>
            </w:pPr>
            <w:r>
              <w:rPr>
                <w:rFonts w:hint="eastAsia" w:ascii="宋体" w:hAnsi="宋体" w:cs="宋体"/>
                <w:color w:val="auto"/>
              </w:rPr>
              <w:t xml:space="preserve">★7.提供承诺函，承诺所投产品符合GB/T 9771.3-2020或YD/T1258.4-2019或（ANSI/TIA-568-3.D-2016、ANSI/TIA-568-C.3-2008）等现行国家或行业标准针对室内光纤的要求，格式自拟。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单开门多媒体箱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eastAsia="宋体" w:cs="宋体"/>
                <w:lang w:eastAsia="zh-CN"/>
              </w:rPr>
            </w:pPr>
            <w:r>
              <w:rPr>
                <w:rFonts w:hint="eastAsia" w:ascii="宋体" w:hAnsi="宋体" w:cs="宋体"/>
              </w:rPr>
              <w:t xml:space="preserve">1.尺寸≤420*420*100mm （高*宽*深）；钢板壁厚≥1.2mm；配置锁芯、插排等配件；采用优质钣金材质，表面静电喷涂，有较好的机械强度；箱体采用强、弱电分离的进线方式;箱体内配备背板，支持设备端口向下壁挂安装于多媒体箱内部;箱体底部具备观察孔，无需开箱即可观察设备运行指示灯；满足光纤弯曲半径大于30mm，具有安全可靠的光纤接续</w:t>
            </w:r>
            <w:r>
              <w:rPr>
                <w:rFonts w:hint="eastAsia" w:ascii="宋体" w:hAnsi="宋体" w:cs="宋体"/>
                <w:lang w:eastAsia="zh-CN"/>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双开门多媒体箱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1.尺寸≤450*660*110mm （高*宽*深）；钢板壁厚≥1.2mm,配置锁芯、插排等配件；采用优质钣金材质，表面静电喷涂，有较好的机械强度；箱体采用强、弱电分离的进线方式；箱体内配备背板，支持2台设备端口向下壁挂安装于多媒体箱内部；箱体底部具备观察孔，无需开箱即可观察设备运行指示灯；满足光纤弯曲半径大于30mm，具有安全可靠的光纤接续；</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机柜</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0"/>
                <w:numId w:val="14"/>
              </w:numPr>
              <w:jc w:val="left"/>
              <w:spacing w:line="400" w:lineRule="exact"/>
              <w:widowControl/>
              <w:rPr>
                <w:rFonts w:hint="eastAsia" w:ascii="宋体" w:hAnsi="宋体" w:cs="宋体"/>
                <w:lang w:bidi="ar"/>
              </w:rPr>
            </w:pPr>
            <w:r>
              <w:rPr>
                <w:rFonts w:hint="eastAsia" w:ascii="宋体" w:hAnsi="宋体" w:cs="宋体"/>
                <w:lang w:bidi="ar"/>
              </w:rPr>
              <w:t xml:space="preserve">规格：宽600mm*深600mm*高1200mm 22U网络机柜。</w:t>
            </w:r>
            <w:r>
              <w:rPr>
                <w:rFonts w:hint="eastAsia" w:ascii="宋体" w:hAnsi="宋体" w:cs="宋体"/>
                <w:lang w:bidi="ar"/>
              </w:rPr>
              <w:br/>
            </w:r>
            <w:r>
              <w:rPr>
                <w:rFonts w:hint="eastAsia" w:ascii="宋体" w:hAnsi="宋体" w:cs="宋体"/>
                <w:lang w:bidi="ar"/>
              </w:rPr>
              <w:t xml:space="preserve">2.标准：符合现行国家或行业标准。</w:t>
            </w:r>
            <w:r>
              <w:rPr>
                <w:rFonts w:hint="eastAsia" w:ascii="宋体" w:hAnsi="宋体" w:cs="宋体"/>
                <w:lang w:bidi="ar"/>
              </w:rPr>
              <w:br/>
            </w:r>
            <w:r>
              <w:rPr>
                <w:rFonts w:hint="eastAsia" w:ascii="宋体" w:hAnsi="宋体" w:cs="宋体"/>
                <w:lang w:bidi="ar"/>
              </w:rPr>
              <w:t xml:space="preserve">3.结构：前门为带条形通风孔边框，不低于5mm厚无色透明钢化玻璃门，后门为高密度六角通风孔钢板门，快开式侧板,预留对地安装孔和接地柱，装≥2个风扇。</w:t>
            </w:r>
            <w:r>
              <w:rPr>
                <w:rFonts w:hint="eastAsia" w:ascii="宋体" w:hAnsi="宋体" w:cs="宋体"/>
                <w:lang w:bidi="ar"/>
              </w:rPr>
              <w:br/>
            </w:r>
            <w:r>
              <w:rPr>
                <w:rFonts w:hint="eastAsia" w:ascii="宋体" w:hAnsi="宋体" w:cs="宋体"/>
                <w:lang w:bidi="ar"/>
              </w:rPr>
              <w:t xml:space="preserve">4.材料：优质冷轧钢板。</w:t>
            </w:r>
            <w:r>
              <w:rPr>
                <w:rFonts w:hint="eastAsia" w:ascii="宋体" w:hAnsi="宋体" w:cs="宋体"/>
                <w:lang w:bidi="ar"/>
              </w:rPr>
              <w:br/>
            </w:r>
            <w:r>
              <w:rPr>
                <w:rFonts w:hint="eastAsia" w:ascii="宋体" w:hAnsi="宋体" w:cs="宋体"/>
                <w:lang w:bidi="ar"/>
              </w:rPr>
              <w:t xml:space="preserve">5.机柜表面处理：机柜的脱脂、防锈磷化、静电喷涂处理。</w:t>
            </w:r>
            <w:r/>
          </w:p>
          <w:p>
            <w:pPr>
              <w:jc w:val="left"/>
              <w:spacing w:line="400" w:lineRule="exact"/>
              <w:widowControl/>
              <w:rPr>
                <w:rFonts w:hint="eastAsia" w:ascii="宋体" w:hAnsi="宋体" w:cs="宋体"/>
              </w:rPr>
            </w:pPr>
            <w:r>
              <w:rPr>
                <w:rFonts w:hint="eastAsia" w:ascii="宋体" w:hAnsi="宋体" w:cs="宋体"/>
                <w:lang w:bidi="ar"/>
              </w:rPr>
              <w:t xml:space="preserve">6.含8位10A PDU。</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4口熔接盒</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端口数：4口，尺寸≤120*70*35mm(长宽厚)，采用优质钣金表面静电喷涂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法兰盘</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LC双工法兰盘；材料：陶瓷套管，插入损耗(含重复性)≤0.2dB，重复性≥500次，互换性≤0.2dB。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单芯尾纤</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lang w:bidi="ar"/>
              </w:rPr>
            </w:pPr>
            <w:r>
              <w:rPr>
                <w:rFonts w:hint="eastAsia" w:ascii="宋体" w:hAnsi="宋体" w:cs="宋体"/>
                <w:lang w:bidi="ar"/>
              </w:rPr>
              <w:t xml:space="preserve">1.单工单模尾纤，9/125，光纤尾纤用于光纤线路的灵活跳接或熔接，插入损耗低，回波损耗高，性能满足国家或行业规范标准要求。</w:t>
            </w:r>
            <w:r/>
          </w:p>
          <w:p>
            <w:pPr>
              <w:jc w:val="left"/>
              <w:spacing w:line="400" w:lineRule="exact"/>
              <w:widowControl/>
              <w:rPr>
                <w:rFonts w:hint="eastAsia" w:ascii="宋体" w:hAnsi="宋体" w:cs="宋体"/>
                <w:lang w:bidi="ar"/>
              </w:rPr>
            </w:pPr>
            <w:r>
              <w:rPr>
                <w:rFonts w:hint="eastAsia" w:ascii="宋体" w:hAnsi="宋体" w:cs="宋体"/>
                <w:lang w:bidi="ar"/>
              </w:rPr>
              <w:t xml:space="preserve">2.护套材料采用LSZH低烟无卤，具有良好的阻燃性能。</w:t>
            </w:r>
            <w:r/>
          </w:p>
          <w:p>
            <w:pPr>
              <w:jc w:val="left"/>
              <w:spacing w:line="400" w:lineRule="exact"/>
              <w:widowControl/>
              <w:rPr>
                <w:rFonts w:hint="eastAsia" w:ascii="宋体" w:hAnsi="宋体" w:cs="宋体"/>
              </w:rPr>
            </w:pPr>
            <w:r>
              <w:rPr>
                <w:rFonts w:hint="eastAsia" w:ascii="宋体" w:hAnsi="宋体" w:cs="宋体"/>
                <w:lang w:bidi="ar"/>
              </w:rPr>
              <w:t xml:space="preserve">3.技术规范：回拨损耗：单模＞50dB ，插入损耗：最大值0.5dB，典型值0.2dB。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rPr>
              <w:t xml:space="preserve">LC-LC-60公分-单模光纤跳线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2.长度规格≥0.6米。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LC-LC-1米-单模光纤跳线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2.长度规格≥1米。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2.长度规格≥5米。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LC-LC-10米-单模光纤跳线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2.长度规格≥10米。</w:t>
            </w:r>
            <w:r/>
          </w:p>
          <w:p>
            <w:pPr>
              <w:jc w:val="left"/>
              <w:spacing w:line="400" w:lineRule="exact"/>
              <w:widowControl/>
              <w:rPr>
                <w:rFonts w:hint="eastAsia" w:ascii="宋体" w:hAnsi="宋体" w:cs="宋体"/>
              </w:rPr>
            </w:pPr>
            <w:r>
              <w:rPr>
                <w:rFonts w:hint="eastAsia" w:ascii="宋体" w:hAnsi="宋体" w:cs="宋体"/>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六类网线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Theme="minorEastAsia" w:hAnsiTheme="minorEastAsia" w:eastAsiaTheme="minorEastAsia" w:cstheme="minorEastAsia"/>
                <w:b/>
                <w:bCs/>
                <w:lang w:bidi="ar"/>
              </w:rPr>
            </w:pPr>
            <w:r>
              <w:rPr>
                <w:rFonts w:hint="eastAsia" w:asciiTheme="minorEastAsia" w:hAnsiTheme="minorEastAsia" w:eastAsiaTheme="minorEastAsia" w:cstheme="minorEastAsia"/>
                <w:lang w:bidi="ar"/>
              </w:rPr>
              <w:t xml:space="preserve">★1.线规：6类电缆（250MHz），23AWG、导体材料为纯度不低于99.9%实心无氧铜（OFC），线芯：带十字芯骨架。</w:t>
            </w:r>
            <w:r>
              <w:rPr>
                <w:rFonts w:hint="eastAsia" w:asciiTheme="minorEastAsia" w:hAnsiTheme="minorEastAsia" w:eastAsiaTheme="minorEastAsia" w:cstheme="minorEastAsia"/>
                <w:b/>
                <w:bCs/>
                <w:lang w:bidi="ar"/>
              </w:rPr>
              <w:t xml:space="preserve">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2.导体直径：≥0.57mm，绝缘材料：聚烯烃或聚全氟乙丙烯树脂(FEP)；外护套：LSZH低烟无卤阻燃聚烯烃。</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提供所投六类非屏蔽低烟无卤双绞线不少于以下技术参数的检测报告：单根导体直流电阻、近端串音衰减(NEXT)、近端串音衰减功率和（PSNEXT）、衰减远端串音比功率和(PSACR-F)、特性阻抗(Zm)、回波损耗（ReturnLoss）。</w:t>
            </w:r>
            <w:r>
              <w:rPr>
                <w:rFonts w:hint="eastAsia" w:asciiTheme="minorEastAsia" w:hAnsiTheme="minorEastAsia" w:eastAsiaTheme="minorEastAsia" w:cstheme="minorEastAsia"/>
                <w:b/>
                <w:bCs/>
                <w:lang w:bidi="ar"/>
              </w:rPr>
              <w:t xml:space="preserve">提供所投产品的检测报告原件扫描件（依据YD/T1019-2023等现行国家或行业标准），检测报告数量不作要求；按第四章商务要求（其他要求的第2条）中明确的要求、提供相关佐证材料。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lang w:bidi="ar"/>
              </w:rPr>
              <w:t xml:space="preserve">4.燃烧性能要求：所投六类非屏蔽低烟无卤双绞线至少达到单根电缆火焰垂直蔓延试验要求。</w:t>
            </w:r>
            <w:r>
              <w:rPr>
                <w:rFonts w:hint="eastAsia" w:asciiTheme="minorEastAsia" w:hAnsiTheme="minorEastAsia" w:eastAsiaTheme="minorEastAsia" w:cstheme="minorEastAsia"/>
                <w:b/>
                <w:bCs/>
                <w:lang w:bidi="ar"/>
              </w:rPr>
              <w:t xml:space="preserve">提供所投产品检测报告原件扫描件（符合GB/T18380.12-2022或IEC60332-1-2：2015标准中的单根电缆火焰垂直蔓延试验要求）；按第四章商务要求（其他要求的第2条）中明确的要求、提供相关佐证材料。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5.烟密度：透光率应不小于50%。</w:t>
            </w:r>
            <w:r>
              <w:rPr>
                <w:rFonts w:hint="eastAsia" w:asciiTheme="minorEastAsia" w:hAnsiTheme="minorEastAsia" w:eastAsiaTheme="minorEastAsia" w:cstheme="minorEastAsia"/>
                <w:b/>
                <w:bCs/>
                <w:lang w:bidi="ar"/>
              </w:rPr>
              <w:t xml:space="preserve">提供所投产品的检测报告原件关键页扫描件（符合GB/T17651.2-2021或IEC61034-2:2019标准）；按第四章商务要求（其他要求的第2条）中明确的要求、提供相关佐证材料。</w:t>
            </w:r>
            <w:r>
              <w:rPr>
                <w:rFonts w:hint="eastAsia" w:asciiTheme="minorEastAsia" w:hAnsiTheme="minorEastAsia" w:eastAsiaTheme="minorEastAsia" w:cstheme="minorEastAsia"/>
                <w:b/>
                <w:bCs/>
                <w:lang w:bidi="ar"/>
              </w:rPr>
              <w:br/>
            </w: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六类水晶头</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六类非屏蔽水晶头</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阴阳式衰减器</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1.衰减值：1~30dB（常见为 3、5、10、15、20dB）；</w:t>
            </w:r>
            <w:r/>
          </w:p>
          <w:p>
            <w:pPr>
              <w:jc w:val="left"/>
              <w:spacing w:line="400" w:lineRule="exact"/>
              <w:widowControl/>
              <w:rPr>
                <w:rFonts w:hint="eastAsia" w:ascii="宋体" w:hAnsi="宋体" w:cs="宋体"/>
              </w:rPr>
            </w:pPr>
            <w:r>
              <w:rPr>
                <w:rFonts w:hint="eastAsia" w:ascii="宋体" w:hAnsi="宋体" w:cs="宋体"/>
              </w:rPr>
              <w:t xml:space="preserve">2.精度：低衰减（≤10dB）±0.5dB；高衰减（&gt;10dB）±1.0dB；</w:t>
            </w:r>
            <w:r/>
          </w:p>
          <w:p>
            <w:pPr>
              <w:jc w:val="left"/>
              <w:spacing w:line="400" w:lineRule="exact"/>
              <w:widowControl/>
              <w:rPr>
                <w:rFonts w:hint="eastAsia" w:ascii="宋体" w:hAnsi="宋体" w:cs="宋体"/>
              </w:rPr>
            </w:pPr>
            <w:r>
              <w:rPr>
                <w:rFonts w:hint="eastAsia" w:ascii="宋体" w:hAnsi="宋体" w:cs="宋体"/>
              </w:rPr>
              <w:t xml:space="preserve">3.工作波长：1310nm / 1550nm（单模）；</w:t>
            </w:r>
            <w:r/>
          </w:p>
          <w:p>
            <w:pPr>
              <w:jc w:val="left"/>
              <w:spacing w:line="400" w:lineRule="exact"/>
              <w:widowControl/>
              <w:rPr>
                <w:rFonts w:hint="eastAsia" w:ascii="宋体" w:hAnsi="宋体" w:cs="宋体"/>
              </w:rPr>
            </w:pPr>
            <w:r>
              <w:rPr>
                <w:rFonts w:hint="eastAsia" w:ascii="宋体" w:hAnsi="宋体" w:cs="宋体"/>
              </w:rPr>
              <w:t xml:space="preserve">4.回波损耗：UPC ≥55dB；APC ≥65dB；</w:t>
            </w:r>
            <w:r/>
          </w:p>
          <w:p>
            <w:pPr>
              <w:jc w:val="left"/>
              <w:spacing w:line="400" w:lineRule="exact"/>
              <w:widowControl/>
              <w:rPr>
                <w:rFonts w:hint="eastAsia" w:ascii="宋体" w:hAnsi="宋体" w:cs="宋体"/>
              </w:rPr>
            </w:pPr>
            <w:r>
              <w:rPr>
                <w:rFonts w:hint="eastAsia" w:ascii="宋体" w:hAnsi="宋体" w:cs="宋体"/>
              </w:rPr>
              <w:t xml:space="preserve">5.接口类型：LC。</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单口面板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lang w:bidi="ar"/>
              </w:rPr>
              <w:t xml:space="preserve">规格：86墙上单口面板。</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2.材料：ABS材质,乳白色，抗老化，低烟无卤。</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3.带防尘盖，带电话、电脑标记，带有透明标识系统。</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提供检测报告，检测依据应符合相关标准（依据标准GB/T2408-2021，检测垂直燃烧试验的面板单体）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双口面板</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Theme="minorEastAsia" w:hAnsiTheme="minorEastAsia" w:eastAsiaTheme="minorEastAsia" w:cstheme="minorEastAsia"/>
                <w:lang w:bidi="ar"/>
              </w:rPr>
              <w:t xml:space="preserve">规格：86墙上双口面板。</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2.材料：ABS材质,乳白色，抗老化，低烟无卤。</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3.带防尘盖，带电话、电脑标记，带有透明标识系统。</w:t>
            </w:r>
            <w:r>
              <w:rPr>
                <w:rFonts w:hint="eastAsia" w:asciiTheme="minorEastAsia" w:hAnsiTheme="minorEastAsia" w:eastAsiaTheme="minorEastAsia" w:cstheme="minorEastAsia"/>
                <w:lang w:bidi="ar"/>
              </w:rPr>
              <w:br/>
            </w: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提供检测报告，检测依据应符合相关标准（依据标准GB/T2408-2021，检测垂直燃烧试验的面板单体）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 xml:space="preserve">六类模块</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pStyle w:val="803"/>
              <w:ind w:firstLine="0"/>
              <w:rPr>
                <w:rFonts w:hint="eastAsia"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sz w:val="21"/>
                <w:szCs w:val="21"/>
                <w:lang w:bidi="ar"/>
              </w:rPr>
              <w:t xml:space="preserve">1.主体采用耐冲击及耐燃ABS材料。</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2.接触针为铜再覆上≥50µ镀金。</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3.传输带宽支持250MHz。</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4.最小插拔寿命750次。</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5.电介值承受功率:1000VACRMS@60Hz/min。</w:t>
            </w:r>
            <w:r>
              <w:rPr>
                <w:rFonts w:hint="eastAsia" w:asciiTheme="minorEastAsia" w:hAnsiTheme="minorEastAsia" w:eastAsiaTheme="minorEastAsia" w:cstheme="minorEastAsia"/>
                <w:sz w:val="21"/>
                <w:szCs w:val="21"/>
                <w:lang w:bidi="ar"/>
              </w:rPr>
              <w:br/>
            </w:r>
            <w:r>
              <w:rPr>
                <w:rFonts w:hint="eastAsia" w:asciiTheme="minorEastAsia" w:hAnsiTheme="minorEastAsia" w:eastAsiaTheme="minorEastAsia" w:cstheme="minorEastAsia"/>
                <w:sz w:val="21"/>
                <w:szCs w:val="21"/>
                <w:lang w:bidi="ar"/>
              </w:rPr>
              <w:t xml:space="preserve">★6.与6类非屏蔽双绞线所组成的永久链路，其电气性能应符合GB/T50312-2016或ANSI/TIA-568.2-D:2018或TIA/EIA-568.2-D:2018或ISO/IEC11801-1现行国家或行业标准的规定。</w:t>
            </w:r>
            <w:r>
              <w:rPr>
                <w:rFonts w:hint="eastAsia" w:asciiTheme="minorEastAsia" w:hAnsiTheme="minorEastAsia" w:eastAsiaTheme="minorEastAsia" w:cstheme="minorEastAsia"/>
                <w:b/>
                <w:bCs/>
                <w:sz w:val="21"/>
                <w:szCs w:val="21"/>
                <w:lang w:bidi="ar"/>
              </w:rPr>
              <w:t xml:space="preserve">所投产品应符合相关标准（GB/T50312-2016或ANSI/TIA-568.2-D:2018或TIA/EIA-568.2-D:2018或ISO/IEC11801-1标准），提供检测报告或承诺函（格式自拟）。提供检测报告的，检测依据应符合相关标准（GB/T50312-2016或ANSI/TIA-568.2-D:2018或TIA/EIA-568.2-D:2018或ISO/IEC11801-1标准）并按第四章商务要求（其他要求的第2条）中明确的要求、提供相关佐证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明装配电箱</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1.回路数：4 回路；</w:t>
            </w:r>
            <w:r/>
          </w:p>
          <w:p>
            <w:pPr>
              <w:jc w:val="left"/>
              <w:spacing w:line="400" w:lineRule="exact"/>
              <w:widowControl/>
              <w:rPr>
                <w:rFonts w:hint="eastAsia" w:ascii="宋体" w:hAnsi="宋体" w:cs="宋体"/>
              </w:rPr>
            </w:pPr>
            <w:r>
              <w:rPr>
                <w:rFonts w:hint="eastAsia" w:ascii="宋体" w:hAnsi="宋体" w:cs="宋体"/>
              </w:rPr>
              <w:t xml:space="preserve">2.安装方式：明装壁挂式；</w:t>
            </w:r>
            <w:r/>
          </w:p>
          <w:p>
            <w:pPr>
              <w:jc w:val="left"/>
              <w:spacing w:line="400" w:lineRule="exact"/>
              <w:widowControl/>
              <w:rPr>
                <w:rFonts w:hint="eastAsia" w:ascii="宋体" w:hAnsi="宋体" w:cs="宋体"/>
              </w:rPr>
            </w:pPr>
            <w:r>
              <w:rPr>
                <w:rFonts w:hint="eastAsia" w:ascii="宋体" w:hAnsi="宋体" w:cs="宋体"/>
              </w:rPr>
              <w:t xml:space="preserve">3.额定电压：AC 230V/400V（50Hz）；</w:t>
            </w:r>
            <w:r/>
          </w:p>
          <w:p>
            <w:pPr>
              <w:jc w:val="left"/>
              <w:spacing w:line="400" w:lineRule="exact"/>
              <w:widowControl/>
              <w:rPr>
                <w:rFonts w:hint="eastAsia" w:ascii="宋体" w:hAnsi="宋体" w:cs="宋体"/>
              </w:rPr>
            </w:pPr>
            <w:r>
              <w:rPr>
                <w:rFonts w:hint="eastAsia" w:ascii="宋体" w:hAnsi="宋体" w:cs="宋体"/>
              </w:rPr>
              <w:t xml:space="preserve">4.额定电流：总输入≤63A，单回路≤32A；</w:t>
            </w:r>
            <w:r/>
          </w:p>
          <w:p>
            <w:pPr>
              <w:jc w:val="left"/>
              <w:spacing w:line="400" w:lineRule="exact"/>
              <w:widowControl/>
              <w:rPr>
                <w:rFonts w:hint="eastAsia" w:ascii="宋体" w:hAnsi="宋体" w:cs="宋体"/>
              </w:rPr>
            </w:pPr>
            <w:r>
              <w:rPr>
                <w:rFonts w:hint="eastAsia" w:ascii="宋体" w:hAnsi="宋体" w:cs="宋体"/>
              </w:rPr>
              <w:t xml:space="preserve">5.材质：箱体采用 优质冷轧钢板。</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RVV3*1</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电源线RVV3*1含施工</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C32/断路器/D</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C32/断路器/D</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C16/断路器/D</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C16/断路器/D</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86明盒</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86明盒</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31</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辅材线槽</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辅材线槽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32</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48芯室外单模光缆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1.光纤类型：G.652.D单模光纤（9/125μm），支持1310nm和1550nm窗口。</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2.规格及类型：芯数范围48芯，结构类型：GYTZS。</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4.燃烧性能要求：所投室外单模光缆产品至少达到单根电缆火焰垂直蔓延试验要求。提供所投产品具有CMA标志的、由第三方检测机构出具的、符合GB/T 18380.12-2022</w:t>
            </w:r>
            <w:r>
              <w:rPr>
                <w:rFonts w:hint="eastAsia" w:ascii="宋体" w:hAnsi="宋体" w:cs="宋体"/>
              </w:rPr>
              <w:t xml:space="preserve">或GB/T 18380.22-2008</w:t>
            </w:r>
            <w:r>
              <w:rPr>
                <w:rFonts w:hint="eastAsia" w:ascii="宋体" w:hAnsi="宋体" w:cs="宋体"/>
                <w:lang w:bidi="ar"/>
              </w:rPr>
              <w:t xml:space="preserve">或IEC 60332-1-2：2015标准中的单根电缆火焰垂直蔓延试验的全文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5.外护套材料：无卤素、低烟、阻燃，黑色高密度聚乙烯（HDPE）或抗紫外线PE。</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6.阻水性能，纵向阻水（阻水带+填充油膏）。符合YD/T 901-2018等现行国家标准，提供第三方检测机构出具的</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rPr>
              <w:t xml:space="preserve">或者</w:t>
            </w:r>
            <w:r>
              <w:rPr>
                <w:rFonts w:hint="eastAsia" w:ascii="宋体" w:hAnsi="宋体" w:cs="宋体"/>
                <w:lang w:bidi="ar"/>
              </w:rPr>
              <w:t xml:space="preserve">提供25年产品质量质保函加盖原厂鲜章扫描件</w:t>
            </w:r>
            <w:r>
              <w:rPr>
                <w:rFonts w:hint="eastAsia" w:ascii="宋体" w:hAnsi="宋体" w:cs="宋体"/>
                <w:b/>
                <w:bCs/>
                <w:lang w:bidi="ar"/>
              </w:rPr>
              <w:t xml:space="preserve">或者</w:t>
            </w:r>
            <w:r>
              <w:rPr>
                <w:rFonts w:hint="eastAsia" w:ascii="宋体" w:hAnsi="宋体" w:cs="宋体"/>
                <w:lang w:bidi="ar"/>
              </w:rPr>
              <w:t xml:space="preserve">产品技术规格书。</w:t>
            </w:r>
            <w:r/>
          </w:p>
          <w:p>
            <w:pPr>
              <w:numPr>
                <w:ilvl w:val="1"/>
                <w:numId w:val="0"/>
              </w:numPr>
              <w:jc w:val="left"/>
              <w:spacing w:line="400" w:lineRule="exact"/>
            </w:pPr>
            <w:r>
              <w:rPr>
                <w:rFonts w:hint="eastAsia" w:ascii="宋体" w:hAnsi="宋体" w:cs="宋体"/>
                <w:lang w:bidi="ar"/>
              </w:rPr>
              <w:t xml:space="preserve">★7.提供承诺函，承诺所投产品符合YD/T 901-2018等现行国家或行业标准针对室外光纤的要求，格式自拟。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33</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144芯室外单模光缆</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1.光纤类型：G.652.D单模光纤（9/125μm），支持1310nm和1550nm窗口。</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2.规格及类型：芯数范围144芯，结构类型：GYTZS。</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4.燃烧性能要求：所投室外单模光缆产品至少达到单根电缆火焰垂直蔓延试验要求。提供所投产品具有CMA标志的、由第三方检测机构出具的、符合GB/T 18380.12-2022</w:t>
            </w:r>
            <w:r>
              <w:rPr>
                <w:rFonts w:hint="eastAsia" w:ascii="宋体" w:hAnsi="宋体" w:cs="宋体"/>
              </w:rPr>
              <w:t xml:space="preserve">或GB/T 18380.22-2008</w:t>
            </w:r>
            <w:r>
              <w:rPr>
                <w:rFonts w:hint="eastAsia" w:ascii="宋体" w:hAnsi="宋体" w:cs="宋体"/>
                <w:lang w:bidi="ar"/>
              </w:rPr>
              <w:t xml:space="preserve">或IEC 60332-1-2：2015标准中的单根电缆火焰垂直蔓延试验的全文</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lang w:bidi="ar"/>
              </w:rPr>
              <w:t xml:space="preserve">（芯数不限）</w:t>
            </w:r>
            <w:r>
              <w:rPr>
                <w:rFonts w:hint="eastAsia" w:ascii="宋体" w:hAnsi="宋体" w:cs="宋体"/>
                <w:lang w:bidi="ar"/>
              </w:rPr>
              <w:t xml:space="preserve">。检测报告中须体现检测依据以及是否通过检测的结论。</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5.外护套材料：无卤素、低烟、阻燃，黑色高密度聚乙烯（HDPE）或抗紫外线PE。</w:t>
            </w:r>
            <w:r/>
          </w:p>
          <w:p>
            <w:pPr>
              <w:numPr>
                <w:ilvl w:val="1"/>
                <w:numId w:val="0"/>
              </w:numPr>
              <w:jc w:val="left"/>
              <w:spacing w:line="400" w:lineRule="exact"/>
              <w:rPr>
                <w:rFonts w:hint="eastAsia" w:ascii="宋体" w:hAnsi="宋体" w:cs="宋体"/>
                <w:lang w:bidi="ar"/>
              </w:rPr>
            </w:pPr>
            <w:r>
              <w:rPr>
                <w:rFonts w:hint="eastAsia" w:ascii="宋体" w:hAnsi="宋体" w:cs="宋体"/>
                <w:lang w:bidi="ar"/>
              </w:rPr>
              <w:t xml:space="preserve">6.阻水性能，纵向阻水（阻水带+填充油膏）。符合YD/T 901-2018等现行国家标准，提供第三方检测机构出具的</w:t>
            </w:r>
            <w:r>
              <w:rPr>
                <w:rFonts w:hint="eastAsia" w:ascii="宋体" w:hAnsi="宋体" w:cs="宋体"/>
                <w:b/>
                <w:bCs/>
              </w:rPr>
              <w:t xml:space="preserve">检测报告</w:t>
            </w:r>
            <w:r>
              <w:rPr>
                <w:rFonts w:hint="eastAsia" w:ascii="宋体" w:hAnsi="宋体" w:cs="宋体"/>
                <w:lang w:bidi="ar"/>
              </w:rPr>
              <w:t xml:space="preserve">扫描件</w:t>
            </w:r>
            <w:r>
              <w:rPr>
                <w:rFonts w:hint="eastAsia" w:ascii="宋体" w:hAnsi="宋体" w:cs="宋体"/>
                <w:b/>
                <w:bCs/>
              </w:rPr>
              <w:t xml:space="preserve">或者</w:t>
            </w:r>
            <w:r>
              <w:rPr>
                <w:rFonts w:hint="eastAsia" w:ascii="宋体" w:hAnsi="宋体" w:cs="宋体"/>
                <w:lang w:bidi="ar"/>
              </w:rPr>
              <w:t xml:space="preserve">提供25年产品质量质保函加盖原厂鲜章扫描件</w:t>
            </w:r>
            <w:r>
              <w:rPr>
                <w:rFonts w:hint="eastAsia" w:ascii="宋体" w:hAnsi="宋体" w:cs="宋体"/>
                <w:b/>
                <w:bCs/>
                <w:lang w:bidi="ar"/>
              </w:rPr>
              <w:t xml:space="preserve">或者</w:t>
            </w:r>
            <w:r>
              <w:rPr>
                <w:rFonts w:hint="eastAsia" w:ascii="宋体" w:hAnsi="宋体" w:cs="宋体"/>
                <w:lang w:bidi="ar"/>
              </w:rPr>
              <w:t xml:space="preserve">产品技术规格书。</w:t>
            </w:r>
            <w:r/>
          </w:p>
          <w:p>
            <w:pPr>
              <w:jc w:val="left"/>
              <w:spacing w:line="40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34</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LC单芯尾纤</w:t>
            </w:r>
            <w:r/>
          </w:p>
        </w:tc>
        <w:tc>
          <w:tcPr>
            <w:tcBorders>
              <w:top w:val="single" w:color="000000" w:sz="4" w:space="0"/>
              <w:left w:val="single" w:color="000000" w:sz="4" w:space="0"/>
              <w:bottom w:val="single" w:color="000000" w:sz="4" w:space="0"/>
              <w:right w:val="single" w:color="000000" w:sz="4" w:space="0"/>
            </w:tcBorders>
            <w:tcW w:w="6558" w:type="dxa"/>
            <w:textDirection w:val="lrTb"/>
            <w:noWrap w:val="false"/>
          </w:tcPr>
          <w:p>
            <w:pPr>
              <w:jc w:val="left"/>
              <w:spacing w:line="400" w:lineRule="exact"/>
              <w:widowControl/>
              <w:rPr>
                <w:rFonts w:hint="eastAsia" w:ascii="宋体" w:hAnsi="宋体" w:cs="宋体"/>
                <w:lang w:bidi="ar"/>
              </w:rPr>
            </w:pPr>
            <w:r>
              <w:rPr>
                <w:rFonts w:hint="eastAsia" w:ascii="宋体" w:hAnsi="宋体" w:cs="宋体"/>
                <w:lang w:bidi="ar"/>
              </w:rPr>
              <w:t xml:space="preserve">1.单工单模尾纤，9/125，光纤尾纤用于光纤线路的灵活跳接或熔接，插入损耗低，回波损耗高，性能满足国家或行业规范标准要求。</w:t>
            </w:r>
            <w:r/>
          </w:p>
          <w:p>
            <w:pPr>
              <w:jc w:val="left"/>
              <w:spacing w:line="400" w:lineRule="exact"/>
              <w:widowControl/>
              <w:rPr>
                <w:rFonts w:hint="eastAsia" w:ascii="宋体" w:hAnsi="宋体" w:cs="宋体"/>
                <w:lang w:bidi="ar"/>
              </w:rPr>
            </w:pPr>
            <w:r>
              <w:rPr>
                <w:rFonts w:hint="eastAsia" w:ascii="宋体" w:hAnsi="宋体" w:cs="宋体"/>
                <w:lang w:bidi="ar"/>
              </w:rPr>
              <w:t xml:space="preserve">2.护套材料采用LSZH低烟无卤，具有良好的阻燃性能。</w:t>
            </w:r>
            <w:r/>
          </w:p>
          <w:p>
            <w:pPr>
              <w:jc w:val="left"/>
              <w:spacing w:line="400" w:lineRule="exact"/>
              <w:widowControl/>
              <w:rPr>
                <w:rFonts w:hint="eastAsia" w:ascii="宋体" w:hAnsi="宋体" w:cs="宋体"/>
              </w:rPr>
            </w:pPr>
            <w:r>
              <w:rPr>
                <w:rFonts w:hint="eastAsia" w:ascii="宋体" w:hAnsi="宋体" w:cs="宋体"/>
                <w:lang w:bidi="ar"/>
              </w:rPr>
              <w:t xml:space="preserve">3.技术规范：回拨损耗：单模＞50dB ，插入损耗：最大值0.5dB，典型值0.2dB。</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35</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LC-LC-5米-单模光纤跳线</w:t>
            </w:r>
            <w:r/>
          </w:p>
        </w:tc>
        <w:tc>
          <w:tcPr>
            <w:tcBorders>
              <w:top w:val="single" w:color="000000" w:sz="4" w:space="0"/>
              <w:left w:val="single" w:color="000000" w:sz="4" w:space="0"/>
              <w:bottom w:val="single" w:color="000000" w:sz="4" w:space="0"/>
              <w:right w:val="single" w:color="000000" w:sz="4" w:space="0"/>
            </w:tcBorders>
            <w:tcW w:w="6558" w:type="dxa"/>
            <w:textDirection w:val="lrTb"/>
            <w:noWrap w:val="false"/>
          </w:tcPr>
          <w:p>
            <w:pPr>
              <w:spacing w:line="400" w:lineRule="exact"/>
              <w:widowControl/>
              <w:rPr>
                <w:rFonts w:hint="eastAsia" w:ascii="宋体" w:hAnsi="宋体" w:cs="宋体"/>
              </w:rPr>
            </w:pPr>
            <w:r>
              <w:rPr>
                <w:rFonts w:hint="eastAsia" w:ascii="宋体" w:hAnsi="宋体" w:cs="宋体"/>
                <w:lang w:bidi="ar"/>
              </w:rPr>
              <w:t xml:space="preserve">▲</w:t>
            </w:r>
            <w:r>
              <w:rPr>
                <w:rFonts w:hint="eastAsia" w:ascii="宋体" w:hAnsi="宋体" w:cs="宋体"/>
              </w:rPr>
              <w:t xml:space="preserve">1.G.652D单模光纤，双芯，LSZH护套，</w:t>
            </w:r>
            <w:r>
              <w:rPr>
                <w:rFonts w:hint="eastAsia" w:ascii="宋体" w:hAnsi="宋体" w:cs="宋体"/>
                <w:lang w:bidi="ar"/>
              </w:rPr>
              <w:t xml:space="preserve">光缆的</w:t>
            </w:r>
            <w:r>
              <w:rPr>
                <w:rFonts w:hint="eastAsia" w:ascii="宋体" w:hAnsi="宋体" w:cs="宋体"/>
              </w:rPr>
              <w:t xml:space="preserve">光学性能、几何性能、机械性能、环境性能、安全性能等符合YD/T 1272.4-2020、YD/T 2152-2010、GB/T 9771-2020等现行国家或行业标准。</w:t>
            </w:r>
            <w:r>
              <w:rPr>
                <w:rFonts w:hint="eastAsia" w:ascii="宋体" w:hAnsi="宋体" w:cs="宋体"/>
                <w:b/>
                <w:bCs/>
              </w:rPr>
              <w:t xml:space="preserve">提供</w:t>
            </w:r>
            <w:r>
              <w:rPr>
                <w:rFonts w:hint="eastAsia" w:ascii="宋体" w:hAnsi="宋体" w:cs="宋体"/>
                <w:b/>
                <w:bCs/>
                <w:lang w:bidi="ar"/>
              </w:rPr>
              <w:t xml:space="preserve">符合现行国家或行业标准、由第三方检测机构出具的有CMA标志的检测报告。</w:t>
            </w:r>
            <w:r/>
          </w:p>
          <w:p>
            <w:pPr>
              <w:jc w:val="left"/>
              <w:spacing w:line="400" w:lineRule="exact"/>
              <w:rPr>
                <w:rFonts w:hint="eastAsia" w:ascii="宋体" w:hAnsi="宋体" w:cs="宋体"/>
              </w:rPr>
            </w:pPr>
            <w:r>
              <w:rPr>
                <w:rFonts w:hint="eastAsia" w:ascii="宋体" w:hAnsi="宋体" w:cs="宋体"/>
              </w:rPr>
              <w:t xml:space="preserve">2.长度规格≥5米。</w:t>
            </w:r>
            <w:r/>
          </w:p>
          <w:p>
            <w:pPr>
              <w:pStyle w:val="803"/>
              <w:ind w:firstLine="0"/>
            </w:pPr>
            <w:r>
              <w:rPr>
                <w:rFonts w:hint="eastAsia" w:ascii="宋体" w:hAnsi="宋体" w:cs="宋体"/>
                <w:sz w:val="21"/>
                <w:szCs w:val="21"/>
              </w:rPr>
              <w:t xml:space="preserve">3. 技术规范：回拨损耗：单模＞50dB ； 插入损耗：最大值0.5dB，典型值0.2dB；套管外径：1.25mm；线缆直径：护套光纤：0.9mm，抗拉强度：护套光纤5N，单芯线缆100N，双芯线缆100N；工作温度：-40℃～75℃；使用寿命卡接次数≥1000次。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36</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桥架线管</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100*50镀锌线管含施工</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37</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设备拆除</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原有网络设备拆除及线路整理</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38</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光纤链路测试</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宋体" w:hAnsi="宋体" w:cs="宋体"/>
              </w:rPr>
              <w:t xml:space="preserve">FLUKE光纤链路测试，测试指标应符合现行国家或行业标准。</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39</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铜缆链路测试</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宋体" w:hAnsi="宋体" w:cs="宋体"/>
              </w:rPr>
              <w:t xml:space="preserve">FLUKE（UL III级精度），按GB 50312-2016标准进行链路级模型检测（永久链路测试）通过性测试的报告。</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光纤熔接</w:t>
            </w:r>
            <w:r/>
          </w:p>
        </w:tc>
        <w:tc>
          <w:tcPr>
            <w:tcBorders>
              <w:top w:val="single" w:color="000000" w:sz="4" w:space="0"/>
              <w:left w:val="single" w:color="000000" w:sz="4" w:space="0"/>
              <w:bottom w:val="single" w:color="000000" w:sz="4" w:space="0"/>
              <w:right w:val="single" w:color="000000" w:sz="4" w:space="0"/>
            </w:tcBorders>
            <w:tcW w:w="6558" w:type="dxa"/>
            <w:vAlign w:val="center"/>
            <w:textDirection w:val="lrTb"/>
            <w:noWrap w:val="false"/>
          </w:tcPr>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lang w:bidi="ar"/>
              </w:rPr>
              <w:t xml:space="preserve">定制，熔接后的特性指标应符合现行国家或行业标准。</w:t>
            </w:r>
            <w:bookmarkEnd w:id="200"/>
            <w:r/>
            <w:r/>
          </w:p>
        </w:tc>
      </w:tr>
    </w:tbl>
    <w:p>
      <w:r/>
      <w:r/>
    </w:p>
    <w:p>
      <w:pP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说明：系统CAD建筑图与采购单位联系人联系获取。在施工过程中如果涉及到装饰的拆除与修复，一切费用由中标方负责。</w:t>
      </w:r>
      <w:r/>
    </w:p>
    <w:p>
      <w:pPr>
        <w:pStyle w:val="838"/>
        <w:keepLines w:val="0"/>
        <w:spacing w:line="440" w:lineRule="exact"/>
        <w:tabs>
          <w:tab w:val="left" w:pos="0" w:leader="none"/>
        </w:tabs>
        <w:rPr>
          <w:rFonts w:hint="eastAsia" w:asciiTheme="minorEastAsia" w:hAnsiTheme="minorEastAsia" w:eastAsiaTheme="minorEastAsia" w:cstheme="minorEastAsia"/>
        </w:rPr>
      </w:pPr>
      <w:r>
        <w:rPr>
          <w:rFonts w:hint="eastAsia" w:ascii="Times New Roman" w:hAnsi="Times New Roman" w:eastAsia="宋体" w:cs="Times New Roman"/>
          <w:b/>
          <w:bCs/>
          <w:color w:val="auto"/>
          <w:sz w:val="21"/>
          <w:szCs w:val="21"/>
        </w:rPr>
        <w:t xml:space="preserve">★注：供应商所投核心</w:t>
      </w:r>
      <w:r>
        <w:rPr>
          <w:rFonts w:hint="eastAsia" w:ascii="Times New Roman" w:hAnsi="Times New Roman" w:eastAsia="宋体" w:cs="Times New Roman"/>
          <w:b/>
          <w:bCs/>
          <w:color w:val="auto"/>
          <w:sz w:val="21"/>
          <w:szCs w:val="21"/>
        </w:rPr>
        <w:t xml:space="preserve">交换机应执行《网络关键设备和网络安全专用产品目录》（2023年第2号）和《关于调整网络安全专用产品安全管理有关事项的公告》（2023年第1号）的要求，按照《信息安全技术 网络安全专用产品安全技术要求》等相关国家标准的强制性要求。提供由具备资格的机构出具的安全认证合格或者安全检测符合要求证明材料。其中，“网络关键设备和网络安全专用产品安全认证和安全检测结果发布”（以最新发布的为准），所投产品提供中央网络安全与信息化委员会办公室（中央网信办）网站“网络关键设备和网络安全专用产品安全认证和安全检测结果 ”的截图。</w:t>
      </w:r>
      <w:r/>
    </w:p>
    <w:p>
      <w:pPr>
        <w:pStyle w:val="1107"/>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82"/>
        <w:spacing w:line="400" w:lineRule="exact"/>
        <w:widowControl/>
        <w:rPr>
          <w:rFonts w:hint="eastAsia" w:ascii="宋体" w:hAnsi="宋体"/>
          <w:sz w:val="24"/>
          <w:szCs w:val="24"/>
        </w:rPr>
      </w:pPr>
      <w:r>
        <w:rPr>
          <w:rFonts w:hint="eastAsia" w:ascii="宋体" w:hAnsi="宋体"/>
          <w:sz w:val="24"/>
          <w:szCs w:val="24"/>
        </w:rPr>
        <w:t xml:space="preserve">提供本项目的验收附件或者直接明确验收的要求，其中综合布线的验收要求参见如下描述：</w:t>
      </w:r>
      <w:r/>
    </w:p>
    <w:p>
      <w:pPr>
        <w:ind w:firstLine="482"/>
        <w:spacing w:line="400" w:lineRule="exact"/>
        <w:widowControl/>
        <w:rPr>
          <w:rFonts w:hint="eastAsia" w:ascii="宋体" w:hAnsi="宋体"/>
          <w:sz w:val="24"/>
          <w:szCs w:val="24"/>
        </w:rPr>
      </w:pPr>
      <w:r>
        <w:rPr>
          <w:rFonts w:hint="eastAsia" w:ascii="宋体" w:hAnsi="宋体"/>
          <w:sz w:val="24"/>
          <w:szCs w:val="24"/>
        </w:rPr>
        <w:t xml:space="preserve">综合布线工程验收前应进行自检测试和竣工验收测试工作。</w:t>
      </w:r>
      <w:r/>
    </w:p>
    <w:p>
      <w:pPr>
        <w:ind w:firstLine="480"/>
        <w:spacing w:line="360" w:lineRule="auto"/>
        <w:rPr>
          <w:rFonts w:hint="eastAsia" w:ascii="宋体" w:hAnsi="宋体"/>
          <w:sz w:val="24"/>
          <w:szCs w:val="24"/>
        </w:rPr>
      </w:pPr>
      <w:r>
        <w:rPr>
          <w:rFonts w:hint="eastAsia" w:ascii="宋体" w:hAnsi="宋体"/>
          <w:sz w:val="24"/>
          <w:szCs w:val="24"/>
        </w:rPr>
        <w:t xml:space="preserve">（1）工程竣工以后，施工单位在工程验收前要提供的材料：</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1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①</w:t>
      </w:r>
      <w:r>
        <w:rPr>
          <w:rFonts w:ascii="宋体" w:hAnsi="宋体"/>
          <w:sz w:val="24"/>
          <w:szCs w:val="24"/>
        </w:rPr>
        <w:fldChar w:fldCharType="end"/>
      </w:r>
      <w:r>
        <w:rPr>
          <w:rFonts w:hint="eastAsia" w:ascii="宋体" w:hAnsi="宋体"/>
          <w:sz w:val="24"/>
          <w:szCs w:val="24"/>
        </w:rPr>
        <w:t xml:space="preserve">一套完整的通过审核的</w:t>
      </w:r>
      <w:r>
        <w:rPr>
          <w:rFonts w:ascii="宋体" w:hAnsi="宋体"/>
          <w:sz w:val="24"/>
          <w:szCs w:val="24"/>
        </w:rPr>
        <w:t xml:space="preserve">竣工图纸</w:t>
      </w:r>
      <w:r>
        <w:rPr>
          <w:rFonts w:hint="eastAsia" w:ascii="宋体" w:hAnsi="宋体"/>
          <w:sz w:val="24"/>
          <w:szCs w:val="24"/>
        </w:rPr>
        <w:t xml:space="preserve">（</w:t>
      </w:r>
      <w:r>
        <w:rPr>
          <w:rFonts w:ascii="宋体" w:hAnsi="宋体"/>
          <w:sz w:val="24"/>
          <w:szCs w:val="24"/>
        </w:rPr>
        <w:t xml:space="preserve">施工中更改后的施工设计图</w:t>
      </w:r>
      <w:r>
        <w:rPr>
          <w:rFonts w:hint="eastAsia" w:ascii="宋体" w:hAnsi="宋体"/>
          <w:sz w:val="24"/>
          <w:szCs w:val="24"/>
        </w:rPr>
        <w:t xml:space="preserve">）给采购单位，两份纸质稿及一份电子稿。</w:t>
      </w:r>
      <w:r/>
    </w:p>
    <w:p>
      <w:pPr>
        <w:ind w:firstLine="480"/>
        <w:spacing w:line="360" w:lineRule="auto"/>
        <w:rPr>
          <w:rFonts w:hint="eastAsia" w:ascii="宋体" w:hAnsi="宋体"/>
          <w:sz w:val="24"/>
          <w:szCs w:val="24"/>
        </w:rPr>
      </w:pPr>
      <w:r>
        <w:rPr>
          <w:rFonts w:hint="eastAsia" w:ascii="宋体" w:hAnsi="宋体"/>
          <w:sz w:val="24"/>
          <w:szCs w:val="24"/>
        </w:rPr>
        <w:t xml:space="preserve">综合布线的竣工图纸应包括说明、设计系统图及反映各部分设备安装情况的施工图。竣工图纸应表示以下内容：</w:t>
      </w:r>
      <w:r/>
    </w:p>
    <w:p>
      <w:pPr>
        <w:pStyle w:val="803"/>
        <w:numPr>
          <w:ilvl w:val="0"/>
          <w:numId w:val="15"/>
        </w:numPr>
        <w:rPr>
          <w:rFonts w:hint="eastAsia" w:ascii="宋体" w:hAnsi="宋体"/>
        </w:rPr>
      </w:pPr>
      <w:r>
        <w:rPr>
          <w:rFonts w:hint="eastAsia" w:ascii="宋体" w:hAnsi="宋体"/>
        </w:rPr>
        <w:t xml:space="preserve">安装场地和布线管道的位置、尺寸、标识符等；</w:t>
      </w:r>
      <w:r/>
    </w:p>
    <w:p>
      <w:pPr>
        <w:pStyle w:val="803"/>
        <w:numPr>
          <w:ilvl w:val="0"/>
          <w:numId w:val="15"/>
        </w:numPr>
        <w:rPr>
          <w:rFonts w:hint="eastAsia" w:ascii="宋体" w:hAnsi="宋体"/>
        </w:rPr>
      </w:pPr>
      <w:r>
        <w:rPr>
          <w:rFonts w:hint="eastAsia" w:ascii="宋体" w:hAnsi="宋体"/>
        </w:rPr>
        <w:t xml:space="preserve">设备间、电信间、进线间等安装场地的平面图或剖面图及信息插座模块安装位置；</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2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②</w:t>
      </w:r>
      <w:r>
        <w:rPr>
          <w:rFonts w:ascii="宋体" w:hAnsi="宋体"/>
          <w:sz w:val="24"/>
          <w:szCs w:val="24"/>
        </w:rPr>
        <w:fldChar w:fldCharType="end"/>
      </w:r>
      <w:r>
        <w:rPr>
          <w:rFonts w:hint="eastAsia" w:ascii="宋体" w:hAnsi="宋体"/>
          <w:sz w:val="24"/>
          <w:szCs w:val="24"/>
        </w:rPr>
        <w:t xml:space="preserve">设备材料进场检验记录及开箱检验记录</w:t>
      </w:r>
      <w:r>
        <w:rPr>
          <w:rFonts w:hint="eastAsia" w:ascii="宋体" w:hAnsi="宋体"/>
          <w:b/>
          <w:bCs/>
          <w:sz w:val="24"/>
          <w:szCs w:val="24"/>
        </w:rPr>
        <w:t xml:space="preserve">（尤其是要对各类铜缆的导体直径抽检）</w:t>
      </w:r>
      <w:r>
        <w:rPr>
          <w:rFonts w:hint="eastAsia" w:ascii="宋体" w:hAnsi="宋体"/>
          <w:sz w:val="24"/>
          <w:szCs w:val="24"/>
        </w:rPr>
        <w:t xml:space="preserve">，各类线材进校验收、签字记录。</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3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③</w:t>
      </w:r>
      <w:r>
        <w:rPr>
          <w:rFonts w:ascii="宋体" w:hAnsi="宋体"/>
          <w:sz w:val="24"/>
          <w:szCs w:val="24"/>
        </w:rPr>
        <w:fldChar w:fldCharType="end"/>
      </w:r>
      <w:r>
        <w:rPr>
          <w:rFonts w:hint="eastAsia" w:ascii="宋体" w:hAnsi="宋体"/>
          <w:sz w:val="24"/>
          <w:szCs w:val="24"/>
        </w:rPr>
        <w:t xml:space="preserve">隐蔽工程验收记录及签证。隐蔽工程要做好时间、施工情况记录，现场拍照存档。要有学校相关人员签字。如有信息化工程监理，要由监理按流程处理并签字确认。</w:t>
      </w:r>
      <w:r/>
    </w:p>
    <w:p>
      <w:pPr>
        <w:ind w:firstLine="480"/>
        <w:spacing w:line="360" w:lineRule="auto"/>
        <w:rPr>
          <w:rFonts w:hint="eastAsia" w:ascii="宋体" w:hAnsi="宋体"/>
          <w:sz w:val="24"/>
          <w:szCs w:val="24"/>
          <w:u w:val="single"/>
        </w:rPr>
      </w:pPr>
      <w:r>
        <w:rPr>
          <w:rFonts w:ascii="宋体" w:hAnsi="宋体"/>
          <w:sz w:val="24"/>
          <w:szCs w:val="24"/>
          <w:u w:val="single"/>
        </w:rPr>
        <w:fldChar w:fldCharType="begin"/>
      </w:r>
      <w:r>
        <w:rPr>
          <w:rFonts w:ascii="宋体" w:hAnsi="宋体"/>
          <w:sz w:val="24"/>
          <w:szCs w:val="24"/>
          <w:u w:val="single"/>
        </w:rPr>
        <w:instrText xml:space="preserve"> </w:instrText>
      </w:r>
      <w:r>
        <w:rPr>
          <w:rFonts w:hint="eastAsia" w:ascii="宋体" w:hAnsi="宋体"/>
          <w:sz w:val="24"/>
          <w:szCs w:val="24"/>
          <w:u w:val="single"/>
        </w:rPr>
        <w:instrText xml:space="preserve">= 4 \* GB3</w:instrText>
      </w:r>
      <w:r>
        <w:rPr>
          <w:rFonts w:ascii="宋体" w:hAnsi="宋体"/>
          <w:sz w:val="24"/>
          <w:szCs w:val="24"/>
          <w:u w:val="single"/>
        </w:rPr>
        <w:instrText xml:space="preserve"> </w:instrText>
      </w:r>
      <w:r>
        <w:rPr>
          <w:rFonts w:ascii="宋体" w:hAnsi="宋体"/>
          <w:sz w:val="24"/>
          <w:szCs w:val="24"/>
          <w:u w:val="single"/>
        </w:rPr>
        <w:fldChar w:fldCharType="separate"/>
      </w:r>
      <w:r>
        <w:rPr>
          <w:rFonts w:hint="eastAsia" w:ascii="宋体" w:hAnsi="宋体"/>
          <w:sz w:val="24"/>
          <w:szCs w:val="24"/>
          <w:u w:val="single"/>
        </w:rPr>
        <w:t xml:space="preserve">④</w:t>
      </w:r>
      <w:r>
        <w:rPr>
          <w:rFonts w:ascii="宋体" w:hAnsi="宋体"/>
          <w:sz w:val="24"/>
          <w:szCs w:val="24"/>
          <w:u w:val="single"/>
        </w:rPr>
        <w:fldChar w:fldCharType="end"/>
      </w:r>
      <w:r>
        <w:rPr>
          <w:rFonts w:hint="eastAsia" w:ascii="宋体" w:hAnsi="宋体"/>
          <w:sz w:val="24"/>
          <w:szCs w:val="24"/>
          <w:u w:val="single"/>
        </w:rPr>
        <w:t xml:space="preserve">系统中文检测报告及中文测试</w:t>
      </w:r>
      <w:r>
        <w:rPr>
          <w:rFonts w:ascii="宋体" w:hAnsi="宋体"/>
          <w:sz w:val="24"/>
          <w:szCs w:val="24"/>
          <w:u w:val="single"/>
        </w:rPr>
        <w:t xml:space="preserve">记录</w:t>
      </w:r>
      <w:r>
        <w:rPr>
          <w:rFonts w:hint="eastAsia" w:ascii="宋体" w:hAnsi="宋体"/>
          <w:sz w:val="24"/>
          <w:szCs w:val="24"/>
          <w:u w:val="single"/>
        </w:rPr>
        <w:t xml:space="preserve">：用FLUKE、OTDR等设备对所有点位进行测试，提供通过率为100%的测试报告；其中永久链路超过90米的不纳入测试范围，但必须保证能正常使用（比如PING不丢包等）。模拟广播的音箱线必须做通断和对地电阻测试，提供测试报告。</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应事先对工程中需要使用的仪表和工具进行测试或检查，测试仪精度应定期检测，每次现场测试前应出示仪表厂家或者是检测机构出具有效期内的测试仪的精度证明，缆线测试仪应附有检测机构的证明文件。</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检测须由持相关测试仪厂家出具的有效期内认证证明的人员操作或委托有相关人员和设备资质的第三方测试。</w:t>
      </w:r>
      <w:r/>
    </w:p>
    <w:p>
      <w:pPr>
        <w:ind w:firstLine="480"/>
        <w:spacing w:line="360" w:lineRule="auto"/>
        <w:rPr>
          <w:rFonts w:hint="eastAsia" w:ascii="宋体" w:hAnsi="宋体"/>
          <w:sz w:val="24"/>
          <w:szCs w:val="24"/>
        </w:rPr>
      </w:pPr>
      <w:r>
        <w:rPr>
          <w:rFonts w:hint="eastAsia" w:ascii="宋体" w:hAnsi="宋体"/>
          <w:sz w:val="24"/>
          <w:szCs w:val="24"/>
        </w:rPr>
        <w:t xml:space="preserve">应根据《综合布线工程验收规范》（GB</w:t>
      </w:r>
      <w:r>
        <w:rPr>
          <w:rFonts w:ascii="宋体" w:hAnsi="宋体"/>
          <w:sz w:val="24"/>
          <w:szCs w:val="24"/>
        </w:rPr>
        <w:t xml:space="preserve">/T </w:t>
      </w:r>
      <w:r>
        <w:rPr>
          <w:rFonts w:hint="eastAsia" w:ascii="宋体" w:hAnsi="宋体"/>
          <w:sz w:val="24"/>
          <w:szCs w:val="24"/>
        </w:rPr>
        <w:t xml:space="preserve">50312-2016）要求进行工程电气测试，布线系统各项测试结果应有详细记录，并应作为竣工资料的一部分。测试内容应按本规范附录A、附录B、附录C的规定，测试记录可采用自制表格、电子表格或仪表自动生成的报告文件等记录形式。其中双绞线布系统系统采用永久链路测试不低于规范明确的13个指标，光纤信息及链路测试采用等级2测试模型及方法；并填写综合布线系统工程电缆性能指标测试记录、综合布线工程光纤性能指标测试记录，形成综合布线系统工程电缆性能指标测试汇总表、综合布线工程光纤性能指标测试汇总表。</w:t>
      </w:r>
      <w:r/>
    </w:p>
    <w:p>
      <w:pPr>
        <w:ind w:firstLine="480"/>
        <w:spacing w:line="360" w:lineRule="auto"/>
        <w:rPr>
          <w:rFonts w:hint="eastAsia" w:ascii="宋体" w:hAnsi="宋体"/>
          <w:sz w:val="24"/>
          <w:szCs w:val="24"/>
        </w:rPr>
      </w:pPr>
      <w:r>
        <w:rPr>
          <w:rFonts w:hint="eastAsia" w:ascii="宋体" w:hAnsi="宋体"/>
          <w:sz w:val="24"/>
          <w:szCs w:val="24"/>
        </w:rPr>
        <w:t xml:space="preserve">系统性能检测单项合格判定和竣工检测综合合格判定应符合《综合布线工程验收规范》（GB</w:t>
      </w:r>
      <w:r>
        <w:rPr>
          <w:rFonts w:ascii="宋体" w:hAnsi="宋体"/>
          <w:sz w:val="24"/>
          <w:szCs w:val="24"/>
        </w:rPr>
        <w:t xml:space="preserve">/T </w:t>
      </w:r>
      <w:r>
        <w:rPr>
          <w:rFonts w:hint="eastAsia" w:ascii="宋体" w:hAnsi="宋体"/>
          <w:sz w:val="24"/>
          <w:szCs w:val="24"/>
        </w:rPr>
        <w:t xml:space="preserve">50312-2016）工程验收的规定。</w:t>
      </w:r>
      <w:r/>
    </w:p>
    <w:p>
      <w:pPr>
        <w:pStyle w:val="803"/>
        <w:ind w:firstLine="420"/>
        <w:rPr>
          <w:rFonts w:hint="eastAsia" w:ascii="宋体" w:hAnsi="宋体" w:cs="宋体"/>
        </w:rPr>
      </w:pPr>
      <w:r>
        <w:rPr>
          <w:rFonts w:hint="eastAsia" w:ascii="宋体" w:hAnsi="宋体" w:cs="宋体"/>
        </w:rPr>
        <w:t xml:space="preserve">⑤培训记录及培训资料。</w:t>
      </w:r>
      <w:r/>
    </w:p>
    <w:p>
      <w:pPr>
        <w:ind w:firstLine="480"/>
        <w:spacing w:line="360" w:lineRule="auto"/>
        <w:rPr>
          <w:rFonts w:hint="eastAsia" w:ascii="宋体" w:hAnsi="宋体"/>
          <w:sz w:val="24"/>
          <w:szCs w:val="24"/>
        </w:rPr>
      </w:pPr>
      <w:r>
        <w:rPr>
          <w:rFonts w:hint="eastAsia" w:ascii="宋体" w:hAnsi="宋体"/>
          <w:sz w:val="24"/>
          <w:szCs w:val="24"/>
        </w:rPr>
        <w:t xml:space="preserve">以上材料要保证质量，做到外观整洁、内容齐全、数据准确。</w:t>
      </w:r>
      <w:r/>
    </w:p>
    <w:p>
      <w:pPr>
        <w:ind w:firstLine="480"/>
        <w:spacing w:line="360" w:lineRule="auto"/>
        <w:rPr>
          <w:rFonts w:hint="eastAsia" w:ascii="宋体" w:hAnsi="宋体"/>
          <w:sz w:val="24"/>
          <w:szCs w:val="24"/>
        </w:rPr>
      </w:pPr>
      <w:r>
        <w:rPr>
          <w:rFonts w:hint="eastAsia" w:ascii="宋体" w:hAnsi="宋体"/>
          <w:sz w:val="24"/>
          <w:szCs w:val="24"/>
        </w:rPr>
        <w:t xml:space="preserve">（2）根据施工单位提供的</w:t>
      </w:r>
      <w:r>
        <w:rPr>
          <w:rFonts w:ascii="宋体" w:hAnsi="宋体"/>
          <w:sz w:val="24"/>
          <w:szCs w:val="24"/>
        </w:rPr>
        <w:t xml:space="preserve">测试</w:t>
      </w:r>
      <w:r>
        <w:rPr>
          <w:rFonts w:hint="eastAsia" w:ascii="宋体" w:hAnsi="宋体"/>
          <w:sz w:val="24"/>
          <w:szCs w:val="24"/>
        </w:rPr>
        <w:t xml:space="preserve">报告，</w:t>
      </w:r>
      <w:r>
        <w:rPr>
          <w:rFonts w:hint="eastAsia" w:ascii="宋体" w:hAnsi="宋体"/>
          <w:b/>
          <w:bCs/>
          <w:sz w:val="24"/>
          <w:szCs w:val="24"/>
        </w:rPr>
        <w:t xml:space="preserve">采购单位应进行的抽样复测（可以通过第三方进行复测）</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复测验证方法：抽样比例不低于10%，抽样点应包括最远布线点，通过率≥99%。对双绞电缆抽样检测时，被抽样检测点（线对）不合格比例不大于被测总数的1%，应为抽样检测通过，不合格的点（线对应予以修复并复检）。被抽样检测点（线对）不合格比例如果大于1%,应为一次抽样检测未通过，应进行加倍抽样，加倍抽样不合格比例不大于1%，应为抽样检测通过。当不合格比例仍大于1%，应为抽样检测不通过，应进行全部检测，并按全部检测要求进行判定。建议复测在设备试运行前进行。</w:t>
      </w:r>
      <w:r/>
    </w:p>
    <w:p>
      <w:pPr>
        <w:ind w:firstLine="420"/>
        <w:spacing w:line="360" w:lineRule="auto"/>
        <w:rPr>
          <w:rFonts w:hint="eastAsia" w:ascii="宋体" w:hAnsi="宋体"/>
          <w:b/>
          <w:bCs/>
          <w:sz w:val="24"/>
          <w:szCs w:val="24"/>
        </w:rPr>
      </w:pPr>
      <w:r>
        <w:rPr>
          <w:rFonts w:hint="eastAsia" w:ascii="宋体" w:hAnsi="宋体"/>
          <w:b/>
          <w:bCs/>
          <w:sz w:val="24"/>
          <w:szCs w:val="24"/>
        </w:rPr>
        <w:t xml:space="preserve">复测的费用由中标供应商承担。</w:t>
      </w:r>
      <w:r/>
    </w:p>
    <w:p>
      <w:pPr>
        <w:ind w:firstLine="420"/>
        <w:spacing w:line="360" w:lineRule="auto"/>
        <w:rPr>
          <w:rFonts w:hint="eastAsia" w:ascii="宋体" w:hAnsi="宋体"/>
          <w:b/>
          <w:bCs/>
          <w:sz w:val="24"/>
          <w:szCs w:val="24"/>
        </w:rPr>
      </w:pPr>
      <w:r>
        <w:rPr>
          <w:rFonts w:hint="eastAsia" w:ascii="宋体" w:hAnsi="宋体"/>
          <w:b/>
          <w:bCs/>
          <w:sz w:val="24"/>
          <w:szCs w:val="24"/>
        </w:rPr>
        <w:t xml:space="preserve">若发现施工单位在测试报告中弄虚作假，</w:t>
      </w:r>
      <w:r>
        <w:rPr>
          <w:rFonts w:hint="eastAsia"/>
          <w:b/>
          <w:bCs/>
          <w:sz w:val="24"/>
          <w:szCs w:val="24"/>
        </w:rPr>
        <w:t xml:space="preserve">招标代理机构按流程向财政部门要求对其</w:t>
      </w:r>
      <w:r>
        <w:rPr>
          <w:rFonts w:hint="eastAsia" w:ascii="宋体" w:hAnsi="宋体"/>
          <w:b/>
          <w:bCs/>
          <w:sz w:val="24"/>
          <w:szCs w:val="24"/>
        </w:rPr>
        <w:t xml:space="preserve">进行处罚（列入供应商不诚信行为）。</w:t>
      </w:r>
      <w:r/>
    </w:p>
    <w:p>
      <w:pPr>
        <w:ind w:firstLine="480"/>
        <w:spacing w:line="360" w:lineRule="auto"/>
        <w:rPr>
          <w:rFonts w:hint="eastAsia" w:ascii="宋体" w:hAnsi="宋体"/>
          <w:color w:val="auto"/>
          <w:sz w:val="24"/>
          <w:szCs w:val="24"/>
        </w:rPr>
      </w:pPr>
      <w:r>
        <w:rPr>
          <w:rFonts w:hint="eastAsia" w:ascii="宋体" w:hAnsi="宋体"/>
          <w:sz w:val="24"/>
          <w:szCs w:val="24"/>
        </w:rPr>
        <w:t xml:space="preserve">（4）验收应遵循的国家现行有关规范或标准，包含但不只限于《综合布线工程验收规范（GB/T 50312-2016）》《通信管道工程施工及验收规范GB50374》《通信线路工程验收规范YD 5121》和《常州市教育局局属单位信息化工程重大项目验收规范》《校园网络环境系统项目建设指南》《校园广播系统项目建</w:t>
      </w:r>
      <w:r>
        <w:rPr>
          <w:rFonts w:hint="eastAsia" w:ascii="宋体" w:hAnsi="宋体"/>
          <w:color w:val="auto"/>
          <w:sz w:val="24"/>
          <w:szCs w:val="24"/>
        </w:rPr>
        <w:t xml:space="preserve">设指南》《校园安防系统项目建设指南》《常州市中小学校园公共广播系统建设标准指导意见》等规定的要求对施工质量进行验收。</w:t>
      </w:r>
      <w:r/>
    </w:p>
    <w:p>
      <w:pPr>
        <w:ind w:firstLine="480"/>
        <w:spacing w:line="400" w:lineRule="exact"/>
        <w:rPr>
          <w:rFonts w:hint="eastAsia" w:ascii="宋体" w:hAnsi="宋体" w:eastAsia="宋体"/>
          <w:b/>
          <w:bCs/>
          <w:color w:val="auto"/>
          <w:sz w:val="24"/>
          <w:szCs w:val="24"/>
          <w:lang w:eastAsia="zh-CN"/>
        </w:rPr>
      </w:pPr>
      <w:r>
        <w:rPr>
          <w:rFonts w:hint="eastAsia" w:ascii="宋体" w:hAnsi="宋体"/>
          <w:b/>
          <w:bCs/>
          <w:color w:val="auto"/>
          <w:sz w:val="24"/>
          <w:szCs w:val="24"/>
          <w:lang w:val="en-US" w:eastAsia="zh-CN"/>
        </w:rPr>
        <w:t xml:space="preserve">其他</w:t>
      </w:r>
      <w:r>
        <w:rPr>
          <w:rFonts w:hint="eastAsia" w:ascii="宋体" w:hAnsi="宋体"/>
          <w:b/>
          <w:bCs/>
          <w:color w:val="auto"/>
          <w:sz w:val="24"/>
          <w:szCs w:val="24"/>
        </w:rPr>
        <w:t xml:space="preserve">验收要求</w:t>
      </w:r>
      <w:r>
        <w:rPr>
          <w:rFonts w:hint="eastAsia" w:ascii="宋体" w:hAnsi="宋体"/>
          <w:b/>
          <w:bCs/>
          <w:color w:val="auto"/>
          <w:sz w:val="24"/>
          <w:szCs w:val="24"/>
          <w:lang w:val="en-US" w:eastAsia="zh-CN"/>
        </w:rPr>
        <w:t xml:space="preserve">另</w:t>
      </w:r>
      <w:r>
        <w:rPr>
          <w:rFonts w:hint="eastAsia" w:ascii="宋体" w:hAnsi="宋体"/>
          <w:b/>
          <w:bCs/>
          <w:color w:val="auto"/>
          <w:sz w:val="24"/>
          <w:szCs w:val="24"/>
        </w:rPr>
        <w:t xml:space="preserve">见附件</w:t>
      </w:r>
      <w:r>
        <w:rPr>
          <w:rFonts w:hint="eastAsia" w:ascii="宋体" w:hAnsi="宋体"/>
          <w:b/>
          <w:bCs/>
          <w:color w:val="auto"/>
          <w:sz w:val="24"/>
          <w:szCs w:val="24"/>
          <w:lang w:eastAsia="zh-CN"/>
        </w:rPr>
        <w:t xml:space="preserve">。</w:t>
      </w:r>
      <w:r/>
    </w:p>
    <w:p>
      <w:pPr>
        <w:ind w:firstLine="4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6"/>
        </w:numPr>
        <w:spacing w:line="276" w:lineRule="auto"/>
        <w:tabs>
          <w:tab w:val="clear" w:pos="312"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实质性要求  </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699"/>
        <w:gridCol w:w="3240"/>
        <w:gridCol w:w="2997"/>
      </w:tblGrid>
      <w:tr>
        <w:trPr/>
        <w:tc>
          <w:tcPr>
            <w:tcW w:w="0" w:type="auto"/>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序号</w:t>
            </w:r>
            <w:r/>
          </w:p>
        </w:tc>
        <w:tc>
          <w:tcPr>
            <w:tcW w:w="1699"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设备名称或其它</w:t>
            </w:r>
            <w:r/>
          </w:p>
        </w:tc>
        <w:tc>
          <w:tcPr>
            <w:tcW w:w="3240"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技术参数或要求</w:t>
            </w:r>
            <w:r/>
          </w:p>
        </w:tc>
        <w:tc>
          <w:tcPr>
            <w:tcW w:w="2997" w:type="dxa"/>
            <w:vAlign w:val="center"/>
            <w:textDirection w:val="lrTb"/>
            <w:noWrap w:val="false"/>
          </w:tcPr>
          <w:p>
            <w:pPr>
              <w:jc w:val="center"/>
              <w:spacing w:line="320" w:lineRule="exact"/>
              <w:widowControl/>
              <w:rPr>
                <w:rFonts w:hint="eastAsia" w:ascii="宋体" w:hAnsi="宋体" w:cs="宋体"/>
                <w:b/>
                <w:bCs/>
              </w:rPr>
            </w:pPr>
            <w:r>
              <w:rPr>
                <w:rFonts w:hint="eastAsia" w:ascii="宋体" w:hAnsi="宋体" w:cs="宋体"/>
                <w:b/>
                <w:bCs/>
                <w:lang w:bidi="ar"/>
              </w:rPr>
              <w:t xml:space="preserve">证明材料</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1</w:t>
            </w:r>
            <w:r/>
          </w:p>
        </w:tc>
        <w:tc>
          <w:tcPr>
            <w:tcW w:w="1699" w:type="dxa"/>
            <w:vAlign w:val="center"/>
            <w:vMerge w:val="restart"/>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以太光汇聚交换机机（核心产品）</w:t>
            </w:r>
            <w:r/>
          </w:p>
        </w:tc>
        <w:tc>
          <w:tcPr>
            <w:tcW w:w="3240" w:type="dxa"/>
            <w:vAlign w:val="center"/>
            <w:textDirection w:val="lrTb"/>
            <w:noWrap w:val="false"/>
          </w:tcPr>
          <w:p>
            <w:pPr>
              <w:jc w:val="left"/>
              <w:spacing w:line="400" w:lineRule="exact"/>
              <w:widowControl/>
              <w:rPr>
                <w:rFonts w:hint="eastAsia" w:ascii="宋体" w:hAnsi="宋体" w:cs="宋体"/>
                <w:color w:val="auto"/>
              </w:rPr>
            </w:pPr>
            <w:r>
              <w:rPr>
                <w:rFonts w:hint="eastAsia" w:ascii="宋体" w:hAnsi="宋体" w:cs="宋体"/>
                <w:color w:val="auto"/>
              </w:rPr>
              <w:t xml:space="preserve">★1.性能要求：总包转发率≧21600（或7200*3）Mpps，总交换容量≧114（或38*3）Tbps。</w:t>
            </w:r>
            <w:r/>
          </w:p>
          <w:p>
            <w:pPr>
              <w:jc w:val="left"/>
              <w:spacing w:line="320" w:lineRule="exact"/>
              <w:widowControl/>
              <w:rPr>
                <w:rFonts w:hint="eastAsia" w:ascii="宋体" w:hAnsi="宋体" w:cs="宋体"/>
                <w:color w:val="auto"/>
              </w:rPr>
            </w:pPr>
            <w:r>
              <w:rPr>
                <w:rFonts w:hint="eastAsia" w:ascii="宋体" w:hAnsi="宋体" w:cs="宋体"/>
                <w:color w:val="auto"/>
              </w:rPr>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rPr>
                <w:rFonts w:hint="eastAsia" w:ascii="宋体" w:hAnsi="宋体" w:cs="宋体"/>
                <w:color w:val="000000"/>
                <w:lang w:eastAsia="zh-CN"/>
              </w:rPr>
              <w:t xml:space="preserve">。</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★2.配置要求：满配电源、满配风扇，万兆光接口≥</w:t>
            </w:r>
            <w:r>
              <w:rPr>
                <w:rFonts w:ascii="宋体" w:hAnsi="宋体" w:cs="宋体"/>
              </w:rPr>
              <w:t xml:space="preserve">12</w:t>
            </w:r>
            <w:r>
              <w:rPr>
                <w:rFonts w:hint="eastAsia" w:ascii="宋体" w:hAnsi="宋体" w:cs="宋体"/>
              </w:rPr>
              <w:t xml:space="preserve">，配置分光后≥288个10G光接入设备的连接能力（含模块，LC接口），满足接入端264台交换机接入需求</w:t>
            </w:r>
            <w:r>
              <w:rPr>
                <w:rFonts w:hint="eastAsia" w:ascii="宋体" w:hAnsi="宋体" w:cs="宋体"/>
                <w:lang w:eastAsia="zh-CN"/>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（提供承诺函并加盖供应商公章并加盖供应商公章）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color w:val="auto"/>
              </w:rPr>
            </w:pP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.所投产品具备工业和信息化部颁发的进网许可证（CTA认证）</w:t>
            </w:r>
            <w:r>
              <w:rPr>
                <w:rFonts w:hint="eastAsia" w:asciiTheme="minorEastAsia" w:hAnsiTheme="minorEastAsia" w:eastAsiaTheme="minorEastAsia" w:cstheme="minorEastAsia"/>
                <w:color w:val="auto"/>
                <w:sz w:val="21"/>
                <w:szCs w:val="21"/>
                <w:lang w:bidi="ar"/>
              </w:rPr>
              <w:t xml:space="preserve">。</w:t>
            </w:r>
            <w:r/>
          </w:p>
        </w:tc>
        <w:tc>
          <w:tcPr>
            <w:tcW w:w="2997" w:type="dxa"/>
            <w:vAlign w:val="center"/>
            <w:textDirection w:val="lrTb"/>
            <w:noWrap w:val="false"/>
          </w:tcPr>
          <w:p>
            <w:pPr>
              <w:spacing w:line="320" w:lineRule="exact"/>
              <w:rPr>
                <w:rFonts w:hint="eastAsia" w:ascii="宋体" w:hAnsi="宋体" w:cs="宋体" w:eastAsiaTheme="minorEastAsia"/>
                <w:color w:val="auto"/>
                <w:lang w:eastAsia="zh-CN"/>
              </w:rPr>
            </w:pPr>
            <w:r>
              <w:rPr>
                <w:rFonts w:hint="eastAsia" w:asciiTheme="minorEastAsia" w:hAnsiTheme="minorEastAsia" w:eastAsiaTheme="minorEastAsia" w:cstheme="minorEastAsia"/>
                <w:color w:val="auto"/>
                <w:sz w:val="21"/>
                <w:szCs w:val="21"/>
                <w:lang w:bidi="ar"/>
              </w:rPr>
              <w:t xml:space="preserve">提供：进网许可证清晰扫描件；工信部官网查询结果截图，显示设备型号、生产企业、许可证编号及状态为“有效”</w:t>
            </w:r>
            <w:r>
              <w:rPr>
                <w:rFonts w:hint="eastAsia" w:asciiTheme="minorEastAsia" w:hAnsiTheme="minorEastAsia" w:eastAsiaTheme="minorEastAsia" w:cstheme="minorEastAsia"/>
                <w:color w:val="auto"/>
                <w:sz w:val="21"/>
                <w:szCs w:val="21"/>
                <w:lang w:eastAsia="zh-CN" w:bidi="ar"/>
              </w:rPr>
              <w:t xml:space="preserve">。</w:t>
            </w:r>
            <w:r/>
          </w:p>
        </w:tc>
      </w:tr>
      <w:tr>
        <w:trPr/>
        <w:tc>
          <w:tcPr>
            <w:tcW w:w="0" w:type="auto"/>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2</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8口光接入设备</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★1.整机要求：千兆电口≥8，万兆光口≥1；支持POE、POE+，整机POE供电功率≥120W；无风扇设计；包转发率≧105Mpps，交换容量≧6.72Tbps。</w:t>
            </w:r>
            <w:r/>
          </w:p>
        </w:tc>
        <w:tc>
          <w:tcPr>
            <w:tcW w:w="2997" w:type="dxa"/>
            <w:vAlign w:val="center"/>
            <w:textDirection w:val="lrTb"/>
            <w:noWrap w:val="false"/>
          </w:tcPr>
          <w:p>
            <w:pPr>
              <w:spacing w:line="320" w:lineRule="exact"/>
              <w:rPr>
                <w:rFonts w:hint="eastAsia" w:ascii="宋体" w:hAnsi="宋体" w:eastAsia="宋体" w:cs="宋体"/>
                <w:lang w:eastAsia="zh-CN"/>
              </w:rPr>
            </w:pPr>
            <w:r>
              <w:rPr>
                <w:rFonts w:hint="eastAsia" w:ascii="宋体" w:hAnsi="宋体" w:cs="宋体"/>
                <w:color w:val="000000"/>
              </w:rPr>
              <w:t xml:space="preserve">提供官网截图或者产品彩页或者检测报告原件扫描件，检测报告需提供检测机构有效CMA资质证书及与所涉检测项目对应《资质认定能力附表》所在页的扫描件，材料需并加盖投标人公章</w:t>
            </w:r>
            <w:r>
              <w:rPr>
                <w:rFonts w:hint="eastAsia" w:ascii="宋体" w:hAnsi="宋体" w:cs="宋体"/>
                <w:color w:val="000000"/>
                <w:lang w:eastAsia="zh-CN"/>
              </w:rPr>
              <w:t xml:space="preserve">。</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3</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24口光光接入设备</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★1.整机要求：包转发率≧171Mpps，交换容量≧6.72Tbps。</w:t>
            </w:r>
            <w:r/>
          </w:p>
        </w:tc>
        <w:tc>
          <w:tcPr>
            <w:tcW w:w="2997"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（提供官网截图或者产品彩页，材料需并加盖投标人公章）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★3.支持PoE+供电，整机PoE功率≥370W</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（提供官网截图或者产品彩页，材料需并加盖投标人公章）</w:t>
            </w:r>
            <w:r/>
          </w:p>
        </w:tc>
      </w:tr>
      <w:tr>
        <w:trPr/>
        <w:tc>
          <w:tcPr>
            <w:tcW w:w="586"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rPr>
              <w:t xml:space="preserve">4</w:t>
            </w:r>
            <w:r/>
          </w:p>
        </w:tc>
        <w:tc>
          <w:tcPr>
            <w:tcW w:w="1699" w:type="dxa"/>
            <w:vAlign w:val="center"/>
            <w:textDirection w:val="lrTb"/>
            <w:noWrap w:val="false"/>
          </w:tcPr>
          <w:p>
            <w:pPr>
              <w:jc w:val="center"/>
              <w:spacing w:line="400" w:lineRule="exact"/>
              <w:widowControl/>
              <w:rPr>
                <w:rFonts w:hint="eastAsia" w:ascii="宋体" w:hAnsi="宋体" w:cs="宋体"/>
              </w:rPr>
            </w:pPr>
            <w:r>
              <w:rPr>
                <w:rFonts w:hint="eastAsia" w:asciiTheme="minorEastAsia" w:hAnsiTheme="minorEastAsia" w:eastAsiaTheme="minorEastAsia" w:cstheme="minorEastAsia"/>
                <w:color w:val="auto"/>
              </w:rPr>
              <w:t xml:space="preserve">光模块</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lang w:val="en-US" w:eastAsia="zh-CN"/>
              </w:rPr>
              <w:t xml:space="preserve">配套全光网络、万兆</w:t>
            </w:r>
            <w:r>
              <w:rPr>
                <w:rFonts w:hint="eastAsia" w:asciiTheme="minorEastAsia" w:hAnsiTheme="minorEastAsia" w:eastAsiaTheme="minorEastAsia" w:cstheme="minorEastAsia"/>
                <w:color w:val="auto"/>
                <w:lang w:eastAsia="zh-CN"/>
              </w:rPr>
              <w:t xml:space="preserve">）</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光模块序列号官网可查。</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b/>
                <w:bCs/>
                <w:color w:val="auto"/>
              </w:rPr>
              <w:t xml:space="preserve">光模块序列号官网或者400或邮件方式可查,提供官网查询截图（含链接地址）或400电话号码或邮件地址。</w:t>
            </w:r>
            <w:r/>
          </w:p>
        </w:tc>
      </w:tr>
      <w:tr>
        <w:trPr/>
        <w:tc>
          <w:tcPr>
            <w:tcW w:w="586" w:type="dxa"/>
            <w:vAlign w:val="center"/>
            <w:textDirection w:val="lrTb"/>
            <w:noWrap w:val="false"/>
          </w:tcPr>
          <w:p>
            <w:pPr>
              <w:jc w:val="cente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W w:w="1699"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rPr>
              <w:t xml:space="preserve">单模万兆光模块</w:t>
            </w:r>
            <w:r/>
          </w:p>
        </w:tc>
        <w:tc>
          <w:tcPr>
            <w:tcW w:w="3240" w:type="dxa"/>
            <w:vAlign w:val="center"/>
            <w:textDirection w:val="lrTb"/>
            <w:noWrap w:val="false"/>
          </w:tcPr>
          <w:p>
            <w:pPr>
              <w:jc w:val="left"/>
              <w:spacing w:line="400" w:lineRule="exact"/>
              <w:widowControl/>
              <w:rPr>
                <w:rFonts w:hint="eastAsia" w:ascii="宋体" w:hAnsi="宋体" w:cs="宋体"/>
                <w:color w:val="auto"/>
              </w:rPr>
            </w:pPr>
            <w:r>
              <w:rPr>
                <w:rFonts w:hint="eastAsia" w:asciiTheme="minorEastAsia" w:hAnsiTheme="minorEastAsia" w:eastAsiaTheme="minorEastAsia" w:cstheme="minorEastAsia"/>
                <w:color w:val="auto"/>
                <w:lang w:bidi="ar"/>
              </w:rPr>
              <w:t xml:space="preserve">★光收发一体模块SFP+ 万兆模块(1310nm、10km、LC)，光模块序列号官网可查。</w:t>
            </w:r>
            <w:r/>
          </w:p>
        </w:tc>
        <w:tc>
          <w:tcPr>
            <w:tcW w:w="2997" w:type="dxa"/>
            <w:vAlign w:val="center"/>
            <w:textDirection w:val="lrTb"/>
            <w:noWrap w:val="false"/>
          </w:tcPr>
          <w:p>
            <w:pPr>
              <w:spacing w:line="320" w:lineRule="exact"/>
              <w:rPr>
                <w:rFonts w:hint="eastAsia" w:ascii="宋体" w:hAnsi="宋体" w:cs="宋体"/>
                <w:b/>
                <w:bCs/>
                <w:color w:val="auto"/>
              </w:rPr>
            </w:pPr>
            <w:r>
              <w:rPr>
                <w:rFonts w:hint="eastAsia" w:asciiTheme="minorEastAsia" w:hAnsiTheme="minorEastAsia" w:eastAsiaTheme="minorEastAsia" w:cstheme="minorEastAsia"/>
                <w:b/>
                <w:bCs/>
                <w:color w:val="auto"/>
                <w:lang w:bidi="ar"/>
              </w:rPr>
              <w:t xml:space="preserve">光模块序列号官网或者400或邮件方式可查,提供官网查询截图（含链接地址）或400电话号码或邮件地址。</w:t>
            </w:r>
            <w:r/>
          </w:p>
        </w:tc>
      </w:tr>
      <w:tr>
        <w:trPr/>
        <w:tc>
          <w:tcPr>
            <w:tcW w:w="586" w:type="dxa"/>
            <w:vAlign w:val="center"/>
            <w:vMerge w:val="restart"/>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6</w:t>
            </w:r>
            <w:r/>
          </w:p>
        </w:tc>
        <w:tc>
          <w:tcPr>
            <w:tcW w:w="1699" w:type="dxa"/>
            <w:vAlign w:val="center"/>
            <w:vMerge w:val="restart"/>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设备链路综合运维与安全管理</w:t>
            </w:r>
            <w:r/>
          </w:p>
        </w:tc>
        <w:tc>
          <w:tcPr>
            <w:tcW w:w="3240" w:type="dxa"/>
            <w:vAlign w:val="center"/>
            <w:textDirection w:val="lrTb"/>
            <w:noWrap w:val="false"/>
          </w:tcPr>
          <w:p>
            <w:pPr>
              <w:jc w:val="left"/>
              <w:spacing w:line="400" w:lineRule="exact"/>
              <w:widowControl/>
              <w:rPr>
                <w:rFonts w:hint="eastAsia" w:ascii="宋体" w:hAnsi="宋体" w:cs="宋体"/>
              </w:rPr>
            </w:pPr>
            <w:r>
              <w:rPr>
                <w:rFonts w:hint="eastAsia" w:ascii="宋体" w:hAnsi="宋体" w:cs="宋体"/>
              </w:rPr>
              <w:t xml:space="preserve">★6.网络设备管理需提供授权不少于1250（有线设备720台、无线设备530台）个，哑终端授权不少于100个。现有设备和今后新增设备能接入平台。</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color w:val="auto"/>
              </w:rPr>
              <w:t xml:space="preserve">★7.平台需能够运行在国产化服务器上，</w:t>
            </w:r>
            <w:r>
              <w:rPr>
                <w:rFonts w:hint="eastAsia" w:ascii="宋体" w:hAnsi="宋体" w:cs="宋体"/>
                <w:color w:val="auto"/>
                <w:lang w:val="en-US" w:eastAsia="zh-CN"/>
              </w:rPr>
              <w:t xml:space="preserve">实配</w:t>
            </w:r>
            <w:r>
              <w:rPr>
                <w:rFonts w:hint="eastAsia" w:asciiTheme="minorEastAsia" w:hAnsiTheme="minorEastAsia" w:eastAsiaTheme="minorEastAsia" w:cstheme="minorEastAsia"/>
                <w:color w:val="auto"/>
                <w:lang w:bidi="ar"/>
              </w:rPr>
              <w:t xml:space="preserve">符合信创要求的</w:t>
            </w:r>
            <w:r>
              <w:rPr>
                <w:rFonts w:hint="eastAsia" w:asciiTheme="minorEastAsia" w:hAnsiTheme="minorEastAsia" w:eastAsiaTheme="minorEastAsia" w:cstheme="minorEastAsia"/>
                <w:color w:val="auto"/>
                <w:lang w:val="en-US" w:eastAsia="zh-CN" w:bidi="ar"/>
              </w:rPr>
              <w:t xml:space="preserve">正版软件</w:t>
            </w:r>
            <w:r>
              <w:rPr>
                <w:rFonts w:hint="eastAsia" w:ascii="宋体" w:hAnsi="宋体" w:cs="宋体"/>
                <w:color w:val="auto"/>
              </w:rPr>
              <w:t xml:space="preserve">。</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提供承诺函并加盖供应商公章</w:t>
            </w:r>
            <w:r/>
          </w:p>
        </w:tc>
      </w:tr>
      <w:tr>
        <w:trPr/>
        <w:tc>
          <w:tcPr>
            <w:tcW w:w="0" w:type="auto"/>
            <w:vAlign w:val="center"/>
            <w:textDirection w:val="lrTb"/>
            <w:noWrap w:val="false"/>
          </w:tcPr>
          <w:p>
            <w:pPr>
              <w:jc w:val="center"/>
              <w:spacing w:line="320" w:lineRule="exact"/>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9</w:t>
            </w:r>
            <w:r/>
          </w:p>
        </w:tc>
        <w:tc>
          <w:tcPr>
            <w:tcW w:w="1699" w:type="dxa"/>
            <w:vAlign w:val="center"/>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4芯单模软铠装室内光缆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rPr>
              <w:t xml:space="preserve">★7.提供承诺函，承诺所投产品符合GB/T 9771.3-2020或YD/T1258.4-2019或（ANSI/TIA-568-3.D-2016、ANSI/TIA-568-C.3-2008）等现行国家或行业标准针对室内光纤的要求，格式自拟。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★7.提供承诺函，承诺所投产品符合GB/T 9771.3-2020或YD/T1258.4-2019或（ANSI/TIA-568-3.D-2016、ANSI/TIA-568-C.3-2008）等现行国家或行业标准针对室内光纤的要求，格式自拟。</w:t>
            </w:r>
            <w:r/>
          </w:p>
        </w:tc>
      </w:tr>
      <w:tr>
        <w:trPr/>
        <w:tc>
          <w:tcPr>
            <w:tcW w:w="586" w:type="dxa"/>
            <w:vAlign w:val="center"/>
            <w:vMerge w:val="restart"/>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20</w:t>
            </w:r>
            <w:r/>
          </w:p>
        </w:tc>
        <w:tc>
          <w:tcPr>
            <w:tcW w:w="1699" w:type="dxa"/>
            <w:vAlign w:val="center"/>
            <w:vMerge w:val="restart"/>
            <w:textDirection w:val="lrTb"/>
            <w:noWrap w:val="false"/>
          </w:tcPr>
          <w:p>
            <w:pPr>
              <w:jc w:val="center"/>
              <w:spacing w:line="320" w:lineRule="exact"/>
              <w:widowControl/>
              <w:rPr>
                <w:rFonts w:hint="eastAsia" w:ascii="宋体" w:hAnsi="宋体" w:cs="宋体"/>
              </w:rPr>
            </w:pPr>
            <w:r>
              <w:rPr>
                <w:rFonts w:hint="eastAsia" w:asciiTheme="minorEastAsia" w:hAnsiTheme="minorEastAsia" w:eastAsiaTheme="minorEastAsia" w:cstheme="minorEastAsia"/>
              </w:rPr>
              <w:t xml:space="preserve">六类网线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★1.线规：6类电缆（250MHz），23AWG、导体材料为纯度不低于99.9%实心无氧铜（OFC），线芯：带十字芯骨架。</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所投产品符合现行国家或行业标准的检测报告原件关键页扫描件或者提供所投产品生产企业的产品技术规格书；提供检测报告的，检测依据应符合相关标准并按第四章商务要求（其他要求的第2条）中明确的要求、提供相关佐证材料。</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3.提供所投六类非屏蔽低烟无卤双绞线不少于以下技术参数的检测报告：单根导体直流电阻、近端串音衰减(NEXT)、近端串音衰减功率和（PSNEXT）、衰减远端串音比功率和(PSACR-F)、特性阻抗(Zm)、回波损耗（ReturnLoss）。</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提供所投产品的检测报告原件扫描件（依据YD/T1019-2023等现行国家或行业标准），检测报告数量不作要求；按第四章商务要求（其他要求的第2条）中明确的要求、提供相关佐证材料。</w:t>
            </w:r>
            <w:r/>
          </w:p>
        </w:tc>
      </w:tr>
      <w:tr>
        <w:trPr/>
        <w:tc>
          <w:tcPr>
            <w:tcW w:w="586" w:type="dxa"/>
            <w:vAlign w:val="center"/>
            <w:vMerge w:val="continue"/>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1699" w:type="dxa"/>
            <w:vAlign w:val="center"/>
            <w:vMerge w:val="continue"/>
            <w:textDirection w:val="lrTb"/>
            <w:noWrap w:val="false"/>
          </w:tcPr>
          <w:p>
            <w:pPr>
              <w:jc w:val="left"/>
              <w:spacing w:line="320" w:lineRule="exact"/>
              <w:widowControl/>
              <w:rPr>
                <w:rFonts w:hint="eastAsia" w:ascii="宋体" w:hAnsi="宋体" w:cs="宋体"/>
              </w:rPr>
            </w:pPr>
            <w:r>
              <w:rPr>
                <w:rFonts w:hint="eastAsia" w:ascii="宋体" w:hAnsi="宋体" w:cs="宋体"/>
              </w:rPr>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lang w:bidi="ar"/>
              </w:rPr>
              <w:t xml:space="preserve">★6.提供承诺函，承诺所投产品符合YD/T1019-2023等现行国家或行业标准针对双绞多芯对称电缆的要求，格式自拟。</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23</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单口面板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提供检测报告，检测依据应符合相关标准（依据标准GB/T2408-2021，检测垂直燃烧试验的面板单体）并按第四章商务要求（其他要求的第2条）中明确的要求、提供相关佐证材料。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24</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双口面板</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lang w:bidi="ar"/>
              </w:rPr>
              <w:t xml:space="preserve">★</w:t>
            </w:r>
            <w:r>
              <w:rPr>
                <w:rFonts w:hint="eastAsia" w:asciiTheme="minorEastAsia" w:hAnsiTheme="minorEastAsia" w:eastAsiaTheme="minorEastAsia" w:cstheme="minorEastAsia"/>
                <w:b/>
                <w:bCs/>
                <w:lang w:bidi="ar"/>
              </w:rPr>
              <w:t xml:space="preserve">4.所投产品符合GB 20286-2006公共场所阻燃制品及组件燃烧性能要求和标识规定的不低于FV-1级要求。</w:t>
            </w:r>
            <w:r/>
          </w:p>
        </w:tc>
        <w:tc>
          <w:tcPr>
            <w:tcW w:w="2997" w:type="dxa"/>
            <w:vAlign w:val="center"/>
            <w:textDirection w:val="lrTb"/>
            <w:noWrap w:val="false"/>
          </w:tcPr>
          <w:p>
            <w:pPr>
              <w:spacing w:line="320" w:lineRule="exact"/>
              <w:rPr>
                <w:rFonts w:hint="eastAsia" w:ascii="宋体" w:hAnsi="宋体" w:cs="宋体"/>
              </w:rPr>
            </w:pPr>
            <w:r>
              <w:rPr>
                <w:rFonts w:hint="eastAsia" w:asciiTheme="minorEastAsia" w:hAnsiTheme="minorEastAsia" w:eastAsiaTheme="minorEastAsia" w:cstheme="minorEastAsia"/>
                <w:b/>
                <w:bCs/>
                <w:lang w:bidi="ar"/>
              </w:rPr>
              <w:t xml:space="preserve">提供检测报告，检测依据应符合相关标准（依据标准GB/T2408-2021，检测垂直燃烧试验的面板单体）并按第四章商务要求（其他要求的第2条）中明确的要求、提供相关佐证材料。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cs="宋体"/>
                <w:lang w:val="en-US" w:eastAsia="zh-CN"/>
              </w:rPr>
              <w:t xml:space="preserve">9</w:t>
            </w:r>
            <w:r/>
          </w:p>
        </w:tc>
        <w:tc>
          <w:tcPr>
            <w:tcW w:w="1699" w:type="dxa"/>
            <w:vAlign w:val="center"/>
            <w:textDirection w:val="lrTb"/>
            <w:noWrap w:val="false"/>
          </w:tcPr>
          <w:p>
            <w:pPr>
              <w:jc w:val="center"/>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rPr>
              <w:t xml:space="preserve">六类模块</w:t>
            </w:r>
            <w:r/>
          </w:p>
        </w:tc>
        <w:tc>
          <w:tcPr>
            <w:tcW w:w="3240" w:type="dxa"/>
            <w:vAlign w:val="center"/>
            <w:textDirection w:val="lrTb"/>
            <w:noWrap w:val="false"/>
          </w:tcPr>
          <w:p>
            <w:pPr>
              <w:jc w:val="left"/>
              <w:spacing w:line="320" w:lineRule="exact"/>
              <w:widowControl/>
              <w:rPr>
                <w:rFonts w:hint="eastAsia" w:ascii="宋体" w:hAnsi="宋体" w:cs="宋体"/>
                <w:color w:val="auto"/>
              </w:rPr>
            </w:pPr>
            <w:r>
              <w:rPr>
                <w:rFonts w:hint="eastAsia" w:asciiTheme="minorEastAsia" w:hAnsiTheme="minorEastAsia" w:eastAsiaTheme="minorEastAsia" w:cstheme="minorEastAsia"/>
                <w:color w:val="auto"/>
                <w:sz w:val="21"/>
                <w:szCs w:val="21"/>
                <w:lang w:bidi="ar"/>
              </w:rPr>
              <w:t xml:space="preserve">★6.与6类非屏蔽双绞线所组成的永久链路，其电气性能应符合GB/T50312-2016或ANSI/TIA-568.2-D:2018或TIA/EIA-568.2-D:2018或ISO/IEC11801-1现行国家或行业标准的规定。</w:t>
            </w:r>
            <w:r/>
          </w:p>
        </w:tc>
        <w:tc>
          <w:tcPr>
            <w:tcW w:w="2997" w:type="dxa"/>
            <w:vAlign w:val="center"/>
            <w:textDirection w:val="lrTb"/>
            <w:noWrap w:val="false"/>
          </w:tcPr>
          <w:p>
            <w:pPr>
              <w:spacing w:line="320" w:lineRule="exact"/>
              <w:rPr>
                <w:rFonts w:hint="eastAsia" w:ascii="宋体" w:hAnsi="宋体" w:cs="宋体"/>
                <w:color w:val="auto"/>
              </w:rPr>
            </w:pPr>
            <w:r>
              <w:rPr>
                <w:rFonts w:hint="eastAsia" w:asciiTheme="minorEastAsia" w:hAnsiTheme="minorEastAsia" w:eastAsiaTheme="minorEastAsia" w:cstheme="minorEastAsia"/>
                <w:b/>
                <w:bCs/>
                <w:color w:val="auto"/>
                <w:sz w:val="21"/>
                <w:szCs w:val="21"/>
                <w:lang w:bidi="ar"/>
              </w:rPr>
              <w:t xml:space="preserve">所投产品应符合相关标准（GB/T50312-2016或ANSI/TIA-568.2-D:2018或TIA/EIA-568.2-D:2018或ISO/IEC11801-1标准），提供检测报告或承诺函（格式自拟）。提供检测报告的，检测依据应符合相关标准（GB/T50312-2016或ANSI/TIA-568.2-D:2018或TIA/EIA-568.2-D:2018或ISO/IEC11801-1标准）并按第四章商务要求（其他要求的第2条）中明确的要求、提供相关佐证材料。</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32</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48芯室外单模光缆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tc>
          <w:tcPr>
            <w:tcW w:w="0" w:type="auto"/>
            <w:vAlign w:val="center"/>
            <w:textDirection w:val="lrTb"/>
            <w:noWrap w:val="false"/>
          </w:tcPr>
          <w:p>
            <w:pPr>
              <w:jc w:val="center"/>
              <w:spacing w:line="320" w:lineRule="exact"/>
              <w:widowControl/>
              <w:rPr>
                <w:rFonts w:hint="default" w:ascii="宋体" w:hAnsi="宋体" w:eastAsia="宋体" w:cs="宋体"/>
                <w:lang w:val="en-US" w:eastAsia="zh-CN"/>
              </w:rPr>
            </w:pPr>
            <w:r>
              <w:rPr>
                <w:rFonts w:hint="eastAsia" w:ascii="宋体" w:hAnsi="宋体" w:cs="宋体"/>
                <w:lang w:val="en-US" w:eastAsia="zh-CN"/>
              </w:rPr>
              <w:t xml:space="preserve">33</w:t>
            </w:r>
            <w:r/>
          </w:p>
        </w:tc>
        <w:tc>
          <w:tcPr>
            <w:tcW w:w="1699" w:type="dxa"/>
            <w:vAlign w:val="center"/>
            <w:textDirection w:val="lrTb"/>
            <w:noWrap w:val="false"/>
          </w:tcPr>
          <w:p>
            <w:pPr>
              <w:jc w:val="left"/>
              <w:spacing w:line="320" w:lineRule="exact"/>
              <w:widowControl/>
              <w:rPr>
                <w:rFonts w:hint="eastAsia" w:ascii="宋体" w:hAnsi="宋体" w:cs="宋体"/>
              </w:rPr>
            </w:pPr>
            <w:r>
              <w:rPr>
                <w:rFonts w:hint="eastAsia" w:asciiTheme="minorEastAsia" w:hAnsiTheme="minorEastAsia" w:eastAsiaTheme="minorEastAsia" w:cstheme="minorEastAsia"/>
              </w:rPr>
              <w:t xml:space="preserve">144芯室外单模光缆</w:t>
            </w:r>
            <w:r/>
          </w:p>
        </w:tc>
        <w:tc>
          <w:tcPr>
            <w:tcW w:w="3240" w:type="dxa"/>
            <w:vAlign w:val="center"/>
            <w:textDirection w:val="lrTb"/>
            <w:noWrap w:val="false"/>
          </w:tcPr>
          <w:p>
            <w:pPr>
              <w:jc w:val="left"/>
              <w:spacing w:line="320" w:lineRule="exact"/>
              <w:widowControl/>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c>
          <w:tcPr>
            <w:tcW w:w="2997" w:type="dxa"/>
            <w:vAlign w:val="center"/>
            <w:textDirection w:val="lrTb"/>
            <w:noWrap w:val="false"/>
          </w:tcPr>
          <w:p>
            <w:pPr>
              <w:spacing w:line="320" w:lineRule="exact"/>
              <w:rPr>
                <w:rFonts w:hint="eastAsia" w:ascii="宋体" w:hAnsi="宋体" w:cs="宋体"/>
              </w:rPr>
            </w:pPr>
            <w:r>
              <w:rPr>
                <w:rFonts w:hint="eastAsia" w:ascii="宋体" w:hAnsi="宋体" w:cs="宋体"/>
                <w:lang w:bidi="ar"/>
              </w:rPr>
              <w:t xml:space="preserve">★7.提供承诺函，承诺所投产品符合YD/T 901-2018等现行国家或行业标准针对室外光纤的要求，格式自拟。</w:t>
            </w:r>
            <w:r/>
          </w:p>
        </w:tc>
      </w:tr>
      <w:tr>
        <w:trPr/>
        <w:tc>
          <w:tcPr>
            <w:tcW w:w="586" w:type="dxa"/>
            <w:vAlign w:val="center"/>
            <w:textDirection w:val="lrTb"/>
            <w:noWrap w:val="false"/>
          </w:tcPr>
          <w:p>
            <w:pPr>
              <w:jc w:val="center"/>
              <w:spacing w:line="320" w:lineRule="exact"/>
              <w:widowControl/>
              <w:rPr>
                <w:rFonts w:hint="default" w:asciiTheme="minorEastAsia" w:hAnsiTheme="minorEastAsia" w:eastAsiaTheme="minorEastAsia" w:cstheme="minorEastAsia"/>
                <w:lang w:val="en-US" w:eastAsia="zh-CN" w:bidi="ar"/>
              </w:rPr>
            </w:pPr>
            <w:r>
              <w:rPr>
                <w:rFonts w:hint="default" w:asciiTheme="minorEastAsia" w:hAnsiTheme="minorEastAsia" w:eastAsiaTheme="minorEastAsia" w:cstheme="minorEastAsia"/>
                <w:lang w:val="en-US" w:eastAsia="zh-CN" w:bidi="ar"/>
              </w:rPr>
            </w:r>
            <w:r/>
          </w:p>
        </w:tc>
        <w:tc>
          <w:tcPr>
            <w:tcW w:w="1699" w:type="dxa"/>
            <w:vAlign w:val="center"/>
            <w:textDirection w:val="lrTb"/>
            <w:noWrap w:val="false"/>
          </w:tcPr>
          <w:p>
            <w:pPr>
              <w:jc w:val="left"/>
              <w:spacing w:line="320" w:lineRule="exact"/>
              <w:widowControl/>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检测报告要求</w:t>
            </w:r>
            <w:r/>
          </w:p>
        </w:tc>
        <w:tc>
          <w:tcPr>
            <w:tcW w:w="3240"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投标人关于检测报告合规性的承诺函</w:t>
            </w:r>
            <w:r/>
          </w:p>
        </w:tc>
        <w:tc>
          <w:tcPr>
            <w:tcW w:w="2997" w:type="dxa"/>
            <w:vAlign w:val="center"/>
            <w:textDirection w:val="lrTb"/>
            <w:noWrap w:val="false"/>
          </w:tcPr>
          <w:p>
            <w:pPr>
              <w:spacing w:line="320" w:lineRule="exact"/>
              <w:rPr>
                <w:rFonts w:hint="eastAsia" w:asciiTheme="minorEastAsia" w:hAnsiTheme="minorEastAsia" w:eastAsiaTheme="minorEastAsia" w:cstheme="minorEastAsia"/>
                <w:lang w:bidi="ar"/>
              </w:rPr>
            </w:pPr>
            <w:r>
              <w:rPr>
                <w:rFonts w:hint="eastAsia" w:asciiTheme="minorEastAsia" w:hAnsiTheme="minorEastAsia" w:eastAsiaTheme="minorEastAsia" w:cstheme="minorEastAsia"/>
                <w:lang w:bidi="ar"/>
              </w:rPr>
              <w:t xml:space="preserve">提供投标人关于检测报告合规性的承诺函（实质性格式，格式详见附件）</w:t>
            </w:r>
            <w:r/>
          </w:p>
        </w:tc>
      </w:tr>
    </w:tbl>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6"/>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6"/>
        </w:numPr>
        <w:spacing w:line="276" w:lineRule="auto"/>
        <w:rPr>
          <w:rFonts w:hint="eastAsia" w:asciiTheme="minorEastAsia" w:hAnsiTheme="minorEastAsia" w:eastAsiaTheme="minorEastAsia" w:cstheme="minorEastAsia"/>
          <w:b/>
          <w:bCs/>
          <w:sz w:val="24"/>
        </w:rPr>
      </w:pPr>
      <w:r/>
      <w:bookmarkStart w:id="209"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802"/>
        <w:tblW w:w="8319" w:type="dxa"/>
        <w:tblInd w:w="102" w:type="dxa"/>
        <w:tblLayout w:type="autofit"/>
        <w:tblCellMar>
          <w:left w:w="108" w:type="dxa"/>
          <w:top w:w="0" w:type="dxa"/>
          <w:right w:w="108" w:type="dxa"/>
          <w:bottom w:w="0" w:type="dxa"/>
        </w:tblCellMar>
        <w:tblLook w:val="04A0" w:firstRow="1" w:lastRow="0" w:firstColumn="1" w:lastColumn="0" w:noHBand="0" w:noVBand="1"/>
      </w:tblPr>
      <w:tblGrid>
        <w:gridCol w:w="878"/>
        <w:gridCol w:w="5046"/>
        <w:gridCol w:w="2395"/>
      </w:tblGrid>
      <w:tr>
        <w:trPr>
          <w:trHeight w:val="340"/>
        </w:trPr>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46"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采购标的</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bookmarkStart w:id="210" w:name="_Hlk227664755"/>
            <w:r>
              <w:rPr>
                <w:rFonts w:hint="eastAsia" w:asciiTheme="minorEastAsia" w:hAnsiTheme="minorEastAsia" w:eastAsiaTheme="minorEastAsia" w:cstheme="minorEastAsia"/>
                <w:color w:val="auto"/>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以太光汇聚交换机机（核心产品）</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8口光接入设备</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24口光光接入设备</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单模万兆光模块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bookmarkEnd w:id="210"/>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设备链路综合运维与安全管理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软件和信息技术服务业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国产化服务器(框架协议采购)</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4芯单模软铠装室内光缆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单开门多媒体箱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双开门多媒体箱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机柜</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4口熔接盒</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法兰盘</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单芯尾纤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LC-LC-60公分-普通-单模光纤跳线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LC-LC-1米-可寻线-单模光纤跳线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LC-LC-5米-可寻线-单模光纤跳线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LC-LC-10米-可寻线-单模光纤跳线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六类网线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六类水晶头</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阴阳式衰减器</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单口面板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双口面板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六类模块</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明装配电箱</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RVV3*1</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C32/断路器/D</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C16/断路器/D</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86明盒</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辅材线槽</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48芯室外单模铠装光缆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144芯室外单模铠装光缆</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34</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LC单芯尾纤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35</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LC-LC-5米-可寻线-单模光纤跳线</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36</w:t>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桥架线管</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设备拆除</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光纤链路测试</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tcPr>
          <w:p>
            <w:pPr>
              <w:jc w:val="center"/>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铜缆链路测试</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光纤熔接</w:t>
            </w:r>
            <w:r/>
          </w:p>
        </w:tc>
        <w:tc>
          <w:tcPr>
            <w:tcBorders>
              <w:top w:val="single" w:color="000000" w:sz="4" w:space="0"/>
              <w:left w:val="single" w:color="000000" w:sz="4" w:space="0"/>
              <w:bottom w:val="single" w:color="000000" w:sz="4" w:space="0"/>
              <w:right w:val="single" w:color="000000" w:sz="4" w:space="0"/>
            </w:tcBorders>
            <w:tcW w:w="2395" w:type="dxa"/>
            <w:vAlign w:val="center"/>
            <w:textDirection w:val="lrTb"/>
            <w:noWrap w:val="false"/>
          </w:tcPr>
          <w:p>
            <w:pPr>
              <w:jc w:val="center"/>
              <w:widowControl/>
              <w:rPr>
                <w:rFonts w:hint="eastAsia" w:asciiTheme="minorEastAsia" w:hAnsiTheme="minorEastAsia" w:eastAsiaTheme="minorEastAsia" w:cstheme="minorEastAsia"/>
                <w:color w:val="auto"/>
              </w:rPr>
            </w:pPr>
            <w:r>
              <w:rPr>
                <w:rFonts w:hint="eastAsia" w:ascii="宋体" w:hAnsi="宋体" w:cs="宋体"/>
                <w:color w:val="auto"/>
              </w:rPr>
              <w:t xml:space="preserve">其他未列明行业</w:t>
            </w:r>
            <w:r/>
          </w:p>
        </w:tc>
      </w:tr>
    </w:tbl>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209"/>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79"/>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79"/>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79"/>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79"/>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211" w:name="OLE_LINK1"/>
      <w:r/>
      <w:bookmarkStart w:id="212" w:name="OLE_LINK2"/>
      <w:r/>
      <w:bookmarkEnd w:id="211"/>
      <w:r/>
      <w:bookmarkEnd w:id="212"/>
      <w:r/>
      <w:r/>
    </w:p>
    <w:p>
      <w:pPr>
        <w:pStyle w:val="1079"/>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r/>
    </w:p>
    <w:tbl>
      <w:tblPr>
        <w:tblStyle w:val="80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0"/>
        <w:gridCol w:w="1348"/>
        <w:gridCol w:w="3773"/>
        <w:gridCol w:w="687"/>
        <w:gridCol w:w="687"/>
        <w:gridCol w:w="687"/>
        <w:gridCol w:w="687"/>
      </w:tblGrid>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bookmarkStart w:id="213" w:name="_Toc3874"/>
            <w:r/>
            <w:bookmarkStart w:id="250" w:name="_GoBack"/>
            <w:r>
              <w:rPr>
                <w:rFonts w:hint="eastAsia" w:asciiTheme="minorEastAsia" w:hAnsiTheme="minorEastAsia" w:eastAsiaTheme="minorEastAsia" w:cs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最低分值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最高分值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asciiTheme="minorEastAsia" w:hAnsiTheme="minorEastAsia" w:eastAsiaTheme="minorEastAsia" w:cstheme="minorEastAsia"/>
                <w:b/>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asciiTheme="minorEastAsia" w:hAnsiTheme="minorEastAsia" w:eastAsiaTheme="minorEastAsia" w:cstheme="minorEastAsia"/>
                <w:b/>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lang w:bidi="ar"/>
              </w:rPr>
              <w:t xml:space="preserve">采用低价优先法计算，即满足招标文件要求且投标价格最低的投标报价为评标基准价，其价格分为满分。其他投标人的价格分统一按照下列公式计算：</w:t>
            </w:r>
            <w:bookmarkStart w:id="214" w:name="OLE_LINK36"/>
            <w:r/>
            <w:bookmarkStart w:id="215" w:name="OLE_LINK35"/>
            <w:r>
              <w:rPr>
                <w:rFonts w:hint="eastAsia" w:asciiTheme="minorEastAsia" w:hAnsiTheme="minorEastAsia" w:eastAsiaTheme="minorEastAsia" w:cstheme="minorEastAsia"/>
                <w:lang w:bidi="ar"/>
              </w:rPr>
              <w:t xml:space="preserve">投标报价得分=(评标基准价／投标报价)×价格权值×100</w:t>
            </w:r>
            <w:bookmarkEnd w:id="214"/>
            <w:r/>
            <w:bookmarkEnd w:id="215"/>
            <w:r>
              <w:rPr>
                <w:rFonts w:hint="eastAsia" w:asciiTheme="minorEastAsia" w:hAnsiTheme="minorEastAsia" w:eastAsiaTheme="minorEastAsia" w:cstheme="minorEastAsia"/>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35</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最低分值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最高分值</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是否暗标评审</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技术分</w:t>
            </w:r>
            <w:r/>
          </w:p>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下列（2.1，2.2，2.3</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2.4</w:t>
            </w:r>
            <w:r>
              <w:rPr>
                <w:rFonts w:hint="eastAsia" w:asciiTheme="minorEastAsia" w:hAnsiTheme="minorEastAsia" w:eastAsiaTheme="minorEastAsia" w:cstheme="minorEastAsia"/>
                <w:b/>
                <w:bCs/>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asciiTheme="minorEastAsia" w:hAnsiTheme="minorEastAsia" w:eastAsiaTheme="minorEastAsia" w:cstheme="minorEastAsia"/>
                <w:b/>
                <w:bCs/>
              </w:rPr>
              <w:t xml:space="preserve">1</w:t>
            </w:r>
            <w:r>
              <w:rPr>
                <w:rFonts w:hint="eastAsia" w:asciiTheme="minorEastAsia" w:hAnsiTheme="minorEastAsia" w:eastAsiaTheme="minorEastAsia" w:cstheme="minorEastAsia"/>
                <w:b/>
                <w:bCs/>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根据本项目的特点，提供详细方案，包含：①</w:t>
            </w:r>
            <w:bookmarkStart w:id="216" w:name="OLE_LINK37"/>
            <w:r/>
            <w:bookmarkStart w:id="217" w:name="OLE_LINK31"/>
            <w:r>
              <w:rPr>
                <w:rFonts w:hint="eastAsia" w:asciiTheme="minorEastAsia" w:hAnsiTheme="minorEastAsia" w:eastAsiaTheme="minorEastAsia" w:cstheme="minorEastAsia"/>
              </w:rPr>
              <w:t xml:space="preserve">现场勘察报告</w:t>
            </w:r>
            <w:bookmarkEnd w:id="216"/>
            <w:r/>
            <w:bookmarkEnd w:id="217"/>
            <w:r>
              <w:rPr>
                <w:rFonts w:hint="eastAsia" w:asciiTheme="minorEastAsia" w:hAnsiTheme="minorEastAsia" w:eastAsiaTheme="minorEastAsia" w:cstheme="minorEastAsia"/>
              </w:rPr>
              <w:t xml:space="preserve">；②网络技术方案；③网络改造拓扑图；④现有核心交换机、华为</w:t>
            </w:r>
            <w:r>
              <w:rPr>
                <w:rFonts w:asciiTheme="minorEastAsia" w:hAnsiTheme="minorEastAsia" w:eastAsiaTheme="minorEastAsia" w:cstheme="minorEastAsia"/>
              </w:rPr>
              <w:t xml:space="preserve">ME60</w:t>
            </w:r>
            <w:r>
              <w:rPr>
                <w:rFonts w:hint="eastAsia" w:asciiTheme="minorEastAsia" w:hAnsiTheme="minorEastAsia" w:eastAsiaTheme="minorEastAsia" w:cstheme="minorEastAsia"/>
              </w:rPr>
              <w:t xml:space="preserve">等设备利旧方案及调试策略配置；⑤整体网络割接五个方面，</w:t>
            </w:r>
            <w:r>
              <w:rPr>
                <w:rFonts w:hAnsi="宋体" w:cs="宋体"/>
              </w:rPr>
              <w:t xml:space="preserve">结合以上要求，分为以下</w:t>
            </w:r>
            <w:r>
              <w:rPr>
                <w:rFonts w:hint="eastAsia" w:hAnsi="宋体" w:cs="宋体"/>
              </w:rPr>
              <w:t xml:space="preserve">三</w:t>
            </w:r>
            <w:r>
              <w:rPr>
                <w:rFonts w:hAnsi="宋体" w:cs="宋体"/>
              </w:rPr>
              <w:t xml:space="preserve">个等级：</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1.技术方案完整，现场勘察报告详细掌握学校真实环境，</w:t>
            </w:r>
            <w:r>
              <w:rPr>
                <w:rFonts w:hint="eastAsia" w:ascii="宋体" w:hAnsi="宋体" w:cs="宋体"/>
              </w:rPr>
              <w:t xml:space="preserve">对项目中的特点、重点和难点有详细阐述，</w:t>
            </w:r>
            <w:r>
              <w:rPr>
                <w:rFonts w:hint="eastAsia" w:asciiTheme="minorEastAsia" w:hAnsiTheme="minorEastAsia" w:eastAsiaTheme="minorEastAsia" w:cstheme="minorEastAsia"/>
              </w:rPr>
              <w:t xml:space="preserve">针对性强，细节完善，得</w:t>
            </w:r>
            <w:r>
              <w:rPr>
                <w:rFonts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6</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bookmarkStart w:id="218" w:name="OLE_LINK32"/>
            <w:r>
              <w:rPr>
                <w:rFonts w:hint="eastAsia" w:asciiTheme="minorEastAsia" w:hAnsiTheme="minorEastAsia" w:eastAsiaTheme="minorEastAsia" w:cstheme="minorEastAsia"/>
              </w:rPr>
              <w:t xml:space="preserve">技术方案完整，细节简单，基本符合项目需求，得</w:t>
            </w:r>
            <w:r>
              <w:rPr>
                <w:rFonts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分；</w:t>
            </w:r>
            <w:bookmarkEnd w:id="218"/>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 技术方案不完整，针对性一般，得1-2分；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未提供不得分。</w:t>
            </w:r>
            <w:r>
              <w:rPr>
                <w:rFonts w:asciiTheme="minorEastAsia" w:hAnsiTheme="minorEastAsia" w:eastAsiaTheme="minorEastAsia" w:cstheme="minorEastAsi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6</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cstheme="minorEastAsia"/>
              </w:rPr>
            </w:pPr>
            <w:r>
              <w:rPr>
                <w:rFonts w:hint="eastAsia" w:ascii="宋体" w:hAnsi="宋体" w:cs="宋体"/>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根据招标文件的要求，详细说明在每一个环节中具体做法，</w:t>
            </w:r>
            <w:r>
              <w:rPr>
                <w:rFonts w:hint="eastAsia" w:asciiTheme="minorEastAsia" w:hAnsiTheme="minorEastAsia" w:eastAsiaTheme="minorEastAsia" w:cstheme="minorEastAsia"/>
                <w:color w:val="auto"/>
              </w:rPr>
              <w:t xml:space="preserve">包含①楼宇设备点位图（需包含设备点位位置、主干光纤点位及弱电间位置等）</w:t>
            </w:r>
            <w:r>
              <w:rPr>
                <w:rFonts w:hint="eastAsia" w:asciiTheme="minorEastAsia" w:hAnsiTheme="minorEastAsia" w:eastAsiaTheme="minorEastAsia" w:cstheme="minorEastAsia"/>
              </w:rPr>
              <w:t xml:space="preserve">；②工作进度计划和</w:t>
            </w:r>
            <w:r>
              <w:rPr>
                <w:rFonts w:hAnsi="宋体" w:cs="宋体"/>
              </w:rPr>
              <w:t xml:space="preserve">人员的合理配备</w:t>
            </w:r>
            <w:r>
              <w:rPr>
                <w:rFonts w:hint="eastAsia" w:asciiTheme="minorEastAsia" w:hAnsiTheme="minorEastAsia" w:eastAsiaTheme="minorEastAsia" w:cstheme="minorEastAsia"/>
              </w:rPr>
              <w:t xml:space="preserve">；③项目进度质量保证措施；④</w:t>
            </w:r>
            <w:bookmarkStart w:id="219" w:name="OLE_LINK14"/>
            <w:r/>
            <w:bookmarkStart w:id="220" w:name="OLE_LINK8"/>
            <w:r>
              <w:rPr>
                <w:rFonts w:hint="eastAsia" w:asciiTheme="minorEastAsia" w:hAnsiTheme="minorEastAsia" w:eastAsiaTheme="minorEastAsia" w:cstheme="minorEastAsia"/>
              </w:rPr>
              <w:t xml:space="preserve">提供</w:t>
            </w:r>
            <w:bookmarkStart w:id="221" w:name="OLE_LINK42"/>
            <w:r/>
            <w:bookmarkStart w:id="222" w:name="OLE_LINK41"/>
            <w:r>
              <w:rPr>
                <w:rFonts w:hint="eastAsia" w:asciiTheme="minorEastAsia" w:hAnsiTheme="minorEastAsia" w:eastAsiaTheme="minorEastAsia" w:cstheme="minorEastAsia"/>
              </w:rPr>
              <w:t xml:space="preserve">典型场景施工方案</w:t>
            </w:r>
            <w:bookmarkEnd w:id="221"/>
            <w:r/>
            <w:bookmarkEnd w:id="222"/>
            <w:r>
              <w:rPr>
                <w:rFonts w:hint="eastAsia" w:asciiTheme="minorEastAsia" w:hAnsiTheme="minorEastAsia" w:eastAsiaTheme="minorEastAsia" w:cstheme="minorEastAsia"/>
              </w:rPr>
              <w:t xml:space="preserve">及点位示意图</w:t>
            </w:r>
            <w:bookmarkEnd w:id="219"/>
            <w:r/>
            <w:bookmarkEnd w:id="220"/>
            <w:r>
              <w:rPr>
                <w:rFonts w:hint="eastAsia" w:asciiTheme="minorEastAsia" w:hAnsiTheme="minorEastAsia" w:eastAsiaTheme="minorEastAsia" w:cstheme="minorEastAsia"/>
              </w:rPr>
              <w:t xml:space="preserve">；⑤对不可预见因素的预测及解决方案五个方面，</w:t>
            </w:r>
            <w:r>
              <w:rPr>
                <w:rFonts w:hAnsi="宋体" w:cs="宋体"/>
              </w:rPr>
              <w:t xml:space="preserve">结合以上要求，分为以下</w:t>
            </w:r>
            <w:r>
              <w:rPr>
                <w:rFonts w:hint="eastAsia" w:hAnsi="宋体" w:cs="宋体"/>
              </w:rPr>
              <w:t xml:space="preserve">三</w:t>
            </w:r>
            <w:r>
              <w:rPr>
                <w:rFonts w:hAnsi="宋体" w:cs="宋体"/>
              </w:rPr>
              <w:t xml:space="preserve">个等级</w:t>
            </w:r>
            <w:r>
              <w:rPr>
                <w:rFonts w:hint="eastAsia" w:hAnsi="宋体" w:cs="宋体"/>
              </w:rPr>
              <w:t xml:space="preserve">：</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1.实施方案完整合理，针对性强，细节完善，</w:t>
            </w:r>
            <w:r>
              <w:rPr>
                <w:rFonts w:hint="eastAsia" w:ascii="宋体" w:hAnsi="宋体" w:cs="宋体"/>
              </w:rPr>
              <w:t xml:space="preserve">对项目中的特点、重点和难点有详细阐述，</w:t>
            </w:r>
            <w:r>
              <w:rPr>
                <w:rFonts w:hint="eastAsia" w:asciiTheme="minorEastAsia" w:hAnsiTheme="minorEastAsia" w:eastAsiaTheme="minorEastAsia" w:cstheme="minorEastAsia"/>
              </w:rPr>
              <w:t xml:space="preserve">楼宇设备点位图（需包含设备点位位置、主干光纤点位及弱电间位置等）准确无误，</w:t>
            </w:r>
            <w:r>
              <w:rPr>
                <w:rFonts w:hint="eastAsia" w:ascii="宋体" w:hAnsi="宋体" w:cs="宋体"/>
              </w:rPr>
              <w:t xml:space="preserve">施工过程规范，人员配备合理，有严格完备的质量监控程序，</w:t>
            </w:r>
            <w:r>
              <w:rPr>
                <w:rFonts w:hint="eastAsia" w:asciiTheme="minorEastAsia" w:hAnsiTheme="minorEastAsia" w:eastAsiaTheme="minorEastAsia" w:cstheme="minorEastAsia"/>
              </w:rPr>
              <w:t xml:space="preserve">得</w:t>
            </w:r>
            <w:r>
              <w:rPr>
                <w:rFonts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w:t>
            </w:r>
            <w:r>
              <w:rPr>
                <w:rFonts w:asciiTheme="minorEastAsia" w:hAnsiTheme="minorEastAsia" w:eastAsiaTheme="minorEastAsia" w:cstheme="minorEastAsia"/>
              </w:rPr>
              <w:t xml:space="preserve">6</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2.实施方案完整，楼宇设备点位图（需包含设备点位位置、主干光纤点位及弱电间位置等）大致准确，</w:t>
            </w:r>
            <w:r>
              <w:rPr>
                <w:rFonts w:hint="eastAsia" w:ascii="宋体" w:hAnsi="宋体" w:cs="宋体"/>
              </w:rPr>
              <w:t xml:space="preserve">对项目中的特点、重点和难点阐述粗略，施工过程规范性、人员配备合理性、质量监控程序严格性一般，</w:t>
            </w:r>
            <w:r>
              <w:rPr>
                <w:rFonts w:hint="eastAsia" w:asciiTheme="minorEastAsia" w:hAnsiTheme="minorEastAsia" w:eastAsiaTheme="minorEastAsia" w:cstheme="minorEastAsia"/>
              </w:rPr>
              <w:t xml:space="preserve">得3-</w:t>
            </w:r>
            <w:r>
              <w:rPr>
                <w:rFonts w:asciiTheme="minorEastAsia" w:hAnsiTheme="minorEastAsia" w:eastAsiaTheme="minorEastAsia" w:cstheme="minorEastAsia"/>
              </w:rPr>
              <w:t xml:space="preserve">4</w:t>
            </w:r>
            <w:r>
              <w:rPr>
                <w:rFonts w:hint="eastAsia" w:asciiTheme="minorEastAsia" w:hAnsiTheme="minorEastAsia" w:eastAsiaTheme="minorEastAsia" w:cstheme="minorEastAsia"/>
              </w:rPr>
              <w:t xml:space="preserve">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3.实施方案不完整，方案简单，楼宇设备点位图（需包含设备点位位置、主干光纤点位及弱电间位置等）</w:t>
            </w:r>
            <w:r>
              <w:rPr>
                <w:rFonts w:hint="eastAsia" w:asciiTheme="minorEastAsia" w:hAnsiTheme="minorEastAsia" w:eastAsiaTheme="minorEastAsia" w:cstheme="minorEastAsia"/>
                <w:lang w:val="en-US" w:eastAsia="zh-CN"/>
              </w:rPr>
              <w:t xml:space="preserve">误差大</w:t>
            </w:r>
            <w:r>
              <w:rPr>
                <w:rFonts w:hint="eastAsia" w:asciiTheme="minorEastAsia" w:hAnsiTheme="minorEastAsia" w:eastAsiaTheme="minorEastAsia" w:cstheme="minorEastAsia"/>
              </w:rPr>
              <w:t xml:space="preserve">，</w:t>
            </w:r>
            <w:r>
              <w:rPr>
                <w:rFonts w:hint="eastAsia" w:ascii="宋体" w:hAnsi="宋体" w:cs="宋体"/>
              </w:rPr>
              <w:t xml:space="preserve">对项目中的特点、重点和难点没有阐述，施工过程规范性不合理，人员配备不合理，没有质量监控程序，</w:t>
            </w:r>
            <w:r>
              <w:rPr>
                <w:rFonts w:hint="eastAsia" w:asciiTheme="minorEastAsia" w:hAnsiTheme="minorEastAsia" w:eastAsiaTheme="minorEastAsia" w:cstheme="minorEastAsia"/>
              </w:rPr>
              <w:t xml:space="preserve">得1-2分；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6</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培训方案</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提供完善的产品培训方案，从师资情况、时间安排、培训内容及教材等方面:</w:t>
            </w:r>
            <w:r/>
          </w:p>
          <w:p>
            <w:pPr>
              <w:jc w:val="left"/>
              <w:keepLines w:val="0"/>
              <w:keepNext w:val="0"/>
              <w:pageBreakBefore w:val="0"/>
              <w:spacing w:line="360" w:lineRule="exact"/>
              <w:widowControl/>
              <w:rPr>
                <w:rFonts w:ascii="宋体" w:hAnsi="宋体" w:cs="宋体"/>
                <w:highlight w:val="none"/>
              </w:rPr>
            </w:pPr>
            <w:r>
              <w:rPr>
                <w:rFonts w:hint="eastAsia" w:ascii="宋体" w:hAnsi="宋体" w:cs="宋体"/>
                <w:highlight w:val="none"/>
              </w:rPr>
              <w:t xml:space="preserve">1.方案科学详细，完善可行，得1</w:t>
            </w:r>
            <w:r>
              <w:rPr>
                <w:rFonts w:hint="eastAsia" w:ascii="宋体" w:hAnsi="宋体" w:cs="宋体"/>
                <w:highlight w:val="none"/>
                <w:lang w:val="en-US" w:eastAsia="zh-CN"/>
              </w:rPr>
              <w:t xml:space="preserve">分</w:t>
            </w:r>
            <w:r>
              <w:rPr>
                <w:rFonts w:hint="eastAsia" w:ascii="宋体" w:hAnsi="宋体" w:cs="宋体"/>
                <w:highlight w:val="none"/>
              </w:rPr>
              <w:t xml:space="preserve">。</w:t>
            </w:r>
            <w:r/>
          </w:p>
          <w:p>
            <w:pPr>
              <w:jc w:val="left"/>
              <w:keepLines w:val="0"/>
              <w:keepNext w:val="0"/>
              <w:pageBreakBefore w:val="0"/>
              <w:spacing w:line="360" w:lineRule="exact"/>
              <w:widowControl/>
              <w:rPr>
                <w:rFonts w:hint="eastAsia" w:ascii="宋体" w:hAnsi="宋体" w:eastAsia="宋体" w:cs="宋体"/>
                <w:sz w:val="21"/>
                <w:szCs w:val="21"/>
                <w:highlight w:val="none"/>
                <w:lang w:val="en-US" w:eastAsia="zh-CN" w:bidi="ar"/>
              </w:rPr>
            </w:pPr>
            <w:r>
              <w:rPr>
                <w:rFonts w:hint="eastAsia" w:ascii="宋体" w:hAnsi="宋体" w:cs="宋体"/>
                <w:highlight w:val="none"/>
              </w:rPr>
              <w:t xml:space="preserve">2.方案过于简单或者不提供方案不得分。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 xml:space="preserve">2.</w:t>
            </w:r>
            <w:r>
              <w:rPr>
                <w:rFonts w:hint="eastAsia" w:asciiTheme="minorEastAsia" w:hAnsiTheme="minorEastAsia" w:eastAsiaTheme="minorEastAsia" w:cstheme="minorEastAsia"/>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投标人提供详细的售后服务方案。</w:t>
            </w:r>
            <w:r/>
          </w:p>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评委根据投标人售后人员配置、技术能力和时间</w:t>
            </w:r>
            <w:r>
              <w:rPr>
                <w:rFonts w:hint="eastAsia" w:ascii="宋体" w:hAnsi="宋体" w:cs="宋体"/>
                <w:color w:val="auto"/>
                <w:highlight w:val="none"/>
                <w:lang w:eastAsia="zh-CN"/>
              </w:rPr>
              <w:t xml:space="preserve">投标</w:t>
            </w:r>
            <w:r>
              <w:rPr>
                <w:rFonts w:hint="eastAsia" w:ascii="宋体" w:hAnsi="宋体" w:cs="宋体"/>
                <w:color w:val="auto"/>
                <w:highlight w:val="none"/>
              </w:rPr>
              <w:t xml:space="preserve">保障等方面综合考量投标人的综合服务能力，分两个等级：</w:t>
            </w:r>
            <w:r/>
          </w:p>
          <w:p>
            <w:pPr>
              <w:pStyle w:val="809"/>
              <w:jc w:val="left"/>
              <w:keepLines w:val="0"/>
              <w:keepNext w:val="0"/>
              <w:pageBreakBefore w:val="0"/>
              <w:spacing w:line="360" w:lineRule="exact"/>
              <w:rPr>
                <w:rFonts w:hAnsi="宋体" w:cs="宋体"/>
                <w:color w:val="auto"/>
                <w:szCs w:val="21"/>
                <w:highlight w:val="none"/>
              </w:rPr>
            </w:pPr>
            <w:r>
              <w:rPr>
                <w:rFonts w:hAnsi="宋体" w:cs="宋体"/>
                <w:color w:val="auto"/>
                <w:szCs w:val="21"/>
                <w:highlight w:val="none"/>
              </w:rPr>
              <w:t xml:space="preserve">A.能够提供真实在使用的截图服务工单（包含工单号、报修单位（用户单位）、故障现象、任务单状态、处理人等），服务方案详细可行，能为用户提供完善的维护维修和技术保障服务，得2分；</w:t>
            </w:r>
            <w:r/>
          </w:p>
          <w:p>
            <w:pPr>
              <w:jc w:val="left"/>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color w:val="auto"/>
                <w:highlight w:val="none"/>
              </w:rPr>
              <w:t xml:space="preserve">B.服务方案简单，仅能为用户提供有限的售后服务，得1分；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highlight w:val="none"/>
              </w:rPr>
              <w:t xml:space="preserve">C.</w:t>
            </w:r>
            <w:r>
              <w:rPr>
                <w:rFonts w:hint="eastAsia" w:ascii="宋体" w:hAnsi="宋体" w:cs="宋体"/>
                <w:color w:val="auto"/>
                <w:highlight w:val="none"/>
                <w:lang w:bidi="ar"/>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2</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5" w:type="pct"/>
            <w:vAlign w:val="center"/>
            <w:textDirection w:val="lrTb"/>
            <w:noWrap w:val="false"/>
          </w:tcPr>
          <w:p>
            <w:pPr>
              <w:jc w:val="both"/>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asciiTheme="minorEastAsia" w:hAnsiTheme="minorEastAsia" w:eastAsiaTheme="minorEastAsia" w:cstheme="minorEastAsia"/>
                <w:b/>
                <w:bCs/>
              </w:rPr>
              <w:t xml:space="preserve">5</w:t>
            </w:r>
            <w:r>
              <w:rPr>
                <w:rFonts w:hint="eastAsia" w:asciiTheme="minorEastAsia" w:hAnsiTheme="minorEastAsia" w:eastAsiaTheme="minorEastAsia" w:cstheme="minorEastAsia"/>
                <w:b/>
                <w:bCs/>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689"/>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rPr>
              <w:t xml:space="preserve">根据投标单位技术偏离表中对本招标文件中产品技术指标（参数）的响应程度</w:t>
            </w:r>
            <w:r>
              <w:rPr>
                <w:rFonts w:hint="eastAsia" w:asciiTheme="minorEastAsia" w:hAnsiTheme="minorEastAsia" w:eastAsiaTheme="minorEastAsia" w:cstheme="minorEastAsia"/>
                <w:b/>
                <w:bCs/>
                <w:color w:val="auto"/>
              </w:rPr>
              <w:t xml:space="preserve">打分，所投产品全部满足招标文件技术参数要求得</w:t>
            </w:r>
            <w:r>
              <w:rPr>
                <w:rFonts w:hint="eastAsia" w:asciiTheme="minorEastAsia" w:hAnsiTheme="minorEastAsia" w:eastAsiaTheme="minorEastAsia" w:cstheme="minorEastAsia"/>
                <w:b/>
                <w:bCs/>
                <w:color w:val="auto"/>
                <w:lang w:val="en-US" w:eastAsia="zh-CN"/>
              </w:rPr>
              <w:t xml:space="preserve">27</w:t>
            </w:r>
            <w:r>
              <w:rPr>
                <w:rFonts w:hint="eastAsia" w:asciiTheme="minorEastAsia" w:hAnsiTheme="minorEastAsia" w:eastAsiaTheme="minorEastAsia" w:cstheme="minorEastAsia"/>
                <w:b/>
                <w:bCs/>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u w:val="single"/>
              </w:rPr>
              <w:t xml:space="preserve">1.带▲项为重要参数，出现一项负偏离扣</w:t>
            </w:r>
            <w:r>
              <w:rPr>
                <w:rFonts w:asciiTheme="minorEastAsia" w:hAnsiTheme="minorEastAsia" w:eastAsiaTheme="minorEastAsia" w:cstheme="minorEastAsia"/>
                <w:color w:val="auto"/>
                <w:u w:val="single"/>
              </w:rPr>
              <w:t xml:space="preserve">1</w:t>
            </w:r>
            <w:r>
              <w:rPr>
                <w:rFonts w:hint="eastAsia" w:asciiTheme="minorEastAsia" w:hAnsiTheme="minorEastAsia" w:eastAsiaTheme="minorEastAsia" w:cstheme="minorEastAsia"/>
                <w:color w:val="auto"/>
                <w:u w:val="single"/>
              </w:rPr>
              <w:t xml:space="preserve">分；2.其他参数为一般参数，出现一项负偏离扣</w:t>
            </w:r>
            <w:r>
              <w:rPr>
                <w:rFonts w:asciiTheme="minorEastAsia" w:hAnsiTheme="minorEastAsia" w:eastAsiaTheme="minorEastAsia" w:cstheme="minorEastAsia"/>
                <w:color w:val="auto"/>
                <w:u w:val="single"/>
              </w:rPr>
              <w:t xml:space="preserve">0.5</w:t>
            </w:r>
            <w:r>
              <w:rPr>
                <w:rFonts w:hint="eastAsia" w:asciiTheme="minorEastAsia" w:hAnsiTheme="minorEastAsia" w:eastAsiaTheme="minorEastAsia" w:cstheme="minorEastAsia"/>
                <w:color w:val="auto"/>
                <w:u w:val="single"/>
              </w:rPr>
              <w:t xml:space="preserve">分，扣完为止。</w:t>
            </w:r>
            <w:r>
              <w:rPr>
                <w:rFonts w:hint="eastAsia" w:asciiTheme="minorEastAsia" w:hAnsiTheme="minorEastAsia" w:eastAsiaTheme="minorEastAsia" w:cstheme="minorEastAsia"/>
                <w:color w:val="auto"/>
              </w:rPr>
              <w:t xml:space="preserve">打“★”项如有负偏离作为无效投标。如有提供虚假技术参数的，一经发现作无效投标处理。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b/>
                <w:bCs/>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27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r>
      <w:tr>
        <w:trPr>
          <w:trHeight w:val="689"/>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default"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1"/>
                <w:szCs w:val="21"/>
                <w:lang w:val="en-US" w:eastAsia="zh-CN" w:bidi="ar-SA"/>
              </w:rPr>
            </w:pPr>
            <w:r>
              <w:rPr>
                <w:rFonts w:hint="eastAsia" w:ascii="宋体" w:hAnsi="宋体" w:cs="宋体"/>
              </w:rPr>
              <w:t xml:space="preserve">案例</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根据投标单位提供的2023年5月1日以来签订的、</w:t>
            </w:r>
            <w:r>
              <w:rPr>
                <w:rFonts w:hint="eastAsia" w:ascii="宋体" w:hAnsi="宋体" w:cs="宋体"/>
                <w:b/>
                <w:bCs/>
              </w:rPr>
              <w:t xml:space="preserve">与本采购项目技术特点和需求类似的业绩，提供合同</w:t>
            </w:r>
            <w:r>
              <w:rPr>
                <w:rFonts w:hint="eastAsia" w:ascii="宋体" w:hAnsi="宋体" w:cs="宋体"/>
              </w:rPr>
              <w:t xml:space="preserve">（提供合同全文扫描件）</w:t>
            </w:r>
            <w:r>
              <w:rPr>
                <w:rFonts w:hint="eastAsia" w:ascii="宋体" w:hAnsi="宋体" w:cs="宋体"/>
                <w:b/>
                <w:bCs/>
              </w:rPr>
              <w:t xml:space="preserve">、验收报告</w:t>
            </w:r>
            <w:r>
              <w:rPr>
                <w:rFonts w:hint="eastAsia" w:ascii="宋体" w:hAnsi="宋体" w:cs="宋体"/>
                <w:b/>
                <w:bCs/>
                <w:color w:val="ff0000"/>
                <w:lang w:val="en-US" w:eastAsia="zh-CN"/>
              </w:rPr>
              <w:t xml:space="preserve">和</w:t>
            </w:r>
            <w:r>
              <w:rPr>
                <w:rFonts w:hint="eastAsia" w:ascii="宋体" w:hAnsi="宋体" w:cs="宋体"/>
                <w:b/>
                <w:bCs/>
              </w:rPr>
              <w:t xml:space="preserve">结算发票作为证明材料</w:t>
            </w:r>
            <w:r>
              <w:rPr>
                <w:rFonts w:hint="eastAsia" w:ascii="宋体" w:hAnsi="宋体" w:cs="宋体"/>
              </w:rPr>
              <w:t xml:space="preserve">（提供项目验收报告</w:t>
            </w:r>
            <w:r>
              <w:rPr>
                <w:rFonts w:hint="eastAsia" w:ascii="宋体" w:hAnsi="宋体" w:cs="宋体"/>
                <w:color w:val="ff0000"/>
                <w:lang w:val="en-US" w:eastAsia="zh-CN"/>
              </w:rPr>
              <w:t xml:space="preserve">和</w:t>
            </w:r>
            <w:r>
              <w:rPr>
                <w:rFonts w:hint="eastAsia" w:ascii="宋体" w:hAnsi="宋体" w:cs="宋体"/>
              </w:rPr>
              <w:t xml:space="preserve">结算发票扫描件）进行评价，合同需符合下述要求：</w:t>
            </w:r>
            <w:r/>
          </w:p>
          <w:p>
            <w:pPr>
              <w:jc w:val="left"/>
              <w:keepLines w:val="0"/>
              <w:keepNext w:val="0"/>
              <w:pageBreakBefore w:val="0"/>
              <w:spacing w:line="360" w:lineRule="exact"/>
              <w:widowControl/>
              <w:rPr>
                <w:rFonts w:hint="eastAsia" w:ascii="宋体" w:hAnsi="宋体" w:cs="宋体"/>
              </w:rPr>
            </w:pPr>
            <w:r>
              <w:rPr>
                <w:rFonts w:hint="eastAsia" w:ascii="宋体" w:hAnsi="宋体" w:cs="宋体"/>
              </w:rPr>
              <w:t xml:space="preserve">1. 合同时间以签订日期为准。</w:t>
            </w:r>
            <w:r/>
          </w:p>
          <w:p>
            <w:pPr>
              <w:jc w:val="left"/>
              <w:keepLines w:val="0"/>
              <w:keepNext w:val="0"/>
              <w:pageBreakBefore w:val="0"/>
              <w:spacing w:line="360" w:lineRule="exact"/>
              <w:widowControl/>
              <w:rPr>
                <w:rFonts w:hint="eastAsia" w:ascii="宋体" w:hAnsi="宋体" w:eastAsia="宋体" w:cs="宋体"/>
                <w:sz w:val="21"/>
                <w:szCs w:val="21"/>
                <w:lang w:val="en-US" w:eastAsia="zh-CN" w:bidi="ar-SA"/>
              </w:rPr>
            </w:pPr>
            <w:r>
              <w:rPr>
                <w:rFonts w:hint="eastAsia" w:ascii="宋体" w:hAnsi="宋体" w:cs="宋体"/>
              </w:rPr>
              <w:t xml:space="preserve">2. 每提供1份得1分，最高得2分。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0</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rPr>
              <w:t xml:space="preserve">是</w:t>
            </w:r>
            <w:r/>
          </w:p>
        </w:tc>
      </w:tr>
      <w:tr>
        <w:trPr>
          <w:trHeight w:val="418"/>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产品实力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numPr>
                <w:ilvl w:val="0"/>
                <w:numId w:val="17"/>
              </w:numPr>
              <w:jc w:val="left"/>
              <w:keepLines w:val="0"/>
              <w:keepNext w:val="0"/>
              <w:pageBreakBefore w:val="0"/>
              <w:spacing w:line="360" w:lineRule="exact"/>
              <w:rPr>
                <w:rFonts w:hint="eastAsia" w:ascii="宋体" w:hAnsi="宋体" w:cs="宋体"/>
                <w:color w:val="auto"/>
              </w:rPr>
            </w:pPr>
            <w:r>
              <w:rPr>
                <w:rFonts w:hint="eastAsia" w:ascii="宋体" w:hAnsi="宋体" w:cs="宋体"/>
                <w:color w:val="auto"/>
              </w:rPr>
              <w:t xml:space="preserve">为保证设备兼容稳定性、维护的统一性和便捷性，以太光汇聚交换机、8口光接入设备、24口光光接入设备、光模块</w:t>
            </w:r>
            <w:r>
              <w:rPr>
                <w:rFonts w:hint="eastAsia" w:ascii="宋体" w:hAnsi="宋体" w:cs="宋体"/>
                <w:color w:val="auto"/>
                <w:lang w:eastAsia="zh-CN"/>
              </w:rPr>
              <w:t xml:space="preserve">（</w:t>
            </w:r>
            <w:r>
              <w:rPr>
                <w:rFonts w:hint="eastAsia" w:ascii="宋体" w:hAnsi="宋体" w:cs="宋体"/>
                <w:color w:val="auto"/>
                <w:lang w:val="en-US" w:eastAsia="zh-CN"/>
              </w:rPr>
              <w:t xml:space="preserve">配套全光网、万兆</w:t>
            </w:r>
            <w:r>
              <w:rPr>
                <w:rFonts w:hint="eastAsia" w:ascii="宋体" w:hAnsi="宋体" w:cs="宋体"/>
                <w:color w:val="auto"/>
                <w:lang w:eastAsia="zh-CN"/>
              </w:rPr>
              <w:t xml:space="preserve">）</w:t>
            </w:r>
            <w:r>
              <w:rPr>
                <w:rFonts w:hint="eastAsia" w:ascii="宋体" w:hAnsi="宋体" w:cs="宋体"/>
                <w:color w:val="auto"/>
              </w:rPr>
              <w:t xml:space="preserve">、单模万兆光模块，供应商所投以上所有产品为同一品牌的得</w:t>
            </w:r>
            <w:r>
              <w:rPr>
                <w:rFonts w:hint="eastAsia" w:ascii="宋体" w:hAnsi="宋体" w:cs="宋体"/>
                <w:color w:val="auto"/>
                <w:lang w:val="en-US" w:eastAsia="zh-CN"/>
              </w:rPr>
              <w:t xml:space="preserve">2</w:t>
            </w:r>
            <w:r>
              <w:rPr>
                <w:rFonts w:hint="eastAsia" w:ascii="宋体" w:hAnsi="宋体" w:cs="宋体"/>
                <w:color w:val="auto"/>
              </w:rPr>
              <w:t xml:space="preserve">分，有一项不同品牌则不得分。</w:t>
            </w:r>
            <w:r/>
          </w:p>
          <w:p>
            <w:pPr>
              <w:numPr>
                <w:ilvl w:val="0"/>
                <w:numId w:val="17"/>
              </w:numPr>
              <w:jc w:val="left"/>
              <w:keepLines w:val="0"/>
              <w:keepNext w:val="0"/>
              <w:pageBreakBefore w:val="0"/>
              <w:spacing w:line="360" w:lineRule="exact"/>
              <w:rPr>
                <w:rFonts w:hint="eastAsia" w:ascii="宋体" w:hAnsi="宋体" w:cs="宋体"/>
                <w:color w:val="auto"/>
                <w:lang w:val="en-US" w:eastAsia="zh-CN"/>
              </w:rPr>
            </w:pPr>
            <w:r>
              <w:rPr>
                <w:rFonts w:hint="eastAsia" w:ascii="宋体" w:hAnsi="宋体" w:cs="宋体"/>
                <w:color w:val="auto"/>
                <w:lang w:val="en-US" w:eastAsia="zh-CN"/>
              </w:rPr>
              <w:t xml:space="preserve">所投六类线及光纤等所有布线产品提供产品对应生产企业具有有效期内的ISO9001质量认证,满足得1分。</w:t>
            </w:r>
            <w:r/>
          </w:p>
          <w:p>
            <w:pPr>
              <w:pStyle w:val="803"/>
              <w:numPr>
                <w:ilvl w:val="0"/>
                <w:numId w:val="0"/>
              </w:numPr>
              <w:keepLines w:val="0"/>
              <w:keepNext w:val="0"/>
              <w:pageBreakBefore w:val="0"/>
              <w:spacing w:line="36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z w:val="21"/>
                <w:szCs w:val="21"/>
                <w:lang w:val="en-US" w:eastAsia="zh-CN"/>
              </w:rPr>
              <w:t xml:space="preserve">注：提供相关证明材料扫描件，不提供不得分。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keepLines w:val="0"/>
              <w:keepNext w:val="0"/>
              <w:pageBreakBefore w:val="0"/>
              <w:spacing w:line="360" w:lineRule="exact"/>
              <w:rPr>
                <w:rFonts w:ascii="宋体" w:hAnsi="宋体" w:cs="宋体"/>
              </w:rPr>
            </w:pPr>
            <w:r>
              <w:rPr>
                <w:rFonts w:hint="eastAsia" w:ascii="宋体" w:hAnsi="宋体" w:cs="宋体"/>
              </w:rPr>
              <w:t xml:space="preserve">1. 投标人具备《建筑业企业资质证书》电子与智能化工程专业承包资质二级及以上资质，得</w:t>
            </w:r>
            <w:r>
              <w:rPr>
                <w:rFonts w:ascii="宋体" w:hAnsi="宋体" w:cs="宋体"/>
              </w:rPr>
              <w:t xml:space="preserve">2</w:t>
            </w:r>
            <w:r>
              <w:rPr>
                <w:rFonts w:hint="eastAsia" w:ascii="宋体" w:hAnsi="宋体" w:cs="宋体"/>
              </w:rPr>
              <w:t xml:space="preserve">分。</w:t>
            </w:r>
            <w:r/>
          </w:p>
          <w:p>
            <w:pPr>
              <w:keepLines w:val="0"/>
              <w:keepNext w:val="0"/>
              <w:pageBreakBefore w:val="0"/>
              <w:spacing w:line="360" w:lineRule="exact"/>
              <w:rPr>
                <w:rFonts w:ascii="宋体" w:hAnsi="宋体" w:cs="宋体"/>
              </w:rPr>
            </w:pPr>
            <w:r>
              <w:rPr>
                <w:rFonts w:hint="eastAsia" w:ascii="宋体" w:hAnsi="宋体" w:cs="宋体"/>
              </w:rPr>
              <w:t xml:space="preserve">2.投标人具备ITSS（信息技术服务运行维护标准）符合性证书，成熟度等级（通用标准三级及以上），得1分。</w:t>
            </w:r>
            <w:r/>
          </w:p>
          <w:p>
            <w:pPr>
              <w:keepLines w:val="0"/>
              <w:keepNext w:val="0"/>
              <w:pageBreakBefore w:val="0"/>
              <w:spacing w:line="360" w:lineRule="exact"/>
              <w:rPr>
                <w:rFonts w:ascii="宋体" w:hAnsi="宋体" w:cs="宋体"/>
                <w:color w:val="auto"/>
              </w:rPr>
            </w:pPr>
            <w:r>
              <w:rPr>
                <w:rFonts w:hint="eastAsia" w:ascii="宋体" w:hAnsi="宋体" w:cs="宋体"/>
                <w:color w:val="auto"/>
              </w:rPr>
              <w:t xml:space="preserve">3.投标人具备有效期内的质量管理体系认证证书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27001:2022，认证范围包含计算机信息系统集成及运维)、信息技术服务管理体系认证证书（GB/T 24405.1或ISO/IEC20000-1:2018）、隐私信息管理体系认证证书(ISO/IEC 27701 或GB/T 22080/22081扩展，认证范围包含计算机信息系统集成及运维),每个得1分，最高4分。</w:t>
            </w:r>
            <w:r/>
          </w:p>
          <w:p>
            <w:pPr>
              <w:jc w:val="left"/>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color w:val="auto"/>
              </w:rPr>
              <w:t xml:space="preserve">提供有效证书扫描件加盖公章，否则不得分。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asciiTheme="minorEastAsia" w:hAnsiTheme="minorEastAsia" w:eastAsiaTheme="minorEastAsia" w:cstheme="minorEastAsia"/>
                <w:b/>
                <w:bCs/>
              </w:rPr>
              <w:t xml:space="preserve">.</w:t>
            </w:r>
            <w:r>
              <w:rPr>
                <w:rFonts w:hint="eastAsia" w:asciiTheme="minorEastAsia" w:hAnsiTheme="minorEastAsia" w:eastAsiaTheme="minorEastAsia" w:cstheme="minorEastAsia"/>
                <w:b/>
                <w:bCs/>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宋体" w:hAnsi="宋体" w:cs="宋体"/>
              </w:rPr>
              <w:t xml:space="preserve">项目组成员实力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keepLines w:val="0"/>
              <w:keepNext w:val="0"/>
              <w:pageBreakBefore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投标人提供的《参加本项目小组成员一览表》中配备人员包含以下资质的，每项1分，不提供不得分，最高得7分。</w:t>
            </w:r>
            <w:r/>
          </w:p>
          <w:p>
            <w:pPr>
              <w:keepLines w:val="0"/>
              <w:keepNext w:val="0"/>
              <w:pageBreakBefore w:val="0"/>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1、拟派项目负责人1名，</w:t>
            </w:r>
            <w:r>
              <w:rPr>
                <w:rFonts w:hint="eastAsia" w:ascii="宋体" w:hAnsi="宋体" w:eastAsia="宋体" w:cs="宋体"/>
                <w:color w:val="auto"/>
                <w:sz w:val="21"/>
                <w:szCs w:val="21"/>
              </w:rPr>
              <w:t xml:space="preserve">信息系统</w:t>
            </w:r>
            <w:r>
              <w:rPr>
                <w:rFonts w:hint="eastAsia" w:ascii="宋体" w:hAnsi="宋体" w:eastAsia="宋体" w:cs="宋体"/>
                <w:color w:val="auto"/>
                <w:sz w:val="21"/>
                <w:szCs w:val="21"/>
                <w:lang w:val="en-US" w:eastAsia="zh-CN"/>
              </w:rPr>
              <w:t xml:space="preserve">项目管理师（</w:t>
            </w:r>
            <w:r>
              <w:rPr>
                <w:rFonts w:hint="eastAsia" w:ascii="宋体" w:hAnsi="宋体" w:eastAsia="宋体" w:cs="宋体"/>
                <w:color w:val="auto"/>
                <w:sz w:val="21"/>
                <w:szCs w:val="21"/>
              </w:rPr>
              <w:t xml:space="preserve">高级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lang w:val="en-US" w:eastAsia="zh-CN"/>
              </w:rPr>
              <w:t xml:space="preserve">电子信息专业高级工程师</w:t>
            </w:r>
            <w:r>
              <w:rPr>
                <w:rFonts w:hint="eastAsia" w:asciiTheme="minorEastAsia" w:hAnsiTheme="minorEastAsia" w:eastAsiaTheme="minorEastAsia" w:cstheme="minorEastAsia"/>
              </w:rPr>
              <w:t xml:space="preserve">、IT服务项目经理（ITSS），每提供一个得1分。本项最高得2分。</w:t>
            </w:r>
            <w:r/>
          </w:p>
          <w:p>
            <w:pPr>
              <w:keepLines w:val="0"/>
              <w:keepNext w:val="0"/>
              <w:pageBreakBefore w:val="0"/>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2、拟派技术负责人1名，一级注册建造师（通信与广电工程</w:t>
            </w:r>
            <w:r>
              <w:rPr>
                <w:rFonts w:hint="eastAsia" w:asciiTheme="minorEastAsia" w:hAnsiTheme="minorEastAsia" w:eastAsiaTheme="minorEastAsia" w:cstheme="minorEastAsia"/>
                <w:lang w:val="en-US" w:eastAsia="zh-CN"/>
              </w:rPr>
              <w:t xml:space="preserve">或机电工程</w:t>
            </w:r>
            <w:r>
              <w:rPr>
                <w:rFonts w:hint="eastAsia" w:asciiTheme="minorEastAsia" w:hAnsiTheme="minorEastAsia" w:eastAsiaTheme="minorEastAsia" w:cstheme="minorEastAsia"/>
              </w:rPr>
              <w:t xml:space="preserve">）、布线测试认证工程师，</w:t>
            </w:r>
            <w:bookmarkStart w:id="223" w:name="OLE_LINK52"/>
            <w:r/>
            <w:bookmarkStart w:id="224" w:name="OLE_LINK51"/>
            <w:r>
              <w:rPr>
                <w:rFonts w:hint="eastAsia" w:asciiTheme="minorEastAsia" w:hAnsiTheme="minorEastAsia" w:eastAsiaTheme="minorEastAsia" w:cstheme="minorEastAsia"/>
              </w:rPr>
              <w:t xml:space="preserve">每提供一个得1分。本项最高得2分。</w:t>
            </w:r>
            <w:bookmarkEnd w:id="223"/>
            <w:r/>
            <w:bookmarkEnd w:id="224"/>
            <w:r/>
            <w:r/>
          </w:p>
          <w:p>
            <w:pPr>
              <w:keepLines w:val="0"/>
              <w:keepNext w:val="0"/>
              <w:pageBreakBefore w:val="0"/>
              <w:spacing w:line="360" w:lineRule="exact"/>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highlight w:val="none"/>
              </w:rPr>
              <w:t xml:space="preserve">3、项目组成员</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具备</w:t>
            </w:r>
            <w:r>
              <w:rPr>
                <w:rFonts w:hint="eastAsia" w:ascii="宋体" w:hAnsi="宋体" w:eastAsia="宋体" w:cs="宋体"/>
                <w:color w:val="auto"/>
                <w:sz w:val="21"/>
                <w:szCs w:val="21"/>
                <w:highlight w:val="none"/>
                <w:lang w:val="en-US" w:eastAsia="zh-CN"/>
              </w:rPr>
              <w:t xml:space="preserve">工信、人社等国家相关职能部门认定的</w:t>
            </w:r>
            <w:r>
              <w:rPr>
                <w:rFonts w:hint="eastAsia" w:asciiTheme="minorEastAsia" w:hAnsiTheme="minorEastAsia" w:eastAsiaTheme="minorEastAsia" w:cstheme="minorEastAsia"/>
                <w:color w:val="auto"/>
                <w:highlight w:val="none"/>
              </w:rPr>
              <w:t xml:space="preserve">高级网络和信息安全工程师</w:t>
            </w:r>
            <w:r>
              <w:rPr>
                <w:rFonts w:hint="eastAsia" w:asciiTheme="minorEastAsia" w:hAnsiTheme="minorEastAsia" w:eastAsiaTheme="minorEastAsia" w:cstheme="minorEastAsia"/>
                <w:color w:val="auto"/>
                <w:highlight w:val="none"/>
                <w:lang w:val="en-US" w:eastAsia="zh-CN"/>
              </w:rPr>
              <w:t xml:space="preserve">或</w:t>
            </w:r>
            <w:r>
              <w:rPr>
                <w:rFonts w:hint="eastAsia" w:asciiTheme="minorEastAsia" w:hAnsiTheme="minorEastAsia" w:eastAsiaTheme="minorEastAsia" w:cstheme="minorEastAsia"/>
                <w:color w:val="auto"/>
                <w:highlight w:val="none"/>
              </w:rPr>
              <w:t xml:space="preserve">注册信息安全专业人员（CISP</w:t>
            </w:r>
            <w:r>
              <w:rPr>
                <w:rFonts w:hint="eastAsia" w:asciiTheme="minorEastAsia" w:hAnsiTheme="minorEastAsia" w:eastAsiaTheme="minorEastAsia" w:cstheme="minorEastAsia"/>
                <w:color w:val="auto"/>
                <w:highlight w:val="none"/>
                <w:lang w:val="en-US" w:eastAsia="zh-CN"/>
              </w:rPr>
              <w:t xml:space="preserve">及以上</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val="en-US" w:eastAsia="zh-CN"/>
              </w:rPr>
              <w:t xml:space="preserve">或信息安全保障人员认证证书(CISAW)得1分；（2）</w:t>
            </w: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w:t>
            </w:r>
            <w:r>
              <w:rPr>
                <w:rFonts w:hint="eastAsia" w:asciiTheme="minorEastAsia" w:hAnsiTheme="minorEastAsia" w:eastAsiaTheme="minorEastAsia" w:cstheme="minorEastAsia"/>
                <w:color w:val="auto"/>
                <w:highlight w:val="none"/>
                <w:lang w:val="en-US" w:eastAsia="zh-CN"/>
              </w:rPr>
              <w:t xml:space="preserve">网络方向</w:t>
            </w:r>
            <w:r>
              <w:rPr>
                <w:rFonts w:hint="eastAsia" w:asciiTheme="minorEastAsia" w:hAnsiTheme="minorEastAsia" w:eastAsiaTheme="minorEastAsia" w:cstheme="minorEastAsia"/>
                <w:color w:val="auto"/>
                <w:highlight w:val="none"/>
              </w:rPr>
              <w:t xml:space="preserve">、安全</w:t>
            </w:r>
            <w:r>
              <w:rPr>
                <w:rFonts w:hint="eastAsia" w:asciiTheme="minorEastAsia" w:hAnsiTheme="minorEastAsia" w:eastAsiaTheme="minorEastAsia" w:cstheme="minorEastAsia"/>
                <w:color w:val="auto"/>
                <w:highlight w:val="none"/>
                <w:lang w:val="en-US" w:eastAsia="zh-CN"/>
              </w:rPr>
              <w:t xml:space="preserve">方向</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满足1个证书</w:t>
            </w:r>
            <w:r>
              <w:rPr>
                <w:rFonts w:hint="eastAsia" w:asciiTheme="minorEastAsia" w:hAnsiTheme="minorEastAsia" w:eastAsiaTheme="minorEastAsia" w:cstheme="minorEastAsia"/>
                <w:color w:val="auto"/>
                <w:highlight w:val="none"/>
              </w:rPr>
              <w:t xml:space="preserve">得</w:t>
            </w: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合计得2分；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3）团队中至少有1人具备网络迁移或旧设备替换项目经验（须提供项目合同或验收报告等证明材料，并标注该成员为参与人），得1分。本项最高得3分。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6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keepLines w:val="0"/>
              <w:keepNext w:val="0"/>
              <w:pageBreakBefore w:val="0"/>
              <w:spacing w:line="360" w:lineRule="exact"/>
              <w:rPr>
                <w:rFonts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t xml:space="preserve">7</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tc>
      </w:tr>
      <w:tr>
        <w:trPr>
          <w:trHeight w:val="420"/>
        </w:trPr>
        <w:tc>
          <w:tcPr>
            <w:tcBorders>
              <w:top w:val="single" w:color="000000" w:sz="8" w:space="0"/>
              <w:left w:val="single" w:color="000000" w:sz="8" w:space="0"/>
              <w:bottom w:val="single" w:color="000000" w:sz="8" w:space="0"/>
              <w:right w:val="single" w:color="000000" w:sz="8" w:space="0"/>
            </w:tcBorders>
            <w:tcW w:w="382" w:type="pct"/>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b/>
                <w:bCs/>
                <w:lang w:eastAsia="zh-CN"/>
              </w:rPr>
            </w:pPr>
            <w:r>
              <w:rPr>
                <w:rFonts w:hint="eastAsia" w:asciiTheme="minorEastAsia" w:hAnsiTheme="minorEastAsia" w:eastAsiaTheme="minorEastAsia" w:cstheme="minorEastAsia"/>
                <w:b/>
                <w:bCs/>
              </w:rPr>
              <w:t xml:space="preserve">3.</w:t>
            </w:r>
            <w:r>
              <w:rPr>
                <w:rFonts w:hint="eastAsia" w:asciiTheme="minorEastAsia" w:hAnsiTheme="minorEastAsia" w:eastAsiaTheme="minorEastAsia" w:cstheme="minorEastAsia"/>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pct"/>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整体原厂免费质保三年基础上，网络设备（以太光汇聚交换机、8口光接入设备、24口光光接入设备、光模块、单模万兆光模块）原厂整体质保、其它设备</w:t>
            </w:r>
            <w:r>
              <w:rPr>
                <w:rFonts w:hint="eastAsia" w:ascii="宋体" w:hAnsi="宋体" w:cs="宋体"/>
                <w:color w:val="auto"/>
              </w:rPr>
              <w:t xml:space="preserve">供应商整体质保，每延长一年</w:t>
            </w:r>
            <w:r>
              <w:rPr>
                <w:rFonts w:hint="eastAsia" w:asciiTheme="minorEastAsia" w:hAnsiTheme="minorEastAsia" w:eastAsiaTheme="minorEastAsia" w:cstheme="minorEastAsia"/>
                <w:color w:val="auto"/>
              </w:rPr>
              <w:t xml:space="preserve">得1分，最高得3分；</w:t>
            </w:r>
            <w:r>
              <w:rPr>
                <w:rFonts w:hint="eastAsia" w:ascii="宋体" w:hAnsi="宋体" w:cs="宋体"/>
                <w:color w:val="auto"/>
              </w:rPr>
              <w:t xml:space="preserve">所有设备</w:t>
            </w:r>
            <w:r>
              <w:rPr>
                <w:rFonts w:hint="eastAsia" w:asciiTheme="minorEastAsia" w:hAnsiTheme="minorEastAsia" w:eastAsiaTheme="minorEastAsia" w:cstheme="minorEastAsia"/>
                <w:color w:val="auto"/>
              </w:rPr>
              <w:t xml:space="preserve">供应商提供备件先行替换服务：故障报修后</w:t>
            </w:r>
            <w:r>
              <w:rPr>
                <w:rFonts w:asciiTheme="minorEastAsia" w:hAnsiTheme="minorEastAsia" w:eastAsiaTheme="minorEastAsia" w:cstheme="minorEastAsia"/>
                <w:color w:val="auto"/>
              </w:rPr>
              <w:t xml:space="preserve">48</w:t>
            </w:r>
            <w:r>
              <w:rPr>
                <w:rFonts w:hint="eastAsia" w:asciiTheme="minorEastAsia" w:hAnsiTheme="minorEastAsia" w:eastAsiaTheme="minorEastAsia" w:cstheme="minorEastAsia"/>
                <w:color w:val="auto"/>
              </w:rPr>
              <w:t xml:space="preserve">小时内免费提供完好备件至用户现场更换服务后,再进行故障件回收，得1分；本项最高得4分。</w:t>
            </w:r>
            <w:r>
              <w:rPr>
                <w:rFonts w:hint="eastAsia" w:asciiTheme="minorEastAsia" w:hAnsiTheme="minorEastAsia" w:eastAsiaTheme="minorEastAsia" w:cstheme="minorEastAsia"/>
                <w:b/>
                <w:bCs/>
                <w:color w:val="auto"/>
              </w:rPr>
              <w:t xml:space="preserve">提供投标商承诺函</w:t>
            </w:r>
            <w:r>
              <w:rPr>
                <w:rFonts w:hint="eastAsia" w:ascii="宋体" w:hAnsi="宋体" w:cs="宋体"/>
                <w:b/>
                <w:bCs/>
                <w:color w:val="auto"/>
              </w:rPr>
              <w:t xml:space="preserve">加盖公章</w:t>
            </w:r>
            <w:r>
              <w:rPr>
                <w:rFonts w:hint="eastAsia" w:asciiTheme="minorEastAsia" w:hAnsiTheme="minorEastAsia" w:eastAsiaTheme="minorEastAsia" w:cstheme="minorEastAsia"/>
                <w:b/>
                <w:bCs/>
                <w:color w:val="auto"/>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asciiTheme="minorEastAsia" w:hAnsiTheme="minorEastAsia" w:eastAsiaTheme="minorEastAsia" w:cstheme="minorEastAsia"/>
                <w:b/>
                <w:bCs/>
                <w:color w:val="auto"/>
              </w:rPr>
              <w:t xml:space="preserve">4</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否</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jc w:val="center"/>
              <w:keepLines w:val="0"/>
              <w:keepNext w:val="0"/>
              <w:pageBreakBefore w:val="0"/>
              <w:spacing w:line="360" w:lineRule="exact"/>
              <w:widowControl/>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是</w:t>
            </w:r>
            <w:bookmarkEnd w:id="250"/>
            <w:r/>
            <w:r/>
          </w:p>
        </w:tc>
      </w:tr>
    </w:tbl>
    <w:p>
      <w:pPr>
        <w:pStyle w:val="803"/>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94"/>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13"/>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25" w:name="_Hlt26671244"/>
      <w:r/>
      <w:bookmarkEnd w:id="225"/>
      <w:r/>
      <w:bookmarkStart w:id="226" w:name="_Hlt26955039"/>
      <w:r/>
      <w:bookmarkEnd w:id="226"/>
      <w:r/>
      <w:bookmarkStart w:id="227" w:name="_Toc26554094"/>
      <w:r/>
      <w:bookmarkStart w:id="228" w:name="_Toc120614282"/>
      <w:r/>
      <w:bookmarkStart w:id="229"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27"/>
      <w:r/>
      <w:bookmarkEnd w:id="228"/>
      <w:r/>
      <w:bookmarkEnd w:id="229"/>
      <w:r/>
      <w:r/>
    </w:p>
    <w:p>
      <w:pPr>
        <w:rPr>
          <w:rFonts w:hint="eastAsia" w:asciiTheme="minorEastAsia" w:hAnsiTheme="minorEastAsia" w:eastAsiaTheme="minorEastAsia" w:cstheme="minorEastAsia"/>
          <w:i/>
          <w:sz w:val="32"/>
          <w:szCs w:val="32"/>
          <w:u w:val="single"/>
        </w:rPr>
      </w:pPr>
      <w:r/>
      <w:bookmarkStart w:id="230"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97"/>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97"/>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97"/>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806"/>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80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77"/>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77"/>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77"/>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77"/>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77"/>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77"/>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77"/>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31" w:name="_Hlt26955070"/>
      <w:r/>
      <w:bookmarkEnd w:id="231"/>
      <w:r/>
      <w:bookmarkStart w:id="232" w:name="_格式3__银行出具的资信证明"/>
      <w:r/>
      <w:bookmarkEnd w:id="232"/>
      <w:r/>
      <w:bookmarkStart w:id="233" w:name="_Hlt26671380"/>
      <w:r/>
      <w:bookmarkEnd w:id="233"/>
      <w:r>
        <w:rPr>
          <w:rFonts w:hint="eastAsia" w:asciiTheme="minorEastAsia" w:hAnsiTheme="minorEastAsia" w:eastAsiaTheme="minorEastAsia" w:cstheme="minorEastAsia"/>
          <w:sz w:val="24"/>
          <w:szCs w:val="24"/>
          <w:u w:val="single"/>
        </w:rPr>
        <w:t xml:space="preserve">                                         </w:t>
      </w:r>
      <w:r/>
    </w:p>
    <w:p>
      <w:pPr>
        <w:pStyle w:val="997"/>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97"/>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79"/>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79"/>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79"/>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112"/>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803"/>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8"/>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823"/>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3"/>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（产品名称1）</w:t>
      </w:r>
      <w:r>
        <w:rPr>
          <w:rStyle w:val="828"/>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Style w:val="828"/>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28"/>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（规定</w:t>
      </w:r>
      <w:r>
        <w:rPr>
          <w:rStyle w:val="828"/>
          <w:rFonts w:ascii="方正魏碑_GBK" w:hAnsi="方正魏碑_GBK" w:eastAsia="方正魏碑_GBK" w:cs="方正魏碑_GBK"/>
          <w:i w:val="0"/>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w:t>
      </w:r>
      <w:r>
        <w:rPr>
          <w:rStyle w:val="828"/>
          <w:rFonts w:ascii="方正魏碑_GBK" w:hAnsi="方正魏碑_GBK" w:eastAsia="方正魏碑_GBK" w:cs="方正魏碑_GBK"/>
          <w:i w:val="0"/>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（关键工序）</w:t>
      </w:r>
      <w:r>
        <w:rPr>
          <w:rStyle w:val="828"/>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（规定</w:t>
      </w:r>
      <w:r>
        <w:rPr>
          <w:rStyle w:val="828"/>
          <w:rFonts w:ascii="方正魏碑_GBK" w:hAnsi="方正魏碑_GBK" w:eastAsia="方正魏碑_GBK" w:cs="方正魏碑_GBK"/>
          <w:i w:val="0"/>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w:t>
      </w:r>
      <w:r>
        <w:rPr>
          <w:rStyle w:val="828"/>
          <w:rFonts w:ascii="方正魏碑_GBK" w:hAnsi="方正魏碑_GBK" w:eastAsia="方正魏碑_GBK" w:cs="方正魏碑_GBK"/>
          <w:i w:val="0"/>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23"/>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23"/>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23"/>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23"/>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23"/>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23"/>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23"/>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23"/>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8"/>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823"/>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18"/>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9"/>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30"/>
      <w:r/>
      <w:r/>
    </w:p>
    <w:p>
      <w:pPr>
        <w:numPr>
          <w:ilvl w:val="0"/>
          <w:numId w:val="18"/>
        </w:numPr>
        <w:jc w:val="center"/>
        <w:rPr>
          <w:rFonts w:hint="eastAsia" w:asciiTheme="minorEastAsia" w:hAnsiTheme="minorEastAsia" w:eastAsiaTheme="minorEastAsia" w:cstheme="minorEastAsia"/>
          <w:b/>
          <w:sz w:val="32"/>
          <w:szCs w:val="32"/>
        </w:rPr>
      </w:pPr>
      <w:r/>
      <w:bookmarkStart w:id="234" w:name="_Hlt26955054"/>
      <w:r/>
      <w:bookmarkEnd w:id="234"/>
      <w:r>
        <w:rPr>
          <w:rFonts w:hint="eastAsia" w:asciiTheme="minorEastAsia" w:hAnsiTheme="minorEastAsia" w:eastAsiaTheme="minorEastAsia" w:cstheme="minorEastAsia"/>
          <w:b/>
          <w:sz w:val="32"/>
          <w:szCs w:val="32"/>
        </w:rPr>
        <w:t xml:space="preserve">合同及商务条款偏离表（分包号：）</w:t>
      </w:r>
      <w:r/>
    </w:p>
    <w:p>
      <w:pPr>
        <w:pStyle w:val="80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35" w:name="_Hlt26580838"/>
            <w:r/>
            <w:bookmarkEnd w:id="235"/>
            <w:r/>
            <w:bookmarkStart w:id="236" w:name="_Hlt26782999"/>
            <w:r/>
            <w:bookmarkEnd w:id="236"/>
            <w:r/>
            <w:bookmarkStart w:id="237" w:name="_Hlt26955056"/>
            <w:r/>
            <w:bookmarkEnd w:id="237"/>
            <w:r/>
            <w:bookmarkStart w:id="238" w:name="_Hlt26671343"/>
            <w:r/>
            <w:bookmarkEnd w:id="238"/>
            <w:r/>
            <w:bookmarkStart w:id="239" w:name="_Hlt26671372"/>
            <w:r/>
            <w:bookmarkEnd w:id="239"/>
            <w:r/>
            <w:bookmarkStart w:id="240" w:name="_Hlt26955064"/>
            <w:r/>
            <w:bookmarkEnd w:id="240"/>
            <w:r/>
            <w:bookmarkStart w:id="241" w:name="_Hlt24879081"/>
            <w:r/>
            <w:bookmarkEnd w:id="241"/>
            <w:r/>
            <w:bookmarkStart w:id="242" w:name="_Hlt26609391"/>
            <w:r/>
            <w:bookmarkEnd w:id="242"/>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9"/>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9"/>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97"/>
        <w:ind w:firstLine="0"/>
        <w:rPr>
          <w:rFonts w:hint="eastAsia" w:asciiTheme="minorEastAsia" w:hAnsiTheme="minorEastAsia" w:eastAsiaTheme="minorEastAsia" w:cstheme="minorEastAsia"/>
          <w:sz w:val="24"/>
        </w:rPr>
      </w:pPr>
      <w:r/>
      <w:bookmarkStart w:id="243" w:name="_Hlt26671374"/>
      <w:r/>
      <w:bookmarkEnd w:id="243"/>
      <w:r/>
      <w:bookmarkStart w:id="244" w:name="_Hlt26955066"/>
      <w:r/>
      <w:bookmarkEnd w:id="244"/>
      <w:r/>
      <w:bookmarkStart w:id="245" w:name="_Hlt26609389"/>
      <w:r/>
      <w:bookmarkEnd w:id="245"/>
      <w:r/>
      <w:bookmarkStart w:id="246" w:name="_Toc462564146"/>
      <w:r/>
      <w:bookmarkEnd w:id="195"/>
      <w:r/>
      <w:bookmarkEnd w:id="196"/>
      <w:r/>
      <w:bookmarkEnd w:id="246"/>
      <w:r/>
      <w:r/>
    </w:p>
    <w:p>
      <w:pPr>
        <w:jc w:val="center"/>
        <w:rPr>
          <w:rFonts w:hint="eastAsia" w:asciiTheme="minorEastAsia" w:hAnsiTheme="minorEastAsia" w:eastAsiaTheme="minorEastAsia" w:cstheme="minorEastAsia"/>
          <w:b/>
          <w:sz w:val="32"/>
          <w:szCs w:val="32"/>
        </w:rPr>
      </w:pPr>
      <w:r/>
      <w:bookmarkStart w:id="247" w:name="_格式2__法定代表人授权书"/>
      <w:r/>
      <w:bookmarkEnd w:id="247"/>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806"/>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48" w:name="投标人关于检测报告合规性的承诺书"/>
      <w:r/>
      <w:bookmarkEnd w:id="248"/>
      <w:r>
        <w:rPr>
          <w:rFonts w:hint="eastAsia" w:asciiTheme="minorEastAsia" w:hAnsiTheme="minorEastAsia" w:eastAsiaTheme="minorEastAsia" w:cstheme="minorEastAsia"/>
          <w:b/>
          <w:sz w:val="24"/>
          <w:szCs w:val="24"/>
        </w:rPr>
        <w:t xml:space="preserve">投标人关于检测报告合规性的承诺函</w:t>
      </w:r>
      <w:r/>
    </w:p>
    <w:p>
      <w:pPr>
        <w:pStyle w:val="806"/>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806"/>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99"/>
        <w:numPr>
          <w:ilvl w:val="0"/>
          <w:numId w:val="20"/>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806"/>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99"/>
        <w:numPr>
          <w:ilvl w:val="0"/>
          <w:numId w:val="20"/>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806"/>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99"/>
        <w:numPr>
          <w:ilvl w:val="0"/>
          <w:numId w:val="20"/>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806"/>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99"/>
        <w:numPr>
          <w:ilvl w:val="0"/>
          <w:numId w:val="20"/>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806"/>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806"/>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806"/>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806"/>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98"/>
        <w:spacing w:line="400" w:lineRule="exact"/>
        <w:rPr>
          <w:rFonts w:hint="eastAsia" w:asciiTheme="minorEastAsia" w:hAnsiTheme="minorEastAsia" w:eastAsiaTheme="minorEastAsia" w:cstheme="minorEastAsia"/>
          <w:sz w:val="24"/>
          <w:szCs w:val="24"/>
        </w:rPr>
      </w:pPr>
      <w:r/>
      <w:bookmarkStart w:id="249" w:name="使用说明："/>
      <w:r/>
      <w:bookmarkEnd w:id="249"/>
      <w:r>
        <w:rPr>
          <w:rFonts w:hint="eastAsia" w:asciiTheme="minorEastAsia" w:hAnsiTheme="minorEastAsia" w:eastAsiaTheme="minorEastAsia" w:cstheme="minorEastAsia"/>
          <w:sz w:val="24"/>
          <w:szCs w:val="24"/>
        </w:rPr>
        <w:t xml:space="preserve">使用说明：</w:t>
      </w:r>
      <w:r/>
    </w:p>
    <w:p>
      <w:pPr>
        <w:pStyle w:val="806"/>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802"/>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80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9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58</w:t>
    </w:r>
    <w:r>
      <w:fldChar w:fldCharType="end"/>
    </w:r>
    <w:r/>
  </w:p>
  <w:p>
    <w:pPr>
      <w:pStyle w:val="104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59</w:t>
    </w:r>
    <w:r>
      <w:fldChar w:fldCharType="end"/>
    </w:r>
    <w:r/>
  </w:p>
  <w:p>
    <w:pPr>
      <w:pStyle w:val="104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pPr>
    <w:r>
      <w:fldChar w:fldCharType="begin"/>
    </w:r>
    <w:r>
      <w:instrText xml:space="preserve">PAGE   \* MERGEFORMAT</w:instrText>
    </w:r>
    <w:r>
      <w:fldChar w:fldCharType="separate"/>
    </w:r>
    <w:r>
      <w:rPr>
        <w:lang w:val="zh-CN"/>
      </w:rPr>
      <w:t xml:space="preserve">61</w:t>
    </w:r>
    <w:r>
      <w:fldChar w:fldCharType="end"/>
    </w:r>
    <w:r/>
  </w:p>
  <w:p>
    <w:pPr>
      <w:pStyle w:val="104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p>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3）"/>
      <w:lvlJc w:val="left"/>
      <w:pPr>
        <w:ind w:left="0" w:firstLine="0"/>
      </w:pPr>
      <w:rPr>
        <w:rFonts w:hint="eastAsia"/>
      </w:rPr>
    </w:lvl>
    <w:lvl w:ilvl="3">
      <w:start w:val="1"/>
      <w:numFmt w:val="decimalEnclosedCircleChinese"/>
      <w:isLgl w:val="false"/>
      <w:suff w:val="nothing"/>
      <w:lvlText w:val="%4"/>
      <w:lvlJc w:val="left"/>
      <w:pPr>
        <w:ind w:left="0" w:firstLine="0"/>
      </w:pPr>
      <w:rPr>
        <w:rFonts w:hint="eastAsia"/>
      </w:rPr>
    </w:lvl>
    <w:lvl w:ilvl="4">
      <w:start w:val="1"/>
      <w:numFmt w:val="decimal"/>
      <w:isLgl w:val="false"/>
      <w:suff w:val="nothing"/>
      <w:lvlText w:val="%5）"/>
      <w:lvlJc w:val="left"/>
      <w:pPr>
        <w:ind w:left="0" w:firstLine="0"/>
      </w:pPr>
      <w:rPr>
        <w:rFonts w:hint="eastAsia"/>
      </w:rPr>
    </w:lvl>
    <w:lvl w:ilvl="5">
      <w:start w:val="1"/>
      <w:numFmt w:val="lowerLetter"/>
      <w:isLgl w:val="false"/>
      <w:suff w:val="nothing"/>
      <w:lvlText w:val="%6．"/>
      <w:lvlJc w:val="left"/>
      <w:pPr>
        <w:ind w:left="0" w:firstLine="0"/>
      </w:pPr>
      <w:rPr>
        <w:rFonts w:hint="eastAsia"/>
      </w:rPr>
    </w:lvl>
    <w:lvl w:ilvl="6">
      <w:start w:val="1"/>
      <w:numFmt w:val="lowerLetter"/>
      <w:isLgl w:val="false"/>
      <w:suff w:val="nothing"/>
      <w:lvlText w:val="%7）"/>
      <w:lvlJc w:val="left"/>
      <w:pPr>
        <w:ind w:left="0" w:firstLine="0"/>
      </w:pPr>
      <w:rPr>
        <w:rFonts w:hint="eastAsia"/>
      </w:rPr>
    </w:lvl>
    <w:lvl w:ilvl="7">
      <w:start w:val="1"/>
      <w:numFmt w:val="lowerRoman"/>
      <w:isLgl w:val="false"/>
      <w:suff w:val="nothing"/>
      <w:lvlText w:val="%8．"/>
      <w:lvlJc w:val="left"/>
      <w:pPr>
        <w:ind w:left="0" w:firstLine="0"/>
      </w:pPr>
      <w:rPr>
        <w:rFonts w:hint="eastAsia"/>
      </w:rPr>
    </w:lvl>
    <w:lvl w:ilvl="8">
      <w:start w:val="1"/>
      <w:numFmt w:val="lowerRoman"/>
      <w:isLgl w:val="false"/>
      <w:suff w:val="nothing"/>
      <w:lvlText w:val="%9）"/>
      <w:lvlJc w:val="left"/>
      <w:pPr>
        <w:ind w:left="0" w:firstLine="0"/>
      </w:pPr>
      <w:rPr>
        <w:rFonts w:hint="eastAsia"/>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0">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8"/>
      <w:isLgl w:val="false"/>
      <w:suff w:val="nothing"/>
      <w:lvlText w:val=""/>
      <w:lvlJc w:val="left"/>
      <w:pPr>
        <w:ind w:left="0" w:firstLine="0"/>
      </w:pPr>
      <w:rPr>
        <w:rFonts w:hint="eastAsia"/>
      </w:rPr>
    </w:lvl>
    <w:lvl w:ilvl="7">
      <w:start w:val="1"/>
      <w:numFmt w:val="decimal"/>
      <w:pStyle w:val="1010"/>
      <w:isLgl w:val="false"/>
      <w:suff w:val="nothing"/>
      <w:lvlText w:val=""/>
      <w:lvlJc w:val="left"/>
      <w:pPr>
        <w:ind w:left="0" w:firstLine="0"/>
      </w:pPr>
      <w:rPr>
        <w:rFonts w:hint="eastAsia"/>
      </w:rPr>
    </w:lvl>
    <w:lvl w:ilvl="8">
      <w:start w:val="1"/>
      <w:numFmt w:val="decimal"/>
      <w:pStyle w:val="1012"/>
      <w:isLgl w:val="false"/>
      <w:suff w:val="nothing"/>
      <w:lvlText w:val=""/>
      <w:lvlJc w:val="left"/>
      <w:pPr>
        <w:ind w:left="0" w:firstLine="0"/>
      </w:pPr>
      <w:rPr>
        <w:rFonts w:hint="eastAsia"/>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1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4"/>
  </w:num>
  <w:num w:numId="3">
    <w:abstractNumId w:val="10"/>
  </w:num>
  <w:num w:numId="4">
    <w:abstractNumId w:val="12"/>
  </w:num>
  <w:num w:numId="5">
    <w:abstractNumId w:val="6"/>
  </w:num>
  <w:num w:numId="6">
    <w:abstractNumId w:val="5"/>
  </w:num>
  <w:num w:numId="7">
    <w:abstractNumId w:val="0"/>
  </w:num>
  <w:num w:numId="8">
    <w:abstractNumId w:val="1"/>
  </w:num>
  <w:num w:numId="9">
    <w:abstractNumId w:val="16"/>
  </w:num>
  <w:num w:numId="10">
    <w:abstractNumId w:val="11"/>
  </w:num>
  <w:num w:numId="11">
    <w:abstractNumId w:val="3"/>
  </w:num>
  <w:num w:numId="12">
    <w:abstractNumId w:val="7"/>
  </w:num>
  <w:num w:numId="13">
    <w:abstractNumId w:val="9"/>
  </w:num>
  <w:num w:numId="14">
    <w:abstractNumId w:val="4"/>
  </w:num>
  <w:num w:numId="15">
    <w:abstractNumId w:val="8"/>
  </w:num>
  <w:num w:numId="16">
    <w:abstractNumId w:val="18"/>
  </w:num>
  <w:num w:numId="17">
    <w:abstractNumId w:val="19"/>
  </w:num>
  <w:num w:numId="18">
    <w:abstractNumId w:val="2"/>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797"/>
    <w:next w:val="797"/>
    <w:link w:val="839"/>
    <w:uiPriority w:val="9"/>
    <w:qFormat/>
    <w:pPr>
      <w:keepLines/>
      <w:keepNext/>
      <w:spacing w:before="480" w:after="200"/>
      <w:outlineLvl w:val="0"/>
    </w:pPr>
    <w:rPr>
      <w:rFonts w:ascii="Arial" w:hAnsi="Arial" w:eastAsia="Arial" w:cs="Arial"/>
      <w:sz w:val="40"/>
      <w:szCs w:val="40"/>
    </w:rPr>
  </w:style>
  <w:style w:type="paragraph" w:styleId="765">
    <w:name w:val="Heading 5"/>
    <w:basedOn w:val="797"/>
    <w:next w:val="797"/>
    <w:link w:val="847"/>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97"/>
    <w:next w:val="797"/>
    <w:link w:val="84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97"/>
    <w:next w:val="797"/>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97"/>
    <w:next w:val="797"/>
    <w:link w:val="85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97"/>
    <w:next w:val="797"/>
    <w:link w:val="855"/>
    <w:uiPriority w:val="9"/>
    <w:unhideWhenUsed/>
    <w:qFormat/>
    <w:pPr>
      <w:keepLines/>
      <w:keepNext/>
      <w:spacing w:before="320" w:after="200"/>
      <w:outlineLvl w:val="8"/>
    </w:pPr>
    <w:rPr>
      <w:rFonts w:ascii="Arial" w:hAnsi="Arial" w:eastAsia="Arial" w:cs="Arial"/>
      <w:i/>
      <w:iCs/>
      <w:sz w:val="21"/>
      <w:szCs w:val="21"/>
    </w:rPr>
  </w:style>
  <w:style w:type="character" w:styleId="770">
    <w:name w:val="Title Char"/>
    <w:basedOn w:val="801"/>
    <w:link w:val="824"/>
    <w:uiPriority w:val="10"/>
    <w:rPr>
      <w:sz w:val="48"/>
      <w:szCs w:val="48"/>
    </w:rPr>
  </w:style>
  <w:style w:type="character" w:styleId="771">
    <w:name w:val="Subtitle Char"/>
    <w:basedOn w:val="801"/>
    <w:link w:val="817"/>
    <w:uiPriority w:val="11"/>
    <w:rPr>
      <w:sz w:val="24"/>
      <w:szCs w:val="24"/>
    </w:rPr>
  </w:style>
  <w:style w:type="character" w:styleId="772">
    <w:name w:val="Quote Char"/>
    <w:link w:val="858"/>
    <w:uiPriority w:val="29"/>
    <w:rPr>
      <w:i/>
    </w:rPr>
  </w:style>
  <w:style w:type="character" w:styleId="773">
    <w:name w:val="Intense Quote Char"/>
    <w:link w:val="860"/>
    <w:uiPriority w:val="30"/>
    <w:rPr>
      <w:i/>
    </w:rPr>
  </w:style>
  <w:style w:type="paragraph" w:styleId="774">
    <w:name w:val="Caption"/>
    <w:basedOn w:val="797"/>
    <w:next w:val="797"/>
    <w:uiPriority w:val="35"/>
    <w:semiHidden/>
    <w:unhideWhenUsed/>
    <w:qFormat/>
    <w:pPr>
      <w:spacing w:line="276" w:lineRule="auto"/>
    </w:pPr>
    <w:rPr>
      <w:b/>
      <w:bCs/>
      <w:color w:val="4f81bd" w:themeColor="accent1"/>
      <w:sz w:val="18"/>
      <w:szCs w:val="18"/>
    </w:rPr>
  </w:style>
  <w:style w:type="table" w:styleId="775">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Footnote Text Char"/>
    <w:link w:val="818"/>
    <w:uiPriority w:val="99"/>
    <w:rPr>
      <w:sz w:val="18"/>
    </w:rPr>
  </w:style>
  <w:style w:type="character" w:styleId="795">
    <w:name w:val="Endnote Text Char"/>
    <w:link w:val="811"/>
    <w:uiPriority w:val="99"/>
    <w:rPr>
      <w:sz w:val="20"/>
    </w:rPr>
  </w:style>
  <w:style w:type="paragraph" w:styleId="796">
    <w:name w:val="TOC Heading"/>
    <w:uiPriority w:val="39"/>
    <w:unhideWhenUsed/>
  </w:style>
  <w:style w:type="paragraph" w:styleId="797" w:default="1">
    <w:name w:val="Normal"/>
    <w:next w:val="803"/>
    <w:uiPriority w:val="0"/>
    <w:qFormat/>
    <w:pPr>
      <w:jc w:val="both"/>
      <w:widowControl w:val="off"/>
    </w:pPr>
    <w:rPr>
      <w:rFonts w:ascii="Times New Roman" w:hAnsi="Times New Roman" w:eastAsia="宋体" w:cs="Times New Roman"/>
      <w:sz w:val="21"/>
      <w:szCs w:val="21"/>
      <w:lang w:val="en-US" w:eastAsia="zh-CN" w:bidi="ar-SA"/>
    </w:rPr>
  </w:style>
  <w:style w:type="paragraph" w:styleId="798">
    <w:name w:val="Heading 2"/>
    <w:basedOn w:val="797"/>
    <w:uiPriority w:val="1"/>
    <w:qFormat/>
    <w:pPr>
      <w:ind w:left="100"/>
      <w:spacing w:before="201"/>
      <w:outlineLvl w:val="1"/>
    </w:pPr>
    <w:rPr>
      <w:rFonts w:ascii="微软雅黑" w:hAnsi="微软雅黑" w:eastAsia="微软雅黑" w:cs="微软雅黑"/>
      <w:b/>
      <w:bCs/>
      <w:sz w:val="23"/>
      <w:szCs w:val="23"/>
    </w:rPr>
  </w:style>
  <w:style w:type="paragraph" w:styleId="799">
    <w:name w:val="Heading 3"/>
    <w:basedOn w:val="797"/>
    <w:uiPriority w:val="0"/>
    <w:qFormat/>
    <w:pPr>
      <w:jc w:val="left"/>
      <w:keepLines/>
      <w:keepNext/>
      <w:spacing w:before="360" w:after="120"/>
      <w:outlineLvl w:val="2"/>
    </w:pPr>
    <w:rPr>
      <w:rFonts w:ascii="宋体"/>
      <w:b/>
      <w:sz w:val="24"/>
      <w:szCs w:val="20"/>
      <w:u w:val="single"/>
    </w:rPr>
  </w:style>
  <w:style w:type="paragraph" w:styleId="800">
    <w:name w:val="Heading 4"/>
    <w:next w:val="797"/>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Indent"/>
    <w:basedOn w:val="797"/>
    <w:uiPriority w:val="0"/>
    <w:qFormat/>
    <w:pPr>
      <w:ind w:firstLine="570"/>
      <w:spacing w:line="360" w:lineRule="auto"/>
    </w:pPr>
    <w:rPr>
      <w:sz w:val="24"/>
      <w:szCs w:val="24"/>
    </w:rPr>
  </w:style>
  <w:style w:type="paragraph" w:styleId="804">
    <w:name w:val="toc 7"/>
    <w:basedOn w:val="797"/>
    <w:next w:val="797"/>
    <w:uiPriority w:val="39"/>
    <w:unhideWhenUsed/>
    <w:qFormat/>
    <w:pPr>
      <w:ind w:left="1701"/>
      <w:spacing w:after="57"/>
    </w:pPr>
  </w:style>
  <w:style w:type="paragraph" w:styleId="805">
    <w:name w:val="annotation text"/>
    <w:basedOn w:val="797"/>
    <w:uiPriority w:val="99"/>
    <w:unhideWhenUsed/>
    <w:qFormat/>
    <w:pPr>
      <w:jc w:val="left"/>
    </w:pPr>
  </w:style>
  <w:style w:type="paragraph" w:styleId="806">
    <w:name w:val="Body Text"/>
    <w:basedOn w:val="797"/>
    <w:next w:val="797"/>
    <w:uiPriority w:val="0"/>
    <w:qFormat/>
    <w:pPr>
      <w:spacing w:before="120" w:line="22" w:lineRule="atLeast"/>
      <w:tabs>
        <w:tab w:val="left" w:pos="567" w:leader="none"/>
      </w:tabs>
    </w:pPr>
    <w:rPr>
      <w:rFonts w:ascii="宋体" w:hAnsi="宋体"/>
      <w:sz w:val="24"/>
    </w:rPr>
  </w:style>
  <w:style w:type="paragraph" w:styleId="807">
    <w:name w:val="toc 5"/>
    <w:basedOn w:val="797"/>
    <w:next w:val="797"/>
    <w:uiPriority w:val="39"/>
    <w:unhideWhenUsed/>
    <w:qFormat/>
    <w:pPr>
      <w:ind w:left="1134"/>
      <w:spacing w:after="57"/>
    </w:pPr>
  </w:style>
  <w:style w:type="paragraph" w:styleId="808">
    <w:name w:val="toc 3"/>
    <w:basedOn w:val="797"/>
    <w:next w:val="797"/>
    <w:uiPriority w:val="39"/>
    <w:unhideWhenUsed/>
    <w:qFormat/>
    <w:pPr>
      <w:ind w:left="567"/>
      <w:spacing w:after="57"/>
    </w:pPr>
  </w:style>
  <w:style w:type="paragraph" w:styleId="809">
    <w:name w:val="Plain Text"/>
    <w:basedOn w:val="797"/>
    <w:uiPriority w:val="0"/>
    <w:qFormat/>
    <w:rPr>
      <w:rFonts w:hint="eastAsia" w:ascii="宋体" w:hAnsi="Courier New"/>
      <w:szCs w:val="20"/>
    </w:rPr>
  </w:style>
  <w:style w:type="paragraph" w:styleId="810">
    <w:name w:val="toc 8"/>
    <w:basedOn w:val="797"/>
    <w:next w:val="797"/>
    <w:uiPriority w:val="39"/>
    <w:unhideWhenUsed/>
    <w:qFormat/>
    <w:pPr>
      <w:ind w:left="1984"/>
      <w:spacing w:after="57"/>
    </w:pPr>
  </w:style>
  <w:style w:type="paragraph" w:styleId="811">
    <w:name w:val="endnote text"/>
    <w:basedOn w:val="797"/>
    <w:link w:val="832"/>
    <w:uiPriority w:val="99"/>
    <w:unhideWhenUsed/>
    <w:qFormat/>
    <w:rPr>
      <w:sz w:val="20"/>
    </w:rPr>
  </w:style>
  <w:style w:type="paragraph" w:styleId="812">
    <w:name w:val="Balloon Text"/>
    <w:basedOn w:val="797"/>
    <w:link w:val="1117"/>
    <w:uiPriority w:val="99"/>
    <w:semiHidden/>
    <w:unhideWhenUsed/>
    <w:qFormat/>
    <w:rPr>
      <w:sz w:val="18"/>
      <w:szCs w:val="18"/>
    </w:rPr>
  </w:style>
  <w:style w:type="paragraph" w:styleId="813">
    <w:name w:val="Footer"/>
    <w:basedOn w:val="797"/>
    <w:link w:val="833"/>
    <w:uiPriority w:val="99"/>
    <w:unhideWhenUsed/>
    <w:qFormat/>
    <w:pPr>
      <w:jc w:val="left"/>
      <w:tabs>
        <w:tab w:val="center" w:pos="4153" w:leader="none"/>
        <w:tab w:val="right" w:pos="8306" w:leader="none"/>
      </w:tabs>
    </w:pPr>
    <w:rPr>
      <w:sz w:val="18"/>
      <w:szCs w:val="18"/>
    </w:rPr>
  </w:style>
  <w:style w:type="paragraph" w:styleId="814">
    <w:name w:val="Header"/>
    <w:basedOn w:val="797"/>
    <w:link w:val="834"/>
    <w:uiPriority w:val="99"/>
    <w:unhideWhenUsed/>
    <w:qFormat/>
    <w:pPr>
      <w:jc w:val="center"/>
      <w:tabs>
        <w:tab w:val="center" w:pos="4153" w:leader="none"/>
        <w:tab w:val="right" w:pos="8306" w:leader="none"/>
      </w:tabs>
    </w:pPr>
    <w:rPr>
      <w:sz w:val="18"/>
      <w:szCs w:val="18"/>
    </w:rPr>
  </w:style>
  <w:style w:type="paragraph" w:styleId="815">
    <w:name w:val="toc 1"/>
    <w:basedOn w:val="797"/>
    <w:next w:val="797"/>
    <w:uiPriority w:val="39"/>
    <w:unhideWhenUsed/>
    <w:qFormat/>
    <w:pPr>
      <w:spacing w:after="57"/>
    </w:pPr>
  </w:style>
  <w:style w:type="paragraph" w:styleId="816">
    <w:name w:val="toc 4"/>
    <w:basedOn w:val="797"/>
    <w:next w:val="797"/>
    <w:uiPriority w:val="39"/>
    <w:unhideWhenUsed/>
    <w:qFormat/>
    <w:pPr>
      <w:ind w:left="850"/>
      <w:spacing w:after="57"/>
    </w:pPr>
  </w:style>
  <w:style w:type="paragraph" w:styleId="817">
    <w:name w:val="Subtitle"/>
    <w:basedOn w:val="797"/>
    <w:next w:val="797"/>
    <w:link w:val="835"/>
    <w:uiPriority w:val="11"/>
    <w:qFormat/>
    <w:pPr>
      <w:spacing w:before="200" w:after="200"/>
    </w:pPr>
    <w:rPr>
      <w:sz w:val="24"/>
      <w:szCs w:val="24"/>
    </w:rPr>
  </w:style>
  <w:style w:type="paragraph" w:styleId="818">
    <w:name w:val="footnote text"/>
    <w:basedOn w:val="797"/>
    <w:link w:val="836"/>
    <w:uiPriority w:val="99"/>
    <w:unhideWhenUsed/>
    <w:qFormat/>
    <w:pPr>
      <w:spacing w:after="40"/>
    </w:pPr>
    <w:rPr>
      <w:sz w:val="18"/>
    </w:rPr>
  </w:style>
  <w:style w:type="paragraph" w:styleId="819">
    <w:name w:val="toc 6"/>
    <w:basedOn w:val="797"/>
    <w:next w:val="797"/>
    <w:uiPriority w:val="39"/>
    <w:unhideWhenUsed/>
    <w:qFormat/>
    <w:pPr>
      <w:ind w:left="1417"/>
      <w:spacing w:after="57"/>
    </w:pPr>
  </w:style>
  <w:style w:type="paragraph" w:styleId="820">
    <w:name w:val="table of figures"/>
    <w:basedOn w:val="797"/>
    <w:next w:val="797"/>
    <w:uiPriority w:val="99"/>
    <w:unhideWhenUsed/>
    <w:qFormat/>
  </w:style>
  <w:style w:type="paragraph" w:styleId="821">
    <w:name w:val="toc 2"/>
    <w:basedOn w:val="797"/>
    <w:next w:val="797"/>
    <w:uiPriority w:val="39"/>
    <w:unhideWhenUsed/>
    <w:qFormat/>
    <w:pPr>
      <w:ind w:left="283"/>
      <w:spacing w:after="57"/>
    </w:pPr>
  </w:style>
  <w:style w:type="paragraph" w:styleId="822">
    <w:name w:val="toc 9"/>
    <w:basedOn w:val="797"/>
    <w:next w:val="797"/>
    <w:uiPriority w:val="39"/>
    <w:unhideWhenUsed/>
    <w:qFormat/>
    <w:pPr>
      <w:ind w:left="2268"/>
      <w:spacing w:after="57"/>
    </w:pPr>
  </w:style>
  <w:style w:type="paragraph" w:styleId="823">
    <w:name w:val="Normal (Web)"/>
    <w:basedOn w:val="797"/>
    <w:uiPriority w:val="0"/>
    <w:qFormat/>
    <w:pPr>
      <w:jc w:val="left"/>
      <w:spacing w:beforeAutospacing="1" w:afterAutospacing="1"/>
    </w:pPr>
    <w:rPr>
      <w:sz w:val="24"/>
    </w:rPr>
  </w:style>
  <w:style w:type="paragraph" w:styleId="824">
    <w:name w:val="Title"/>
    <w:basedOn w:val="797"/>
    <w:next w:val="797"/>
    <w:link w:val="837"/>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801"/>
    <w:uiPriority w:val="22"/>
    <w:qFormat/>
    <w:rPr>
      <w:b/>
    </w:rPr>
  </w:style>
  <w:style w:type="character" w:styleId="827">
    <w:name w:val="endnote reference"/>
    <w:uiPriority w:val="99"/>
    <w:unhideWhenUsed/>
    <w:qFormat/>
    <w:rPr>
      <w:vertAlign w:val="superscript"/>
    </w:rPr>
  </w:style>
  <w:style w:type="character" w:styleId="828">
    <w:name w:val="Emphasis"/>
    <w:uiPriority w:val="0"/>
    <w:qFormat/>
    <w:rPr>
      <w:i/>
    </w:rPr>
  </w:style>
  <w:style w:type="character" w:styleId="829">
    <w:name w:val="Hyperlink"/>
    <w:uiPriority w:val="99"/>
    <w:unhideWhenUsed/>
    <w:qFormat/>
    <w:rPr>
      <w:color w:val="0000ff"/>
      <w:u w:val="single"/>
    </w:rPr>
  </w:style>
  <w:style w:type="character" w:styleId="830">
    <w:name w:val="annotation reference"/>
    <w:basedOn w:val="801"/>
    <w:uiPriority w:val="99"/>
    <w:semiHidden/>
    <w:unhideWhenUsed/>
    <w:qFormat/>
    <w:rPr>
      <w:sz w:val="21"/>
      <w:szCs w:val="21"/>
    </w:rPr>
  </w:style>
  <w:style w:type="character" w:styleId="831">
    <w:name w:val="footnote reference"/>
    <w:uiPriority w:val="99"/>
    <w:unhideWhenUsed/>
    <w:qFormat/>
    <w:rPr>
      <w:vertAlign w:val="superscript"/>
    </w:rPr>
  </w:style>
  <w:style w:type="character" w:styleId="832" w:customStyle="1">
    <w:name w:val="尾注文本 字符"/>
    <w:link w:val="811"/>
    <w:uiPriority w:val="99"/>
    <w:qFormat/>
    <w:rPr>
      <w:sz w:val="20"/>
    </w:rPr>
  </w:style>
  <w:style w:type="character" w:styleId="833" w:customStyle="1">
    <w:name w:val="页脚 字符1"/>
    <w:link w:val="813"/>
    <w:uiPriority w:val="99"/>
    <w:qFormat/>
    <w:rPr>
      <w:sz w:val="18"/>
      <w:szCs w:val="18"/>
    </w:rPr>
  </w:style>
  <w:style w:type="character" w:styleId="834" w:customStyle="1">
    <w:name w:val="页眉 字符1"/>
    <w:link w:val="814"/>
    <w:uiPriority w:val="99"/>
    <w:qFormat/>
    <w:rPr>
      <w:sz w:val="18"/>
      <w:szCs w:val="18"/>
    </w:rPr>
  </w:style>
  <w:style w:type="character" w:styleId="835" w:customStyle="1">
    <w:name w:val="副标题 字符"/>
    <w:link w:val="817"/>
    <w:uiPriority w:val="11"/>
    <w:qFormat/>
    <w:rPr>
      <w:sz w:val="24"/>
      <w:szCs w:val="24"/>
    </w:rPr>
  </w:style>
  <w:style w:type="character" w:styleId="836" w:customStyle="1">
    <w:name w:val="脚注文本 字符"/>
    <w:link w:val="818"/>
    <w:uiPriority w:val="99"/>
    <w:qFormat/>
    <w:rPr>
      <w:sz w:val="18"/>
    </w:rPr>
  </w:style>
  <w:style w:type="character" w:styleId="837" w:customStyle="1">
    <w:name w:val="标题 字符"/>
    <w:link w:val="824"/>
    <w:uiPriority w:val="10"/>
    <w:qFormat/>
    <w:rPr>
      <w:sz w:val="48"/>
      <w:szCs w:val="48"/>
    </w:rPr>
  </w:style>
  <w:style w:type="paragraph" w:styleId="838" w:customStyle="1">
    <w:name w:val="标题 11"/>
    <w:basedOn w:val="797"/>
    <w:next w:val="797"/>
    <w:link w:val="839"/>
    <w:uiPriority w:val="9"/>
    <w:qFormat/>
    <w:pPr>
      <w:keepLines/>
      <w:keepNext/>
      <w:spacing w:before="480" w:after="200"/>
      <w:outlineLvl w:val="0"/>
    </w:pPr>
    <w:rPr>
      <w:rFonts w:ascii="Arial" w:hAnsi="Arial" w:eastAsia="Arial" w:cs="Arial"/>
      <w:sz w:val="40"/>
      <w:szCs w:val="40"/>
    </w:rPr>
  </w:style>
  <w:style w:type="character" w:styleId="839" w:customStyle="1">
    <w:name w:val="Heading 1 Char"/>
    <w:link w:val="838"/>
    <w:uiPriority w:val="9"/>
    <w:qFormat/>
    <w:rPr>
      <w:rFonts w:ascii="Arial" w:hAnsi="Arial" w:eastAsia="Arial" w:cs="Arial"/>
      <w:sz w:val="40"/>
      <w:szCs w:val="40"/>
    </w:rPr>
  </w:style>
  <w:style w:type="paragraph" w:styleId="840" w:customStyle="1">
    <w:name w:val="标题 21"/>
    <w:basedOn w:val="797"/>
    <w:next w:val="797"/>
    <w:link w:val="841"/>
    <w:uiPriority w:val="9"/>
    <w:unhideWhenUsed/>
    <w:qFormat/>
    <w:pPr>
      <w:keepLines/>
      <w:keepNext/>
      <w:spacing w:before="360" w:after="200"/>
      <w:outlineLvl w:val="1"/>
    </w:pPr>
    <w:rPr>
      <w:rFonts w:ascii="Arial" w:hAnsi="Arial" w:eastAsia="Arial" w:cs="Arial"/>
      <w:sz w:val="34"/>
    </w:rPr>
  </w:style>
  <w:style w:type="character" w:styleId="841" w:customStyle="1">
    <w:name w:val="Heading 2 Char"/>
    <w:link w:val="840"/>
    <w:uiPriority w:val="9"/>
    <w:qFormat/>
    <w:rPr>
      <w:rFonts w:ascii="Arial" w:hAnsi="Arial" w:eastAsia="Arial" w:cs="Arial"/>
      <w:sz w:val="34"/>
    </w:rPr>
  </w:style>
  <w:style w:type="paragraph" w:styleId="842" w:customStyle="1">
    <w:name w:val="标题 31"/>
    <w:basedOn w:val="797"/>
    <w:next w:val="797"/>
    <w:link w:val="843"/>
    <w:uiPriority w:val="9"/>
    <w:unhideWhenUsed/>
    <w:qFormat/>
    <w:pPr>
      <w:keepLines/>
      <w:keepNext/>
      <w:spacing w:before="320" w:after="200"/>
      <w:outlineLvl w:val="2"/>
    </w:pPr>
    <w:rPr>
      <w:rFonts w:ascii="Arial" w:hAnsi="Arial" w:eastAsia="Arial" w:cs="Arial"/>
      <w:sz w:val="30"/>
      <w:szCs w:val="30"/>
    </w:rPr>
  </w:style>
  <w:style w:type="character" w:styleId="843" w:customStyle="1">
    <w:name w:val="Heading 3 Char"/>
    <w:link w:val="842"/>
    <w:uiPriority w:val="9"/>
    <w:qFormat/>
    <w:rPr>
      <w:rFonts w:ascii="Arial" w:hAnsi="Arial" w:eastAsia="Arial" w:cs="Arial"/>
      <w:sz w:val="30"/>
      <w:szCs w:val="30"/>
    </w:rPr>
  </w:style>
  <w:style w:type="paragraph" w:styleId="844" w:customStyle="1">
    <w:name w:val="标题 41"/>
    <w:basedOn w:val="797"/>
    <w:next w:val="797"/>
    <w:link w:val="845"/>
    <w:uiPriority w:val="9"/>
    <w:unhideWhenUsed/>
    <w:qFormat/>
    <w:pPr>
      <w:keepLines/>
      <w:keepNext/>
      <w:spacing w:before="320" w:after="200"/>
      <w:outlineLvl w:val="3"/>
    </w:pPr>
    <w:rPr>
      <w:rFonts w:ascii="Arial" w:hAnsi="Arial" w:eastAsia="Arial" w:cs="Arial"/>
      <w:b/>
      <w:bCs/>
      <w:sz w:val="26"/>
      <w:szCs w:val="26"/>
    </w:rPr>
  </w:style>
  <w:style w:type="character" w:styleId="845" w:customStyle="1">
    <w:name w:val="Heading 4 Char"/>
    <w:link w:val="844"/>
    <w:uiPriority w:val="9"/>
    <w:qFormat/>
    <w:rPr>
      <w:rFonts w:ascii="Arial" w:hAnsi="Arial" w:eastAsia="Arial" w:cs="Arial"/>
      <w:b/>
      <w:bCs/>
      <w:sz w:val="26"/>
      <w:szCs w:val="26"/>
    </w:rPr>
  </w:style>
  <w:style w:type="paragraph" w:styleId="846" w:customStyle="1">
    <w:name w:val="标题 51"/>
    <w:basedOn w:val="797"/>
    <w:next w:val="797"/>
    <w:link w:val="847"/>
    <w:uiPriority w:val="9"/>
    <w:unhideWhenUsed/>
    <w:qFormat/>
    <w:pPr>
      <w:keepLines/>
      <w:keepNext/>
      <w:spacing w:before="320" w:after="200"/>
      <w:outlineLvl w:val="4"/>
    </w:pPr>
    <w:rPr>
      <w:rFonts w:ascii="Arial" w:hAnsi="Arial" w:eastAsia="Arial" w:cs="Arial"/>
      <w:b/>
      <w:bCs/>
      <w:sz w:val="24"/>
      <w:szCs w:val="24"/>
    </w:rPr>
  </w:style>
  <w:style w:type="character" w:styleId="847" w:customStyle="1">
    <w:name w:val="Heading 5 Char"/>
    <w:link w:val="846"/>
    <w:uiPriority w:val="9"/>
    <w:qFormat/>
    <w:rPr>
      <w:rFonts w:ascii="Arial" w:hAnsi="Arial" w:eastAsia="Arial" w:cs="Arial"/>
      <w:b/>
      <w:bCs/>
      <w:sz w:val="24"/>
      <w:szCs w:val="24"/>
    </w:rPr>
  </w:style>
  <w:style w:type="paragraph" w:styleId="848" w:customStyle="1">
    <w:name w:val="标题 61"/>
    <w:basedOn w:val="797"/>
    <w:next w:val="797"/>
    <w:link w:val="849"/>
    <w:uiPriority w:val="9"/>
    <w:unhideWhenUsed/>
    <w:qFormat/>
    <w:pPr>
      <w:keepLines/>
      <w:keepNext/>
      <w:spacing w:before="320" w:after="200"/>
      <w:outlineLvl w:val="5"/>
    </w:pPr>
    <w:rPr>
      <w:rFonts w:ascii="Arial" w:hAnsi="Arial" w:eastAsia="Arial" w:cs="Arial"/>
      <w:b/>
      <w:bCs/>
      <w:sz w:val="22"/>
      <w:szCs w:val="22"/>
    </w:rPr>
  </w:style>
  <w:style w:type="character" w:styleId="849" w:customStyle="1">
    <w:name w:val="Heading 6 Char"/>
    <w:link w:val="848"/>
    <w:uiPriority w:val="9"/>
    <w:qFormat/>
    <w:rPr>
      <w:rFonts w:ascii="Arial" w:hAnsi="Arial" w:eastAsia="Arial" w:cs="Arial"/>
      <w:b/>
      <w:bCs/>
      <w:sz w:val="22"/>
      <w:szCs w:val="22"/>
    </w:rPr>
  </w:style>
  <w:style w:type="paragraph" w:styleId="850" w:customStyle="1">
    <w:name w:val="标题 71"/>
    <w:basedOn w:val="797"/>
    <w:next w:val="797"/>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customStyle="1">
    <w:name w:val="Heading 7 Char"/>
    <w:link w:val="850"/>
    <w:uiPriority w:val="9"/>
    <w:qFormat/>
    <w:rPr>
      <w:rFonts w:ascii="Arial" w:hAnsi="Arial" w:eastAsia="Arial" w:cs="Arial"/>
      <w:b/>
      <w:bCs/>
      <w:i/>
      <w:iCs/>
      <w:sz w:val="22"/>
      <w:szCs w:val="22"/>
    </w:rPr>
  </w:style>
  <w:style w:type="paragraph" w:styleId="852" w:customStyle="1">
    <w:name w:val="标题 81"/>
    <w:basedOn w:val="797"/>
    <w:next w:val="797"/>
    <w:link w:val="853"/>
    <w:uiPriority w:val="9"/>
    <w:unhideWhenUsed/>
    <w:qFormat/>
    <w:pPr>
      <w:keepLines/>
      <w:keepNext/>
      <w:spacing w:before="320" w:after="200"/>
      <w:outlineLvl w:val="7"/>
    </w:pPr>
    <w:rPr>
      <w:rFonts w:ascii="Arial" w:hAnsi="Arial" w:eastAsia="Arial" w:cs="Arial"/>
      <w:i/>
      <w:iCs/>
      <w:sz w:val="22"/>
      <w:szCs w:val="22"/>
    </w:rPr>
  </w:style>
  <w:style w:type="character" w:styleId="853" w:customStyle="1">
    <w:name w:val="Heading 8 Char"/>
    <w:link w:val="852"/>
    <w:uiPriority w:val="9"/>
    <w:qFormat/>
    <w:rPr>
      <w:rFonts w:ascii="Arial" w:hAnsi="Arial" w:eastAsia="Arial" w:cs="Arial"/>
      <w:i/>
      <w:iCs/>
      <w:sz w:val="22"/>
      <w:szCs w:val="22"/>
    </w:rPr>
  </w:style>
  <w:style w:type="paragraph" w:styleId="854" w:customStyle="1">
    <w:name w:val="标题 91"/>
    <w:basedOn w:val="797"/>
    <w:next w:val="797"/>
    <w:link w:val="855"/>
    <w:uiPriority w:val="9"/>
    <w:unhideWhenUsed/>
    <w:qFormat/>
    <w:pPr>
      <w:keepLines/>
      <w:keepNext/>
      <w:spacing w:before="320" w:after="200"/>
      <w:outlineLvl w:val="8"/>
    </w:pPr>
    <w:rPr>
      <w:rFonts w:ascii="Arial" w:hAnsi="Arial" w:eastAsia="Arial" w:cs="Arial"/>
      <w:i/>
      <w:iCs/>
    </w:rPr>
  </w:style>
  <w:style w:type="character" w:styleId="855" w:customStyle="1">
    <w:name w:val="Heading 9 Char"/>
    <w:link w:val="854"/>
    <w:uiPriority w:val="9"/>
    <w:qFormat/>
    <w:rPr>
      <w:rFonts w:ascii="Arial" w:hAnsi="Arial" w:eastAsia="Arial" w:cs="Arial"/>
      <w:i/>
      <w:iCs/>
      <w:sz w:val="21"/>
      <w:szCs w:val="21"/>
    </w:rPr>
  </w:style>
  <w:style w:type="paragraph" w:styleId="856">
    <w:name w:val="List Paragraph"/>
    <w:basedOn w:val="797"/>
    <w:uiPriority w:val="34"/>
    <w:qFormat/>
    <w:pPr>
      <w:contextualSpacing/>
      <w:ind w:left="720"/>
    </w:pPr>
  </w:style>
  <w:style w:type="paragraph" w:styleId="857">
    <w:name w:val="No Spacing"/>
    <w:uiPriority w:val="1"/>
    <w:qFormat/>
    <w:rPr>
      <w:rFonts w:ascii="Times New Roman" w:hAnsi="Times New Roman" w:eastAsia="宋体" w:cs="Times New Roman"/>
      <w:lang w:val="en-US" w:eastAsia="zh-CN" w:bidi="ar-SA"/>
    </w:rPr>
  </w:style>
  <w:style w:type="paragraph" w:styleId="858">
    <w:name w:val="Quote"/>
    <w:basedOn w:val="797"/>
    <w:next w:val="797"/>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97"/>
    <w:next w:val="797"/>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paragraph" w:styleId="862" w:customStyle="1">
    <w:name w:val="页眉1"/>
    <w:basedOn w:val="797"/>
    <w:link w:val="863"/>
    <w:uiPriority w:val="99"/>
    <w:unhideWhenUsed/>
    <w:qFormat/>
    <w:pPr>
      <w:tabs>
        <w:tab w:val="center" w:pos="7143" w:leader="none"/>
        <w:tab w:val="right" w:pos="14287" w:leader="none"/>
      </w:tabs>
    </w:pPr>
  </w:style>
  <w:style w:type="character" w:styleId="863" w:customStyle="1">
    <w:name w:val="Header Char"/>
    <w:link w:val="862"/>
    <w:uiPriority w:val="99"/>
    <w:qFormat/>
  </w:style>
  <w:style w:type="paragraph" w:styleId="864" w:customStyle="1">
    <w:name w:val="页脚1"/>
    <w:basedOn w:val="797"/>
    <w:link w:val="866"/>
    <w:uiPriority w:val="99"/>
    <w:unhideWhenUsed/>
    <w:qFormat/>
    <w:pPr>
      <w:tabs>
        <w:tab w:val="center" w:pos="7143" w:leader="none"/>
        <w:tab w:val="right" w:pos="14287" w:leader="none"/>
      </w:tabs>
    </w:pPr>
  </w:style>
  <w:style w:type="character" w:styleId="865" w:customStyle="1">
    <w:name w:val="Caption Char"/>
    <w:uiPriority w:val="99"/>
    <w:qFormat/>
  </w:style>
  <w:style w:type="character" w:styleId="866" w:customStyle="1">
    <w:name w:val="Footer Char"/>
    <w:link w:val="864"/>
    <w:uiPriority w:val="99"/>
    <w:qFormat/>
  </w:style>
  <w:style w:type="paragraph" w:styleId="867" w:customStyle="1">
    <w:name w:val="题注1"/>
    <w:basedOn w:val="797"/>
    <w:next w:val="797"/>
    <w:uiPriority w:val="35"/>
    <w:unhideWhenUsed/>
    <w:qFormat/>
    <w:pPr>
      <w:spacing w:line="276" w:lineRule="auto"/>
    </w:pPr>
    <w:rPr>
      <w:b/>
      <w:bCs/>
      <w:color w:val="4f81bd"/>
      <w:sz w:val="18"/>
      <w:szCs w:val="18"/>
    </w:rPr>
  </w:style>
  <w:style w:type="table" w:styleId="868"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9"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71" w:customStyle="1">
    <w:name w:val="_Style 67"/>
    <w:uiPriority w:val="99"/>
    <w:qFormat/>
    <w:tblPr>
      <w:tblCellMar>
        <w:left w:w="0" w:type="dxa"/>
        <w:top w:w="0" w:type="dxa"/>
        <w:right w:w="0" w:type="dxa"/>
        <w:bottom w:w="0" w:type="dxa"/>
      </w:tblCellMar>
    </w:tblPr>
  </w:style>
  <w:style w:type="table" w:styleId="872" w:customStyle="1">
    <w:name w:val="_Style 68"/>
    <w:uiPriority w:val="99"/>
    <w:qFormat/>
    <w:tblPr>
      <w:tblCellMar>
        <w:left w:w="0" w:type="dxa"/>
        <w:top w:w="0" w:type="dxa"/>
        <w:right w:w="0" w:type="dxa"/>
        <w:bottom w:w="0" w:type="dxa"/>
      </w:tblCellMar>
    </w:tblPr>
  </w:style>
  <w:style w:type="table" w:styleId="873" w:customStyle="1">
    <w:name w:val="_Style 69"/>
    <w:uiPriority w:val="99"/>
    <w:qFormat/>
    <w:tblPr>
      <w:tblCellMar>
        <w:left w:w="0" w:type="dxa"/>
        <w:top w:w="0" w:type="dxa"/>
        <w:right w:w="0" w:type="dxa"/>
        <w:bottom w:w="0" w:type="dxa"/>
      </w:tblCellMar>
    </w:tblPr>
  </w:style>
  <w:style w:type="table" w:styleId="874"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5"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6"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7"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8"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79"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0"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1"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2"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3"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4"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5"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6"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7"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8"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89"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0"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1"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2"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3"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4"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5"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6"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7"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8"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99"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0"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1"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2"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3"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4"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5"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6"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7"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8"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9"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0"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1"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2"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3"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4"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_Style 119"/>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1"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2"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3"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4"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5"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6"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937"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8"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9"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1"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2"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3"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5"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6"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8"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9"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0"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2"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3"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4"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5"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6"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7"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958"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65"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6"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93" w:customStyle="1">
    <w:name w:val="_Style 189"/>
    <w:uiPriority w:val="39"/>
    <w:qFormat/>
    <w:rPr>
      <w:rFonts w:ascii="Times New Roman" w:hAnsi="Times New Roman" w:eastAsia="宋体" w:cs="Times New Roman"/>
      <w:lang w:val="en-US" w:eastAsia="zh-CN" w:bidi="ar-SA"/>
    </w:rPr>
  </w:style>
  <w:style w:type="paragraph" w:styleId="994" w:customStyle="1">
    <w:name w:val="标题 111"/>
    <w:basedOn w:val="797"/>
    <w:next w:val="797"/>
    <w:link w:val="995"/>
    <w:uiPriority w:val="0"/>
    <w:qFormat/>
    <w:pPr>
      <w:jc w:val="center"/>
      <w:keepNext/>
      <w:outlineLvl w:val="0"/>
    </w:pPr>
    <w:rPr>
      <w:rFonts w:ascii="楷体_GB2312" w:eastAsia="楷体_GB2312"/>
      <w:sz w:val="28"/>
      <w:szCs w:val="28"/>
    </w:rPr>
  </w:style>
  <w:style w:type="character" w:styleId="995" w:customStyle="1">
    <w:name w:val="标题 1 字符"/>
    <w:link w:val="994"/>
    <w:uiPriority w:val="0"/>
    <w:qFormat/>
    <w:rPr>
      <w:rFonts w:ascii="楷体_GB2312" w:hAnsi="Times New Roman" w:eastAsia="楷体_GB2312" w:cs="Times New Roman"/>
      <w:sz w:val="28"/>
      <w:szCs w:val="28"/>
    </w:rPr>
  </w:style>
  <w:style w:type="paragraph" w:styleId="996" w:customStyle="1">
    <w:name w:val="标题 211"/>
    <w:basedOn w:val="797"/>
    <w:next w:val="997"/>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7" w:customStyle="1">
    <w:name w:val="正文缩进1"/>
    <w:basedOn w:val="797"/>
    <w:link w:val="999"/>
    <w:uiPriority w:val="99"/>
    <w:qFormat/>
    <w:pPr>
      <w:ind w:firstLine="420"/>
    </w:pPr>
  </w:style>
  <w:style w:type="character" w:styleId="998" w:customStyle="1">
    <w:name w:val="标题 2 字符"/>
    <w:link w:val="996"/>
    <w:uiPriority w:val="0"/>
    <w:qFormat/>
    <w:rPr>
      <w:rFonts w:ascii="Arial" w:hAnsi="Arial" w:eastAsia="幼圆" w:cs="Arial"/>
      <w:b/>
      <w:bCs/>
      <w:sz w:val="44"/>
      <w:szCs w:val="44"/>
    </w:rPr>
  </w:style>
  <w:style w:type="character" w:styleId="999" w:customStyle="1">
    <w:name w:val="正文缩进 字符"/>
    <w:link w:val="997"/>
    <w:uiPriority w:val="0"/>
    <w:qFormat/>
    <w:rPr>
      <w:rFonts w:ascii="Times New Roman" w:hAnsi="Times New Roman" w:eastAsia="宋体" w:cs="Times New Roman"/>
      <w:szCs w:val="21"/>
    </w:rPr>
  </w:style>
  <w:style w:type="paragraph" w:styleId="1000" w:customStyle="1">
    <w:name w:val="标题 311"/>
    <w:basedOn w:val="797"/>
    <w:next w:val="997"/>
    <w:link w:val="1001"/>
    <w:uiPriority w:val="0"/>
    <w:qFormat/>
    <w:pPr>
      <w:keepLines/>
      <w:keepNext/>
      <w:spacing w:before="260" w:after="260" w:line="416" w:lineRule="auto"/>
      <w:outlineLvl w:val="2"/>
    </w:pPr>
    <w:rPr>
      <w:b/>
      <w:bCs/>
      <w:sz w:val="32"/>
      <w:szCs w:val="32"/>
    </w:rPr>
  </w:style>
  <w:style w:type="character" w:styleId="1001" w:customStyle="1">
    <w:name w:val="标题 3 字符"/>
    <w:link w:val="1000"/>
    <w:uiPriority w:val="0"/>
    <w:qFormat/>
    <w:rPr>
      <w:rFonts w:ascii="Times New Roman" w:hAnsi="Times New Roman" w:eastAsia="宋体" w:cs="Times New Roman"/>
      <w:b/>
      <w:bCs/>
      <w:sz w:val="32"/>
      <w:szCs w:val="32"/>
    </w:rPr>
  </w:style>
  <w:style w:type="paragraph" w:styleId="1002" w:customStyle="1">
    <w:name w:val="标题 411"/>
    <w:basedOn w:val="797"/>
    <w:next w:val="997"/>
    <w:link w:val="1003"/>
    <w:uiPriority w:val="0"/>
    <w:qFormat/>
    <w:pPr>
      <w:keepLines/>
      <w:keepNext/>
      <w:spacing w:before="280" w:after="290" w:line="376" w:lineRule="auto"/>
      <w:outlineLvl w:val="3"/>
    </w:pPr>
    <w:rPr>
      <w:rFonts w:ascii="Arial" w:hAnsi="Arial" w:eastAsia="黑体" w:cs="Arial"/>
      <w:b/>
      <w:bCs/>
      <w:sz w:val="28"/>
      <w:szCs w:val="28"/>
    </w:rPr>
  </w:style>
  <w:style w:type="character" w:styleId="1003" w:customStyle="1">
    <w:name w:val="标题 4 字符"/>
    <w:link w:val="1002"/>
    <w:uiPriority w:val="0"/>
    <w:qFormat/>
    <w:rPr>
      <w:rFonts w:ascii="Arial" w:hAnsi="Arial" w:eastAsia="黑体" w:cs="Arial"/>
      <w:b/>
      <w:bCs/>
      <w:sz w:val="28"/>
      <w:szCs w:val="28"/>
    </w:rPr>
  </w:style>
  <w:style w:type="paragraph" w:styleId="1004" w:customStyle="1">
    <w:name w:val="标题 511"/>
    <w:basedOn w:val="797"/>
    <w:next w:val="997"/>
    <w:link w:val="1005"/>
    <w:uiPriority w:val="0"/>
    <w:qFormat/>
    <w:pPr>
      <w:keepNext/>
      <w:outlineLvl w:val="4"/>
    </w:pPr>
    <w:rPr>
      <w:rFonts w:ascii="宋体"/>
      <w:color w:val="000000"/>
      <w:sz w:val="28"/>
      <w:szCs w:val="28"/>
    </w:rPr>
  </w:style>
  <w:style w:type="character" w:styleId="1005" w:customStyle="1">
    <w:name w:val="标题 5 字符"/>
    <w:link w:val="1004"/>
    <w:uiPriority w:val="0"/>
    <w:qFormat/>
    <w:rPr>
      <w:rFonts w:ascii="宋体" w:hAnsi="Times New Roman" w:eastAsia="宋体" w:cs="Times New Roman"/>
      <w:color w:val="000000"/>
      <w:sz w:val="28"/>
      <w:szCs w:val="28"/>
    </w:rPr>
  </w:style>
  <w:style w:type="paragraph" w:styleId="1006" w:customStyle="1">
    <w:name w:val="标题 611"/>
    <w:basedOn w:val="797"/>
    <w:next w:val="797"/>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7" w:customStyle="1">
    <w:name w:val="标题 6 字符"/>
    <w:link w:val="1006"/>
    <w:uiPriority w:val="0"/>
    <w:qFormat/>
    <w:rPr>
      <w:rFonts w:ascii="Arial" w:hAnsi="Arial" w:eastAsia="黑体" w:cs="Times New Roman"/>
      <w:b/>
      <w:bCs/>
      <w:sz w:val="24"/>
      <w:szCs w:val="24"/>
    </w:rPr>
  </w:style>
  <w:style w:type="paragraph" w:styleId="1008" w:customStyle="1">
    <w:name w:val="标题 711"/>
    <w:basedOn w:val="797"/>
    <w:next w:val="797"/>
    <w:link w:val="1009"/>
    <w:uiPriority w:val="0"/>
    <w:qFormat/>
    <w:pPr>
      <w:numPr>
        <w:ilvl w:val="6"/>
        <w:numId w:val="1"/>
      </w:numPr>
      <w:keepLines/>
      <w:keepNext/>
      <w:spacing w:before="240" w:after="64" w:line="320" w:lineRule="auto"/>
      <w:outlineLvl w:val="6"/>
    </w:pPr>
    <w:rPr>
      <w:b/>
      <w:bCs/>
      <w:sz w:val="24"/>
      <w:szCs w:val="24"/>
    </w:rPr>
  </w:style>
  <w:style w:type="character" w:styleId="1009" w:customStyle="1">
    <w:name w:val="标题 7 字符"/>
    <w:link w:val="1008"/>
    <w:uiPriority w:val="0"/>
    <w:qFormat/>
    <w:rPr>
      <w:rFonts w:ascii="Times New Roman" w:hAnsi="Times New Roman" w:eastAsia="宋体" w:cs="Times New Roman"/>
      <w:b/>
      <w:bCs/>
      <w:sz w:val="24"/>
      <w:szCs w:val="24"/>
    </w:rPr>
  </w:style>
  <w:style w:type="paragraph" w:styleId="1010" w:customStyle="1">
    <w:name w:val="标题 811"/>
    <w:basedOn w:val="797"/>
    <w:next w:val="797"/>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1" w:customStyle="1">
    <w:name w:val="标题 8 字符"/>
    <w:link w:val="1010"/>
    <w:uiPriority w:val="0"/>
    <w:qFormat/>
    <w:rPr>
      <w:rFonts w:ascii="Arial" w:hAnsi="Arial" w:eastAsia="黑体" w:cs="Times New Roman"/>
      <w:sz w:val="24"/>
      <w:szCs w:val="24"/>
    </w:rPr>
  </w:style>
  <w:style w:type="paragraph" w:styleId="1012" w:customStyle="1">
    <w:name w:val="标题 911"/>
    <w:basedOn w:val="797"/>
    <w:next w:val="797"/>
    <w:link w:val="1013"/>
    <w:uiPriority w:val="0"/>
    <w:qFormat/>
    <w:pPr>
      <w:numPr>
        <w:ilvl w:val="8"/>
        <w:numId w:val="1"/>
      </w:numPr>
      <w:keepLines/>
      <w:keepNext/>
      <w:spacing w:before="240" w:after="64" w:line="320" w:lineRule="auto"/>
      <w:outlineLvl w:val="8"/>
    </w:pPr>
    <w:rPr>
      <w:rFonts w:ascii="Arial" w:hAnsi="Arial" w:eastAsia="黑体"/>
    </w:rPr>
  </w:style>
  <w:style w:type="character" w:styleId="1013" w:customStyle="1">
    <w:name w:val="标题 9 字符"/>
    <w:link w:val="1012"/>
    <w:uiPriority w:val="0"/>
    <w:qFormat/>
    <w:rPr>
      <w:rFonts w:ascii="Arial" w:hAnsi="Arial" w:eastAsia="黑体" w:cs="Times New Roman"/>
      <w:szCs w:val="21"/>
    </w:rPr>
  </w:style>
  <w:style w:type="character" w:styleId="1014" w:customStyle="1">
    <w:name w:val="默认段落字体1"/>
    <w:uiPriority w:val="1"/>
    <w:unhideWhenUsed/>
    <w:qFormat/>
  </w:style>
  <w:style w:type="table" w:styleId="1015" w:customStyle="1">
    <w:name w:val="普通表格1"/>
    <w:uiPriority w:val="99"/>
    <w:unhideWhenUsed/>
    <w:qFormat/>
    <w:tblPr>
      <w:tblCellMar>
        <w:left w:w="0" w:type="dxa"/>
        <w:top w:w="0" w:type="dxa"/>
        <w:right w:w="0" w:type="dxa"/>
        <w:bottom w:w="0" w:type="dxa"/>
      </w:tblCellMar>
    </w:tblPr>
  </w:style>
  <w:style w:type="paragraph" w:styleId="1016" w:customStyle="1">
    <w:name w:val="列表 31"/>
    <w:basedOn w:val="797"/>
    <w:uiPriority w:val="0"/>
    <w:qFormat/>
    <w:pPr>
      <w:ind w:left="100" w:hanging="200"/>
    </w:pPr>
  </w:style>
  <w:style w:type="paragraph" w:styleId="1017" w:customStyle="1">
    <w:name w:val="目录 71"/>
    <w:basedOn w:val="797"/>
    <w:next w:val="797"/>
    <w:uiPriority w:val="0"/>
    <w:semiHidden/>
    <w:qFormat/>
    <w:pPr>
      <w:ind w:left="1260"/>
      <w:jc w:val="left"/>
    </w:pPr>
  </w:style>
  <w:style w:type="paragraph" w:styleId="1018" w:customStyle="1">
    <w:name w:val="文档结构图1"/>
    <w:basedOn w:val="797"/>
    <w:link w:val="1019"/>
    <w:uiPriority w:val="0"/>
    <w:semiHidden/>
    <w:qFormat/>
    <w:pPr>
      <w:shd w:val="clear" w:color="auto" w:fill="000080"/>
    </w:pPr>
  </w:style>
  <w:style w:type="character" w:styleId="1019" w:customStyle="1">
    <w:name w:val="文档结构图 字符"/>
    <w:link w:val="1018"/>
    <w:uiPriority w:val="0"/>
    <w:semiHidden/>
    <w:qFormat/>
    <w:rPr>
      <w:rFonts w:ascii="Times New Roman" w:hAnsi="Times New Roman" w:eastAsia="宋体" w:cs="Times New Roman"/>
      <w:szCs w:val="21"/>
      <w:shd w:val="clear" w:color="auto" w:fill="000080"/>
    </w:rPr>
  </w:style>
  <w:style w:type="paragraph" w:styleId="1020" w:customStyle="1">
    <w:name w:val="批注文字1"/>
    <w:basedOn w:val="797"/>
    <w:link w:val="1021"/>
    <w:uiPriority w:val="99"/>
    <w:qFormat/>
    <w:pPr>
      <w:jc w:val="left"/>
    </w:pPr>
  </w:style>
  <w:style w:type="character" w:styleId="1021" w:customStyle="1">
    <w:name w:val="批注文字 字符"/>
    <w:link w:val="1020"/>
    <w:uiPriority w:val="99"/>
    <w:qFormat/>
    <w:rPr>
      <w:rFonts w:ascii="Times New Roman" w:hAnsi="Times New Roman" w:eastAsia="宋体" w:cs="Times New Roman"/>
      <w:szCs w:val="21"/>
    </w:rPr>
  </w:style>
  <w:style w:type="paragraph" w:styleId="1022" w:customStyle="1">
    <w:name w:val="正文文本 31"/>
    <w:basedOn w:val="797"/>
    <w:link w:val="1023"/>
    <w:uiPriority w:val="0"/>
    <w:qFormat/>
    <w:rPr>
      <w:rFonts w:ascii="仿宋_GB2312" w:hAnsi="Arial" w:eastAsia="仿宋_GB2312"/>
      <w:sz w:val="32"/>
      <w:szCs w:val="32"/>
    </w:rPr>
  </w:style>
  <w:style w:type="character" w:styleId="1023" w:customStyle="1">
    <w:name w:val="正文文本 3 字符"/>
    <w:link w:val="1022"/>
    <w:uiPriority w:val="0"/>
    <w:qFormat/>
    <w:rPr>
      <w:rFonts w:ascii="仿宋_GB2312" w:hAnsi="Arial" w:eastAsia="仿宋_GB2312" w:cs="Times New Roman"/>
      <w:sz w:val="32"/>
      <w:szCs w:val="32"/>
    </w:rPr>
  </w:style>
  <w:style w:type="paragraph" w:styleId="1024" w:customStyle="1">
    <w:name w:val="正文文本1"/>
    <w:basedOn w:val="797"/>
    <w:link w:val="1025"/>
    <w:uiPriority w:val="0"/>
    <w:qFormat/>
    <w:rPr>
      <w:rFonts w:ascii="楷体_GB2312" w:hAnsi="Arial" w:eastAsia="楷体_GB2312"/>
      <w:sz w:val="28"/>
      <w:szCs w:val="28"/>
    </w:rPr>
  </w:style>
  <w:style w:type="character" w:styleId="1025" w:customStyle="1">
    <w:name w:val="正文文本 字符"/>
    <w:link w:val="1024"/>
    <w:uiPriority w:val="0"/>
    <w:qFormat/>
    <w:rPr>
      <w:rFonts w:ascii="楷体_GB2312" w:hAnsi="Arial" w:eastAsia="楷体_GB2312" w:cs="Times New Roman"/>
      <w:sz w:val="28"/>
      <w:szCs w:val="28"/>
    </w:rPr>
  </w:style>
  <w:style w:type="paragraph" w:styleId="1026" w:customStyle="1">
    <w:name w:val="正文文本缩进1"/>
    <w:basedOn w:val="797"/>
    <w:link w:val="1027"/>
    <w:uiPriority w:val="0"/>
    <w:qFormat/>
    <w:pPr>
      <w:ind w:firstLine="645"/>
    </w:pPr>
    <w:rPr>
      <w:rFonts w:ascii="楷体_GB2312" w:eastAsia="楷体_GB2312"/>
      <w:sz w:val="32"/>
      <w:szCs w:val="32"/>
    </w:rPr>
  </w:style>
  <w:style w:type="character" w:styleId="1027" w:customStyle="1">
    <w:name w:val="正文文本缩进 字符"/>
    <w:link w:val="1026"/>
    <w:uiPriority w:val="0"/>
    <w:qFormat/>
    <w:rPr>
      <w:rFonts w:ascii="楷体_GB2312" w:hAnsi="Times New Roman" w:eastAsia="楷体_GB2312" w:cs="Times New Roman"/>
      <w:sz w:val="32"/>
      <w:szCs w:val="32"/>
    </w:rPr>
  </w:style>
  <w:style w:type="paragraph" w:styleId="1028" w:customStyle="1">
    <w:name w:val="列表 21"/>
    <w:basedOn w:val="797"/>
    <w:uiPriority w:val="0"/>
    <w:qFormat/>
    <w:pPr>
      <w:ind w:left="100" w:hanging="200"/>
    </w:pPr>
  </w:style>
  <w:style w:type="paragraph" w:styleId="1029" w:customStyle="1">
    <w:name w:val="目录 51"/>
    <w:basedOn w:val="797"/>
    <w:next w:val="797"/>
    <w:uiPriority w:val="0"/>
    <w:semiHidden/>
    <w:qFormat/>
    <w:pPr>
      <w:ind w:left="840"/>
      <w:jc w:val="left"/>
    </w:pPr>
  </w:style>
  <w:style w:type="paragraph" w:styleId="1030" w:customStyle="1">
    <w:name w:val="目录 31"/>
    <w:basedOn w:val="797"/>
    <w:next w:val="797"/>
    <w:uiPriority w:val="0"/>
    <w:semiHidden/>
    <w:qFormat/>
    <w:pPr>
      <w:ind w:left="420"/>
      <w:jc w:val="left"/>
    </w:pPr>
    <w:rPr>
      <w:i/>
      <w:iCs/>
      <w:szCs w:val="24"/>
    </w:rPr>
  </w:style>
  <w:style w:type="paragraph" w:styleId="1031" w:customStyle="1">
    <w:name w:val="纯文本1"/>
    <w:basedOn w:val="797"/>
    <w:link w:val="1032"/>
    <w:uiPriority w:val="0"/>
    <w:qFormat/>
    <w:rPr>
      <w:rFonts w:ascii="宋体" w:hAnsi="Courier New" w:cs="Courier New"/>
    </w:rPr>
  </w:style>
  <w:style w:type="character" w:styleId="1032" w:customStyle="1">
    <w:name w:val="纯文本 字符"/>
    <w:link w:val="1031"/>
    <w:uiPriority w:val="0"/>
    <w:qFormat/>
    <w:rPr>
      <w:rFonts w:ascii="宋体" w:hAnsi="Courier New" w:eastAsia="宋体" w:cs="Courier New"/>
      <w:szCs w:val="21"/>
    </w:rPr>
  </w:style>
  <w:style w:type="paragraph" w:styleId="1033" w:customStyle="1">
    <w:name w:val="目录 81"/>
    <w:basedOn w:val="797"/>
    <w:next w:val="797"/>
    <w:uiPriority w:val="0"/>
    <w:semiHidden/>
    <w:qFormat/>
    <w:pPr>
      <w:ind w:left="1470"/>
      <w:jc w:val="left"/>
    </w:pPr>
  </w:style>
  <w:style w:type="paragraph" w:styleId="1034" w:customStyle="1">
    <w:name w:val="日期1"/>
    <w:basedOn w:val="797"/>
    <w:next w:val="797"/>
    <w:link w:val="1035"/>
    <w:uiPriority w:val="0"/>
    <w:qFormat/>
    <w:rPr>
      <w:sz w:val="24"/>
      <w:szCs w:val="24"/>
    </w:rPr>
  </w:style>
  <w:style w:type="character" w:styleId="1035" w:customStyle="1">
    <w:name w:val="日期 字符"/>
    <w:link w:val="1034"/>
    <w:uiPriority w:val="0"/>
    <w:qFormat/>
    <w:rPr>
      <w:rFonts w:ascii="Times New Roman" w:hAnsi="Times New Roman" w:eastAsia="宋体" w:cs="Times New Roman"/>
      <w:sz w:val="24"/>
      <w:szCs w:val="24"/>
    </w:rPr>
  </w:style>
  <w:style w:type="paragraph" w:styleId="1036" w:customStyle="1">
    <w:name w:val="正文文本缩进 21"/>
    <w:basedOn w:val="797"/>
    <w:link w:val="1037"/>
    <w:uiPriority w:val="0"/>
    <w:qFormat/>
    <w:pPr>
      <w:ind w:left="630" w:firstLine="645"/>
    </w:pPr>
    <w:rPr>
      <w:rFonts w:ascii="Arial" w:hAnsi="Arial" w:eastAsia="仿宋_GB2312" w:cs="Arial"/>
      <w:sz w:val="32"/>
      <w:szCs w:val="32"/>
    </w:rPr>
  </w:style>
  <w:style w:type="character" w:styleId="1037" w:customStyle="1">
    <w:name w:val="正文文本缩进 2 字符"/>
    <w:link w:val="1036"/>
    <w:uiPriority w:val="0"/>
    <w:qFormat/>
    <w:rPr>
      <w:rFonts w:ascii="Arial" w:hAnsi="Arial" w:eastAsia="仿宋_GB2312" w:cs="Arial"/>
      <w:sz w:val="32"/>
      <w:szCs w:val="32"/>
    </w:rPr>
  </w:style>
  <w:style w:type="paragraph" w:styleId="1038" w:customStyle="1">
    <w:name w:val="批注框文本1"/>
    <w:basedOn w:val="797"/>
    <w:link w:val="1039"/>
    <w:uiPriority w:val="0"/>
    <w:semiHidden/>
    <w:qFormat/>
    <w:rPr>
      <w:sz w:val="18"/>
      <w:szCs w:val="18"/>
    </w:rPr>
  </w:style>
  <w:style w:type="character" w:styleId="1039" w:customStyle="1">
    <w:name w:val="批注框文本 字符"/>
    <w:link w:val="1038"/>
    <w:uiPriority w:val="0"/>
    <w:semiHidden/>
    <w:qFormat/>
    <w:rPr>
      <w:rFonts w:ascii="Times New Roman" w:hAnsi="Times New Roman" w:eastAsia="宋体" w:cs="Times New Roman"/>
      <w:sz w:val="18"/>
      <w:szCs w:val="18"/>
    </w:rPr>
  </w:style>
  <w:style w:type="paragraph" w:styleId="1040" w:customStyle="1">
    <w:name w:val="页脚11"/>
    <w:basedOn w:val="797"/>
    <w:link w:val="1041"/>
    <w:uiPriority w:val="99"/>
    <w:qFormat/>
    <w:pPr>
      <w:jc w:val="left"/>
      <w:tabs>
        <w:tab w:val="center" w:pos="4153" w:leader="none"/>
        <w:tab w:val="right" w:pos="8306" w:leader="none"/>
      </w:tabs>
    </w:pPr>
    <w:rPr>
      <w:sz w:val="18"/>
      <w:szCs w:val="18"/>
    </w:rPr>
  </w:style>
  <w:style w:type="character" w:styleId="1041" w:customStyle="1">
    <w:name w:val="页脚 字符"/>
    <w:link w:val="1040"/>
    <w:uiPriority w:val="99"/>
    <w:qFormat/>
    <w:rPr>
      <w:rFonts w:ascii="Times New Roman" w:hAnsi="Times New Roman" w:eastAsia="宋体" w:cs="Times New Roman"/>
      <w:sz w:val="18"/>
      <w:szCs w:val="18"/>
    </w:rPr>
  </w:style>
  <w:style w:type="paragraph" w:styleId="1042" w:customStyle="1">
    <w:name w:val="页眉11"/>
    <w:basedOn w:val="797"/>
    <w:link w:val="1043"/>
    <w:uiPriority w:val="0"/>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字符"/>
    <w:link w:val="1042"/>
    <w:uiPriority w:val="0"/>
    <w:qFormat/>
    <w:rPr>
      <w:rFonts w:ascii="Times New Roman" w:hAnsi="Times New Roman" w:eastAsia="宋体" w:cs="Times New Roman"/>
      <w:sz w:val="18"/>
      <w:szCs w:val="18"/>
    </w:rPr>
  </w:style>
  <w:style w:type="paragraph" w:styleId="1044" w:customStyle="1">
    <w:name w:val="目录 11"/>
    <w:basedOn w:val="797"/>
    <w:next w:val="797"/>
    <w:uiPriority w:val="0"/>
    <w:semiHidden/>
    <w:qFormat/>
    <w:pPr>
      <w:jc w:val="left"/>
      <w:spacing w:before="120" w:after="120" w:line="400" w:lineRule="exact"/>
      <w:tabs>
        <w:tab w:val="right" w:pos="8720" w:leader="dot"/>
      </w:tabs>
    </w:pPr>
    <w:rPr>
      <w:rFonts w:ascii="宋体" w:hAnsi="宋体"/>
      <w:caps/>
      <w:sz w:val="24"/>
      <w:szCs w:val="24"/>
    </w:rPr>
  </w:style>
  <w:style w:type="paragraph" w:styleId="1045" w:customStyle="1">
    <w:name w:val="目录 41"/>
    <w:basedOn w:val="797"/>
    <w:next w:val="797"/>
    <w:uiPriority w:val="0"/>
    <w:semiHidden/>
    <w:qFormat/>
    <w:pPr>
      <w:ind w:left="630"/>
      <w:jc w:val="left"/>
    </w:pPr>
  </w:style>
  <w:style w:type="paragraph" w:styleId="1046" w:customStyle="1">
    <w:name w:val="列表1"/>
    <w:basedOn w:val="797"/>
    <w:uiPriority w:val="0"/>
    <w:qFormat/>
    <w:pPr>
      <w:ind w:left="200" w:hanging="200"/>
    </w:pPr>
  </w:style>
  <w:style w:type="paragraph" w:styleId="1047" w:customStyle="1">
    <w:name w:val="目录 61"/>
    <w:basedOn w:val="797"/>
    <w:next w:val="797"/>
    <w:uiPriority w:val="0"/>
    <w:semiHidden/>
    <w:qFormat/>
    <w:pPr>
      <w:ind w:left="1050"/>
      <w:jc w:val="left"/>
    </w:pPr>
  </w:style>
  <w:style w:type="paragraph" w:styleId="1048" w:customStyle="1">
    <w:name w:val="正文文本缩进 31"/>
    <w:basedOn w:val="797"/>
    <w:link w:val="1049"/>
    <w:uiPriority w:val="0"/>
    <w:qFormat/>
    <w:pPr>
      <w:ind w:left="645" w:firstLine="645"/>
    </w:pPr>
    <w:rPr>
      <w:rFonts w:ascii="Arial" w:hAnsi="Arial" w:eastAsia="仿宋_GB2312" w:cs="Arial"/>
      <w:color w:val="ffff00"/>
      <w:sz w:val="32"/>
      <w:szCs w:val="32"/>
    </w:rPr>
  </w:style>
  <w:style w:type="character" w:styleId="1049" w:customStyle="1">
    <w:name w:val="正文文本缩进 3 字符"/>
    <w:link w:val="1048"/>
    <w:uiPriority w:val="0"/>
    <w:qFormat/>
    <w:rPr>
      <w:rFonts w:ascii="Arial" w:hAnsi="Arial" w:eastAsia="仿宋_GB2312" w:cs="Arial"/>
      <w:color w:val="ffff00"/>
      <w:sz w:val="32"/>
      <w:szCs w:val="32"/>
    </w:rPr>
  </w:style>
  <w:style w:type="paragraph" w:styleId="1050" w:customStyle="1">
    <w:name w:val="图表目录1"/>
    <w:basedOn w:val="797"/>
    <w:next w:val="797"/>
    <w:uiPriority w:val="0"/>
    <w:semiHidden/>
    <w:qFormat/>
    <w:pPr>
      <w:ind w:left="840" w:hanging="420"/>
    </w:pPr>
  </w:style>
  <w:style w:type="paragraph" w:styleId="1051" w:customStyle="1">
    <w:name w:val="目录 21"/>
    <w:basedOn w:val="797"/>
    <w:next w:val="797"/>
    <w:uiPriority w:val="0"/>
    <w:semiHidden/>
    <w:qFormat/>
    <w:pPr>
      <w:ind w:left="210"/>
      <w:jc w:val="left"/>
    </w:pPr>
    <w:rPr>
      <w:smallCaps/>
      <w:szCs w:val="24"/>
    </w:rPr>
  </w:style>
  <w:style w:type="paragraph" w:styleId="1052" w:customStyle="1">
    <w:name w:val="目录 91"/>
    <w:basedOn w:val="797"/>
    <w:next w:val="797"/>
    <w:uiPriority w:val="0"/>
    <w:semiHidden/>
    <w:qFormat/>
    <w:pPr>
      <w:ind w:left="1680"/>
      <w:jc w:val="left"/>
    </w:pPr>
  </w:style>
  <w:style w:type="paragraph" w:styleId="1053" w:customStyle="1">
    <w:name w:val="正文文本 21"/>
    <w:basedOn w:val="797"/>
    <w:link w:val="1054"/>
    <w:uiPriority w:val="0"/>
    <w:qFormat/>
    <w:pPr>
      <w:jc w:val="center"/>
      <w:widowControl/>
    </w:pPr>
    <w:rPr>
      <w:rFonts w:ascii="楷体_GB2312" w:eastAsia="楷体_GB2312"/>
      <w:sz w:val="28"/>
      <w:szCs w:val="28"/>
    </w:rPr>
  </w:style>
  <w:style w:type="character" w:styleId="1054" w:customStyle="1">
    <w:name w:val="正文文本 2 字符"/>
    <w:link w:val="1053"/>
    <w:uiPriority w:val="0"/>
    <w:qFormat/>
    <w:rPr>
      <w:rFonts w:ascii="楷体_GB2312" w:hAnsi="Times New Roman" w:eastAsia="楷体_GB2312" w:cs="Times New Roman"/>
      <w:sz w:val="28"/>
      <w:szCs w:val="28"/>
    </w:rPr>
  </w:style>
  <w:style w:type="paragraph" w:styleId="1055" w:customStyle="1">
    <w:name w:val="普通(网站)1"/>
    <w:basedOn w:val="797"/>
    <w:uiPriority w:val="99"/>
    <w:qFormat/>
    <w:pPr>
      <w:jc w:val="left"/>
      <w:spacing w:before="100" w:beforeAutospacing="1" w:after="100" w:afterAutospacing="1"/>
      <w:widowControl/>
    </w:pPr>
    <w:rPr>
      <w:rFonts w:ascii="宋体" w:hAnsi="宋体" w:cs="宋体"/>
      <w:sz w:val="24"/>
      <w:szCs w:val="24"/>
    </w:rPr>
  </w:style>
  <w:style w:type="paragraph" w:styleId="1056" w:customStyle="1">
    <w:name w:val="索引 11"/>
    <w:basedOn w:val="797"/>
    <w:next w:val="797"/>
    <w:uiPriority w:val="0"/>
    <w:semiHidden/>
    <w:qFormat/>
    <w:pPr>
      <w:spacing w:line="240" w:lineRule="atLeast"/>
    </w:pPr>
    <w:rPr>
      <w:b/>
      <w:bCs/>
    </w:rPr>
  </w:style>
  <w:style w:type="paragraph" w:styleId="1057" w:customStyle="1">
    <w:name w:val="批注主题1"/>
    <w:basedOn w:val="1020"/>
    <w:next w:val="1020"/>
    <w:link w:val="1058"/>
    <w:uiPriority w:val="0"/>
    <w:semiHidden/>
    <w:qFormat/>
    <w:rPr>
      <w:b/>
      <w:bCs/>
    </w:rPr>
  </w:style>
  <w:style w:type="character" w:styleId="1058" w:customStyle="1">
    <w:name w:val="批注主题 字符"/>
    <w:link w:val="1057"/>
    <w:uiPriority w:val="0"/>
    <w:semiHidden/>
    <w:qFormat/>
    <w:rPr>
      <w:rFonts w:ascii="Times New Roman" w:hAnsi="Times New Roman" w:eastAsia="宋体" w:cs="Times New Roman"/>
      <w:b/>
      <w:bCs/>
      <w:szCs w:val="21"/>
    </w:rPr>
  </w:style>
  <w:style w:type="paragraph" w:styleId="1059" w:customStyle="1">
    <w:name w:val="正文首行缩进1"/>
    <w:basedOn w:val="797"/>
    <w:link w:val="1060"/>
    <w:uiPriority w:val="0"/>
    <w:qFormat/>
    <w:pPr>
      <w:ind w:firstLine="200"/>
      <w:spacing w:line="360" w:lineRule="auto"/>
    </w:pPr>
    <w:rPr>
      <w:rFonts w:ascii="仿宋_GB2312" w:eastAsia="仿宋_GB2312"/>
      <w:sz w:val="30"/>
      <w:szCs w:val="30"/>
    </w:rPr>
  </w:style>
  <w:style w:type="character" w:styleId="1060" w:customStyle="1">
    <w:name w:val="正文文本首行缩进 字符"/>
    <w:link w:val="1059"/>
    <w:uiPriority w:val="0"/>
    <w:qFormat/>
    <w:rPr>
      <w:rFonts w:ascii="仿宋_GB2312" w:hAnsi="Times New Roman" w:eastAsia="仿宋_GB2312" w:cs="Times New Roman"/>
      <w:sz w:val="30"/>
      <w:szCs w:val="30"/>
    </w:rPr>
  </w:style>
  <w:style w:type="paragraph" w:styleId="1061" w:customStyle="1">
    <w:name w:val="正文首行缩进 21"/>
    <w:basedOn w:val="1026"/>
    <w:link w:val="1062"/>
    <w:uiPriority w:val="0"/>
    <w:qFormat/>
    <w:pPr>
      <w:ind w:firstLine="420"/>
      <w:spacing w:line="360" w:lineRule="auto"/>
    </w:pPr>
    <w:rPr>
      <w:rFonts w:ascii="宋体" w:hAnsi="宋体" w:eastAsia="宋体"/>
      <w:sz w:val="21"/>
      <w:szCs w:val="20"/>
    </w:rPr>
  </w:style>
  <w:style w:type="character" w:styleId="1062" w:customStyle="1">
    <w:name w:val="正文文本首行缩进 2 字符"/>
    <w:link w:val="1061"/>
    <w:uiPriority w:val="0"/>
    <w:qFormat/>
    <w:rPr>
      <w:rFonts w:ascii="宋体" w:hAnsi="宋体" w:eastAsia="宋体" w:cs="Times New Roman"/>
      <w:sz w:val="32"/>
      <w:szCs w:val="20"/>
    </w:rPr>
  </w:style>
  <w:style w:type="table" w:styleId="1063" w:customStyle="1">
    <w:name w:val="网格型1"/>
    <w:basedOn w:val="1015"/>
    <w:uiPriority w:val="0"/>
    <w:qFormat/>
    <w:pPr>
      <w:jc w:val="both"/>
      <w:widowControl w:val="off"/>
    </w:pPr>
    <w:tblPr/>
  </w:style>
  <w:style w:type="character" w:styleId="1064" w:customStyle="1">
    <w:name w:val="要点1"/>
    <w:uiPriority w:val="0"/>
    <w:qFormat/>
    <w:rPr>
      <w:b/>
      <w:bCs/>
    </w:rPr>
  </w:style>
  <w:style w:type="character" w:styleId="1065" w:customStyle="1">
    <w:name w:val="页码1"/>
    <w:uiPriority w:val="0"/>
    <w:qFormat/>
  </w:style>
  <w:style w:type="character" w:styleId="1066" w:customStyle="1">
    <w:name w:val="已访问的超链接1"/>
    <w:uiPriority w:val="0"/>
    <w:qFormat/>
    <w:rPr>
      <w:color w:val="800080"/>
      <w:u w:val="single"/>
    </w:rPr>
  </w:style>
  <w:style w:type="character" w:styleId="1067" w:customStyle="1">
    <w:name w:val="超链接1"/>
    <w:uiPriority w:val="0"/>
    <w:qFormat/>
    <w:rPr>
      <w:color w:val="0000ff"/>
      <w:u w:val="single"/>
    </w:rPr>
  </w:style>
  <w:style w:type="character" w:styleId="1068" w:customStyle="1">
    <w:name w:val="批注引用1"/>
    <w:uiPriority w:val="99"/>
    <w:qFormat/>
    <w:rPr>
      <w:sz w:val="21"/>
      <w:szCs w:val="21"/>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97"/>
    <w:link w:val="107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797"/>
    <w:link w:val="1072"/>
    <w:uiPriority w:val="0"/>
    <w:qFormat/>
    <w:pPr>
      <w:contextualSpacing/>
      <w:ind w:left="720"/>
      <w:jc w:val="left"/>
      <w:widowControl/>
    </w:pPr>
    <w:rPr>
      <w:rFonts w:ascii="Calibri" w:hAnsi="Calibri"/>
      <w:sz w:val="24"/>
      <w:szCs w:val="24"/>
      <w:lang w:eastAsia="en-US" w:bidi="en-US"/>
    </w:rPr>
  </w:style>
  <w:style w:type="paragraph" w:styleId="1074" w:customStyle="1">
    <w:name w:val="Body Text(ch)"/>
    <w:basedOn w:val="797"/>
    <w:next w:val="1024"/>
    <w:uiPriority w:val="0"/>
    <w:qFormat/>
    <w:pPr>
      <w:spacing w:after="120"/>
    </w:pPr>
    <w:rPr>
      <w:rFonts w:ascii="宋体" w:hAnsi="Arial"/>
      <w:bCs/>
      <w:iCs/>
      <w:szCs w:val="24"/>
    </w:rPr>
  </w:style>
  <w:style w:type="paragraph" w:styleId="1075" w:customStyle="1">
    <w:name w:val="xl27"/>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797"/>
    <w:uiPriority w:val="0"/>
    <w:qFormat/>
    <w:pPr>
      <w:ind w:firstLine="200"/>
      <w:tabs>
        <w:tab w:val="left" w:pos="360" w:leader="none"/>
      </w:tabs>
    </w:pPr>
    <w:rPr>
      <w:sz w:val="28"/>
      <w:szCs w:val="30"/>
    </w:rPr>
  </w:style>
  <w:style w:type="paragraph" w:styleId="1078" w:customStyle="1">
    <w:name w:val="Char1"/>
    <w:basedOn w:val="1018"/>
    <w:uiPriority w:val="0"/>
    <w:qFormat/>
    <w:rPr>
      <w:rFonts w:ascii="Tahoma" w:hAnsi="Tahoma"/>
      <w:sz w:val="24"/>
      <w:szCs w:val="24"/>
    </w:rPr>
  </w:style>
  <w:style w:type="paragraph" w:styleId="1079" w:customStyle="1">
    <w:name w:val="普通正文"/>
    <w:basedOn w:val="797"/>
    <w:uiPriority w:val="0"/>
    <w:qFormat/>
    <w:pPr>
      <w:ind w:firstLine="480"/>
      <w:jc w:val="left"/>
      <w:spacing w:before="120" w:after="120" w:line="360" w:lineRule="auto"/>
    </w:pPr>
    <w:rPr>
      <w:rFonts w:ascii="Arial" w:hAnsi="Arial"/>
      <w:sz w:val="24"/>
      <w:szCs w:val="24"/>
    </w:rPr>
  </w:style>
  <w:style w:type="paragraph" w:styleId="1080" w:customStyle="1">
    <w:name w:val="table_lines"/>
    <w:basedOn w:val="797"/>
    <w:uiPriority w:val="0"/>
    <w:qFormat/>
    <w:pPr>
      <w:jc w:val="left"/>
      <w:widowControl/>
    </w:pPr>
    <w:rPr>
      <w:sz w:val="20"/>
      <w:szCs w:val="20"/>
      <w:lang w:val="de-DE" w:eastAsia="de-DE"/>
    </w:rPr>
  </w:style>
  <w:style w:type="paragraph" w:styleId="108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2" w:customStyle="1">
    <w:name w:val="font7"/>
    <w:basedOn w:val="797"/>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18"/>
    <w:uiPriority w:val="0"/>
    <w:qFormat/>
    <w:pPr>
      <w:spacing w:line="360" w:lineRule="auto"/>
    </w:pPr>
    <w:rPr>
      <w:rFonts w:ascii="Tahoma" w:hAnsi="Tahoma"/>
      <w:sz w:val="24"/>
      <w:szCs w:val="24"/>
    </w:rPr>
  </w:style>
  <w:style w:type="paragraph" w:styleId="1084" w:customStyle="1">
    <w:name w:val="列表段落1"/>
    <w:basedOn w:val="797"/>
    <w:link w:val="1085"/>
    <w:uiPriority w:val="34"/>
    <w:qFormat/>
    <w:pPr>
      <w:contextualSpacing/>
      <w:ind w:left="720"/>
      <w:jc w:val="left"/>
      <w:widowControl/>
    </w:pPr>
    <w:rPr>
      <w:rFonts w:ascii="Calibri" w:hAnsi="Calibri"/>
      <w:sz w:val="24"/>
      <w:szCs w:val="24"/>
      <w:lang w:eastAsia="en-US" w:bidi="en-US"/>
    </w:rPr>
  </w:style>
  <w:style w:type="character" w:styleId="1085" w:customStyle="1">
    <w:name w:val="列表段落 字符"/>
    <w:link w:val="1084"/>
    <w:uiPriority w:val="34"/>
    <w:qFormat/>
    <w:rPr>
      <w:sz w:val="24"/>
      <w:szCs w:val="24"/>
      <w:lang w:eastAsia="en-US" w:bidi="en-US"/>
    </w:rPr>
  </w:style>
  <w:style w:type="paragraph" w:styleId="1086" w:customStyle="1">
    <w:name w:val="4"/>
    <w:basedOn w:val="797"/>
    <w:next w:val="1048"/>
    <w:uiPriority w:val="0"/>
    <w:qFormat/>
    <w:pPr>
      <w:ind w:firstLine="420"/>
      <w:spacing w:line="360" w:lineRule="auto"/>
    </w:pPr>
    <w:rPr>
      <w:color w:val="ff0000"/>
      <w:sz w:val="24"/>
      <w:szCs w:val="24"/>
    </w:rPr>
  </w:style>
  <w:style w:type="paragraph" w:styleId="1087" w:customStyle="1">
    <w:name w:val="普通 (Web)"/>
    <w:basedOn w:val="797"/>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797"/>
    <w:uiPriority w:val="0"/>
    <w:qFormat/>
    <w:pPr>
      <w:spacing w:line="360" w:lineRule="auto"/>
    </w:pPr>
    <w:rPr>
      <w:sz w:val="24"/>
      <w:szCs w:val="20"/>
    </w:rPr>
  </w:style>
  <w:style w:type="paragraph" w:styleId="1089" w:customStyle="1">
    <w:name w:val="样式1"/>
    <w:basedOn w:val="797"/>
    <w:uiPriority w:val="0"/>
    <w:qFormat/>
    <w:pPr>
      <w:numPr>
        <w:ilvl w:val="0"/>
        <w:numId w:val="3"/>
      </w:numPr>
    </w:pPr>
    <w:rPr>
      <w:rFonts w:ascii="宋体" w:hAnsi="宋体"/>
    </w:rPr>
  </w:style>
  <w:style w:type="paragraph" w:styleId="1090" w:customStyle="1">
    <w:name w:val="font6"/>
    <w:basedOn w:val="797"/>
    <w:uiPriority w:val="0"/>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7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797"/>
    <w:next w:val="7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标题3"/>
    <w:basedOn w:val="797"/>
    <w:next w:val="797"/>
    <w:uiPriority w:val="0"/>
    <w:qFormat/>
    <w:pPr>
      <w:ind w:firstLine="624"/>
      <w:spacing w:line="590" w:lineRule="atLeast"/>
    </w:pPr>
    <w:rPr>
      <w:rFonts w:ascii="方正黑体_GBK" w:eastAsia="方正黑体_GBK"/>
      <w:sz w:val="32"/>
      <w:szCs w:val="32"/>
    </w:rPr>
  </w:style>
  <w:style w:type="paragraph" w:styleId="1094" w:customStyle="1">
    <w:name w:val="xl24"/>
    <w:basedOn w:val="7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7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 Char Char Char Char Char Char Char"/>
    <w:basedOn w:val="797"/>
    <w:uiPriority w:val="0"/>
    <w:qFormat/>
    <w:pPr>
      <w:jc w:val="left"/>
      <w:spacing w:after="160" w:line="240" w:lineRule="exact"/>
      <w:widowControl/>
    </w:pPr>
    <w:rPr>
      <w:rFonts w:ascii="Verdana" w:hAnsi="Verdana"/>
      <w:sz w:val="20"/>
      <w:szCs w:val="20"/>
      <w:lang w:eastAsia="en-US"/>
    </w:rPr>
  </w:style>
  <w:style w:type="paragraph" w:styleId="1097" w:customStyle="1">
    <w:name w:val="xl2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Char Char Char Char Char Char Char Char1"/>
    <w:basedOn w:val="797"/>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797"/>
    <w:uiPriority w:val="0"/>
    <w:qFormat/>
    <w:pPr>
      <w:jc w:val="center"/>
      <w:spacing w:before="100" w:beforeAutospacing="1" w:after="100" w:afterAutospacing="1"/>
      <w:widowControl/>
    </w:pPr>
    <w:rPr>
      <w:rFonts w:ascii="宋体" w:hAnsi="宋体"/>
      <w:b/>
      <w:bCs/>
      <w:sz w:val="36"/>
      <w:szCs w:val="36"/>
    </w:rPr>
  </w:style>
  <w:style w:type="paragraph" w:styleId="1100" w:customStyle="1">
    <w:name w:val="Char Char Char Char1"/>
    <w:basedOn w:val="1018"/>
    <w:uiPriority w:val="0"/>
    <w:qFormat/>
    <w:pPr>
      <w:spacing w:line="360" w:lineRule="auto"/>
    </w:pPr>
    <w:rPr>
      <w:rFonts w:ascii="Tahoma" w:hAnsi="Tahoma"/>
      <w:sz w:val="24"/>
      <w:szCs w:val="24"/>
    </w:rPr>
  </w:style>
  <w:style w:type="paragraph" w:styleId="1101" w:customStyle="1">
    <w:name w:val="table_1stline"/>
    <w:basedOn w:val="797"/>
    <w:uiPriority w:val="0"/>
    <w:qFormat/>
    <w:pPr>
      <w:jc w:val="left"/>
      <w:spacing w:before="120"/>
      <w:widowControl/>
    </w:pPr>
    <w:rPr>
      <w:bCs/>
      <w:sz w:val="20"/>
      <w:szCs w:val="20"/>
      <w:lang w:val="de-DE" w:eastAsia="de-DE"/>
    </w:rPr>
  </w:style>
  <w:style w:type="paragraph" w:styleId="1102" w:customStyle="1">
    <w:name w:val="font5"/>
    <w:basedOn w:val="797"/>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797"/>
    <w:next w:val="7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_Style 300"/>
    <w:uiPriority w:val="99"/>
    <w:semiHidden/>
    <w:qFormat/>
    <w:rPr>
      <w:rFonts w:ascii="Times New Roman" w:hAnsi="Times New Roman" w:eastAsia="宋体" w:cs="Times New Roman"/>
      <w:sz w:val="21"/>
      <w:szCs w:val="21"/>
      <w:lang w:val="en-US" w:eastAsia="zh-CN" w:bidi="ar-SA"/>
    </w:rPr>
  </w:style>
  <w:style w:type="paragraph" w:styleId="110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7" w:customStyle="1">
    <w:name w:val="标题 112"/>
    <w:basedOn w:val="797"/>
    <w:next w:val="797"/>
    <w:uiPriority w:val="0"/>
    <w:qFormat/>
    <w:pPr>
      <w:jc w:val="left"/>
      <w:keepNext/>
      <w:outlineLvl w:val="0"/>
    </w:pPr>
    <w:rPr>
      <w:rFonts w:ascii="楷体_GB2312" w:hAnsi="楷体_GB2312"/>
      <w:b/>
      <w:sz w:val="32"/>
      <w:szCs w:val="28"/>
    </w:rPr>
  </w:style>
  <w:style w:type="paragraph" w:styleId="1108" w:customStyle="1">
    <w:name w:val="WPSOffice手动目录 1"/>
    <w:uiPriority w:val="0"/>
    <w:qFormat/>
    <w:rPr>
      <w:rFonts w:ascii="Times New Roman" w:hAnsi="Times New Roman" w:eastAsia="宋体" w:cs="Times New Roman"/>
      <w:lang w:val="en-US" w:eastAsia="zh-CN" w:bidi="ar-SA"/>
    </w:rPr>
  </w:style>
  <w:style w:type="character" w:styleId="1109" w:customStyle="1">
    <w:name w:val="正文文本缩进 字符1"/>
    <w:uiPriority w:val="99"/>
    <w:semiHidden/>
    <w:qFormat/>
    <w:rPr>
      <w:sz w:val="21"/>
      <w:szCs w:val="21"/>
    </w:rPr>
  </w:style>
  <w:style w:type="character" w:styleId="1110" w:customStyle="1">
    <w:name w:val="font41"/>
    <w:basedOn w:val="801"/>
    <w:uiPriority w:val="0"/>
    <w:qFormat/>
    <w:rPr>
      <w:rFonts w:hint="eastAsia" w:ascii="微软雅黑" w:hAnsi="微软雅黑" w:eastAsia="微软雅黑" w:cs="微软雅黑"/>
      <w:color w:val="000000"/>
      <w:sz w:val="18"/>
      <w:szCs w:val="18"/>
      <w:u w:val="none"/>
    </w:rPr>
  </w:style>
  <w:style w:type="character" w:styleId="1111" w:customStyle="1">
    <w:name w:val="font51"/>
    <w:basedOn w:val="801"/>
    <w:uiPriority w:val="0"/>
    <w:qFormat/>
    <w:rPr>
      <w:rFonts w:hint="eastAsia" w:ascii="微软雅黑" w:hAnsi="微软雅黑" w:eastAsia="微软雅黑" w:cs="微软雅黑"/>
      <w:color w:val="ff0000"/>
      <w:sz w:val="18"/>
      <w:szCs w:val="18"/>
      <w:u w:val="none"/>
    </w:rPr>
  </w:style>
  <w:style w:type="paragraph" w:styleId="1112" w:customStyle="1">
    <w:name w:val="成文日期"/>
    <w:basedOn w:val="797"/>
    <w:uiPriority w:val="0"/>
    <w:qFormat/>
    <w:pPr>
      <w:ind w:right="400" w:firstLine="200"/>
      <w:jc w:val="right"/>
      <w:spacing w:line="570" w:lineRule="exact"/>
    </w:pPr>
    <w:rPr>
      <w:rFonts w:ascii="仿宋_GB2312" w:eastAsia="仿宋_GB2312"/>
      <w:sz w:val="32"/>
      <w:szCs w:val="20"/>
    </w:rPr>
  </w:style>
  <w:style w:type="character" w:styleId="1113" w:customStyle="1">
    <w:name w:val="apple-style-span"/>
    <w:uiPriority w:val="0"/>
    <w:qFormat/>
    <w:rPr>
      <w:rFonts w:cs="Times New Roman"/>
    </w:rPr>
  </w:style>
  <w:style w:type="character" w:styleId="1114" w:customStyle="1">
    <w:name w:val="font11"/>
    <w:basedOn w:val="801"/>
    <w:uiPriority w:val="0"/>
    <w:qFormat/>
    <w:rPr>
      <w:rFonts w:hint="eastAsia" w:ascii="宋体" w:hAnsi="宋体" w:eastAsia="宋体" w:cs="宋体"/>
      <w:color w:val="000000"/>
      <w:sz w:val="20"/>
      <w:szCs w:val="20"/>
      <w:u w:val="none"/>
    </w:rPr>
  </w:style>
  <w:style w:type="character" w:styleId="1115" w:customStyle="1">
    <w:name w:val="font21"/>
    <w:basedOn w:val="801"/>
    <w:uiPriority w:val="0"/>
    <w:qFormat/>
    <w:rPr>
      <w:rFonts w:hint="eastAsia" w:ascii="宋体" w:hAnsi="宋体" w:eastAsia="宋体" w:cs="宋体"/>
      <w:color w:val="000000"/>
      <w:sz w:val="20"/>
      <w:szCs w:val="20"/>
      <w:u w:val="none"/>
    </w:rPr>
  </w:style>
  <w:style w:type="paragraph" w:styleId="1116" w:customStyle="1">
    <w:name w:val="题注11"/>
    <w:next w:val="797"/>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117" w:customStyle="1">
    <w:name w:val="批注框文本 字符1"/>
    <w:basedOn w:val="801"/>
    <w:link w:val="812"/>
    <w:uiPriority w:val="99"/>
    <w:semiHidden/>
    <w:qFormat/>
    <w:rPr>
      <w:sz w:val="18"/>
      <w:szCs w:val="18"/>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13</cp:revision>
  <dcterms:created xsi:type="dcterms:W3CDTF">2026-05-11T04:44:00Z</dcterms:created>
  <dcterms:modified xsi:type="dcterms:W3CDTF">2026-06-17T00:39:57Z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3E2971C0E9DC4EA3919FD1F37E80739A_13</vt:lpwstr>
  </property>
  <property fmtid="{D5CDD505-2E9C-101B-9397-08002B2CF9AE}" pid="4" name="KSOTemplateDocerSaveRecord">
    <vt:lpwstr>eyJoZGlkIjoiZGJmNGVmOTkyYmRlYWVmNjNhMWY0NGViOTkzY2NlZDYiLCJ1c2VySWQiOiIxNjcxOTk3NTUzIn0=</vt:lpwstr>
  </property>
</Properties>
</file>