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ind w:firstLine="522"/>
        <w:spacing w:line="360" w:lineRule="auto"/>
        <w:tabs>
          <w:tab w:val="left" w:pos="2985" w:leader="none"/>
        </w:tabs>
        <w:rPr>
          <w:rFonts w:hint="eastAsia" w:ascii="黑体" w:hAnsi="宋体" w:eastAsia="黑体" w:cs="Arial"/>
          <w:b/>
          <w:bCs/>
          <w:color w:val="000000"/>
          <w:sz w:val="52"/>
          <w:szCs w:val="52"/>
        </w:rPr>
      </w:pPr>
      <w:r>
        <w:rPr>
          <w:rFonts w:ascii="黑体" w:hAnsi="宋体" w:eastAsia="黑体" w:cs="Arial"/>
          <w:b/>
          <w:bCs/>
          <w:color w:val="000000"/>
          <w:sz w:val="52"/>
          <w:szCs w:val="52"/>
        </w:rPr>
        <w:tab/>
      </w:r>
      <w:r>
        <w:rPr>
          <w:rFonts w:hint="eastAsia" w:ascii="黑体" w:hAnsi="宋体" w:eastAsia="黑体" w:cs="Arial"/>
          <w:b/>
          <w:bCs/>
          <w:color w:val="000000"/>
          <w:sz w:val="52"/>
          <w:szCs w:val="52"/>
        </w:rPr>
      </w:r>
      <w:r/>
    </w:p>
    <w:p>
      <w:pPr>
        <w:pStyle w:val="757"/>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757"/>
        <w:jc w:val="center"/>
        <w:spacing w:line="360" w:lineRule="auto"/>
        <w:rPr>
          <w:rFonts w:hint="eastAsia" w:ascii="黑体" w:hAnsi="宋体" w:eastAsia="黑体"/>
          <w:b/>
          <w:bCs/>
          <w:sz w:val="52"/>
          <w:szCs w:val="52"/>
        </w:rPr>
      </w:pPr>
      <w:r>
        <w:rPr>
          <w:rFonts w:hint="eastAsia" w:ascii="黑体" w:hAnsi="宋体" w:eastAsia="黑体"/>
          <w:b/>
          <w:bCs/>
          <w:sz w:val="52"/>
          <w:szCs w:val="52"/>
        </w:rPr>
        <w:t xml:space="preserve"> 昆山市政府采购</w:t>
      </w:r>
      <w:r>
        <w:rPr>
          <w:rFonts w:hint="eastAsia" w:ascii="黑体" w:hAnsi="宋体" w:eastAsia="黑体"/>
          <w:b/>
          <w:bCs/>
          <w:sz w:val="52"/>
          <w:szCs w:val="52"/>
        </w:rPr>
      </w:r>
      <w:r/>
    </w:p>
    <w:p>
      <w:pPr>
        <w:pStyle w:val="757"/>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757"/>
        <w:jc w:val="center"/>
        <w:spacing w:line="360" w:lineRule="auto"/>
        <w:rPr>
          <w:rFonts w:hint="eastAsia" w:ascii="黑体" w:hAnsi="宋体" w:eastAsia="黑体"/>
          <w:b/>
          <w:bCs/>
          <w:sz w:val="72"/>
          <w:szCs w:val="72"/>
        </w:rPr>
      </w:pPr>
      <w:r>
        <w:rPr>
          <w:rFonts w:hint="eastAsia" w:ascii="黑体" w:hAnsi="宋体" w:eastAsia="黑体"/>
          <w:b/>
          <w:bCs/>
          <w:sz w:val="72"/>
          <w:szCs w:val="72"/>
        </w:rPr>
        <w:t xml:space="preserve"> 公开招标文件</w:t>
      </w:r>
      <w:r>
        <w:rPr>
          <w:rFonts w:hint="eastAsia" w:ascii="黑体" w:hAnsi="宋体" w:eastAsia="黑体"/>
          <w:b/>
          <w:bCs/>
          <w:sz w:val="72"/>
          <w:szCs w:val="72"/>
        </w:rPr>
      </w:r>
      <w:r/>
    </w:p>
    <w:p>
      <w:pPr>
        <w:pStyle w:val="757"/>
        <w:spacing w:line="360" w:lineRule="auto"/>
        <w:rPr>
          <w:rFonts w:hint="eastAsia" w:ascii="宋体" w:hAnsi="宋体"/>
          <w:sz w:val="24"/>
        </w:rPr>
      </w:pPr>
      <w:r>
        <w:rPr>
          <w:rFonts w:hint="eastAsia" w:ascii="宋体" w:hAnsi="宋体"/>
          <w:sz w:val="24"/>
        </w:rPr>
      </w:r>
      <w:r/>
    </w:p>
    <w:p>
      <w:pPr>
        <w:pStyle w:val="757"/>
        <w:ind w:firstLine="2660"/>
        <w:spacing w:line="360" w:lineRule="auto"/>
        <w:rPr>
          <w:rFonts w:hint="eastAsia" w:ascii="宋体" w:hAnsi="宋体"/>
          <w:sz w:val="28"/>
          <w:szCs w:val="28"/>
        </w:rPr>
      </w:pPr>
      <w:r>
        <w:rPr>
          <w:rFonts w:hint="eastAsia" w:ascii="宋体" w:hAnsi="宋体"/>
          <w:sz w:val="28"/>
          <w:szCs w:val="28"/>
        </w:rPr>
      </w:r>
      <w:r/>
    </w:p>
    <w:p>
      <w:pPr>
        <w:pStyle w:val="757"/>
        <w:spacing w:line="360" w:lineRule="auto"/>
        <w:rPr>
          <w:rFonts w:hint="eastAsia" w:ascii="宋体" w:hAnsi="宋体"/>
          <w:color w:val="000000"/>
          <w:sz w:val="28"/>
          <w:szCs w:val="28"/>
        </w:rPr>
      </w:pPr>
      <w:r>
        <w:rPr>
          <w:rFonts w:hint="eastAsia" w:ascii="宋体" w:hAnsi="宋体"/>
          <w:color w:val="000000"/>
          <w:sz w:val="28"/>
          <w:szCs w:val="28"/>
        </w:rPr>
        <w:t xml:space="preserve">         </w:t>
      </w:r>
      <w:r>
        <w:rPr>
          <w:rFonts w:hint="eastAsia" w:ascii="宋体" w:hAnsi="宋体"/>
          <w:color w:val="000000"/>
          <w:sz w:val="28"/>
          <w:szCs w:val="28"/>
        </w:rPr>
      </w:r>
      <w:r/>
    </w:p>
    <w:p>
      <w:pPr>
        <w:pStyle w:val="757"/>
        <w:spacing w:line="360" w:lineRule="auto"/>
        <w:rPr>
          <w:rFonts w:hint="eastAsia" w:ascii="宋体" w:hAnsi="宋体"/>
          <w:color w:val="000000"/>
          <w:sz w:val="28"/>
          <w:szCs w:val="28"/>
        </w:rPr>
      </w:pPr>
      <w:r>
        <w:rPr>
          <w:rFonts w:hint="eastAsia" w:ascii="宋体" w:hAnsi="宋体"/>
          <w:color w:val="000000"/>
          <w:sz w:val="28"/>
          <w:szCs w:val="28"/>
        </w:rPr>
      </w:r>
      <w:r/>
    </w:p>
    <w:p>
      <w:pPr>
        <w:pStyle w:val="757"/>
        <w:spacing w:line="360" w:lineRule="auto"/>
        <w:rPr>
          <w:rFonts w:hint="eastAsia" w:ascii="宋体" w:hAnsi="宋体"/>
          <w:color w:val="000000"/>
          <w:sz w:val="28"/>
          <w:szCs w:val="28"/>
        </w:rPr>
      </w:pPr>
      <w:r>
        <w:rPr>
          <w:rFonts w:hint="eastAsia" w:ascii="宋体" w:hAnsi="宋体"/>
          <w:color w:val="000000"/>
          <w:sz w:val="28"/>
          <w:szCs w:val="28"/>
        </w:rPr>
        <w:t xml:space="preserve">    项目编号：JSZC-320583-SZZH-G2026-0005</w:t>
      </w:r>
      <w:r>
        <w:rPr>
          <w:rFonts w:hint="eastAsia" w:ascii="宋体" w:hAnsi="宋体"/>
          <w:color w:val="000000"/>
          <w:sz w:val="28"/>
          <w:szCs w:val="28"/>
        </w:rPr>
      </w:r>
      <w:r/>
    </w:p>
    <w:p>
      <w:pPr>
        <w:pStyle w:val="757"/>
        <w:spacing w:line="360" w:lineRule="auto"/>
        <w:rPr>
          <w:rFonts w:hint="eastAsia" w:ascii="宋体" w:hAnsi="宋体"/>
          <w:sz w:val="28"/>
          <w:szCs w:val="28"/>
        </w:rPr>
      </w:pPr>
      <w:r>
        <w:rPr>
          <w:rFonts w:hint="eastAsia" w:ascii="宋体" w:hAnsi="宋体"/>
          <w:sz w:val="28"/>
          <w:szCs w:val="28"/>
        </w:rPr>
        <w:t xml:space="preserve">    采购项目：昆山第六人民医院异地新建污水系统租赁服务</w:t>
      </w:r>
      <w:r>
        <w:rPr>
          <w:rFonts w:hint="eastAsia" w:ascii="宋体" w:hAnsi="宋体"/>
          <w:sz w:val="28"/>
          <w:szCs w:val="28"/>
        </w:rPr>
      </w:r>
      <w:r/>
    </w:p>
    <w:p>
      <w:pPr>
        <w:pStyle w:val="757"/>
        <w:jc w:val="left"/>
        <w:spacing w:line="360" w:lineRule="auto"/>
        <w:rPr>
          <w:rFonts w:hint="eastAsia" w:ascii="宋体" w:hAnsi="宋体"/>
          <w:color w:val="000000"/>
          <w:sz w:val="28"/>
          <w:szCs w:val="28"/>
        </w:rPr>
      </w:pPr>
      <w:r>
        <w:rPr>
          <w:rFonts w:hint="eastAsia" w:ascii="宋体" w:hAnsi="宋体"/>
          <w:sz w:val="28"/>
          <w:szCs w:val="28"/>
        </w:rPr>
        <w:t xml:space="preserve">    </w:t>
      </w:r>
      <w:r>
        <w:rPr>
          <w:rFonts w:hint="eastAsia" w:ascii="宋体" w:hAnsi="宋体"/>
          <w:color w:val="000000"/>
          <w:sz w:val="28"/>
          <w:szCs w:val="28"/>
        </w:rPr>
        <w:t xml:space="preserve">采购单位：昆山市张浦镇人民政府（昆山市张浦镇社会事业办公室）</w:t>
      </w:r>
      <w:r>
        <w:rPr>
          <w:rFonts w:hint="eastAsia" w:ascii="宋体" w:hAnsi="宋体"/>
          <w:color w:val="000000"/>
          <w:sz w:val="28"/>
          <w:szCs w:val="28"/>
        </w:rPr>
      </w:r>
      <w:r/>
    </w:p>
    <w:p>
      <w:pPr>
        <w:pStyle w:val="757"/>
        <w:jc w:val="left"/>
        <w:spacing w:line="360" w:lineRule="auto"/>
        <w:rPr>
          <w:rFonts w:hint="eastAsia" w:ascii="宋体" w:hAnsi="宋体"/>
          <w:color w:val="000000"/>
          <w:sz w:val="28"/>
          <w:szCs w:val="28"/>
        </w:rPr>
      </w:pPr>
      <w:r>
        <w:rPr>
          <w:rFonts w:hint="eastAsia" w:ascii="宋体" w:hAnsi="宋体"/>
          <w:color w:val="000000"/>
          <w:sz w:val="28"/>
          <w:szCs w:val="28"/>
        </w:rPr>
        <w:t xml:space="preserve">                            </w:t>
      </w:r>
      <w:r>
        <w:rPr>
          <w:rFonts w:hint="eastAsia" w:ascii="宋体" w:hAnsi="宋体"/>
          <w:color w:val="000000"/>
          <w:sz w:val="28"/>
          <w:szCs w:val="28"/>
        </w:rPr>
      </w:r>
      <w:r/>
    </w:p>
    <w:p>
      <w:pPr>
        <w:pStyle w:val="757"/>
        <w:jc w:val="left"/>
        <w:spacing w:line="360" w:lineRule="auto"/>
        <w:tabs>
          <w:tab w:val="left" w:pos="8130" w:leader="none"/>
        </w:tabs>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757"/>
        <w:jc w:val="left"/>
        <w:spacing w:line="360" w:lineRule="auto"/>
        <w:tabs>
          <w:tab w:val="left" w:pos="8130" w:leader="none"/>
        </w:tabs>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757"/>
        <w:jc w:val="center"/>
        <w:spacing w:line="360" w:lineRule="auto"/>
        <w:rPr>
          <w:rFonts w:hint="eastAsia" w:ascii="方正姚体" w:hAnsi="宋体" w:eastAsia="方正姚体"/>
          <w:spacing w:val="-14"/>
          <w:sz w:val="28"/>
          <w:szCs w:val="28"/>
        </w:rPr>
      </w:pPr>
      <w:r>
        <w:rPr>
          <w:rFonts w:hint="eastAsia" w:ascii="方正姚体" w:hAnsi="宋体" w:eastAsia="方正姚体"/>
          <w:spacing w:val="-14"/>
          <w:sz w:val="28"/>
          <w:szCs w:val="28"/>
        </w:rPr>
        <w:t xml:space="preserve"> </w:t>
      </w:r>
      <w:r>
        <w:rPr>
          <w:rFonts w:hint="eastAsia" w:ascii="方正姚体" w:hAnsi="宋体" w:eastAsia="方正姚体"/>
          <w:spacing w:val="-14"/>
          <w:sz w:val="28"/>
          <w:szCs w:val="28"/>
        </w:rPr>
      </w:r>
      <w:r/>
    </w:p>
    <w:p>
      <w:pPr>
        <w:pStyle w:val="757"/>
        <w:jc w:val="center"/>
        <w:spacing w:line="360" w:lineRule="auto"/>
        <w:rPr>
          <w:rFonts w:hint="eastAsia" w:ascii="方正姚体" w:hAnsi="宋体" w:eastAsia="方正姚体"/>
          <w:sz w:val="28"/>
          <w:szCs w:val="28"/>
        </w:rPr>
      </w:pPr>
      <w:r>
        <w:rPr>
          <w:rFonts w:hint="eastAsia" w:ascii="方正姚体" w:hAnsi="宋体" w:eastAsia="方正姚体"/>
          <w:spacing w:val="-14"/>
          <w:sz w:val="28"/>
          <w:szCs w:val="28"/>
        </w:rPr>
        <w:t xml:space="preserve">江苏正华新工程咨询有限公司</w:t>
      </w:r>
      <w:r>
        <w:rPr>
          <w:rFonts w:hint="eastAsia" w:ascii="方正姚体" w:hAnsi="宋体" w:eastAsia="方正姚体"/>
          <w:sz w:val="28"/>
          <w:szCs w:val="28"/>
        </w:rPr>
      </w:r>
      <w:r/>
    </w:p>
    <w:p>
      <w:pPr>
        <w:pStyle w:val="757"/>
        <w:jc w:val="center"/>
        <w:spacing w:line="360" w:lineRule="auto"/>
        <w:rPr>
          <w:rFonts w:hint="eastAsia" w:ascii="方正姚体" w:hAnsi="宋体" w:eastAsia="方正姚体"/>
          <w:sz w:val="28"/>
          <w:szCs w:val="28"/>
        </w:rPr>
      </w:pPr>
      <w:r>
        <w:rPr>
          <w:rFonts w:hint="eastAsia" w:ascii="方正姚体" w:hAnsi="宋体" w:eastAsia="方正姚体"/>
          <w:sz w:val="28"/>
          <w:szCs w:val="28"/>
        </w:rPr>
        <w:t xml:space="preserve"> 2026年05月</w:t>
      </w:r>
      <w:r>
        <w:rPr>
          <w:rFonts w:hint="eastAsia" w:ascii="方正姚体" w:hAnsi="宋体" w:eastAsia="方正姚体"/>
          <w:sz w:val="28"/>
          <w:szCs w:val="28"/>
        </w:rPr>
      </w:r>
      <w:r/>
    </w:p>
    <w:p>
      <w:pPr>
        <w:pStyle w:val="757"/>
        <w:jc w:val="center"/>
        <w:spacing w:line="360" w:lineRule="auto"/>
        <w:rPr>
          <w:rFonts w:hint="eastAsia" w:ascii="黑体" w:eastAsia="黑体"/>
          <w:szCs w:val="21"/>
        </w:rPr>
      </w:pPr>
      <w:r>
        <w:rPr>
          <w:rFonts w:hint="eastAsia" w:ascii="黑体" w:eastAsia="黑体"/>
          <w:szCs w:val="21"/>
        </w:rPr>
        <w:t xml:space="preserve"> </w:t>
      </w:r>
      <w:r>
        <w:rPr>
          <w:rFonts w:hint="eastAsia" w:ascii="黑体" w:eastAsia="黑体"/>
          <w:szCs w:val="21"/>
        </w:rPr>
      </w:r>
      <w:r/>
    </w:p>
    <w:p>
      <w:pPr>
        <w:pStyle w:val="779"/>
        <w:ind w:firstLine="0"/>
        <w:jc w:val="center"/>
        <w:spacing w:line="360" w:lineRule="auto"/>
        <w:rPr>
          <w:rFonts w:hint="eastAsia" w:ascii="宋体" w:hAnsi="宋体" w:eastAsia="黑体"/>
          <w:sz w:val="30"/>
        </w:rPr>
      </w:pPr>
      <w:r>
        <w:rPr>
          <w:rFonts w:hint="eastAsia" w:ascii="宋体" w:hAnsi="宋体" w:eastAsia="黑体"/>
          <w:sz w:val="30"/>
        </w:rPr>
      </w:r>
      <w:r/>
    </w:p>
    <w:p>
      <w:pPr>
        <w:pStyle w:val="779"/>
        <w:ind w:firstLine="0"/>
        <w:jc w:val="center"/>
        <w:spacing w:line="360" w:lineRule="auto"/>
        <w:rPr>
          <w:rFonts w:hint="eastAsia" w:eastAsia="宋体"/>
          <w:b/>
          <w:sz w:val="44"/>
        </w:rPr>
      </w:pPr>
      <w:r>
        <w:rPr>
          <w:rFonts w:hint="eastAsia" w:eastAsia="宋体"/>
          <w:b/>
          <w:sz w:val="44"/>
        </w:rPr>
        <w:t xml:space="preserve">总  目  录</w:t>
      </w:r>
      <w:r>
        <w:rPr>
          <w:rFonts w:hint="eastAsia" w:eastAsia="宋体"/>
          <w:b/>
          <w:sz w:val="44"/>
        </w:rPr>
      </w:r>
      <w:r/>
    </w:p>
    <w:p>
      <w:pPr>
        <w:pStyle w:val="779"/>
        <w:ind w:firstLine="0"/>
        <w:jc w:val="center"/>
        <w:spacing w:line="360" w:lineRule="auto"/>
        <w:rPr>
          <w:rFonts w:hint="eastAsia" w:ascii="宋体" w:hAnsi="宋体" w:eastAsia="宋体"/>
          <w:b/>
          <w:sz w:val="30"/>
        </w:rPr>
      </w:pPr>
      <w:r>
        <w:rPr>
          <w:rFonts w:hint="eastAsia" w:ascii="宋体" w:hAnsi="宋体" w:eastAsia="宋体"/>
          <w:b/>
          <w:sz w:val="30"/>
        </w:rPr>
      </w:r>
      <w:r/>
    </w:p>
    <w:p>
      <w:pPr>
        <w:pStyle w:val="807"/>
        <w:spacing w:line="48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 </w:instrText>
      </w:r>
      <w:r>
        <w:rPr>
          <w:rFonts w:ascii="宋体" w:hAnsi="宋体" w:eastAsia="宋体"/>
          <w:b/>
          <w:sz w:val="30"/>
          <w:szCs w:val="30"/>
        </w:rPr>
        <w:fldChar w:fldCharType="separate"/>
      </w:r>
      <w:r>
        <w:rPr>
          <w:rFonts w:hint="eastAsia"/>
          <w:sz w:val="30"/>
          <w:szCs w:val="30"/>
        </w:rPr>
        <w:t xml:space="preserve">第一章</w:t>
      </w:r>
      <w:r>
        <w:rPr>
          <w:sz w:val="30"/>
          <w:szCs w:val="30"/>
        </w:rPr>
        <w:t xml:space="preserve"> </w:t>
      </w:r>
      <w:r>
        <w:rPr>
          <w:rFonts w:hint="eastAsia"/>
          <w:sz w:val="30"/>
          <w:szCs w:val="30"/>
        </w:rPr>
        <w:t xml:space="preserve">投标邀请函</w:t>
      </w:r>
      <w:r>
        <w:rPr>
          <w:sz w:val="30"/>
          <w:szCs w:val="30"/>
        </w:rPr>
        <w:tab/>
      </w:r>
      <w:r>
        <w:rPr>
          <w:sz w:val="30"/>
          <w:szCs w:val="30"/>
        </w:rPr>
        <w:fldChar w:fldCharType="begin"/>
      </w:r>
      <w:r>
        <w:rPr>
          <w:sz w:val="30"/>
          <w:szCs w:val="30"/>
        </w:rPr>
        <w:instrText xml:space="preserve"> PAGEREF _Toc194916139 \h </w:instrText>
      </w:r>
      <w:r>
        <w:rPr>
          <w:sz w:val="30"/>
          <w:szCs w:val="30"/>
        </w:rPr>
        <w:fldChar w:fldCharType="separate"/>
      </w:r>
      <w:r>
        <w:rPr>
          <w:sz w:val="30"/>
          <w:szCs w:val="30"/>
        </w:rPr>
        <w:t xml:space="preserve">3</w:t>
      </w:r>
      <w:r>
        <w:rPr>
          <w:sz w:val="30"/>
          <w:szCs w:val="30"/>
        </w:rPr>
        <w:fldChar w:fldCharType="end"/>
      </w:r>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第二章</w:t>
      </w:r>
      <w:r>
        <w:rPr>
          <w:sz w:val="30"/>
          <w:szCs w:val="30"/>
        </w:rPr>
        <w:t xml:space="preserve"> </w:t>
      </w:r>
      <w:r>
        <w:rPr>
          <w:rFonts w:hint="eastAsia"/>
          <w:sz w:val="30"/>
          <w:szCs w:val="30"/>
        </w:rPr>
        <w:t xml:space="preserve">投标人须知</w:t>
      </w:r>
      <w:r>
        <w:rPr>
          <w:sz w:val="30"/>
          <w:szCs w:val="30"/>
        </w:rPr>
        <w:tab/>
      </w:r>
      <w:bookmarkStart w:id="0" w:name="_Hlt195271963"/>
      <w:r/>
      <w:bookmarkStart w:id="1" w:name="_Hlt195271964"/>
      <w:r>
        <w:rPr>
          <w:sz w:val="30"/>
          <w:szCs w:val="30"/>
        </w:rPr>
        <w:fldChar w:fldCharType="begin"/>
      </w:r>
      <w:r>
        <w:rPr>
          <w:sz w:val="30"/>
          <w:szCs w:val="30"/>
        </w:rPr>
        <w:instrText xml:space="preserve"> PAGEREF _Toc194916140 \h </w:instrText>
      </w:r>
      <w:r>
        <w:rPr>
          <w:sz w:val="30"/>
          <w:szCs w:val="30"/>
        </w:rPr>
        <w:fldChar w:fldCharType="separate"/>
      </w:r>
      <w:r>
        <w:rPr>
          <w:sz w:val="30"/>
          <w:szCs w:val="30"/>
        </w:rPr>
        <w:t xml:space="preserve">6</w:t>
      </w:r>
      <w:r>
        <w:rPr>
          <w:sz w:val="30"/>
          <w:szCs w:val="30"/>
        </w:rPr>
        <w:fldChar w:fldCharType="end"/>
      </w:r>
      <w:bookmarkEnd w:id="0"/>
      <w:r/>
      <w:bookmarkEnd w:id="1"/>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第三章</w:t>
      </w:r>
      <w:r>
        <w:rPr>
          <w:sz w:val="30"/>
          <w:szCs w:val="30"/>
        </w:rPr>
        <w:t xml:space="preserve"> </w:t>
      </w:r>
      <w:r>
        <w:rPr>
          <w:rFonts w:hint="eastAsia"/>
          <w:sz w:val="30"/>
          <w:szCs w:val="30"/>
        </w:rPr>
        <w:t xml:space="preserve">投标文件格式</w:t>
      </w:r>
      <w:r>
        <w:rPr>
          <w:sz w:val="30"/>
          <w:szCs w:val="30"/>
        </w:rPr>
        <w:tab/>
      </w:r>
      <w:r>
        <w:rPr>
          <w:sz w:val="30"/>
          <w:szCs w:val="30"/>
        </w:rPr>
        <w:fldChar w:fldCharType="begin"/>
      </w:r>
      <w:r>
        <w:rPr>
          <w:sz w:val="30"/>
          <w:szCs w:val="30"/>
        </w:rPr>
        <w:instrText xml:space="preserve"> PAGEREF _Toc194916141 \h </w:instrText>
      </w:r>
      <w:r>
        <w:rPr>
          <w:sz w:val="30"/>
          <w:szCs w:val="30"/>
        </w:rPr>
        <w:fldChar w:fldCharType="separate"/>
      </w:r>
      <w:r>
        <w:rPr>
          <w:sz w:val="30"/>
          <w:szCs w:val="30"/>
        </w:rPr>
        <w:t xml:space="preserve">16</w:t>
      </w:r>
      <w:r>
        <w:rPr>
          <w:sz w:val="30"/>
          <w:szCs w:val="30"/>
        </w:rPr>
        <w:fldChar w:fldCharType="end"/>
      </w:r>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第四章</w:t>
      </w:r>
      <w:r>
        <w:rPr>
          <w:sz w:val="30"/>
          <w:szCs w:val="30"/>
        </w:rPr>
        <w:t xml:space="preserve"> </w:t>
      </w:r>
      <w:r>
        <w:rPr>
          <w:rFonts w:hint="eastAsia"/>
          <w:sz w:val="30"/>
          <w:szCs w:val="30"/>
        </w:rPr>
        <w:t xml:space="preserve">招标书</w:t>
      </w:r>
      <w:r>
        <w:rPr>
          <w:sz w:val="30"/>
          <w:szCs w:val="30"/>
        </w:rPr>
        <w:tab/>
      </w:r>
      <w:r>
        <w:rPr>
          <w:sz w:val="30"/>
          <w:szCs w:val="30"/>
        </w:rPr>
        <w:fldChar w:fldCharType="begin"/>
      </w:r>
      <w:r>
        <w:rPr>
          <w:sz w:val="30"/>
          <w:szCs w:val="30"/>
        </w:rPr>
        <w:instrText xml:space="preserve"> PAGEREF _Toc194916142 \h </w:instrText>
      </w:r>
      <w:r>
        <w:rPr>
          <w:sz w:val="30"/>
          <w:szCs w:val="30"/>
        </w:rPr>
        <w:fldChar w:fldCharType="separate"/>
      </w:r>
      <w:r>
        <w:rPr>
          <w:sz w:val="30"/>
          <w:szCs w:val="30"/>
        </w:rPr>
        <w:t xml:space="preserve">28</w:t>
      </w:r>
      <w:r>
        <w:rPr>
          <w:sz w:val="30"/>
          <w:szCs w:val="30"/>
        </w:rPr>
        <w:fldChar w:fldCharType="end"/>
      </w:r>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第五章</w:t>
      </w:r>
      <w:r>
        <w:rPr>
          <w:sz w:val="30"/>
          <w:szCs w:val="30"/>
        </w:rPr>
        <w:t xml:space="preserve">  </w:t>
      </w:r>
      <w:r>
        <w:rPr>
          <w:rFonts w:hint="eastAsia"/>
          <w:sz w:val="30"/>
          <w:szCs w:val="30"/>
        </w:rPr>
        <w:t xml:space="preserve">合同主要条款</w:t>
      </w:r>
      <w:r>
        <w:rPr>
          <w:sz w:val="30"/>
          <w:szCs w:val="30"/>
        </w:rPr>
        <w:tab/>
      </w:r>
      <w:r>
        <w:rPr>
          <w:sz w:val="30"/>
          <w:szCs w:val="30"/>
        </w:rPr>
        <w:fldChar w:fldCharType="begin"/>
      </w:r>
      <w:r>
        <w:rPr>
          <w:sz w:val="30"/>
          <w:szCs w:val="30"/>
        </w:rPr>
        <w:instrText xml:space="preserve"> PAGEREF _Toc194916143 \h </w:instrText>
      </w:r>
      <w:r>
        <w:rPr>
          <w:sz w:val="30"/>
          <w:szCs w:val="30"/>
        </w:rPr>
        <w:fldChar w:fldCharType="separate"/>
      </w:r>
      <w:r>
        <w:rPr>
          <w:sz w:val="30"/>
          <w:szCs w:val="30"/>
        </w:rPr>
        <w:t xml:space="preserve">30</w:t>
      </w:r>
      <w:r>
        <w:rPr>
          <w:sz w:val="30"/>
          <w:szCs w:val="30"/>
        </w:rPr>
        <w:fldChar w:fldCharType="end"/>
      </w:r>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第六章</w:t>
      </w:r>
      <w:r>
        <w:rPr>
          <w:sz w:val="30"/>
          <w:szCs w:val="30"/>
        </w:rPr>
        <w:t xml:space="preserve"> </w:t>
      </w:r>
      <w:r>
        <w:rPr>
          <w:rFonts w:hint="eastAsia"/>
          <w:sz w:val="30"/>
          <w:szCs w:val="30"/>
        </w:rPr>
        <w:t xml:space="preserve">评标方法、评分标准</w:t>
      </w:r>
      <w:r>
        <w:rPr>
          <w:sz w:val="30"/>
          <w:szCs w:val="30"/>
        </w:rPr>
        <w:tab/>
      </w:r>
      <w:r>
        <w:rPr>
          <w:sz w:val="30"/>
          <w:szCs w:val="30"/>
        </w:rPr>
        <w:fldChar w:fldCharType="begin"/>
      </w:r>
      <w:r>
        <w:rPr>
          <w:sz w:val="30"/>
          <w:szCs w:val="30"/>
        </w:rPr>
        <w:instrText xml:space="preserve"> PAGEREF _Toc194916144 \h </w:instrText>
      </w:r>
      <w:r>
        <w:rPr>
          <w:sz w:val="30"/>
          <w:szCs w:val="30"/>
        </w:rPr>
        <w:fldChar w:fldCharType="separate"/>
      </w:r>
      <w:r>
        <w:rPr>
          <w:sz w:val="30"/>
          <w:szCs w:val="30"/>
        </w:rPr>
        <w:t xml:space="preserve">40</w:t>
      </w:r>
      <w:r>
        <w:rPr>
          <w:sz w:val="30"/>
          <w:szCs w:val="30"/>
        </w:rPr>
        <w:fldChar w:fldCharType="end"/>
      </w:r>
      <w:r>
        <w:rPr>
          <w:rFonts w:ascii="Calibri" w:hAnsi="Calibri" w:eastAsia="宋体"/>
          <w:sz w:val="30"/>
          <w:szCs w:val="30"/>
        </w:rPr>
      </w:r>
      <w:r/>
    </w:p>
    <w:p>
      <w:pPr>
        <w:pStyle w:val="807"/>
        <w:spacing w:line="480" w:lineRule="auto"/>
        <w:tabs>
          <w:tab w:val="right" w:pos="9276" w:leader="dot"/>
        </w:tabs>
        <w:rPr>
          <w:rFonts w:ascii="Calibri" w:hAnsi="Calibri" w:eastAsia="宋体"/>
          <w:sz w:val="30"/>
          <w:szCs w:val="30"/>
        </w:rPr>
      </w:pPr>
      <w:r>
        <w:rPr>
          <w:rFonts w:hint="eastAsia"/>
          <w:sz w:val="30"/>
          <w:szCs w:val="30"/>
        </w:rPr>
        <w:t xml:space="preserve">第七章</w:t>
      </w:r>
      <w:r>
        <w:rPr>
          <w:sz w:val="30"/>
          <w:szCs w:val="30"/>
        </w:rPr>
        <w:t xml:space="preserve">  </w:t>
      </w:r>
      <w:r>
        <w:rPr>
          <w:rFonts w:hint="eastAsia"/>
          <w:sz w:val="30"/>
          <w:szCs w:val="30"/>
        </w:rPr>
        <w:t xml:space="preserve">昆山市政府采购供应商诚信管理办法</w:t>
      </w:r>
      <w:r>
        <w:rPr>
          <w:sz w:val="30"/>
          <w:szCs w:val="30"/>
        </w:rPr>
        <w:tab/>
      </w:r>
      <w:r>
        <w:rPr>
          <w:sz w:val="30"/>
          <w:szCs w:val="30"/>
        </w:rPr>
        <w:fldChar w:fldCharType="begin"/>
      </w:r>
      <w:r>
        <w:rPr>
          <w:sz w:val="30"/>
          <w:szCs w:val="30"/>
        </w:rPr>
        <w:instrText xml:space="preserve"> PAGEREF _Toc194916145 \h </w:instrText>
      </w:r>
      <w:r>
        <w:rPr>
          <w:sz w:val="30"/>
          <w:szCs w:val="30"/>
        </w:rPr>
        <w:fldChar w:fldCharType="separate"/>
      </w:r>
      <w:r>
        <w:rPr>
          <w:sz w:val="30"/>
          <w:szCs w:val="30"/>
        </w:rPr>
        <w:t xml:space="preserve">44</w:t>
      </w:r>
      <w:r>
        <w:rPr>
          <w:sz w:val="30"/>
          <w:szCs w:val="30"/>
        </w:rPr>
        <w:fldChar w:fldCharType="end"/>
      </w:r>
      <w:r>
        <w:rPr>
          <w:rFonts w:ascii="Calibri" w:hAnsi="Calibri" w:eastAsia="宋体"/>
          <w:sz w:val="30"/>
          <w:szCs w:val="30"/>
        </w:rPr>
      </w:r>
      <w:r/>
    </w:p>
    <w:p>
      <w:pPr>
        <w:pStyle w:val="757"/>
        <w:spacing w:line="480" w:lineRule="auto"/>
        <w:rPr>
          <w:rFonts w:hint="eastAsia" w:ascii="Tahoma" w:hAnsi="Tahoma"/>
          <w:sz w:val="24"/>
        </w:rPr>
      </w:pPr>
      <w:r>
        <w:rPr>
          <w:b/>
          <w:sz w:val="30"/>
          <w:szCs w:val="30"/>
        </w:rPr>
        <w:fldChar w:fldCharType="end"/>
      </w:r>
      <w:r>
        <w:rPr>
          <w:rFonts w:hint="eastAsia" w:ascii="Tahoma" w:hAnsi="Tahoma"/>
          <w:sz w:val="24"/>
        </w:rPr>
      </w:r>
      <w:r/>
    </w:p>
    <w:p>
      <w:pPr>
        <w:pStyle w:val="757"/>
        <w:spacing w:line="480" w:lineRule="auto"/>
        <w:rPr>
          <w:rFonts w:hint="eastAsia" w:ascii="Tahoma" w:hAnsi="Tahoma"/>
          <w:sz w:val="24"/>
        </w:rPr>
      </w:pPr>
      <w:r>
        <w:rPr>
          <w:rFonts w:ascii="Tahoma" w:hAnsi="Tahoma"/>
          <w:sz w:val="24"/>
        </w:rPr>
        <w:br w:type="page" w:clear="all"/>
      </w:r>
      <w:r>
        <w:rPr>
          <w:rFonts w:hint="eastAsia" w:ascii="Tahoma" w:hAnsi="Tahoma"/>
          <w:sz w:val="24"/>
        </w:rPr>
      </w:r>
      <w:r/>
    </w:p>
    <w:p>
      <w:pPr>
        <w:pStyle w:val="758"/>
        <w:jc w:val="center"/>
        <w:rPr>
          <w:rFonts w:hint="eastAsia" w:eastAsia="宋体"/>
          <w:sz w:val="21"/>
        </w:rPr>
      </w:pPr>
      <w:r/>
      <w:bookmarkStart w:id="2" w:name="_Toc194916139"/>
      <w:r>
        <w:rPr>
          <w:rFonts w:hint="eastAsia"/>
        </w:rPr>
        <w:t xml:space="preserve">第一章 投标邀请函</w:t>
      </w:r>
      <w:bookmarkEnd w:id="2"/>
      <w:r>
        <w:rPr>
          <w:rFonts w:hint="eastAsia" w:eastAsia="宋体"/>
          <w:sz w:val="21"/>
        </w:rPr>
      </w:r>
      <w:r/>
    </w:p>
    <w:p>
      <w:pPr>
        <w:pStyle w:val="779"/>
        <w:spacing w:line="360" w:lineRule="auto"/>
        <w:rPr>
          <w:rFonts w:hint="eastAsia" w:eastAsia="宋体"/>
          <w:color w:val="000000"/>
          <w:sz w:val="21"/>
        </w:rPr>
      </w:pPr>
      <w:r>
        <w:rPr>
          <w:rFonts w:eastAsia="宋体"/>
          <w:sz w:val="21"/>
        </w:rPr>
        <w:t xml:space="preserve">受</w:t>
      </w:r>
      <w:r>
        <w:rPr>
          <w:rFonts w:hint="eastAsia" w:eastAsia="宋体"/>
          <w:sz w:val="21"/>
        </w:rPr>
        <w:t xml:space="preserve">昆山市张浦镇人民政府（昆山市张浦镇社会事业办公室）</w:t>
      </w:r>
      <w:r>
        <w:rPr>
          <w:rFonts w:eastAsia="宋体"/>
          <w:sz w:val="21"/>
        </w:rPr>
        <w:t xml:space="preserve">委托，</w:t>
      </w:r>
      <w:r>
        <w:rPr>
          <w:rFonts w:hint="eastAsia" w:eastAsia="宋体"/>
          <w:sz w:val="21"/>
        </w:rPr>
        <w:t xml:space="preserve">江苏正华新工程咨询有限公司</w:t>
      </w:r>
      <w:r>
        <w:rPr>
          <w:rFonts w:eastAsia="宋体"/>
          <w:sz w:val="21"/>
        </w:rPr>
        <w:t xml:space="preserve">对其所需采购的</w:t>
      </w:r>
      <w:r>
        <w:rPr>
          <w:rFonts w:hint="eastAsia" w:eastAsia="宋体"/>
          <w:color w:val="000000"/>
          <w:sz w:val="21"/>
        </w:rPr>
        <w:t xml:space="preserve">昆山第六人民医院异地新建污水系统租赁服务进行国内公开招标。欢迎有资格的供应商前来参加投标。</w:t>
      </w:r>
      <w:r>
        <w:rPr>
          <w:rFonts w:hint="eastAsia" w:eastAsia="宋体"/>
          <w:color w:val="000000"/>
          <w:sz w:val="21"/>
        </w:rPr>
      </w:r>
      <w:r/>
    </w:p>
    <w:p>
      <w:pPr>
        <w:pStyle w:val="757"/>
        <w:ind w:left="420" w:right="178"/>
        <w:spacing w:line="360" w:lineRule="auto"/>
        <w:rPr>
          <w:rFonts w:hint="eastAsia"/>
          <w:szCs w:val="20"/>
        </w:rPr>
      </w:pPr>
      <w:r>
        <w:rPr>
          <w:rFonts w:hint="eastAsia"/>
          <w:szCs w:val="20"/>
        </w:rPr>
        <w:t xml:space="preserve">一、项目基本情况</w:t>
      </w:r>
      <w:r>
        <w:rPr>
          <w:rFonts w:hint="eastAsia"/>
          <w:szCs w:val="20"/>
        </w:rPr>
      </w:r>
      <w:r/>
    </w:p>
    <w:p>
      <w:pPr>
        <w:pStyle w:val="757"/>
        <w:ind w:left="420" w:right="178"/>
        <w:spacing w:line="360" w:lineRule="auto"/>
        <w:rPr>
          <w:rFonts w:hint="eastAsia"/>
          <w:szCs w:val="20"/>
        </w:rPr>
      </w:pPr>
      <w:r>
        <w:rPr>
          <w:rFonts w:hint="eastAsia"/>
          <w:szCs w:val="20"/>
        </w:rPr>
        <w:t xml:space="preserve">1、招标项目编号：JSZC-320583-SZZH-G2026-0005号</w:t>
      </w:r>
      <w:r>
        <w:rPr>
          <w:rFonts w:hint="eastAsia"/>
          <w:szCs w:val="20"/>
        </w:rPr>
      </w:r>
      <w:r/>
    </w:p>
    <w:p>
      <w:pPr>
        <w:pStyle w:val="757"/>
        <w:ind w:left="420" w:right="178"/>
        <w:spacing w:line="360" w:lineRule="auto"/>
        <w:rPr>
          <w:rFonts w:hint="eastAsia"/>
          <w:szCs w:val="20"/>
        </w:rPr>
      </w:pPr>
      <w:r>
        <w:rPr>
          <w:rFonts w:hint="eastAsia"/>
          <w:szCs w:val="20"/>
        </w:rPr>
        <w:t xml:space="preserve">2、招标内容：</w:t>
      </w:r>
      <w:bookmarkStart w:id="3" w:name="OLE_LINK18"/>
      <w:r/>
      <w:bookmarkStart w:id="4" w:name="OLE_LINK19"/>
      <w:r/>
      <w:bookmarkStart w:id="5" w:name="OLE_LINK15"/>
      <w:r>
        <w:rPr>
          <w:rFonts w:hint="eastAsia"/>
          <w:szCs w:val="20"/>
        </w:rPr>
        <w:t xml:space="preserve">昆山第六人民医院异地新建污水系统租赁服务</w:t>
      </w:r>
      <w:r>
        <w:rPr>
          <w:rFonts w:hint="eastAsia"/>
          <w:szCs w:val="20"/>
        </w:rPr>
      </w:r>
      <w:r/>
    </w:p>
    <w:p>
      <w:pPr>
        <w:pStyle w:val="757"/>
        <w:ind w:left="420" w:right="178"/>
        <w:spacing w:line="360" w:lineRule="auto"/>
        <w:rPr>
          <w:rFonts w:hint="eastAsia"/>
          <w:szCs w:val="20"/>
        </w:rPr>
      </w:pPr>
      <w:r/>
      <w:bookmarkEnd w:id="3"/>
      <w:r/>
      <w:bookmarkEnd w:id="4"/>
      <w:r/>
      <w:bookmarkEnd w:id="5"/>
      <w:r>
        <w:rPr>
          <w:rFonts w:hint="eastAsia"/>
          <w:szCs w:val="20"/>
        </w:rPr>
        <w:t xml:space="preserve">3、项目类别：服务类</w:t>
      </w:r>
      <w:r>
        <w:rPr>
          <w:rFonts w:hint="eastAsia"/>
          <w:szCs w:val="20"/>
        </w:rPr>
      </w:r>
      <w:r/>
    </w:p>
    <w:p>
      <w:pPr>
        <w:pStyle w:val="757"/>
        <w:ind w:left="420" w:right="178"/>
        <w:spacing w:line="360" w:lineRule="auto"/>
        <w:rPr>
          <w:rFonts w:hint="eastAsia"/>
          <w:color w:val="000000"/>
          <w:szCs w:val="20"/>
        </w:rPr>
      </w:pPr>
      <w:r>
        <w:rPr>
          <w:rFonts w:hint="eastAsia"/>
          <w:color w:val="000000"/>
          <w:szCs w:val="20"/>
        </w:rPr>
        <w:t xml:space="preserve">4、预算金额：人民币叁佰贰拾肆万叁仟肆佰元整（￥：</w:t>
      </w:r>
      <w:bookmarkStart w:id="6" w:name="OLE_LINK42"/>
      <w:r>
        <w:rPr>
          <w:rFonts w:hint="eastAsia"/>
          <w:color w:val="000000"/>
          <w:szCs w:val="20"/>
        </w:rPr>
        <w:t xml:space="preserve">3243400.00元</w:t>
      </w:r>
      <w:bookmarkEnd w:id="6"/>
      <w:r>
        <w:rPr>
          <w:rFonts w:hint="eastAsia"/>
          <w:color w:val="000000"/>
          <w:szCs w:val="20"/>
        </w:rPr>
        <w:t xml:space="preserve">）</w:t>
      </w:r>
      <w:r>
        <w:rPr>
          <w:rFonts w:hint="eastAsia"/>
          <w:color w:val="000000"/>
          <w:szCs w:val="20"/>
        </w:rPr>
      </w:r>
      <w:r/>
    </w:p>
    <w:p>
      <w:pPr>
        <w:pStyle w:val="757"/>
        <w:ind w:left="420" w:right="178"/>
        <w:spacing w:line="360" w:lineRule="auto"/>
        <w:rPr>
          <w:rFonts w:hint="eastAsia"/>
          <w:color w:val="000000"/>
          <w:szCs w:val="20"/>
        </w:rPr>
      </w:pPr>
      <w:r>
        <w:rPr>
          <w:rFonts w:hint="eastAsia"/>
          <w:color w:val="000000"/>
          <w:szCs w:val="20"/>
        </w:rPr>
        <w:t xml:space="preserve">5、最高限价：人民币贰佰玖拾捌万叁仟玖佰贰拾捌元整（￥：2983928.00元）</w:t>
      </w:r>
      <w:r>
        <w:rPr>
          <w:rFonts w:hint="eastAsia"/>
          <w:color w:val="000000"/>
          <w:szCs w:val="20"/>
        </w:rPr>
      </w:r>
      <w:r/>
    </w:p>
    <w:p>
      <w:pPr>
        <w:pStyle w:val="757"/>
        <w:ind w:left="420" w:right="178"/>
        <w:spacing w:line="360" w:lineRule="auto"/>
        <w:rPr>
          <w:rFonts w:hint="eastAsia"/>
          <w:color w:val="000000"/>
          <w:szCs w:val="20"/>
        </w:rPr>
      </w:pPr>
      <w:r>
        <w:rPr>
          <w:rFonts w:hint="eastAsia"/>
          <w:color w:val="000000"/>
          <w:szCs w:val="20"/>
        </w:rPr>
        <w:t xml:space="preserve">6、</w:t>
      </w:r>
      <w:bookmarkStart w:id="7" w:name="OLE_LINK41"/>
      <w:r>
        <w:rPr>
          <w:rFonts w:hint="eastAsia"/>
          <w:color w:val="000000"/>
          <w:szCs w:val="20"/>
        </w:rPr>
        <w:t xml:space="preserve">服务期：</w:t>
      </w:r>
      <w:bookmarkEnd w:id="7"/>
      <w:r>
        <w:rPr>
          <w:rFonts w:hint="eastAsia" w:ascii="宋体" w:hAnsi="宋体"/>
          <w:bCs/>
          <w:color w:val="000000"/>
          <w:szCs w:val="21"/>
        </w:rPr>
        <w:t xml:space="preserve">租赁设备安装到位、通过验收、医院正式运营后3年。</w:t>
      </w:r>
      <w:r>
        <w:rPr>
          <w:rFonts w:hint="eastAsia"/>
          <w:color w:val="000000"/>
          <w:szCs w:val="20"/>
        </w:rPr>
      </w:r>
      <w:r/>
    </w:p>
    <w:p>
      <w:pPr>
        <w:pStyle w:val="757"/>
        <w:ind w:left="420" w:right="178"/>
        <w:spacing w:line="360" w:lineRule="auto"/>
        <w:rPr>
          <w:rFonts w:hint="eastAsia"/>
          <w:color w:val="000000"/>
          <w:szCs w:val="20"/>
        </w:rPr>
      </w:pPr>
      <w:r>
        <w:rPr>
          <w:rFonts w:hint="eastAsia"/>
          <w:color w:val="000000"/>
          <w:szCs w:val="20"/>
        </w:rPr>
        <w:t xml:space="preserve">7、采购需求：详见第四章采购需求。</w:t>
      </w:r>
      <w:r>
        <w:rPr>
          <w:rFonts w:hint="eastAsia"/>
          <w:color w:val="000000"/>
          <w:szCs w:val="20"/>
        </w:rPr>
      </w:r>
      <w:r/>
    </w:p>
    <w:p>
      <w:pPr>
        <w:pStyle w:val="779"/>
        <w:spacing w:line="360" w:lineRule="auto"/>
        <w:rPr>
          <w:rFonts w:hint="eastAsia"/>
          <w:b/>
          <w:color w:val="000000"/>
        </w:rPr>
      </w:pPr>
      <w:r>
        <w:rPr>
          <w:rFonts w:hint="eastAsia" w:eastAsia="宋体"/>
          <w:color w:val="000000"/>
          <w:sz w:val="21"/>
        </w:rPr>
        <w:t xml:space="preserve">二、投标人资质要求：</w:t>
      </w:r>
      <w:r>
        <w:rPr>
          <w:rFonts w:hint="eastAsia"/>
          <w:b/>
          <w:color w:val="000000"/>
        </w:rPr>
        <w:t xml:space="preserve"> </w:t>
      </w:r>
      <w:r>
        <w:rPr>
          <w:rFonts w:hint="eastAsia"/>
          <w:b/>
          <w:color w:val="000000"/>
        </w:rPr>
      </w:r>
      <w:r/>
    </w:p>
    <w:p>
      <w:pPr>
        <w:pStyle w:val="757"/>
        <w:ind w:firstLine="420"/>
        <w:spacing w:line="360" w:lineRule="auto"/>
        <w:rPr>
          <w:rFonts w:hint="eastAsia" w:ascii="Tahoma" w:hAnsi="Tahoma"/>
          <w:color w:val="000000"/>
        </w:rPr>
      </w:pPr>
      <w:r>
        <w:rPr>
          <w:rFonts w:hint="eastAsia" w:ascii="Tahoma" w:hAnsi="Tahoma"/>
          <w:color w:val="000000"/>
        </w:rPr>
        <w:t xml:space="preserve">（一）、一般条件：</w:t>
      </w:r>
      <w:r>
        <w:rPr>
          <w:rFonts w:hint="eastAsia" w:ascii="Tahoma" w:hAnsi="Tahoma"/>
          <w:color w:val="000000"/>
        </w:rPr>
      </w:r>
      <w:r/>
    </w:p>
    <w:p>
      <w:pPr>
        <w:pStyle w:val="757"/>
        <w:ind w:firstLine="420"/>
        <w:spacing w:line="360" w:lineRule="auto"/>
        <w:rPr>
          <w:rFonts w:hint="eastAsia" w:ascii="Tahoma" w:hAnsi="Tahoma"/>
          <w:color w:val="000000"/>
        </w:rPr>
      </w:pPr>
      <w:r>
        <w:rPr>
          <w:rFonts w:hint="eastAsia" w:ascii="Tahoma" w:hAnsi="Tahoma"/>
          <w:color w:val="000000"/>
        </w:rPr>
        <w:t xml:space="preserve">投标单位须满足《中华人民共和国政府采购法》第二十二条规定；</w:t>
      </w:r>
      <w:r>
        <w:rPr>
          <w:rFonts w:hint="eastAsia" w:ascii="Tahoma" w:hAnsi="Tahoma"/>
          <w:color w:val="000000"/>
        </w:rPr>
      </w:r>
      <w:r/>
    </w:p>
    <w:p>
      <w:pPr>
        <w:pStyle w:val="757"/>
        <w:ind w:firstLine="420"/>
        <w:spacing w:line="360" w:lineRule="auto"/>
        <w:rPr>
          <w:rFonts w:hint="eastAsia" w:ascii="Tahoma" w:hAnsi="Tahoma"/>
          <w:color w:val="000000"/>
        </w:rPr>
      </w:pPr>
      <w:r>
        <w:rPr>
          <w:rFonts w:hint="eastAsia" w:ascii="Tahoma" w:hAnsi="Tahoma"/>
          <w:color w:val="000000"/>
        </w:rPr>
        <w:t xml:space="preserve">（二）、落实政府采购政策需满足的资格要求：</w:t>
      </w:r>
      <w:bookmarkStart w:id="8" w:name="OLE_LINK44"/>
      <w:r/>
      <w:bookmarkStart w:id="9" w:name="OLE_LINK45"/>
      <w:r/>
      <w:bookmarkStart w:id="10" w:name="OLE_LINK43"/>
      <w:r>
        <w:rPr>
          <w:rFonts w:hint="eastAsia" w:ascii="Tahoma" w:hAnsi="Tahoma"/>
          <w:color w:val="000000"/>
        </w:rPr>
        <w:t xml:space="preserve">本项目专门面向中小企业采购，残疾人福利性单位、监狱企业视同小型、微型企业；</w:t>
      </w:r>
      <w:r>
        <w:rPr>
          <w:rFonts w:hint="eastAsia" w:ascii="Tahoma" w:hAnsi="Tahoma"/>
          <w:color w:val="000000"/>
        </w:rPr>
      </w:r>
      <w:r/>
    </w:p>
    <w:p>
      <w:pPr>
        <w:pStyle w:val="757"/>
        <w:ind w:firstLine="420"/>
        <w:spacing w:line="360" w:lineRule="auto"/>
        <w:rPr>
          <w:rFonts w:hint="eastAsia" w:ascii="Tahoma" w:hAnsi="Tahoma"/>
          <w:color w:val="000000"/>
        </w:rPr>
      </w:pPr>
      <w:r/>
      <w:bookmarkEnd w:id="8"/>
      <w:r/>
      <w:bookmarkEnd w:id="9"/>
      <w:r/>
      <w:bookmarkEnd w:id="10"/>
      <w:r>
        <w:rPr>
          <w:rFonts w:hint="eastAsia" w:ascii="Tahoma" w:hAnsi="Tahoma"/>
          <w:color w:val="000000"/>
        </w:rPr>
        <w:t xml:space="preserve">（三）、特殊条件：</w:t>
      </w:r>
      <w:r>
        <w:rPr>
          <w:rFonts w:hint="eastAsia" w:ascii="Tahoma" w:hAnsi="Tahoma"/>
          <w:color w:val="000000"/>
        </w:rPr>
      </w:r>
      <w:r/>
    </w:p>
    <w:p>
      <w:pPr>
        <w:pStyle w:val="757"/>
        <w:ind w:firstLine="630"/>
        <w:spacing w:line="360" w:lineRule="auto"/>
        <w:rPr>
          <w:rFonts w:hint="eastAsia" w:ascii="Tahoma" w:hAnsi="Tahoma"/>
          <w:color w:val="000000"/>
        </w:rPr>
      </w:pPr>
      <w:r>
        <w:rPr>
          <w:rFonts w:hint="eastAsia" w:ascii="Tahoma" w:hAnsi="Tahoma"/>
          <w:color w:val="000000"/>
        </w:rPr>
        <w:t xml:space="preserve">无。</w:t>
      </w:r>
      <w:r>
        <w:rPr>
          <w:rFonts w:hint="eastAsia" w:ascii="Tahoma" w:hAnsi="Tahoma"/>
          <w:color w:val="000000"/>
        </w:rPr>
      </w:r>
      <w:r/>
    </w:p>
    <w:p>
      <w:pPr>
        <w:pStyle w:val="757"/>
        <w:ind w:firstLine="420"/>
        <w:spacing w:line="360" w:lineRule="auto"/>
        <w:rPr>
          <w:rFonts w:hint="eastAsia" w:ascii="Tahoma" w:hAnsi="Tahoma"/>
        </w:rPr>
      </w:pPr>
      <w:r>
        <w:rPr>
          <w:rFonts w:hint="eastAsia" w:ascii="Tahoma" w:hAnsi="Tahoma"/>
        </w:rPr>
        <w:t xml:space="preserve">（四）、其他条件</w:t>
      </w:r>
      <w:r>
        <w:rPr>
          <w:rFonts w:hint="eastAsia" w:ascii="Tahoma" w:hAnsi="Tahoma"/>
        </w:rPr>
      </w:r>
      <w:r/>
    </w:p>
    <w:p>
      <w:pPr>
        <w:pStyle w:val="757"/>
        <w:ind w:firstLine="420"/>
        <w:spacing w:line="360" w:lineRule="auto"/>
        <w:rPr>
          <w:rFonts w:hint="eastAsia" w:ascii="Tahoma" w:hAnsi="Tahoma"/>
        </w:rPr>
      </w:pPr>
      <w:r>
        <w:rPr>
          <w:rFonts w:hint="eastAsia" w:ascii="Tahoma" w:hAnsi="Tahoma"/>
        </w:rPr>
        <w:t xml:space="preserve">  1、本次招标不接受联合投标。</w:t>
      </w:r>
      <w:r>
        <w:rPr>
          <w:rFonts w:hint="eastAsia" w:ascii="Tahoma" w:hAnsi="Tahoma"/>
        </w:rPr>
      </w:r>
      <w:r/>
    </w:p>
    <w:p>
      <w:pPr>
        <w:pStyle w:val="757"/>
        <w:ind w:firstLine="420"/>
        <w:spacing w:line="360" w:lineRule="auto"/>
        <w:rPr>
          <w:rFonts w:hint="eastAsia" w:ascii="Tahoma" w:hAnsi="Tahoma"/>
        </w:rPr>
      </w:pPr>
      <w:r>
        <w:rPr>
          <w:rFonts w:hint="eastAsia" w:ascii="Tahoma" w:hAnsi="Tahoma"/>
        </w:rPr>
        <w:t xml:space="preserve">  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Tahoma" w:hAnsi="Tahoma"/>
        </w:rPr>
      </w:r>
      <w:r/>
    </w:p>
    <w:p>
      <w:pPr>
        <w:pStyle w:val="77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三、获取招标文件</w:t>
      </w:r>
      <w:r>
        <w:rPr>
          <w:rFonts w:hint="eastAsia" w:ascii="宋体" w:hAnsi="宋体" w:eastAsia="宋体"/>
          <w:color w:val="000000"/>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3、方式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（1）CA证书办理 </w:t>
      </w:r>
      <w:r>
        <w:rPr>
          <w:rFonts w:ascii="宋体" w:hAnsi="宋体" w:eastAsia="宋体"/>
          <w:sz w:val="21"/>
          <w:szCs w:val="21"/>
        </w:rPr>
      </w:r>
      <w:r/>
    </w:p>
    <w:p>
      <w:pPr>
        <w:pStyle w:val="779"/>
        <w:spacing w:line="360" w:lineRule="auto"/>
        <w:rPr>
          <w:rFonts w:hint="eastAsia" w:ascii="宋体" w:hAnsi="宋体" w:eastAsia="宋体"/>
          <w:sz w:val="21"/>
          <w:szCs w:val="21"/>
        </w:rPr>
      </w:pPr>
      <w:r>
        <w:rPr>
          <w:rFonts w:hint="eastAsia" w:ascii="宋体" w:hAnsi="宋体" w:eastAsia="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rPr>
          <w:rFonts w:hint="eastAsia"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（2）参与采购活动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（3）电子投标准备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注册咨询：18261002950；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rPr>
          <w:rFonts w:ascii="宋体" w:hAnsi="宋体" w:eastAsia="宋体"/>
          <w:sz w:val="21"/>
          <w:szCs w:val="21"/>
        </w:rPr>
      </w:r>
      <w:r/>
    </w:p>
    <w:p>
      <w:pPr>
        <w:pStyle w:val="757"/>
        <w:ind w:firstLine="422"/>
        <w:spacing w:line="360" w:lineRule="auto"/>
        <w:rPr>
          <w:rFonts w:hint="eastAsia"/>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rPr>
          <w:rFonts w:hint="eastAsia"/>
          <w:b/>
          <w:bCs/>
          <w:color w:val="333333"/>
        </w:rPr>
      </w:r>
      <w:r/>
    </w:p>
    <w:p>
      <w:pPr>
        <w:pStyle w:val="7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1、提交投标文件截止时间：2026年06月12日09:30（北京时间）； </w:t>
      </w:r>
      <w:r>
        <w:rPr>
          <w:rFonts w:ascii="宋体" w:hAnsi="宋体" w:eastAsia="宋体"/>
          <w:color w:val="000000"/>
          <w:sz w:val="21"/>
          <w:szCs w:val="21"/>
        </w:rPr>
      </w:r>
      <w:r/>
    </w:p>
    <w:p>
      <w:pPr>
        <w:pStyle w:val="77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2、开标时间：2026年06月12日09:30（北京时间）； </w:t>
      </w:r>
      <w:r>
        <w:rPr>
          <w:rFonts w:hint="eastAsia" w:ascii="宋体" w:hAnsi="宋体" w:eastAsia="宋体"/>
          <w:color w:val="000000"/>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eastAsia="宋体"/>
          <w:sz w:val="21"/>
          <w:szCs w:val="21"/>
        </w:rPr>
      </w:r>
      <w:r/>
    </w:p>
    <w:p>
      <w:pPr>
        <w:pStyle w:val="779"/>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rPr>
          <w:rFonts w:ascii="宋体" w:hAnsi="宋体" w:eastAsia="宋体"/>
          <w:sz w:val="21"/>
          <w:szCs w:val="21"/>
        </w:rPr>
      </w:r>
      <w:r/>
    </w:p>
    <w:p>
      <w:pPr>
        <w:pStyle w:val="757"/>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Cs w:val="21"/>
        </w:rPr>
      </w:r>
      <w:r/>
    </w:p>
    <w:p>
      <w:pPr>
        <w:pStyle w:val="757"/>
        <w:ind w:firstLine="420"/>
        <w:spacing w:line="360" w:lineRule="auto"/>
        <w:rPr>
          <w:rFonts w:hint="eastAsia" w:ascii="宋体" w:hAnsi="宋体" w:cs="宋体"/>
          <w:color w:val="000000"/>
          <w:szCs w:val="21"/>
        </w:rPr>
      </w:pPr>
      <w:r>
        <w:rPr>
          <w:rFonts w:hint="eastAsia" w:ascii="宋体" w:hAnsi="宋体" w:cs="宋体"/>
          <w:color w:val="000000"/>
          <w:szCs w:val="21"/>
        </w:rPr>
        <w:t xml:space="preserve">8、昆山市政府采购监督电话：0512-57310854</w:t>
      </w:r>
      <w:r>
        <w:rPr>
          <w:rFonts w:hint="eastAsia" w:ascii="宋体" w:hAnsi="宋体" w:cs="宋体"/>
          <w:color w:val="000000"/>
          <w:szCs w:val="21"/>
        </w:rPr>
      </w:r>
      <w:r/>
    </w:p>
    <w:p>
      <w:pPr>
        <w:pStyle w:val="757"/>
        <w:ind w:right="-315" w:firstLine="420"/>
        <w:spacing w:line="360" w:lineRule="auto"/>
        <w:rPr>
          <w:rFonts w:hint="eastAsia" w:ascii="宋体" w:hAnsi="宋体"/>
          <w:b/>
          <w:szCs w:val="21"/>
        </w:rPr>
      </w:pPr>
      <w:r>
        <w:rPr>
          <w:rFonts w:hint="eastAsia" w:ascii="宋体" w:hAnsi="宋体"/>
          <w:szCs w:val="21"/>
        </w:rPr>
        <w:t xml:space="preserve">五、</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rPr>
          <w:rFonts w:hint="eastAsia" w:ascii="宋体" w:hAnsi="宋体"/>
          <w:b/>
          <w:szCs w:val="21"/>
        </w:rPr>
      </w:r>
      <w:r/>
    </w:p>
    <w:p>
      <w:pPr>
        <w:pStyle w:val="757"/>
        <w:ind w:right="-359" w:firstLine="420"/>
        <w:spacing w:line="360" w:lineRule="auto"/>
        <w:rPr>
          <w:rFonts w:hint="eastAsia" w:ascii="宋体" w:hAnsi="宋体"/>
          <w:szCs w:val="21"/>
        </w:rPr>
      </w:pPr>
      <w:r>
        <w:rPr>
          <w:rFonts w:hint="eastAsia"/>
        </w:rPr>
        <w:t xml:space="preserve">六、</w:t>
      </w:r>
      <w:r>
        <w:rPr>
          <w:rFonts w:hint="eastAsia" w:ascii="宋体" w:hAnsi="宋体"/>
          <w:szCs w:val="21"/>
        </w:rPr>
        <w:t xml:space="preserve">联系事项</w:t>
      </w:r>
      <w:r>
        <w:rPr>
          <w:rFonts w:hint="eastAsia" w:ascii="宋体" w:hAnsi="宋体"/>
          <w:szCs w:val="21"/>
        </w:rPr>
      </w:r>
      <w:r/>
    </w:p>
    <w:p>
      <w:pPr>
        <w:pStyle w:val="757"/>
        <w:ind w:right="-359" w:firstLine="420"/>
        <w:spacing w:line="360" w:lineRule="auto"/>
        <w:rPr>
          <w:rFonts w:hint="eastAsia"/>
        </w:rPr>
      </w:pPr>
      <w:r>
        <w:rPr>
          <w:rFonts w:hint="eastAsia" w:ascii="宋体" w:hAnsi="宋体"/>
          <w:szCs w:val="21"/>
        </w:rPr>
        <w:t xml:space="preserve">1、</w:t>
      </w:r>
      <w:r>
        <w:rPr>
          <w:rFonts w:hint="eastAsia"/>
        </w:rPr>
        <w:t xml:space="preserve">采购人：昆山市张浦镇人民政府（昆山市张浦镇社会事业办公室）</w:t>
      </w:r>
      <w:r>
        <w:rPr>
          <w:rFonts w:hint="eastAsia"/>
        </w:rPr>
      </w:r>
      <w:r/>
    </w:p>
    <w:p>
      <w:pPr>
        <w:pStyle w:val="757"/>
        <w:ind w:right="-359" w:firstLine="420"/>
        <w:spacing w:line="360" w:lineRule="auto"/>
        <w:rPr>
          <w:rFonts w:hint="eastAsia"/>
        </w:rPr>
      </w:pPr>
      <w:r>
        <w:t xml:space="preserve">2</w:t>
      </w:r>
      <w:r>
        <w:rPr>
          <w:rFonts w:hint="eastAsia"/>
        </w:rPr>
        <w:t xml:space="preserve">、联系人：景一峰           联系电话：0512-57452382</w:t>
      </w:r>
      <w:r>
        <w:rPr>
          <w:rFonts w:hint="eastAsia"/>
        </w:rPr>
      </w:r>
      <w:r/>
    </w:p>
    <w:p>
      <w:pPr>
        <w:pStyle w:val="757"/>
        <w:ind w:right="-359" w:firstLine="420"/>
        <w:spacing w:line="360" w:lineRule="auto"/>
        <w:rPr>
          <w:rFonts w:ascii="宋体" w:hAnsi="宋体"/>
          <w:szCs w:val="21"/>
        </w:rPr>
      </w:pPr>
      <w:r>
        <w:rPr>
          <w:rFonts w:hint="eastAsia" w:ascii="宋体" w:hAnsi="宋体"/>
          <w:szCs w:val="21"/>
        </w:rPr>
        <w:t xml:space="preserve">七、招标代理机构名称：江苏正华新工程咨询有限公司 </w:t>
      </w:r>
      <w:r>
        <w:rPr>
          <w:rFonts w:ascii="宋体" w:hAnsi="宋体"/>
          <w:szCs w:val="21"/>
        </w:rPr>
      </w:r>
      <w:r/>
    </w:p>
    <w:p>
      <w:pPr>
        <w:pStyle w:val="757"/>
        <w:ind w:firstLine="420"/>
        <w:spacing w:line="360" w:lineRule="auto"/>
        <w:rPr>
          <w:rFonts w:hint="eastAsia" w:ascii="宋体" w:hAnsi="宋体"/>
          <w:szCs w:val="21"/>
        </w:rPr>
      </w:pPr>
      <w:r>
        <w:rPr>
          <w:rFonts w:hint="eastAsia" w:ascii="宋体" w:hAnsi="宋体"/>
          <w:szCs w:val="21"/>
        </w:rPr>
        <w:t xml:space="preserve">地址：</w:t>
      </w:r>
      <w:bookmarkStart w:id="11" w:name="OLE_LINK5"/>
      <w:r/>
      <w:bookmarkStart w:id="12" w:name="OLE_LINK6"/>
      <w:r>
        <w:rPr>
          <w:rFonts w:hint="eastAsia" w:ascii="宋体" w:hAnsi="宋体"/>
          <w:szCs w:val="21"/>
        </w:rPr>
        <w:t xml:space="preserve">昆山开发区富尔路26号602室</w:t>
      </w:r>
      <w:bookmarkEnd w:id="11"/>
      <w:r/>
      <w:bookmarkEnd w:id="12"/>
      <w:r>
        <w:rPr>
          <w:rFonts w:hint="eastAsia"/>
        </w:rPr>
        <w:t xml:space="preserve">  </w:t>
      </w:r>
      <w:r>
        <w:rPr>
          <w:rFonts w:hint="eastAsia" w:ascii="宋体" w:hAnsi="宋体"/>
          <w:szCs w:val="21"/>
        </w:rPr>
        <w:t xml:space="preserve">    邮政编码：215300 </w:t>
      </w:r>
      <w:r>
        <w:rPr>
          <w:rFonts w:hint="eastAsia"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联系电话：0512-50331200 </w:t>
      </w:r>
      <w:r>
        <w:rPr>
          <w:rFonts w:hint="eastAsia"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联系人：王琴</w:t>
      </w:r>
      <w:r>
        <w:rPr>
          <w:rFonts w:hint="eastAsia" w:ascii="宋体" w:hAnsi="宋体"/>
          <w:szCs w:val="21"/>
        </w:rPr>
      </w:r>
      <w:r/>
    </w:p>
    <w:p>
      <w:pPr>
        <w:pStyle w:val="757"/>
        <w:ind w:firstLine="420"/>
        <w:spacing w:line="360" w:lineRule="auto"/>
        <w:rPr>
          <w:rFonts w:hint="eastAsia" w:ascii="Tahoma" w:hAnsi="Tahoma"/>
        </w:rPr>
      </w:pPr>
      <w:r>
        <w:rPr>
          <w:rFonts w:hint="eastAsia" w:ascii="Tahoma" w:hAnsi="Tahoma"/>
        </w:rPr>
      </w:r>
      <w:r/>
    </w:p>
    <w:p>
      <w:pPr>
        <w:pStyle w:val="757"/>
        <w:ind w:firstLine="420"/>
        <w:spacing w:line="360" w:lineRule="auto"/>
        <w:rPr>
          <w:rFonts w:hint="eastAsia" w:ascii="Tahoma" w:hAnsi="Tahoma"/>
        </w:rPr>
      </w:pPr>
      <w:r>
        <w:rPr>
          <w:rFonts w:hint="eastAsia" w:ascii="Tahoma" w:hAnsi="Tahoma"/>
        </w:rPr>
      </w:r>
      <w:r/>
    </w:p>
    <w:p>
      <w:pPr>
        <w:pStyle w:val="757"/>
        <w:ind w:firstLine="420"/>
        <w:spacing w:line="360" w:lineRule="auto"/>
        <w:rPr>
          <w:rFonts w:hint="eastAsia" w:ascii="Tahoma" w:hAnsi="Tahoma"/>
        </w:rPr>
      </w:pPr>
      <w:r>
        <w:rPr>
          <w:rFonts w:ascii="Tahoma" w:hAnsi="Tahoma"/>
        </w:rPr>
        <w:br w:type="page" w:clear="all"/>
      </w:r>
      <w:r>
        <w:rPr>
          <w:rFonts w:hint="eastAsia" w:ascii="Tahoma" w:hAnsi="Tahoma"/>
        </w:rPr>
      </w:r>
      <w:r/>
    </w:p>
    <w:p>
      <w:pPr>
        <w:pStyle w:val="758"/>
        <w:jc w:val="center"/>
        <w:rPr>
          <w:rFonts w:hint="eastAsia"/>
        </w:rPr>
      </w:pPr>
      <w:r/>
      <w:bookmarkStart w:id="13" w:name="_Toc194916140"/>
      <w:r>
        <w:rPr>
          <w:rFonts w:hint="eastAsia"/>
        </w:rPr>
        <w:t xml:space="preserve">第二章 投标人须知</w:t>
      </w:r>
      <w:bookmarkEnd w:id="13"/>
      <w:r>
        <w:rPr>
          <w:rFonts w:hint="eastAsia"/>
        </w:rPr>
      </w:r>
      <w:r/>
    </w:p>
    <w:p>
      <w:pPr>
        <w:pStyle w:val="757"/>
        <w:ind w:firstLine="422"/>
        <w:spacing w:line="360" w:lineRule="auto"/>
        <w:rPr>
          <w:rFonts w:hint="eastAsia" w:ascii="宋体" w:hAnsi="宋体"/>
          <w:b/>
          <w:szCs w:val="21"/>
        </w:rPr>
      </w:pPr>
      <w:r>
        <w:rPr>
          <w:rFonts w:hint="eastAsia" w:ascii="宋体" w:hAnsi="宋体"/>
          <w:b/>
          <w:szCs w:val="21"/>
        </w:rPr>
        <w:t xml:space="preserve">一、说明和释义</w:t>
      </w:r>
      <w:r>
        <w:rPr>
          <w:rFonts w:hint="eastAsia" w:ascii="宋体" w:hAnsi="宋体"/>
          <w:b/>
          <w:szCs w:val="21"/>
        </w:rPr>
      </w:r>
      <w:r/>
    </w:p>
    <w:p>
      <w:pPr>
        <w:pStyle w:val="757"/>
        <w:ind w:firstLine="420"/>
        <w:spacing w:line="360" w:lineRule="auto"/>
        <w:rPr>
          <w:rFonts w:hint="eastAsia" w:ascii="宋体" w:hAnsi="宋体"/>
          <w:szCs w:val="21"/>
        </w:rPr>
      </w:pPr>
      <w:r>
        <w:rPr>
          <w:rFonts w:hint="eastAsia" w:ascii="宋体" w:hAnsi="宋体"/>
          <w:szCs w:val="21"/>
        </w:rPr>
        <w:t xml:space="preserve">1、说明</w:t>
      </w:r>
      <w:r>
        <w:rPr>
          <w:rFonts w:hint="eastAsia" w:ascii="宋体" w:hAnsi="宋体"/>
          <w:szCs w:val="21"/>
        </w:rPr>
      </w:r>
      <w:r/>
    </w:p>
    <w:p>
      <w:pPr>
        <w:pStyle w:val="757"/>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江苏正华新工程咨询有限公司</w:t>
      </w:r>
      <w:r>
        <w:rPr>
          <w:rFonts w:hint="eastAsia" w:ascii="宋体" w:hAnsi="宋体"/>
          <w:bCs/>
          <w:szCs w:val="21"/>
        </w:rPr>
        <w:t xml:space="preserve">组织的招标</w:t>
      </w:r>
      <w:r>
        <w:rPr>
          <w:rFonts w:hint="eastAsia" w:ascii="宋体" w:hAnsi="宋体"/>
          <w:szCs w:val="21"/>
        </w:rPr>
        <w:t xml:space="preserve">活动。</w:t>
      </w:r>
      <w:r>
        <w:rPr>
          <w:rFonts w:hint="eastAsia" w:ascii="宋体" w:hAnsi="宋体"/>
          <w:szCs w:val="21"/>
        </w:rPr>
      </w:r>
      <w:r/>
    </w:p>
    <w:p>
      <w:pPr>
        <w:pStyle w:val="757"/>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rPr>
          <w:rFonts w:ascii="宋体" w:hAnsi="宋体"/>
          <w:szCs w:val="21"/>
        </w:rPr>
      </w:r>
      <w:r/>
    </w:p>
    <w:p>
      <w:pPr>
        <w:pStyle w:val="779"/>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、本招标文件的解释权属于江苏正华新工程咨询有限公司。</w:t>
      </w:r>
      <w:r>
        <w:rPr>
          <w:rFonts w:eastAsia="宋体"/>
          <w:bCs/>
          <w:sz w:val="21"/>
        </w:rPr>
        <w:t xml:space="preserve"> </w:t>
      </w:r>
      <w:r>
        <w:rPr>
          <w:rFonts w:eastAsia="宋体"/>
          <w:bCs/>
          <w:sz w:val="21"/>
        </w:rPr>
      </w:r>
      <w:r/>
    </w:p>
    <w:p>
      <w:pPr>
        <w:pStyle w:val="757"/>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rPr>
          <w:rFonts w:ascii="宋体" w:hAnsi="宋体"/>
          <w:b/>
          <w:szCs w:val="21"/>
        </w:rPr>
      </w:r>
      <w:r/>
    </w:p>
    <w:p>
      <w:pPr>
        <w:pStyle w:val="779"/>
        <w:jc w:val="both"/>
        <w:spacing w:line="360" w:lineRule="auto"/>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rPr>
          <w:rFonts w:hint="eastAsia"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rPr>
          <w:rFonts w:ascii="宋体" w:hAnsi="宋体" w:eastAsia="宋体"/>
          <w:sz w:val="21"/>
          <w:szCs w:val="21"/>
        </w:rPr>
      </w:r>
      <w:r/>
    </w:p>
    <w:p>
      <w:pPr>
        <w:pStyle w:val="779"/>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rPr>
          <w:rFonts w:ascii="宋体" w:hAnsi="宋体" w:eastAsia="宋体"/>
          <w:sz w:val="21"/>
          <w:szCs w:val="21"/>
        </w:rPr>
      </w:r>
      <w:r/>
    </w:p>
    <w:p>
      <w:pPr>
        <w:pStyle w:val="779"/>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rPr>
          <w:rFonts w:ascii="宋体" w:hAnsi="宋体" w:eastAsia="宋体"/>
          <w:sz w:val="21"/>
          <w:szCs w:val="21"/>
        </w:rPr>
      </w:r>
      <w:r/>
    </w:p>
    <w:p>
      <w:pPr>
        <w:pStyle w:val="779"/>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rPr>
          <w:rFonts w:ascii="宋体" w:hAnsi="宋体" w:eastAsia="宋体"/>
          <w:sz w:val="21"/>
          <w:szCs w:val="21"/>
        </w:rPr>
      </w:r>
      <w:r/>
    </w:p>
    <w:p>
      <w:pPr>
        <w:pStyle w:val="779"/>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rPr>
          <w:rFonts w:ascii="宋体" w:hAnsi="宋体" w:eastAsia="宋体"/>
          <w:sz w:val="21"/>
          <w:szCs w:val="21"/>
        </w:rPr>
      </w:r>
      <w:r/>
    </w:p>
    <w:p>
      <w:pPr>
        <w:pStyle w:val="757"/>
        <w:ind w:firstLine="420"/>
        <w:spacing w:line="360" w:lineRule="auto"/>
        <w:rPr>
          <w:rFonts w:hint="eastAsia"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rPr>
          <w:rFonts w:hint="eastAsia" w:ascii="宋体" w:hAnsi="宋体"/>
          <w:b/>
          <w:szCs w:val="21"/>
        </w:rPr>
      </w:r>
      <w:r/>
    </w:p>
    <w:p>
      <w:pPr>
        <w:pStyle w:val="757"/>
        <w:ind w:firstLine="413"/>
        <w:spacing w:line="360" w:lineRule="auto"/>
        <w:rPr>
          <w:rFonts w:hint="eastAsia" w:ascii="宋体" w:hAnsi="宋体"/>
          <w:b/>
          <w:szCs w:val="21"/>
        </w:rPr>
      </w:pPr>
      <w:r>
        <w:rPr>
          <w:rFonts w:hint="eastAsia" w:ascii="宋体" w:hAnsi="宋体"/>
          <w:b/>
          <w:szCs w:val="21"/>
        </w:rPr>
        <w:t xml:space="preserve">二、</w:t>
      </w:r>
      <w:r>
        <w:rPr>
          <w:rFonts w:ascii="宋体" w:hAnsi="宋体"/>
          <w:b/>
          <w:szCs w:val="21"/>
        </w:rPr>
        <w:t xml:space="preserve"> </w:t>
      </w:r>
      <w:r>
        <w:rPr>
          <w:rFonts w:hint="eastAsia" w:ascii="宋体" w:hAnsi="宋体"/>
          <w:b/>
          <w:szCs w:val="21"/>
        </w:rPr>
        <w:t xml:space="preserve">投标人</w:t>
      </w:r>
      <w:r>
        <w:rPr>
          <w:rFonts w:hint="eastAsia" w:ascii="宋体" w:hAnsi="宋体"/>
          <w:b/>
          <w:szCs w:val="21"/>
        </w:rPr>
      </w:r>
      <w:r/>
    </w:p>
    <w:p>
      <w:pPr>
        <w:pStyle w:val="779"/>
        <w:jc w:val="both"/>
        <w:spacing w:line="360" w:lineRule="auto"/>
        <w:rPr>
          <w:rFonts w:hint="eastAsia" w:ascii="宋体" w:hAnsi="宋体" w:eastAsia="宋体"/>
          <w:sz w:val="21"/>
          <w:szCs w:val="21"/>
        </w:rPr>
      </w:pPr>
      <w:r>
        <w:rPr>
          <w:rFonts w:ascii="宋体" w:hAnsi="宋体" w:eastAsia="宋体"/>
          <w:sz w:val="21"/>
          <w:szCs w:val="21"/>
        </w:rPr>
        <w:t xml:space="preserve">1、 合格投标人的范围</w:t>
      </w:r>
      <w:r>
        <w:rPr>
          <w:rFonts w:hint="eastAsia" w:ascii="宋体" w:hAnsi="宋体" w:eastAsia="宋体"/>
          <w:sz w:val="21"/>
          <w:szCs w:val="21"/>
        </w:rPr>
      </w:r>
      <w:r/>
    </w:p>
    <w:p>
      <w:pPr>
        <w:pStyle w:val="757"/>
        <w:ind w:right="-315" w:firstLine="420"/>
        <w:spacing w:line="360" w:lineRule="auto"/>
        <w:rPr>
          <w:rFonts w:hint="eastAsia"/>
          <w:szCs w:val="20"/>
        </w:rPr>
      </w:pPr>
      <w:r>
        <w:rPr>
          <w:rFonts w:hint="eastAsia"/>
          <w:szCs w:val="20"/>
        </w:rPr>
        <w:t xml:space="preserve">符合投标邀请函中资质要求的投标单位。</w:t>
      </w:r>
      <w:r>
        <w:rPr>
          <w:rFonts w:hint="eastAsia"/>
          <w:szCs w:val="20"/>
        </w:rPr>
      </w:r>
      <w:r/>
    </w:p>
    <w:p>
      <w:pPr>
        <w:pStyle w:val="757"/>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757"/>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rPr>
          <w:rFonts w:ascii="宋体" w:hAnsi="宋体"/>
          <w:szCs w:val="21"/>
        </w:rPr>
      </w:r>
      <w:r/>
    </w:p>
    <w:p>
      <w:pPr>
        <w:pStyle w:val="757"/>
        <w:ind w:firstLine="413"/>
        <w:spacing w:line="360" w:lineRule="auto"/>
        <w:rPr>
          <w:rFonts w:ascii="宋体" w:hAnsi="宋体"/>
          <w:b/>
          <w:szCs w:val="21"/>
        </w:rPr>
      </w:pPr>
      <w:r>
        <w:rPr>
          <w:rFonts w:hint="eastAsia" w:ascii="宋体" w:hAnsi="宋体"/>
          <w:b/>
          <w:szCs w:val="21"/>
        </w:rPr>
        <w:t xml:space="preserve">3、投标费用</w:t>
      </w:r>
      <w:r>
        <w:rPr>
          <w:rFonts w:ascii="宋体" w:hAnsi="宋体"/>
          <w:b/>
          <w:szCs w:val="21"/>
        </w:rPr>
        <w:t xml:space="preserve"> </w:t>
      </w:r>
      <w:r>
        <w:rPr>
          <w:rFonts w:ascii="宋体" w:hAnsi="宋体"/>
          <w:b/>
          <w:szCs w:val="21"/>
        </w:rPr>
      </w:r>
      <w:r/>
    </w:p>
    <w:p>
      <w:pPr>
        <w:pStyle w:val="757"/>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rPr>
          <w:rFonts w:ascii="宋体" w:hAnsi="宋体"/>
          <w:szCs w:val="21"/>
        </w:rPr>
      </w:r>
      <w:r/>
    </w:p>
    <w:p>
      <w:pPr>
        <w:pStyle w:val="757"/>
        <w:ind w:firstLine="413"/>
        <w:spacing w:line="360" w:lineRule="auto"/>
        <w:rPr>
          <w:rFonts w:ascii="宋体" w:hAnsi="宋体"/>
          <w:b/>
          <w:szCs w:val="21"/>
        </w:rPr>
      </w:pPr>
      <w:r>
        <w:rPr>
          <w:rFonts w:hint="eastAsia" w:ascii="宋体" w:hAnsi="宋体"/>
          <w:b/>
          <w:szCs w:val="21"/>
        </w:rPr>
        <w:t xml:space="preserve">4、本项目不接受联合投标。</w:t>
      </w:r>
      <w:r>
        <w:rPr>
          <w:rFonts w:ascii="宋体" w:hAnsi="宋体"/>
          <w:b/>
          <w:szCs w:val="21"/>
        </w:rPr>
      </w:r>
      <w:r/>
    </w:p>
    <w:p>
      <w:pPr>
        <w:pStyle w:val="757"/>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757"/>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757"/>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757"/>
        <w:ind w:firstLine="413"/>
        <w:spacing w:line="360" w:lineRule="auto"/>
        <w:rPr>
          <w:rFonts w:hint="eastAsia" w:ascii="宋体" w:hAnsi="宋体"/>
          <w:b/>
          <w:color w:val="000000"/>
          <w:szCs w:val="21"/>
        </w:rPr>
      </w:pPr>
      <w:r>
        <w:rPr>
          <w:rFonts w:hint="eastAsia" w:ascii="宋体" w:hAnsi="宋体"/>
          <w:b/>
          <w:szCs w:val="21"/>
        </w:rPr>
        <w:t xml:space="preserve">2、招标文件的</w:t>
      </w:r>
      <w:r>
        <w:rPr>
          <w:rFonts w:ascii="宋体" w:hAnsi="宋体"/>
          <w:b/>
          <w:color w:val="000000"/>
          <w:szCs w:val="21"/>
        </w:rPr>
        <w:t xml:space="preserve">澄清和修改</w:t>
      </w:r>
      <w:r>
        <w:rPr>
          <w:rFonts w:hint="eastAsia" w:ascii="宋体" w:hAnsi="宋体"/>
          <w:b/>
          <w:color w:val="000000"/>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2.1、投标人在获取招标文件后，若有疑问，应于提交投标文件截止时间前，向采购代理机构提出询问，采购代理机构将按规定予以答复。</w:t>
      </w:r>
      <w:r>
        <w:rPr>
          <w:rFonts w:hint="eastAsia"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2.3、采购代理机构对招标文件的澄清或者修改，将按规定在提交投标文件截止时间前以更正公告形式在法定的政府采购信息发布媒体上发布。</w:t>
      </w:r>
      <w:r>
        <w:rPr>
          <w:rFonts w:hint="eastAsia"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2.4、投标人应在提交投标文件截止时间前关注原采购信息发布媒体上有无本项目的更正公告。</w:t>
      </w:r>
      <w:r>
        <w:rPr>
          <w:rFonts w:hint="eastAsia" w:ascii="宋体" w:hAnsi="宋体"/>
          <w:szCs w:val="21"/>
        </w:rPr>
      </w:r>
      <w:r/>
    </w:p>
    <w:p>
      <w:pPr>
        <w:pStyle w:val="757"/>
        <w:ind w:right="-252" w:firstLine="422"/>
        <w:spacing w:line="360" w:lineRule="auto"/>
        <w:rPr>
          <w:rFonts w:hint="eastAsia" w:ascii="宋体" w:hAnsi="宋体"/>
          <w:b/>
          <w:szCs w:val="21"/>
        </w:rPr>
      </w:pPr>
      <w:r>
        <w:rPr>
          <w:rFonts w:hint="eastAsia" w:ascii="宋体" w:hAnsi="宋体"/>
          <w:b/>
          <w:szCs w:val="21"/>
        </w:rPr>
        <w:t xml:space="preserve">3、投标文件的提交、撤回和修改</w:t>
      </w:r>
      <w:r>
        <w:rPr>
          <w:rFonts w:hint="eastAsia" w:ascii="宋体" w:hAnsi="宋体"/>
          <w:b/>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3.1、投标文件应当在提交投标文件的截止时间前制作并上传电子投标文件。</w:t>
      </w:r>
      <w:r>
        <w:rPr>
          <w:rFonts w:hint="eastAsia"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3.2、在提交投标文件的截止时间前，投标人可以撤回或者修改投标文件，具体操作方法见《苏采云系统供应商操作手册》。</w:t>
      </w:r>
      <w:r>
        <w:rPr>
          <w:rFonts w:ascii="宋体" w:hAnsi="宋体"/>
          <w:szCs w:val="21"/>
        </w:rPr>
      </w:r>
      <w:r/>
    </w:p>
    <w:p>
      <w:pPr>
        <w:pStyle w:val="757"/>
        <w:ind w:firstLine="413"/>
        <w:spacing w:line="360" w:lineRule="auto"/>
        <w:rPr>
          <w:rFonts w:hint="eastAsia" w:ascii="宋体" w:hAnsi="宋体"/>
          <w:b/>
          <w:szCs w:val="21"/>
        </w:rPr>
      </w:pPr>
      <w:r>
        <w:rPr>
          <w:rFonts w:hint="eastAsia" w:ascii="宋体" w:hAnsi="宋体"/>
          <w:b/>
          <w:szCs w:val="21"/>
        </w:rPr>
        <w:t xml:space="preserve">4、质疑</w:t>
      </w:r>
      <w:r>
        <w:rPr>
          <w:rFonts w:hint="eastAsia" w:ascii="宋体" w:hAnsi="宋体"/>
          <w:b/>
          <w:szCs w:val="21"/>
        </w:rPr>
      </w:r>
      <w:r/>
    </w:p>
    <w:p>
      <w:pPr>
        <w:pStyle w:val="757"/>
        <w:ind w:firstLine="411"/>
        <w:spacing w:line="360" w:lineRule="auto"/>
        <w:rPr>
          <w:rFonts w:hint="eastAsia" w:ascii="宋体" w:hAnsi="宋体"/>
          <w:szCs w:val="21"/>
        </w:rPr>
      </w:pPr>
      <w:r>
        <w:rPr>
          <w:rFonts w:hint="eastAsia" w:ascii="宋体" w:hAnsi="宋体"/>
          <w:szCs w:val="21"/>
        </w:rPr>
        <w:t xml:space="preserve">4.1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供应商应当在法定质疑期内一次性提出针对同一采购程序环节的质疑。</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采购人、采购代理机构应当在收到供应商书面质疑后七个工作日内作出答复，并以书面形式通知质疑人和其他相关供应商。</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4.2、质疑函应包括以下主要内容，并按照“谁主张、谁举证”的原则，附上必要的证明材料。　　　　　　　</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4.2.1供应商的姓名或者名称、地址、邮编、联系人及联系电话；</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4.2.2质疑项目名称、编号；</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4.2.3具体、明确的质疑事项和与质疑事项相关的请求；</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4.2.4具体的事实依据及相关证据材料；</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4.2.5必要的法律依据；</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4.2.6提出质疑的日期；</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4.2.7依法获取采购文件的证明（《投标供应商确认函》）；</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代理人提出质疑，应当提交供应商签署的授权委托书。</w:t>
      </w:r>
      <w:r>
        <w:rPr>
          <w:rFonts w:hint="eastAsia" w:ascii="宋体" w:hAnsi="宋体"/>
          <w:szCs w:val="21"/>
        </w:rPr>
      </w:r>
      <w:r/>
    </w:p>
    <w:p>
      <w:pPr>
        <w:pStyle w:val="757"/>
        <w:ind w:firstLine="411"/>
        <w:spacing w:line="360" w:lineRule="auto"/>
        <w:rPr>
          <w:rFonts w:hint="eastAsia" w:ascii="宋体" w:hAnsi="宋体"/>
          <w:szCs w:val="21"/>
        </w:rPr>
      </w:pPr>
      <w:r>
        <w:rPr>
          <w:rFonts w:hint="eastAsia" w:ascii="宋体" w:hAnsi="宋体"/>
          <w:szCs w:val="21"/>
        </w:rPr>
        <w:t xml:space="preserve">4.3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szCs w:val="21"/>
        </w:rPr>
      </w:r>
      <w:r/>
    </w:p>
    <w:p>
      <w:pPr>
        <w:pStyle w:val="757"/>
        <w:ind w:firstLine="426"/>
        <w:spacing w:line="360" w:lineRule="auto"/>
        <w:rPr>
          <w:rFonts w:ascii="宋体" w:hAnsi="宋体"/>
          <w:b/>
          <w:szCs w:val="21"/>
        </w:rPr>
      </w:pPr>
      <w:r>
        <w:rPr>
          <w:rFonts w:hint="eastAsia" w:ascii="宋体" w:hAnsi="宋体"/>
          <w:b/>
          <w:szCs w:val="21"/>
        </w:rPr>
        <w:t xml:space="preserve">5、投标</w:t>
      </w:r>
      <w:r>
        <w:rPr>
          <w:rFonts w:ascii="宋体" w:hAnsi="宋体"/>
          <w:b/>
          <w:szCs w:val="21"/>
        </w:rPr>
      </w:r>
      <w:r/>
    </w:p>
    <w:p>
      <w:pPr>
        <w:pStyle w:val="757"/>
        <w:ind w:right="-252"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、投标人如需要，可对有关现场和周围环境进行勘察，以获取编制投标文件和签署合同所需的资料。勘察现场所发生的费用由投标人自己承担。</w:t>
      </w:r>
      <w:r>
        <w:rPr>
          <w:rFonts w:ascii="宋体" w:hAnsi="宋体"/>
          <w:szCs w:val="21"/>
        </w:rPr>
      </w:r>
      <w:r/>
    </w:p>
    <w:p>
      <w:pPr>
        <w:pStyle w:val="779"/>
        <w:ind w:right="-252" w:firstLine="424"/>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w:t>
      </w:r>
      <w:r>
        <w:rPr>
          <w:rFonts w:hint="eastAsia" w:ascii="宋体" w:hAnsi="宋体" w:eastAsia="宋体"/>
          <w:sz w:val="21"/>
          <w:szCs w:val="21"/>
        </w:rPr>
        <w:t xml:space="preserve">、招标人向投标人提供的有关现场的资料和数据，是招标人现有的能使投标人利用的资料，招标人对投标人由此而做出的推论、理解和结论概不负责。</w:t>
      </w:r>
      <w:r>
        <w:rPr>
          <w:rFonts w:ascii="宋体" w:hAnsi="宋体" w:eastAsia="宋体"/>
          <w:sz w:val="21"/>
          <w:szCs w:val="21"/>
        </w:rPr>
      </w:r>
      <w:r/>
    </w:p>
    <w:p>
      <w:pPr>
        <w:pStyle w:val="779"/>
        <w:jc w:val="both"/>
        <w:spacing w:line="360" w:lineRule="auto"/>
        <w:rPr>
          <w:rFonts w:hint="eastAsia" w:ascii="宋体" w:hAnsi="宋体" w:eastAsia="宋体"/>
          <w:sz w:val="21"/>
          <w:szCs w:val="21"/>
        </w:rPr>
      </w:pPr>
      <w:r>
        <w:rPr>
          <w:rFonts w:hint="eastAsia" w:ascii="宋体" w:hAnsi="宋体" w:eastAsia="宋体"/>
          <w:sz w:val="21"/>
          <w:szCs w:val="21"/>
        </w:rPr>
        <w:t xml:space="preserve">5.3、投标答疑会产生的对招标文件内容的修改，由招标人按照规定，以补充通知的方式发布。</w:t>
      </w:r>
      <w:r>
        <w:rPr>
          <w:rFonts w:hint="eastAsia" w:ascii="宋体" w:hAnsi="宋体" w:eastAsia="宋体"/>
          <w:sz w:val="21"/>
          <w:szCs w:val="21"/>
        </w:rPr>
      </w:r>
      <w:r/>
    </w:p>
    <w:p>
      <w:pPr>
        <w:pStyle w:val="757"/>
        <w:ind w:firstLine="420"/>
        <w:spacing w:line="360" w:lineRule="auto"/>
        <w:rPr>
          <w:rFonts w:hint="eastAsia" w:ascii="宋体" w:hAnsi="宋体"/>
          <w:szCs w:val="21"/>
        </w:rPr>
      </w:pPr>
      <w:r>
        <w:rPr>
          <w:rFonts w:hint="eastAsia" w:ascii="宋体" w:hAnsi="宋体"/>
          <w:szCs w:val="21"/>
        </w:rPr>
        <w:t xml:space="preserve">5.4、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szCs w:val="21"/>
        </w:rPr>
      </w:r>
      <w:r/>
    </w:p>
    <w:p>
      <w:pPr>
        <w:pStyle w:val="757"/>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757"/>
        <w:ind w:firstLine="413"/>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779"/>
        <w:jc w:val="both"/>
        <w:spacing w:line="360" w:lineRule="auto"/>
        <w:rPr>
          <w:rFonts w:hint="eastAsia"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rPr>
          <w:rFonts w:hint="eastAsia" w:ascii="宋体" w:hAnsi="宋体" w:eastAsia="宋体"/>
          <w:sz w:val="21"/>
          <w:szCs w:val="21"/>
        </w:rPr>
      </w:r>
      <w:r/>
    </w:p>
    <w:p>
      <w:pPr>
        <w:pStyle w:val="757"/>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szCs w:val="21"/>
        </w:rPr>
      </w:r>
      <w:r/>
    </w:p>
    <w:p>
      <w:pPr>
        <w:pStyle w:val="757"/>
        <w:ind w:firstLine="413"/>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、投标文件的组成和顺序</w:t>
      </w:r>
      <w:r>
        <w:rPr>
          <w:rFonts w:hint="eastAsia" w:ascii="宋体" w:hAnsi="宋体"/>
          <w:b/>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2.1封面</w:t>
      </w:r>
      <w:r>
        <w:rPr>
          <w:rFonts w:hint="eastAsia" w:ascii="宋体" w:hAnsi="宋体" w:cs="宋体"/>
          <w:b/>
          <w:bCs/>
          <w:color w:val="000000"/>
          <w:szCs w:val="21"/>
        </w:rPr>
        <w:t xml:space="preserve">（格式自拟，至少标明项目名称、项目编号、投标供应商名称）</w:t>
      </w:r>
      <w:r>
        <w:rPr>
          <w:rFonts w:hint="eastAsia"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2.2</w:t>
      </w:r>
      <w:r>
        <w:rPr>
          <w:rFonts w:ascii="宋体" w:hAnsi="宋体"/>
          <w:szCs w:val="21"/>
        </w:rPr>
        <w:t xml:space="preserve"> </w:t>
      </w:r>
      <w:r>
        <w:rPr>
          <w:rFonts w:hint="eastAsia" w:ascii="宋体" w:hAnsi="宋体"/>
          <w:szCs w:val="21"/>
        </w:rPr>
        <w:t xml:space="preserve">基本目录</w:t>
      </w:r>
      <w:r>
        <w:rPr>
          <w:rFonts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2.3开标一览表；</w:t>
      </w:r>
      <w:r>
        <w:rPr>
          <w:rFonts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2.4公开分项报价；</w:t>
      </w:r>
      <w:r>
        <w:rPr>
          <w:rFonts w:hint="eastAsia" w:ascii="宋体" w:hAnsi="宋体"/>
          <w:szCs w:val="21"/>
        </w:rPr>
      </w:r>
      <w:r/>
    </w:p>
    <w:p>
      <w:pPr>
        <w:pStyle w:val="757"/>
        <w:ind w:right="-252" w:firstLine="422"/>
        <w:spacing w:line="360" w:lineRule="auto"/>
        <w:rPr>
          <w:rFonts w:ascii="宋体" w:hAnsi="宋体"/>
          <w:b/>
          <w:color w:val="000000"/>
          <w:szCs w:val="21"/>
        </w:rPr>
      </w:pPr>
      <w:r>
        <w:rPr>
          <w:rFonts w:hint="eastAsia" w:ascii="宋体" w:hAnsi="宋体"/>
          <w:b/>
          <w:color w:val="000000"/>
          <w:szCs w:val="21"/>
        </w:rPr>
        <w:t xml:space="preserve">2.5资格证明文件：</w:t>
      </w:r>
      <w:r>
        <w:rPr>
          <w:rFonts w:ascii="宋体" w:hAnsi="宋体"/>
          <w:b/>
          <w:color w:val="000000"/>
          <w:szCs w:val="21"/>
        </w:rPr>
      </w:r>
      <w:r/>
    </w:p>
    <w:p>
      <w:pPr>
        <w:pStyle w:val="757"/>
        <w:ind w:right="-252" w:firstLine="422"/>
        <w:spacing w:line="360" w:lineRule="auto"/>
        <w:rPr>
          <w:rFonts w:ascii="宋体" w:hAnsi="宋体"/>
          <w:b/>
          <w:color w:val="000000"/>
          <w:szCs w:val="21"/>
        </w:rPr>
      </w:pPr>
      <w:r>
        <w:rPr>
          <w:rFonts w:hint="eastAsia" w:ascii="宋体" w:hAnsi="宋体"/>
          <w:b/>
          <w:color w:val="000000"/>
          <w:szCs w:val="21"/>
        </w:rPr>
        <w:t xml:space="preserve">投标人满足《中华人民共和国政府采购法》第二十二条规定</w:t>
      </w:r>
      <w:r>
        <w:rPr>
          <w:rFonts w:ascii="宋体" w:hAnsi="宋体"/>
          <w:b/>
          <w:color w:val="000000"/>
          <w:szCs w:val="21"/>
        </w:rPr>
      </w:r>
      <w:r/>
    </w:p>
    <w:p>
      <w:pPr>
        <w:pStyle w:val="757"/>
        <w:ind w:right="-252" w:firstLine="420"/>
        <w:spacing w:line="360" w:lineRule="auto"/>
        <w:rPr>
          <w:rFonts w:ascii="宋体" w:hAnsi="宋体"/>
          <w:szCs w:val="21"/>
        </w:rPr>
      </w:pPr>
      <w:r>
        <w:rPr>
          <w:rFonts w:hint="eastAsia" w:ascii="宋体" w:hAnsi="宋体"/>
          <w:szCs w:val="21"/>
        </w:rPr>
        <w:t xml:space="preserve">2.5.1</w:t>
      </w:r>
      <w:bookmarkStart w:id="14" w:name="OLE_LINK10"/>
      <w:r/>
      <w:bookmarkStart w:id="15" w:name="OLE_LINK9"/>
      <w:r>
        <w:rPr>
          <w:rFonts w:hint="eastAsia" w:ascii="宋体" w:hAnsi="宋体"/>
          <w:szCs w:val="21"/>
        </w:rPr>
        <w:t xml:space="preserve">具有独立承担民事责任的能力</w:t>
      </w:r>
      <w:bookmarkEnd w:id="14"/>
      <w:r/>
      <w:bookmarkEnd w:id="15"/>
      <w:r>
        <w:rPr>
          <w:rFonts w:hint="eastAsia" w:ascii="宋体" w:hAnsi="宋体"/>
          <w:szCs w:val="21"/>
        </w:rPr>
        <w:t xml:space="preserve">（</w:t>
      </w:r>
      <w:bookmarkStart w:id="16" w:name="OLE_LINK50"/>
      <w:r/>
      <w:bookmarkStart w:id="17" w:name="OLE_LINK51"/>
      <w:r>
        <w:rPr>
          <w:rFonts w:hint="eastAsia" w:ascii="宋体" w:hAnsi="宋体"/>
          <w:szCs w:val="21"/>
        </w:rPr>
        <w:t xml:space="preserve">提供法人或者其他组织的营业执照等证明文件、自然人的身份证明</w:t>
      </w:r>
      <w:bookmarkEnd w:id="16"/>
      <w:r/>
      <w:bookmarkEnd w:id="17"/>
      <w:r>
        <w:rPr>
          <w:rFonts w:hint="eastAsia" w:ascii="宋体" w:hAnsi="宋体"/>
          <w:szCs w:val="21"/>
        </w:rPr>
        <w:t xml:space="preserve">）；</w:t>
      </w:r>
      <w:r>
        <w:rPr>
          <w:rFonts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2.5.2</w:t>
      </w:r>
      <w:bookmarkStart w:id="18" w:name="OLE_LINK12"/>
      <w:r/>
      <w:bookmarkStart w:id="19" w:name="OLE_LINK11"/>
      <w:r>
        <w:rPr>
          <w:rFonts w:hint="eastAsia" w:ascii="宋体" w:hAnsi="宋体"/>
          <w:szCs w:val="21"/>
        </w:rPr>
        <w:t xml:space="preserve">具有良好的商业信誉和健全的财务会计制度</w:t>
      </w:r>
      <w:bookmarkEnd w:id="18"/>
      <w:r/>
      <w:bookmarkEnd w:id="19"/>
      <w:r>
        <w:rPr>
          <w:rFonts w:hint="eastAsia" w:ascii="宋体" w:hAnsi="宋体"/>
          <w:szCs w:val="21"/>
        </w:rPr>
        <w:t xml:space="preserve">（格式见投标承诺函或提供相应证明材料）；</w:t>
      </w:r>
      <w:r>
        <w:rPr>
          <w:rFonts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2.5.3</w:t>
      </w:r>
      <w:bookmarkStart w:id="20" w:name="OLE_LINK13"/>
      <w:r/>
      <w:bookmarkStart w:id="21" w:name="OLE_LINK14"/>
      <w:r>
        <w:rPr>
          <w:rFonts w:hint="eastAsia" w:ascii="宋体" w:hAnsi="宋体"/>
          <w:szCs w:val="21"/>
        </w:rPr>
        <w:t xml:space="preserve">具有履行合同所必需的设备和专业技术能力</w:t>
      </w:r>
      <w:bookmarkEnd w:id="20"/>
      <w:r/>
      <w:bookmarkEnd w:id="21"/>
      <w:r>
        <w:rPr>
          <w:rFonts w:hint="eastAsia" w:ascii="宋体" w:hAnsi="宋体"/>
          <w:szCs w:val="21"/>
        </w:rPr>
        <w:t xml:space="preserve">（格式见投标承诺函或提供相应证明材料）；</w:t>
      </w:r>
      <w:r>
        <w:rPr>
          <w:rFonts w:ascii="宋体" w:hAnsi="宋体"/>
          <w:szCs w:val="21"/>
        </w:rPr>
      </w:r>
      <w:r/>
    </w:p>
    <w:p>
      <w:pPr>
        <w:pStyle w:val="757"/>
        <w:ind w:right="-252" w:firstLine="420"/>
        <w:spacing w:line="360" w:lineRule="auto"/>
        <w:rPr>
          <w:rFonts w:ascii="宋体" w:hAnsi="宋体"/>
          <w:szCs w:val="21"/>
        </w:rPr>
      </w:pPr>
      <w:r>
        <w:rPr>
          <w:rFonts w:hint="eastAsia" w:ascii="宋体" w:hAnsi="宋体"/>
          <w:szCs w:val="21"/>
        </w:rPr>
        <w:t xml:space="preserve">2.5.4</w:t>
      </w:r>
      <w:bookmarkStart w:id="22" w:name="OLE_LINK17"/>
      <w:r/>
      <w:bookmarkStart w:id="23" w:name="OLE_LINK16"/>
      <w:r>
        <w:rPr>
          <w:rFonts w:hint="eastAsia" w:ascii="宋体" w:hAnsi="宋体"/>
          <w:szCs w:val="21"/>
        </w:rPr>
        <w:t xml:space="preserve">具有依法缴纳税收和社会保障资金的良好记录</w:t>
      </w:r>
      <w:bookmarkEnd w:id="22"/>
      <w:r/>
      <w:bookmarkEnd w:id="23"/>
      <w:r>
        <w:rPr>
          <w:rFonts w:hint="eastAsia" w:ascii="宋体" w:hAnsi="宋体"/>
          <w:szCs w:val="21"/>
        </w:rPr>
        <w:t xml:space="preserve">（格式见投标承诺函或提供相应证明材料）；</w:t>
      </w:r>
      <w:r>
        <w:rPr>
          <w:rFonts w:ascii="宋体" w:hAnsi="宋体"/>
          <w:szCs w:val="21"/>
        </w:rPr>
      </w:r>
      <w:r/>
    </w:p>
    <w:p>
      <w:pPr>
        <w:pStyle w:val="757"/>
        <w:ind w:right="-252" w:firstLine="420"/>
        <w:spacing w:line="360" w:lineRule="auto"/>
        <w:rPr>
          <w:rFonts w:hint="eastAsia" w:ascii="宋体" w:hAnsi="宋体"/>
          <w:szCs w:val="21"/>
        </w:rPr>
      </w:pPr>
      <w:r>
        <w:rPr>
          <w:rFonts w:hint="eastAsia" w:ascii="宋体" w:hAnsi="宋体"/>
          <w:szCs w:val="21"/>
        </w:rPr>
        <w:t xml:space="preserve">2.5.5参加政府采购活动前三年内，在经营活动中没有重大违法记录（格式见投标承诺函或提供相应证明材料）；</w:t>
      </w:r>
      <w:r>
        <w:rPr>
          <w:rFonts w:hint="eastAsia" w:ascii="宋体" w:hAnsi="宋体"/>
          <w:szCs w:val="21"/>
        </w:rPr>
      </w:r>
      <w:r/>
    </w:p>
    <w:p>
      <w:pPr>
        <w:pStyle w:val="757"/>
        <w:ind w:firstLine="420"/>
        <w:spacing w:line="360" w:lineRule="auto"/>
        <w:rPr>
          <w:rFonts w:ascii="宋体" w:hAnsi="宋体"/>
          <w:b/>
          <w:color w:val="ff0000"/>
          <w:szCs w:val="21"/>
        </w:rPr>
      </w:pPr>
      <w:r>
        <w:rPr>
          <w:rFonts w:hint="eastAsia" w:ascii="宋体" w:hAnsi="宋体"/>
          <w:b/>
          <w:color w:val="000000"/>
          <w:szCs w:val="21"/>
        </w:rPr>
        <w:t xml:space="preserve">2.6</w:t>
      </w:r>
      <w:r>
        <w:rPr>
          <w:rFonts w:ascii="宋体" w:hAnsi="宋体"/>
          <w:b/>
          <w:color w:val="000000"/>
          <w:szCs w:val="21"/>
        </w:rPr>
        <w:t xml:space="preserve">供应商符合相关扶持政策的证明材料</w:t>
      </w:r>
      <w:r>
        <w:rPr>
          <w:rFonts w:hint="eastAsia" w:ascii="宋体" w:hAnsi="宋体"/>
          <w:b/>
          <w:color w:val="000000"/>
          <w:szCs w:val="21"/>
        </w:rPr>
        <w:t xml:space="preserve">：</w:t>
      </w:r>
      <w:r>
        <w:rPr>
          <w:rFonts w:ascii="宋体" w:hAnsi="宋体"/>
          <w:b/>
          <w:color w:val="ff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落实政府采购政策需满足的资格条件，则必须按要求提供以下材料中的至少一份，否则将被认定为资格审查不合格：</w:t>
      </w:r>
      <w:r>
        <w:rPr>
          <w:rFonts w:ascii="宋体" w:hAnsi="宋体"/>
          <w:color w:val="000000"/>
          <w:szCs w:val="21"/>
        </w:rPr>
      </w:r>
      <w:r/>
    </w:p>
    <w:p>
      <w:pPr>
        <w:pStyle w:val="757"/>
        <w:ind w:firstLine="420"/>
        <w:spacing w:line="360" w:lineRule="auto"/>
        <w:rPr>
          <w:rFonts w:ascii="宋体" w:hAnsi="宋体"/>
          <w:color w:val="000000"/>
          <w:szCs w:val="21"/>
        </w:rPr>
      </w:pPr>
      <w:r>
        <w:rPr>
          <w:rFonts w:ascii="宋体" w:hAnsi="宋体"/>
          <w:color w:val="000000"/>
          <w:szCs w:val="21"/>
        </w:rPr>
        <w:t xml:space="preserve">中小企业声明函；</w:t>
      </w:r>
      <w:r>
        <w:rPr>
          <w:rFonts w:ascii="宋体" w:hAnsi="宋体"/>
          <w:color w:val="000000"/>
          <w:szCs w:val="21"/>
        </w:rPr>
      </w:r>
      <w:r/>
    </w:p>
    <w:p>
      <w:pPr>
        <w:pStyle w:val="757"/>
        <w:ind w:firstLine="420"/>
        <w:spacing w:line="360" w:lineRule="auto"/>
        <w:rPr>
          <w:rFonts w:ascii="宋体" w:hAnsi="宋体"/>
          <w:color w:val="000000"/>
          <w:szCs w:val="21"/>
        </w:rPr>
      </w:pPr>
      <w:r>
        <w:rPr>
          <w:rFonts w:ascii="宋体" w:hAnsi="宋体"/>
          <w:color w:val="000000"/>
          <w:szCs w:val="21"/>
        </w:rPr>
        <w:t xml:space="preserve">残疾人福利性单位声明函；</w:t>
      </w:r>
      <w:r>
        <w:rPr>
          <w:rFonts w:ascii="宋体" w:hAnsi="宋体"/>
          <w:color w:val="000000"/>
          <w:szCs w:val="21"/>
        </w:rPr>
      </w:r>
      <w:r/>
    </w:p>
    <w:p>
      <w:pPr>
        <w:pStyle w:val="757"/>
        <w:ind w:firstLine="420"/>
        <w:spacing w:line="360" w:lineRule="auto"/>
        <w:rPr>
          <w:rFonts w:hint="eastAsia" w:ascii="宋体" w:hAnsi="宋体"/>
          <w:color w:val="000000"/>
          <w:szCs w:val="21"/>
        </w:rPr>
      </w:pPr>
      <w:r>
        <w:rPr>
          <w:rFonts w:ascii="宋体" w:hAnsi="宋体"/>
          <w:color w:val="000000"/>
          <w:szCs w:val="21"/>
        </w:rPr>
        <w:t xml:space="preserve">监狱企业证明文件；</w:t>
      </w:r>
      <w:r>
        <w:rPr>
          <w:rFonts w:hint="eastAsia" w:ascii="宋体" w:hAnsi="宋体"/>
          <w:color w:val="000000"/>
          <w:szCs w:val="21"/>
        </w:rPr>
      </w:r>
      <w:r/>
    </w:p>
    <w:p>
      <w:pPr>
        <w:pStyle w:val="757"/>
        <w:ind w:firstLine="422"/>
        <w:spacing w:line="360" w:lineRule="auto"/>
        <w:rPr>
          <w:rFonts w:hint="eastAsia" w:ascii="Tahoma" w:hAnsi="Tahoma"/>
          <w:b/>
          <w:color w:val="000000"/>
        </w:rPr>
      </w:pPr>
      <w:r>
        <w:rPr>
          <w:rFonts w:hint="eastAsia" w:ascii="宋体" w:hAnsi="宋体"/>
          <w:b/>
          <w:color w:val="000000"/>
          <w:szCs w:val="21"/>
        </w:rPr>
        <w:t xml:space="preserve">2.7</w:t>
      </w:r>
      <w:r>
        <w:rPr>
          <w:rFonts w:hint="eastAsia" w:ascii="Tahoma" w:hAnsi="Tahoma"/>
          <w:b/>
          <w:color w:val="000000"/>
        </w:rPr>
        <w:t xml:space="preserve">特殊条件：无。</w:t>
      </w:r>
      <w:r>
        <w:rPr>
          <w:rFonts w:hint="eastAsia" w:ascii="Tahoma" w:hAnsi="Tahoma"/>
          <w:b/>
          <w:color w:val="000000"/>
        </w:rPr>
      </w:r>
      <w:r/>
    </w:p>
    <w:p>
      <w:pPr>
        <w:pStyle w:val="757"/>
        <w:ind w:firstLine="422"/>
        <w:spacing w:line="360" w:lineRule="auto"/>
        <w:rPr>
          <w:rFonts w:hint="eastAsia" w:ascii="宋体" w:hAnsi="宋体"/>
          <w:b/>
          <w:color w:val="000000"/>
          <w:szCs w:val="21"/>
        </w:rPr>
      </w:pPr>
      <w:r>
        <w:rPr>
          <w:rFonts w:hint="eastAsia" w:ascii="宋体" w:hAnsi="宋体"/>
          <w:b/>
          <w:color w:val="000000"/>
          <w:szCs w:val="21"/>
        </w:rPr>
        <w:t xml:space="preserve">2.8符合性审查：</w:t>
      </w:r>
      <w:r>
        <w:rPr>
          <w:rFonts w:hint="eastAsia" w:ascii="宋体" w:hAnsi="宋体"/>
          <w:b/>
          <w:color w:val="000000"/>
          <w:szCs w:val="21"/>
        </w:rPr>
      </w:r>
      <w:r/>
    </w:p>
    <w:p>
      <w:pPr>
        <w:pStyle w:val="757"/>
        <w:ind w:right="-252" w:firstLine="420"/>
        <w:spacing w:line="360" w:lineRule="auto"/>
        <w:rPr>
          <w:rFonts w:hint="eastAsia" w:ascii="宋体" w:hAnsi="宋体"/>
          <w:color w:val="000000"/>
          <w:szCs w:val="21"/>
        </w:rPr>
      </w:pPr>
      <w:r>
        <w:rPr>
          <w:rFonts w:hint="eastAsia" w:ascii="宋体" w:hAnsi="宋体"/>
          <w:color w:val="000000"/>
          <w:szCs w:val="21"/>
        </w:rPr>
        <w:t xml:space="preserve">2.8.1投标单位情况表；</w:t>
      </w:r>
      <w:r>
        <w:rPr>
          <w:rFonts w:hint="eastAsia" w:ascii="宋体" w:hAnsi="宋体"/>
          <w:color w:val="000000"/>
          <w:szCs w:val="21"/>
        </w:rPr>
      </w:r>
      <w:r/>
    </w:p>
    <w:p>
      <w:pPr>
        <w:pStyle w:val="757"/>
        <w:ind w:right="-252" w:firstLine="420"/>
        <w:spacing w:line="360" w:lineRule="auto"/>
        <w:rPr>
          <w:rFonts w:hint="eastAsia" w:ascii="宋体" w:hAnsi="宋体"/>
          <w:color w:val="000000"/>
          <w:szCs w:val="21"/>
        </w:rPr>
      </w:pPr>
      <w:r>
        <w:rPr>
          <w:rFonts w:hint="eastAsia" w:ascii="宋体" w:hAnsi="宋体"/>
          <w:color w:val="000000"/>
          <w:szCs w:val="21"/>
        </w:rPr>
        <w:t xml:space="preserve">2.8.2关于资格文件的声明函；</w:t>
      </w:r>
      <w:r>
        <w:rPr>
          <w:rFonts w:hint="eastAsia"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2.8.3投标承诺函；</w:t>
      </w:r>
      <w:r>
        <w:rPr>
          <w:rFonts w:ascii="宋体" w:hAnsi="宋体"/>
          <w:color w:val="000000"/>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2.8.4</w:t>
      </w:r>
      <w:bookmarkStart w:id="24" w:name="OLE_LINK48"/>
      <w:r/>
      <w:bookmarkStart w:id="25" w:name="OLE_LINK49"/>
      <w:r>
        <w:rPr>
          <w:rFonts w:hint="eastAsia" w:ascii="宋体" w:hAnsi="宋体"/>
          <w:color w:val="000000"/>
          <w:szCs w:val="21"/>
        </w:rPr>
        <w:t xml:space="preserve">偏离表</w:t>
      </w:r>
      <w:bookmarkEnd w:id="24"/>
      <w:r/>
      <w:bookmarkEnd w:id="25"/>
      <w:r>
        <w:rPr>
          <w:rFonts w:hint="eastAsia" w:ascii="宋体" w:hAnsi="宋体"/>
          <w:color w:val="000000"/>
          <w:szCs w:val="21"/>
        </w:rPr>
        <w:t xml:space="preserve">（技术、商务）；</w:t>
      </w:r>
      <w:r>
        <w:rPr>
          <w:rFonts w:hint="eastAsia" w:ascii="宋体" w:hAnsi="宋体"/>
          <w:color w:val="000000"/>
          <w:szCs w:val="21"/>
        </w:rPr>
      </w:r>
      <w:r/>
    </w:p>
    <w:p>
      <w:pPr>
        <w:pStyle w:val="757"/>
        <w:ind w:firstLine="420"/>
        <w:spacing w:line="360" w:lineRule="auto"/>
        <w:rPr>
          <w:rFonts w:ascii="宋体" w:hAnsi="宋体"/>
          <w:color w:val="000000"/>
          <w:szCs w:val="21"/>
        </w:rPr>
      </w:pPr>
      <w:r/>
      <w:bookmarkStart w:id="26" w:name="_Hlk160091709"/>
      <w:r>
        <w:rPr>
          <w:rFonts w:hint="eastAsia" w:ascii="宋体" w:hAnsi="宋体"/>
          <w:color w:val="000000"/>
          <w:szCs w:val="21"/>
        </w:rPr>
        <w:t xml:space="preserve">2.8.5</w:t>
      </w:r>
      <w:bookmarkStart w:id="27" w:name="_Hlk182915693"/>
      <w:r>
        <w:rPr>
          <w:rFonts w:ascii="宋体" w:hAnsi="宋体"/>
          <w:color w:val="000000"/>
          <w:szCs w:val="21"/>
        </w:rPr>
        <w:t xml:space="preserve">法定代表人授权委托书</w:t>
      </w:r>
      <w:bookmarkEnd w:id="27"/>
      <w:r>
        <w:rPr>
          <w:rFonts w:ascii="宋体" w:hAnsi="宋体"/>
          <w:color w:val="000000"/>
          <w:szCs w:val="21"/>
        </w:rPr>
        <w:t xml:space="preserve">（如有授权，必须提供）</w:t>
      </w:r>
      <w:bookmarkEnd w:id="26"/>
      <w:r>
        <w:rPr>
          <w:rFonts w:hint="eastAsia" w:ascii="宋体" w:hAnsi="宋体"/>
          <w:color w:val="000000"/>
          <w:szCs w:val="21"/>
        </w:rPr>
        <w:t xml:space="preserve">；</w:t>
      </w:r>
      <w:r>
        <w:rPr>
          <w:rFonts w:ascii="宋体" w:hAnsi="宋体"/>
          <w:color w:val="000000"/>
          <w:szCs w:val="21"/>
        </w:rPr>
      </w:r>
      <w:r/>
    </w:p>
    <w:p>
      <w:pPr>
        <w:pStyle w:val="757"/>
        <w:numPr>
          <w:ilvl w:val="1"/>
          <w:numId w:val="14"/>
        </w:numPr>
        <w:spacing w:line="360" w:lineRule="auto"/>
        <w:tabs>
          <w:tab w:val="left" w:pos="360" w:leader="none"/>
        </w:tabs>
        <w:rPr>
          <w:rFonts w:ascii="宋体" w:hAnsi="宋体" w:cs="Arial"/>
          <w:b/>
          <w:szCs w:val="21"/>
        </w:rPr>
      </w:pPr>
      <w:r>
        <w:rPr>
          <w:rFonts w:hint="eastAsia" w:ascii="宋体" w:hAnsi="宋体" w:cs="Arial"/>
          <w:b/>
          <w:szCs w:val="21"/>
        </w:rPr>
        <w:t xml:space="preserve">2.9综合评审评分项：</w:t>
      </w:r>
      <w:r>
        <w:rPr>
          <w:rFonts w:ascii="宋体" w:hAnsi="宋体" w:cs="Arial"/>
          <w:b/>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1、技术评审所需的相关证明材料</w:t>
      </w:r>
      <w:r>
        <w:rPr>
          <w:rFonts w:hint="eastAsia" w:ascii="宋体" w:hAnsi="宋体" w:cs="Arial"/>
          <w:szCs w:val="21"/>
        </w:rPr>
        <w:t xml:space="preserve">（技术方案、人员配置、业绩等）</w:t>
      </w:r>
      <w:r>
        <w:rPr>
          <w:rFonts w:hint="eastAsia" w:ascii="宋体" w:hAnsi="宋体"/>
          <w:color w:val="000000"/>
          <w:szCs w:val="21"/>
        </w:rPr>
        <w:t xml:space="preserve">；</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综上：</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olor w:val="000000"/>
          <w:szCs w:val="21"/>
        </w:rPr>
      </w:r>
      <w:r/>
    </w:p>
    <w:p>
      <w:pPr>
        <w:pStyle w:val="757"/>
        <w:ind w:firstLine="413"/>
        <w:spacing w:line="360" w:lineRule="auto"/>
        <w:rPr>
          <w:rFonts w:hint="eastAsia" w:ascii="宋体" w:hAnsi="宋体"/>
          <w:b/>
          <w:szCs w:val="21"/>
        </w:rPr>
      </w:pPr>
      <w:r>
        <w:rPr>
          <w:rFonts w:hint="eastAsia" w:ascii="宋体" w:hAnsi="宋体"/>
          <w:b/>
          <w:szCs w:val="21"/>
        </w:rPr>
        <w:t xml:space="preserve">3、投标文件编制说明</w:t>
      </w:r>
      <w:r>
        <w:rPr>
          <w:rFonts w:hint="eastAsia" w:ascii="宋体" w:hAnsi="宋体"/>
          <w:b/>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3.1、对本次投标的详细说明由投标人视各自的情况自行编制。</w:t>
      </w:r>
      <w:r>
        <w:rPr>
          <w:rFonts w:hint="eastAsia" w:ascii="宋体" w:hAnsi="宋体"/>
          <w:color w:val="000000"/>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3.2、对本次投标的详细说明可以包含(但不限于)以下内容：</w:t>
      </w:r>
      <w:r>
        <w:rPr>
          <w:rFonts w:hint="eastAsia" w:ascii="宋体" w:hAnsi="宋体"/>
          <w:color w:val="000000"/>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3.2.1 投标人提出的合理化建议；</w:t>
      </w:r>
      <w:r>
        <w:rPr>
          <w:rFonts w:hint="eastAsia"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3.2.2 技术服务和售后服务的内容及措施。</w:t>
      </w:r>
      <w:r>
        <w:rPr>
          <w:rFonts w:ascii="宋体" w:hAnsi="宋体"/>
          <w:color w:val="000000"/>
          <w:szCs w:val="21"/>
        </w:rPr>
      </w:r>
      <w:r/>
    </w:p>
    <w:p>
      <w:pPr>
        <w:pStyle w:val="757"/>
        <w:ind w:firstLine="411"/>
        <w:spacing w:line="360" w:lineRule="auto"/>
        <w:rPr>
          <w:rFonts w:ascii="宋体" w:hAnsi="宋体"/>
          <w:b/>
          <w:szCs w:val="21"/>
        </w:rPr>
      </w:pPr>
      <w:r>
        <w:rPr>
          <w:rFonts w:hint="eastAsia" w:ascii="宋体" w:hAnsi="宋体"/>
          <w:b/>
          <w:szCs w:val="21"/>
        </w:rPr>
        <w:t xml:space="preserve">4、投标报价</w:t>
      </w:r>
      <w:r>
        <w:rPr>
          <w:rFonts w:ascii="宋体" w:hAnsi="宋体"/>
          <w:b/>
          <w:szCs w:val="21"/>
        </w:rPr>
      </w:r>
      <w:r/>
    </w:p>
    <w:p>
      <w:pPr>
        <w:pStyle w:val="779"/>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、除非合同中另有规定，投标人对《投标报价表》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中的全部货物和服务的报价应包括</w:t>
      </w:r>
      <w:r>
        <w:rPr>
          <w:rFonts w:ascii="宋体" w:hAnsi="宋体" w:eastAsia="宋体"/>
          <w:sz w:val="21"/>
          <w:szCs w:val="21"/>
        </w:rPr>
        <w:t xml:space="preserve">完成该项工作所需的人工费（含奖金、社会保障金、加班费等）、</w:t>
      </w:r>
      <w:r>
        <w:rPr>
          <w:rFonts w:hint="eastAsia" w:ascii="宋体" w:hAnsi="宋体" w:eastAsia="宋体"/>
          <w:sz w:val="21"/>
          <w:szCs w:val="21"/>
        </w:rPr>
        <w:t xml:space="preserve">材料、</w:t>
      </w:r>
      <w:r>
        <w:rPr>
          <w:rFonts w:ascii="宋体" w:hAnsi="宋体" w:eastAsia="宋体"/>
          <w:sz w:val="21"/>
          <w:szCs w:val="21"/>
        </w:rPr>
        <w:t xml:space="preserve">日常维修费、工具费、服装、胸卡等和其它在管理过程中发生的一切费用，还包括耗材、劳保、各种税费及政策性文件规定及合同包含的所有风险、责任等各项应有费用</w:t>
      </w:r>
      <w:r>
        <w:rPr>
          <w:rFonts w:hint="eastAsia" w:ascii="宋体" w:hAnsi="宋体" w:eastAsia="宋体"/>
          <w:sz w:val="21"/>
          <w:szCs w:val="21"/>
        </w:rPr>
        <w:t xml:space="preserve">。</w:t>
      </w:r>
      <w:r>
        <w:rPr>
          <w:rFonts w:hint="eastAsia" w:ascii="宋体" w:hAnsi="宋体" w:eastAsia="宋体"/>
          <w:sz w:val="21"/>
          <w:szCs w:val="21"/>
        </w:rPr>
      </w:r>
      <w:r/>
    </w:p>
    <w:p>
      <w:pPr>
        <w:pStyle w:val="77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.2</w:t>
      </w:r>
      <w:r>
        <w:rPr>
          <w:rFonts w:hint="eastAsia" w:ascii="宋体" w:hAnsi="宋体" w:eastAsia="宋体"/>
          <w:sz w:val="21"/>
          <w:szCs w:val="21"/>
        </w:rPr>
        <w:t xml:space="preserve">、投标人应按《投标报价表》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中的全部货物和服务计算单价和总价。《投标报价表》</w:t>
      </w:r>
      <w:r>
        <w:rPr>
          <w:rFonts w:ascii="宋体" w:hAnsi="宋体" w:eastAsia="宋体"/>
          <w:sz w:val="21"/>
          <w:szCs w:val="21"/>
        </w:rPr>
        <w:t xml:space="preserve"> </w:t>
      </w:r>
      <w:r>
        <w:rPr>
          <w:rFonts w:hint="eastAsia" w:ascii="宋体" w:hAnsi="宋体" w:eastAsia="宋体"/>
          <w:sz w:val="21"/>
          <w:szCs w:val="21"/>
        </w:rPr>
        <w:t xml:space="preserve">中的每一单项均应计算并填写单价和总价，并由法定代表人或授权委托人签署。</w:t>
      </w:r>
      <w:r>
        <w:rPr>
          <w:rFonts w:ascii="宋体" w:hAnsi="宋体" w:eastAsia="宋体"/>
          <w:sz w:val="21"/>
          <w:szCs w:val="21"/>
        </w:rPr>
      </w:r>
      <w:r/>
    </w:p>
    <w:p>
      <w:pPr>
        <w:pStyle w:val="779"/>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b/>
          <w:sz w:val="21"/>
          <w:szCs w:val="21"/>
        </w:rPr>
        <w:t xml:space="preserve">投标人应对招标文件内所要采购的全部内容进行报价，只投其中部分内容者，其标书将被拒绝。</w:t>
      </w:r>
      <w:r>
        <w:rPr>
          <w:rFonts w:ascii="宋体" w:hAnsi="宋体" w:eastAsia="宋体"/>
          <w:dstrike/>
          <w:sz w:val="21"/>
          <w:szCs w:val="21"/>
        </w:rPr>
      </w:r>
      <w:r/>
    </w:p>
    <w:p>
      <w:pPr>
        <w:pStyle w:val="779"/>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rPr>
          <w:rFonts w:ascii="宋体" w:hAnsi="宋体" w:eastAsia="宋体"/>
          <w:sz w:val="21"/>
          <w:szCs w:val="21"/>
        </w:rPr>
      </w:r>
      <w:r/>
    </w:p>
    <w:p>
      <w:pPr>
        <w:pStyle w:val="779"/>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rPr>
          <w:rFonts w:hint="eastAsia" w:ascii="宋体" w:hAnsi="宋体" w:eastAsia="宋体"/>
          <w:sz w:val="21"/>
          <w:szCs w:val="21"/>
        </w:rPr>
      </w:r>
      <w:r/>
    </w:p>
    <w:p>
      <w:pPr>
        <w:pStyle w:val="779"/>
        <w:ind w:firstLine="409"/>
        <w:jc w:val="both"/>
        <w:spacing w:line="360" w:lineRule="auto"/>
        <w:rPr>
          <w:rFonts w:ascii="宋体" w:hAnsi="宋体" w:eastAsia="宋体"/>
          <w:sz w:val="21"/>
          <w:szCs w:val="21"/>
        </w:rPr>
      </w:pPr>
      <w:r>
        <w:rPr>
          <w:rFonts w:hint="eastAsia" w:ascii="宋体" w:hAnsi="宋体" w:eastAsia="宋体"/>
          <w:sz w:val="21"/>
          <w:szCs w:val="21"/>
        </w:rPr>
        <w:t xml:space="preserve">4.6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rPr>
          <w:rFonts w:ascii="宋体" w:hAnsi="宋体" w:eastAsia="宋体"/>
          <w:sz w:val="21"/>
          <w:szCs w:val="21"/>
        </w:rPr>
      </w:r>
      <w:r/>
    </w:p>
    <w:p>
      <w:pPr>
        <w:pStyle w:val="779"/>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rPr>
          <w:rFonts w:hint="eastAsia" w:ascii="宋体" w:hAnsi="宋体" w:eastAsia="宋体"/>
          <w:sz w:val="21"/>
          <w:szCs w:val="21"/>
        </w:rPr>
      </w:r>
      <w:r/>
    </w:p>
    <w:p>
      <w:pPr>
        <w:pStyle w:val="757"/>
        <w:ind w:firstLine="411"/>
        <w:spacing w:line="360" w:lineRule="auto"/>
        <w:rPr>
          <w:rFonts w:ascii="宋体" w:hAnsi="宋体"/>
          <w:b/>
          <w:szCs w:val="21"/>
        </w:rPr>
      </w:pPr>
      <w:r>
        <w:rPr>
          <w:rFonts w:hint="eastAsia" w:ascii="宋体" w:hAnsi="宋体"/>
          <w:b/>
          <w:szCs w:val="21"/>
        </w:rPr>
        <w:t xml:space="preserve">5. 投标文件的有效期</w:t>
      </w:r>
      <w:r>
        <w:rPr>
          <w:rFonts w:ascii="宋体" w:hAnsi="宋体"/>
          <w:b/>
          <w:szCs w:val="21"/>
        </w:rPr>
      </w:r>
      <w:r/>
    </w:p>
    <w:p>
      <w:pPr>
        <w:pStyle w:val="757"/>
        <w:ind w:firstLine="409"/>
        <w:spacing w:line="360" w:lineRule="auto"/>
        <w:rPr>
          <w:rFonts w:ascii="宋体" w:hAnsi="宋体"/>
          <w:szCs w:val="21"/>
        </w:rPr>
      </w:pPr>
      <w:r>
        <w:rPr>
          <w:rFonts w:hint="eastAsia" w:ascii="宋体" w:hAnsi="宋体"/>
          <w:szCs w:val="21"/>
        </w:rPr>
        <w:t xml:space="preserve">5.1、自开标日起60天内，投标书应保持有效。有效期短于这个规定期限的投标，将被拒绝。</w:t>
      </w:r>
      <w:r>
        <w:rPr>
          <w:rFonts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5.2、在特殊情况下，招标人可与投标人协商延长投标书的有效期。这种要求和答复都应以书面、传真或媒体发布的方式进行。</w:t>
      </w:r>
      <w:r>
        <w:rPr>
          <w:rFonts w:ascii="宋体" w:hAnsi="宋体"/>
          <w:szCs w:val="21"/>
        </w:rPr>
        <w:t xml:space="preserve"> </w:t>
      </w:r>
      <w:r>
        <w:rPr>
          <w:rFonts w:hint="eastAsia" w:ascii="宋体" w:hAnsi="宋体"/>
          <w:szCs w:val="21"/>
        </w:rPr>
        <w:t xml:space="preserve">同意延长有效期的投标人不能修改投标文件。拒绝接受延期要求的投标人的投标将被拒绝。</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五、投标文件的制作</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1.本项目采用电子招投标形式，请供应商按照《苏采云系统供应商操作手册》进行制作、上传电子投标文件。</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2.制作电子投标文件时，应按照招标文件要求加盖投标人电子公章。</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4．投标文件的递交</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4.1 电子投标文件的递交</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4.1.1投标人应当在在投标截止时间前制作并上传电子投标文件。</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4.1.2投标人通过“苏采云”系统不见面开标大厅在线参与开标活动。（具体操作详见《苏采云系统供应商操作手册》，网址链接https://czju.suzhou.gov.cn/zfcg/html/content/20231220161910031.shtml）</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5．投标截止时间</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5.1 投标人上传电子投标文件的时间不得迟于招标公告中规定的投标截止时间。</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5.2采购人和采购代理机构推迟投标截止时间时，将按本须知规定的更正公告的方式对外发布。在这种情况下，采购人、采购代理机构和投标人的权利和义务将受到新的截止期的约束。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6.投标文件的拒收</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6.1代理机构拒绝接收在其规定的投标截止时间后上传的任何投标文件。</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7．投标文件的撤回和修改</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7.1 投标文件的撤回</w:t>
      </w:r>
      <w:r>
        <w:rPr>
          <w:rFonts w:hint="eastAsia" w:ascii="宋体" w:hAnsi="宋体"/>
          <w:szCs w:val="21"/>
        </w:rPr>
      </w:r>
      <w:r/>
    </w:p>
    <w:p>
      <w:pPr>
        <w:pStyle w:val="757"/>
        <w:ind w:right="-252" w:firstLine="409"/>
        <w:spacing w:line="360" w:lineRule="auto"/>
        <w:rPr>
          <w:rFonts w:hint="eastAsia" w:ascii="宋体" w:hAnsi="宋体"/>
          <w:szCs w:val="21"/>
        </w:rPr>
      </w:pPr>
      <w:r>
        <w:rPr>
          <w:rFonts w:hint="eastAsia" w:ascii="宋体" w:hAnsi="宋体"/>
          <w:szCs w:val="21"/>
        </w:rPr>
        <w:t xml:space="preserve">7.1.1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szCs w:val="21"/>
        </w:rPr>
      </w:r>
      <w:r/>
    </w:p>
    <w:p>
      <w:pPr>
        <w:pStyle w:val="757"/>
        <w:ind w:right="-252" w:firstLine="409"/>
        <w:spacing w:line="360" w:lineRule="auto"/>
        <w:rPr>
          <w:rFonts w:ascii="宋体" w:hAnsi="宋体"/>
          <w:szCs w:val="21"/>
        </w:rPr>
      </w:pPr>
      <w:r>
        <w:rPr>
          <w:rFonts w:hint="eastAsia" w:ascii="宋体" w:hAnsi="宋体"/>
          <w:szCs w:val="21"/>
        </w:rPr>
        <w:t xml:space="preserve">7.1.2投标人在投标文件网上提交截止时间前，可以撤回其电子投标文件，具体操作方法见《苏采云系统供应商操作手册》。投标人撤回电子投标文件，则认为其不再参与本项目投标活动。</w:t>
      </w:r>
      <w:r>
        <w:rPr>
          <w:rFonts w:ascii="宋体" w:hAnsi="宋体"/>
          <w:szCs w:val="21"/>
        </w:rPr>
      </w:r>
      <w:r/>
    </w:p>
    <w:p>
      <w:pPr>
        <w:pStyle w:val="757"/>
        <w:ind w:firstLine="411"/>
        <w:spacing w:line="360" w:lineRule="auto"/>
        <w:rPr>
          <w:rFonts w:hint="eastAsia" w:ascii="宋体" w:hAnsi="宋体"/>
          <w:b/>
          <w:szCs w:val="21"/>
        </w:rPr>
      </w:pPr>
      <w:r>
        <w:rPr>
          <w:rFonts w:hint="eastAsia" w:ascii="宋体" w:hAnsi="宋体"/>
          <w:b/>
          <w:szCs w:val="21"/>
        </w:rPr>
        <w:t xml:space="preserve">六、开标和评标</w:t>
      </w:r>
      <w:r>
        <w:rPr>
          <w:rFonts w:hint="eastAsia" w:ascii="宋体" w:hAnsi="宋体"/>
          <w:b/>
          <w:szCs w:val="21"/>
        </w:rPr>
      </w:r>
      <w:r/>
    </w:p>
    <w:p>
      <w:pPr>
        <w:pStyle w:val="757"/>
        <w:ind w:firstLine="409"/>
        <w:spacing w:line="360" w:lineRule="auto"/>
        <w:rPr>
          <w:rFonts w:hint="eastAsia" w:ascii="宋体" w:hAnsi="宋体"/>
          <w:szCs w:val="21"/>
        </w:rPr>
      </w:pPr>
      <w:r>
        <w:rPr>
          <w:rFonts w:hint="eastAsia" w:ascii="宋体" w:hAnsi="宋体"/>
          <w:szCs w:val="21"/>
        </w:rPr>
        <w:t xml:space="preserve">1、开标</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2．评标委员会</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2.1评标委员会负责具体评标事务，并独立履行下列职责：</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2.1.1审查、评价投标文件是否符合招标文件的商务、技术等实质性要求；</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2.1.2要求投标人对投标文件有关事项作出澄清或者说明；</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2.1.3对投标文件进行比较和评价；</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2.1.4确定中标候选人名单，以及根据采购人委托直接确定中标人；</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2.1.5向采购人、采购代理机构或者有关部门报告评标中发现的违法行为。</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2.2评标委员会成员应当履行下列义务：</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2.2.1遵纪守法，客观、公正、廉洁地履行职责；</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2.2.2按照招标文件规定的评标办法和评标标准进行评标，对评审意见承担个人责任；</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2.2.3对评标过程和结果，以及投标人的商业秘密保密；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2.2.4评标委员会根据全体评标成员签字的原始评标记录和评标结果编写评标报告。评标报告应当包括以下内容：</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2.2.4.1招标公告刊登的媒体名称、开标日期和地点；</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2.2.4.2投标人名单和评标委员会成员名单；</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2.2.4.3评标方法和标准；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2.2.4.4开标记录和评标情况及说明，包括无效投标人名单及原因；</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2.2.4.5评标结果，确定的中标候选人名单或者经采购人委托直接确定的中标人；</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2.2.4.6其他需要说明的情况，包括评标过程中投标人根据评标委员会要求进行的澄清、说明或者补正，评标委员会成员的更换等。</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2.2.5配合相关部门的投诉处理工作；</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2.2.6配合采购人和采购代理机构答复投标人提出的质疑。</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3.评标内容保密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3.1凡是与审查、澄清、评价和比较投标的有关资料以及授标建议等，采购人、评委、代理机构均不得向投标人或与评标无关的其他人员透露。</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3.2在评标过程中，投标人不得以任何行为影响评标过程，否则其投标文件将被作为无效投标文件。</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3.3 代理机构和评标委员会不向未中标的投标人解释未中标原因，也不公布评标过程中的相关细节。</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3.4 采用综合评分法的项目，未中标的投标人中标结果公告发布后可通过苏采云系统查看自己的评审得分及排序情况。</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4．投标文件的澄清</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4.1对于投标文件中含义不明确、同类问题表述不一致或者有明显文字和计算错误的内容，评标委员会应当以书面形式要求投标人作出必要的澄清、说明或者补正。</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5．对投标文件的初审</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5.1投标文件初审分为资格审查和符合性审查。</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5.1.1 资格审查：采购人应当依法对投标人的资格进行审查，未通过资格审查的视为无效投标。</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5.1.3查询时间：进入评审环节前。</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5.1.4查询证据留存方式：打印查询的信用报告，由评标委员会进行认定。</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5.1.6 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5.2评标委员会应当对符合资格的投标人的投标文件进行资格及符合性审查，以确定其是否满足招标文件的实质性要求。投标文件有下列情况之一者评标委员会有权将其拒绝：</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5.2.1投标人的投标文件未按照本须知规定制作的；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5.2.2未按本须知规定提交资格文件；</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5.2.3与招标文件有重大偏离；</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5.2.4投标人拒绝修正错误；</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5.2.5投标人的报价是选择性的；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5.2.6投标人的报价只投了部分内容；</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5.2.7投标人的投标文件出现了评标委员会认为不应当雷同的情况；</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5.2.8其他被评委会认定无效的情况。</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5.4评委会将对确定为实质性响应的投标进行进一步审核，确定其是否有计算上或累加上的算术错误，修正错误的原则如下：</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（1）投标文件中开标一览表内容与投标文件中相应内容不一致的，以开标一览表为准。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（2）大写金额和小写金额不一致的，以大写金额为准。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（3）单价金额小数点或者百分比有明显错位的，以开标一览表的总价为准，并修改单价。</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（4）总价金额与按单价汇总金额不一致的，以单价金额计算结果为准。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5.6投标人在开、评标全过程中应保持通讯畅通，及时登录苏采云系统查阅、答复相关信息。</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6．无效投标条款和废标条款</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6.1无效投标条款</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6.1.1 投标人在苏采云系统规定的时间内未成功解密电子投标文件的。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6.1.2 投标人未按照招标文件要求上传电子投标文件的。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6.1.3同一投标人提交两个（含两个）以上不同的投标报价的。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6.1.4投标人不具备招标文件中规定资格要求的。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6.1.5投标人的报价超过了采购预算或最高限价的。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6.1.6未通过符合性审查的。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6.1.7不符合招标文件中规定的实质性要求和条件的。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6.1.9 投标文件含有采购人不能接受的附加条件的。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6.1.11 投标文件未按照招标文件要求加盖CA电子公章的。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6.1.12其他法律、法规及本招标文件规定的属无效投标的情形。</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6.2废标条款</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6.2.1符合专业条件的供应商或者对招标文件作实质响应的供应商不足三家的。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6.2.2出现影响采购公正的违法、违规行为的。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6.2.3因重大变故，采购任务取消的。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6.2.4评标委员会认定招标文件存在歧义、重大缺陷导致评审工作无法进行。</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6.2.5 因苏采云系统系统故障原因造成开标不成功的。</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6.3 投标截止时间结束后参加投标的供应商不足三家的处理：</w:t>
      </w:r>
      <w:r>
        <w:rPr>
          <w:rFonts w:hint="eastAsia" w:ascii="宋体" w:hAnsi="宋体"/>
          <w:szCs w:val="21"/>
        </w:rPr>
      </w:r>
      <w:r/>
    </w:p>
    <w:p>
      <w:pPr>
        <w:pStyle w:val="757"/>
        <w:ind w:firstLine="409"/>
        <w:spacing w:line="360" w:lineRule="auto"/>
        <w:rPr>
          <w:rFonts w:ascii="宋体" w:hAnsi="宋体"/>
          <w:szCs w:val="21"/>
        </w:rPr>
      </w:pPr>
      <w:r>
        <w:rPr>
          <w:rFonts w:hint="eastAsia" w:ascii="宋体" w:hAnsi="宋体"/>
          <w:szCs w:val="21"/>
        </w:rPr>
        <w:t xml:space="preserve">6.3.1如出现投标截止时间结束后参加投标的供应商或者在评标期间对招标文件做出实质响应的供应商不足三家情况，按政府采购相关规定执行。</w:t>
      </w:r>
      <w:r>
        <w:rPr>
          <w:rFonts w:ascii="宋体" w:hAnsi="宋体"/>
          <w:szCs w:val="21"/>
        </w:rPr>
      </w:r>
      <w:r/>
    </w:p>
    <w:p>
      <w:pPr>
        <w:pStyle w:val="757"/>
        <w:ind w:firstLine="411"/>
        <w:spacing w:line="360" w:lineRule="auto"/>
        <w:rPr>
          <w:rFonts w:ascii="宋体" w:hAnsi="宋体"/>
          <w:b/>
          <w:szCs w:val="21"/>
        </w:rPr>
      </w:pPr>
      <w:r>
        <w:rPr>
          <w:rFonts w:hint="eastAsia" w:ascii="宋体" w:hAnsi="宋体"/>
          <w:b/>
          <w:szCs w:val="21"/>
        </w:rPr>
        <w:t xml:space="preserve">七、授予合同</w:t>
      </w:r>
      <w:r>
        <w:rPr>
          <w:rFonts w:ascii="宋体" w:hAnsi="宋体"/>
          <w:b/>
          <w:szCs w:val="21"/>
        </w:rPr>
      </w:r>
      <w:r/>
    </w:p>
    <w:p>
      <w:pPr>
        <w:pStyle w:val="757"/>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779"/>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sz w:val="21"/>
          <w:szCs w:val="21"/>
        </w:rPr>
      </w:r>
      <w:r/>
    </w:p>
    <w:p>
      <w:pPr>
        <w:pStyle w:val="779"/>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1.2、经评标委员会评审并确定中标单位后，招标人将在规定的时间内将中标结果在政府采购管理部门指定媒体上予以公示。</w:t>
      </w:r>
      <w:r>
        <w:rPr>
          <w:rFonts w:hint="eastAsia" w:ascii="宋体" w:hAnsi="宋体" w:eastAsia="宋体"/>
          <w:sz w:val="21"/>
          <w:szCs w:val="21"/>
        </w:rPr>
      </w:r>
      <w:r/>
    </w:p>
    <w:p>
      <w:pPr>
        <w:pStyle w:val="77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w:t>
      </w:r>
      <w:r>
        <w:rPr>
          <w:rFonts w:ascii="宋体" w:hAnsi="宋体" w:eastAsia="宋体"/>
          <w:sz w:val="21"/>
          <w:szCs w:val="21"/>
        </w:rPr>
      </w:r>
      <w:r/>
    </w:p>
    <w:p>
      <w:pPr>
        <w:pStyle w:val="77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eastAsia="宋体"/>
          <w:sz w:val="21"/>
          <w:szCs w:val="21"/>
        </w:rPr>
        <w:t xml:space="preserve"> </w:t>
      </w:r>
      <w:r>
        <w:rPr>
          <w:rFonts w:ascii="宋体" w:hAnsi="宋体" w:eastAsia="宋体"/>
          <w:sz w:val="21"/>
          <w:szCs w:val="21"/>
        </w:rPr>
      </w:r>
      <w:r/>
    </w:p>
    <w:p>
      <w:pPr>
        <w:pStyle w:val="77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rPr>
          <w:rFonts w:ascii="宋体" w:hAnsi="宋体" w:eastAsia="宋体"/>
          <w:sz w:val="21"/>
          <w:szCs w:val="21"/>
        </w:rPr>
      </w:r>
      <w:r/>
    </w:p>
    <w:p>
      <w:pPr>
        <w:pStyle w:val="757"/>
        <w:ind w:firstLine="411"/>
        <w:spacing w:line="360" w:lineRule="auto"/>
        <w:rPr>
          <w:rFonts w:ascii="宋体" w:hAnsi="宋体"/>
          <w:b/>
          <w:szCs w:val="21"/>
        </w:rPr>
      </w:pPr>
      <w:r>
        <w:rPr>
          <w:rFonts w:hint="eastAsia" w:ascii="宋体" w:hAnsi="宋体"/>
          <w:b/>
          <w:szCs w:val="21"/>
        </w:rPr>
        <w:t xml:space="preserve">2、合同授予标准</w:t>
      </w:r>
      <w:r>
        <w:rPr>
          <w:rFonts w:ascii="宋体" w:hAnsi="宋体"/>
          <w:b/>
          <w:szCs w:val="21"/>
        </w:rPr>
      </w:r>
      <w:r/>
    </w:p>
    <w:p>
      <w:pPr>
        <w:pStyle w:val="77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rPr>
          <w:rFonts w:ascii="宋体" w:hAnsi="宋体" w:eastAsia="宋体"/>
          <w:sz w:val="21"/>
          <w:szCs w:val="21"/>
        </w:rPr>
      </w:r>
      <w:r/>
    </w:p>
    <w:p>
      <w:pPr>
        <w:pStyle w:val="757"/>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rPr>
          <w:rFonts w:ascii="宋体" w:hAnsi="宋体"/>
          <w:b/>
          <w:szCs w:val="21"/>
        </w:rPr>
      </w:r>
      <w:r/>
    </w:p>
    <w:p>
      <w:pPr>
        <w:pStyle w:val="757"/>
        <w:ind w:firstLine="409"/>
        <w:spacing w:line="360" w:lineRule="auto"/>
        <w:rPr>
          <w:rFonts w:hint="eastAsia" w:ascii="宋体" w:hAnsi="宋体"/>
          <w:szCs w:val="21"/>
        </w:rPr>
      </w:pPr>
      <w:r>
        <w:rPr>
          <w:rFonts w:hint="eastAsia" w:ascii="宋体" w:hAnsi="宋体"/>
          <w:szCs w:val="21"/>
        </w:rPr>
        <w:t xml:space="preserve">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3.2、中标通知书将成为合同的组成部分。</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3.3、投标人对未中标单位不承担解释未中标原因的义务。</w:t>
      </w:r>
      <w:r>
        <w:rPr>
          <w:rFonts w:hint="eastAsia" w:ascii="宋体" w:hAnsi="宋体"/>
          <w:szCs w:val="21"/>
        </w:rPr>
      </w:r>
      <w:r/>
    </w:p>
    <w:p>
      <w:pPr>
        <w:pStyle w:val="757"/>
        <w:ind w:firstLine="411"/>
        <w:spacing w:line="360" w:lineRule="auto"/>
        <w:rPr>
          <w:rFonts w:hint="eastAsia" w:ascii="宋体" w:hAnsi="宋体"/>
          <w:b/>
          <w:szCs w:val="21"/>
        </w:rPr>
      </w:pPr>
      <w:r>
        <w:rPr>
          <w:rFonts w:hint="eastAsia" w:ascii="宋体" w:hAnsi="宋体"/>
          <w:b/>
          <w:szCs w:val="21"/>
        </w:rPr>
        <w:t xml:space="preserve">4、合同的签订</w:t>
      </w:r>
      <w:r>
        <w:rPr>
          <w:rFonts w:hint="eastAsia" w:ascii="宋体" w:hAnsi="宋体"/>
          <w:b/>
          <w:szCs w:val="21"/>
        </w:rPr>
      </w:r>
      <w:r/>
    </w:p>
    <w:p>
      <w:pPr>
        <w:pStyle w:val="757"/>
        <w:ind w:firstLine="409"/>
        <w:spacing w:line="360" w:lineRule="auto"/>
        <w:rPr>
          <w:rFonts w:hint="eastAsia" w:ascii="宋体" w:hAnsi="宋体"/>
          <w:szCs w:val="21"/>
        </w:rPr>
      </w:pPr>
      <w:r>
        <w:rPr>
          <w:rFonts w:hint="eastAsia" w:ascii="宋体" w:hAnsi="宋体"/>
          <w:szCs w:val="21"/>
        </w:rPr>
        <w:t xml:space="preserve">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4.2 采购人与中标人所签订的合同不得对招标文件确定的事项和中标人投标文件作实质性修改，采购人不得向中标人提出任何不合理的要求作为签订合同的条件。</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4.3招标文件、中标人的投标文件及招标过程中有关澄清、承诺文件均应作为合同附件。</w:t>
      </w:r>
      <w:r>
        <w:rPr>
          <w:rFonts w:hint="eastAsia" w:ascii="宋体" w:hAnsi="宋体"/>
          <w:szCs w:val="21"/>
        </w:rPr>
      </w:r>
      <w:r/>
    </w:p>
    <w:p>
      <w:pPr>
        <w:pStyle w:val="757"/>
        <w:ind w:firstLine="409"/>
        <w:spacing w:line="360" w:lineRule="auto"/>
        <w:rPr>
          <w:rFonts w:hint="eastAsia" w:ascii="宋体" w:hAnsi="宋体"/>
          <w:szCs w:val="21"/>
        </w:rPr>
      </w:pPr>
      <w:r>
        <w:rPr>
          <w:rFonts w:hint="eastAsia" w:ascii="宋体" w:hAnsi="宋体"/>
          <w:szCs w:val="21"/>
        </w:rPr>
        <w:t xml:space="preserve">4.4依据《政府采购促进中小企业发展管理办法》（财库〔2020〕46号）规定，依据本办法规定享受扶持政策获得政府采购合同的，小微企业不得将合同分包给大中型企业，中型企业不得将合同分包给大型企业。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szCs w:val="21"/>
        </w:rPr>
      </w:r>
      <w:r/>
    </w:p>
    <w:p>
      <w:pPr>
        <w:pStyle w:val="757"/>
        <w:ind w:firstLine="409"/>
        <w:spacing w:line="360" w:lineRule="auto"/>
        <w:rPr>
          <w:rFonts w:ascii="宋体" w:hAnsi="宋体"/>
          <w:szCs w:val="21"/>
        </w:rPr>
      </w:pPr>
      <w:r>
        <w:rPr>
          <w:rFonts w:hint="eastAsia" w:ascii="宋体" w:hAnsi="宋体"/>
          <w:szCs w:val="21"/>
        </w:rPr>
        <w:t xml:space="preserve">4.5政府采购合同履行中，采购人需追加与合同标的相同货物、工程或者服务的，在不改变合同其他条款的前提下，可以与中标人协商签订补充合同，但所有补充合同的采购金额不得超过原合同采购金额的10%。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宋体" w:hAnsi="宋体"/>
          <w:szCs w:val="21"/>
        </w:rPr>
      </w:r>
      <w:r/>
    </w:p>
    <w:p>
      <w:pPr>
        <w:pStyle w:val="757"/>
        <w:ind w:firstLine="411"/>
        <w:spacing w:line="360" w:lineRule="auto"/>
        <w:rPr>
          <w:rFonts w:ascii="宋体" w:hAnsi="宋体"/>
          <w:b/>
          <w:szCs w:val="21"/>
        </w:rPr>
      </w:pPr>
      <w:r>
        <w:rPr>
          <w:rFonts w:hint="eastAsia" w:ascii="宋体" w:hAnsi="宋体"/>
          <w:b/>
          <w:szCs w:val="21"/>
        </w:rPr>
        <w:t xml:space="preserve">八、其他事项</w:t>
      </w:r>
      <w:r>
        <w:rPr>
          <w:rFonts w:ascii="宋体" w:hAnsi="宋体"/>
          <w:b/>
          <w:szCs w:val="21"/>
        </w:rPr>
      </w:r>
      <w:r/>
    </w:p>
    <w:p>
      <w:pPr>
        <w:pStyle w:val="757"/>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779"/>
        <w:ind w:firstLine="409"/>
        <w:jc w:val="both"/>
        <w:spacing w:line="360" w:lineRule="auto"/>
        <w:rPr>
          <w:rFonts w:ascii="宋体" w:hAnsi="宋体" w:eastAsia="宋体"/>
          <w:sz w:val="21"/>
          <w:szCs w:val="21"/>
        </w:rPr>
      </w:pPr>
      <w:r>
        <w:rPr>
          <w:rFonts w:hint="eastAsia" w:ascii="宋体" w:hAnsi="宋体" w:eastAsia="宋体"/>
          <w:sz w:val="21"/>
          <w:szCs w:val="21"/>
        </w:rPr>
        <w:t xml:space="preserve">1.1、中标单位须按规定支付中标服务费，该费用应在中标公示后三个工作日内付清。</w:t>
      </w:r>
      <w:r>
        <w:rPr>
          <w:rFonts w:ascii="宋体" w:hAnsi="宋体" w:eastAsia="宋体"/>
          <w:sz w:val="21"/>
          <w:szCs w:val="21"/>
        </w:rPr>
      </w:r>
      <w:r/>
    </w:p>
    <w:p>
      <w:pPr>
        <w:pStyle w:val="779"/>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1.2、中标单位如果未按规定缴纳中标服务费，招标代理公司保留诉讼的权利。</w:t>
      </w:r>
      <w:r>
        <w:rPr>
          <w:rFonts w:hint="eastAsia" w:ascii="宋体" w:hAnsi="宋体" w:eastAsia="宋体"/>
          <w:sz w:val="21"/>
          <w:szCs w:val="21"/>
        </w:rPr>
      </w:r>
      <w:r/>
    </w:p>
    <w:p>
      <w:pPr>
        <w:pStyle w:val="779"/>
        <w:ind w:firstLine="409"/>
        <w:jc w:val="both"/>
        <w:spacing w:line="360" w:lineRule="auto"/>
        <w:rPr>
          <w:rFonts w:ascii="宋体" w:hAnsi="宋体" w:eastAsia="宋体"/>
          <w:sz w:val="21"/>
          <w:szCs w:val="21"/>
        </w:rPr>
      </w:pPr>
      <w:r>
        <w:rPr>
          <w:rFonts w:hint="eastAsia" w:ascii="宋体" w:hAnsi="宋体" w:eastAsia="宋体"/>
          <w:sz w:val="21"/>
          <w:szCs w:val="21"/>
        </w:rPr>
        <w:t xml:space="preserve">1.3、</w:t>
      </w:r>
      <w:r>
        <w:rPr>
          <w:rFonts w:hint="eastAsia" w:ascii="宋体" w:hAnsi="宋体" w:eastAsia="宋体"/>
          <w:color w:val="000000"/>
          <w:sz w:val="21"/>
          <w:szCs w:val="21"/>
        </w:rPr>
        <w:t xml:space="preserve">中标服务费以差额累计法计取（</w:t>
      </w:r>
      <w:r>
        <w:rPr>
          <w:rFonts w:hint="eastAsia" w:ascii="宋体" w:hAnsi="宋体" w:eastAsia="宋体"/>
          <w:sz w:val="21"/>
          <w:szCs w:val="21"/>
        </w:rPr>
        <w:t xml:space="preserve">按预算金额100万元以下收取1.5%；100-500万元收取1.1%；500-1000万元收取0.8%；1000-5000万元收取0.5%；5000万元以上收取0.25%；不足叁仟元按叁仟元整）。</w:t>
      </w:r>
      <w:r>
        <w:rPr>
          <w:rFonts w:ascii="宋体" w:hAnsi="宋体" w:eastAsia="宋体"/>
          <w:sz w:val="21"/>
          <w:szCs w:val="21"/>
        </w:rPr>
      </w:r>
      <w:r/>
    </w:p>
    <w:p>
      <w:pPr>
        <w:pStyle w:val="757"/>
        <w:ind w:firstLine="411"/>
        <w:spacing w:line="360" w:lineRule="auto"/>
        <w:rPr>
          <w:rFonts w:ascii="宋体" w:hAnsi="宋体"/>
          <w:b/>
          <w:szCs w:val="21"/>
        </w:rPr>
      </w:pPr>
      <w:r>
        <w:rPr>
          <w:rFonts w:hint="eastAsia" w:ascii="宋体" w:hAnsi="宋体"/>
          <w:b/>
          <w:szCs w:val="21"/>
        </w:rPr>
        <w:t xml:space="preserve">2、监督</w:t>
      </w:r>
      <w:r>
        <w:rPr>
          <w:rFonts w:ascii="宋体" w:hAnsi="宋体"/>
          <w:b/>
          <w:szCs w:val="21"/>
        </w:rPr>
      </w:r>
      <w:r/>
    </w:p>
    <w:p>
      <w:pPr>
        <w:pStyle w:val="757"/>
        <w:ind w:firstLine="409"/>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、政府有关监督部门将对招投标全过程进行监督。</w:t>
      </w:r>
      <w:r>
        <w:rPr>
          <w:rFonts w:hint="eastAsia" w:ascii="宋体" w:hAnsi="宋体"/>
          <w:szCs w:val="21"/>
        </w:rPr>
      </w:r>
      <w:r/>
    </w:p>
    <w:p>
      <w:pPr>
        <w:pStyle w:val="757"/>
        <w:ind w:firstLine="411"/>
        <w:spacing w:line="360" w:lineRule="auto"/>
        <w:rPr>
          <w:rFonts w:hint="eastAsia" w:ascii="宋体" w:hAnsi="宋体"/>
          <w:b/>
          <w:szCs w:val="21"/>
        </w:rPr>
      </w:pPr>
      <w:r>
        <w:rPr>
          <w:rFonts w:hint="eastAsia" w:ascii="宋体" w:hAnsi="宋体"/>
          <w:b/>
          <w:szCs w:val="21"/>
        </w:rPr>
        <w:t xml:space="preserve">3、未尽事宜</w:t>
      </w:r>
      <w:r>
        <w:rPr>
          <w:rFonts w:hint="eastAsia" w:ascii="宋体" w:hAnsi="宋体"/>
          <w:b/>
          <w:szCs w:val="21"/>
        </w:rPr>
      </w:r>
      <w:r/>
    </w:p>
    <w:p>
      <w:pPr>
        <w:pStyle w:val="757"/>
        <w:ind w:firstLine="409"/>
        <w:spacing w:line="360" w:lineRule="auto"/>
        <w:rPr>
          <w:rFonts w:hint="eastAsia"/>
        </w:rPr>
      </w:pPr>
      <w:r>
        <w:rPr>
          <w:rFonts w:hint="eastAsia"/>
        </w:rPr>
        <w:t xml:space="preserve">按《中华人民共和国政府采购法》及其他有关政府采购的法律法规的规定执行。</w:t>
      </w:r>
      <w:r>
        <w:rPr>
          <w:rFonts w:hint="eastAsia"/>
        </w:rPr>
      </w:r>
      <w:r/>
    </w:p>
    <w:p>
      <w:pPr>
        <w:pStyle w:val="779"/>
        <w:ind w:firstLine="409"/>
        <w:jc w:val="both"/>
        <w:spacing w:line="360" w:lineRule="auto"/>
        <w:rPr>
          <w:rFonts w:hint="eastAsia" w:ascii="宋体" w:hAnsi="宋体" w:eastAsia="宋体"/>
          <w:sz w:val="21"/>
          <w:szCs w:val="21"/>
        </w:rPr>
      </w:pPr>
      <w:r>
        <w:rPr>
          <w:rFonts w:ascii="宋体" w:hAnsi="宋体" w:eastAsia="宋体"/>
          <w:sz w:val="21"/>
          <w:szCs w:val="21"/>
        </w:rPr>
        <w:t xml:space="preserve">按《昆山市政府采购供应商诚信管理办法》的规定执行。</w:t>
      </w:r>
      <w:r>
        <w:rPr>
          <w:rFonts w:hint="eastAsia" w:ascii="宋体" w:hAnsi="宋体" w:eastAsia="宋体"/>
          <w:sz w:val="21"/>
          <w:szCs w:val="21"/>
        </w:rPr>
      </w:r>
      <w:r/>
    </w:p>
    <w:p>
      <w:pPr>
        <w:pStyle w:val="758"/>
        <w:jc w:val="center"/>
        <w:rPr>
          <w:rFonts w:hint="eastAsia"/>
        </w:rPr>
      </w:pPr>
      <w:r/>
      <w:bookmarkStart w:id="28" w:name="_Toc276023191"/>
      <w:r/>
      <w:bookmarkStart w:id="29" w:name="_Toc13543212"/>
      <w:r>
        <w:br w:type="page" w:clear="all"/>
      </w:r>
      <w:bookmarkStart w:id="30" w:name="_Toc194916141"/>
      <w:r>
        <w:rPr>
          <w:rFonts w:hint="eastAsia"/>
        </w:rPr>
        <w:t xml:space="preserve">第三章</w:t>
      </w:r>
      <w:r>
        <w:t xml:space="preserve"> </w:t>
      </w:r>
      <w:r>
        <w:rPr>
          <w:rFonts w:hint="eastAsia"/>
        </w:rPr>
        <w:t xml:space="preserve">投标文件格式</w:t>
      </w:r>
      <w:bookmarkEnd w:id="30"/>
      <w:r/>
      <w:bookmarkStart w:id="31" w:name="gpcItem_SubmitDocStruct"/>
      <w:r>
        <w:t xml:space="preserve">  </w:t>
      </w:r>
      <w:bookmarkEnd w:id="31"/>
      <w:r>
        <w:rPr>
          <w:rFonts w:hint="eastAsia"/>
        </w:rPr>
      </w:r>
      <w:r/>
    </w:p>
    <w:p>
      <w:pPr>
        <w:pStyle w:val="757"/>
        <w:rPr>
          <w:rFonts w:ascii="Tahoma" w:hAnsi="Tahoma"/>
          <w:sz w:val="24"/>
        </w:rPr>
      </w:pPr>
      <w:r>
        <w:rPr>
          <w:rFonts w:ascii="Tahoma" w:hAnsi="Tahoma"/>
          <w:sz w:val="24"/>
        </w:rPr>
      </w:r>
      <w:r/>
    </w:p>
    <w:p>
      <w:pPr>
        <w:pStyle w:val="779"/>
        <w:ind w:firstLine="417"/>
        <w:spacing w:line="360" w:lineRule="auto"/>
        <w:rPr>
          <w:rFonts w:hint="eastAsia" w:ascii="宋体" w:hAnsi="宋体" w:eastAsia="宋体"/>
          <w:b/>
          <w:sz w:val="21"/>
          <w:szCs w:val="21"/>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rPr>
      </w:r>
      <w:r/>
    </w:p>
    <w:p>
      <w:pPr>
        <w:pStyle w:val="779"/>
        <w:ind w:firstLine="417"/>
        <w:spacing w:line="360" w:lineRule="auto"/>
        <w:rPr>
          <w:rFonts w:hint="eastAsia" w:ascii="宋体" w:hAnsi="宋体" w:eastAsia="宋体"/>
          <w:b/>
          <w:sz w:val="21"/>
          <w:szCs w:val="21"/>
        </w:rPr>
      </w:pPr>
      <w:r>
        <w:rPr>
          <w:rFonts w:hint="eastAsia" w:ascii="宋体" w:hAnsi="宋体" w:eastAsia="宋体"/>
          <w:b/>
          <w:sz w:val="21"/>
          <w:szCs w:val="21"/>
        </w:rPr>
      </w:r>
      <w:r/>
    </w:p>
    <w:p>
      <w:pPr>
        <w:pStyle w:val="759"/>
        <w:spacing w:before="480" w:after="240"/>
        <w:rPr>
          <w:rFonts w:ascii="黑体" w:hAnsi="黑体"/>
          <w:color w:val="000000"/>
        </w:rPr>
      </w:pPr>
      <w:r/>
      <w:bookmarkStart w:id="32" w:name="_Ref363807956"/>
      <w:r/>
      <w:bookmarkStart w:id="33" w:name="_Ref37248457"/>
      <w:r/>
      <w:bookmarkStart w:id="34" w:name="_Ref12546102"/>
      <w:r>
        <w:rPr>
          <w:rFonts w:hint="eastAsia" w:ascii="黑体" w:hAnsi="黑体"/>
          <w:color w:val="000000"/>
        </w:rPr>
        <w:t xml:space="preserve">投标承诺函</w:t>
      </w:r>
      <w:bookmarkEnd w:id="33"/>
      <w:r>
        <w:rPr>
          <w:rFonts w:ascii="黑体" w:hAnsi="黑体"/>
          <w:color w:val="000000"/>
        </w:rPr>
      </w:r>
      <w:r/>
    </w:p>
    <w:p>
      <w:pPr>
        <w:pStyle w:val="917"/>
        <w:ind w:firstLine="420"/>
        <w:spacing w:line="360" w:lineRule="auto"/>
        <w:rPr>
          <w:rFonts w:hAnsi="宋体" w:eastAsia="宋体"/>
          <w:sz w:val="21"/>
          <w:szCs w:val="21"/>
        </w:rPr>
      </w:pPr>
      <w:r>
        <w:rPr>
          <w:rFonts w:hAnsi="宋体" w:eastAsia="宋体"/>
          <w:sz w:val="21"/>
          <w:szCs w:val="21"/>
        </w:rPr>
        <w:t xml:space="preserve">致：___________________(采购人名称）、</w:t>
      </w:r>
      <w:r>
        <w:rPr>
          <w:rFonts w:eastAsia="宋体"/>
          <w:sz w:val="21"/>
        </w:rPr>
        <w:t xml:space="preserve">江苏正华新工程咨询有限公司：</w:t>
      </w:r>
      <w:r>
        <w:rPr>
          <w:rFonts w:hAnsi="宋体" w:eastAsia="宋体"/>
          <w:sz w:val="21"/>
          <w:szCs w:val="21"/>
        </w:rPr>
      </w:r>
      <w:r/>
    </w:p>
    <w:p>
      <w:pPr>
        <w:pStyle w:val="779"/>
        <w:ind w:right="-252"/>
        <w:spacing w:line="360" w:lineRule="auto"/>
        <w:rPr>
          <w:rFonts w:hint="eastAsia" w:ascii="宋体" w:hAnsi="宋体" w:eastAsia="宋体"/>
          <w:sz w:val="21"/>
          <w:szCs w:val="21"/>
        </w:rPr>
      </w:pPr>
      <w:r>
        <w:rPr>
          <w:rFonts w:hAnsi="宋体" w:eastAsia="宋体"/>
          <w:sz w:val="21"/>
          <w:szCs w:val="21"/>
        </w:rPr>
        <w:t xml:space="preserve">  </w:t>
      </w:r>
      <w:r>
        <w:rPr>
          <w:rFonts w:hint="eastAsia" w:ascii="宋体" w:hAnsi="宋体" w:eastAsia="宋体"/>
          <w:sz w:val="21"/>
          <w:szCs w:val="21"/>
        </w:rPr>
        <w:t xml:space="preserve">经仔细阅读和研究，我方同意招标文件（包括补充文件）的各条款要求，自愿参加（项目名称及项目编号）的投标活动，并做出如下承诺：</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1.我方同意提供与投标有关的一切数据或资料，并保证所提供的投标文件及相关资料均真实有效，若有不实，由此产生的后果由我方承担；</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2.我方愿意按照招标文件的要求，响应该项目的全部实质性内容。 </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3.我方具有良好的商业信誉和健全的财务会计制度；</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4.我方具有依法缴纳税收和社会保障资金的良好记录；</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5.我方具有履行合同所必需的设备和专业技术能力；</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6.我方参加本次政府采购活动前3年内在经营活动中无重大违法记录；</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7.我方最后报价含服务过程所发生的全部费用。</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8.我方同意按采购人确定的评标办法及评标标准，由评标专家进行评审；</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9.我方同意按招标文件中的规定，投标文件的有效期限为自开标日起三个月内；</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10.我方同意采购人关于违约责任的认定方式和对违约责任的处罚；在履约过程中，如我方违约，我方愿意承担相应违约责任。</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11.除不可抗力外，我方如果发生以下行为，将在行为发生的10个工作日内，向采购人支付本招标文件公布的预算价的2%作为违约赔偿金。</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（1）在招标文件规定的投标有效期内进行实质上修改或撤回投标；</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（2）中标后不依法与采购人签订合同；</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（3）在投标文件中提供虚假材料；</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（4）恶意串通；</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（5）其他违法违规情形。</w:t>
      </w:r>
      <w:r>
        <w:rPr>
          <w:rFonts w:hint="eastAsia"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12.我方知晓上述行为的法律后果，并认可本承诺函作为采购人要求我方履行违约赔偿的依据。</w:t>
      </w:r>
      <w:r>
        <w:rPr>
          <w:rFonts w:hint="eastAsia" w:ascii="宋体" w:hAnsi="宋体" w:eastAsia="宋体"/>
          <w:sz w:val="21"/>
          <w:szCs w:val="21"/>
        </w:rPr>
      </w:r>
      <w:r/>
    </w:p>
    <w:p>
      <w:pPr>
        <w:pStyle w:val="779"/>
        <w:ind w:right="-252"/>
        <w:spacing w:line="360" w:lineRule="auto"/>
        <w:rPr>
          <w:rFonts w:ascii="宋体" w:hAnsi="宋体" w:eastAsia="宋体"/>
          <w:sz w:val="21"/>
          <w:szCs w:val="21"/>
        </w:rPr>
      </w:pPr>
      <w:r>
        <w:rPr>
          <w:rFonts w:hint="eastAsia" w:ascii="宋体" w:hAnsi="宋体" w:eastAsia="宋体"/>
          <w:sz w:val="21"/>
          <w:szCs w:val="21"/>
        </w:rPr>
        <w:t xml:space="preserve">13.我单位同意招标人关于违约责任的认定方式和对违约责任的处罚；在服务过程中，如我单位违约，我单位愿意承担相应违约责任。</w:t>
      </w:r>
      <w:r>
        <w:rPr>
          <w:rFonts w:ascii="宋体" w:hAnsi="宋体" w:eastAsia="宋体"/>
          <w:sz w:val="21"/>
          <w:szCs w:val="21"/>
        </w:rPr>
      </w:r>
      <w:r/>
    </w:p>
    <w:p>
      <w:pPr>
        <w:pStyle w:val="917"/>
        <w:ind w:firstLine="5040"/>
        <w:spacing w:line="360" w:lineRule="auto"/>
        <w:rPr>
          <w:rFonts w:hAnsi="宋体" w:eastAsia="宋体"/>
          <w:sz w:val="21"/>
          <w:szCs w:val="21"/>
        </w:rPr>
      </w:pPr>
      <w:r>
        <w:rPr>
          <w:rFonts w:hAnsi="宋体" w:eastAsia="宋体"/>
          <w:sz w:val="21"/>
          <w:szCs w:val="21"/>
        </w:rPr>
        <w:t xml:space="preserve">  投标人：（单位盖章）</w:t>
      </w:r>
      <w:r>
        <w:rPr>
          <w:rFonts w:hAnsi="宋体" w:eastAsia="宋体"/>
          <w:sz w:val="21"/>
          <w:szCs w:val="21"/>
        </w:rPr>
      </w:r>
      <w:r/>
    </w:p>
    <w:p>
      <w:pPr>
        <w:pStyle w:val="917"/>
        <w:ind w:firstLine="3570"/>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9"/>
        <w:spacing w:before="480" w:after="240"/>
        <w:rPr>
          <w:rFonts w:hint="eastAsia"/>
        </w:rPr>
      </w:pPr>
      <w:r/>
      <w:bookmarkStart w:id="35" w:name="_Ref63328984"/>
      <w:r>
        <w:rPr>
          <w:rFonts w:hint="eastAsia"/>
        </w:rPr>
        <w:t xml:space="preserve">（投标方）法定代表人授权委托书</w:t>
      </w:r>
      <w:bookmarkEnd w:id="32"/>
      <w:r/>
      <w:bookmarkEnd w:id="34"/>
      <w:r/>
      <w:bookmarkEnd w:id="35"/>
      <w:r>
        <w:rPr>
          <w:rFonts w:hint="eastAsia"/>
        </w:rPr>
      </w:r>
      <w:r/>
    </w:p>
    <w:p>
      <w:pPr>
        <w:pStyle w:val="779"/>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79"/>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w:t>
      </w:r>
      <w:r>
        <w:rPr>
          <w:rFonts w:hint="eastAsia" w:ascii="宋体" w:hAnsi="宋体" w:eastAsia="宋体"/>
          <w:sz w:val="21"/>
          <w:szCs w:val="21"/>
        </w:rPr>
        <w:t xml:space="preserve">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hint="eastAsia" w:ascii="宋体" w:hAnsi="宋体" w:eastAsia="宋体"/>
          <w:sz w:val="21"/>
          <w:szCs w:val="21"/>
        </w:rPr>
        <w:t xml:space="preserve">（单位名称）的</w:t>
      </w:r>
      <w:r>
        <w:rPr>
          <w:rFonts w:ascii="宋体" w:hAnsi="宋体" w:eastAsia="宋体"/>
          <w:sz w:val="21"/>
          <w:szCs w:val="21"/>
          <w:u w:val="single"/>
        </w:rPr>
        <w:t xml:space="preserve">         </w:t>
      </w:r>
      <w:r>
        <w:rPr>
          <w:rFonts w:hint="eastAsia" w:ascii="宋体" w:hAnsi="宋体" w:eastAsia="宋体"/>
          <w:sz w:val="21"/>
          <w:szCs w:val="21"/>
        </w:rPr>
        <w:t xml:space="preserve">（姓名）为我公司代理人，以本公司的名义参加</w:t>
      </w:r>
      <w:r>
        <w:rPr>
          <w:rStyle w:val="829"/>
          <w:rFonts w:hint="eastAsia" w:ascii="宋体" w:hAnsi="宋体" w:eastAsia="宋体"/>
          <w:sz w:val="21"/>
          <w:szCs w:val="21"/>
        </w:rPr>
        <w:t xml:space="preserve">江苏正华新工程咨询有限公司</w:t>
      </w:r>
      <w:r>
        <w:rPr>
          <w:rFonts w:hint="eastAsia" w:ascii="宋体" w:hAnsi="宋体" w:eastAsia="宋体"/>
          <w:sz w:val="21"/>
          <w:szCs w:val="21"/>
        </w:rPr>
        <w:t xml:space="preserve">组织实施的编号为</w:t>
      </w:r>
      <w:r>
        <w:rPr>
          <w:rFonts w:hint="eastAsia" w:eastAsia="宋体"/>
          <w:color w:val="000000"/>
          <w:sz w:val="21"/>
          <w:szCs w:val="21"/>
        </w:rPr>
        <w:t xml:space="preserve">JSZC-320583-SZZH-G2026-0005</w:t>
      </w:r>
      <w:r>
        <w:rPr>
          <w:rFonts w:hint="eastAsia" w:ascii="宋体" w:hAnsi="宋体" w:eastAsia="宋体"/>
          <w:color w:val="000000"/>
          <w:sz w:val="21"/>
          <w:szCs w:val="21"/>
        </w:rPr>
        <w:t xml:space="preserve">号</w:t>
      </w:r>
      <w:r>
        <w:rPr>
          <w:rFonts w:hint="eastAsia" w:ascii="宋体" w:hAnsi="宋体" w:eastAsia="宋体"/>
          <w:sz w:val="21"/>
          <w:szCs w:val="21"/>
        </w:rPr>
        <w:t xml:space="preserve">的招标活动。代理人在开标、评标、合同过程中所签署的一切文件和处理与这有关的一切事务，我均予以承认。</w:t>
      </w:r>
      <w:r>
        <w:rPr>
          <w:rFonts w:ascii="宋体" w:hAnsi="宋体" w:eastAsia="宋体"/>
          <w:sz w:val="21"/>
          <w:szCs w:val="21"/>
        </w:rPr>
      </w:r>
      <w:r/>
    </w:p>
    <w:p>
      <w:pPr>
        <w:pStyle w:val="779"/>
        <w:ind w:right="-252"/>
        <w:spacing w:line="360" w:lineRule="auto"/>
        <w:rPr>
          <w:rFonts w:hint="eastAsia"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sz w:val="21"/>
          <w:szCs w:val="21"/>
        </w:rPr>
      </w:r>
      <w:r/>
    </w:p>
    <w:p>
      <w:pPr>
        <w:pStyle w:val="779"/>
        <w:spacing w:line="360" w:lineRule="auto"/>
        <w:rPr>
          <w:rFonts w:hint="eastAsia" w:ascii="宋体" w:hAnsi="宋体" w:eastAsia="宋体"/>
          <w:sz w:val="21"/>
          <w:szCs w:val="21"/>
        </w:rPr>
      </w:pPr>
      <w:r>
        <w:rPr>
          <w:rFonts w:hint="eastAsia" w:ascii="宋体" w:hAnsi="宋体" w:eastAsia="宋体"/>
          <w:sz w:val="21"/>
          <w:szCs w:val="21"/>
        </w:rPr>
        <w:t xml:space="preserve">代理人无权再委托</w:t>
      </w:r>
      <w:r>
        <w:rPr>
          <w:rFonts w:hint="eastAsia" w:ascii="宋体" w:hAnsi="宋体" w:eastAsia="宋体"/>
          <w:sz w:val="21"/>
          <w:szCs w:val="21"/>
        </w:rPr>
      </w:r>
      <w:r/>
    </w:p>
    <w:p>
      <w:pPr>
        <w:pStyle w:val="779"/>
        <w:ind w:firstLine="699"/>
        <w:spacing w:line="360" w:lineRule="auto"/>
        <w:rPr>
          <w:rFonts w:hint="eastAsia" w:ascii="宋体" w:hAnsi="宋体" w:eastAsia="宋体"/>
          <w:sz w:val="21"/>
          <w:szCs w:val="21"/>
        </w:rPr>
      </w:pPr>
      <w:r>
        <w:rPr>
          <w:rFonts w:hint="eastAsia" w:ascii="宋体" w:hAnsi="宋体" w:eastAsia="宋体"/>
          <w:sz w:val="21"/>
          <w:szCs w:val="21"/>
        </w:rPr>
        <w:t xml:space="preserve">特此委托</w:t>
      </w:r>
      <w:r>
        <w:rPr>
          <w:rFonts w:hint="eastAsia" w:ascii="宋体" w:hAnsi="宋体" w:eastAsia="宋体"/>
          <w:sz w:val="21"/>
          <w:szCs w:val="21"/>
        </w:rPr>
      </w:r>
      <w:r/>
    </w:p>
    <w:p>
      <w:pPr>
        <w:pStyle w:val="779"/>
        <w:ind w:firstLine="699"/>
        <w:spacing w:line="360" w:lineRule="auto"/>
        <w:rPr>
          <w:rFonts w:hint="eastAsia" w:ascii="宋体" w:hAnsi="宋体" w:eastAsia="宋体"/>
          <w:sz w:val="21"/>
          <w:szCs w:val="21"/>
        </w:rPr>
      </w:pPr>
      <w:r>
        <w:rPr>
          <w:rFonts w:hint="eastAsia" w:ascii="宋体" w:hAnsi="宋体" w:eastAsia="宋体"/>
          <w:sz w:val="21"/>
          <w:szCs w:val="21"/>
        </w:rPr>
      </w:r>
      <w:r/>
    </w:p>
    <w:p>
      <w:pPr>
        <w:pStyle w:val="757"/>
        <w:spacing w:line="360" w:lineRule="auto"/>
        <w:rPr>
          <w:rFonts w:ascii="宋体" w:hAnsi="宋体"/>
          <w:szCs w:val="21"/>
        </w:rPr>
      </w:pPr>
      <w:r>
        <w:rPr>
          <w:rFonts w:hint="eastAsia" w:ascii="宋体" w:hAnsi="宋体"/>
          <w:szCs w:val="21"/>
        </w:rPr>
        <w:t xml:space="preserve">被授权人姓名： </w:t>
      </w:r>
      <w:r>
        <w:rPr>
          <w:rFonts w:ascii="宋体" w:hAnsi="宋体"/>
          <w:szCs w:val="21"/>
        </w:rPr>
      </w:r>
      <w:r/>
    </w:p>
    <w:p>
      <w:pPr>
        <w:pStyle w:val="757"/>
        <w:spacing w:line="360" w:lineRule="auto"/>
        <w:rPr>
          <w:rFonts w:ascii="宋体" w:hAnsi="宋体"/>
          <w:szCs w:val="21"/>
        </w:rPr>
      </w:pPr>
      <w:r>
        <w:rPr>
          <w:rFonts w:hint="eastAsia" w:ascii="宋体" w:hAnsi="宋体"/>
          <w:szCs w:val="21"/>
        </w:rPr>
        <w:t xml:space="preserve">职务：</w:t>
      </w:r>
      <w:r>
        <w:rPr>
          <w:rFonts w:ascii="宋体" w:hAnsi="宋体"/>
          <w:szCs w:val="21"/>
        </w:rPr>
      </w:r>
      <w:r/>
    </w:p>
    <w:p>
      <w:pPr>
        <w:pStyle w:val="757"/>
        <w:spacing w:line="360" w:lineRule="auto"/>
        <w:rPr>
          <w:rFonts w:ascii="宋体" w:hAnsi="宋体"/>
          <w:szCs w:val="21"/>
        </w:rPr>
      </w:pPr>
      <w:r>
        <w:rPr>
          <w:rFonts w:hint="eastAsia" w:ascii="宋体" w:hAnsi="宋体"/>
          <w:szCs w:val="21"/>
        </w:rPr>
        <w:t xml:space="preserve">身份证号码：                        </w:t>
      </w:r>
      <w:r>
        <w:rPr>
          <w:rFonts w:ascii="宋体" w:hAnsi="宋体"/>
          <w:szCs w:val="21"/>
        </w:rPr>
      </w:r>
      <w:r/>
    </w:p>
    <w:p>
      <w:pPr>
        <w:pStyle w:val="757"/>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757"/>
        <w:spacing w:line="360" w:lineRule="auto"/>
        <w:rPr>
          <w:rFonts w:ascii="宋体" w:hAnsi="宋体"/>
          <w:szCs w:val="21"/>
        </w:rPr>
      </w:pPr>
      <w:r>
        <w:rPr>
          <w:rFonts w:hint="eastAsia" w:ascii="宋体" w:hAnsi="宋体"/>
          <w:szCs w:val="21"/>
        </w:rPr>
        <w:t xml:space="preserve">附双方身份证：</w:t>
      </w:r>
      <w:r>
        <w:rPr>
          <w:rFonts w:ascii="宋体" w:hAnsi="宋体"/>
          <w:szCs w:val="21"/>
        </w:rPr>
      </w:r>
      <w:r/>
    </w:p>
    <w:p>
      <w:pPr>
        <w:pStyle w:val="779"/>
        <w:ind w:firstLine="699"/>
        <w:spacing w:line="360" w:lineRule="auto"/>
        <w:rPr>
          <w:rFonts w:ascii="宋体" w:hAnsi="宋体" w:eastAsia="宋体"/>
          <w:sz w:val="21"/>
          <w:szCs w:val="21"/>
        </w:rPr>
      </w:pPr>
      <w:r>
        <w:rPr>
          <w:rFonts w:ascii="宋体" w:hAnsi="宋体" w:eastAsia="宋体"/>
          <w:sz w:val="21"/>
          <w:szCs w:val="21"/>
        </w:rPr>
      </w:r>
      <w:r/>
    </w:p>
    <w:p>
      <w:pPr>
        <w:pStyle w:val="757"/>
        <w:ind w:firstLine="5040"/>
        <w:jc w:val="right"/>
        <w:spacing w:line="360" w:lineRule="auto"/>
        <w:rPr>
          <w:rFonts w:hint="eastAsia" w:ascii="宋体" w:hAnsi="宋体"/>
          <w:szCs w:val="21"/>
        </w:rPr>
      </w:pPr>
      <w:r>
        <w:rPr>
          <w:rFonts w:hint="eastAsia" w:ascii="宋体" w:hAnsi="宋体"/>
          <w:szCs w:val="21"/>
        </w:rPr>
        <w:t xml:space="preserve">投标人：（单位盖章）</w:t>
      </w:r>
      <w:r>
        <w:rPr>
          <w:rFonts w:hint="eastAsia" w:ascii="宋体" w:hAnsi="宋体"/>
          <w:szCs w:val="21"/>
        </w:rPr>
      </w:r>
      <w:r/>
    </w:p>
    <w:p>
      <w:pPr>
        <w:pStyle w:val="917"/>
        <w:ind w:firstLine="5040"/>
        <w:jc w:val="right"/>
        <w:spacing w:line="360" w:lineRule="auto"/>
        <w:rPr>
          <w:rFonts w:hAnsi="宋体" w:eastAsia="宋体"/>
          <w:sz w:val="21"/>
          <w:szCs w:val="21"/>
        </w:rPr>
      </w:pPr>
      <w:r>
        <w:rPr>
          <w:rFonts w:hAnsi="宋体" w:eastAsia="宋体"/>
          <w:sz w:val="21"/>
          <w:szCs w:val="21"/>
        </w:rPr>
        <w:t xml:space="preserve">   </w:t>
      </w:r>
      <w:bookmarkStart w:id="36" w:name="_Ref363807957"/>
      <w:r/>
      <w:bookmarkStart w:id="37" w:name="_Ref12520342"/>
      <w:r>
        <w:rPr>
          <w:rFonts w:hAnsi="宋体" w:eastAsia="宋体"/>
          <w:sz w:val="21"/>
          <w:szCs w:val="21"/>
        </w:rPr>
        <w:t xml:space="preserve">法定代表人：（签字或盖章）</w:t>
      </w:r>
      <w:r>
        <w:rPr>
          <w:rFonts w:hAnsi="宋体" w:eastAsia="宋体"/>
          <w:sz w:val="21"/>
          <w:szCs w:val="21"/>
        </w:rPr>
      </w:r>
      <w:r/>
    </w:p>
    <w:p>
      <w:pPr>
        <w:pStyle w:val="917"/>
        <w:ind w:firstLine="5040"/>
        <w:jc w:val="right"/>
        <w:spacing w:line="360" w:lineRule="auto"/>
        <w:rPr>
          <w:rFonts w:hAnsi="宋体" w:eastAsia="宋体"/>
          <w:sz w:val="21"/>
          <w:szCs w:val="21"/>
        </w:rPr>
      </w:pPr>
      <w:r>
        <w:rPr>
          <w:rFonts w:hAnsi="宋体" w:eastAsia="宋体"/>
          <w:sz w:val="21"/>
          <w:szCs w:val="21"/>
        </w:rPr>
        <w:t xml:space="preserve">被授权人：（签字或盖章）</w:t>
      </w:r>
      <w:r>
        <w:rPr>
          <w:rFonts w:hAnsi="宋体" w:eastAsia="宋体"/>
          <w:sz w:val="21"/>
          <w:szCs w:val="21"/>
        </w:rPr>
      </w:r>
      <w:r/>
    </w:p>
    <w:p>
      <w:pPr>
        <w:pStyle w:val="917"/>
        <w:ind w:firstLine="504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759"/>
        <w:jc w:val="both"/>
        <w:spacing w:before="480" w:after="240"/>
        <w:rPr>
          <w:rFonts w:hint="eastAsia"/>
        </w:rPr>
      </w:pPr>
      <w:r/>
      <w:bookmarkStart w:id="38" w:name="_Ref12546113"/>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9"/>
        <w:spacing w:before="480" w:after="240"/>
      </w:pPr>
      <w:r/>
      <w:bookmarkStart w:id="39" w:name="_Ref150260621"/>
      <w:r>
        <w:t xml:space="preserve">开标一览表</w:t>
      </w:r>
      <w:bookmarkEnd w:id="36"/>
      <w:r/>
      <w:bookmarkEnd w:id="37"/>
      <w:r/>
      <w:bookmarkEnd w:id="38"/>
      <w:r/>
      <w:bookmarkEnd w:id="39"/>
      <w:r/>
      <w:r/>
    </w:p>
    <w:p>
      <w:pPr>
        <w:pStyle w:val="867"/>
        <w:ind w:firstLine="480"/>
        <w:spacing w:line="360" w:lineRule="auto"/>
        <w:rPr>
          <w:rFonts w:hAnsi="宋体" w:eastAsia="宋体"/>
          <w:sz w:val="21"/>
          <w:szCs w:val="21"/>
        </w:rPr>
      </w:pPr>
      <w:r>
        <w:rPr>
          <w:rFonts w:hint="eastAsia" w:hAnsi="宋体" w:eastAsia="宋体"/>
          <w:sz w:val="21"/>
          <w:szCs w:val="21"/>
        </w:rPr>
        <w:t xml:space="preserve">                                </w:t>
      </w:r>
      <w:r>
        <w:rPr>
          <w:rFonts w:hAnsi="宋体" w:eastAsia="宋体"/>
          <w:sz w:val="21"/>
          <w:szCs w:val="21"/>
        </w:rPr>
        <w:t xml:space="preserve">开标一览表（总报价）</w:t>
      </w:r>
      <w:r>
        <w:rPr>
          <w:rFonts w:hAnsi="宋体" w:eastAsia="宋体"/>
          <w:sz w:val="21"/>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t xml:space="preserve">投标人全称（加盖公章）： </w:t>
      </w:r>
      <w:r>
        <w:rPr>
          <w:rFonts w:hint="eastAsia" w:hAnsi="宋体" w:eastAsia="宋体"/>
          <w:sz w:val="21"/>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t xml:space="preserve">项目编号： </w:t>
      </w:r>
      <w:r>
        <w:rPr>
          <w:rFonts w:hint="eastAsia" w:hAnsi="宋体" w:eastAsia="宋体"/>
          <w:sz w:val="21"/>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t xml:space="preserve">分包号：采购包1</w:t>
      </w:r>
      <w:r>
        <w:rPr>
          <w:rFonts w:hint="eastAsia" w:hAnsi="宋体" w:eastAsia="宋体"/>
          <w:sz w:val="21"/>
          <w:szCs w:val="21"/>
        </w:rPr>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30"/>
        <w:gridCol w:w="4424"/>
      </w:tblGrid>
      <w:tr>
        <w:trPr>
          <w:trHeight w:val="818"/>
        </w:trPr>
        <w:tc>
          <w:tcPr>
            <w:tcW w:w="2198" w:type="dxa"/>
            <w:vAlign w:val="center"/>
            <w:textDirection w:val="lrTb"/>
            <w:noWrap/>
          </w:tcPr>
          <w:p>
            <w:pPr>
              <w:pStyle w:val="757"/>
              <w:jc w:val="left"/>
              <w:spacing w:line="360" w:lineRule="auto"/>
              <w:widowControl/>
              <w:rPr>
                <w:szCs w:val="21"/>
              </w:rPr>
            </w:pPr>
            <w:r>
              <w:rPr>
                <w:rFonts w:ascii="宋体" w:hAnsi="宋体" w:cs="宋体"/>
                <w:szCs w:val="21"/>
              </w:rPr>
              <w:t xml:space="preserve">项目名称</w:t>
            </w:r>
            <w:r>
              <w:rPr>
                <w:szCs w:val="21"/>
              </w:rPr>
            </w:r>
            <w:r/>
          </w:p>
        </w:tc>
        <w:tc>
          <w:tcPr>
            <w:tcW w:w="2683" w:type="dxa"/>
            <w:vAlign w:val="center"/>
            <w:textDirection w:val="lrTb"/>
            <w:noWrap/>
          </w:tcPr>
          <w:p>
            <w:pPr>
              <w:pStyle w:val="757"/>
              <w:jc w:val="left"/>
              <w:spacing w:line="360" w:lineRule="auto"/>
              <w:widowControl/>
              <w:rPr>
                <w:szCs w:val="21"/>
              </w:rPr>
            </w:pPr>
            <w:r>
              <w:rPr>
                <w:rFonts w:ascii="宋体" w:hAnsi="宋体" w:cs="宋体"/>
                <w:szCs w:val="21"/>
              </w:rPr>
              <w:t xml:space="preserve">投标总报价</w:t>
            </w:r>
            <w:r>
              <w:rPr>
                <w:szCs w:val="21"/>
              </w:rPr>
            </w:r>
            <w:r/>
          </w:p>
        </w:tc>
      </w:tr>
      <w:tr>
        <w:trPr>
          <w:trHeight w:val="818"/>
        </w:trPr>
        <w:tc>
          <w:tcPr>
            <w:tcW w:w="2198" w:type="dxa"/>
            <w:vAlign w:val="center"/>
            <w:textDirection w:val="lrTb"/>
            <w:noWrap/>
          </w:tcPr>
          <w:p>
            <w:pPr>
              <w:pStyle w:val="757"/>
              <w:spacing w:line="360" w:lineRule="auto"/>
              <w:rPr>
                <w:rFonts w:hint="eastAsia"/>
                <w:szCs w:val="21"/>
              </w:rPr>
            </w:pPr>
            <w:r>
              <w:rPr>
                <w:rFonts w:hint="eastAsia" w:ascii="宋体" w:hAnsi="宋体" w:cs="宋体"/>
                <w:szCs w:val="21"/>
              </w:rPr>
              <w:t xml:space="preserve">昆山第六人民医院异地新建污水系统租赁服务</w:t>
            </w:r>
            <w:r>
              <w:rPr>
                <w:rFonts w:hint="eastAsia"/>
                <w:szCs w:val="21"/>
              </w:rPr>
            </w:r>
            <w:r/>
          </w:p>
        </w:tc>
        <w:tc>
          <w:tcPr>
            <w:tcW w:w="2683" w:type="dxa"/>
            <w:vAlign w:val="center"/>
            <w:textDirection w:val="lrTb"/>
            <w:noWrap/>
          </w:tcPr>
          <w:p>
            <w:pPr>
              <w:pStyle w:val="757"/>
              <w:jc w:val="left"/>
              <w:spacing w:line="360" w:lineRule="auto"/>
              <w:widowControl/>
              <w:rPr>
                <w:szCs w:val="21"/>
              </w:rPr>
            </w:pPr>
            <w:r>
              <w:rPr>
                <w:rFonts w:ascii="宋体" w:hAnsi="宋体" w:cs="宋体"/>
                <w:szCs w:val="21"/>
              </w:rPr>
              <w:t xml:space="preserve">小写：</w:t>
            </w: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hint="eastAsia" w:ascii="宋体" w:hAnsi="宋体" w:cs="宋体"/>
                <w:szCs w:val="21"/>
              </w:rPr>
              <w:t xml:space="preserve">人民币）</w:t>
            </w:r>
            <w:r>
              <w:rPr>
                <w:szCs w:val="21"/>
              </w:rPr>
            </w:r>
            <w:r/>
          </w:p>
        </w:tc>
      </w:tr>
      <w:tr>
        <w:trPr>
          <w:trHeight w:val="818"/>
        </w:trPr>
        <w:tc>
          <w:tcPr>
            <w:tcW w:w="2198" w:type="dxa"/>
            <w:vAlign w:val="center"/>
            <w:textDirection w:val="lrTb"/>
            <w:noWrap/>
          </w:tcPr>
          <w:p>
            <w:pPr>
              <w:pStyle w:val="757"/>
              <w:jc w:val="left"/>
              <w:spacing w:line="360" w:lineRule="auto"/>
              <w:widowControl/>
              <w:rPr>
                <w:szCs w:val="21"/>
              </w:rPr>
            </w:pPr>
            <w:r>
              <w:rPr>
                <w:rFonts w:ascii="宋体" w:hAnsi="宋体" w:cs="宋体"/>
                <w:szCs w:val="21"/>
              </w:rPr>
              <w:t xml:space="preserve">投标报价大写金额</w:t>
            </w:r>
            <w:r>
              <w:rPr>
                <w:szCs w:val="21"/>
              </w:rPr>
            </w:r>
            <w:r/>
          </w:p>
        </w:tc>
        <w:tc>
          <w:tcPr>
            <w:tcW w:w="2683" w:type="dxa"/>
            <w:vAlign w:val="center"/>
            <w:textDirection w:val="lrTb"/>
            <w:noWrap/>
          </w:tcPr>
          <w:p>
            <w:pPr>
              <w:pStyle w:val="757"/>
              <w:jc w:val="left"/>
              <w:spacing w:line="360" w:lineRule="auto"/>
              <w:widowControl/>
              <w:rPr>
                <w:szCs w:val="21"/>
              </w:rPr>
            </w:pPr>
            <w:r>
              <w:rPr>
                <w:rFonts w:ascii="宋体" w:hAnsi="宋体" w:cs="宋体"/>
                <w:szCs w:val="21"/>
              </w:rPr>
              <w:t xml:space="preserve">金额大写 </w:t>
            </w:r>
            <w:r>
              <w:rPr>
                <w:szCs w:val="21"/>
              </w:rPr>
            </w:r>
            <w:r/>
          </w:p>
        </w:tc>
      </w:tr>
    </w:tbl>
    <w:p>
      <w:pPr>
        <w:pStyle w:val="867"/>
        <w:ind w:firstLine="480"/>
        <w:spacing w:line="360" w:lineRule="auto"/>
        <w:rPr>
          <w:rFonts w:hint="eastAsia" w:hAnsi="宋体" w:eastAsia="宋体"/>
          <w:sz w:val="21"/>
          <w:szCs w:val="21"/>
        </w:rPr>
      </w:pPr>
      <w:r>
        <w:rPr>
          <w:rFonts w:hint="eastAsia" w:hAnsi="宋体" w:eastAsia="宋体"/>
          <w:sz w:val="21"/>
          <w:szCs w:val="21"/>
        </w:rPr>
      </w:r>
      <w:r/>
    </w:p>
    <w:p>
      <w:pPr>
        <w:pStyle w:val="867"/>
        <w:ind w:firstLine="480"/>
        <w:spacing w:line="360" w:lineRule="auto"/>
        <w:rPr>
          <w:rFonts w:hAnsi="宋体" w:eastAsia="宋体"/>
          <w:sz w:val="21"/>
          <w:szCs w:val="21"/>
        </w:rPr>
      </w:pPr>
      <w:r>
        <w:rPr>
          <w:rFonts w:hAnsi="宋体" w:eastAsia="宋体"/>
          <w:sz w:val="21"/>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t xml:space="preserve">                                                                年   月  日</w:t>
      </w:r>
      <w:r>
        <w:rPr>
          <w:rFonts w:hint="eastAsia" w:hAnsi="宋体" w:eastAsia="宋体"/>
          <w:sz w:val="21"/>
          <w:szCs w:val="21"/>
        </w:rPr>
      </w:r>
      <w:r/>
    </w:p>
    <w:p>
      <w:pPr>
        <w:pStyle w:val="757"/>
        <w:spacing w:line="360" w:lineRule="auto"/>
        <w:rPr>
          <w:rFonts w:ascii="宋体" w:hAnsi="宋体"/>
          <w:szCs w:val="21"/>
        </w:rPr>
      </w:pPr>
      <w:r>
        <w:rPr>
          <w:rFonts w:ascii="宋体" w:hAnsi="宋体"/>
          <w:szCs w:val="21"/>
        </w:rPr>
        <w:t xml:space="preserve">填写说明：</w:t>
      </w:r>
      <w:r>
        <w:rPr>
          <w:rFonts w:ascii="宋体" w:hAnsi="宋体"/>
          <w:szCs w:val="21"/>
        </w:rPr>
      </w:r>
      <w:r/>
    </w:p>
    <w:p>
      <w:pPr>
        <w:pStyle w:val="757"/>
        <w:spacing w:line="360" w:lineRule="auto"/>
        <w:rPr>
          <w:rFonts w:ascii="宋体" w:hAnsi="宋体"/>
          <w:b/>
          <w:bCs/>
          <w:szCs w:val="21"/>
        </w:rPr>
      </w:pPr>
      <w:r>
        <w:rPr>
          <w:rFonts w:ascii="宋体" w:hAnsi="宋体"/>
          <w:b/>
          <w:bCs/>
          <w:szCs w:val="21"/>
        </w:rPr>
        <w:t xml:space="preserve">1、开标一览表必须加盖投标人公章（复印件无效）。</w:t>
      </w:r>
      <w:r>
        <w:rPr>
          <w:rFonts w:ascii="宋体" w:hAnsi="宋体"/>
          <w:b/>
          <w:bCs/>
          <w:szCs w:val="21"/>
        </w:rPr>
      </w:r>
      <w:r/>
    </w:p>
    <w:p>
      <w:pPr>
        <w:pStyle w:val="757"/>
        <w:spacing w:line="360" w:lineRule="auto"/>
        <w:rPr>
          <w:rFonts w:ascii="宋体" w:hAnsi="宋体"/>
          <w:b/>
          <w:bCs/>
          <w:szCs w:val="21"/>
        </w:rPr>
      </w:pPr>
      <w:r>
        <w:rPr>
          <w:rFonts w:ascii="宋体" w:hAnsi="宋体"/>
          <w:b/>
          <w:bCs/>
          <w:szCs w:val="21"/>
        </w:rPr>
        <w:t xml:space="preserve">2、如有分包，投标人投任何一个包的标的，都需单独填写开标一览表。</w:t>
      </w:r>
      <w:r>
        <w:rPr>
          <w:rFonts w:ascii="宋体" w:hAnsi="宋体"/>
          <w:b/>
          <w:bCs/>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r>
      <w:r/>
    </w:p>
    <w:p>
      <w:pPr>
        <w:pStyle w:val="867"/>
        <w:ind w:firstLine="480"/>
        <w:spacing w:line="360" w:lineRule="auto"/>
        <w:rPr>
          <w:rFonts w:hint="eastAsia" w:hAnsi="宋体" w:eastAsia="宋体"/>
          <w:sz w:val="21"/>
          <w:szCs w:val="21"/>
        </w:rPr>
      </w:pPr>
      <w:r>
        <w:rPr>
          <w:rFonts w:hint="eastAsia" w:hAnsi="宋体" w:eastAsia="宋体"/>
          <w:sz w:val="21"/>
          <w:szCs w:val="21"/>
        </w:rPr>
      </w:r>
      <w:r/>
    </w:p>
    <w:p>
      <w:pPr>
        <w:pStyle w:val="759"/>
        <w:spacing w:before="480" w:after="240"/>
      </w:pPr>
      <w:r>
        <w:rPr>
          <w:rFonts w:hint="eastAsia"/>
        </w:rPr>
        <w:t xml:space="preserve">公开分项报价</w:t>
      </w:r>
      <w:r/>
    </w:p>
    <w:p>
      <w:pPr>
        <w:pStyle w:val="867"/>
        <w:spacing w:line="360" w:lineRule="auto"/>
        <w:rPr>
          <w:rFonts w:hAnsi="宋体" w:eastAsia="宋体"/>
          <w:b/>
          <w:sz w:val="24"/>
        </w:rPr>
      </w:pPr>
      <w:r>
        <w:rPr>
          <w:rFonts w:hAnsi="宋体" w:eastAsia="宋体"/>
          <w:b/>
          <w:sz w:val="24"/>
        </w:rPr>
      </w:r>
      <w:r/>
    </w:p>
    <w:p>
      <w:pPr>
        <w:pStyle w:val="867"/>
        <w:jc w:val="center"/>
        <w:spacing w:line="360" w:lineRule="auto"/>
        <w:rPr>
          <w:rFonts w:hint="eastAsia" w:hAnsi="宋体" w:eastAsia="宋体"/>
          <w:color w:val="000000"/>
          <w:sz w:val="24"/>
        </w:rPr>
      </w:pPr>
      <w:r>
        <w:rPr>
          <w:rFonts w:hAnsi="宋体" w:eastAsia="宋体"/>
          <w:color w:val="000000"/>
          <w:sz w:val="24"/>
          <w:u w:val="single"/>
        </w:rPr>
        <w:t xml:space="preserve">                    </w:t>
      </w:r>
      <w:r>
        <w:rPr>
          <w:rFonts w:hAnsi="宋体" w:eastAsia="宋体"/>
          <w:color w:val="000000"/>
          <w:sz w:val="24"/>
        </w:rPr>
        <w:t xml:space="preserve"> </w:t>
      </w:r>
      <w:r>
        <w:rPr>
          <w:rFonts w:hint="eastAsia" w:hAnsi="宋体" w:eastAsia="宋体"/>
          <w:color w:val="000000"/>
          <w:sz w:val="24"/>
        </w:rPr>
        <w:t xml:space="preserve">公开分项报价</w:t>
      </w:r>
      <w:r>
        <w:rPr>
          <w:rFonts w:hint="eastAsia" w:hAnsi="宋体" w:eastAsia="宋体"/>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123"/>
        <w:gridCol w:w="3904"/>
        <w:gridCol w:w="1709"/>
        <w:gridCol w:w="2120"/>
      </w:tblGrid>
      <w:tr>
        <w:trPr>
          <w:trHeight w:val="348"/>
        </w:trPr>
        <w:tc>
          <w:tcPr>
            <w:gridSpan w:val="4"/>
            <w:tcBorders>
              <w:top w:val="single" w:color="000000" w:sz="4" w:space="0"/>
              <w:left w:val="single" w:color="000000" w:sz="4" w:space="0"/>
              <w:bottom w:val="single" w:color="000000" w:sz="4" w:space="0"/>
              <w:right w:val="single" w:color="000000" w:sz="4" w:space="0"/>
            </w:tcBorders>
            <w:tcW w:w="8856"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昆山市第六人民医院异地新建污水系统租赁服务汇总表</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价格（元）</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设备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运维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运维人员费用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耗材及消毒药剂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排污许可证及卫监要求检测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在线监测设备维护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在线监测软件平台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dxa"/>
            <w:vAlign w:val="center"/>
            <w:textDirection w:val="lrTb"/>
            <w:noWrap/>
          </w:tcPr>
          <w:p>
            <w:pPr>
              <w:pStyle w:val="757"/>
              <w:jc w:val="left"/>
              <w:widowControl/>
              <w:rPr>
                <w:rFonts w:ascii="宋体" w:hAnsi="宋体" w:cs="宋体"/>
                <w:color w:val="000000"/>
                <w:szCs w:val="21"/>
              </w:rPr>
            </w:pPr>
            <w:r>
              <w:rPr>
                <w:rFonts w:hint="eastAsia" w:ascii="宋体" w:hAnsi="宋体" w:cs="宋体"/>
                <w:color w:val="000000"/>
                <w:szCs w:val="21"/>
                <w:lang w:bidi="ar"/>
              </w:rPr>
              <w:t xml:space="preserve">合计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5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757"/>
              <w:jc w:val="center"/>
              <w:widowControl/>
              <w:rPr>
                <w:rFonts w:ascii="宋体" w:hAnsi="宋体" w:cs="宋体"/>
                <w:color w:val="000000"/>
                <w:szCs w:val="21"/>
              </w:rPr>
            </w:pPr>
            <w:r>
              <w:rPr>
                <w:rFonts w:ascii="宋体" w:hAnsi="宋体" w:cs="宋体"/>
                <w:color w:val="000000"/>
                <w:szCs w:val="21"/>
              </w:rPr>
            </w:r>
            <w:r/>
          </w:p>
        </w:tc>
      </w:tr>
    </w:tbl>
    <w:p>
      <w:pPr>
        <w:pStyle w:val="867"/>
        <w:jc w:val="center"/>
        <w:spacing w:line="360" w:lineRule="auto"/>
        <w:rPr>
          <w:rFonts w:hAnsi="宋体" w:eastAsia="宋体"/>
          <w:color w:val="ff0000"/>
          <w:sz w:val="24"/>
        </w:rPr>
      </w:pPr>
      <w:r>
        <w:rPr>
          <w:rFonts w:hAnsi="宋体" w:eastAsia="宋体"/>
          <w:color w:val="ff0000"/>
          <w:sz w:val="24"/>
        </w:rPr>
      </w:r>
      <w:r/>
    </w:p>
    <w:tbl>
      <w:tblPr>
        <w:tblW w:w="9029" w:type="dxa"/>
        <w:tblInd w:w="-12" w:type="dxa"/>
        <w:tblLayout w:type="autofit"/>
        <w:tblCellMar>
          <w:left w:w="108" w:type="dxa"/>
          <w:top w:w="0" w:type="dxa"/>
          <w:right w:w="108" w:type="dxa"/>
          <w:bottom w:w="0" w:type="dxa"/>
        </w:tblCellMar>
        <w:tblLook w:val="04A0" w:firstRow="1" w:lastRow="0" w:firstColumn="1" w:lastColumn="0" w:noHBand="0" w:noVBand="1"/>
      </w:tblPr>
      <w:tblGrid>
        <w:gridCol w:w="540"/>
        <w:gridCol w:w="1224"/>
        <w:gridCol w:w="948"/>
        <w:gridCol w:w="2577"/>
        <w:gridCol w:w="640"/>
        <w:gridCol w:w="640"/>
        <w:gridCol w:w="930"/>
        <w:gridCol w:w="1530"/>
      </w:tblGrid>
      <w:tr>
        <w:trPr>
          <w:trHeight w:val="600"/>
        </w:trPr>
        <w:tc>
          <w:tcPr>
            <w:gridSpan w:val="8"/>
            <w:tcBorders>
              <w:top w:val="single" w:color="000000" w:sz="4" w:space="0"/>
              <w:left w:val="single" w:color="000000" w:sz="4" w:space="0"/>
              <w:bottom w:val="single" w:color="000000" w:sz="4" w:space="0"/>
              <w:right w:val="single" w:color="000000" w:sz="4" w:space="0"/>
            </w:tcBorders>
            <w:tcW w:w="9029"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昆山第六人民医院异地新建污水系统租赁服务-设备</w:t>
            </w: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序号</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名  称</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参考品牌</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规格</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单位</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数量</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单价</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总价（元）</w:t>
            </w:r>
            <w:r>
              <w:rPr>
                <w:rFonts w:ascii="宋体" w:hAnsi="宋体" w:cs="仿宋"/>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一</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预处理水池（池体土建建设）</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手动格栅</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格栅间隙：10mm            </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格栅尺寸：依据格栅池体定制</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消毒池循环泵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河见、南方、凯泉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流量：9m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扬程：6m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功率：0.4kw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排放泵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河见、南方、凯泉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流量：9m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扬程：6m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功率：0.4kw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背压阀</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工作压力：0-0.8MPa   </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材质：UPVC</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大小：DN15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压力：0.6Mpa</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泵速：100min－1</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膜片规格：84㎜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电机功率：60W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电压：380V/50Hz</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进出口：软管接头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脱氯加药箱</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大自然、祥盛塑业、恒毅环保</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PE,加药箱，300L；</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配套搅拌机；</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杆式液位，低液位，根据加药箱液位定做</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背压阀</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工作压力：0-0.8MPa   </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材质：UPVC</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大小：DN15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压力：0.6Mpa</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泵速：100min－1</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膜片规格：84㎜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电机功率：60W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电压：380V/50Hz</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进出口：软管接头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电柜</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含其余电器元件、电气控制系统、组态程序、人机界面；详见电气清单</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管道沟</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长度60米，宽度300mm,深度500mm.开挖、预埋及回填</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预埋管件及电缆</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DN25化工UPVC长度240米,DN50化工UPVC长度80米，电缆电线长度560米</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二</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格栅池（池体土建建设）</w:t>
            </w:r>
            <w:r>
              <w:rPr>
                <w:rFonts w:hint="eastAsia" w:ascii="宋体" w:hAnsi="宋体" w:cs="仿宋"/>
                <w:b/>
                <w:bCs/>
                <w:color w:val="000000"/>
                <w:szCs w:val="21"/>
                <w:lang w:bidi="ar"/>
              </w:rPr>
              <w:br w:type="textWrapping" w:clear="all"/>
            </w:r>
            <w:r>
              <w:rPr>
                <w:rFonts w:hint="eastAsia" w:ascii="宋体" w:hAnsi="宋体" w:cs="仿宋"/>
                <w:b/>
                <w:bCs/>
                <w:color w:val="000000"/>
                <w:szCs w:val="21"/>
                <w:lang w:bidi="ar"/>
              </w:rPr>
              <w:t xml:space="preserve">池内壁尺寸（L）2500*（W）900*（H）6000mm</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机械格栅</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格栅池尺寸：渠宽＝900mm，渠高＝4000mm；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处理量：21m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栅隙：10mm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材质：SUS304</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集渣装置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依据格栅尺寸定制；</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L1200*W500*H800mm（±1%）,</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集渣装置高度由粗格栅高度定，底部需要有滤水装置,滤水收集到格栅池 </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格栅收集罩子</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尺寸：L4100*W1500*H2500mm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岩棉夹心板50mm,外部装饰五面，灰色铝合金百叶窗，预留检修门2处:外开式双开门，高度1800mm，宽度1200mm。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三</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调节池（池体土建建设）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提升泵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扬程：14m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功率：2.2KW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切割泵，配套耦合装置；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智能流量计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科旗、创造、杭州米科</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DN65；防水型</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聚四氟乙烯（PTFE）衬里</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RS232通讯地、（24V）电源输入</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法兰接口</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含耦合器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池体深度6m；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人孔尺寸：L1000*W700mm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四</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应急池（池体土建建设）</w:t>
            </w:r>
            <w:r>
              <w:rPr>
                <w:rFonts w:ascii="宋体" w:hAnsi="宋体" w:cs="仿宋"/>
                <w:b/>
                <w:bCs/>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提升泵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扬程：14m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功率：2.2KW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切割泵，配套耦合装置；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含耦合器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池体深度6m；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人孔尺寸：L1000*W1000mm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五</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污泥池（池体土建建设）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污泥泵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扬程：10m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功率：1.5KW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电压：380V/50Hz</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功率：0.85KW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含耦合器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池体深度6m；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人孔尺寸：L1000*W1000mm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六</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缺氧池（池体土建建设）</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含耦合器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池体深度6m；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人孔尺寸：L1000*W1000mm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组合填料</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塑料环，填料@150mm,L:2.5m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m</w:t>
            </w:r>
            <w:r>
              <w:rPr>
                <w:rStyle w:val="1137"/>
                <w:rFonts w:ascii="宋体" w:hAnsi="宋体" w:eastAsia="宋体"/>
                <w:sz w:val="21"/>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118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填料支架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规格：150*150mm，四角螺栓固定孔</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材质：SUS304，防腐处理</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70</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七</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好氧池（池体土建建设）</w:t>
            </w:r>
            <w:r>
              <w:rPr>
                <w:rFonts w:ascii="宋体" w:hAnsi="宋体" w:cs="仿宋"/>
                <w:b/>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组合填料</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塑料环，填料@150mm,L:2.5m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m</w:t>
            </w:r>
            <w:r>
              <w:rPr>
                <w:rStyle w:val="1137"/>
                <w:rFonts w:ascii="宋体" w:hAnsi="宋体" w:eastAsia="宋体"/>
                <w:sz w:val="21"/>
                <w:szCs w:val="21"/>
                <w:lang w:bidi="ar"/>
              </w:rPr>
              <w:t xml:space="preserve">3</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200</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填料支架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规格：150*150mm，四角螺栓固定孔</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曝气系统</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配套；</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水池尺寸;L5300*4000mm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面积：21.2㎡</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UPVC（含底座）</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微孔曝气盘</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Φ215（膜片硅橡胶）</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ABS+硅橡胶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126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内回流泵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扬程：10m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功率：1.5KW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电压：380V/50Hz</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出水堰及挡板</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B=300mm,材质SUS304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八</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沉淀池（池体土建建设）</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导流筒</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高度2.5m（上口直径0.6m，下口直径0.81m,含反射板）</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防止池体泥斗高度导致导流筒进不去，做成2段池内螺栓对接紧固。</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固定支架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8#槽钢</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材质：碳钢，防腐处理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沉淀池出水堰及出水挡板</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B=300mm,材质SUS304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九</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污泥回流池（池体土建建设）</w:t>
            </w:r>
            <w:r>
              <w:rPr>
                <w:rFonts w:ascii="宋体" w:hAnsi="宋体" w:cs="仿宋"/>
                <w:b/>
                <w:bCs/>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污泥回流泵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扬程：10m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功率：1.5KW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电压：380V/50Hz</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排放池（池体土建建设）</w:t>
            </w:r>
            <w:r>
              <w:rPr>
                <w:rFonts w:ascii="宋体" w:hAnsi="宋体" w:cs="仿宋"/>
                <w:b/>
                <w:bCs/>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循环回流泵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流量：23m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扬程：14m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功率：2.2KW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排放泵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流量：23m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扬程：14m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功率：2.2KW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口径：DN65</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配套耦合装置；</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探头：静压式；</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量程：0-6m；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输出4~20mA；</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分体式表头：DC24V，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带立式柱显</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材质：不锈钢</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巴歇尔槽</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2#巴歇尔槽，Q=0~47m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计量槽材质SUS304；</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配套超声波流量计.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采样泵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流量：18m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扬程：15m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功率：1.5KW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电压：380V/50Hz</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口径：DN50</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采样泵</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新界、凯泉、南方</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流量：1m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扬程：15m</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功率：0.37KW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电压：220V/50Hz</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材质：铸铁</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十一</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设备间（土建建设）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回转式鼓风机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百事德、永成、川源</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风压：0.5Kgf/cm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风量：5.11m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/min</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功率：7.5KW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口径：DN80</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电控配变频</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鼓风机变频控制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配套鼓风机用</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含电柜、含3个变频器</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风机房隔音</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房间内部尺寸：L5.8*W3.4*H5.5m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制作型式：表面贴消音棉</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消音棉材质：阻燃聚氨酯</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厚度≥40mm；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距离地面300mm高度一圈制作不锈钢304护板，护板厚度1.5mm，防止消音棉被破坏。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十二</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加药间（土建建设）</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加药箱</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大自然、祥盛塑业、恒毅环保</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加药桶：1500L，材质PE；</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直径1170m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配套透明可视液位；</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流量:0-25L/H</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DMS200</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流量:0-5L/H</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加药泵固定支架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成品，不锈钢支架，固定安装4台加药泵</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药箱液位</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杆式液位，高低液位</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十三</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电控间（土建建设）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电控系统</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触摸屏、通讯模块及其它元器件、远程控制系统（电脑端和手机端）</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含监控、在线监测盒、4G网络天线</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总余氯检测仪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科瑞达、泽铭、苏州科特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lang w:bidi="ar"/>
              </w:rPr>
            </w:pP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测量方法：分光光度法</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带PH计</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测量范围：0~10mg/L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DPD比色法，测量精确、稳定；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内置校正曲线，用户校准可直接调用；支持用户手动校准（零点和不超过2个浓度点校准）；支持过程校准；</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支持多种测量方式：连续测量；间隔测量；手动测定；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测量间隔可选择：10min-12h,每次间隔10min,用户使用更方便；</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具有隔离(4～20)mA和RS485输出；</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具有自动上、下限报警功能；</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具有断电数据保持电路, 即使非正常停电, 仪器内部贮存的数据仍有效， 开机后勿需校准即可进入测量；</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主要性能参数</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分辨率：0.01mg/L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 示值误差：≤1mg/L：±0.05 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＞1mg/L：±5%</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重复性：≤1mg/L：±0.025 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＞1mg/L：±3%</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检出限：不大于0.05mg/L。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输出信号：隔离（4～20）mA，最大负载为750Ω。 </w:t>
            </w:r>
            <w:r>
              <w:rPr>
                <w:rFonts w:hint="eastAsia" w:ascii="宋体" w:hAnsi="宋体" w:cs="仿宋"/>
                <w:color w:val="000000"/>
                <w:szCs w:val="21"/>
              </w:rPr>
            </w:r>
            <w:r/>
          </w:p>
          <w:p>
            <w:pPr>
              <w:pStyle w:val="757"/>
              <w:jc w:val="left"/>
              <w:widowControl/>
              <w:rPr>
                <w:rFonts w:ascii="宋体" w:hAnsi="宋体" w:cs="仿宋"/>
                <w:color w:val="000000"/>
                <w:szCs w:val="21"/>
              </w:rPr>
            </w:pPr>
            <w:r>
              <w:rPr>
                <w:rFonts w:hint="eastAsia" w:ascii="宋体" w:hAnsi="宋体" w:cs="仿宋"/>
                <w:color w:val="000000"/>
                <w:szCs w:val="21"/>
              </w:rPr>
              <w:t xml:space="preserve">报警、控制继电器触点容量：2.5A，250V交流（无感），报警控制精度：±1.0%FS。含取样泵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PH计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三泽、源泓、苏州科特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lang w:bidi="ar"/>
              </w:rPr>
            </w:pPr>
            <w:r>
              <w:rPr>
                <w:rFonts w:hint="eastAsia" w:ascii="宋体" w:hAnsi="宋体" w:cs="仿宋"/>
                <w:color w:val="000000"/>
                <w:szCs w:val="21"/>
                <w:lang w:bidi="ar"/>
              </w:rPr>
              <w:t xml:space="preserve">PC-1000</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量</w:t>
            </w:r>
            <w:r>
              <w:rPr>
                <w:rFonts w:hint="eastAsia" w:ascii="宋体" w:hAnsi="宋体" w:cs="仿宋"/>
                <w:color w:val="000000"/>
                <w:szCs w:val="21"/>
              </w:rPr>
              <w:tab/>
            </w:r>
            <w:r>
              <w:rPr>
                <w:rFonts w:hint="eastAsia" w:ascii="宋体" w:hAnsi="宋体" w:cs="仿宋"/>
                <w:color w:val="000000"/>
                <w:szCs w:val="21"/>
              </w:rPr>
              <w:t xml:space="preserve">程：pH: -2.00～16.00pH；ORP: -1999～+1999mV；Temp.: -30.0～130.0℃</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解析度：pH: 0.01pH ； ORP: 1mV；Temp.: 0.1℃  输出负载：max750Ω</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精 确 度：pH: 0.01pH±1Digit  ORP: 1mV±1Digit</w:t>
            </w:r>
            <w:r>
              <w:rPr>
                <w:rFonts w:hint="eastAsia" w:ascii="宋体" w:hAnsi="宋体" w:cs="仿宋"/>
                <w:color w:val="000000"/>
                <w:szCs w:val="21"/>
              </w:rPr>
              <w:tab/>
            </w:r>
            <w:r>
              <w:rPr>
                <w:rFonts w:hint="eastAsia" w:ascii="宋体" w:hAnsi="宋体" w:cs="仿宋"/>
                <w:color w:val="000000"/>
                <w:szCs w:val="21"/>
              </w:rPr>
              <w:t xml:space="preserve">    Temp.: 0.1%±1Digit</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温度补偿：自动温度补偿 Pt1000、Pt100双模式选择；手动温度补偿 按键设定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继电器输出：高低点、区间值任意设定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清洗接点：程序设定时间控制；兼容高点或低点功能</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模拟输出：2路隔离式4～20mA输出可程序对应pH/ORP、Temp.设定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数位输出：RS-485 Modbus标准数字量通讯</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溶液接地：可消除溶液带电干扰</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工作温度：-20～60℃</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电源输入：88～265V AC宽电源、50/60Hz；或24V DC可选</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防护等级：IP65</w:t>
            </w:r>
            <w:r>
              <w:rPr>
                <w:rFonts w:hint="eastAsia" w:ascii="宋体" w:hAnsi="宋体" w:cs="仿宋"/>
                <w:color w:val="000000"/>
                <w:szCs w:val="21"/>
              </w:rPr>
            </w:r>
            <w:r/>
          </w:p>
          <w:p>
            <w:pPr>
              <w:pStyle w:val="757"/>
              <w:jc w:val="left"/>
              <w:widowControl/>
              <w:rPr>
                <w:rFonts w:ascii="宋体" w:hAnsi="宋体" w:cs="仿宋"/>
                <w:color w:val="000000"/>
                <w:szCs w:val="21"/>
              </w:rPr>
            </w:pPr>
            <w:r>
              <w:rPr>
                <w:rFonts w:ascii="宋体" w:hAnsi="宋体" w:cs="仿宋"/>
                <w:color w:val="000000"/>
                <w:szCs w:val="21"/>
              </w:rPr>
              <w:t xml:space="preserve">CCEP</w:t>
            </w:r>
            <w:r>
              <w:rPr>
                <w:rFonts w:hint="eastAsia" w:ascii="宋体" w:hAnsi="宋体" w:cs="仿宋"/>
                <w:color w:val="000000"/>
                <w:szCs w:val="21"/>
              </w:rPr>
              <w:t xml:space="preserve">中国环境保护产品认证</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数据采集仪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神采、源泓、天一信德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lang w:bidi="ar"/>
              </w:rPr>
            </w:pPr>
            <w:r>
              <w:rPr>
                <w:rFonts w:hint="eastAsia" w:ascii="宋体" w:hAnsi="宋体" w:cs="仿宋"/>
                <w:color w:val="000000"/>
                <w:szCs w:val="21"/>
                <w:lang w:bidi="ar"/>
              </w:rPr>
              <w:t xml:space="preserve">环保用数采仪</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检测设备数据采集，确保数据联网上传至环保局相关平台</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氨氮检测仪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测量范围：0-300mg/L,中国环境保护产品认证（CCEP）；符合国家标准，确保数据准确上传，通过环保验收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COD在线检测仪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测量范围：0-1500mg/L,中国环境保护产品认证（CCEP），符合国家标准，确保数据准确上传，通过环保验收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等比例采样器</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1、采样时间间隔1～99h59min</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2、采样量1～2000mL</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3、采样精度优于±5％</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4、流量输入信号4～20mA</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5、流量测量范围0～9999t/hMTBF＞3000h</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6、工作电压(220±15%)V.AC仪器噪声≤60dB</w:t>
            </w:r>
            <w:r>
              <w:rPr>
                <w:rFonts w:hint="eastAsia" w:ascii="宋体" w:hAnsi="宋体" w:cs="仿宋"/>
                <w:color w:val="000000"/>
                <w:szCs w:val="21"/>
                <w:lang w:bidi="ar"/>
              </w:rPr>
            </w:r>
            <w:r/>
          </w:p>
          <w:p>
            <w:pPr>
              <w:pStyle w:val="757"/>
              <w:jc w:val="left"/>
              <w:widowControl/>
              <w:rPr>
                <w:rFonts w:ascii="宋体" w:hAnsi="宋体" w:cs="仿宋"/>
                <w:color w:val="000000"/>
                <w:szCs w:val="21"/>
              </w:rPr>
            </w:pPr>
            <w:r>
              <w:rPr>
                <w:rFonts w:hint="eastAsia" w:ascii="宋体" w:hAnsi="宋体" w:cs="仿宋"/>
                <w:color w:val="000000"/>
                <w:szCs w:val="21"/>
                <w:lang w:bidi="ar"/>
              </w:rPr>
              <w:t xml:space="preserve">7、采样方式超标留样、定时定量、定流定量、定时比例、定量、平行监测留样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十四</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废气处理设备（地基土建建设）</w:t>
            </w:r>
            <w:r>
              <w:rPr>
                <w:rFonts w:ascii="宋体" w:hAnsi="宋体" w:cs="仿宋"/>
                <w:b/>
                <w:bCs/>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光催化+活性炭吸附一体机（含风机）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风量：5000m</w:t>
            </w:r>
            <w:r>
              <w:rPr>
                <w:rFonts w:hint="eastAsia" w:ascii="宋体" w:hAnsi="宋体" w:cs="宋体"/>
                <w:color w:val="000000"/>
                <w:szCs w:val="21"/>
                <w:lang w:bidi="ar"/>
              </w:rPr>
              <w:t xml:space="preserve">³</w:t>
            </w:r>
            <w:r>
              <w:rPr>
                <w:rStyle w:val="1132"/>
                <w:rFonts w:ascii="宋体" w:hAnsi="宋体" w:eastAsia="宋体"/>
                <w:sz w:val="21"/>
                <w:szCs w:val="21"/>
                <w:lang w:bidi="ar"/>
              </w:rPr>
              <w:t xml:space="preserve">/h</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光催化+活性炭吸附一体机（含风机）</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设备内部隔音；</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设备功率：5.5KW</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含管道风阀、软接头；</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含取样、及固定支架</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含变频电机及变频器</w:t>
            </w:r>
            <w:r>
              <w:rPr>
                <w:rStyle w:val="1132"/>
                <w:rFonts w:ascii="宋体" w:hAnsi="宋体" w:eastAsia="宋体"/>
                <w:sz w:val="21"/>
                <w:szCs w:val="21"/>
                <w:lang w:bidi="ar"/>
              </w:rPr>
              <w:br w:type="textWrapping" w:clear="all"/>
            </w:r>
            <w:r>
              <w:rPr>
                <w:rStyle w:val="1132"/>
                <w:rFonts w:ascii="宋体" w:hAnsi="宋体" w:eastAsia="宋体"/>
                <w:sz w:val="21"/>
                <w:szCs w:val="21"/>
                <w:lang w:bidi="ar"/>
              </w:rPr>
              <w:t xml:space="preserve">其中活性炭碘值≥800</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井字架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排放高度15m；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井字架、取样平台、及固定支架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十五</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压泥间</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叠螺式脱水机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无锡凌德、万洁、领旗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DS-5Kg/h</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配置脱水主体、电控柜、絮凝搅拌槽、集液槽、冲洗装置、主轴</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材质：不锈钢</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含投药装置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加药桶200L+配套搅拌机+计量泵系统</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功率：1.5KW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电压：380V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材质：PE</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气动隔膜泵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威马、美宝、隆恩特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型号：8040A，</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尺寸：330*490（mm),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流量：8吨/小时，</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口径：1.5寸，</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气口径：12mm</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扬程：0~50米</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进出口径：1.5寸</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材质：铝合金</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气泵</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胜斯特、英格索兰、寿力</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型号22V-0.25-8，</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电压220V，</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功率2.2KW，</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容量70L，</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流量0.25m3/min,</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尺寸：90*37*71（cm)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十六</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管材管件辅材部分</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管阀件、线材、辅材（含部分管道保温）</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94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管阀件、线材（含部分管道保温）</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油漆、标示、KT板</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b/>
                <w:bCs/>
                <w:color w:val="000000"/>
                <w:szCs w:val="21"/>
              </w:rPr>
            </w:pPr>
            <w:r>
              <w:rPr>
                <w:rFonts w:hint="eastAsia" w:ascii="宋体" w:hAnsi="宋体" w:cs="仿宋"/>
                <w:b/>
                <w:bCs/>
                <w:color w:val="000000"/>
                <w:szCs w:val="21"/>
                <w:lang w:bidi="ar"/>
              </w:rPr>
              <w:t xml:space="preserve">十七</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757"/>
              <w:jc w:val="left"/>
              <w:widowControl/>
              <w:rPr>
                <w:rFonts w:ascii="宋体" w:hAnsi="宋体" w:cs="仿宋"/>
                <w:b/>
                <w:bCs/>
                <w:color w:val="000000"/>
                <w:szCs w:val="21"/>
              </w:rPr>
            </w:pPr>
            <w:r>
              <w:rPr>
                <w:rFonts w:hint="eastAsia" w:ascii="宋体" w:hAnsi="宋体" w:cs="仿宋"/>
                <w:b/>
                <w:bCs/>
                <w:color w:val="000000"/>
                <w:szCs w:val="21"/>
                <w:lang w:bidi="ar"/>
              </w:rPr>
              <w:t xml:space="preserve">其它部分</w:t>
            </w:r>
            <w:r>
              <w:rPr>
                <w:rFonts w:ascii="宋体" w:hAnsi="宋体" w:cs="仿宋"/>
                <w:b/>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水质检测费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第三方取样检测、出具报告</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次</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废气检测</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第三方取样检测、出具报告</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安装调试</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污水站设备安装及单机调试、设备联动调试、进水调试、操作培训等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吊装费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KT板</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widowControl/>
              <w:rPr>
                <w:rFonts w:ascii="宋体" w:hAnsi="宋体" w:cs="仿宋"/>
                <w:color w:val="000000"/>
                <w:szCs w:val="21"/>
              </w:rPr>
            </w:pPr>
            <w:r>
              <w:rPr>
                <w:rFonts w:hint="eastAsia" w:ascii="宋体" w:hAnsi="宋体" w:cs="仿宋"/>
                <w:color w:val="000000"/>
                <w:szCs w:val="21"/>
                <w:lang w:bidi="ar"/>
              </w:rPr>
              <w:t xml:space="preserve">KT板、排放标志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十八</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总价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57"/>
              <w:jc w:val="left"/>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bl>
    <w:p>
      <w:pPr>
        <w:pStyle w:val="917"/>
        <w:ind w:firstLine="5760"/>
        <w:spacing w:line="360" w:lineRule="auto"/>
        <w:rPr>
          <w:rFonts w:ascii="Tahoma" w:hAnsi="Tahoma"/>
          <w:sz w:val="24"/>
        </w:rPr>
      </w:pPr>
      <w:r>
        <w:rPr>
          <w:rFonts w:ascii="Tahoma" w:hAnsi="Tahoma"/>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89"/>
        <w:gridCol w:w="1909"/>
        <w:gridCol w:w="1840"/>
        <w:gridCol w:w="4018"/>
      </w:tblGrid>
      <w:tr>
        <w:trPr>
          <w:trHeight w:val="288"/>
        </w:trPr>
        <w:tc>
          <w:tcPr>
            <w:gridSpan w:val="4"/>
            <w:tcBorders>
              <w:top w:val="none" w:color="000000" w:sz="0" w:space="0"/>
              <w:left w:val="none" w:color="000000" w:sz="0" w:space="0"/>
              <w:bottom w:val="none" w:color="000000" w:sz="0" w:space="0"/>
              <w:right w:val="none" w:color="000000" w:sz="0" w:space="0"/>
            </w:tcBorders>
            <w:tcW w:w="8856"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运维人员费用清单</w:t>
            </w: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内容</w:t>
            </w:r>
            <w:r>
              <w:rPr>
                <w:rFonts w:ascii="宋体" w:hAnsi="宋体" w:cs="仿宋"/>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日常巡检维护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按照污水站运维需求，每周2人/3 次巡检运维；运维人员持证上岗</w:t>
            </w:r>
            <w:r>
              <w:rPr>
                <w:rFonts w:ascii="宋体" w:hAnsi="宋体" w:cs="仿宋"/>
                <w:color w:val="000000"/>
                <w:szCs w:val="21"/>
              </w:rPr>
            </w:r>
            <w:r/>
          </w:p>
        </w:tc>
      </w:tr>
      <w:tr>
        <w:trPr>
          <w:trHeight w:val="8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定期设备保养</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按照污水站各系统保养计划月度、季度、年度保养、污泥压制要求配置人员；运维人员持证上岗</w:t>
            </w:r>
            <w:r>
              <w:rPr>
                <w:rFonts w:ascii="宋体" w:hAnsi="宋体" w:cs="仿宋"/>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应急处置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运维单位设置应急小组及技术支持；应对突发情况处置；应急人员持证上岗；</w:t>
            </w:r>
            <w:r>
              <w:rPr>
                <w:rFonts w:ascii="宋体" w:hAnsi="宋体" w:cs="仿宋"/>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合计三年费用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57"/>
              <w:jc w:val="center"/>
              <w:rPr>
                <w:rFonts w:ascii="宋体" w:hAnsi="宋体" w:cs="宋体"/>
                <w:color w:val="000000"/>
                <w:szCs w:val="21"/>
              </w:rPr>
            </w:pPr>
            <w:r>
              <w:rPr>
                <w:rFonts w:ascii="宋体" w:hAnsi="宋体" w:cs="宋体"/>
                <w:color w:val="000000"/>
                <w:szCs w:val="21"/>
              </w:rPr>
            </w:r>
            <w:r/>
          </w:p>
        </w:tc>
      </w:tr>
    </w:tbl>
    <w:p>
      <w:pPr>
        <w:pStyle w:val="917"/>
        <w:ind w:firstLine="5760"/>
        <w:spacing w:line="360" w:lineRule="auto"/>
        <w:rPr>
          <w:rFonts w:ascii="Tahoma" w:hAnsi="Tahoma"/>
          <w:sz w:val="24"/>
        </w:rPr>
      </w:pPr>
      <w:r>
        <w:rPr>
          <w:rFonts w:ascii="Tahoma" w:hAnsi="Tahoma"/>
          <w:sz w:val="24"/>
        </w:rPr>
      </w:r>
      <w:r/>
    </w:p>
    <w:p>
      <w:pPr>
        <w:pStyle w:val="917"/>
        <w:ind w:firstLine="5760"/>
        <w:spacing w:line="360" w:lineRule="auto"/>
        <w:rPr>
          <w:rFonts w:ascii="Tahoma" w:hAnsi="Tahoma"/>
          <w:sz w:val="24"/>
        </w:rPr>
      </w:pPr>
      <w:r>
        <w:rPr>
          <w:rFonts w:ascii="Tahoma" w:hAnsi="Tahoma"/>
          <w:sz w:val="24"/>
        </w:rPr>
      </w:r>
      <w:r/>
    </w:p>
    <w:tbl>
      <w:tblPr>
        <w:tblW w:w="4900" w:type="pct"/>
        <w:tblInd w:w="-108" w:type="dxa"/>
        <w:tblLayout w:type="autofit"/>
        <w:tblCellMar>
          <w:left w:w="108" w:type="dxa"/>
          <w:top w:w="0" w:type="dxa"/>
          <w:right w:w="108" w:type="dxa"/>
          <w:bottom w:w="0" w:type="dxa"/>
        </w:tblCellMar>
        <w:tblLook w:val="04A0" w:firstRow="1" w:lastRow="0" w:firstColumn="1" w:lastColumn="0" w:noHBand="0" w:noVBand="1"/>
      </w:tblPr>
      <w:tblGrid>
        <w:gridCol w:w="86"/>
        <w:gridCol w:w="594"/>
        <w:gridCol w:w="318"/>
        <w:gridCol w:w="878"/>
        <w:gridCol w:w="1279"/>
        <w:gridCol w:w="365"/>
        <w:gridCol w:w="547"/>
        <w:gridCol w:w="1659"/>
        <w:gridCol w:w="1790"/>
        <w:gridCol w:w="1043"/>
        <w:gridCol w:w="120"/>
      </w:tblGrid>
      <w:tr>
        <w:trPr>
          <w:trHeight w:val="604"/>
        </w:trPr>
        <w:tc>
          <w:tcPr>
            <w:gridSpan w:val="11"/>
            <w:tcBorders>
              <w:top w:val="none" w:color="000000" w:sz="0" w:space="0"/>
              <w:left w:val="none" w:color="000000" w:sz="0" w:space="0"/>
              <w:bottom w:val="none" w:color="000000" w:sz="0" w:space="0"/>
              <w:right w:val="none" w:color="000000" w:sz="0" w:space="0"/>
            </w:tcBorders>
            <w:tcW w:w="8679" w:type="dxa"/>
            <w:vAlign w:val="center"/>
            <w:textDirection w:val="lrTb"/>
            <w:noWrap/>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耗材及消毒药剂清单</w:t>
            </w: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类型</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说明</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金额</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（元/年）</w:t>
            </w: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污水站耗材及消毒药剂</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机械润滑油</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3#锂基酯；18L/桶，设备传动部位润滑</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tcPr>
          <w:p>
            <w:pPr>
              <w:pStyle w:val="757"/>
              <w:jc w:val="center"/>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皮带</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废气风机皮带更换</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电子清洁剂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02016C，电控箱内部清洁</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除锈剂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WD-40，金属部件清洁用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液位计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易耗件更换使用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各类管阀件</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易耗件更换使用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人员防护装备</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手套、护目镜、安全鞋、防护服等</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清洁工具</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扫把、拖把等清洁工具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镀锌喷漆</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防腐漆，户外设备和钢结构</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10</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浮球液位计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池体液位控制</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风机过滤棉</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废气系统进气过滤异物</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活性炭</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废气系统吸附；碘800 活性炭；按需求更换，更换后旧活性炭处置由院方负责</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UV 灯管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废气系统杀菌；灯管及整流器；按需求更换，更换后旧灯管处置由院方负责</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14</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脱氯药剂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预处理污水脱氯使用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15</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生物菌种养料</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葡萄糖、面粉等定期投喂，培养菌种</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16</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消毒药剂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低浓度次氯酸钠溶液消毒剂；根据实际污水处理量按需求添加</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17</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合计</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三年费用</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dxa"/>
            <w:vAlign w:val="center"/>
            <w:textDirection w:val="lrTb"/>
            <w:noWrap/>
          </w:tcPr>
          <w:p>
            <w:pPr>
              <w:pStyle w:val="757"/>
              <w:jc w:val="center"/>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7"/>
              <w:jc w:val="center"/>
              <w:widowControl/>
              <w:rPr>
                <w:rFonts w:ascii="宋体" w:hAnsi="宋体" w:cs="仿宋"/>
                <w:color w:val="000000"/>
                <w:szCs w:val="21"/>
              </w:rPr>
            </w:pPr>
            <w:r>
              <w:rPr>
                <w:rFonts w:ascii="宋体" w:hAnsi="宋体" w:cs="仿宋"/>
                <w:color w:val="000000"/>
                <w:szCs w:val="21"/>
              </w:rPr>
            </w:r>
            <w:r/>
          </w:p>
        </w:tc>
      </w:tr>
      <w:tr>
        <w:trPr>
          <w:gridAfter w:val="1"/>
          <w:trHeight w:val="288"/>
        </w:trPr>
        <w:tc>
          <w:tcPr>
            <w:gridSpan w:val="10"/>
            <w:tcBorders>
              <w:top w:val="none" w:color="000000" w:sz="0" w:space="0"/>
              <w:left w:val="none" w:color="000000" w:sz="0" w:space="0"/>
              <w:bottom w:val="none" w:color="000000" w:sz="0" w:space="0"/>
              <w:right w:val="none" w:color="000000" w:sz="0" w:space="0"/>
            </w:tcBorders>
            <w:tcW w:w="8473"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排污许可证及卫监要求检测清单</w:t>
            </w:r>
            <w:r>
              <w:rPr>
                <w:rFonts w:ascii="宋体" w:hAnsi="宋体" w:cs="宋体"/>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数量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备注</w:t>
            </w:r>
            <w:r>
              <w:rPr>
                <w:rFonts w:ascii="宋体" w:hAnsi="宋体" w:cs="仿宋"/>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排污许可证检测</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年度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833"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含废气、废水检测等每月出具第三方监测报告以及江苏省排污单位自行监测信息发布平台申报维护</w:t>
            </w:r>
            <w:r>
              <w:rPr>
                <w:rFonts w:ascii="宋体" w:hAnsi="宋体" w:cs="仿宋"/>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卫监要求水样检测</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59"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833"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157"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三年小计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r>
    </w:tbl>
    <w:p>
      <w:pPr>
        <w:pStyle w:val="917"/>
        <w:ind w:firstLine="5760"/>
        <w:spacing w:line="360" w:lineRule="auto"/>
        <w:rPr>
          <w:rFonts w:ascii="Tahoma" w:hAnsi="Tahoma"/>
          <w:sz w:val="24"/>
        </w:rPr>
      </w:pPr>
      <w:r>
        <w:rPr>
          <w:rFonts w:ascii="Tahoma" w:hAnsi="Tahoma"/>
          <w:sz w:val="24"/>
        </w:rPr>
      </w:r>
      <w:r/>
    </w:p>
    <w:tbl>
      <w:tblPr>
        <w:tblW w:w="8772" w:type="dxa"/>
        <w:tblInd w:w="-12" w:type="dxa"/>
        <w:tblLayout w:type="autofit"/>
        <w:tblCellMar>
          <w:left w:w="108" w:type="dxa"/>
          <w:top w:w="0" w:type="dxa"/>
          <w:right w:w="108" w:type="dxa"/>
          <w:bottom w:w="0" w:type="dxa"/>
        </w:tblCellMar>
        <w:tblLook w:val="04A0" w:firstRow="1" w:lastRow="0" w:firstColumn="1" w:lastColumn="0" w:noHBand="0" w:noVBand="1"/>
      </w:tblPr>
      <w:tblGrid>
        <w:gridCol w:w="960"/>
        <w:gridCol w:w="2328"/>
        <w:gridCol w:w="708"/>
        <w:gridCol w:w="1416"/>
        <w:gridCol w:w="2124"/>
        <w:gridCol w:w="1236"/>
      </w:tblGrid>
      <w:tr>
        <w:trPr>
          <w:trHeight w:val="288"/>
        </w:trPr>
        <w:tc>
          <w:tcPr>
            <w:gridSpan w:val="6"/>
            <w:tcBorders>
              <w:top w:val="none" w:color="000000" w:sz="0" w:space="0"/>
              <w:left w:val="none" w:color="000000" w:sz="0" w:space="0"/>
              <w:bottom w:val="none" w:color="000000" w:sz="0" w:space="0"/>
              <w:right w:val="none" w:color="000000" w:sz="0" w:space="0"/>
            </w:tcBorders>
            <w:tcW w:w="8772"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在线监测设备维护清单</w:t>
            </w: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运维项目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数量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服务内同</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备注</w:t>
            </w: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COD 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检测仪检测试 剂残液外运处置由使用方负责处置</w:t>
            </w: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氨氮在线监测仪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DPD 总氯在线检测仪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PH 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含检测试剂及维护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年度计量/季度比对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数据采集仪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离线数据补发；流量数据卡等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等比例采样器</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日常维护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continue"/>
            <w:textDirection w:val="lrTb"/>
            <w:noWrap w:val="false"/>
          </w:tcPr>
          <w:p>
            <w:pPr>
              <w:pStyle w:val="75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三年小计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5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75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757"/>
              <w:rPr>
                <w:rFonts w:ascii="宋体" w:hAnsi="宋体" w:cs="宋体"/>
                <w:color w:val="000000"/>
                <w:szCs w:val="21"/>
              </w:rPr>
            </w:pPr>
            <w:r>
              <w:rPr>
                <w:rFonts w:ascii="宋体" w:hAnsi="宋体" w:cs="宋体"/>
                <w:color w:val="000000"/>
                <w:szCs w:val="21"/>
              </w:rPr>
            </w:r>
            <w:r/>
          </w:p>
        </w:tc>
      </w:tr>
    </w:tbl>
    <w:p>
      <w:pPr>
        <w:pStyle w:val="917"/>
        <w:ind w:firstLine="5760"/>
        <w:spacing w:line="360" w:lineRule="auto"/>
        <w:rPr>
          <w:rFonts w:ascii="Tahoma" w:hAnsi="Tahoma"/>
          <w:sz w:val="24"/>
        </w:rPr>
      </w:pPr>
      <w:r>
        <w:rPr>
          <w:rFonts w:ascii="Tahoma" w:hAnsi="Tahoma"/>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73"/>
        <w:gridCol w:w="1344"/>
        <w:gridCol w:w="5264"/>
        <w:gridCol w:w="1375"/>
      </w:tblGrid>
      <w:tr>
        <w:trPr>
          <w:trHeight w:val="288"/>
        </w:trPr>
        <w:tc>
          <w:tcPr>
            <w:gridSpan w:val="4"/>
            <w:tcBorders>
              <w:top w:val="none" w:color="000000" w:sz="0" w:space="0"/>
              <w:left w:val="none" w:color="000000" w:sz="0" w:space="0"/>
              <w:bottom w:val="none" w:color="000000" w:sz="0" w:space="0"/>
              <w:right w:val="none" w:color="000000" w:sz="0" w:space="0"/>
            </w:tcBorders>
            <w:tcW w:w="8856" w:type="dxa"/>
            <w:vAlign w:val="center"/>
            <w:textDirection w:val="lrTb"/>
            <w:noWrap w:val="false"/>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在线监测软件平台清单</w:t>
            </w:r>
            <w:r>
              <w:rPr>
                <w:rFonts w:ascii="宋体" w:hAnsi="宋体" w:cs="宋体"/>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说明</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在线监测软件平台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检测数据上传至监测平台，作为运维辅助手段监测医院污水站运行情况，院 方有权限浏览本院污水运行监测数据，包括流量、PH、总余氯等实时监测数据； 平台实时监测数据、历史曲线及异常报警记录，支持数据导出与图表生成功能， 满足监管部门对数据报表、运行台账管理等需求。</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三年小计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75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757"/>
              <w:jc w:val="center"/>
              <w:widowControl/>
              <w:rPr>
                <w:rFonts w:ascii="宋体" w:hAnsi="宋体" w:cs="仿宋"/>
                <w:color w:val="000000"/>
                <w:szCs w:val="21"/>
              </w:rPr>
            </w:pPr>
            <w:r>
              <w:rPr>
                <w:rFonts w:ascii="宋体" w:hAnsi="宋体" w:cs="仿宋"/>
                <w:color w:val="000000"/>
                <w:szCs w:val="21"/>
              </w:rPr>
            </w:r>
            <w:r/>
          </w:p>
        </w:tc>
      </w:tr>
    </w:tbl>
    <w:p>
      <w:pPr>
        <w:pStyle w:val="917"/>
        <w:ind w:firstLine="5760"/>
        <w:spacing w:line="360" w:lineRule="auto"/>
        <w:tabs>
          <w:tab w:val="left" w:pos="7785" w:leader="none"/>
        </w:tabs>
        <w:rPr>
          <w:rFonts w:ascii="Tahoma" w:hAnsi="Tahoma"/>
          <w:sz w:val="24"/>
        </w:rPr>
      </w:pPr>
      <w:r>
        <w:rPr>
          <w:rFonts w:ascii="Tahoma" w:hAnsi="Tahoma"/>
          <w:sz w:val="24"/>
        </w:rPr>
      </w:r>
      <w:r/>
    </w:p>
    <w:p>
      <w:pPr>
        <w:pStyle w:val="867"/>
        <w:spacing w:line="360" w:lineRule="auto"/>
        <w:rPr>
          <w:rFonts w:hAnsi="宋体" w:eastAsia="宋体"/>
          <w:sz w:val="21"/>
          <w:szCs w:val="21"/>
        </w:rPr>
      </w:pPr>
      <w:r>
        <w:rPr>
          <w:rFonts w:hAnsi="宋体" w:eastAsia="宋体"/>
          <w:sz w:val="21"/>
          <w:szCs w:val="21"/>
        </w:rPr>
      </w:r>
      <w:r/>
    </w:p>
    <w:p>
      <w:pPr>
        <w:pStyle w:val="917"/>
        <w:ind w:firstLine="5040"/>
        <w:jc w:val="right"/>
        <w:spacing w:line="360" w:lineRule="auto"/>
        <w:rPr>
          <w:rFonts w:hAnsi="宋体" w:eastAsia="宋体"/>
          <w:sz w:val="21"/>
          <w:szCs w:val="21"/>
        </w:rPr>
      </w:pPr>
      <w:r>
        <w:rPr>
          <w:rFonts w:hAnsi="宋体" w:eastAsia="宋体"/>
          <w:sz w:val="21"/>
          <w:szCs w:val="21"/>
        </w:rPr>
        <w:t xml:space="preserve">  投标人：（单位盖章）</w:t>
      </w:r>
      <w:r>
        <w:rPr>
          <w:rFonts w:hAnsi="宋体" w:eastAsia="宋体"/>
          <w:sz w:val="21"/>
          <w:szCs w:val="21"/>
        </w:rPr>
      </w:r>
      <w:r/>
    </w:p>
    <w:p>
      <w:pPr>
        <w:pStyle w:val="917"/>
        <w:jc w:val="right"/>
        <w:spacing w:line="360" w:lineRule="auto"/>
        <w:rPr>
          <w:rFonts w:eastAsia="宋体"/>
          <w:sz w:val="21"/>
          <w:szCs w:val="21"/>
        </w:rPr>
      </w:pPr>
      <w:r>
        <w:rPr>
          <w:rFonts w:eastAsia="宋体"/>
          <w:sz w:val="21"/>
          <w:szCs w:val="21"/>
        </w:rPr>
        <w:t xml:space="preserve">法定代表人或授权委托人：（签字或盖章）</w:t>
      </w:r>
      <w:r>
        <w:rPr>
          <w:rFonts w:eastAsia="宋体"/>
          <w:sz w:val="21"/>
          <w:szCs w:val="21"/>
        </w:rPr>
      </w:r>
      <w:r/>
    </w:p>
    <w:p>
      <w:pPr>
        <w:pStyle w:val="917"/>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867"/>
        <w:spacing w:line="360" w:lineRule="auto"/>
        <w:rPr>
          <w:rFonts w:hAnsi="宋体" w:eastAsia="宋体"/>
          <w:sz w:val="24"/>
        </w:rPr>
      </w:pPr>
      <w:r>
        <w:rPr>
          <w:rFonts w:hAnsi="宋体" w:eastAsia="宋体"/>
          <w:sz w:val="24"/>
        </w:rPr>
      </w:r>
      <w:r/>
    </w:p>
    <w:p>
      <w:pPr>
        <w:pStyle w:val="757"/>
        <w:rPr>
          <w:rFonts w:hint="eastAsia" w:ascii="Tahoma" w:hAnsi="Tahoma"/>
          <w:sz w:val="24"/>
        </w:rPr>
      </w:pPr>
      <w:r/>
      <w:bookmarkStart w:id="40" w:name="_Ref363807960"/>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9"/>
        <w:spacing w:before="480" w:after="240"/>
        <w:rPr>
          <w:rFonts w:hint="eastAsia"/>
        </w:rPr>
      </w:pPr>
      <w:r/>
      <w:bookmarkStart w:id="41" w:name="_Ref448317042"/>
      <w:r>
        <w:rPr>
          <w:rFonts w:hint="eastAsia"/>
        </w:rPr>
        <w:t xml:space="preserve">偏离表（技术、商务）</w:t>
      </w:r>
      <w:bookmarkEnd w:id="40"/>
      <w:r/>
      <w:bookmarkEnd w:id="41"/>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rPr>
                <w:rFonts w:hint="eastAsia" w:ascii="宋体" w:hAnsi="宋体" w:eastAsia="宋体"/>
                <w:sz w:val="21"/>
                <w:szCs w:val="21"/>
              </w:rPr>
            </w:r>
            <w:r/>
          </w:p>
        </w:tc>
        <w:tc>
          <w:tcPr>
            <w:tcW w:w="2130" w:type="dxa"/>
            <w:vAlign w:val="top"/>
            <w:textDirection w:val="lrTb"/>
            <w:noWrap w:val="false"/>
          </w:tcPr>
          <w:p>
            <w:pPr>
              <w:pStyle w:val="7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rPr>
                <w:rFonts w:hint="eastAsia" w:ascii="宋体" w:hAnsi="宋体" w:eastAsia="宋体"/>
                <w:sz w:val="21"/>
                <w:szCs w:val="21"/>
              </w:rPr>
            </w:r>
            <w:r/>
          </w:p>
        </w:tc>
        <w:tc>
          <w:tcPr>
            <w:tcW w:w="2131" w:type="dxa"/>
            <w:vAlign w:val="top"/>
            <w:textDirection w:val="lrTb"/>
            <w:noWrap w:val="false"/>
          </w:tcPr>
          <w:p>
            <w:pPr>
              <w:pStyle w:val="7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rPr>
                <w:rFonts w:hint="eastAsia" w:ascii="宋体" w:hAnsi="宋体" w:eastAsia="宋体"/>
                <w:sz w:val="21"/>
                <w:szCs w:val="21"/>
              </w:rPr>
            </w:r>
            <w:r/>
          </w:p>
        </w:tc>
        <w:tc>
          <w:tcPr>
            <w:tcW w:w="2131" w:type="dxa"/>
            <w:vAlign w:val="top"/>
            <w:textDirection w:val="lrTb"/>
            <w:noWrap w:val="false"/>
          </w:tcPr>
          <w:p>
            <w:pPr>
              <w:pStyle w:val="7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rPr>
                <w:rFonts w:hint="eastAsia" w:ascii="宋体" w:hAnsi="宋体" w:eastAsia="宋体"/>
                <w:sz w:val="21"/>
                <w:szCs w:val="21"/>
              </w:rPr>
            </w:r>
            <w:r/>
          </w:p>
        </w:tc>
      </w:tr>
      <w:tr>
        <w:trPr/>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79"/>
              <w:ind w:firstLine="0"/>
              <w:spacing w:line="360" w:lineRule="auto"/>
              <w:rPr>
                <w:rFonts w:ascii="宋体" w:hAnsi="宋体" w:eastAsia="宋体"/>
                <w:sz w:val="21"/>
                <w:szCs w:val="21"/>
              </w:rPr>
            </w:pPr>
            <w:r>
              <w:rPr>
                <w:rFonts w:ascii="宋体" w:hAnsi="宋体" w:eastAsia="宋体"/>
                <w:sz w:val="21"/>
                <w:szCs w:val="21"/>
              </w:rPr>
            </w:r>
            <w:r/>
          </w:p>
        </w:tc>
      </w:tr>
    </w:tbl>
    <w:p>
      <w:pPr>
        <w:pStyle w:val="779"/>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917"/>
        <w:ind w:firstLine="5040"/>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917"/>
        <w:jc w:val="right"/>
        <w:spacing w:line="360" w:lineRule="auto"/>
        <w:rPr>
          <w:rFonts w:eastAsia="宋体"/>
          <w:sz w:val="21"/>
          <w:szCs w:val="21"/>
        </w:rPr>
      </w:pPr>
      <w:r>
        <w:rPr>
          <w:rFonts w:eastAsia="宋体"/>
          <w:sz w:val="21"/>
          <w:szCs w:val="21"/>
        </w:rPr>
        <w:t xml:space="preserve">法定代表人或授权委托人：（签字或盖章）</w:t>
      </w:r>
      <w:r>
        <w:rPr>
          <w:rFonts w:eastAsia="宋体"/>
          <w:sz w:val="21"/>
          <w:szCs w:val="21"/>
        </w:rPr>
      </w:r>
      <w:r/>
    </w:p>
    <w:p>
      <w:pPr>
        <w:pStyle w:val="917"/>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917"/>
        <w:ind w:firstLine="5760"/>
        <w:spacing w:line="360" w:lineRule="auto"/>
        <w:rPr>
          <w:rFonts w:ascii="Tahoma" w:hAnsi="Tahoma"/>
          <w:sz w:val="24"/>
        </w:rPr>
      </w:pPr>
      <w:r>
        <w:rPr>
          <w:rFonts w:ascii="Tahoma" w:hAnsi="Tahoma"/>
          <w:sz w:val="24"/>
        </w:rPr>
      </w:r>
      <w:r/>
    </w:p>
    <w:p>
      <w:pPr>
        <w:pStyle w:val="759"/>
        <w:spacing w:before="480" w:after="240"/>
        <w:rPr>
          <w:rFonts w:hint="eastAsia"/>
        </w:rPr>
      </w:pPr>
      <w:r>
        <w:rPr>
          <w:rFonts w:hint="eastAsia"/>
        </w:rPr>
        <w:t xml:space="preserve">项目组成员一览表</w:t>
      </w:r>
      <w:r>
        <w:rPr>
          <w:rFonts w:hint="eastAsia"/>
        </w:rPr>
      </w:r>
      <w:r/>
    </w:p>
    <w:tbl>
      <w:tblPr>
        <w:tblW w:w="4913"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264"/>
        <w:gridCol w:w="1264"/>
        <w:gridCol w:w="1264"/>
        <w:gridCol w:w="1265"/>
        <w:gridCol w:w="1265"/>
        <w:gridCol w:w="1204"/>
      </w:tblGrid>
      <w:tr>
        <w:trPr>
          <w:trHeight w:val="63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岗位</w:t>
            </w: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r>
        <w:trPr>
          <w:trHeight w:val="495"/>
        </w:trPr>
        <w:tc>
          <w:tcPr>
            <w:tcW w:w="67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6"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727"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r>
            <w:r/>
          </w:p>
        </w:tc>
      </w:tr>
    </w:tbl>
    <w:p>
      <w:pPr>
        <w:pStyle w:val="757"/>
        <w:rPr>
          <w:rFonts w:ascii="Tahoma" w:hAnsi="Tahoma"/>
          <w:sz w:val="24"/>
        </w:rPr>
      </w:pPr>
      <w:r>
        <w:rPr>
          <w:rFonts w:ascii="Tahoma" w:hAnsi="Tahoma"/>
          <w:sz w:val="24"/>
        </w:rPr>
      </w:r>
      <w:r/>
    </w:p>
    <w:p>
      <w:pPr>
        <w:pStyle w:val="757"/>
        <w:rPr>
          <w:rFonts w:hint="eastAsia" w:ascii="Tahoma" w:hAnsi="Tahoma"/>
          <w:sz w:val="24"/>
        </w:rPr>
      </w:pPr>
      <w:r>
        <w:rPr>
          <w:rFonts w:hint="eastAsia" w:ascii="Tahoma" w:hAnsi="Tahoma"/>
          <w:sz w:val="24"/>
        </w:rPr>
      </w:r>
      <w:r/>
    </w:p>
    <w:p>
      <w:pPr>
        <w:pStyle w:val="779"/>
        <w:ind w:firstLine="5040"/>
        <w:jc w:val="right"/>
        <w:spacing w:line="360" w:lineRule="auto"/>
        <w:rPr>
          <w:rFonts w:ascii="宋体" w:eastAsia="宋体"/>
          <w:sz w:val="21"/>
          <w:szCs w:val="21"/>
        </w:rPr>
      </w:pPr>
      <w:r/>
      <w:bookmarkStart w:id="42" w:name="_10、资格证明文件"/>
      <w:r/>
      <w:bookmarkEnd w:id="42"/>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91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917"/>
        <w:ind w:firstLine="5760"/>
        <w:spacing w:line="360" w:lineRule="auto"/>
        <w:rPr>
          <w:rFonts w:ascii="Tahoma" w:hAnsi="Tahoma"/>
          <w:sz w:val="24"/>
        </w:rPr>
      </w:pPr>
      <w:r>
        <w:rPr>
          <w:rFonts w:ascii="Tahoma" w:hAnsi="Tahoma"/>
          <w:sz w:val="24"/>
        </w:rPr>
      </w:r>
      <w:r/>
    </w:p>
    <w:p>
      <w:pPr>
        <w:pStyle w:val="759"/>
        <w:spacing w:before="480" w:after="240" w:line="360" w:lineRule="auto"/>
        <w:rPr>
          <w:rFonts w:ascii="黑体" w:hAnsi="黑体"/>
          <w:szCs w:val="28"/>
        </w:rPr>
      </w:pPr>
      <w:r/>
      <w:bookmarkStart w:id="43" w:name="_Ref84597358"/>
      <w:r>
        <w:rPr>
          <w:rFonts w:hint="eastAsia" w:ascii="黑体" w:hAnsi="黑体"/>
          <w:szCs w:val="28"/>
        </w:rPr>
        <w:t xml:space="preserve">类似业绩一览表</w:t>
      </w:r>
      <w:bookmarkEnd w:id="43"/>
      <w:r>
        <w:rPr>
          <w:rFonts w:ascii="黑体" w:hAnsi="黑体"/>
          <w:szCs w:val="28"/>
        </w:rPr>
      </w:r>
      <w:r/>
    </w:p>
    <w:p>
      <w:pPr>
        <w:pStyle w:val="757"/>
        <w:jc w:val="center"/>
        <w:spacing w:line="400" w:lineRule="exact"/>
        <w:rPr>
          <w:rFonts w:hint="eastAsia" w:ascii="宋体" w:hAnsi="宋体"/>
          <w:b/>
          <w:bCs/>
          <w:color w:val="000000"/>
          <w:szCs w:val="21"/>
        </w:rPr>
      </w:pPr>
      <w:r>
        <w:rPr>
          <w:rFonts w:hint="eastAsia" w:ascii="宋体" w:hAnsi="宋体"/>
          <w:b/>
          <w:bCs/>
          <w:color w:val="000000"/>
          <w:szCs w:val="21"/>
        </w:rPr>
        <w:t xml:space="preserve">类似业绩一览表</w:t>
      </w:r>
      <w:r>
        <w:rPr>
          <w:rFonts w:hint="eastAsia" w:ascii="宋体" w:hAnsi="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032"/>
        <w:gridCol w:w="1890"/>
        <w:gridCol w:w="1889"/>
        <w:gridCol w:w="1121"/>
      </w:tblGrid>
      <w:tr>
        <w:trPr>
          <w:cantSplit/>
          <w:trHeight w:val="600"/>
        </w:trPr>
        <w:tc>
          <w:tcPr>
            <w:tcW w:w="817"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85"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2032"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委托方</w:t>
            </w:r>
            <w:r>
              <w:rPr>
                <w:rFonts w:hint="eastAsia" w:ascii="宋体" w:hAnsi="宋体" w:cs="宋体"/>
                <w:szCs w:val="21"/>
              </w:rPr>
            </w:r>
            <w:r/>
          </w:p>
        </w:tc>
        <w:tc>
          <w:tcPr>
            <w:tcW w:w="1890"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项目概述</w:t>
            </w:r>
            <w:r>
              <w:rPr>
                <w:rFonts w:hint="eastAsia" w:ascii="宋体" w:hAnsi="宋体" w:cs="宋体"/>
                <w:szCs w:val="21"/>
              </w:rPr>
            </w:r>
            <w:r/>
          </w:p>
        </w:tc>
        <w:tc>
          <w:tcPr>
            <w:tcW w:w="1889"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合同金额（元）</w:t>
            </w:r>
            <w:r>
              <w:rPr>
                <w:rFonts w:hint="eastAsia" w:ascii="宋体" w:hAnsi="宋体" w:cs="宋体"/>
                <w:szCs w:val="21"/>
              </w:rPr>
            </w:r>
            <w:r/>
          </w:p>
        </w:tc>
        <w:tc>
          <w:tcPr>
            <w:tcW w:w="1121"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793"/>
        </w:trPr>
        <w:tc>
          <w:tcPr>
            <w:tcW w:w="817"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85"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85"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85"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75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985"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75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bl>
    <w:p>
      <w:pPr>
        <w:pStyle w:val="757"/>
        <w:jc w:val="center"/>
        <w:spacing w:line="400" w:lineRule="exact"/>
        <w:rPr>
          <w:rFonts w:ascii="宋体" w:hAnsi="宋体"/>
          <w:b/>
          <w:bCs/>
          <w:color w:val="000000"/>
          <w:szCs w:val="21"/>
        </w:rPr>
      </w:pPr>
      <w:r>
        <w:rPr>
          <w:rFonts w:ascii="宋体" w:hAnsi="宋体"/>
          <w:b/>
          <w:bCs/>
          <w:color w:val="000000"/>
          <w:szCs w:val="21"/>
        </w:rPr>
      </w:r>
      <w:r/>
    </w:p>
    <w:p>
      <w:pPr>
        <w:pStyle w:val="779"/>
        <w:ind w:firstLine="5040"/>
        <w:spacing w:line="360" w:lineRule="auto"/>
        <w:rPr>
          <w:rFonts w:hint="eastAsia" w:hAnsi="宋体" w:eastAsia="宋体"/>
          <w:sz w:val="21"/>
          <w:szCs w:val="21"/>
        </w:rPr>
      </w:pPr>
      <w:r>
        <w:rPr>
          <w:rFonts w:hint="eastAsia" w:hAnsi="宋体" w:eastAsia="宋体"/>
          <w:sz w:val="21"/>
          <w:szCs w:val="21"/>
        </w:rPr>
      </w:r>
      <w:r/>
    </w:p>
    <w:p>
      <w:pPr>
        <w:pStyle w:val="779"/>
        <w:ind w:firstLine="5040"/>
        <w:jc w:val="right"/>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91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759"/>
        <w:spacing w:before="480" w:after="240" w:line="360" w:lineRule="auto"/>
        <w:rPr>
          <w:rFonts w:hint="eastAsia" w:ascii="黑体" w:hAnsi="黑体"/>
          <w:szCs w:val="28"/>
        </w:rPr>
      </w:pPr>
      <w:r>
        <w:rPr>
          <w:rFonts w:hint="eastAsia" w:ascii="黑体" w:hAnsi="黑体"/>
          <w:szCs w:val="28"/>
        </w:rPr>
        <w:t xml:space="preserve">关于资格文件的声明函</w:t>
      </w:r>
      <w:r>
        <w:rPr>
          <w:rFonts w:hint="eastAsia" w:ascii="黑体" w:hAnsi="黑体"/>
          <w:szCs w:val="28"/>
        </w:rPr>
      </w:r>
      <w:r/>
    </w:p>
    <w:p>
      <w:pPr>
        <w:pStyle w:val="779"/>
        <w:jc w:val="center"/>
        <w:spacing w:line="360" w:lineRule="auto"/>
        <w:rPr>
          <w:rFonts w:hint="eastAsia" w:ascii="宋体" w:eastAsia="宋体"/>
          <w:b/>
          <w:sz w:val="30"/>
          <w:szCs w:val="30"/>
        </w:rPr>
      </w:pPr>
      <w:r>
        <w:rPr>
          <w:rFonts w:hint="eastAsia" w:ascii="宋体" w:eastAsia="宋体"/>
          <w:b/>
          <w:sz w:val="30"/>
          <w:szCs w:val="30"/>
        </w:rPr>
      </w:r>
      <w:r/>
    </w:p>
    <w:p>
      <w:pPr>
        <w:pStyle w:val="779"/>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___________________(采购人名称）、江苏正华新工程咨询有限公司：</w:t>
      </w:r>
      <w:r>
        <w:rPr>
          <w:rFonts w:ascii="宋体" w:eastAsia="宋体"/>
          <w:b/>
          <w:sz w:val="21"/>
          <w:szCs w:val="21"/>
        </w:rPr>
      </w:r>
      <w:r/>
    </w:p>
    <w:p>
      <w:pPr>
        <w:pStyle w:val="779"/>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w:t>
      </w:r>
      <w:r>
        <w:rPr>
          <w:rFonts w:hint="eastAsia" w:eastAsia="宋体"/>
          <w:color w:val="000000"/>
          <w:sz w:val="21"/>
          <w:szCs w:val="21"/>
        </w:rPr>
        <w:t xml:space="preserve">JSZC-320583-SZZH-G2026-0005</w:t>
      </w:r>
      <w:r>
        <w:rPr>
          <w:rFonts w:hint="eastAsia" w:ascii="宋体" w:hAnsi="宋体" w:eastAsia="宋体"/>
          <w:color w:val="000000"/>
          <w:sz w:val="21"/>
          <w:szCs w:val="21"/>
        </w:rPr>
        <w:t xml:space="preserve">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rPr>
          <w:rFonts w:ascii="宋体" w:eastAsia="宋体"/>
          <w:sz w:val="21"/>
          <w:szCs w:val="21"/>
        </w:rPr>
      </w:r>
      <w:r/>
    </w:p>
    <w:p>
      <w:pPr>
        <w:pStyle w:val="779"/>
        <w:ind w:firstLine="0"/>
        <w:spacing w:line="360" w:lineRule="auto"/>
        <w:rPr>
          <w:rFonts w:hint="eastAsia" w:ascii="宋体" w:eastAsia="宋体"/>
          <w:sz w:val="21"/>
          <w:szCs w:val="21"/>
        </w:rPr>
      </w:pPr>
      <w:r>
        <w:rPr>
          <w:rFonts w:hint="eastAsia" w:ascii="宋体" w:eastAsia="宋体"/>
          <w:sz w:val="21"/>
          <w:szCs w:val="21"/>
        </w:rPr>
      </w:r>
      <w:r/>
    </w:p>
    <w:p>
      <w:pPr>
        <w:pStyle w:val="779"/>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91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79"/>
        <w:ind w:firstLine="0"/>
        <w:rPr>
          <w:rFonts w:hint="eastAsia" w:ascii="黑体" w:hAnsi="黑体" w:eastAsia="黑体"/>
          <w:sz w:val="28"/>
          <w:szCs w:val="28"/>
        </w:rPr>
      </w:pPr>
      <w:r>
        <w:rPr>
          <w:rFonts w:hint="eastAsia" w:ascii="宋体" w:hAnsi="宋体" w:eastAsia="宋体"/>
          <w:b/>
          <w:sz w:val="21"/>
          <w:szCs w:val="21"/>
        </w:rPr>
        <w:t xml:space="preserve"> </w:t>
      </w:r>
      <w:r>
        <w:rPr>
          <w:rFonts w:hint="eastAsia" w:ascii="黑体" w:hAnsi="黑体" w:eastAsia="黑体"/>
          <w:sz w:val="28"/>
          <w:szCs w:val="28"/>
        </w:rPr>
        <w:t xml:space="preserve">投标单位情况表</w:t>
      </w:r>
      <w:r>
        <w:rPr>
          <w:rFonts w:hint="eastAsia" w:ascii="黑体" w:hAnsi="黑体" w:eastAsia="黑体"/>
          <w:sz w:val="28"/>
          <w:szCs w:val="28"/>
        </w:rPr>
      </w:r>
      <w:r/>
    </w:p>
    <w:p>
      <w:pPr>
        <w:pStyle w:val="779"/>
        <w:rPr>
          <w:rFonts w:ascii="宋体" w:eastAsia="宋体"/>
          <w:b/>
          <w:sz w:val="30"/>
          <w:szCs w:val="30"/>
        </w:rPr>
      </w:pPr>
      <w:r>
        <w:rPr>
          <w:rFonts w:ascii="宋体" w:eastAsia="宋体"/>
          <w:b/>
          <w:sz w:val="30"/>
          <w:szCs w:val="30"/>
        </w:rPr>
      </w:r>
      <w:r/>
    </w:p>
    <w:p>
      <w:pPr>
        <w:pStyle w:val="779"/>
        <w:rPr>
          <w:rFonts w:hint="eastAsia" w:ascii="宋体" w:hAnsi="宋体" w:eastAsia="宋体"/>
          <w:sz w:val="21"/>
          <w:szCs w:val="21"/>
        </w:rPr>
      </w:pPr>
      <w:r>
        <w:rPr>
          <w:rFonts w:hint="eastAsia" w:ascii="宋体" w:hAnsi="宋体" w:eastAsia="宋体"/>
          <w:sz w:val="21"/>
          <w:szCs w:val="21"/>
        </w:rPr>
        <w:t xml:space="preserve">单位名称（盖章）</w:t>
      </w:r>
      <w:r>
        <w:rPr>
          <w:rFonts w:hint="eastAsia" w:ascii="宋体" w:hAnsi="宋体" w:eastAsia="宋体"/>
          <w:sz w:val="21"/>
          <w:szCs w:val="21"/>
        </w:rPr>
      </w:r>
      <w:r/>
    </w:p>
    <w:p>
      <w:pPr>
        <w:pStyle w:val="779"/>
        <w:rPr>
          <w:rFonts w:ascii="宋体" w:eastAsia="宋体"/>
          <w:sz w:val="21"/>
          <w:szCs w:val="21"/>
        </w:rPr>
      </w:pPr>
      <w:r>
        <w:rPr>
          <w:rFonts w:ascii="宋体" w:eastAsia="宋体"/>
          <w:sz w:val="21"/>
          <w:szCs w:val="21"/>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tcPr>
          <w:p>
            <w:pPr>
              <w:pStyle w:val="757"/>
              <w:jc w:val="center"/>
              <w:spacing w:line="300" w:lineRule="auto"/>
              <w:rPr>
                <w:rFonts w:ascii="宋体" w:hAnsi="宋体"/>
                <w:szCs w:val="21"/>
              </w:rPr>
            </w:pPr>
            <w:r/>
            <w:bookmarkStart w:id="44" w:name="_Ref497310705"/>
            <w:r>
              <w:rPr>
                <w:rFonts w:ascii="宋体" w:hAnsi="宋体"/>
                <w:szCs w:val="21"/>
              </w:rPr>
              <w:t xml:space="preserve">1</w:t>
            </w:r>
            <w:r>
              <w:rPr>
                <w:rFonts w:ascii="宋体" w:hAnsi="宋体"/>
                <w:szCs w:val="21"/>
              </w:rPr>
            </w:r>
            <w:r/>
          </w:p>
        </w:tc>
        <w:tc>
          <w:tcPr>
            <w:gridSpan w:val="2"/>
            <w:tcW w:w="1564" w:type="dxa"/>
            <w:vAlign w:val="center"/>
            <w:textDirection w:val="lrTb"/>
            <w:noWrap/>
          </w:tcPr>
          <w:p>
            <w:pPr>
              <w:pStyle w:val="757"/>
              <w:jc w:val="center"/>
              <w:spacing w:line="300" w:lineRule="auto"/>
              <w:rPr>
                <w:rFonts w:ascii="宋体" w:hAnsi="宋体"/>
                <w:szCs w:val="21"/>
              </w:rPr>
            </w:pPr>
            <w:r>
              <w:rPr>
                <w:rFonts w:ascii="宋体" w:hAnsi="宋体"/>
                <w:szCs w:val="21"/>
              </w:rPr>
              <w:t xml:space="preserve">法定代表人</w:t>
            </w:r>
            <w:r>
              <w:rPr>
                <w:rFonts w:ascii="宋体" w:hAnsi="宋体"/>
                <w:szCs w:val="21"/>
              </w:rPr>
            </w:r>
            <w:r/>
          </w:p>
        </w:tc>
        <w:tc>
          <w:tcPr>
            <w:gridSpan w:val="3"/>
            <w:tcW w:w="2784" w:type="dxa"/>
            <w:vAlign w:val="center"/>
            <w:textDirection w:val="lrTb"/>
            <w:noWrap/>
          </w:tcPr>
          <w:p>
            <w:pPr>
              <w:pStyle w:val="757"/>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tcPr>
          <w:p>
            <w:pPr>
              <w:pStyle w:val="757"/>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tcPr>
          <w:p>
            <w:pPr>
              <w:pStyle w:val="757"/>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tcPr>
          <w:p>
            <w:pPr>
              <w:pStyle w:val="757"/>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tcPr>
          <w:p>
            <w:pPr>
              <w:pStyle w:val="757"/>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tcPr>
          <w:p>
            <w:pPr>
              <w:pStyle w:val="757"/>
              <w:spacing w:line="300" w:lineRule="auto"/>
              <w:rPr>
                <w:rFonts w:ascii="宋体" w:hAnsi="宋体"/>
                <w:szCs w:val="21"/>
              </w:rPr>
            </w:pPr>
            <w:r>
              <w:rPr>
                <w:rFonts w:ascii="宋体" w:hAnsi="宋体"/>
                <w:szCs w:val="21"/>
              </w:rPr>
              <w:t xml:space="preserve">本地办事处地址</w:t>
            </w:r>
            <w:r>
              <w:rPr>
                <w:rFonts w:ascii="宋体" w:hAnsi="宋体"/>
                <w:szCs w:val="21"/>
              </w:rPr>
            </w:r>
            <w:r/>
          </w:p>
        </w:tc>
        <w:tc>
          <w:tcPr>
            <w:gridSpan w:val="7"/>
            <w:tcW w:w="7128" w:type="dxa"/>
            <w:vAlign w:val="center"/>
            <w:textDirection w:val="lrTb"/>
            <w:noWrap/>
          </w:tcPr>
          <w:p>
            <w:pPr>
              <w:pStyle w:val="757"/>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tcPr>
          <w:p>
            <w:pPr>
              <w:pStyle w:val="757"/>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tcPr>
          <w:p>
            <w:pPr>
              <w:pStyle w:val="757"/>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57"/>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tcPr>
          <w:p>
            <w:pPr>
              <w:pStyle w:val="757"/>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tcPr>
          <w:p>
            <w:pPr>
              <w:pStyle w:val="757"/>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tcPr>
          <w:p>
            <w:pPr>
              <w:pStyle w:val="757"/>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57"/>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tcPr>
          <w:p>
            <w:pPr>
              <w:pStyle w:val="757"/>
              <w:spacing w:line="300" w:lineRule="auto"/>
              <w:rPr>
                <w:rFonts w:ascii="宋体" w:hAnsi="宋体"/>
                <w:b/>
                <w:sz w:val="18"/>
                <w:szCs w:val="18"/>
              </w:rPr>
            </w:pPr>
            <w:r>
              <w:rPr>
                <w:rFonts w:ascii="宋体" w:hAnsi="宋体"/>
                <w:b/>
                <w:sz w:val="18"/>
                <w:szCs w:val="18"/>
              </w:rPr>
            </w:r>
            <w:r/>
          </w:p>
        </w:tc>
      </w:tr>
      <w:tr>
        <w:trPr>
          <w:trHeight w:val="645"/>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tcPr>
          <w:p>
            <w:pPr>
              <w:pStyle w:val="757"/>
              <w:rPr>
                <w:rFonts w:ascii="宋体" w:hAnsi="宋体"/>
                <w:szCs w:val="20"/>
              </w:rPr>
            </w:pPr>
            <w:r>
              <w:rPr>
                <w:rFonts w:ascii="宋体" w:hAnsi="宋体"/>
                <w:szCs w:val="20"/>
              </w:rPr>
              <w:t xml:space="preserve">单位从业人员数量</w:t>
            </w:r>
            <w:r>
              <w:rPr>
                <w:rFonts w:ascii="宋体" w:hAnsi="宋体"/>
                <w:szCs w:val="20"/>
              </w:rPr>
            </w:r>
            <w:r/>
          </w:p>
        </w:tc>
        <w:tc>
          <w:tcPr>
            <w:gridSpan w:val="3"/>
            <w:tcW w:w="2773" w:type="dxa"/>
            <w:vAlign w:val="center"/>
            <w:textDirection w:val="lrTb"/>
            <w:noWrap/>
          </w:tcPr>
          <w:p>
            <w:pPr>
              <w:pStyle w:val="757"/>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tcPr>
          <w:p>
            <w:pPr>
              <w:pStyle w:val="757"/>
              <w:spacing w:line="300" w:lineRule="auto"/>
              <w:rPr>
                <w:rFonts w:ascii="宋体" w:hAnsi="宋体"/>
                <w:szCs w:val="21"/>
              </w:rPr>
            </w:pPr>
            <w:r>
              <w:rPr>
                <w:rFonts w:ascii="宋体" w:hAnsi="宋体"/>
                <w:szCs w:val="21"/>
              </w:rPr>
              <w:t xml:space="preserve">单位202</w:t>
            </w:r>
            <w:r>
              <w:rPr>
                <w:rFonts w:hint="eastAsia" w:ascii="宋体" w:hAnsi="宋体"/>
                <w:szCs w:val="21"/>
              </w:rPr>
              <w:t xml:space="preserve">5</w:t>
            </w:r>
            <w:r>
              <w:rPr>
                <w:rFonts w:ascii="宋体" w:hAnsi="宋体"/>
                <w:szCs w:val="21"/>
              </w:rPr>
              <w:t xml:space="preserve">年总营业收入</w:t>
            </w:r>
            <w:r>
              <w:rPr>
                <w:rFonts w:ascii="宋体" w:hAnsi="宋体"/>
                <w:szCs w:val="21"/>
              </w:rPr>
            </w:r>
            <w:r/>
          </w:p>
        </w:tc>
        <w:tc>
          <w:tcPr>
            <w:tcW w:w="2130" w:type="dxa"/>
            <w:vAlign w:val="center"/>
            <w:textDirection w:val="lrTb"/>
            <w:noWrap/>
          </w:tcPr>
          <w:p>
            <w:pPr>
              <w:pStyle w:val="757"/>
              <w:ind w:firstLine="1470"/>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645"/>
        </w:trPr>
        <w:tc>
          <w:tcPr>
            <w:tcW w:w="650" w:type="dxa"/>
            <w:vAlign w:val="center"/>
            <w:textDirection w:val="lrTb"/>
            <w:noWrap/>
          </w:tcPr>
          <w:p>
            <w:pPr>
              <w:pStyle w:val="757"/>
              <w:jc w:val="center"/>
              <w:spacing w:line="300" w:lineRule="auto"/>
              <w:rPr>
                <w:rFonts w:ascii="宋体" w:hAnsi="宋体"/>
                <w:szCs w:val="21"/>
              </w:rPr>
            </w:pPr>
            <w:r>
              <w:rPr>
                <w:rFonts w:hint="eastAsia" w:ascii="宋体" w:hAnsi="宋体"/>
                <w:szCs w:val="21"/>
              </w:rPr>
              <w:t xml:space="preserve">7</w:t>
            </w:r>
            <w:r>
              <w:rPr>
                <w:rFonts w:ascii="宋体" w:hAnsi="宋体"/>
                <w:szCs w:val="21"/>
              </w:rPr>
            </w:r>
            <w:r/>
          </w:p>
        </w:tc>
        <w:tc>
          <w:tcPr>
            <w:tcW w:w="1088" w:type="dxa"/>
            <w:vAlign w:val="center"/>
            <w:textDirection w:val="lrTb"/>
            <w:noWrap/>
          </w:tcPr>
          <w:p>
            <w:pPr>
              <w:pStyle w:val="757"/>
              <w:rPr>
                <w:rFonts w:ascii="宋体" w:hAnsi="宋体"/>
                <w:szCs w:val="20"/>
              </w:rPr>
            </w:pPr>
            <w:r>
              <w:rPr>
                <w:rFonts w:hint="eastAsia" w:ascii="宋体" w:hAnsi="宋体"/>
                <w:szCs w:val="20"/>
              </w:rPr>
              <w:t xml:space="preserve">企业规模</w:t>
            </w:r>
            <w:r>
              <w:rPr>
                <w:rFonts w:ascii="宋体" w:hAnsi="宋体"/>
                <w:szCs w:val="20"/>
              </w:rPr>
            </w:r>
            <w:r/>
          </w:p>
        </w:tc>
        <w:tc>
          <w:tcPr>
            <w:gridSpan w:val="8"/>
            <w:tcW w:w="7604" w:type="dxa"/>
            <w:vAlign w:val="center"/>
            <w:textDirection w:val="lrTb"/>
            <w:noWrap/>
          </w:tcPr>
          <w:p>
            <w:pPr>
              <w:pStyle w:val="757"/>
              <w:jc w:val="center"/>
              <w:spacing w:line="300" w:lineRule="auto"/>
              <w:rPr>
                <w:rFonts w:ascii="宋体" w:hAnsi="宋体"/>
                <w:szCs w:val="21"/>
              </w:rPr>
            </w:pPr>
            <w:r>
              <w:rPr>
                <w:rFonts w:hint="eastAsia" w:ascii="宋体" w:hAnsi="宋体"/>
                <w:szCs w:val="21"/>
              </w:rPr>
              <w:t xml:space="preserve">□大型 □中型 □小型 □微型</w:t>
            </w:r>
            <w:r>
              <w:rPr>
                <w:rFonts w:ascii="宋体" w:hAnsi="宋体"/>
                <w:szCs w:val="21"/>
              </w:rPr>
            </w:r>
            <w:r/>
          </w:p>
        </w:tc>
      </w:tr>
      <w:tr>
        <w:trPr>
          <w:trHeight w:val="1767"/>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9"/>
            <w:tcW w:w="8692" w:type="dxa"/>
            <w:vAlign w:val="center"/>
            <w:textDirection w:val="lrTb"/>
            <w:noWrap/>
          </w:tcPr>
          <w:p>
            <w:pPr>
              <w:pStyle w:val="757"/>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757"/>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757"/>
              <w:spacing w:line="300" w:lineRule="auto"/>
              <w:rPr>
                <w:rFonts w:ascii="宋体" w:hAnsi="宋体"/>
                <w:szCs w:val="21"/>
              </w:rPr>
            </w:pPr>
            <w:r>
              <w:rPr>
                <w:rFonts w:ascii="宋体" w:hAnsi="宋体"/>
                <w:szCs w:val="21"/>
              </w:rPr>
              <w:t xml:space="preserve">2._____________________________________</w:t>
            </w:r>
            <w:r>
              <w:rPr>
                <w:rFonts w:ascii="宋体" w:hAnsi="宋体"/>
                <w:szCs w:val="21"/>
              </w:rPr>
            </w:r>
            <w:r/>
          </w:p>
          <w:p>
            <w:pPr>
              <w:pStyle w:val="757"/>
              <w:spacing w:line="300" w:lineRule="auto"/>
              <w:rPr>
                <w:rFonts w:ascii="宋体" w:hAnsi="宋体"/>
                <w:szCs w:val="21"/>
              </w:rPr>
            </w:pPr>
            <w:r>
              <w:rPr>
                <w:rFonts w:ascii="宋体" w:hAnsi="宋体"/>
                <w:szCs w:val="21"/>
              </w:rPr>
              <w:t xml:space="preserve">3._____________________________________</w:t>
            </w:r>
            <w:r>
              <w:rPr>
                <w:rFonts w:ascii="宋体" w:hAnsi="宋体"/>
                <w:szCs w:val="21"/>
              </w:rPr>
            </w:r>
            <w:r/>
          </w:p>
        </w:tc>
      </w:tr>
      <w:tr>
        <w:trPr>
          <w:trHeight w:val="1548"/>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center"/>
            <w:textDirection w:val="lrTb"/>
            <w:noWrap/>
          </w:tcPr>
          <w:p>
            <w:pPr>
              <w:pStyle w:val="757"/>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tcPr>
          <w:p>
            <w:pPr>
              <w:pStyle w:val="757"/>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3"/>
            <w:tcW w:w="2445" w:type="dxa"/>
            <w:vAlign w:val="top"/>
            <w:textDirection w:val="lrTb"/>
            <w:noWrap/>
          </w:tcPr>
          <w:p>
            <w:pPr>
              <w:pStyle w:val="757"/>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tcPr>
          <w:p>
            <w:pPr>
              <w:pStyle w:val="757"/>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tcPr>
          <w:p>
            <w:pPr>
              <w:pStyle w:val="757"/>
              <w:jc w:val="center"/>
              <w:spacing w:line="300" w:lineRule="auto"/>
              <w:rPr>
                <w:rFonts w:ascii="宋体" w:hAnsi="宋体"/>
                <w:szCs w:val="21"/>
              </w:rPr>
            </w:pPr>
            <w:r>
              <w:rPr>
                <w:rFonts w:ascii="宋体" w:hAnsi="宋体"/>
                <w:szCs w:val="21"/>
              </w:rPr>
              <w:t xml:space="preserve">11</w:t>
            </w:r>
            <w:r>
              <w:rPr>
                <w:rFonts w:ascii="宋体" w:hAnsi="宋体"/>
                <w:szCs w:val="21"/>
              </w:rPr>
            </w:r>
            <w:r/>
          </w:p>
        </w:tc>
        <w:tc>
          <w:tcPr>
            <w:gridSpan w:val="9"/>
            <w:tcW w:w="8692" w:type="dxa"/>
            <w:vAlign w:val="center"/>
            <w:textDirection w:val="lrTb"/>
            <w:noWrap/>
          </w:tcPr>
          <w:p>
            <w:pPr>
              <w:pStyle w:val="757"/>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spacing w:line="360" w:lineRule="auto"/>
        <w:rPr>
          <w:rFonts w:ascii="宋体" w:hAnsi="宋体"/>
          <w:szCs w:val="21"/>
        </w:rPr>
      </w:pPr>
      <w:r>
        <w:rPr>
          <w:rFonts w:ascii="宋体" w:hAnsi="宋体"/>
          <w:szCs w:val="21"/>
        </w:rPr>
      </w:r>
      <w:r/>
    </w:p>
    <w:p>
      <w:pPr>
        <w:pStyle w:val="757"/>
        <w:jc w:val="left"/>
        <w:spacing w:line="360" w:lineRule="auto"/>
        <w:rPr>
          <w:rFonts w:hint="eastAsia" w:ascii="宋体" w:hAnsi="宋体"/>
          <w:b/>
          <w:sz w:val="24"/>
        </w:rPr>
      </w:pPr>
      <w:r>
        <w:rPr>
          <w:rFonts w:hint="eastAsia" w:ascii="宋体" w:hAnsi="宋体"/>
          <w:b/>
          <w:sz w:val="24"/>
        </w:rPr>
        <w:t xml:space="preserve">无重大违法记录声明</w:t>
      </w:r>
      <w:r>
        <w:rPr>
          <w:rFonts w:hint="eastAsia" w:ascii="宋体" w:hAnsi="宋体"/>
          <w:b/>
          <w:sz w:val="24"/>
        </w:rPr>
      </w:r>
      <w:r/>
    </w:p>
    <w:p>
      <w:pPr>
        <w:pStyle w:val="757"/>
        <w:jc w:val="left"/>
        <w:spacing w:line="360" w:lineRule="auto"/>
        <w:rPr>
          <w:rFonts w:hint="eastAsia" w:ascii="宋体" w:hAnsi="宋体"/>
          <w:b/>
          <w:sz w:val="24"/>
        </w:rPr>
      </w:pPr>
      <w:r>
        <w:rPr>
          <w:rFonts w:hint="eastAsia" w:ascii="宋体" w:hAnsi="宋体"/>
          <w:b/>
          <w:sz w:val="24"/>
        </w:rPr>
      </w:r>
      <w:r/>
    </w:p>
    <w:p>
      <w:pPr>
        <w:pStyle w:val="757"/>
        <w:spacing w:line="360" w:lineRule="auto"/>
        <w:rPr>
          <w:rFonts w:hint="eastAsia" w:ascii="宋体" w:hAnsi="宋体"/>
        </w:rPr>
      </w:pPr>
      <w:r>
        <w:rPr>
          <w:rFonts w:hint="eastAsia" w:ascii="宋体" w:hAnsi="宋体"/>
        </w:rPr>
        <w:t xml:space="preserve">致：___________________________(采购人名称）：</w:t>
      </w:r>
      <w:r>
        <w:rPr>
          <w:rFonts w:hint="eastAsia" w:ascii="宋体" w:hAnsi="宋体"/>
        </w:rPr>
      </w:r>
      <w:r/>
    </w:p>
    <w:p>
      <w:pPr>
        <w:pStyle w:val="757"/>
        <w:spacing w:line="360" w:lineRule="auto"/>
        <w:rPr>
          <w:rFonts w:hint="eastAsia"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rPr>
          <w:rFonts w:hint="eastAsia" w:ascii="宋体" w:hAnsi="宋体"/>
        </w:rPr>
      </w:r>
      <w:r/>
    </w:p>
    <w:p>
      <w:pPr>
        <w:pStyle w:val="757"/>
        <w:spacing w:line="360" w:lineRule="auto"/>
        <w:rPr>
          <w:rFonts w:hint="eastAsia"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szCs w:val="21"/>
        </w:rPr>
      </w:r>
      <w:r/>
    </w:p>
    <w:p>
      <w:pPr>
        <w:pStyle w:val="757"/>
        <w:jc w:val="right"/>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79"/>
        <w:ind w:firstLine="5040"/>
        <w:jc w:val="right"/>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91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79"/>
        <w:ind w:firstLine="0"/>
        <w:rPr>
          <w:rFonts w:hint="eastAsia" w:ascii="宋体" w:hAnsi="宋体" w:eastAsia="宋体"/>
          <w:b/>
          <w:color w:val="000000"/>
          <w:sz w:val="21"/>
          <w:szCs w:val="21"/>
        </w:rPr>
      </w:pPr>
      <w:r>
        <w:rPr>
          <w:rFonts w:ascii="宋体" w:hAnsi="宋体" w:eastAsia="宋体"/>
          <w:b/>
          <w:color w:val="000000"/>
          <w:sz w:val="21"/>
          <w:szCs w:val="21"/>
        </w:rPr>
        <w:t xml:space="preserve">中小企业声明函</w:t>
      </w:r>
      <w:r>
        <w:rPr>
          <w:rFonts w:hint="eastAsia" w:ascii="宋体" w:hAnsi="宋体" w:eastAsia="宋体"/>
          <w:b/>
          <w:color w:val="000000"/>
          <w:sz w:val="21"/>
          <w:szCs w:val="21"/>
        </w:rPr>
      </w:r>
      <w:r/>
    </w:p>
    <w:p>
      <w:pPr>
        <w:pStyle w:val="779"/>
        <w:ind w:firstLine="0"/>
        <w:rPr>
          <w:rFonts w:ascii="宋体" w:hAnsi="宋体" w:eastAsia="宋体"/>
          <w:b/>
          <w:sz w:val="21"/>
          <w:szCs w:val="21"/>
          <w:highlight w:val="yellow"/>
        </w:rPr>
      </w:pPr>
      <w:r>
        <w:rPr>
          <w:rFonts w:ascii="宋体" w:hAnsi="宋体" w:eastAsia="宋体"/>
          <w:b/>
          <w:sz w:val="21"/>
          <w:szCs w:val="21"/>
          <w:highlight w:val="yellow"/>
        </w:rPr>
      </w:r>
      <w:r/>
    </w:p>
    <w:p>
      <w:pPr>
        <w:pStyle w:val="757"/>
        <w:spacing w:line="360" w:lineRule="auto"/>
        <w:rPr>
          <w:color w:val="000000"/>
          <w:sz w:val="36"/>
          <w:szCs w:val="36"/>
        </w:rPr>
      </w:pPr>
      <w:r>
        <w:rPr>
          <w:rFonts w:hint="eastAsia" w:ascii="宋体" w:hAnsi="宋体"/>
          <w:color w:val="000000"/>
        </w:rPr>
        <w:t xml:space="preserve">致：____________________(采购人名称）</w:t>
      </w:r>
      <w:r>
        <w:rPr>
          <w:color w:val="000000"/>
          <w:sz w:val="36"/>
          <w:szCs w:val="36"/>
        </w:rPr>
      </w:r>
      <w:r/>
    </w:p>
    <w:p>
      <w:pPr>
        <w:pStyle w:val="757"/>
        <w:rPr>
          <w:rFonts w:hint="eastAsia" w:ascii="Tahoma" w:hAnsi="Tahoma"/>
          <w:sz w:val="24"/>
        </w:rPr>
      </w:pPr>
      <w:r>
        <w:rPr>
          <w:rFonts w:hint="eastAsia" w:ascii="Tahoma" w:hAnsi="Tahoma"/>
          <w:sz w:val="24"/>
        </w:rPr>
      </w:r>
      <w:r/>
    </w:p>
    <w:p>
      <w:pPr>
        <w:pStyle w:val="946"/>
        <w:ind w:left="-210" w:right="-210" w:firstLine="425"/>
        <w:jc w:val="center"/>
        <w:spacing w:line="360" w:lineRule="auto"/>
        <w:rPr>
          <w:rFonts w:hAnsi="宋体" w:eastAsia="宋体"/>
          <w:sz w:val="21"/>
          <w:szCs w:val="21"/>
        </w:rPr>
      </w:pPr>
      <w:r/>
      <w:bookmarkEnd w:id="44"/>
      <w:r>
        <w:rPr>
          <w:rFonts w:hAnsi="宋体" w:eastAsia="宋体"/>
          <w:color w:val="000000"/>
          <w:sz w:val="21"/>
          <w:szCs w:val="21"/>
        </w:rPr>
        <w:t xml:space="preserve">  </w:t>
      </w:r>
      <w:r>
        <w:rPr>
          <w:rFonts w:hAnsi="宋体" w:eastAsia="宋体"/>
          <w:sz w:val="21"/>
          <w:szCs w:val="21"/>
        </w:rPr>
        <w:t xml:space="preserve">中小企业声明函（服务）</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注：1.从业人员、营业收入、资产总额填报上一年度数据，无上一年度数据的新成立企业可不填报。</w:t>
      </w:r>
      <w:r>
        <w:rPr>
          <w:rFonts w:hAnsi="宋体" w:eastAsia="宋体"/>
          <w:sz w:val="21"/>
          <w:szCs w:val="21"/>
        </w:rPr>
      </w:r>
      <w:r/>
    </w:p>
    <w:p>
      <w:pPr>
        <w:pStyle w:val="946"/>
        <w:ind w:left="-210" w:right="-210" w:firstLine="425"/>
        <w:spacing w:line="360" w:lineRule="auto"/>
        <w:rPr>
          <w:rFonts w:hAnsi="宋体" w:eastAsia="宋体"/>
          <w:color w:val="000000"/>
          <w:sz w:val="21"/>
          <w:szCs w:val="21"/>
        </w:rPr>
      </w:pPr>
      <w:r>
        <w:rPr>
          <w:rFonts w:hAnsi="宋体"/>
          <w:b/>
          <w:color w:val="000000"/>
          <w:szCs w:val="21"/>
        </w:rPr>
        <w:t xml:space="preserve">  </w:t>
      </w:r>
      <w:r>
        <w:rPr>
          <w:rFonts w:hAnsi="宋体" w:eastAsia="宋体"/>
          <w:color w:val="000000"/>
          <w:sz w:val="21"/>
          <w:szCs w:val="21"/>
        </w:rPr>
        <w:t xml:space="preserve"> 2. 本项目服务所属行业为</w:t>
      </w:r>
      <w:r>
        <w:rPr>
          <w:rFonts w:hAnsi="宋体" w:eastAsia="宋体"/>
          <w:b/>
          <w:bCs/>
          <w:color w:val="000000"/>
          <w:sz w:val="21"/>
          <w:szCs w:val="21"/>
        </w:rPr>
        <w:t xml:space="preserve">租赁和商务服务业</w:t>
      </w:r>
      <w:r>
        <w:rPr>
          <w:rFonts w:hAnsi="宋体" w:eastAsia="宋体"/>
          <w:color w:val="000000"/>
          <w:sz w:val="21"/>
          <w:szCs w:val="21"/>
        </w:rPr>
        <w:t xml:space="preserve">，中小微企业划分标准请根据《中小企业划型标准规定》（工信部联企业﹝2011﹞300号文）。</w:t>
      </w:r>
      <w:r>
        <w:rPr>
          <w:rFonts w:hAnsi="宋体" w:eastAsia="宋体"/>
          <w:color w:val="000000"/>
          <w:sz w:val="21"/>
          <w:szCs w:val="21"/>
        </w:rPr>
      </w:r>
      <w:r/>
    </w:p>
    <w:p>
      <w:pPr>
        <w:pStyle w:val="946"/>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946"/>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917"/>
        <w:spacing w:line="360" w:lineRule="auto"/>
        <w:rPr>
          <w:rFonts w:ascii="Tahoma" w:hAnsi="宋体" w:eastAsia="宋体"/>
          <w:color w:val="000000"/>
          <w:sz w:val="21"/>
          <w:szCs w:val="21"/>
        </w:rPr>
      </w:pPr>
      <w:r>
        <w:rPr>
          <w:rFonts w:ascii="Tahoma" w:hAnsi="宋体" w:eastAsia="宋体"/>
          <w:color w:val="000000"/>
          <w:sz w:val="21"/>
          <w:szCs w:val="21"/>
        </w:rPr>
        <w:t xml:space="preserve">                                                             企业名称（盖章）：</w:t>
      </w:r>
      <w:r>
        <w:rPr>
          <w:rFonts w:ascii="Tahoma" w:hAnsi="宋体" w:eastAsia="宋体"/>
          <w:color w:val="000000"/>
          <w:sz w:val="21"/>
          <w:szCs w:val="21"/>
        </w:rPr>
      </w:r>
      <w:r/>
    </w:p>
    <w:p>
      <w:pPr>
        <w:pStyle w:val="917"/>
        <w:spacing w:line="360" w:lineRule="auto"/>
        <w:rPr>
          <w:rFonts w:ascii="Tahoma" w:hAnsi="宋体" w:eastAsia="宋体"/>
          <w:color w:val="000000"/>
          <w:sz w:val="21"/>
          <w:szCs w:val="21"/>
        </w:rPr>
      </w:pPr>
      <w:r>
        <w:rPr>
          <w:rFonts w:ascii="Tahoma" w:hAnsi="宋体" w:eastAsia="宋体"/>
          <w:color w:val="000000"/>
          <w:sz w:val="21"/>
          <w:szCs w:val="21"/>
        </w:rPr>
        <w:t xml:space="preserve">                                                             日 期：</w:t>
      </w:r>
      <w:r>
        <w:rPr>
          <w:rFonts w:ascii="Tahoma" w:hAnsi="宋体" w:eastAsia="宋体"/>
          <w:color w:val="000000"/>
          <w:sz w:val="21"/>
          <w:szCs w:val="21"/>
        </w:rPr>
      </w:r>
      <w:r/>
    </w:p>
    <w:p>
      <w:pPr>
        <w:pStyle w:val="917"/>
        <w:jc w:val="left"/>
        <w:spacing w:line="360" w:lineRule="auto"/>
        <w:rPr>
          <w:rFonts w:ascii="Tahoma" w:hAnsi="宋体" w:eastAsia="宋体"/>
          <w:color w:val="000000"/>
          <w:sz w:val="21"/>
          <w:szCs w:val="21"/>
        </w:rPr>
      </w:pPr>
      <w:r>
        <w:rPr>
          <w:rFonts w:ascii="Tahoma"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附：中小企业划型标准规定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（十四）物业管理。从业人员1000人以下或营业收入5000万元以下的为中小微型企业。其中，从业人员</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color w:val="000000"/>
          <w:sz w:val="21"/>
          <w:szCs w:val="21"/>
        </w:rPr>
      </w:r>
      <w:r/>
    </w:p>
    <w:p>
      <w:pPr>
        <w:pStyle w:val="946"/>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   </w:t>
      </w:r>
      <w:r>
        <w:rPr>
          <w:rFonts w:hAnsi="宋体" w:eastAsia="宋体"/>
          <w:color w:val="000000"/>
          <w:sz w:val="21"/>
          <w:szCs w:val="21"/>
        </w:rPr>
      </w:r>
      <w:r/>
    </w:p>
    <w:p>
      <w:pPr>
        <w:pStyle w:val="757"/>
        <w:rPr>
          <w:rFonts w:ascii="Tahoma" w:hAnsi="Tahoma"/>
          <w:sz w:val="24"/>
        </w:rPr>
      </w:pPr>
      <w:r>
        <w:rPr>
          <w:rFonts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ascii="Tahoma" w:hAnsi="Tahoma"/>
          <w:sz w:val="24"/>
        </w:rPr>
      </w:pPr>
      <w:r>
        <w:rPr>
          <w:rFonts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spacing w:line="400" w:lineRule="exact"/>
        <w:rPr>
          <w:rFonts w:hint="eastAsia" w:ascii="宋体" w:hAnsi="宋体"/>
          <w:b/>
        </w:rPr>
      </w:pPr>
      <w:r>
        <w:rPr>
          <w:rFonts w:hint="eastAsia" w:ascii="宋体" w:hAnsi="宋体"/>
          <w:b/>
        </w:rPr>
        <w:t xml:space="preserve">残疾人福利性单位声明函</w:t>
      </w:r>
      <w:r>
        <w:rPr>
          <w:rFonts w:hint="eastAsia" w:ascii="宋体" w:hAnsi="宋体"/>
          <w:b/>
        </w:rPr>
      </w:r>
      <w:r/>
    </w:p>
    <w:p>
      <w:pPr>
        <w:pStyle w:val="946"/>
        <w:ind w:left="-210" w:right="-210" w:firstLine="425"/>
        <w:spacing w:line="360" w:lineRule="auto"/>
        <w:rPr>
          <w:rFonts w:hAnsi="宋体" w:eastAsia="宋体"/>
          <w:sz w:val="21"/>
          <w:szCs w:val="21"/>
        </w:rPr>
      </w:pPr>
      <w:r>
        <w:rPr>
          <w:rFonts w:hAnsi="宋体" w:eastAsia="宋体"/>
          <w:sz w:val="21"/>
          <w:szCs w:val="21"/>
        </w:rPr>
      </w:r>
      <w:r/>
    </w:p>
    <w:p>
      <w:pPr>
        <w:pStyle w:val="946"/>
        <w:ind w:left="-210" w:right="-210" w:firstLine="425"/>
        <w:jc w:val="left"/>
        <w:spacing w:line="360" w:lineRule="auto"/>
        <w:rPr>
          <w:rFonts w:hAnsi="宋体" w:eastAsia="宋体"/>
          <w:sz w:val="21"/>
          <w:szCs w:val="21"/>
        </w:rPr>
      </w:pPr>
      <w:r>
        <w:rPr>
          <w:rFonts w:hAnsi="宋体" w:eastAsia="宋体"/>
          <w:sz w:val="21"/>
          <w:szCs w:val="21"/>
        </w:rPr>
        <w:t xml:space="preserve">残疾人福利性单位声明函</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946"/>
        <w:ind w:left="-210" w:right="-210" w:firstLine="425"/>
        <w:spacing w:line="360" w:lineRule="auto"/>
        <w:rPr>
          <w:rFonts w:hAnsi="宋体" w:eastAsia="宋体"/>
          <w:sz w:val="21"/>
          <w:szCs w:val="21"/>
        </w:rPr>
      </w:pPr>
      <w:r>
        <w:rPr>
          <w:rFonts w:hAnsi="宋体" w:eastAsia="宋体"/>
          <w:sz w:val="21"/>
          <w:szCs w:val="21"/>
        </w:rPr>
      </w:r>
      <w:r/>
    </w:p>
    <w:p>
      <w:pPr>
        <w:pStyle w:val="779"/>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91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1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917"/>
        <w:ind w:left="5400" w:hanging="360"/>
        <w:spacing w:line="360" w:lineRule="auto"/>
        <w:rPr>
          <w:rFonts w:ascii="Tahoma" w:hAnsi="Tahoma"/>
          <w:sz w:val="24"/>
        </w:rPr>
      </w:pPr>
      <w:r>
        <w:rPr>
          <w:rFonts w:ascii="Tahoma" w:hAnsi="Tahoma"/>
          <w:sz w:val="24"/>
        </w:rPr>
      </w:r>
      <w:r/>
    </w:p>
    <w:p>
      <w:pPr>
        <w:pStyle w:val="757"/>
        <w:ind w:firstLine="424"/>
        <w:spacing w:line="360" w:lineRule="auto"/>
        <w:rPr>
          <w:rFonts w:hint="eastAsia" w:ascii="宋体" w:hAnsi="宋体" w:cs="宋体"/>
          <w:b/>
          <w:szCs w:val="21"/>
        </w:rPr>
      </w:pPr>
      <w:r>
        <w:rPr>
          <w:rFonts w:hint="eastAsia" w:ascii="宋体" w:hAnsi="宋体" w:cs="宋体"/>
          <w:b/>
          <w:szCs w:val="21"/>
        </w:rPr>
      </w:r>
      <w:r/>
    </w:p>
    <w:p>
      <w:pPr>
        <w:pStyle w:val="757"/>
        <w:rPr>
          <w:rFonts w:ascii="Tahoma" w:hAnsi="Tahoma"/>
          <w:sz w:val="24"/>
        </w:rPr>
      </w:pPr>
      <w:r>
        <w:rPr>
          <w:rFonts w:ascii="Tahoma" w:hAnsi="Tahoma"/>
          <w:sz w:val="24"/>
        </w:rPr>
      </w:r>
      <w:r/>
    </w:p>
    <w:p>
      <w:pPr>
        <w:pStyle w:val="757"/>
        <w:ind w:firstLine="424"/>
        <w:spacing w:line="360" w:lineRule="auto"/>
        <w:rPr>
          <w:rFonts w:ascii="宋体" w:hAnsi="宋体" w:cs="宋体"/>
          <w:b/>
          <w:szCs w:val="21"/>
        </w:rPr>
      </w:pPr>
      <w:r>
        <w:rPr>
          <w:rFonts w:hint="eastAsia" w:ascii="宋体" w:hAnsi="宋体" w:cs="宋体"/>
          <w:b/>
          <w:szCs w:val="21"/>
        </w:rPr>
        <w:t xml:space="preserve">注：</w:t>
      </w:r>
      <w:r>
        <w:rPr>
          <w:rFonts w:ascii="宋体" w:hAnsi="宋体" w:cs="宋体"/>
          <w:b/>
          <w:szCs w:val="21"/>
        </w:rPr>
      </w:r>
      <w:r/>
    </w:p>
    <w:p>
      <w:pPr>
        <w:pStyle w:val="757"/>
        <w:numPr>
          <w:ilvl w:val="0"/>
          <w:numId w:val="15"/>
        </w:numPr>
        <w:ind w:left="0" w:firstLine="424"/>
        <w:spacing w:line="360" w:lineRule="auto"/>
        <w:rPr>
          <w:rFonts w:hint="eastAsia" w:ascii="宋体" w:hAnsi="宋体" w:cs="宋体"/>
          <w:b/>
          <w:szCs w:val="21"/>
        </w:rPr>
      </w:pPr>
      <w:r>
        <w:rPr>
          <w:rFonts w:hint="eastAsia" w:ascii="宋体" w:hAnsi="宋体" w:cs="宋体"/>
          <w:b/>
          <w:szCs w:val="21"/>
        </w:rPr>
        <w:t xml:space="preserve">中小企业划分标准详见</w:t>
      </w:r>
      <w:r>
        <w:rPr>
          <w:rFonts w:hint="eastAsia" w:ascii="宋体" w:hAnsi="宋体" w:cs="宋体"/>
          <w:b/>
          <w:szCs w:val="21"/>
        </w:rPr>
      </w:r>
      <w:r/>
    </w:p>
    <w:p>
      <w:pPr>
        <w:pStyle w:val="757"/>
        <w:ind w:firstLine="424"/>
        <w:spacing w:line="360" w:lineRule="auto"/>
        <w:rPr>
          <w:rFonts w:hint="eastAsia" w:ascii="宋体" w:hAnsi="宋体" w:cs="宋体"/>
          <w:b/>
          <w:szCs w:val="21"/>
        </w:rPr>
      </w:pPr>
      <w:r>
        <w:rPr>
          <w:rFonts w:ascii="宋体" w:hAnsi="宋体" w:cs="宋体"/>
          <w:b/>
          <w:szCs w:val="21"/>
        </w:rPr>
        <w:t xml:space="preserve">http://www.miit.gov.cn/newweb/n1146285/n1146352/n3054355/n3057278/n3057286/c3592332/content.html</w:t>
      </w:r>
      <w:r>
        <w:rPr>
          <w:rFonts w:hint="eastAsia" w:ascii="宋体" w:hAnsi="宋体" w:cs="宋体"/>
          <w:b/>
          <w:szCs w:val="21"/>
        </w:rPr>
        <w:t xml:space="preserve">“工信部联企业〔2011〕300号通知中的《中小企业划型标准规定》”。</w:t>
      </w:r>
      <w:r>
        <w:rPr>
          <w:rFonts w:hint="eastAsia" w:ascii="宋体" w:hAnsi="宋体" w:cs="宋体"/>
          <w:b/>
          <w:szCs w:val="21"/>
        </w:rPr>
      </w:r>
      <w:r/>
    </w:p>
    <w:p>
      <w:pPr>
        <w:pStyle w:val="757"/>
        <w:ind w:firstLine="422"/>
        <w:spacing w:line="360" w:lineRule="exact"/>
        <w:rPr>
          <w:rFonts w:ascii="宋体" w:hAnsi="宋体"/>
          <w:b/>
          <w:szCs w:val="21"/>
        </w:rPr>
      </w:pPr>
      <w:r>
        <w:rPr>
          <w:rFonts w:hint="eastAsia" w:ascii="宋体" w:hAnsi="宋体"/>
          <w:b/>
          <w:szCs w:val="21"/>
        </w:rPr>
        <w:t xml:space="preserve">2、残疾人福利性单位及监狱企业视同小型企业。</w:t>
      </w:r>
      <w:r>
        <w:rPr>
          <w:rFonts w:ascii="宋体" w:hAnsi="宋体"/>
          <w:b/>
          <w:szCs w:val="21"/>
        </w:rPr>
      </w:r>
      <w:r/>
    </w:p>
    <w:p>
      <w:pPr>
        <w:pStyle w:val="757"/>
        <w:rPr>
          <w:rFonts w:ascii="Tahoma" w:hAnsi="Tahoma"/>
          <w:sz w:val="24"/>
        </w:rPr>
      </w:pPr>
      <w:r>
        <w:rPr>
          <w:rFonts w:ascii="Tahoma" w:hAnsi="Tahoma"/>
          <w:sz w:val="24"/>
        </w:rPr>
      </w:r>
      <w:r/>
    </w:p>
    <w:p>
      <w:pPr>
        <w:pStyle w:val="757"/>
        <w:rPr>
          <w:rFonts w:hint="eastAsia" w:ascii="Tahoma" w:hAnsi="Tahoma"/>
          <w:sz w:val="24"/>
        </w:rPr>
      </w:pPr>
      <w:r>
        <w:rPr>
          <w:rFonts w:ascii="Tahoma" w:hAnsi="Tahoma"/>
          <w:sz w:val="24"/>
        </w:rPr>
        <w:br w:type="page" w:clear="all"/>
      </w:r>
      <w:r>
        <w:rPr>
          <w:rFonts w:hint="eastAsia" w:ascii="Tahoma" w:hAnsi="Tahoma"/>
          <w:sz w:val="24"/>
        </w:rPr>
      </w:r>
      <w:r/>
    </w:p>
    <w:p>
      <w:pPr>
        <w:pStyle w:val="758"/>
        <w:jc w:val="center"/>
        <w:spacing w:line="360" w:lineRule="auto"/>
        <w:rPr>
          <w:rFonts w:hint="eastAsia"/>
        </w:rPr>
      </w:pPr>
      <w:r/>
      <w:bookmarkStart w:id="45" w:name="_Toc194916142"/>
      <w:r>
        <w:rPr>
          <w:rFonts w:hint="eastAsia"/>
        </w:rPr>
        <w:t xml:space="preserve">第四章 招标书</w:t>
      </w:r>
      <w:bookmarkEnd w:id="28"/>
      <w:r/>
      <w:bookmarkEnd w:id="45"/>
      <w:r>
        <w:rPr>
          <w:rFonts w:hint="eastAsia"/>
        </w:rPr>
      </w:r>
      <w:r/>
    </w:p>
    <w:p>
      <w:pPr>
        <w:pStyle w:val="779"/>
        <w:ind w:right="-252" w:firstLine="464"/>
        <w:spacing w:line="360" w:lineRule="auto"/>
        <w:rPr>
          <w:rFonts w:hint="eastAsia"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昆山市张浦镇人民政府（昆山市张浦镇社会事业办公室）</w:t>
      </w:r>
      <w:r>
        <w:rPr>
          <w:rFonts w:ascii="宋体" w:hAnsi="宋体" w:eastAsia="宋体"/>
          <w:bCs/>
          <w:sz w:val="21"/>
          <w:szCs w:val="21"/>
        </w:rPr>
        <w:t xml:space="preserve">委托，</w:t>
      </w:r>
      <w:r>
        <w:rPr>
          <w:rFonts w:hint="eastAsia" w:ascii="宋体" w:hAnsi="宋体" w:eastAsia="宋体"/>
          <w:bCs/>
          <w:sz w:val="21"/>
          <w:szCs w:val="21"/>
        </w:rPr>
        <w:t xml:space="preserve">江苏正华新工程咨询有限公司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昆山第六人民医院异地新建污水系统租赁服务进行国内公开招标。欢迎有资格的单位参加投标。</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一、招标项目编号：JSZC-320583-SZZH-G2026-0005号</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二、招标内容：昆山第六人民医院异地新建污水系统租赁服务</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三、招标要求</w:t>
      </w:r>
      <w:r>
        <w:rPr>
          <w:rFonts w:hint="eastAsia"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（一）项目概况</w:t>
      </w:r>
      <w:r>
        <w:rPr>
          <w:rFonts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1、本项目为昆山市第六人民医院污水处理站设备租赁服务项目，设计日处理污水量为500m³。</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2、设计处理能力</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根据院方提供资料，污水水量依据《医院污水处理工程技术规范》（HJ2029-2013）计算，设计日处理污水量为500m³。</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3、设计进水水质</w:t>
      </w:r>
      <w:r>
        <w:rPr>
          <w:rFonts w:hint="eastAsia"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根据类似医院进水水质如下：（仅供参考，实际以医院进水水质为准）</w:t>
      </w:r>
      <w:r>
        <w:rPr>
          <w:rFonts w:hint="eastAsia" w:ascii="宋体" w:hAnsi="宋体" w:eastAsia="宋体"/>
          <w:bCs/>
          <w:sz w:val="21"/>
          <w:szCs w:val="21"/>
        </w:rPr>
        <w:tab/>
      </w:r>
      <w:r>
        <w:rPr>
          <w:rFonts w:hint="eastAsia" w:ascii="宋体" w:hAnsi="宋体" w:eastAsia="宋体"/>
          <w:bCs/>
          <w:sz w:val="21"/>
          <w:szCs w:val="21"/>
        </w:rPr>
      </w:r>
      <w:r/>
    </w:p>
    <w:tbl>
      <w:tblPr>
        <w:tblW w:w="4868"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937"/>
        <w:gridCol w:w="1304"/>
        <w:gridCol w:w="1304"/>
        <w:gridCol w:w="1304"/>
        <w:gridCol w:w="1130"/>
        <w:gridCol w:w="1852"/>
      </w:tblGrid>
      <w:tr>
        <w:trPr>
          <w:trHeight w:val="1186"/>
        </w:trPr>
        <w:tc>
          <w:tcPr>
            <w:tcW w:w="45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指标</w:t>
            </w:r>
            <w:r>
              <w:rPr>
                <w:rFonts w:ascii="宋体" w:hAnsi="宋体"/>
                <w:color w:val="000000"/>
                <w:szCs w:val="21"/>
              </w:rPr>
            </w:r>
            <w:r/>
          </w:p>
        </w:tc>
        <w:tc>
          <w:tcPr>
            <w:tcW w:w="543"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COD</w:t>
            </w:r>
            <w:r>
              <w:rPr>
                <w:rFonts w:hint="eastAsia" w:ascii="宋体" w:hAnsi="宋体"/>
                <w:color w:val="000000"/>
                <w:szCs w:val="21"/>
                <w:vertAlign w:val="subscript"/>
              </w:rPr>
              <w:t xml:space="preserve">cr</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BOD5</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NH</w:t>
            </w:r>
            <w:r>
              <w:rPr>
                <w:rFonts w:hint="eastAsia" w:ascii="宋体" w:hAnsi="宋体"/>
                <w:color w:val="000000"/>
                <w:szCs w:val="21"/>
                <w:vertAlign w:val="subscript"/>
              </w:rPr>
              <w:t xml:space="preserve">3</w:t>
            </w:r>
            <w:r>
              <w:rPr>
                <w:rFonts w:hint="eastAsia" w:ascii="宋体" w:hAnsi="宋体"/>
                <w:color w:val="000000"/>
                <w:szCs w:val="21"/>
              </w:rPr>
              <w:t xml:space="preserve">-N</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SS</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W w:w="655"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PH</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(无量纲)</w:t>
            </w:r>
            <w:r>
              <w:rPr>
                <w:rFonts w:ascii="宋体" w:hAnsi="宋体"/>
                <w:color w:val="000000"/>
                <w:szCs w:val="21"/>
              </w:rPr>
            </w:r>
            <w:r/>
          </w:p>
        </w:tc>
        <w:tc>
          <w:tcPr>
            <w:tcW w:w="107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粪大肠杆菌</w:t>
            </w:r>
            <w:r>
              <w:rPr>
                <w:rFonts w:ascii="宋体" w:hAnsi="宋体"/>
                <w:color w:val="000000"/>
                <w:szCs w:val="21"/>
              </w:rPr>
            </w:r>
            <w:r/>
          </w:p>
          <w:p>
            <w:pPr>
              <w:pStyle w:val="757"/>
              <w:jc w:val="center"/>
              <w:rPr>
                <w:rFonts w:ascii="宋体" w:hAnsi="宋体"/>
                <w:color w:val="000000"/>
                <w:szCs w:val="21"/>
              </w:rPr>
            </w:pPr>
            <w:r>
              <w:rPr>
                <w:rFonts w:hint="eastAsia" w:ascii="宋体" w:hAnsi="宋体"/>
                <w:color w:val="000000"/>
                <w:szCs w:val="21"/>
              </w:rPr>
              <w:t xml:space="preserve">(MPN/L)</w:t>
            </w:r>
            <w:r>
              <w:rPr>
                <w:rFonts w:ascii="宋体" w:hAnsi="宋体"/>
                <w:color w:val="000000"/>
                <w:szCs w:val="21"/>
              </w:rPr>
            </w:r>
            <w:r/>
          </w:p>
        </w:tc>
      </w:tr>
      <w:tr>
        <w:trPr>
          <w:trHeight w:val="693"/>
        </w:trPr>
        <w:tc>
          <w:tcPr>
            <w:tcW w:w="45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标准</w:t>
            </w:r>
            <w:r>
              <w:rPr>
                <w:rFonts w:ascii="宋体" w:hAnsi="宋体"/>
                <w:color w:val="000000"/>
                <w:szCs w:val="21"/>
              </w:rPr>
            </w:r>
            <w:r/>
          </w:p>
        </w:tc>
        <w:tc>
          <w:tcPr>
            <w:tcW w:w="543"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350</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250</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100</w:t>
            </w:r>
            <w:r>
              <w:rPr>
                <w:rFonts w:ascii="宋体" w:hAnsi="宋体"/>
                <w:color w:val="000000"/>
                <w:szCs w:val="21"/>
              </w:rPr>
            </w:r>
            <w:r/>
          </w:p>
        </w:tc>
        <w:tc>
          <w:tcPr>
            <w:tcW w:w="75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150</w:t>
            </w:r>
            <w:r>
              <w:rPr>
                <w:rFonts w:ascii="宋体" w:hAnsi="宋体"/>
                <w:color w:val="000000"/>
                <w:szCs w:val="21"/>
              </w:rPr>
            </w:r>
            <w:r/>
          </w:p>
        </w:tc>
        <w:tc>
          <w:tcPr>
            <w:tcW w:w="655"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W w:w="107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3.31×10</w:t>
            </w:r>
            <w:r>
              <w:rPr>
                <w:rFonts w:hint="eastAsia" w:ascii="宋体" w:hAnsi="宋体"/>
                <w:color w:val="000000"/>
                <w:szCs w:val="21"/>
                <w:vertAlign w:val="superscript"/>
              </w:rPr>
              <w:t xml:space="preserve">8</w:t>
            </w:r>
            <w:r>
              <w:rPr>
                <w:rFonts w:ascii="宋体" w:hAnsi="宋体"/>
                <w:color w:val="000000"/>
                <w:szCs w:val="21"/>
              </w:rPr>
            </w:r>
            <w:r/>
          </w:p>
        </w:tc>
      </w:tr>
    </w:tbl>
    <w:p>
      <w:pPr>
        <w:pStyle w:val="779"/>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4、设计出水水质</w:t>
      </w:r>
      <w:r>
        <w:rPr>
          <w:rFonts w:ascii="宋体" w:hAnsi="宋体" w:eastAsia="宋体"/>
          <w:bCs/>
          <w:sz w:val="21"/>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医院污水处理后水质达到《医疗机构水污染物排放标准》（GB18466-2005）表2中预处理标准及《污水排入城镇下水道水质标准》（GB/T31962-2015）中B等级标准排入市政管网：</w:t>
      </w:r>
      <w:r>
        <w:rPr>
          <w:rFonts w:hint="eastAsia" w:ascii="宋体" w:hAnsi="宋体"/>
          <w:color w:val="000000"/>
          <w:szCs w:val="21"/>
        </w:rPr>
      </w:r>
      <w:r/>
    </w:p>
    <w:tbl>
      <w:tblPr>
        <w:tblW w:w="4959"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12"/>
        <w:gridCol w:w="1182"/>
        <w:gridCol w:w="1111"/>
        <w:gridCol w:w="1433"/>
        <w:gridCol w:w="2080"/>
        <w:gridCol w:w="1565"/>
      </w:tblGrid>
      <w:tr>
        <w:trPr>
          <w:trHeight w:val="597"/>
        </w:trPr>
        <w:tc>
          <w:tcPr>
            <w:tcW w:w="1413" w:type="dxa"/>
            <w:vAlign w:val="center"/>
            <w:textDirection w:val="lrTb"/>
            <w:noWrap/>
          </w:tcPr>
          <w:p>
            <w:pPr>
              <w:pStyle w:val="757"/>
              <w:rPr>
                <w:rFonts w:ascii="宋体" w:hAnsi="宋体"/>
                <w:color w:val="000000"/>
                <w:szCs w:val="21"/>
              </w:rPr>
            </w:pPr>
            <w:r>
              <w:rPr>
                <w:rFonts w:hint="eastAsia" w:ascii="宋体" w:hAnsi="宋体"/>
                <w:color w:val="000000"/>
                <w:szCs w:val="21"/>
              </w:rPr>
              <w:t xml:space="preserve">粪大肠菌群</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5000MPN/L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PH</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6-9mg/L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CODcr</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250mg/L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BOD5</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100mg/L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SS</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60mg/L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氨氮</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45mg/L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动植物油</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20mg/L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石油类</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20mg/L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阴离子表面活性剂</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10mg/L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色度</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_</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挥发酚</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1.0mg/L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总氰化物</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总汞</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0.05 mg/L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总镉</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0.1 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总铬</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1.5 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六价铬</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总砷</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总铅</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1.0 mg/L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总银</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hint="eastAsia" w:ascii="宋体" w:hAnsi="宋体"/>
                <w:color w:val="000000"/>
                <w:szCs w:val="21"/>
                <w:shd w:val="clear" w:color="auto" w:fill="ffffff"/>
              </w:rPr>
              <w:t xml:space="preserve">总α</w:t>
            </w: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1Bq/L</w:t>
            </w: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hint="eastAsia" w:ascii="宋体" w:hAnsi="宋体"/>
                <w:color w:val="000000"/>
                <w:szCs w:val="21"/>
                <w:shd w:val="clear" w:color="auto" w:fill="ffffff"/>
              </w:rPr>
              <w:t xml:space="preserve">总β</w:t>
            </w: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10Bq/L</w:t>
            </w:r>
            <w:r>
              <w:rPr>
                <w:rFonts w:ascii="宋体" w:hAnsi="宋体"/>
                <w:color w:val="000000"/>
                <w:szCs w:val="21"/>
              </w:rPr>
            </w:r>
            <w:r/>
          </w:p>
        </w:tc>
      </w:tr>
      <w:tr>
        <w:trPr>
          <w:trHeight w:val="597"/>
        </w:trPr>
        <w:tc>
          <w:tcPr>
            <w:tcW w:w="1413"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总余氯</w:t>
            </w:r>
            <w:r>
              <w:rPr>
                <w:rFonts w:ascii="宋体" w:hAnsi="宋体"/>
                <w:color w:val="000000"/>
                <w:szCs w:val="21"/>
              </w:rPr>
            </w:r>
            <w:r/>
          </w:p>
        </w:tc>
        <w:tc>
          <w:tcPr>
            <w:tcW w:w="1182" w:type="dxa"/>
            <w:vAlign w:val="center"/>
            <w:textDirection w:val="lrTb"/>
            <w:noWrap/>
          </w:tcPr>
          <w:p>
            <w:pPr>
              <w:pStyle w:val="757"/>
              <w:jc w:val="center"/>
              <w:rPr>
                <w:rFonts w:ascii="宋体" w:hAnsi="宋体"/>
                <w:color w:val="000000"/>
                <w:szCs w:val="21"/>
              </w:rPr>
            </w:pPr>
            <w:r>
              <w:rPr>
                <w:rFonts w:hint="eastAsia" w:ascii="宋体" w:hAnsi="宋体"/>
                <w:color w:val="000000"/>
                <w:szCs w:val="21"/>
              </w:rPr>
              <w:t xml:space="preserve">_</w:t>
            </w:r>
            <w:r>
              <w:rPr>
                <w:rFonts w:ascii="宋体" w:hAnsi="宋体"/>
                <w:color w:val="000000"/>
                <w:szCs w:val="21"/>
              </w:rPr>
            </w:r>
            <w:r/>
          </w:p>
        </w:tc>
        <w:tc>
          <w:tcPr>
            <w:tcW w:w="1111" w:type="dxa"/>
            <w:vAlign w:val="center"/>
            <w:textDirection w:val="lrTb"/>
            <w:noWrap/>
          </w:tcPr>
          <w:p>
            <w:pPr>
              <w:pStyle w:val="757"/>
              <w:jc w:val="center"/>
              <w:rPr>
                <w:rFonts w:ascii="宋体" w:hAnsi="宋体"/>
                <w:color w:val="000000"/>
                <w:szCs w:val="21"/>
              </w:rPr>
            </w:pPr>
            <w:r>
              <w:rPr>
                <w:rFonts w:ascii="宋体" w:hAnsi="宋体"/>
                <w:color w:val="000000"/>
                <w:szCs w:val="21"/>
              </w:rPr>
            </w:r>
            <w:r/>
          </w:p>
        </w:tc>
        <w:tc>
          <w:tcPr>
            <w:tcW w:w="1433" w:type="dxa"/>
            <w:vAlign w:val="center"/>
            <w:textDirection w:val="lrTb"/>
            <w:noWrap/>
          </w:tcPr>
          <w:p>
            <w:pPr>
              <w:pStyle w:val="757"/>
              <w:jc w:val="center"/>
              <w:rPr>
                <w:rFonts w:ascii="宋体" w:hAnsi="宋体"/>
                <w:color w:val="000000"/>
                <w:szCs w:val="21"/>
              </w:rPr>
            </w:pPr>
            <w:r>
              <w:rPr>
                <w:rFonts w:ascii="宋体" w:hAnsi="宋体"/>
                <w:color w:val="000000"/>
                <w:szCs w:val="21"/>
              </w:rPr>
            </w:r>
            <w:r/>
          </w:p>
        </w:tc>
        <w:tc>
          <w:tcPr>
            <w:tcW w:w="2080" w:type="dxa"/>
            <w:vAlign w:val="center"/>
            <w:textDirection w:val="lrTb"/>
            <w:noWrap/>
          </w:tcPr>
          <w:p>
            <w:pPr>
              <w:pStyle w:val="757"/>
              <w:jc w:val="center"/>
              <w:rPr>
                <w:rFonts w:ascii="宋体" w:hAnsi="宋体"/>
                <w:color w:val="000000"/>
                <w:szCs w:val="21"/>
              </w:rPr>
            </w:pPr>
            <w:r>
              <w:rPr>
                <w:rFonts w:ascii="宋体" w:hAnsi="宋体"/>
                <w:color w:val="000000"/>
                <w:szCs w:val="21"/>
              </w:rPr>
            </w:r>
            <w:r/>
          </w:p>
        </w:tc>
        <w:tc>
          <w:tcPr>
            <w:tcW w:w="1565" w:type="dxa"/>
            <w:vAlign w:val="center"/>
            <w:textDirection w:val="lrTb"/>
            <w:noWrap/>
          </w:tcPr>
          <w:p>
            <w:pPr>
              <w:pStyle w:val="757"/>
              <w:jc w:val="center"/>
              <w:rPr>
                <w:rFonts w:ascii="宋体" w:hAnsi="宋体"/>
                <w:color w:val="000000"/>
                <w:szCs w:val="21"/>
              </w:rPr>
            </w:pPr>
            <w:r>
              <w:rPr>
                <w:rFonts w:ascii="宋体" w:hAnsi="宋体"/>
                <w:color w:val="000000"/>
                <w:szCs w:val="21"/>
              </w:rPr>
            </w:r>
            <w:r/>
          </w:p>
        </w:tc>
      </w:tr>
      <w:tr>
        <w:trPr>
          <w:trHeight w:val="597"/>
        </w:trPr>
        <w:tc>
          <w:tcPr>
            <w:gridSpan w:val="6"/>
            <w:tcW w:w="8784" w:type="dxa"/>
            <w:vAlign w:val="center"/>
            <w:textDirection w:val="lrTb"/>
            <w:noWrap/>
          </w:tcPr>
          <w:p>
            <w:pPr>
              <w:pStyle w:val="757"/>
              <w:spacing w:line="360" w:lineRule="auto"/>
              <w:rPr>
                <w:rFonts w:ascii="宋体" w:hAnsi="宋体"/>
                <w:color w:val="000000"/>
                <w:szCs w:val="21"/>
              </w:rPr>
            </w:pPr>
            <w:r>
              <w:rPr>
                <w:rFonts w:hint="eastAsia" w:ascii="宋体" w:hAnsi="宋体"/>
                <w:color w:val="000000"/>
                <w:szCs w:val="21"/>
              </w:rPr>
              <w:t xml:space="preserve">注：1）采用含氯消毒剂消毒的工艺控制要求为：</w:t>
            </w:r>
            <w:r>
              <w:rPr>
                <w:rFonts w:ascii="宋体" w:hAnsi="宋体"/>
                <w:color w:val="000000"/>
                <w:szCs w:val="21"/>
              </w:rPr>
            </w:r>
            <w:r/>
          </w:p>
          <w:p>
            <w:pPr>
              <w:pStyle w:val="757"/>
              <w:ind w:left="-120" w:firstLine="840"/>
              <w:spacing w:line="360" w:lineRule="auto"/>
              <w:rPr>
                <w:rFonts w:hint="eastAsia" w:ascii="宋体" w:hAnsi="宋体"/>
                <w:color w:val="000000"/>
                <w:szCs w:val="21"/>
              </w:rPr>
            </w:pPr>
            <w:r>
              <w:rPr>
                <w:rFonts w:hint="eastAsia" w:ascii="宋体" w:hAnsi="宋体"/>
                <w:color w:val="000000"/>
                <w:szCs w:val="21"/>
              </w:rPr>
              <w:t xml:space="preserve">排放标准：消毒接触池接触时间≥1h,接触池出口余氯3～10mg/L。</w:t>
            </w:r>
            <w:r>
              <w:rPr>
                <w:rFonts w:hint="eastAsia" w:ascii="宋体" w:hAnsi="宋体"/>
                <w:color w:val="000000"/>
                <w:szCs w:val="21"/>
              </w:rPr>
            </w:r>
            <w:r/>
          </w:p>
          <w:p>
            <w:pPr>
              <w:pStyle w:val="757"/>
              <w:ind w:left="-120" w:firstLine="840"/>
              <w:spacing w:line="360" w:lineRule="auto"/>
              <w:rPr>
                <w:rFonts w:hint="eastAsia" w:ascii="宋体" w:hAnsi="宋体"/>
                <w:color w:val="000000"/>
                <w:szCs w:val="21"/>
              </w:rPr>
            </w:pPr>
            <w:r>
              <w:rPr>
                <w:rFonts w:hint="eastAsia" w:ascii="宋体" w:hAnsi="宋体"/>
                <w:color w:val="000000"/>
                <w:szCs w:val="21"/>
              </w:rPr>
              <w:t xml:space="preserve">预处理标准：消毒接触池接触时间≥1h,接触池出口总余氯2～8mg/L。</w:t>
            </w:r>
            <w:r>
              <w:rPr>
                <w:rFonts w:hint="eastAsia"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2）采用其他消毒剂对总余氯值不做要求。</w:t>
            </w:r>
            <w:r>
              <w:rPr>
                <w:rFonts w:ascii="宋体" w:hAnsi="宋体"/>
                <w:color w:val="000000"/>
                <w:szCs w:val="21"/>
              </w:rPr>
            </w:r>
            <w:r/>
          </w:p>
        </w:tc>
      </w:tr>
    </w:tbl>
    <w:p>
      <w:pPr>
        <w:pStyle w:val="779"/>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5、法规、标准及设计依据</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《中华人民共和国环境保护法》及其它相关的法律、法规和章程</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《建设项目环境保护管理条例》国务院令第</w:t>
      </w:r>
      <w:r>
        <w:rPr>
          <w:rFonts w:ascii="宋体" w:hAnsi="宋体" w:eastAsia="宋体"/>
          <w:bCs/>
          <w:sz w:val="21"/>
          <w:szCs w:val="21"/>
        </w:rPr>
        <w:t xml:space="preserve">253</w:t>
      </w:r>
      <w:r>
        <w:rPr>
          <w:rFonts w:hint="eastAsia" w:ascii="宋体" w:hAnsi="宋体" w:eastAsia="宋体"/>
          <w:bCs/>
          <w:sz w:val="21"/>
          <w:szCs w:val="21"/>
        </w:rPr>
        <w:t xml:space="preserve">号</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《中华人民共和国水污染防治法》</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《污水综合排放标准》</w:t>
      </w:r>
      <w:r>
        <w:rPr>
          <w:rFonts w:ascii="宋体" w:hAnsi="宋体" w:eastAsia="宋体"/>
          <w:bCs/>
          <w:sz w:val="21"/>
          <w:szCs w:val="21"/>
        </w:rPr>
        <w:t xml:space="preserve">GB8978-1996</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《医疗机构水污染物排放标准》（</w:t>
      </w:r>
      <w:r>
        <w:rPr>
          <w:rFonts w:ascii="宋体" w:hAnsi="宋体" w:eastAsia="宋体"/>
          <w:bCs/>
          <w:sz w:val="21"/>
          <w:szCs w:val="21"/>
        </w:rPr>
        <w:t xml:space="preserve">GB18466-2005</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《污水排入城镇下水道水质标准》（</w:t>
      </w:r>
      <w:r>
        <w:rPr>
          <w:rFonts w:ascii="宋体" w:hAnsi="宋体" w:eastAsia="宋体"/>
          <w:bCs/>
          <w:sz w:val="21"/>
          <w:szCs w:val="21"/>
        </w:rPr>
        <w:t xml:space="preserve">GB/T31962-2015</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《医院污水处理设计规范》（</w:t>
      </w:r>
      <w:r>
        <w:rPr>
          <w:rFonts w:ascii="宋体" w:hAnsi="宋体" w:eastAsia="宋体"/>
          <w:bCs/>
          <w:sz w:val="21"/>
          <w:szCs w:val="21"/>
        </w:rPr>
        <w:t xml:space="preserve">CECS07</w:t>
      </w:r>
      <w:r>
        <w:rPr>
          <w:rFonts w:hint="eastAsia" w:ascii="宋体" w:hAnsi="宋体" w:eastAsia="宋体"/>
          <w:bCs/>
          <w:sz w:val="21"/>
          <w:szCs w:val="21"/>
        </w:rPr>
        <w:t xml:space="preserve">：</w:t>
      </w:r>
      <w:r>
        <w:rPr>
          <w:rFonts w:ascii="宋体" w:hAnsi="宋体" w:eastAsia="宋体"/>
          <w:bCs/>
          <w:sz w:val="21"/>
          <w:szCs w:val="21"/>
        </w:rPr>
        <w:t xml:space="preserve">88</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《医院污水处理工程技术规范》（</w:t>
      </w:r>
      <w:r>
        <w:rPr>
          <w:rFonts w:ascii="宋体" w:hAnsi="宋体" w:eastAsia="宋体"/>
          <w:bCs/>
          <w:sz w:val="21"/>
          <w:szCs w:val="21"/>
        </w:rPr>
        <w:t xml:space="preserve">HJ 2029-2013</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《医院污水处理技术指南》环发</w:t>
      </w:r>
      <w:r>
        <w:rPr>
          <w:rFonts w:ascii="宋体" w:hAnsi="宋体" w:eastAsia="宋体"/>
          <w:bCs/>
          <w:sz w:val="21"/>
          <w:szCs w:val="21"/>
        </w:rPr>
        <w:t xml:space="preserve">[2003]197</w:t>
      </w:r>
      <w:r>
        <w:rPr>
          <w:rFonts w:hint="eastAsia" w:ascii="宋体" w:hAnsi="宋体" w:eastAsia="宋体"/>
          <w:bCs/>
          <w:sz w:val="21"/>
          <w:szCs w:val="21"/>
        </w:rPr>
        <w:t xml:space="preserve">号</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《消毒剂原料清单及禁限用物质》</w:t>
      </w:r>
      <w:r>
        <w:rPr>
          <w:rFonts w:ascii="宋体" w:hAnsi="宋体" w:eastAsia="宋体"/>
          <w:bCs/>
          <w:sz w:val="21"/>
          <w:szCs w:val="21"/>
        </w:rPr>
        <w:t xml:space="preserve">GB38850-2020</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《城市区域环境噪声标准》</w:t>
      </w:r>
      <w:r>
        <w:rPr>
          <w:rFonts w:ascii="宋体" w:hAnsi="宋体" w:eastAsia="宋体"/>
          <w:bCs/>
          <w:sz w:val="21"/>
          <w:szCs w:val="21"/>
        </w:rPr>
        <w:t xml:space="preserve">GB3096-1993 dB</w:t>
      </w:r>
      <w:r>
        <w:rPr>
          <w:rFonts w:hint="eastAsia" w:ascii="宋体" w:hAnsi="宋体" w:eastAsia="宋体"/>
          <w:bCs/>
          <w:sz w:val="21"/>
          <w:szCs w:val="21"/>
        </w:rPr>
        <w:t xml:space="preserve">（</w:t>
      </w:r>
      <w:r>
        <w:rPr>
          <w:rFonts w:ascii="宋体" w:hAnsi="宋体" w:eastAsia="宋体"/>
          <w:bCs/>
          <w:sz w:val="21"/>
          <w:szCs w:val="21"/>
        </w:rPr>
        <w:t xml:space="preserve">A</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《室外排水设计规范》</w:t>
      </w:r>
      <w:r>
        <w:rPr>
          <w:rFonts w:ascii="宋体" w:hAnsi="宋体" w:eastAsia="宋体"/>
          <w:bCs/>
          <w:sz w:val="21"/>
          <w:szCs w:val="21"/>
        </w:rPr>
        <w:t xml:space="preserve">GB50014-2021</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《建筑给排水设计规范》</w:t>
      </w:r>
      <w:r>
        <w:rPr>
          <w:rFonts w:ascii="宋体" w:hAnsi="宋体" w:eastAsia="宋体"/>
          <w:bCs/>
          <w:sz w:val="21"/>
          <w:szCs w:val="21"/>
        </w:rPr>
        <w:t xml:space="preserve">GB50015-2010</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《地表水环境质量标准》（</w:t>
      </w:r>
      <w:r>
        <w:rPr>
          <w:rFonts w:ascii="宋体" w:hAnsi="宋体" w:eastAsia="宋体"/>
          <w:bCs/>
          <w:sz w:val="21"/>
          <w:szCs w:val="21"/>
        </w:rPr>
        <w:t xml:space="preserve">GB3838-2002</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《环境空气质量标准》（</w:t>
      </w:r>
      <w:r>
        <w:rPr>
          <w:rFonts w:ascii="宋体" w:hAnsi="宋体" w:eastAsia="宋体"/>
          <w:bCs/>
          <w:sz w:val="21"/>
          <w:szCs w:val="21"/>
        </w:rPr>
        <w:t xml:space="preserve">GB3095-2012</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《给水排水工程结构设计规范》（</w:t>
      </w:r>
      <w:r>
        <w:rPr>
          <w:rFonts w:ascii="宋体" w:hAnsi="宋体" w:eastAsia="宋体"/>
          <w:bCs/>
          <w:sz w:val="21"/>
          <w:szCs w:val="21"/>
        </w:rPr>
        <w:t xml:space="preserve">GB50069-2002</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《供配电系统设计规范》（</w:t>
      </w:r>
      <w:r>
        <w:rPr>
          <w:rFonts w:ascii="宋体" w:hAnsi="宋体" w:eastAsia="宋体"/>
          <w:bCs/>
          <w:sz w:val="21"/>
          <w:szCs w:val="21"/>
        </w:rPr>
        <w:t xml:space="preserve">GB50052-2009</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《低压配电设计规范》（</w:t>
      </w:r>
      <w:r>
        <w:rPr>
          <w:rFonts w:ascii="宋体" w:hAnsi="宋体" w:eastAsia="宋体"/>
          <w:bCs/>
          <w:sz w:val="21"/>
          <w:szCs w:val="21"/>
        </w:rPr>
        <w:t xml:space="preserve">GB50054-2011</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《通用用电设备配电设计规范》（</w:t>
      </w:r>
      <w:r>
        <w:rPr>
          <w:rFonts w:ascii="宋体" w:hAnsi="宋体" w:eastAsia="宋体"/>
          <w:bCs/>
          <w:sz w:val="21"/>
          <w:szCs w:val="21"/>
        </w:rPr>
        <w:t xml:space="preserve">GB50055-2011</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《给水排水管道工程施工及验收规范》（</w:t>
      </w:r>
      <w:r>
        <w:rPr>
          <w:rFonts w:ascii="宋体" w:hAnsi="宋体" w:eastAsia="宋体"/>
          <w:bCs/>
          <w:sz w:val="21"/>
          <w:szCs w:val="21"/>
        </w:rPr>
        <w:t xml:space="preserve">GB50268-2008</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《水污染源在线监测系统按照技术规范》（</w:t>
      </w:r>
      <w:r>
        <w:rPr>
          <w:rFonts w:ascii="宋体" w:hAnsi="宋体" w:eastAsia="宋体"/>
          <w:bCs/>
          <w:sz w:val="21"/>
          <w:szCs w:val="21"/>
        </w:rPr>
        <w:t xml:space="preserve">HJ/T353-2007</w:t>
      </w:r>
      <w:r>
        <w:rPr>
          <w:rFonts w:hint="eastAsia" w:ascii="宋体" w:hAnsi="宋体" w:eastAsia="宋体"/>
          <w:bCs/>
          <w:sz w:val="21"/>
          <w:szCs w:val="21"/>
        </w:rPr>
        <w:t xml:space="preserve">）</w:t>
      </w:r>
      <w:r>
        <w:rPr>
          <w:rFonts w:ascii="宋体" w:hAnsi="宋体" w:eastAsia="宋体"/>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r>
      <w:r/>
    </w:p>
    <w:p>
      <w:pPr>
        <w:pStyle w:val="779"/>
        <w:ind w:right="-252" w:firstLine="0"/>
        <w:spacing w:line="360" w:lineRule="auto"/>
        <w:rPr>
          <w:rFonts w:ascii="宋体" w:hAnsi="宋体" w:eastAsia="宋体"/>
          <w:b/>
          <w:bCs/>
          <w:sz w:val="21"/>
          <w:szCs w:val="21"/>
        </w:rPr>
      </w:pPr>
      <w:r>
        <w:rPr>
          <w:rFonts w:hint="eastAsia" w:ascii="宋体" w:hAnsi="宋体" w:eastAsia="宋体"/>
          <w:bCs/>
          <w:sz w:val="21"/>
          <w:szCs w:val="21"/>
        </w:rPr>
        <w:t xml:space="preserve">  </w:t>
      </w:r>
      <w:r>
        <w:rPr>
          <w:rFonts w:hint="eastAsia" w:ascii="宋体" w:hAnsi="宋体" w:eastAsia="宋体"/>
          <w:b/>
          <w:bCs/>
          <w:sz w:val="21"/>
          <w:szCs w:val="21"/>
        </w:rPr>
        <w:t xml:space="preserve"> （二）污水处理</w:t>
      </w:r>
      <w:r>
        <w:rPr>
          <w:rFonts w:ascii="宋体" w:hAnsi="宋体" w:eastAsia="宋体"/>
          <w:b/>
          <w:bCs/>
          <w:sz w:val="21"/>
          <w:szCs w:val="21"/>
        </w:rPr>
      </w:r>
      <w:r/>
    </w:p>
    <w:p>
      <w:pPr>
        <w:pStyle w:val="779"/>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1、工艺流程图</w:t>
      </w:r>
      <w:r>
        <w:rPr>
          <w:rFonts w:hint="eastAsia" w:ascii="宋体" w:hAnsi="宋体" w:eastAsia="宋体"/>
          <w:bCs/>
          <w:sz w:val="21"/>
          <w:szCs w:val="21"/>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hint="eastAsia" w:ascii="Tahoma" w:hAnsi="Tahoma"/>
          <w:sz w:val="24"/>
        </w:rPr>
      </w:r>
      <w:r/>
    </w:p>
    <w:p>
      <w:pPr>
        <w:pStyle w:val="757"/>
        <w:rPr>
          <w:rFonts w:hint="eastAsia" w:ascii="Tahoma" w:hAnsi="Tahoma"/>
          <w:sz w:val="24"/>
        </w:rPr>
      </w:pPr>
      <w:r>
        <w:rPr>
          <w:rFonts w:ascii="Tahoma" w:hAnsi="Tahoma"/>
          <w:sz w:val="24"/>
        </w:rPr>
        <mc:AlternateContent>
          <mc:Choice Requires="wpg">
            <w:drawing>
              <wp:inline xmlns:wp="http://schemas.openxmlformats.org/drawingml/2006/wordprocessingDrawing" distT="0" distB="0" distL="0" distR="0">
                <wp:extent cx="4401858" cy="48799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01858" cy="487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6.6pt;height:384.2pt;mso-wrap-distance-left:0.0pt;mso-wrap-distance-top:0.0pt;mso-wrap-distance-right:0.0pt;mso-wrap-distance-bottom:0.0pt;" stroked="f">
                <v:path textboxrect="0,0,0,0"/>
                <v:imagedata r:id="rId16" o:title=""/>
              </v:shape>
            </w:pict>
          </mc:Fallback>
        </mc:AlternateContent>
      </w:r>
      <w:r>
        <w:rPr>
          <w:rFonts w:hint="eastAsia" w:ascii="Tahoma" w:hAnsi="Tahoma"/>
          <w:sz w:val="24"/>
        </w:rPr>
      </w:r>
      <w:r/>
    </w:p>
    <w:p>
      <w:pPr>
        <w:pStyle w:val="779"/>
        <w:ind w:right="-252" w:firstLine="530"/>
        <w:spacing w:line="360" w:lineRule="auto"/>
        <w:rPr>
          <w:rFonts w:hint="eastAsia" w:eastAsia="宋体"/>
        </w:rPr>
      </w:pPr>
      <w:r>
        <w:rPr>
          <w:rFonts w:hint="eastAsia" w:eastAsia="宋体"/>
        </w:rPr>
      </w:r>
      <w:r/>
    </w:p>
    <w:p>
      <w:pPr>
        <w:pStyle w:val="779"/>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2、工艺流程说明</w:t>
      </w:r>
      <w:r>
        <w:rPr>
          <w:rFonts w:ascii="宋体" w:hAnsi="宋体" w:eastAsia="宋体"/>
          <w:bCs/>
          <w:sz w:val="21"/>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医疗污水收集后，首先进入初沉池，初沉池出水溢流进入格栅，设格栅一套，拦截污水中大颗粒固体物和漂浮物，保证后续处理装置稳定运行。</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医疗污水自流进入调节池，污水在调节池收集储存，减少污水特征上的波动，调节水质和水量，为后续的水处理系统提供一个稳定和优化的操作条件。当污水暂时停止排放污水时，仍能对处理系统继续输入污水，保证系统的正常运行。内设空气搅拌装置，使沉淀物能被污水泵排走，避免调节池堵塞。</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设置应急池，与调节池互通；</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采用缺氧池，将污水中大分子难分解的有机物质变为小分子易降解的物质，不溶性物质分解为可溶性物质，长链状物质变为短链状或断链，B/C比上升，提高了污水的可生化性。</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接着污水自流进入接触氧化池，通过控制各阶段曝气量使池内保持一定的溶解氧和优良的生物菌群与有机污染物接触反应环境，为有机污染物的降除，创造了最适应环境，废水中的有机污染物质被活性污泥中的各类生物菌群氧化分解为二氧化碳和水，得到去除。</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采用沉淀池澄清接触氧化池出水中含有的脱落生物菌群和其他一些不溶性物质。沉淀池污泥部分回流至水解池，剩余污泥院方定期委外处理。</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沉淀出水进入消毒池，出水经过消毒池消毒排放。消毒药剂使用含氯消毒药剂。</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整个污水处理系统运行数据通过物联网进行实时在线监测。</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污泥在污泥池收集。污泥定期压滤后由院方委托有资质的第三方外运处理。</w:t>
      </w:r>
      <w:r>
        <w:rPr>
          <w:rFonts w:hint="eastAsia" w:ascii="宋体" w:hAnsi="宋体"/>
          <w:szCs w:val="21"/>
        </w:rPr>
      </w:r>
      <w:r/>
    </w:p>
    <w:p>
      <w:pPr>
        <w:pStyle w:val="757"/>
        <w:numPr>
          <w:ilvl w:val="0"/>
          <w:numId w:val="16"/>
        </w:numPr>
        <w:jc w:val="left"/>
        <w:spacing w:line="360" w:lineRule="auto"/>
        <w:widowControl/>
        <w:rPr>
          <w:rFonts w:hint="eastAsia" w:ascii="宋体" w:hAnsi="宋体"/>
          <w:szCs w:val="21"/>
        </w:rPr>
      </w:pPr>
      <w:r>
        <w:rPr>
          <w:rFonts w:hint="eastAsia" w:ascii="宋体" w:hAnsi="宋体"/>
          <w:szCs w:val="21"/>
        </w:rPr>
        <w:t xml:space="preserve">调节池、缺氧池、接触氧化池、和污泥池产生的臭气，经收集后，采用光催化+活性炭吸附装置处理后排放。</w:t>
      </w:r>
      <w:r>
        <w:rPr>
          <w:rFonts w:hint="eastAsia" w:ascii="宋体" w:hAnsi="宋体"/>
          <w:szCs w:val="21"/>
        </w:rPr>
      </w:r>
      <w:r/>
    </w:p>
    <w:p>
      <w:pPr>
        <w:pStyle w:val="757"/>
        <w:ind w:left="420"/>
        <w:jc w:val="left"/>
        <w:spacing w:line="360" w:lineRule="auto"/>
        <w:widowControl/>
        <w:rPr>
          <w:rFonts w:ascii="宋体" w:hAnsi="宋体"/>
          <w:szCs w:val="21"/>
        </w:rPr>
      </w:pPr>
      <w:r>
        <w:rPr>
          <w:rFonts w:hint="eastAsia" w:ascii="宋体" w:hAnsi="宋体"/>
          <w:bCs/>
          <w:szCs w:val="21"/>
        </w:rPr>
        <w:t xml:space="preserve">3、消毒药剂说明</w:t>
      </w:r>
      <w:r>
        <w:rPr>
          <w:rFonts w:ascii="宋体" w:hAnsi="宋体"/>
          <w:szCs w:val="21"/>
        </w:rPr>
      </w:r>
      <w:r/>
    </w:p>
    <w:p>
      <w:pPr>
        <w:pStyle w:val="757"/>
        <w:spacing w:line="360" w:lineRule="auto"/>
        <w:rPr>
          <w:rFonts w:hint="eastAsia" w:ascii="宋体" w:hAnsi="宋体"/>
          <w:szCs w:val="21"/>
        </w:rPr>
      </w:pPr>
      <w:r>
        <w:rPr>
          <w:rFonts w:hint="eastAsia" w:ascii="宋体" w:hAnsi="宋体"/>
          <w:szCs w:val="21"/>
        </w:rPr>
        <w:t xml:space="preserve">本项目消毒药剂采样5%次氯酸钠溶液。</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品名：次氯酸钠消毒剂 (有效氯含量≤5%)；</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按照GB12268-2005及《危险化学品名录（2002版）》相关条款要求，本品有效氯含量不大于5%，不属于危险化学品。</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作用：常用的含氯消毒剂之一，可杀灭多种细菌、病毒和真菌，如大肠杆菌、沙门氏菌等。</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杀菌原理：通过水解作用形成次氯酸，次氯酸再进一步分解形成新生态氧[O]，新生态氧的极强氧化性使菌体和病毒的蛋白质变性，从而使病原微生物致死。</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建议添加量：0.15~0.5L/吨（以实际情况为准），作用后剩余氯含量符合GB18466-2005要求。</w:t>
      </w:r>
      <w:r>
        <w:rPr>
          <w:rFonts w:hint="eastAsia" w:ascii="宋体" w:hAnsi="宋体"/>
          <w:szCs w:val="21"/>
        </w:rPr>
      </w:r>
      <w:r/>
    </w:p>
    <w:p>
      <w:pPr>
        <w:pStyle w:val="757"/>
        <w:ind w:right="-159"/>
        <w:spacing w:line="360" w:lineRule="auto"/>
        <w:rPr>
          <w:rFonts w:ascii="宋体"/>
          <w:b/>
          <w:bCs/>
          <w:color w:val="000000"/>
          <w:szCs w:val="21"/>
        </w:rPr>
      </w:pPr>
      <w:r>
        <w:rPr>
          <w:rFonts w:hint="eastAsia" w:ascii="宋体" w:hAnsi="宋体"/>
          <w:b/>
          <w:bCs/>
          <w:color w:val="000000"/>
          <w:szCs w:val="21"/>
        </w:rPr>
        <w:t xml:space="preserve">（三）其他污染物处理</w:t>
      </w:r>
      <w:r>
        <w:rPr>
          <w:rFonts w:ascii="宋体"/>
          <w:b/>
          <w:bCs/>
          <w:color w:val="000000"/>
          <w:szCs w:val="21"/>
        </w:rPr>
      </w:r>
      <w:r/>
    </w:p>
    <w:p>
      <w:pPr>
        <w:pStyle w:val="757"/>
        <w:spacing w:line="360" w:lineRule="auto"/>
        <w:rPr>
          <w:rFonts w:hint="eastAsia" w:ascii="宋体" w:hAnsi="宋体"/>
          <w:szCs w:val="21"/>
        </w:rPr>
      </w:pPr>
      <w:r>
        <w:rPr>
          <w:rFonts w:hint="eastAsia" w:ascii="宋体" w:hAnsi="宋体"/>
          <w:szCs w:val="21"/>
        </w:rPr>
        <w:t xml:space="preserve">1、系统运行当中会产生生化废气，根据《医院污水处理技术指南》环发[2003]197号中6.2.1要求：为防止病毒从医院水处理构筑物表面挥发到大气中而造成病毒的二次传播污染，将水处理池盖板密闭，预留进、出气口，把处于自由扩散状态的气体组织起来。进入管道定向流动到能阻截、过滤吸附、辐照或杀死病毒、细菌的设备中，经过有效处理后再排入大气。经处理后需保证污水处理站周边空气中污染物达到《医疗机构水污染物排放标准》GB18466-2005表3要求：</w:t>
      </w:r>
      <w:r>
        <w:rPr>
          <w:rFonts w:hint="eastAsia" w:ascii="宋体" w:hAnsi="宋体"/>
          <w:szCs w:val="21"/>
        </w:rPr>
      </w:r>
      <w:r/>
    </w:p>
    <w:tbl>
      <w:tblPr>
        <w:tblW w:w="8161"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3"/>
        <w:gridCol w:w="5616"/>
        <w:gridCol w:w="1802"/>
      </w:tblGrid>
      <w:tr>
        <w:trPr>
          <w:trHeight w:val="478"/>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5616"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控制项目</w:t>
            </w:r>
            <w:r>
              <w:rPr>
                <w:rFonts w:ascii="宋体" w:hAnsi="宋体"/>
                <w:color w:val="000000"/>
                <w:sz w:val="21"/>
                <w:szCs w:val="21"/>
              </w:rPr>
            </w:r>
            <w:r/>
          </w:p>
        </w:tc>
        <w:tc>
          <w:tcPr>
            <w:tcW w:w="1802"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标准值</w:t>
            </w:r>
            <w:r>
              <w:rPr>
                <w:rFonts w:ascii="宋体" w:hAnsi="宋体"/>
                <w:color w:val="000000"/>
                <w:sz w:val="21"/>
                <w:szCs w:val="21"/>
              </w:rPr>
            </w:r>
            <w:r/>
          </w:p>
        </w:tc>
      </w:tr>
      <w:tr>
        <w:trPr>
          <w:trHeight w:val="631"/>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5616"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氨（mg/m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W w:w="1802"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1.0</w:t>
            </w:r>
            <w:r>
              <w:rPr>
                <w:rFonts w:ascii="宋体"/>
                <w:color w:val="000000"/>
                <w:szCs w:val="21"/>
              </w:rPr>
            </w:r>
            <w:r/>
          </w:p>
        </w:tc>
      </w:tr>
      <w:tr>
        <w:trPr>
          <w:trHeight w:val="631"/>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5616"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硫化氢（mg/m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W w:w="1802"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0.03</w:t>
            </w:r>
            <w:r>
              <w:rPr>
                <w:rFonts w:ascii="宋体"/>
                <w:color w:val="000000"/>
                <w:szCs w:val="21"/>
              </w:rPr>
            </w:r>
            <w:r/>
          </w:p>
        </w:tc>
      </w:tr>
      <w:tr>
        <w:trPr>
          <w:trHeight w:val="463"/>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r>
            <w:r/>
          </w:p>
        </w:tc>
        <w:tc>
          <w:tcPr>
            <w:tcW w:w="5616"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臭气浓度（无量纲）</w:t>
            </w:r>
            <w:r>
              <w:rPr>
                <w:rFonts w:ascii="宋体"/>
                <w:color w:val="000000"/>
                <w:szCs w:val="21"/>
              </w:rPr>
            </w:r>
            <w:r/>
          </w:p>
        </w:tc>
        <w:tc>
          <w:tcPr>
            <w:tcW w:w="1802"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10</w:t>
            </w:r>
            <w:r>
              <w:rPr>
                <w:rFonts w:ascii="宋体"/>
                <w:color w:val="000000"/>
                <w:szCs w:val="21"/>
              </w:rPr>
            </w:r>
            <w:r/>
          </w:p>
        </w:tc>
      </w:tr>
      <w:tr>
        <w:trPr>
          <w:trHeight w:val="631"/>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r>
            <w:r/>
          </w:p>
        </w:tc>
        <w:tc>
          <w:tcPr>
            <w:tcW w:w="5616"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氯气（mg/m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W w:w="1802"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0.1</w:t>
            </w:r>
            <w:r>
              <w:rPr>
                <w:rFonts w:ascii="宋体"/>
                <w:color w:val="000000"/>
                <w:szCs w:val="21"/>
              </w:rPr>
            </w:r>
            <w:r/>
          </w:p>
        </w:tc>
      </w:tr>
      <w:tr>
        <w:trPr>
          <w:trHeight w:val="493"/>
        </w:trPr>
        <w:tc>
          <w:tcPr>
            <w:tcW w:w="743" w:type="dxa"/>
            <w:vAlign w:val="center"/>
            <w:textDirection w:val="lrTb"/>
            <w:noWrap w:val="false"/>
          </w:tcPr>
          <w:p>
            <w:pPr>
              <w:pStyle w:val="1135"/>
              <w:ind w:firstLine="0"/>
              <w:jc w:val="center"/>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r>
            <w:r/>
          </w:p>
        </w:tc>
        <w:tc>
          <w:tcPr>
            <w:tcW w:w="5616"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甲烷（指处理站内最高体积百分数 %）</w:t>
            </w:r>
            <w:r>
              <w:rPr>
                <w:rFonts w:ascii="宋体"/>
                <w:color w:val="000000"/>
                <w:szCs w:val="21"/>
              </w:rPr>
            </w:r>
            <w:r/>
          </w:p>
        </w:tc>
        <w:tc>
          <w:tcPr>
            <w:tcW w:w="1802"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1%</w:t>
            </w:r>
            <w:r>
              <w:rPr>
                <w:rFonts w:ascii="宋体"/>
                <w:color w:val="000000"/>
                <w:szCs w:val="21"/>
              </w:rPr>
            </w:r>
            <w:r/>
          </w:p>
        </w:tc>
      </w:tr>
    </w:tbl>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 医院废气控制工艺比较</w:t>
      </w:r>
      <w:r>
        <w:rPr>
          <w:rFonts w:hint="eastAsia" w:ascii="宋体" w:hAnsi="宋体"/>
          <w:color w:val="000000"/>
          <w:szCs w:val="21"/>
        </w:rPr>
      </w:r>
      <w:r/>
    </w:p>
    <w:tbl>
      <w:tblPr>
        <w:tblW w:w="4545"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055"/>
        <w:gridCol w:w="1322"/>
        <w:gridCol w:w="1322"/>
        <w:gridCol w:w="1460"/>
        <w:gridCol w:w="1702"/>
        <w:gridCol w:w="565"/>
      </w:tblGrid>
      <w:tr>
        <w:trPr>
          <w:trHeight w:val="722"/>
        </w:trPr>
        <w:tc>
          <w:tcPr>
            <w:tcW w:w="388"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序号</w:t>
            </w:r>
            <w:r>
              <w:rPr>
                <w:rFonts w:ascii="宋体"/>
                <w:color w:val="000000"/>
                <w:szCs w:val="21"/>
              </w:rPr>
            </w:r>
            <w:r/>
          </w:p>
        </w:tc>
        <w:tc>
          <w:tcPr>
            <w:tcW w:w="655"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技术方法</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应用</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费用</w:t>
            </w:r>
            <w:r>
              <w:rPr>
                <w:rFonts w:ascii="宋体"/>
                <w:color w:val="000000"/>
                <w:szCs w:val="21"/>
              </w:rPr>
            </w:r>
            <w:r/>
          </w:p>
        </w:tc>
        <w:tc>
          <w:tcPr>
            <w:tcW w:w="90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优点</w:t>
            </w:r>
            <w:r>
              <w:rPr>
                <w:rFonts w:ascii="宋体"/>
                <w:color w:val="000000"/>
                <w:szCs w:val="21"/>
              </w:rPr>
            </w:r>
            <w:r/>
          </w:p>
        </w:tc>
        <w:tc>
          <w:tcPr>
            <w:tcW w:w="105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缺点</w:t>
            </w:r>
            <w:r>
              <w:rPr>
                <w:rFonts w:ascii="宋体"/>
                <w:color w:val="000000"/>
                <w:szCs w:val="21"/>
              </w:rPr>
            </w:r>
            <w:r/>
          </w:p>
        </w:tc>
        <w:tc>
          <w:tcPr>
            <w:tcW w:w="35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去除率</w:t>
            </w:r>
            <w:r>
              <w:rPr>
                <w:rFonts w:ascii="宋体"/>
                <w:color w:val="000000"/>
                <w:szCs w:val="21"/>
              </w:rPr>
            </w:r>
            <w:r/>
          </w:p>
        </w:tc>
      </w:tr>
      <w:tr>
        <w:trPr/>
        <w:tc>
          <w:tcPr>
            <w:tcW w:w="388"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1</w:t>
            </w:r>
            <w:r>
              <w:rPr>
                <w:rFonts w:ascii="宋体"/>
                <w:color w:val="000000"/>
                <w:szCs w:val="21"/>
              </w:rPr>
            </w:r>
            <w:r/>
          </w:p>
        </w:tc>
        <w:tc>
          <w:tcPr>
            <w:tcW w:w="655"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填料式湿法吸收塔</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中至重度污染；</w:t>
            </w:r>
            <w:r>
              <w:rPr>
                <w:rFonts w:ascii="宋体"/>
                <w:color w:val="000000"/>
                <w:szCs w:val="21"/>
              </w:rPr>
            </w:r>
            <w:r/>
          </w:p>
          <w:p>
            <w:pPr>
              <w:pStyle w:val="757"/>
              <w:jc w:val="center"/>
              <w:rPr>
                <w:rFonts w:ascii="宋体"/>
                <w:color w:val="000000"/>
                <w:szCs w:val="21"/>
              </w:rPr>
            </w:pPr>
            <w:r>
              <w:rPr>
                <w:rFonts w:hint="eastAsia" w:ascii="宋体" w:hAnsi="宋体"/>
                <w:color w:val="000000"/>
                <w:szCs w:val="21"/>
              </w:rPr>
              <w:t xml:space="preserve">中至大型设备</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中等投资和高运行成本</w:t>
            </w:r>
            <w:r>
              <w:rPr>
                <w:rFonts w:ascii="宋体"/>
                <w:color w:val="000000"/>
                <w:szCs w:val="21"/>
              </w:rPr>
            </w:r>
            <w:r/>
          </w:p>
        </w:tc>
        <w:tc>
          <w:tcPr>
            <w:tcW w:w="90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有效可靠、使用年限长</w:t>
            </w:r>
            <w:r>
              <w:rPr>
                <w:rFonts w:ascii="宋体"/>
                <w:color w:val="000000"/>
                <w:szCs w:val="21"/>
              </w:rPr>
            </w:r>
            <w:r/>
          </w:p>
        </w:tc>
        <w:tc>
          <w:tcPr>
            <w:tcW w:w="105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须处理排放废水，药剂消耗、填料定期更换产生医废等</w:t>
            </w:r>
            <w:r>
              <w:rPr>
                <w:rFonts w:ascii="宋体"/>
                <w:color w:val="000000"/>
                <w:szCs w:val="21"/>
              </w:rPr>
            </w:r>
            <w:r/>
          </w:p>
        </w:tc>
        <w:tc>
          <w:tcPr>
            <w:tcW w:w="35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99%</w:t>
            </w:r>
            <w:r>
              <w:rPr>
                <w:rFonts w:ascii="宋体"/>
                <w:color w:val="000000"/>
                <w:szCs w:val="21"/>
              </w:rPr>
            </w:r>
            <w:r/>
          </w:p>
        </w:tc>
      </w:tr>
      <w:tr>
        <w:trPr/>
        <w:tc>
          <w:tcPr>
            <w:tcW w:w="388"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2</w:t>
            </w:r>
            <w:r>
              <w:rPr>
                <w:rFonts w:ascii="宋体"/>
                <w:color w:val="000000"/>
                <w:szCs w:val="21"/>
              </w:rPr>
            </w:r>
            <w:r/>
          </w:p>
        </w:tc>
        <w:tc>
          <w:tcPr>
            <w:tcW w:w="655"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活性炭吸附器</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低至中度污染；小至大型设施</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低投资，运行成本取决于活性炭填料更换次数</w:t>
            </w:r>
            <w:r>
              <w:rPr>
                <w:rFonts w:ascii="宋体"/>
                <w:color w:val="000000"/>
                <w:szCs w:val="21"/>
              </w:rPr>
            </w:r>
            <w:r/>
          </w:p>
        </w:tc>
        <w:tc>
          <w:tcPr>
            <w:tcW w:w="90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占地面积小，方法、结构简易</w:t>
            </w:r>
            <w:r>
              <w:rPr>
                <w:rFonts w:ascii="宋体"/>
                <w:color w:val="000000"/>
                <w:szCs w:val="21"/>
              </w:rPr>
            </w:r>
            <w:r/>
          </w:p>
        </w:tc>
        <w:tc>
          <w:tcPr>
            <w:tcW w:w="105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只适用于低浓度臭气，难以确定活性炭使用寿命，产生医疗废物</w:t>
            </w:r>
            <w:r>
              <w:rPr>
                <w:rFonts w:ascii="宋体"/>
                <w:color w:val="000000"/>
                <w:szCs w:val="21"/>
              </w:rPr>
            </w:r>
            <w:r/>
          </w:p>
        </w:tc>
        <w:tc>
          <w:tcPr>
            <w:tcW w:w="35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99%</w:t>
            </w:r>
            <w:r>
              <w:rPr>
                <w:rFonts w:ascii="宋体"/>
                <w:color w:val="000000"/>
                <w:szCs w:val="21"/>
              </w:rPr>
            </w:r>
            <w:r/>
          </w:p>
        </w:tc>
      </w:tr>
      <w:tr>
        <w:trPr/>
        <w:tc>
          <w:tcPr>
            <w:tcW w:w="388"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3</w:t>
            </w:r>
            <w:r>
              <w:rPr>
                <w:rFonts w:ascii="宋体"/>
                <w:color w:val="000000"/>
                <w:szCs w:val="21"/>
              </w:rPr>
            </w:r>
            <w:r/>
          </w:p>
        </w:tc>
        <w:tc>
          <w:tcPr>
            <w:tcW w:w="655" w:type="dxa"/>
            <w:vAlign w:val="center"/>
            <w:textDirection w:val="lrTb"/>
            <w:noWrap w:val="false"/>
          </w:tcPr>
          <w:p>
            <w:pPr>
              <w:pStyle w:val="757"/>
              <w:jc w:val="center"/>
              <w:tabs>
                <w:tab w:val="left" w:pos="600" w:leader="none"/>
              </w:tabs>
              <w:rPr>
                <w:rFonts w:ascii="宋体"/>
                <w:color w:val="000000"/>
                <w:szCs w:val="21"/>
              </w:rPr>
            </w:pPr>
            <w:r>
              <w:rPr>
                <w:rFonts w:hint="eastAsia" w:ascii="宋体" w:hAnsi="宋体"/>
                <w:color w:val="000000"/>
                <w:szCs w:val="21"/>
              </w:rPr>
              <w:t xml:space="preserve">生物滤池</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低至重度污染；大型设施</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中等投资和运行成本</w:t>
            </w:r>
            <w:r>
              <w:rPr>
                <w:rFonts w:ascii="宋体"/>
                <w:color w:val="000000"/>
                <w:szCs w:val="21"/>
              </w:rPr>
            </w:r>
            <w:r/>
          </w:p>
        </w:tc>
        <w:tc>
          <w:tcPr>
            <w:tcW w:w="90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简易；运行维护较少</w:t>
            </w:r>
            <w:r>
              <w:rPr>
                <w:rFonts w:ascii="宋体"/>
                <w:color w:val="000000"/>
                <w:szCs w:val="21"/>
              </w:rPr>
            </w:r>
            <w:r/>
          </w:p>
        </w:tc>
        <w:tc>
          <w:tcPr>
            <w:tcW w:w="105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难以确立设计标准；不适合高浓度臭气，填料定期更换产生医废等</w:t>
            </w:r>
            <w:r>
              <w:rPr>
                <w:rFonts w:ascii="宋体"/>
                <w:color w:val="000000"/>
                <w:szCs w:val="21"/>
              </w:rPr>
            </w:r>
            <w:r/>
          </w:p>
        </w:tc>
        <w:tc>
          <w:tcPr>
            <w:tcW w:w="35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＞95%</w:t>
            </w:r>
            <w:r>
              <w:rPr>
                <w:rFonts w:ascii="宋体"/>
                <w:color w:val="000000"/>
                <w:szCs w:val="21"/>
              </w:rPr>
            </w:r>
            <w:r/>
          </w:p>
        </w:tc>
      </w:tr>
      <w:tr>
        <w:trPr/>
        <w:tc>
          <w:tcPr>
            <w:tcW w:w="388"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4</w:t>
            </w:r>
            <w:r>
              <w:rPr>
                <w:rFonts w:ascii="宋体"/>
                <w:color w:val="000000"/>
                <w:szCs w:val="21"/>
              </w:rPr>
            </w:r>
            <w:r/>
          </w:p>
        </w:tc>
        <w:tc>
          <w:tcPr>
            <w:tcW w:w="655"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UV光催化氧化</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低至中度污染；小至大型设施</w:t>
            </w:r>
            <w:r>
              <w:rPr>
                <w:rFonts w:ascii="宋体"/>
                <w:color w:val="000000"/>
                <w:szCs w:val="21"/>
              </w:rPr>
            </w:r>
            <w:r/>
          </w:p>
        </w:tc>
        <w:tc>
          <w:tcPr>
            <w:tcW w:w="82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低投资和低运行成本</w:t>
            </w:r>
            <w:r>
              <w:rPr>
                <w:rFonts w:ascii="宋体"/>
                <w:color w:val="000000"/>
                <w:szCs w:val="21"/>
              </w:rPr>
            </w:r>
            <w:r/>
          </w:p>
        </w:tc>
        <w:tc>
          <w:tcPr>
            <w:tcW w:w="90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占地面积小，能耗低，工艺成熟</w:t>
            </w:r>
            <w:r>
              <w:rPr>
                <w:rFonts w:ascii="宋体"/>
                <w:color w:val="000000"/>
                <w:szCs w:val="21"/>
              </w:rPr>
            </w:r>
            <w:r/>
          </w:p>
        </w:tc>
        <w:tc>
          <w:tcPr>
            <w:tcW w:w="1057"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不适合高浓度臭气，灯管需定期维护</w:t>
            </w:r>
            <w:r>
              <w:rPr>
                <w:rFonts w:ascii="宋体"/>
                <w:color w:val="000000"/>
                <w:szCs w:val="21"/>
              </w:rPr>
            </w:r>
            <w:r/>
          </w:p>
        </w:tc>
        <w:tc>
          <w:tcPr>
            <w:tcW w:w="351" w:type="dxa"/>
            <w:vAlign w:val="center"/>
            <w:textDirection w:val="lrTb"/>
            <w:noWrap w:val="false"/>
          </w:tcPr>
          <w:p>
            <w:pPr>
              <w:pStyle w:val="757"/>
              <w:jc w:val="center"/>
              <w:rPr>
                <w:rFonts w:ascii="宋体"/>
                <w:color w:val="000000"/>
                <w:szCs w:val="21"/>
              </w:rPr>
            </w:pPr>
            <w:r>
              <w:rPr>
                <w:rFonts w:hint="eastAsia" w:ascii="宋体" w:hAnsi="宋体"/>
                <w:color w:val="000000"/>
                <w:szCs w:val="21"/>
              </w:rPr>
              <w:t xml:space="preserve">＞90%</w:t>
            </w:r>
            <w:r>
              <w:rPr>
                <w:rFonts w:ascii="宋体"/>
                <w:color w:val="000000"/>
                <w:szCs w:val="21"/>
              </w:rPr>
            </w:r>
            <w:r/>
          </w:p>
        </w:tc>
      </w:tr>
    </w:tbl>
    <w:p>
      <w:pPr>
        <w:pStyle w:val="75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本项目采用光催化+活性炭吸附处理工艺，满足废气处理要求。</w:t>
      </w:r>
      <w:r>
        <w:rPr>
          <w:rFonts w:hint="eastAsia" w:ascii="宋体" w:hAnsi="宋体" w:cs="宋体"/>
          <w:color w:val="000000"/>
          <w:szCs w:val="21"/>
        </w:rPr>
      </w:r>
      <w:r/>
    </w:p>
    <w:p>
      <w:pPr>
        <w:pStyle w:val="757"/>
        <w:spacing w:line="360" w:lineRule="auto"/>
        <w:rPr>
          <w:rFonts w:ascii="宋体" w:hAnsi="宋体"/>
          <w:color w:val="000000"/>
          <w:szCs w:val="21"/>
        </w:rPr>
      </w:pPr>
      <w:r>
        <w:rPr>
          <w:rFonts w:hint="eastAsia" w:ascii="宋体" w:hAnsi="宋体"/>
          <w:color w:val="000000"/>
          <w:szCs w:val="21"/>
        </w:rPr>
        <w:t xml:space="preserve">  2、污泥处理</w:t>
      </w:r>
      <w:r>
        <w:rPr>
          <w:rFonts w:ascii="宋体" w:hAnsi="宋体"/>
          <w:color w:val="000000"/>
          <w:szCs w:val="21"/>
        </w:rPr>
      </w:r>
      <w:r/>
    </w:p>
    <w:p>
      <w:pPr>
        <w:pStyle w:val="757"/>
        <w:ind w:firstLine="420"/>
        <w:spacing w:line="360" w:lineRule="auto"/>
        <w:rPr>
          <w:rFonts w:hint="eastAsia" w:ascii="宋体" w:hAnsi="宋体"/>
          <w:color w:val="000000"/>
          <w:szCs w:val="21"/>
        </w:rPr>
      </w:pPr>
      <w:r>
        <w:rPr>
          <w:rFonts w:hint="eastAsia" w:ascii="宋体" w:hAnsi="宋体"/>
          <w:color w:val="000000"/>
          <w:szCs w:val="21"/>
        </w:rPr>
        <w:t xml:space="preserve">废水处理系统中的“生化”和“沉淀”当中会产生一定量的污泥。定期进行污泥处理，清液回流进入污水处理系统进水口，</w:t>
      </w:r>
      <w:r>
        <w:rPr>
          <w:rFonts w:hint="eastAsia" w:ascii="宋体" w:hAnsi="宋体"/>
          <w:szCs w:val="21"/>
        </w:rPr>
        <w:t xml:space="preserve">本项目污泥由院方定期委托有资质的第三方处理，按医疗废物处置</w:t>
      </w:r>
      <w:r>
        <w:rPr>
          <w:rFonts w:hint="eastAsia" w:ascii="宋体" w:hAnsi="宋体"/>
          <w:color w:val="000000"/>
          <w:szCs w:val="21"/>
        </w:rPr>
        <w:t xml:space="preserve">。参照《医疗机构水污染物排放标准》（GB18466-2005）。</w:t>
      </w:r>
      <w:r>
        <w:rPr>
          <w:rFonts w:hint="eastAsia" w:ascii="宋体" w:hAnsi="宋体"/>
          <w:color w:val="000000"/>
          <w:szCs w:val="21"/>
        </w:rPr>
      </w:r>
      <w:r/>
    </w:p>
    <w:p>
      <w:pPr>
        <w:pStyle w:val="757"/>
        <w:ind w:right="68"/>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757"/>
        <w:ind w:right="68"/>
        <w:spacing w:line="360" w:lineRule="auto"/>
        <w:rPr>
          <w:rFonts w:hint="eastAsia" w:ascii="宋体" w:hAnsi="宋体"/>
          <w:color w:val="000000"/>
          <w:szCs w:val="21"/>
        </w:rPr>
      </w:pPr>
      <w:r>
        <w:rPr>
          <w:rFonts w:hint="eastAsia" w:ascii="宋体" w:hAnsi="宋体"/>
          <w:color w:val="000000"/>
          <w:szCs w:val="21"/>
        </w:rPr>
      </w:r>
      <w:r/>
    </w:p>
    <w:p>
      <w:pPr>
        <w:pStyle w:val="757"/>
        <w:ind w:right="68"/>
        <w:spacing w:line="360" w:lineRule="auto"/>
        <w:rPr>
          <w:rFonts w:hint="eastAsia" w:ascii="宋体" w:hAnsi="宋体"/>
          <w:color w:val="000000"/>
          <w:szCs w:val="21"/>
        </w:rPr>
      </w:pPr>
      <w:r>
        <w:rPr>
          <w:rFonts w:hint="eastAsia" w:ascii="宋体" w:hAnsi="宋体"/>
          <w:color w:val="000000"/>
          <w:szCs w:val="21"/>
        </w:rPr>
      </w:r>
      <w:r/>
    </w:p>
    <w:p>
      <w:pPr>
        <w:pStyle w:val="757"/>
        <w:ind w:right="68"/>
        <w:spacing w:line="360" w:lineRule="auto"/>
        <w:rPr>
          <w:rFonts w:ascii="宋体"/>
          <w:color w:val="000000"/>
          <w:szCs w:val="21"/>
        </w:rPr>
      </w:pPr>
      <w:r>
        <w:rPr>
          <w:rFonts w:hint="eastAsia" w:ascii="宋体" w:hAnsi="宋体"/>
          <w:color w:val="000000"/>
          <w:szCs w:val="21"/>
        </w:rPr>
        <w:t xml:space="preserve"> 3、噪音处理</w:t>
      </w:r>
      <w:r>
        <w:rPr>
          <w:rFonts w:ascii="宋体"/>
          <w:color w:val="000000"/>
          <w:szCs w:val="21"/>
        </w:rPr>
      </w:r>
      <w:r/>
    </w:p>
    <w:p>
      <w:pPr>
        <w:pStyle w:val="757"/>
        <w:jc w:val="center"/>
        <w:rPr>
          <w:rFonts w:ascii="宋体" w:hAnsi="宋体"/>
          <w:szCs w:val="21"/>
        </w:rPr>
      </w:pPr>
      <w:r>
        <w:rPr>
          <w:rFonts w:hint="eastAsia" w:ascii="宋体"/>
          <w:color w:val="000000"/>
          <w:szCs w:val="21"/>
        </w:rPr>
        <w:t xml:space="preserve">          </w:t>
      </w:r>
      <w:r>
        <w:rPr>
          <w:rFonts w:hint="eastAsia" w:ascii="宋体" w:hAnsi="宋体"/>
          <w:szCs w:val="21"/>
        </w:rPr>
        <w:t xml:space="preserve">参照GB3096-1993《城市区域环境噪声标准》dB（A）</w:t>
      </w:r>
      <w:r>
        <w:rPr>
          <w:rFonts w:ascii="宋体" w:hAnsi="宋体"/>
          <w:szCs w:val="21"/>
        </w:rPr>
      </w:r>
      <w:r/>
    </w:p>
    <w:p>
      <w:pPr>
        <w:pStyle w:val="757"/>
        <w:jc w:val="center"/>
        <w:rPr>
          <w:rFonts w:hint="eastAsia" w:ascii="宋体" w:hAnsi="宋体"/>
          <w:szCs w:val="21"/>
        </w:rPr>
      </w:pPr>
      <w:r>
        <w:rPr>
          <w:rFonts w:hint="eastAsia" w:ascii="宋体" w:hAnsi="宋体"/>
          <w:szCs w:val="21"/>
        </w:rPr>
        <w:t xml:space="preserve">环境噪音限值            单位：dB(A)</w:t>
      </w:r>
      <w:r>
        <w:rPr>
          <w:rFonts w:hint="eastAsia" w:ascii="宋体" w:hAnsi="宋体"/>
          <w:szCs w:val="21"/>
        </w:rPr>
      </w:r>
      <w:r/>
    </w:p>
    <w:tbl>
      <w:tblPr>
        <w:tblW w:w="0" w:type="auto"/>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1689"/>
        <w:gridCol w:w="1430"/>
        <w:gridCol w:w="1843"/>
      </w:tblGrid>
      <w:tr>
        <w:trPr/>
        <w:tc>
          <w:tcPr>
            <w:gridSpan w:val="2"/>
            <w:tcW w:w="3531" w:type="dxa"/>
            <w:vAlign w:val="center"/>
            <w:vMerge w:val="restart"/>
            <w:textDirection w:val="lrTb"/>
            <w:noWrap w:val="false"/>
          </w:tcPr>
          <w:p>
            <w:pPr>
              <w:pStyle w:val="757"/>
              <w:jc w:val="center"/>
              <w:rPr>
                <w:rFonts w:ascii="宋体" w:hAnsi="宋体"/>
                <w:szCs w:val="21"/>
              </w:rPr>
            </w:pPr>
            <w:r>
              <w:rPr>
                <w:rFonts w:hint="eastAsia" w:ascii="宋体" w:hAnsi="宋体"/>
                <w:szCs w:val="21"/>
              </w:rPr>
              <w:t xml:space="preserve">声环境功能区类别</w:t>
            </w:r>
            <w:r>
              <w:rPr>
                <w:rFonts w:ascii="宋体" w:hAnsi="宋体"/>
                <w:szCs w:val="21"/>
              </w:rPr>
            </w:r>
            <w:r/>
          </w:p>
        </w:tc>
        <w:tc>
          <w:tcPr>
            <w:gridSpan w:val="2"/>
            <w:tcW w:w="3273" w:type="dxa"/>
            <w:vAlign w:val="center"/>
            <w:textDirection w:val="lrTb"/>
            <w:noWrap w:val="false"/>
          </w:tcPr>
          <w:p>
            <w:pPr>
              <w:pStyle w:val="757"/>
              <w:jc w:val="center"/>
              <w:rPr>
                <w:rFonts w:ascii="宋体" w:hAnsi="宋体"/>
                <w:szCs w:val="21"/>
              </w:rPr>
            </w:pPr>
            <w:r>
              <w:rPr>
                <w:rFonts w:hint="eastAsia" w:ascii="宋体" w:hAnsi="宋体"/>
                <w:szCs w:val="21"/>
              </w:rPr>
              <w:t xml:space="preserve">时段</w:t>
            </w:r>
            <w:r>
              <w:rPr>
                <w:rFonts w:ascii="宋体" w:hAnsi="宋体"/>
                <w:szCs w:val="21"/>
              </w:rPr>
            </w:r>
            <w:r/>
          </w:p>
        </w:tc>
      </w:tr>
      <w:tr>
        <w:trPr>
          <w:trHeight w:val="331"/>
        </w:trPr>
        <w:tc>
          <w:tcPr>
            <w:gridSpan w:val="2"/>
            <w:tcW w:w="5220" w:type="dxa"/>
            <w:vAlign w:val="center"/>
            <w:vMerge w:val="continue"/>
            <w:textDirection w:val="lrTb"/>
            <w:noWrap w:val="false"/>
          </w:tcPr>
          <w:p>
            <w:pPr>
              <w:pStyle w:val="757"/>
              <w:rPr>
                <w:rFonts w:ascii="宋体" w:hAnsi="宋体"/>
                <w:szCs w:val="21"/>
              </w:rPr>
            </w:pPr>
            <w:r>
              <w:rPr>
                <w:rFonts w:ascii="宋体" w:hAnsi="宋体"/>
                <w:szCs w:val="21"/>
              </w:rPr>
            </w:r>
            <w:r/>
          </w:p>
        </w:tc>
        <w:tc>
          <w:tcPr>
            <w:tcW w:w="1430" w:type="dxa"/>
            <w:vAlign w:val="bottom"/>
            <w:textDirection w:val="lrTb"/>
            <w:noWrap w:val="false"/>
          </w:tcPr>
          <w:p>
            <w:pPr>
              <w:pStyle w:val="757"/>
              <w:jc w:val="center"/>
              <w:rPr>
                <w:rFonts w:ascii="宋体" w:hAnsi="宋体"/>
                <w:szCs w:val="21"/>
              </w:rPr>
            </w:pPr>
            <w:r>
              <w:rPr>
                <w:rFonts w:hint="eastAsia" w:ascii="宋体" w:hAnsi="宋体"/>
                <w:szCs w:val="21"/>
              </w:rPr>
              <w:t xml:space="preserve">昼间</w:t>
            </w:r>
            <w:r>
              <w:rPr>
                <w:rFonts w:ascii="宋体" w:hAnsi="宋体"/>
                <w:szCs w:val="21"/>
              </w:rPr>
            </w:r>
            <w:r/>
          </w:p>
        </w:tc>
        <w:tc>
          <w:tcPr>
            <w:tcW w:w="1843" w:type="dxa"/>
            <w:vAlign w:val="bottom"/>
            <w:textDirection w:val="lrTb"/>
            <w:noWrap w:val="false"/>
          </w:tcPr>
          <w:p>
            <w:pPr>
              <w:pStyle w:val="757"/>
              <w:jc w:val="center"/>
              <w:rPr>
                <w:rFonts w:ascii="宋体" w:hAnsi="宋体"/>
                <w:szCs w:val="21"/>
              </w:rPr>
            </w:pPr>
            <w:r>
              <w:rPr>
                <w:rFonts w:hint="eastAsia" w:ascii="宋体" w:hAnsi="宋体"/>
                <w:szCs w:val="21"/>
              </w:rPr>
              <w:t xml:space="preserve">夜间</w:t>
            </w:r>
            <w:r>
              <w:rPr>
                <w:rFonts w:ascii="宋体" w:hAnsi="宋体"/>
                <w:szCs w:val="21"/>
              </w:rPr>
            </w:r>
            <w:r/>
          </w:p>
        </w:tc>
      </w:tr>
      <w:tr>
        <w:trPr>
          <w:trHeight w:val="151"/>
        </w:trPr>
        <w:tc>
          <w:tcPr>
            <w:gridSpan w:val="2"/>
            <w:tcW w:w="3531" w:type="dxa"/>
            <w:vAlign w:val="center"/>
            <w:textDirection w:val="lrTb"/>
            <w:noWrap w:val="false"/>
          </w:tcPr>
          <w:p>
            <w:pPr>
              <w:pStyle w:val="757"/>
              <w:jc w:val="center"/>
              <w:rPr>
                <w:rFonts w:ascii="宋体" w:hAnsi="宋体"/>
                <w:szCs w:val="21"/>
              </w:rPr>
            </w:pPr>
            <w:r>
              <w:rPr>
                <w:rFonts w:hint="eastAsia" w:ascii="宋体" w:hAnsi="宋体"/>
                <w:szCs w:val="21"/>
              </w:rPr>
              <w:t xml:space="preserve">0类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50</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40</w:t>
            </w:r>
            <w:r>
              <w:rPr>
                <w:rFonts w:ascii="宋体" w:hAnsi="宋体"/>
                <w:szCs w:val="21"/>
              </w:rPr>
            </w:r>
            <w:r/>
          </w:p>
        </w:tc>
      </w:tr>
      <w:tr>
        <w:trPr>
          <w:trHeight w:val="151"/>
        </w:trPr>
        <w:tc>
          <w:tcPr>
            <w:gridSpan w:val="2"/>
            <w:tcW w:w="3531" w:type="dxa"/>
            <w:vAlign w:val="center"/>
            <w:textDirection w:val="lrTb"/>
            <w:noWrap w:val="false"/>
          </w:tcPr>
          <w:p>
            <w:pPr>
              <w:pStyle w:val="757"/>
              <w:jc w:val="center"/>
              <w:rPr>
                <w:rFonts w:ascii="宋体" w:hAnsi="宋体"/>
                <w:szCs w:val="21"/>
              </w:rPr>
            </w:pPr>
            <w:r>
              <w:rPr>
                <w:rFonts w:hint="eastAsia" w:ascii="宋体" w:hAnsi="宋体"/>
                <w:szCs w:val="21"/>
              </w:rPr>
              <w:t xml:space="preserve">1类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55</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45</w:t>
            </w:r>
            <w:r>
              <w:rPr>
                <w:rFonts w:ascii="宋体" w:hAnsi="宋体"/>
                <w:szCs w:val="21"/>
              </w:rPr>
            </w:r>
            <w:r/>
          </w:p>
        </w:tc>
      </w:tr>
      <w:tr>
        <w:trPr>
          <w:trHeight w:val="104"/>
        </w:trPr>
        <w:tc>
          <w:tcPr>
            <w:gridSpan w:val="2"/>
            <w:tcW w:w="3531" w:type="dxa"/>
            <w:vAlign w:val="center"/>
            <w:textDirection w:val="lrTb"/>
            <w:noWrap w:val="false"/>
          </w:tcPr>
          <w:p>
            <w:pPr>
              <w:pStyle w:val="757"/>
              <w:jc w:val="center"/>
              <w:rPr>
                <w:rFonts w:ascii="宋体" w:hAnsi="宋体"/>
                <w:szCs w:val="21"/>
              </w:rPr>
            </w:pPr>
            <w:r>
              <w:rPr>
                <w:rFonts w:hint="eastAsia" w:ascii="宋体" w:hAnsi="宋体"/>
                <w:szCs w:val="21"/>
              </w:rPr>
              <w:t xml:space="preserve">2类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60</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50</w:t>
            </w:r>
            <w:r>
              <w:rPr>
                <w:rFonts w:ascii="宋体" w:hAnsi="宋体"/>
                <w:szCs w:val="21"/>
              </w:rPr>
            </w:r>
            <w:r/>
          </w:p>
        </w:tc>
      </w:tr>
      <w:tr>
        <w:trPr>
          <w:trHeight w:val="104"/>
        </w:trPr>
        <w:tc>
          <w:tcPr>
            <w:gridSpan w:val="2"/>
            <w:tcW w:w="3531" w:type="dxa"/>
            <w:vAlign w:val="center"/>
            <w:textDirection w:val="lrTb"/>
            <w:noWrap w:val="false"/>
          </w:tcPr>
          <w:p>
            <w:pPr>
              <w:pStyle w:val="757"/>
              <w:jc w:val="center"/>
              <w:rPr>
                <w:rFonts w:ascii="宋体" w:hAnsi="宋体"/>
                <w:szCs w:val="21"/>
              </w:rPr>
            </w:pPr>
            <w:r>
              <w:rPr>
                <w:rFonts w:hint="eastAsia" w:ascii="宋体" w:hAnsi="宋体"/>
                <w:szCs w:val="21"/>
              </w:rPr>
              <w:t xml:space="preserve">3类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65</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55</w:t>
            </w:r>
            <w:r>
              <w:rPr>
                <w:rFonts w:ascii="宋体" w:hAnsi="宋体"/>
                <w:szCs w:val="21"/>
              </w:rPr>
            </w:r>
            <w:r/>
          </w:p>
        </w:tc>
      </w:tr>
      <w:tr>
        <w:trPr>
          <w:trHeight w:val="104"/>
        </w:trPr>
        <w:tc>
          <w:tcPr>
            <w:tcW w:w="1842" w:type="dxa"/>
            <w:vAlign w:val="center"/>
            <w:vMerge w:val="restart"/>
            <w:textDirection w:val="lrTb"/>
            <w:noWrap w:val="false"/>
          </w:tcPr>
          <w:p>
            <w:pPr>
              <w:pStyle w:val="757"/>
              <w:jc w:val="center"/>
              <w:rPr>
                <w:rFonts w:ascii="宋体" w:hAnsi="宋体"/>
                <w:szCs w:val="21"/>
              </w:rPr>
            </w:pPr>
            <w:r>
              <w:rPr>
                <w:rFonts w:hint="eastAsia" w:ascii="宋体" w:hAnsi="宋体"/>
                <w:szCs w:val="21"/>
              </w:rPr>
              <w:t xml:space="preserve">4类</w:t>
            </w:r>
            <w:r>
              <w:rPr>
                <w:rFonts w:ascii="宋体" w:hAnsi="宋体"/>
                <w:szCs w:val="21"/>
              </w:rPr>
            </w:r>
            <w:r/>
          </w:p>
        </w:tc>
        <w:tc>
          <w:tcPr>
            <w:tcW w:w="1689" w:type="dxa"/>
            <w:vAlign w:val="center"/>
            <w:textDirection w:val="lrTb"/>
            <w:noWrap w:val="false"/>
          </w:tcPr>
          <w:p>
            <w:pPr>
              <w:pStyle w:val="757"/>
              <w:jc w:val="center"/>
              <w:rPr>
                <w:rFonts w:ascii="宋体" w:hAnsi="宋体"/>
                <w:szCs w:val="21"/>
              </w:rPr>
            </w:pPr>
            <w:r>
              <w:rPr>
                <w:rFonts w:hint="eastAsia" w:ascii="宋体" w:hAnsi="宋体"/>
                <w:szCs w:val="21"/>
              </w:rPr>
              <w:t xml:space="preserve">4a类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70</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55</w:t>
            </w:r>
            <w:r>
              <w:rPr>
                <w:rFonts w:ascii="宋体" w:hAnsi="宋体"/>
                <w:szCs w:val="21"/>
              </w:rPr>
            </w:r>
            <w:r/>
          </w:p>
        </w:tc>
      </w:tr>
      <w:tr>
        <w:trPr>
          <w:trHeight w:val="180"/>
        </w:trPr>
        <w:tc>
          <w:tcPr>
            <w:tcW w:w="3531" w:type="dxa"/>
            <w:vAlign w:val="center"/>
            <w:vMerge w:val="continue"/>
            <w:textDirection w:val="lrTb"/>
            <w:noWrap w:val="false"/>
          </w:tcPr>
          <w:p>
            <w:pPr>
              <w:pStyle w:val="757"/>
              <w:rPr>
                <w:rFonts w:ascii="宋体" w:hAnsi="宋体"/>
                <w:szCs w:val="21"/>
              </w:rPr>
            </w:pPr>
            <w:r>
              <w:rPr>
                <w:rFonts w:ascii="宋体" w:hAnsi="宋体"/>
                <w:szCs w:val="21"/>
              </w:rPr>
            </w:r>
            <w:r/>
          </w:p>
        </w:tc>
        <w:tc>
          <w:tcPr>
            <w:tcW w:w="1689" w:type="dxa"/>
            <w:vAlign w:val="center"/>
            <w:textDirection w:val="lrTb"/>
            <w:noWrap w:val="false"/>
          </w:tcPr>
          <w:p>
            <w:pPr>
              <w:pStyle w:val="757"/>
              <w:jc w:val="center"/>
              <w:rPr>
                <w:rFonts w:ascii="宋体" w:hAnsi="宋体"/>
                <w:szCs w:val="21"/>
              </w:rPr>
            </w:pPr>
            <w:r>
              <w:rPr>
                <w:rFonts w:hint="eastAsia" w:ascii="宋体" w:hAnsi="宋体"/>
                <w:szCs w:val="21"/>
              </w:rPr>
              <w:t xml:space="preserve">4b类</w:t>
            </w:r>
            <w:r>
              <w:rPr>
                <w:rFonts w:ascii="宋体" w:hAnsi="宋体"/>
                <w:szCs w:val="21"/>
              </w:rPr>
            </w:r>
            <w:r/>
          </w:p>
        </w:tc>
        <w:tc>
          <w:tcPr>
            <w:tcW w:w="1430" w:type="dxa"/>
            <w:vAlign w:val="center"/>
            <w:textDirection w:val="lrTb"/>
            <w:noWrap w:val="false"/>
          </w:tcPr>
          <w:p>
            <w:pPr>
              <w:pStyle w:val="757"/>
              <w:jc w:val="center"/>
              <w:rPr>
                <w:rFonts w:ascii="宋体" w:hAnsi="宋体"/>
                <w:szCs w:val="21"/>
              </w:rPr>
            </w:pPr>
            <w:r>
              <w:rPr>
                <w:rFonts w:hint="eastAsia" w:ascii="宋体" w:hAnsi="宋体"/>
                <w:szCs w:val="21"/>
              </w:rPr>
              <w:t xml:space="preserve">70</w:t>
            </w:r>
            <w:r>
              <w:rPr>
                <w:rFonts w:ascii="宋体" w:hAnsi="宋体"/>
                <w:szCs w:val="21"/>
              </w:rPr>
            </w:r>
            <w:r/>
          </w:p>
        </w:tc>
        <w:tc>
          <w:tcPr>
            <w:tcW w:w="1843" w:type="dxa"/>
            <w:vAlign w:val="center"/>
            <w:textDirection w:val="lrTb"/>
            <w:noWrap w:val="false"/>
          </w:tcPr>
          <w:p>
            <w:pPr>
              <w:pStyle w:val="757"/>
              <w:jc w:val="center"/>
              <w:rPr>
                <w:rFonts w:ascii="宋体" w:hAnsi="宋体"/>
                <w:szCs w:val="21"/>
              </w:rPr>
            </w:pPr>
            <w:r>
              <w:rPr>
                <w:rFonts w:hint="eastAsia" w:ascii="宋体" w:hAnsi="宋体"/>
                <w:szCs w:val="21"/>
              </w:rPr>
              <w:t xml:space="preserve">60</w:t>
            </w:r>
            <w:r>
              <w:rPr>
                <w:rFonts w:ascii="宋体" w:hAnsi="宋体"/>
                <w:szCs w:val="21"/>
              </w:rPr>
            </w:r>
            <w:r/>
          </w:p>
        </w:tc>
      </w:tr>
    </w:tbl>
    <w:p>
      <w:pPr>
        <w:pStyle w:val="757"/>
        <w:jc w:val="center"/>
        <w:rPr>
          <w:rFonts w:hint="eastAsia" w:ascii="宋体" w:hAnsi="宋体"/>
          <w:szCs w:val="21"/>
        </w:rPr>
      </w:pPr>
      <w:r>
        <w:rPr>
          <w:rFonts w:hint="eastAsia" w:ascii="宋体" w:hAnsi="宋体"/>
          <w:szCs w:val="21"/>
        </w:rPr>
      </w:r>
      <w:r/>
    </w:p>
    <w:p>
      <w:pPr>
        <w:pStyle w:val="757"/>
        <w:ind w:firstLine="420"/>
        <w:spacing w:line="360" w:lineRule="auto"/>
        <w:rPr>
          <w:rFonts w:ascii="宋体"/>
          <w:color w:val="000000"/>
          <w:szCs w:val="21"/>
        </w:rPr>
      </w:pPr>
      <w:r>
        <w:rPr>
          <w:rFonts w:hint="eastAsia" w:ascii="宋体" w:hAnsi="宋体" w:cs="宋体"/>
          <w:szCs w:val="21"/>
        </w:rPr>
        <w:t xml:space="preserve">本项目为2类，对污水处理设备中的水泵、鼓风机、废气风机噪音采取减噪措施：水泵出口安装法兰软接，底座安装橡胶垫减小自振。</w:t>
      </w:r>
      <w:r>
        <w:rPr>
          <w:rFonts w:ascii="宋体"/>
          <w:color w:val="000000"/>
          <w:szCs w:val="21"/>
        </w:rPr>
      </w:r>
      <w:r/>
    </w:p>
    <w:p>
      <w:pPr>
        <w:pStyle w:val="757"/>
        <w:ind w:right="-159"/>
        <w:spacing w:line="360" w:lineRule="auto"/>
        <w:rPr>
          <w:rFonts w:ascii="宋体"/>
          <w:b/>
          <w:bCs/>
          <w:color w:val="000000"/>
          <w:szCs w:val="21"/>
        </w:rPr>
      </w:pPr>
      <w:r>
        <w:rPr>
          <w:rFonts w:hint="eastAsia" w:ascii="宋体" w:hAnsi="宋体"/>
          <w:b/>
          <w:bCs/>
          <w:color w:val="000000"/>
          <w:szCs w:val="21"/>
        </w:rPr>
        <w:t xml:space="preserve">（四）供电配电</w:t>
      </w:r>
      <w:r>
        <w:rPr>
          <w:rFonts w:ascii="宋体"/>
          <w:b/>
          <w:bCs/>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1、技术要求</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1.1所采用的材料、设备等均符合图纸要求及国家质量标准的合格产品。按图纸相关说明及电气国家标准进行实施。</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1.2涉及进出本项目的孔洞由本项目施工单位在实施的同时进行相应密封性实施，保证电气实施后原有孔洞不进蛇鼠等小动物，并符合防火要求。</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1.3每台电机均提供过热载、过压保护。</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2、设计依据、标准、实施规范</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2.1国家有关电气设计规程、规范和标准，具体内容如下：</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——供电系统设计规范，GB50052；</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——低压配电设计规范，GB50054；</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——通用用电设备配电设计规范，GB50055；</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——建筑防雷设计规范，GB50057；</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——电力装置的电气测量仪表装置设计规范，GB50063；</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——电力装置的过电压保护设计规范，GB50064；</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——电力装置的接地设计规范，GB50065；</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——电力工程电缆设计规范，GB50217；</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——钢制电缆桥架工程设计规范  CECS31－91</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——建筑电气工程施工质量验收规范(GB50303-2002) </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——低压电器施工及验收规范  GB 50254—96</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——1kV及以下配线工程施工及验收规范  GB 50258—96</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2.2工艺、土建提供的用电资料。</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3、电气设备技术性能说明</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供应商提供全套满足本废水处理站电气系统运行和检修要求的电气设备，包括控制系统1套。业主提供至废水处理站设备间进线柜之间的电缆；总电源由业主提供。</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主要电气产品选择范围：</w:t>
      </w:r>
      <w:r>
        <w:rPr>
          <w:rFonts w:hint="eastAsia" w:ascii="宋体"/>
          <w:color w:val="000000"/>
          <w:szCs w:val="21"/>
        </w:rPr>
      </w:r>
      <w:r/>
    </w:p>
    <w:p>
      <w:pPr>
        <w:pStyle w:val="757"/>
        <w:ind w:right="-159" w:firstLine="420"/>
        <w:spacing w:line="360" w:lineRule="auto"/>
        <w:rPr>
          <w:rFonts w:hint="eastAsia" w:ascii="宋体"/>
          <w:color w:val="000000"/>
          <w:szCs w:val="21"/>
        </w:rPr>
      </w:pPr>
      <w:r>
        <w:rPr>
          <w:rFonts w:hint="eastAsia" w:ascii="宋体" w:hAnsi="宋体"/>
          <w:color w:val="000000"/>
          <w:szCs w:val="21"/>
        </w:rPr>
        <w:t xml:space="preserve">万能断路器、空气开关（塑壳开关）、接触器、热继电器采用知名品牌，其它附件选用优质产品。</w:t>
      </w:r>
      <w:r>
        <w:rPr>
          <w:rFonts w:hint="eastAsia" w:ascii="宋体"/>
          <w:color w:val="000000"/>
          <w:szCs w:val="21"/>
        </w:rPr>
      </w:r>
      <w:r/>
    </w:p>
    <w:p>
      <w:pPr>
        <w:pStyle w:val="757"/>
        <w:spacing w:line="360" w:lineRule="auto"/>
        <w:tabs>
          <w:tab w:val="left" w:pos="306" w:leader="none"/>
        </w:tabs>
        <w:rPr>
          <w:rFonts w:ascii="宋体" w:hAnsi="宋体"/>
          <w:b/>
          <w:bCs/>
          <w:szCs w:val="21"/>
        </w:rPr>
      </w:pPr>
      <w:r>
        <w:rPr>
          <w:rFonts w:hint="eastAsia" w:ascii="宋体" w:hAnsi="宋体"/>
          <w:b/>
          <w:bCs/>
          <w:szCs w:val="21"/>
        </w:rPr>
        <w:t xml:space="preserve">（五）运营维护</w:t>
      </w:r>
      <w:r>
        <w:rPr>
          <w:rFonts w:ascii="宋体" w:hAnsi="宋体"/>
          <w:b/>
          <w:bCs/>
          <w:szCs w:val="21"/>
        </w:rPr>
      </w:r>
      <w:r/>
    </w:p>
    <w:p>
      <w:pPr>
        <w:pStyle w:val="757"/>
        <w:spacing w:line="360" w:lineRule="auto"/>
        <w:rPr>
          <w:rFonts w:hint="eastAsia" w:ascii="宋体" w:hAnsi="宋体"/>
          <w:szCs w:val="21"/>
        </w:rPr>
      </w:pPr>
      <w:r>
        <w:rPr>
          <w:rFonts w:hint="eastAsia" w:ascii="宋体" w:hAnsi="宋体"/>
          <w:szCs w:val="21"/>
        </w:rPr>
        <w:t xml:space="preserve">1、设备维护计划</w:t>
      </w:r>
      <w:r>
        <w:rPr>
          <w:rFonts w:hint="eastAsia" w:ascii="宋体" w:hAnsi="宋体"/>
          <w:szCs w:val="21"/>
        </w:rPr>
      </w:r>
      <w:r/>
    </w:p>
    <w:tbl>
      <w:tblPr>
        <w:tblW w:w="819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76"/>
        <w:gridCol w:w="20"/>
        <w:gridCol w:w="1675"/>
        <w:gridCol w:w="1521"/>
        <w:gridCol w:w="1152"/>
        <w:gridCol w:w="1924"/>
        <w:gridCol w:w="15"/>
        <w:gridCol w:w="1192"/>
        <w:gridCol w:w="22"/>
      </w:tblGrid>
      <w:tr>
        <w:trPr>
          <w:trHeight w:val="649"/>
        </w:trPr>
        <w:tc>
          <w:tcPr>
            <w:gridSpan w:val="2"/>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675"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系统</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设备</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保养频率</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保养说明</w:t>
            </w:r>
            <w:r>
              <w:rPr>
                <w:rFonts w:ascii="宋体" w:hAnsi="宋体"/>
                <w:color w:val="000000"/>
                <w:szCs w:val="21"/>
              </w:rPr>
            </w:r>
            <w:r/>
          </w:p>
        </w:tc>
        <w:tc>
          <w:tcPr>
            <w:gridSpan w:val="3"/>
            <w:tcBorders>
              <w:top w:val="single" w:color="000000" w:sz="8"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配件更换</w:t>
            </w:r>
            <w:r>
              <w:rPr>
                <w:rFonts w:ascii="宋体" w:hAnsi="宋体"/>
                <w:color w:val="000000"/>
                <w:szCs w:val="21"/>
              </w:rPr>
            </w:r>
            <w:r/>
          </w:p>
        </w:tc>
      </w:tr>
      <w:tr>
        <w:trPr>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1130"/>
              <w:ind w:firstLine="0"/>
              <w:rPr>
                <w:rFonts w:hAnsi="宋体"/>
                <w:szCs w:val="21"/>
              </w:rPr>
            </w:pPr>
            <w:r>
              <w:rPr>
                <w:rFonts w:hint="eastAsia" w:hAnsi="宋体"/>
                <w:color w:val="000000"/>
                <w:szCs w:val="21"/>
              </w:rPr>
              <w:t xml:space="preserve">前端收集池</w:t>
            </w:r>
            <w:r>
              <w:rPr>
                <w:rFonts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调节池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巡检，观察池内状况、水质情况，池体结构等</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6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液位计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灵敏度检查、测试</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565"/>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提升泵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szCs w:val="21"/>
              </w:rPr>
            </w:pPr>
            <w:r>
              <w:rPr>
                <w:rFonts w:hint="eastAsia" w:ascii="宋体" w:hAnsi="宋体"/>
                <w:szCs w:val="21"/>
              </w:rPr>
              <w:t xml:space="preserve">日</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szCs w:val="21"/>
              </w:rPr>
            </w:pPr>
            <w:r>
              <w:rPr>
                <w:rFonts w:hint="eastAsia" w:ascii="宋体" w:hAnsi="宋体"/>
                <w:szCs w:val="21"/>
              </w:rPr>
              <w:t xml:space="preserve">检查出水量（监测平台数据）</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szCs w:val="21"/>
              </w:rPr>
            </w:pPr>
            <w:r>
              <w:rPr>
                <w:rFonts w:hint="eastAsia" w:ascii="宋体" w:hAnsi="宋体"/>
                <w:szCs w:val="21"/>
              </w:rPr>
              <w:t xml:space="preserve">否</w:t>
            </w:r>
            <w:r>
              <w:rPr>
                <w:rFonts w:ascii="宋体" w:hAnsi="宋体"/>
                <w:szCs w:val="21"/>
              </w:rPr>
            </w:r>
            <w:r/>
          </w:p>
        </w:tc>
      </w:tr>
      <w:tr>
        <w:trPr>
          <w:trHeight w:val="822"/>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检查流量是否正常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0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检测电流、绝缘性</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流量计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手动格栅</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检查异物堵塞情况，打捞清理堵塞异物</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检查格栅是否有破损</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trHeight w:val="90"/>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生化处理系统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污泥提升泵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检查提升泵工作状况及回流量检查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微孔曝气搅拌盘</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检查池体气泡均匀情况，根据含氧量，调整爆气程度</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斜管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巡检查看污泥沉淀情况，上清液出水情况</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964"/>
        </w:trPr>
        <w:tc>
          <w:tcPr>
            <w:gridSpan w:val="2"/>
            <w:tcBorders>
              <w:top w:val="none" w:color="000000" w:sz="4" w:space="0"/>
              <w:left w:val="single" w:color="000000" w:sz="8" w:space="0"/>
              <w:bottom w:val="none" w:color="000000" w:sz="4" w:space="0"/>
              <w:right w:val="single" w:color="000000" w:sz="8" w:space="0"/>
            </w:tcBorders>
            <w:tcW w:w="696"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回转风机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检查皮带磨损情况；运行情况；进气管过滤棉清洁；检查压力表压力是否正常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trHeight w:val="691"/>
        </w:trPr>
        <w:tc>
          <w:tcPr>
            <w:gridSpan w:val="2"/>
            <w:tcBorders>
              <w:top w:val="none" w:color="000000" w:sz="4" w:space="0"/>
              <w:left w:val="single" w:color="000000" w:sz="8" w:space="0"/>
              <w:bottom w:val="none" w:color="000000" w:sz="4" w:space="0"/>
              <w:right w:val="single" w:color="000000" w:sz="8" w:space="0"/>
            </w:tcBorders>
            <w:tcW w:w="696"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温度量测</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更换齿轮油</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潜水搅拌机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检查设备运行情况；运行电流量测</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078"/>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消毒系统及预处理系统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消毒池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巡检，查看池体状况，出水状况等</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5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池体使用评估</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22"/>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加药泵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加药泵有无空打堵塞</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01"/>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szCs w:val="21"/>
              </w:rPr>
            </w:pPr>
            <w:r>
              <w:rPr>
                <w:rFonts w:hint="eastAsia" w:ascii="宋体" w:hAnsi="宋体"/>
                <w:szCs w:val="21"/>
              </w:rPr>
              <w:t xml:space="preserve">加药箱</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szCs w:val="21"/>
              </w:rPr>
            </w:pPr>
            <w:r>
              <w:rPr>
                <w:rFonts w:hint="eastAsia" w:ascii="宋体" w:hAnsi="宋体"/>
                <w:szCs w:val="21"/>
              </w:rPr>
              <w:t xml:space="preserve">周</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szCs w:val="21"/>
              </w:rPr>
            </w:pPr>
            <w:r>
              <w:rPr>
                <w:rFonts w:hint="eastAsia" w:ascii="宋体" w:hAnsi="宋体"/>
                <w:szCs w:val="21"/>
              </w:rPr>
              <w:t xml:space="preserve">检查药剂剩余量</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szCs w:val="21"/>
              </w:rPr>
            </w:pPr>
            <w:r>
              <w:rPr>
                <w:rFonts w:hint="eastAsia" w:ascii="宋体" w:hAnsi="宋体"/>
                <w:szCs w:val="21"/>
              </w:rPr>
              <w:t xml:space="preserve">否</w:t>
            </w:r>
            <w:r>
              <w:rPr>
                <w:rFonts w:ascii="宋体" w:hAnsi="宋体"/>
                <w:szCs w:val="21"/>
              </w:rPr>
            </w:r>
            <w:r/>
          </w:p>
        </w:tc>
      </w:tr>
      <w:tr>
        <w:trPr>
          <w:trHeight w:val="860"/>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管路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管路有无泄漏</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监测设备</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DPD总余氯检测设备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检查设备进水量，水量不足调整，堵塞塞及时清理</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07"/>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szCs w:val="21"/>
              </w:rPr>
              <w:t xml:space="preserve">检测试剂剩余量，药剂不足及时补充</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恒流盒清理清洁，检查管路出水情况</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07"/>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数据对比</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大保养，标定数据。</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COD检测设备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检查设备进水量，水量不足调整，堵塞塞及时清理</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26</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szCs w:val="21"/>
              </w:rPr>
              <w:t xml:space="preserve">检测试剂剩余量，药剂不足及时补充</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27</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szCs w:val="21"/>
              </w:rPr>
            </w:pPr>
            <w:r>
              <w:rPr>
                <w:rFonts w:hint="eastAsia" w:ascii="宋体" w:hAnsi="宋体"/>
                <w:szCs w:val="21"/>
              </w:rPr>
              <w:t xml:space="preserve">数据对比，标样标定</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28</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氨氮检测设备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szCs w:val="21"/>
              </w:rPr>
            </w:pPr>
            <w:r>
              <w:rPr>
                <w:rFonts w:hint="eastAsia" w:ascii="宋体" w:hAnsi="宋体"/>
                <w:color w:val="000000"/>
                <w:szCs w:val="21"/>
              </w:rPr>
              <w:t xml:space="preserve">检查设备进水量，水量不足调整，堵塞塞及时清理</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szCs w:val="21"/>
              </w:rPr>
            </w:pPr>
            <w:r>
              <w:rPr>
                <w:rFonts w:hint="eastAsia" w:ascii="宋体" w:hAnsi="宋体"/>
                <w:szCs w:val="21"/>
              </w:rPr>
              <w:t xml:space="preserve">检测试剂剩余量，药剂不足及时补充</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szCs w:val="21"/>
              </w:rPr>
            </w:pPr>
            <w:r>
              <w:rPr>
                <w:rFonts w:hint="eastAsia" w:ascii="宋体" w:hAnsi="宋体"/>
                <w:szCs w:val="21"/>
              </w:rPr>
              <w:t xml:space="preserve">数据对比，标样标定</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821"/>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1130"/>
              <w:ind w:firstLine="0"/>
              <w:jc w:val="center"/>
              <w:rPr>
                <w:rFonts w:hAnsi="宋体"/>
                <w:szCs w:val="21"/>
              </w:rPr>
            </w:pPr>
            <w:r>
              <w:rPr>
                <w:rFonts w:hint="eastAsia" w:hAnsi="宋体"/>
                <w:color w:val="000000"/>
                <w:szCs w:val="21"/>
              </w:rPr>
              <w:t xml:space="preserve">31</w:t>
            </w:r>
            <w:r>
              <w:rPr>
                <w:rFonts w:hAnsi="宋体"/>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废气处理系统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整体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风机油、皮带检查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6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吸附材料的检查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trHeight w:val="66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吸附材料的更换</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765"/>
        </w:trPr>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gridSpan w:val="2"/>
            <w:tcBorders>
              <w:top w:val="single" w:color="000000" w:sz="8" w:space="0"/>
              <w:left w:val="none" w:color="000000" w:sz="4" w:space="0"/>
              <w:bottom w:val="single" w:color="000000" w:sz="8" w:space="0"/>
              <w:right w:val="single" w:color="000000" w:sz="8" w:space="0"/>
            </w:tcBorders>
            <w:tcW w:w="1695"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保养频率</w:t>
            </w:r>
            <w:r>
              <w:rPr>
                <w:rFonts w:ascii="宋体" w:hAnsi="宋体"/>
                <w:color w:val="000000"/>
                <w:szCs w:val="21"/>
              </w:rPr>
            </w:r>
            <w:r/>
          </w:p>
        </w:tc>
        <w:tc>
          <w:tcPr>
            <w:gridSpan w:val="3"/>
            <w:tcBorders>
              <w:top w:val="single" w:color="000000" w:sz="8" w:space="0"/>
              <w:left w:val="none" w:color="000000" w:sz="4" w:space="0"/>
              <w:bottom w:val="single" w:color="000000" w:sz="8" w:space="0"/>
              <w:right w:val="single" w:color="000000" w:sz="8" w:space="0"/>
            </w:tcBorders>
            <w:tcW w:w="309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保养说明</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更换配件</w:t>
            </w:r>
            <w:r>
              <w:rPr>
                <w:rFonts w:ascii="宋体" w:hAnsi="宋体"/>
                <w:color w:val="000000"/>
                <w:szCs w:val="21"/>
              </w:rPr>
            </w:r>
            <w:r/>
          </w:p>
        </w:tc>
      </w:tr>
      <w:tr>
        <w:trPr>
          <w:gridAfter w:val="1"/>
          <w:trHeight w:val="554"/>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rPr>
                <w:rFonts w:ascii="宋体" w:hAnsi="宋体"/>
                <w:color w:val="000000"/>
                <w:szCs w:val="21"/>
              </w:rPr>
            </w:pPr>
            <w:r>
              <w:rPr>
                <w:rFonts w:hint="eastAsia" w:ascii="宋体" w:hAnsi="宋体"/>
                <w:color w:val="000000"/>
                <w:szCs w:val="21"/>
              </w:rPr>
              <w:t xml:space="preserve">继电器检测维护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触点检测、紧固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458"/>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更换</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704"/>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rPr>
                <w:rFonts w:ascii="宋体" w:hAnsi="宋体"/>
                <w:color w:val="000000"/>
                <w:szCs w:val="21"/>
              </w:rPr>
            </w:pPr>
            <w:r>
              <w:rPr>
                <w:rFonts w:hint="eastAsia" w:ascii="宋体" w:hAnsi="宋体"/>
                <w:color w:val="000000"/>
                <w:szCs w:val="21"/>
              </w:rPr>
              <w:t xml:space="preserve">接触器检测维护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接线紧固、检测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653"/>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接线紧固、检测、碳化等异常更换</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670"/>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变频器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风扇及本体清洁、接线紧固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669"/>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绝缘、电流、系统检测维护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71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程序检测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778"/>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可编程控制器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接线紧固、接口检测维护等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程序备份、系统维护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697"/>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控制箱本体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整体清洁、除锈、补漆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58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绝缘检测、防雷检测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730"/>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外部线路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线槽维护、线材整理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gridAfter w:val="1"/>
          <w:trHeight w:val="47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75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757"/>
              <w:rPr>
                <w:rFonts w:ascii="宋体" w:hAnsi="宋体"/>
                <w:color w:val="000000"/>
                <w:szCs w:val="21"/>
              </w:rPr>
            </w:pPr>
            <w:r>
              <w:rPr>
                <w:rFonts w:hint="eastAsia" w:ascii="宋体" w:hAnsi="宋体"/>
                <w:color w:val="000000"/>
                <w:szCs w:val="21"/>
              </w:rPr>
              <w:t xml:space="preserve">绝缘检测、老化检测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75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bl>
    <w:p>
      <w:pPr>
        <w:pStyle w:val="757"/>
        <w:spacing w:line="360" w:lineRule="auto"/>
        <w:rPr>
          <w:rFonts w:ascii="宋体" w:hAnsi="宋体"/>
          <w:color w:val="000000"/>
          <w:szCs w:val="21"/>
        </w:rPr>
      </w:pPr>
      <w:r>
        <w:rPr>
          <w:rFonts w:hint="eastAsia" w:ascii="宋体" w:hAnsi="宋体"/>
          <w:szCs w:val="21"/>
        </w:rPr>
        <w:t xml:space="preserve">2、</w:t>
      </w:r>
      <w:r>
        <w:rPr>
          <w:rFonts w:hint="eastAsia" w:ascii="宋体" w:hAnsi="宋体"/>
          <w:color w:val="000000"/>
          <w:szCs w:val="21"/>
        </w:rPr>
        <w:t xml:space="preserve">在线监测平台</w:t>
      </w:r>
      <w:r>
        <w:rPr>
          <w:rFonts w:ascii="宋体" w:hAnsi="宋体"/>
          <w:color w:val="000000"/>
          <w:szCs w:val="21"/>
        </w:rPr>
      </w:r>
      <w:r/>
    </w:p>
    <w:p>
      <w:pPr>
        <w:pStyle w:val="1130"/>
        <w:ind w:firstLine="0"/>
        <w:rPr>
          <w:rFonts w:hint="eastAsia" w:hAnsi="宋体"/>
          <w:color w:val="000000"/>
          <w:szCs w:val="21"/>
        </w:rPr>
      </w:pPr>
      <w:r>
        <w:rPr>
          <w:rFonts w:hint="eastAsia" w:hAnsi="宋体"/>
          <w:szCs w:val="21"/>
        </w:rPr>
        <w:t xml:space="preserve">2.1、</w:t>
      </w:r>
      <w:r>
        <w:rPr>
          <w:rFonts w:hint="eastAsia" w:hAnsi="宋体"/>
          <w:color w:val="000000"/>
          <w:szCs w:val="21"/>
        </w:rPr>
        <w:t xml:space="preserve">线上服务</w:t>
      </w:r>
      <w:r>
        <w:rPr>
          <w:rFonts w:hint="eastAsia" w:hAnsi="宋体"/>
          <w:color w:val="000000"/>
          <w:szCs w:val="21"/>
        </w:rPr>
      </w:r>
      <w:r/>
    </w:p>
    <w:p>
      <w:pPr>
        <w:pStyle w:val="757"/>
        <w:ind w:firstLine="420"/>
        <w:spacing w:line="360" w:lineRule="auto"/>
        <w:rPr>
          <w:rFonts w:hint="eastAsia" w:ascii="宋体" w:hAnsi="宋体"/>
          <w:szCs w:val="21"/>
        </w:rPr>
      </w:pPr>
      <w:r>
        <w:rPr>
          <w:rFonts w:hint="eastAsia" w:ascii="宋体" w:hAnsi="宋体"/>
          <w:szCs w:val="21"/>
        </w:rPr>
        <w:t xml:space="preserve">污水处理实现联网，通过在线监测平台实时监控现场设备的运行状态、排放数据记录、异常情况报警等，服务单位维保人员实时查看平台，检查站点的数据和运行状态。</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2.2、数据可视化</w:t>
      </w:r>
      <w:r>
        <w:rPr>
          <w:rFonts w:hint="eastAsia" w:ascii="宋体" w:hAnsi="宋体"/>
          <w:szCs w:val="21"/>
        </w:rPr>
      </w:r>
      <w:r/>
    </w:p>
    <w:p>
      <w:pPr>
        <w:pStyle w:val="757"/>
        <w:ind w:firstLine="420"/>
        <w:spacing w:line="360" w:lineRule="auto"/>
        <w:rPr>
          <w:rFonts w:hint="eastAsia" w:ascii="宋体" w:hAnsi="宋体"/>
          <w:szCs w:val="21"/>
        </w:rPr>
      </w:pPr>
      <w:r>
        <w:rPr>
          <w:rFonts w:hint="eastAsia" w:ascii="宋体" w:hAnsi="宋体"/>
          <w:szCs w:val="21"/>
        </w:rPr>
        <w:t xml:space="preserve">通过电脑端及手机端在线监测平台数据可视化；</w:t>
      </w:r>
      <w:r>
        <w:rPr>
          <w:rFonts w:hint="eastAsia" w:ascii="宋体" w:hAnsi="宋体"/>
          <w:szCs w:val="21"/>
        </w:rPr>
      </w:r>
      <w:r/>
    </w:p>
    <w:p>
      <w:pPr>
        <w:pStyle w:val="757"/>
        <w:spacing w:line="360" w:lineRule="auto"/>
        <w:rPr>
          <w:rFonts w:hint="eastAsia" w:ascii="宋体" w:hAnsi="宋体"/>
          <w:color w:val="000000"/>
          <w:szCs w:val="21"/>
        </w:rPr>
      </w:pPr>
      <w:r>
        <w:rPr>
          <w:rFonts w:hint="eastAsia" w:ascii="宋体" w:hAnsi="宋体"/>
          <w:color w:val="000000"/>
          <w:szCs w:val="21"/>
        </w:rPr>
        <w:t xml:space="preserve">2.3、远程监控</w:t>
      </w:r>
      <w:r>
        <w:rPr>
          <w:rFonts w:hint="eastAsia" w:ascii="宋体" w:hAnsi="宋体"/>
          <w:color w:val="000000"/>
          <w:szCs w:val="21"/>
        </w:rPr>
      </w:r>
      <w:r/>
    </w:p>
    <w:p>
      <w:pPr>
        <w:pStyle w:val="757"/>
        <w:ind w:firstLine="420"/>
        <w:spacing w:line="360" w:lineRule="auto"/>
        <w:rPr>
          <w:rFonts w:hint="eastAsia" w:ascii="宋体" w:hAnsi="宋体"/>
          <w:szCs w:val="21"/>
        </w:rPr>
      </w:pPr>
      <w:r>
        <w:rPr>
          <w:rFonts w:hint="eastAsia" w:ascii="宋体" w:hAnsi="宋体"/>
          <w:szCs w:val="21"/>
        </w:rPr>
        <w:t xml:space="preserve">通过电脑端及手机端，7*24实时查看现场的设备检测数据、设备运行状况等；</w:t>
      </w:r>
      <w:r>
        <w:rPr>
          <w:rFonts w:hint="eastAsia" w:ascii="宋体" w:hAnsi="宋体"/>
          <w:szCs w:val="21"/>
        </w:rPr>
      </w:r>
      <w:r/>
    </w:p>
    <w:p>
      <w:pPr>
        <w:pStyle w:val="757"/>
        <w:ind w:left="540" w:hanging="539"/>
        <w:spacing w:line="360" w:lineRule="auto"/>
        <w:rPr>
          <w:rFonts w:hint="eastAsia" w:ascii="宋体" w:hAnsi="宋体"/>
          <w:color w:val="000000"/>
          <w:szCs w:val="21"/>
        </w:rPr>
      </w:pPr>
      <w:r>
        <w:rPr>
          <w:rFonts w:hint="eastAsia" w:ascii="宋体" w:hAnsi="宋体"/>
          <w:color w:val="000000"/>
          <w:szCs w:val="21"/>
        </w:rPr>
        <w:t xml:space="preserve">2.4、报警管理</w:t>
      </w:r>
      <w:r>
        <w:rPr>
          <w:rFonts w:hint="eastAsia" w:ascii="宋体" w:hAnsi="宋体"/>
          <w:color w:val="000000"/>
          <w:szCs w:val="21"/>
        </w:rPr>
      </w:r>
      <w:r/>
    </w:p>
    <w:p>
      <w:pPr>
        <w:pStyle w:val="757"/>
        <w:ind w:firstLine="420"/>
        <w:spacing w:line="360" w:lineRule="auto"/>
        <w:rPr>
          <w:rFonts w:hint="eastAsia" w:ascii="宋体" w:hAnsi="宋体"/>
          <w:szCs w:val="21"/>
        </w:rPr>
      </w:pPr>
      <w:r>
        <w:rPr>
          <w:rFonts w:hint="eastAsia" w:ascii="宋体" w:hAnsi="宋体"/>
          <w:szCs w:val="21"/>
        </w:rPr>
        <w:t xml:space="preserve">系统可根据现场设备实时检测数据设定警戒值，设备报警信号及后台数据逻辑分析产生报警信息，系统会立即通过短信、邮件、APP等方式推送给维保单位人员及院方，维保人员要30分钟内及时相应，1小时内到达现场，2小时内完成警报处理，避免出现停产、设备损坏等状况；</w:t>
      </w:r>
      <w:r>
        <w:rPr>
          <w:rFonts w:hint="eastAsia" w:ascii="宋体" w:hAnsi="宋体"/>
          <w:szCs w:val="21"/>
        </w:rPr>
      </w:r>
      <w:r/>
    </w:p>
    <w:p>
      <w:pPr>
        <w:pStyle w:val="757"/>
        <w:ind w:left="540" w:hanging="539"/>
        <w:spacing w:line="360" w:lineRule="auto"/>
        <w:rPr>
          <w:rFonts w:hint="eastAsia" w:ascii="宋体" w:hAnsi="宋体"/>
          <w:color w:val="000000"/>
          <w:szCs w:val="21"/>
        </w:rPr>
      </w:pPr>
      <w:r>
        <w:rPr>
          <w:rFonts w:hint="eastAsia" w:ascii="宋体" w:hAnsi="宋体"/>
          <w:color w:val="000000"/>
          <w:szCs w:val="21"/>
        </w:rPr>
        <w:t xml:space="preserve">2.5、运维管理</w:t>
      </w:r>
      <w:r>
        <w:rPr>
          <w:rFonts w:hint="eastAsia" w:ascii="宋体" w:hAnsi="宋体"/>
          <w:color w:val="000000"/>
          <w:szCs w:val="21"/>
        </w:rPr>
      </w:r>
      <w:r/>
    </w:p>
    <w:p>
      <w:pPr>
        <w:pStyle w:val="757"/>
        <w:ind w:firstLine="420"/>
        <w:spacing w:line="360" w:lineRule="auto"/>
        <w:rPr>
          <w:rFonts w:hint="eastAsia" w:ascii="宋体" w:hAnsi="宋体"/>
          <w:szCs w:val="21"/>
        </w:rPr>
      </w:pPr>
      <w:r>
        <w:rPr>
          <w:rFonts w:hint="eastAsia" w:ascii="宋体" w:hAnsi="宋体"/>
          <w:szCs w:val="21"/>
        </w:rPr>
        <w:t xml:space="preserve">污水站设备维保记录由运维人员根据实际运维情况填写纸质表单，并于现场保存备查。</w:t>
      </w:r>
      <w:r>
        <w:rPr>
          <w:rFonts w:hint="eastAsia" w:ascii="宋体" w:hAnsi="宋体"/>
          <w:szCs w:val="21"/>
        </w:rPr>
      </w:r>
      <w:r/>
    </w:p>
    <w:p>
      <w:pPr>
        <w:pStyle w:val="757"/>
        <w:ind w:left="540" w:hanging="539"/>
        <w:spacing w:line="480" w:lineRule="auto"/>
        <w:rPr>
          <w:rFonts w:hint="eastAsia" w:ascii="宋体" w:hAnsi="宋体"/>
          <w:color w:val="000000"/>
          <w:szCs w:val="21"/>
        </w:rPr>
        <w:outlineLvl w:val="1"/>
      </w:pPr>
      <w:r>
        <w:rPr>
          <w:rFonts w:hint="eastAsia" w:ascii="宋体" w:hAnsi="宋体"/>
          <w:color w:val="000000"/>
          <w:szCs w:val="21"/>
        </w:rPr>
        <w:t xml:space="preserve">3.处理系统日常保养计划</w:t>
      </w:r>
      <w:r>
        <w:rPr>
          <w:rFonts w:hint="eastAsia" w:ascii="宋体" w:hAnsi="宋体"/>
          <w:color w:val="000000"/>
          <w:szCs w:val="21"/>
        </w:rPr>
      </w:r>
      <w:r/>
    </w:p>
    <w:p>
      <w:pPr>
        <w:pStyle w:val="757"/>
        <w:spacing w:line="360" w:lineRule="auto"/>
        <w:rPr>
          <w:rFonts w:hint="eastAsia" w:ascii="宋体" w:hAnsi="宋体"/>
          <w:szCs w:val="21"/>
        </w:rPr>
      </w:pPr>
      <w:r>
        <w:rPr>
          <w:rFonts w:hint="eastAsia" w:ascii="宋体" w:hAnsi="宋体"/>
          <w:color w:val="000000"/>
          <w:szCs w:val="21"/>
        </w:rPr>
        <w:t xml:space="preserve">3.1、</w:t>
      </w:r>
      <w:r>
        <w:rPr>
          <w:rFonts w:hint="eastAsia" w:ascii="宋体" w:hAnsi="宋体"/>
          <w:szCs w:val="21"/>
        </w:rPr>
        <w:t xml:space="preserve">具体包括</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1）各类水泵、加药泵、各类检测仪、鼓风机、引风机、液位计等机器设备日常运作检修：包括机油添加、污染物清理、主要部件检查、密封性能检查等。</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2）构筑物检修：构筑物的完整、抗腐蚀性能、密封性能、各构筑物间的流畅性。</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3）简单易损设备更换及维护：流量计、阀门、仪表、电控设备等的维护及保养、更换。</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3.2、检查内容</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a．巡查废水站所有的设备是否处于正常待机状态，看各池液位，确认哪些需要开机处理。</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b．检查配药中心地面附腐层是否完整，后来安装的设备是否补做了防腐层。</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c．检查各仪表（流量计）的设定范围是否合理。</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d．检查栏杆、扶手、盖板是否安装齐全、牢固可靠，人易接触到的转动设备是否带有防护罩、防护网。</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e．检查设备、管道、电线安装完毕。</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f．检查设备类型、编号、就位状况与记录情况一致。</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g．落实动力电源供应情况。</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h．检查各种所需药剂是否充足，检查设备是否加足了润滑剂及防锈剂。</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i．检查主要人行通道是否畅通，对横跨主要通道的管道是否做了保护措施。</w:t>
      </w:r>
      <w:r>
        <w:rPr>
          <w:rFonts w:hint="eastAsia" w:ascii="宋体" w:hAnsi="宋体"/>
          <w:szCs w:val="21"/>
        </w:rPr>
      </w:r>
      <w:r/>
    </w:p>
    <w:p>
      <w:pPr>
        <w:pStyle w:val="757"/>
        <w:spacing w:line="360" w:lineRule="auto"/>
        <w:rPr>
          <w:rFonts w:hint="eastAsia" w:ascii="仿宋" w:hAnsi="仿宋" w:eastAsia="仿宋"/>
          <w:sz w:val="24"/>
        </w:rPr>
      </w:pPr>
      <w:r>
        <w:rPr>
          <w:rFonts w:hint="eastAsia" w:ascii="宋体" w:hAnsi="宋体"/>
          <w:szCs w:val="21"/>
        </w:rPr>
        <w:t xml:space="preserve">j．检查安装施工产生的垃圾是否被清除。</w:t>
      </w:r>
      <w:r>
        <w:rPr>
          <w:rFonts w:hint="eastAsia" w:ascii="仿宋" w:hAnsi="仿宋" w:eastAsia="仿宋"/>
          <w:sz w:val="24"/>
        </w:rPr>
      </w:r>
      <w:r/>
    </w:p>
    <w:p>
      <w:pPr>
        <w:pStyle w:val="757"/>
        <w:spacing w:line="360" w:lineRule="auto"/>
        <w:rPr>
          <w:rFonts w:hint="eastAsia" w:ascii="宋体" w:hAnsi="宋体"/>
          <w:szCs w:val="21"/>
        </w:rPr>
      </w:pPr>
      <w:r>
        <w:rPr>
          <w:rFonts w:hint="eastAsia" w:ascii="宋体" w:hAnsi="宋体"/>
          <w:color w:val="000000"/>
          <w:szCs w:val="21"/>
        </w:rPr>
        <w:t xml:space="preserve">3.3、</w:t>
      </w:r>
      <w:r>
        <w:rPr>
          <w:rFonts w:hint="eastAsia" w:ascii="宋体" w:hAnsi="宋体"/>
          <w:szCs w:val="21"/>
        </w:rPr>
        <w:t xml:space="preserve">定期保养内容：</w:t>
      </w:r>
      <w:r>
        <w:rPr>
          <w:rFonts w:hint="eastAsia" w:ascii="宋体" w:hAnsi="宋体"/>
          <w:szCs w:val="21"/>
        </w:rPr>
      </w:r>
      <w:r/>
    </w:p>
    <w:p>
      <w:pPr>
        <w:pStyle w:val="757"/>
        <w:ind w:left="-359" w:firstLine="537"/>
        <w:spacing w:line="360" w:lineRule="auto"/>
        <w:rPr>
          <w:rFonts w:hint="eastAsia" w:ascii="宋体" w:hAnsi="宋体"/>
          <w:szCs w:val="21"/>
        </w:rPr>
      </w:pPr>
      <w:r>
        <w:rPr>
          <w:rFonts w:hint="eastAsia" w:ascii="宋体" w:hAnsi="宋体"/>
          <w:szCs w:val="21"/>
        </w:rPr>
        <w:t xml:space="preserve">设备连续运转一个月或停机一个月后重新开机应保养一次，首次需按需更换润滑油，以后第三个月更换一次，不得过满或欠缺。包括如下内容：</w:t>
      </w:r>
      <w:r>
        <w:rPr>
          <w:rFonts w:hint="eastAsia" w:ascii="宋体" w:hAnsi="宋体"/>
          <w:szCs w:val="21"/>
        </w:rPr>
      </w:r>
      <w:r/>
    </w:p>
    <w:p>
      <w:pPr>
        <w:pStyle w:val="75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检查所有轴承以及电机润滑是否良好。</w:t>
      </w:r>
      <w:r>
        <w:rPr>
          <w:rFonts w:hint="eastAsia" w:ascii="宋体" w:hAnsi="宋体"/>
          <w:szCs w:val="21"/>
        </w:rPr>
      </w:r>
      <w:r/>
    </w:p>
    <w:p>
      <w:pPr>
        <w:pStyle w:val="75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检查接头及管路是滞泄露和损坏。</w:t>
      </w:r>
      <w:r>
        <w:rPr>
          <w:rFonts w:hint="eastAsia" w:ascii="宋体" w:hAnsi="宋体"/>
          <w:szCs w:val="21"/>
        </w:rPr>
      </w:r>
      <w:r/>
    </w:p>
    <w:p>
      <w:pPr>
        <w:pStyle w:val="75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阀门仪表是否有损坏或其他缺陷，是否需要更换。</w:t>
      </w:r>
      <w:r>
        <w:rPr>
          <w:rFonts w:hint="eastAsia" w:ascii="宋体" w:hAnsi="宋体"/>
          <w:szCs w:val="21"/>
        </w:rPr>
      </w:r>
      <w:r/>
    </w:p>
    <w:p>
      <w:pPr>
        <w:pStyle w:val="75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管道和阀门是否畅通、有无泄露。</w:t>
      </w:r>
      <w:r>
        <w:rPr>
          <w:rFonts w:hint="eastAsia" w:ascii="宋体" w:hAnsi="宋体"/>
          <w:szCs w:val="21"/>
        </w:rPr>
      </w:r>
      <w:r/>
    </w:p>
    <w:p>
      <w:pPr>
        <w:pStyle w:val="757"/>
        <w:ind w:left="540" w:hanging="539"/>
        <w:spacing w:line="480" w:lineRule="auto"/>
        <w:rPr>
          <w:rFonts w:hint="eastAsia" w:ascii="宋体" w:hAnsi="宋体"/>
          <w:color w:val="000000"/>
          <w:szCs w:val="21"/>
        </w:rPr>
      </w:pPr>
      <w:r>
        <w:rPr>
          <w:rFonts w:hint="eastAsia" w:ascii="宋体" w:hAnsi="宋体"/>
          <w:color w:val="000000"/>
          <w:szCs w:val="21"/>
        </w:rPr>
        <w:t xml:space="preserve">3.4、设备运行维护内容</w:t>
      </w:r>
      <w:r>
        <w:rPr>
          <w:rFonts w:hint="eastAsia" w:ascii="宋体" w:hAnsi="宋体"/>
          <w:color w:val="000000"/>
          <w:szCs w:val="21"/>
        </w:rPr>
      </w:r>
      <w:r/>
    </w:p>
    <w:p>
      <w:pPr>
        <w:pStyle w:val="757"/>
        <w:spacing w:line="360" w:lineRule="auto"/>
        <w:rPr>
          <w:rFonts w:hint="eastAsia" w:ascii="宋体" w:hAnsi="宋体"/>
          <w:szCs w:val="21"/>
        </w:rPr>
      </w:pPr>
      <w:r>
        <w:rPr>
          <w:rFonts w:hint="eastAsia" w:ascii="宋体" w:hAnsi="宋体"/>
          <w:szCs w:val="21"/>
        </w:rPr>
        <w:t xml:space="preserve">1）维护项目</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a．对所有设备，设施进行维修、防腐处理、保养，使之处于最佳运行状态。</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b．对所有构筑物进行清理维修，使之能正常运转，发挥正常功效。</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2）关注点</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a．判断设备的运转是否正常（如：噪音、振动、马达转动，轴承部位的温度</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b．判断故障所处位置</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c．判断、分析故障原因及类型（如；轻微、重大损坏、设备的质量问题、操作不当等）</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C.设备的初用阶段严格按照要求，在允许的时间范围内（100-300h.）对润滑油或润滑脂进行更换。</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D。保持设备的清洁与周围环境的清洁卫生。（定期、定时擦抹设备上的灰尘、紧固螺丝适当的涂抹润滑油或黄油、清理杂物以免吸入设备内）</w:t>
      </w:r>
      <w:r>
        <w:rPr>
          <w:rFonts w:hint="eastAsia" w:ascii="宋体" w:hAnsi="宋体"/>
          <w:szCs w:val="21"/>
        </w:rPr>
      </w:r>
      <w:r/>
    </w:p>
    <w:p>
      <w:pPr>
        <w:pStyle w:val="757"/>
        <w:spacing w:line="360" w:lineRule="auto"/>
        <w:rPr>
          <w:rFonts w:hint="eastAsia" w:ascii="宋体" w:hAnsi="宋体"/>
          <w:szCs w:val="21"/>
        </w:rPr>
        <w:outlineLvl w:val="1"/>
      </w:pPr>
      <w:r>
        <w:rPr>
          <w:rFonts w:hint="eastAsia" w:ascii="宋体" w:hAnsi="宋体"/>
          <w:szCs w:val="21"/>
        </w:rPr>
        <w:t xml:space="preserve">4、应急预案</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4.1、运维服务单位要制定应急预案并及时开展培训演练。应经常组织全员安全生产教育，增加人员安全保护意识，避免因操作不当或防护不当引发的安全事故。对于突发的安全事故，相关部门应立即上报服务单位，同时组织施救，并及时将伤员外送就医或拨打120急救电话。</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4.2、应急预案应包含突发事件应急处理制度、进水水质超标时的处理方案、突发设备故障处理方案、突发安全事故处理方案、触电事故、中毒事故、设备伤害事故、职业卫生事故、坠落及溺水事故、停电事故处理方案、突发火灾事故处理方案、突发重大自然灾害等。</w:t>
      </w:r>
      <w:r>
        <w:rPr>
          <w:rFonts w:hint="eastAsia" w:ascii="宋体" w:hAnsi="宋体"/>
          <w:szCs w:val="21"/>
        </w:rPr>
      </w:r>
      <w:r/>
    </w:p>
    <w:p>
      <w:pPr>
        <w:pStyle w:val="757"/>
        <w:spacing w:line="360" w:lineRule="auto"/>
        <w:rPr>
          <w:rFonts w:hint="eastAsia" w:ascii="宋体" w:hAnsi="宋体"/>
          <w:szCs w:val="21"/>
        </w:rPr>
        <w:outlineLvl w:val="1"/>
      </w:pPr>
      <w:r>
        <w:rPr>
          <w:rFonts w:hint="eastAsia" w:ascii="宋体" w:hAnsi="宋体"/>
          <w:szCs w:val="21"/>
        </w:rPr>
        <w:t xml:space="preserve">5、安全责任制度</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5.1、人员安全管理制度</w:t>
      </w:r>
      <w:r>
        <w:rPr>
          <w:rFonts w:hint="eastAsia" w:ascii="宋体" w:hAnsi="宋体"/>
          <w:szCs w:val="21"/>
        </w:rPr>
      </w:r>
      <w:r/>
    </w:p>
    <w:p>
      <w:pPr>
        <w:pStyle w:val="757"/>
        <w:ind w:firstLine="420"/>
        <w:spacing w:line="360" w:lineRule="auto"/>
        <w:rPr>
          <w:rFonts w:hint="eastAsia" w:ascii="宋体" w:hAnsi="宋体"/>
          <w:szCs w:val="21"/>
        </w:rPr>
      </w:pPr>
      <w:r>
        <w:rPr>
          <w:rFonts w:hint="eastAsia" w:ascii="宋体" w:hAnsi="宋体"/>
          <w:szCs w:val="21"/>
        </w:rPr>
        <w:t xml:space="preserve">运维单位配置一名安全责任人，对全站的安全生产工作全面负责；运维人员必须定期进行安全操作技能培训，严格遵守各项安全生产规章制度、操作规程和劳动纪律。进行动火、临时用电、进入有限空间等危险作业时，必须按规定办理作业许可证，并落实各项安全措施。</w:t>
      </w:r>
      <w:r>
        <w:rPr>
          <w:rFonts w:hint="eastAsia" w:ascii="宋体" w:hAnsi="宋体"/>
          <w:szCs w:val="21"/>
        </w:rPr>
      </w:r>
      <w:r/>
    </w:p>
    <w:p>
      <w:pPr>
        <w:pStyle w:val="757"/>
        <w:spacing w:line="360" w:lineRule="auto"/>
        <w:rPr>
          <w:rFonts w:hint="eastAsia" w:ascii="宋体" w:hAnsi="宋体"/>
          <w:szCs w:val="21"/>
        </w:rPr>
      </w:pPr>
      <w:r>
        <w:rPr>
          <w:rFonts w:hint="eastAsia" w:ascii="宋体" w:hAnsi="宋体"/>
          <w:szCs w:val="21"/>
        </w:rPr>
        <w:t xml:space="preserve">5.2、明确安全责任</w:t>
      </w:r>
      <w:r>
        <w:rPr>
          <w:rFonts w:hint="eastAsia" w:ascii="宋体" w:hAnsi="宋体"/>
          <w:szCs w:val="21"/>
        </w:rPr>
      </w:r>
      <w:r/>
    </w:p>
    <w:p>
      <w:pPr>
        <w:pStyle w:val="757"/>
        <w:ind w:firstLine="420"/>
        <w:spacing w:line="360" w:lineRule="auto"/>
        <w:rPr>
          <w:rFonts w:ascii="宋体" w:hAnsi="宋体"/>
          <w:szCs w:val="21"/>
        </w:rPr>
        <w:sectPr>
          <w:headerReference w:type="default" r:id="rId9"/>
          <w:footerReference w:type="default" r:id="rId12"/>
          <w:footerReference w:type="first" r:id="rId13"/>
          <w:footnotePr/>
          <w:endnotePr/>
          <w:type w:val="nextPage"/>
          <w:pgSz w:w="12240" w:h="15840" w:orient="portrait"/>
          <w:pgMar w:top="1440" w:right="1800" w:bottom="1440" w:left="1800" w:header="720" w:footer="720" w:gutter="0"/>
          <w:cols w:num="1" w:sep="0" w:space="1701" w:equalWidth="1"/>
          <w:docGrid w:linePitch="360"/>
          <w:titlePg/>
        </w:sectPr>
      </w:pPr>
      <w:r>
        <w:rPr>
          <w:rFonts w:hint="eastAsia" w:ascii="宋体" w:hAnsi="宋体"/>
          <w:szCs w:val="21"/>
        </w:rPr>
        <w:t xml:space="preserve">贯彻执行安全生产方针；运维单位在运维过程对违反本制度的行为，视情节轻重给予批评教育、经济处罚直至解除服务合同。造成人员伤亡、财物损失由运维单位承担。造成事故的，依法追究运维的单位法律责任。</w:t>
      </w:r>
      <w:r>
        <w:rPr>
          <w:rFonts w:ascii="宋体" w:hAnsi="宋体"/>
          <w:szCs w:val="21"/>
        </w:rPr>
      </w:r>
      <w:r/>
    </w:p>
    <w:p>
      <w:pPr>
        <w:pStyle w:val="757"/>
        <w:ind w:firstLine="480"/>
        <w:spacing w:line="360" w:lineRule="auto"/>
        <w:rPr>
          <w:rFonts w:hint="eastAsia"/>
          <w:sz w:val="24"/>
        </w:rPr>
      </w:pPr>
      <w:r>
        <w:rPr>
          <w:rFonts w:hint="eastAsia"/>
          <w:sz w:val="24"/>
        </w:rPr>
      </w:r>
      <w:r/>
    </w:p>
    <w:p>
      <w:pPr>
        <w:pStyle w:val="757"/>
        <w:spacing w:line="360" w:lineRule="auto"/>
        <w:rPr>
          <w:rFonts w:hint="eastAsia" w:ascii="宋体" w:hAnsi="宋体"/>
          <w:szCs w:val="21"/>
        </w:rPr>
      </w:pPr>
      <w:r>
        <w:rPr>
          <w:rFonts w:hint="eastAsia" w:ascii="宋体" w:hAnsi="宋体" w:cs="宋体"/>
          <w:b/>
          <w:color w:val="000000"/>
          <w:szCs w:val="21"/>
        </w:rPr>
        <w:t xml:space="preserve">（六）主要处理设备及服务清单</w:t>
      </w:r>
      <w:r>
        <w:rPr>
          <w:rFonts w:hint="eastAsia" w:ascii="宋体" w:hAnsi="宋体"/>
          <w:szCs w:val="21"/>
        </w:rPr>
      </w:r>
      <w:r/>
    </w:p>
    <w:p>
      <w:pPr>
        <w:pStyle w:val="757"/>
        <w:rPr>
          <w:rFonts w:hint="eastAsia" w:ascii="Tahoma" w:hAnsi="Tahoma"/>
          <w:sz w:val="24"/>
        </w:rPr>
      </w:pPr>
      <w:r>
        <w:rPr>
          <w:rFonts w:hint="eastAsia" w:ascii="Tahoma" w:hAnsi="Tahoma"/>
          <w:sz w:val="24"/>
        </w:rPr>
      </w:r>
      <w:r/>
    </w:p>
    <w:tbl>
      <w:tblPr>
        <w:tblW w:w="4278" w:type="pct"/>
        <w:tblInd w:w="403" w:type="dxa"/>
        <w:tblLayout w:type="autofit"/>
        <w:tblCellMar>
          <w:left w:w="108" w:type="dxa"/>
          <w:top w:w="0" w:type="dxa"/>
          <w:right w:w="108" w:type="dxa"/>
          <w:bottom w:w="0" w:type="dxa"/>
        </w:tblCellMar>
        <w:tblLook w:val="04A0" w:firstRow="1" w:lastRow="0" w:firstColumn="1" w:lastColumn="0" w:noHBand="0" w:noVBand="1"/>
      </w:tblPr>
      <w:tblGrid>
        <w:gridCol w:w="1748"/>
        <w:gridCol w:w="3109"/>
        <w:gridCol w:w="3273"/>
      </w:tblGrid>
      <w:tr>
        <w:trPr>
          <w:trHeight w:val="90"/>
        </w:trPr>
        <w:tc>
          <w:tcPr>
            <w:gridSpan w:val="3"/>
            <w:tcBorders>
              <w:top w:val="single" w:color="000000" w:sz="4" w:space="0"/>
              <w:left w:val="single" w:color="000000" w:sz="4" w:space="0"/>
              <w:bottom w:val="single" w:color="000000" w:sz="4" w:space="0"/>
              <w:right w:val="single" w:color="000000" w:sz="4" w:space="0"/>
            </w:tcBorders>
            <w:tcW w:w="8130" w:type="dxa"/>
            <w:vAlign w:val="center"/>
            <w:textDirection w:val="lrTb"/>
            <w:noWrap/>
          </w:tcPr>
          <w:p>
            <w:pPr>
              <w:pStyle w:val="757"/>
              <w:jc w:val="center"/>
              <w:widowControl/>
              <w:rPr>
                <w:rFonts w:hint="eastAsia" w:ascii="宋体" w:hAnsi="宋体" w:cs="宋体"/>
                <w:color w:val="000000"/>
                <w:szCs w:val="21"/>
              </w:rPr>
            </w:pPr>
            <w:r/>
            <w:bookmarkEnd w:id="29"/>
            <w:r/>
            <w:bookmarkStart w:id="46" w:name="_Toc13642116"/>
            <w:r/>
            <w:bookmarkStart w:id="47" w:name="_Toc13889376"/>
            <w:r/>
            <w:bookmarkStart w:id="48" w:name="_Toc233272230"/>
            <w:r/>
            <w:bookmarkStart w:id="49" w:name="_Toc276023192"/>
            <w:r>
              <w:rPr>
                <w:rFonts w:hint="eastAsia" w:ascii="宋体" w:hAnsi="宋体" w:cs="宋体"/>
                <w:color w:val="000000"/>
                <w:szCs w:val="21"/>
                <w:lang w:bidi="ar"/>
              </w:rPr>
              <w:t xml:space="preserve">昆山市第六人民医院异地新建污水系统租赁服务汇总表</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设备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运维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运维人员费用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耗材及消毒药剂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排污许可证及卫监要求检测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在线监测设备维护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757"/>
              <w:jc w:val="left"/>
              <w:widowControl/>
              <w:rPr>
                <w:rFonts w:hint="eastAsia" w:ascii="宋体" w:hAnsi="宋体" w:cs="宋体"/>
                <w:color w:val="000000"/>
                <w:szCs w:val="21"/>
              </w:rPr>
            </w:pPr>
            <w:r>
              <w:rPr>
                <w:rFonts w:hint="eastAsia" w:ascii="宋体" w:hAnsi="宋体" w:cs="宋体"/>
                <w:color w:val="000000"/>
                <w:szCs w:val="21"/>
                <w:lang w:bidi="ar"/>
              </w:rPr>
              <w:t xml:space="preserve">在线监测软件平台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bl>
    <w:p>
      <w:pPr>
        <w:pStyle w:val="757"/>
        <w:ind w:firstLine="421"/>
      </w:pPr>
      <w:r/>
      <w:r/>
    </w:p>
    <w:tbl>
      <w:tblPr>
        <w:tblW w:w="4995" w:type="pct"/>
        <w:tblInd w:w="-108" w:type="dxa"/>
        <w:tblLayout w:type="fixed"/>
        <w:tblCellMar>
          <w:left w:w="108" w:type="dxa"/>
          <w:top w:w="0" w:type="dxa"/>
          <w:right w:w="108" w:type="dxa"/>
          <w:bottom w:w="0" w:type="dxa"/>
        </w:tblCellMar>
        <w:tblLook w:val="04A0" w:firstRow="1" w:lastRow="0" w:firstColumn="1" w:lastColumn="0" w:noHBand="0" w:noVBand="1"/>
      </w:tblPr>
      <w:tblGrid>
        <w:gridCol w:w="479"/>
        <w:gridCol w:w="104"/>
        <w:gridCol w:w="898"/>
        <w:gridCol w:w="1232"/>
        <w:gridCol w:w="5596"/>
        <w:gridCol w:w="670"/>
        <w:gridCol w:w="513"/>
      </w:tblGrid>
      <w:tr>
        <w:trPr>
          <w:trHeight w:val="315"/>
        </w:trPr>
        <w:tc>
          <w:tcPr>
            <w:gridSpan w:val="7"/>
            <w:tcBorders>
              <w:top w:val="single" w:color="000000" w:sz="4" w:space="0"/>
              <w:left w:val="single" w:color="000000" w:sz="4" w:space="0"/>
              <w:bottom w:val="single" w:color="000000" w:sz="4" w:space="0"/>
              <w:right w:val="single" w:color="000000" w:sz="4" w:space="0"/>
            </w:tcBorders>
            <w:tcW w:w="949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昆山第六人民医院异地新建污水系统租赁服务-设备</w:t>
            </w:r>
            <w:r>
              <w:rPr>
                <w:rFonts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序号</w:t>
            </w:r>
            <w:r>
              <w:rPr>
                <w:rFonts w:hint="eastAsia" w:ascii="宋体" w:hAnsi="宋体" w:cs="仿宋"/>
                <w:b/>
                <w:bCs/>
                <w:color w:val="000000"/>
                <w:szCs w:val="21"/>
              </w:rPr>
            </w:r>
            <w:r/>
          </w:p>
        </w:tc>
        <w:tc>
          <w:tcPr>
            <w:tcBorders>
              <w:top w:val="single" w:color="000000" w:sz="8" w:space="0"/>
              <w:left w:val="none" w:color="000000" w:sz="4" w:space="0"/>
              <w:bottom w:val="single" w:color="000000" w:sz="8" w:space="0"/>
              <w:right w:val="single" w:color="000000" w:sz="4" w:space="0"/>
            </w:tcBorders>
            <w:tcW w:w="47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名 </w:t>
            </w:r>
            <w:r>
              <w:rPr>
                <w:rStyle w:val="1132"/>
                <w:rFonts w:ascii="宋体" w:hAnsi="宋体" w:eastAsia="宋体"/>
                <w:sz w:val="21"/>
                <w:szCs w:val="21"/>
                <w:lang w:bidi="ar"/>
              </w:rPr>
              <w:t xml:space="preserve"> 称</w:t>
            </w:r>
            <w:r>
              <w:rPr>
                <w:rFonts w:hint="eastAsia"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参考品牌</w:t>
            </w:r>
            <w:r>
              <w:rPr>
                <w:rFonts w:hint="eastAsia"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规格</w:t>
            </w:r>
            <w:r>
              <w:rPr>
                <w:rFonts w:hint="eastAsia" w:ascii="宋体" w:hAnsi="宋体" w:cs="仿宋"/>
                <w:b/>
                <w:bCs/>
                <w:color w:val="000000"/>
                <w:szCs w:val="21"/>
              </w:rPr>
            </w:r>
            <w:r/>
          </w:p>
        </w:tc>
        <w:tc>
          <w:tcPr>
            <w:tcBorders>
              <w:top w:val="single" w:color="000000" w:sz="8" w:space="0"/>
              <w:left w:val="singl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单位</w:t>
            </w:r>
            <w:r>
              <w:rPr>
                <w:rFonts w:hint="eastAsia" w:ascii="宋体" w:hAnsi="宋体" w:cs="仿宋"/>
                <w:b/>
                <w:bCs/>
                <w:color w:val="000000"/>
                <w:szCs w:val="21"/>
              </w:rPr>
            </w:r>
            <w:r/>
          </w:p>
        </w:tc>
        <w:tc>
          <w:tcPr>
            <w:tcBorders>
              <w:top w:val="single" w:color="000000" w:sz="8" w:space="0"/>
              <w:left w:val="none" w:color="000000" w:sz="4" w:space="0"/>
              <w:bottom w:val="single" w:color="000000" w:sz="8" w:space="0"/>
              <w:right w:val="single" w:color="000000" w:sz="4" w:space="0"/>
            </w:tcBorders>
            <w:tcW w:w="269" w:type="dxa"/>
            <w:vAlign w:val="center"/>
            <w:textDirection w:val="lrTb"/>
            <w:noWrap/>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数量</w:t>
            </w:r>
            <w:r>
              <w:rPr>
                <w:rFonts w:hint="eastAsia" w:ascii="宋体" w:hAnsi="宋体" w:cs="仿宋"/>
                <w:b/>
                <w:bCs/>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4"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一</w:t>
            </w:r>
            <w:r>
              <w:rPr>
                <w:rFonts w:hint="eastAsia" w:ascii="宋体" w:hAnsi="宋体" w:cs="仿宋"/>
                <w:b/>
                <w:bCs/>
                <w:color w:val="000000"/>
                <w:szCs w:val="21"/>
              </w:rPr>
            </w:r>
            <w:r/>
          </w:p>
        </w:tc>
        <w:tc>
          <w:tcPr>
            <w:gridSpan w:val="5"/>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预处理水池（池体土建建设）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手动格栅</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singl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格栅间隙：10mm </w:t>
            </w:r>
            <w:r>
              <w:rPr>
                <w:rFonts w:hint="eastAsia" w:ascii="宋体" w:hAnsi="宋体" w:cs="仿宋"/>
                <w:color w:val="000000"/>
                <w:szCs w:val="21"/>
              </w:rPr>
              <w:t xml:space="preserve">           </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97"/>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格栅尺寸：依据格栅池体定制</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消毒池循环泵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河见、南方、凯泉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流量：9m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功率：0.4kw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26"/>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排放泵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河见、南方、凯泉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流量：9m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功率：0.4kw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684"/>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62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背压阀</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rPr>
              <w:t xml:space="preserve"> </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55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工作压力：0-0.8MPa </w:t>
            </w:r>
            <w:r>
              <w:rPr>
                <w:rFonts w:hint="eastAsia" w:ascii="宋体" w:hAnsi="宋体" w:cs="仿宋"/>
                <w:color w:val="000000"/>
                <w:szCs w:val="21"/>
              </w:rPr>
              <w:t xml:space="preserve">  </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材质：UPVC</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大小：DN15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压力：0.6Mpa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泵速：100min－1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膜片规格：84㎜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电机功率：60W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进出口：软管接头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7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脱氯加药箱</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大自然、祥盛塑业、恒毅环保</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PE,加药箱，300L；</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配套搅拌机；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9</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杆式液位，低液位，根据加药箱液位定做</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背压阀</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rPr>
              <w:t xml:space="preserve"> </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工作压力：0-0.8MPa </w:t>
            </w:r>
            <w:r>
              <w:rPr>
                <w:rFonts w:hint="eastAsia" w:ascii="宋体" w:hAnsi="宋体" w:cs="仿宋"/>
                <w:color w:val="000000"/>
                <w:szCs w:val="21"/>
              </w:rPr>
              <w:t xml:space="preserve">  </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材质：UPVC</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大小：DN15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压力：0.6Mpa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泵速：100min－1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膜片规格：84㎜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电机功率：60W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进出口：软管接头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802"/>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电柜</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含其余电器元件、电气控制系统、组态程序、人机界面；详见电气清单</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77"/>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管道沟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长度60米，宽度300mm,深度500mm.开挖、预埋及回填</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97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预埋管件及电缆</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DN25化工UPVC长度240米,DN50化工UPVC长度80米，电缆电线长度560米</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二</w:t>
            </w:r>
            <w:r>
              <w:rPr>
                <w:rFonts w:hint="eastAsia" w:ascii="宋体" w:hAnsi="宋体" w:cs="仿宋"/>
                <w:b/>
                <w:bCs/>
                <w:color w:val="000000"/>
                <w:szCs w:val="21"/>
              </w:rPr>
            </w:r>
            <w:r/>
          </w:p>
        </w:tc>
        <w:tc>
          <w:tcPr>
            <w:gridSpan w:val="5"/>
            <w:tcBorders>
              <w:top w:val="single" w:color="000000" w:sz="8" w:space="0"/>
              <w:left w:val="none" w:color="000000" w:sz="4" w:space="0"/>
              <w:bottom w:val="none" w:color="000000" w:sz="4" w:space="0"/>
              <w:right w:val="single" w:color="000000" w:sz="4"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格栅池（池体土建建设）</w:t>
            </w:r>
            <w:r>
              <w:rPr>
                <w:rFonts w:hint="eastAsia" w:ascii="宋体" w:hAnsi="宋体" w:cs="仿宋"/>
                <w:b/>
                <w:bCs/>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b/>
                <w:bCs/>
                <w:color w:val="000000"/>
                <w:szCs w:val="21"/>
              </w:rPr>
            </w:pPr>
            <w:r>
              <w:rPr>
                <w:rFonts w:hint="eastAsia" w:ascii="宋体" w:hAnsi="宋体" w:cs="仿宋"/>
                <w:b/>
                <w:bCs/>
                <w:color w:val="000000"/>
                <w:szCs w:val="21"/>
              </w:rPr>
            </w:r>
            <w:r/>
          </w:p>
        </w:tc>
        <w:tc>
          <w:tcPr>
            <w:gridSpan w:val="5"/>
            <w:tcBorders>
              <w:top w:val="none" w:color="000000" w:sz="4" w:space="0"/>
              <w:left w:val="none" w:color="000000" w:sz="4" w:space="0"/>
              <w:bottom w:val="single" w:color="000000" w:sz="8" w:space="0"/>
              <w:right w:val="single" w:color="000000" w:sz="4"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池内壁尺寸（L）2500*（W）900*（H）6000mm</w:t>
            </w:r>
            <w:r>
              <w:rPr>
                <w:rFonts w:hint="eastAsia" w:ascii="宋体" w:hAnsi="宋体" w:cs="仿宋"/>
                <w:b/>
                <w:bCs/>
                <w:color w:val="000000"/>
                <w:szCs w:val="21"/>
              </w:rPr>
            </w:r>
            <w:r/>
          </w:p>
        </w:tc>
      </w:tr>
      <w:tr>
        <w:trPr>
          <w:trHeight w:val="751"/>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机械格栅</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格栅池尺寸：渠宽＝900mm，渠高＝4000mm；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处理量：21m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栅隙：10mm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集渣装置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依据格栅尺寸定制；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53"/>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L1200*W500*H800mm（±1%）,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8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集渣装置高度由粗格栅高度定，底部需要有滤水装置,滤水收集到格栅池</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9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格栅收集罩子</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尺寸：L4100*W1500*H2500mm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986"/>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岩棉夹心板50mm,外部装饰五面，灰色铝合金百叶窗，预留检修门2处:外开式双开门，高度1800mm，宽度1200mm。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三</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调节池（池体土建建设）</w:t>
            </w:r>
            <w:r>
              <w:rPr>
                <w:rFonts w:hint="eastAsia" w:ascii="宋体" w:hAnsi="宋体" w:cs="仿宋"/>
                <w:b/>
                <w:bCs/>
                <w:color w:val="000000"/>
                <w:szCs w:val="21"/>
              </w:rPr>
            </w:r>
            <w:r/>
          </w:p>
        </w:tc>
      </w:tr>
      <w:tr>
        <w:trPr>
          <w:trHeight w:val="17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7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提升泵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切割泵，配套耦合装置；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智能流量计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科旗、创造、杭州米科</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DN65；防水型</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聚四氟乙烯（PTFE）衬里</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644"/>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RS232通讯地、（24V）电源输入</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法兰接口</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677"/>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人孔尺寸：L1000*W700mm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四</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应急池（池体土建建设）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提升泵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切割泵，配套耦合装置；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3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558"/>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93"/>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五</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污泥池（池体土建建设）</w:t>
            </w:r>
            <w:r>
              <w:rPr>
                <w:rFonts w:hint="eastAsia" w:ascii="宋体" w:hAnsi="宋体" w:cs="仿宋"/>
                <w:b/>
                <w:bCs/>
                <w:color w:val="000000"/>
                <w:szCs w:val="21"/>
              </w:rPr>
            </w:r>
            <w:r/>
          </w:p>
        </w:tc>
      </w:tr>
      <w:tr>
        <w:trPr>
          <w:trHeight w:val="733"/>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7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污泥泵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功率：0.85KW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77"/>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六</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缺氧池（池体土建建设）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73"/>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2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组合填料</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塑料环，填料@150mm,L:2.5m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m</w:t>
            </w:r>
            <w:r>
              <w:rPr>
                <w:rStyle w:val="1134"/>
                <w:rFonts w:ascii="宋体" w:hAnsi="宋体" w:eastAsia="宋体"/>
                <w:sz w:val="21"/>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118</w:t>
            </w: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填料支架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20</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38</w:t>
            </w:r>
            <w:r>
              <w:rPr>
                <w:rFonts w:hint="eastAsia" w:ascii="宋体" w:hAnsi="宋体" w:cs="仿宋"/>
                <w:color w:val="000000"/>
                <w:szCs w:val="21"/>
              </w:rPr>
            </w:r>
            <w:r/>
          </w:p>
        </w:tc>
      </w:tr>
      <w:tr>
        <w:trPr>
          <w:trHeight w:val="56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规格：150*150mm，四角螺栓固定孔</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70</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4"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七</w:t>
            </w:r>
            <w:r>
              <w:rPr>
                <w:rFonts w:hint="eastAsia" w:ascii="宋体" w:hAnsi="宋体" w:cs="仿宋"/>
                <w:b/>
                <w:bCs/>
                <w:color w:val="000000"/>
                <w:szCs w:val="21"/>
              </w:rPr>
            </w:r>
            <w:r/>
          </w:p>
        </w:tc>
        <w:tc>
          <w:tcPr>
            <w:gridSpan w:val="5"/>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好氧池（池体土建建设）</w:t>
            </w:r>
            <w:r>
              <w:rPr>
                <w:rFonts w:hint="eastAsia" w:ascii="宋体" w:hAnsi="宋体" w:cs="仿宋"/>
                <w:b/>
                <w:bCs/>
                <w:color w:val="000000"/>
                <w:szCs w:val="21"/>
              </w:rPr>
            </w:r>
            <w:r/>
          </w:p>
        </w:tc>
      </w:tr>
      <w:tr>
        <w:trPr>
          <w:trHeight w:val="975"/>
        </w:trPr>
        <w:tc>
          <w:tcPr>
            <w:gridSpan w:val="2"/>
            <w:tcBorders>
              <w:top w:val="singl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组合填料</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塑料环，填料@150mm,L:2.5m</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m</w:t>
            </w:r>
            <w:r>
              <w:rPr>
                <w:rStyle w:val="1134"/>
                <w:rFonts w:ascii="宋体" w:hAnsi="宋体" w:eastAsia="宋体"/>
                <w:sz w:val="21"/>
                <w:szCs w:val="21"/>
                <w:lang w:bidi="ar"/>
              </w:rPr>
              <w:t xml:space="preserve">3</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200</w:t>
            </w: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填料支架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48</w:t>
            </w:r>
            <w:r>
              <w:rPr>
                <w:rFonts w:hint="eastAsia" w:ascii="宋体" w:hAnsi="宋体" w:cs="仿宋"/>
                <w:color w:val="000000"/>
                <w:szCs w:val="21"/>
              </w:rPr>
            </w:r>
            <w:r/>
          </w:p>
        </w:tc>
      </w:tr>
      <w:tr>
        <w:trPr>
          <w:trHeight w:val="56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规格：150*150mm，四角螺栓固定孔</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70</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曝气系统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64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水池尺寸;L5300*4000mm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面积：21.2㎡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UPVC（含底座）</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微孔曝气盘</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Φ215（膜片硅橡胶）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126</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ABS+硅橡胶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内回流泵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出水堰及挡板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B=300mm,材质SUS304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八</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沉淀池（池体土建建设）</w:t>
            </w:r>
            <w:r>
              <w:rPr>
                <w:rFonts w:hint="eastAsia" w:ascii="宋体" w:hAnsi="宋体" w:cs="仿宋"/>
                <w:b/>
                <w:bCs/>
                <w:color w:val="000000"/>
                <w:szCs w:val="21"/>
              </w:rPr>
            </w:r>
            <w:r/>
          </w:p>
        </w:tc>
      </w:tr>
      <w:tr>
        <w:trPr>
          <w:trHeight w:val="892"/>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导流筒</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高度2.5m（上口直径0.6m，下口直径0.81m,含反射板）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887"/>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防止池体泥斗高度导致导流筒进不去，做成2段池内螺栓对接紧固。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8#槽钢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材质：碳钢，防腐处理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沉淀池出水堰及出水挡板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B=300mm,材质SUS304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九</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污泥回流池（池体土建建设）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污泥回流泵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813"/>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6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排放池（池体土建建设）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循环回流泵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流量：23m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排放泵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流量：23m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量程：0-6m；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输出4~20mA；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材质：不锈钢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6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巴歇尔槽</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2#巴歇尔槽，Q=0~47m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计量槽材质SUS304；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配套超声波流量计.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采样泵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流量：18m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扬程：15m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采样泵</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新界、凯泉、南方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流量：1m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扬程：15m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功率：0.37KW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电压：220V/50Hz</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十一</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设备间（土建建设）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回转式鼓风机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百事德、永成、川源</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风压：0.5Kgf/cm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r>
      <w:tr>
        <w:trPr>
          <w:trHeight w:val="571"/>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风量：5.11m</w:t>
            </w:r>
            <w:r>
              <w:rPr>
                <w:rStyle w:val="1133"/>
                <w:sz w:val="21"/>
                <w:szCs w:val="21"/>
                <w:lang w:bidi="ar"/>
              </w:rPr>
              <w:t xml:space="preserve">³</w:t>
            </w:r>
            <w:r>
              <w:rPr>
                <w:rFonts w:hint="eastAsia" w:ascii="宋体" w:hAnsi="宋体" w:cs="仿宋"/>
                <w:color w:val="000000"/>
                <w:szCs w:val="21"/>
              </w:rPr>
              <w:t xml:space="preserve">/min</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功率：7.5KW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口径：DN80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电控配变频</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鼓风机变频控制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配套鼓风机用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19"/>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含电柜、含3个变频器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28"/>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风机房隔音</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房间内部尺寸：L5.8*W3.4*H5.5m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72"/>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制作型式：表面贴消音棉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消音棉材质：阻燃聚氨酯</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厚度≥40mm；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26"/>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距离地面300mm高度一圈制作不锈钢304护板，护板厚度1.5mm，防止消音棉被破坏。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十二</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加药间（土建建设）</w:t>
            </w:r>
            <w:r>
              <w:rPr>
                <w:rFonts w:hint="eastAsia" w:ascii="宋体" w:hAnsi="宋体" w:cs="仿宋"/>
                <w:b/>
                <w:bCs/>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加药箱</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大自然、祥盛塑业、恒毅环保</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加药桶：1500L，材质PE；</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直径1170m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配套透明可视液位；</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流量:0-25L/H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DMS200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流量:0-5L/H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818"/>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加药泵固定支架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成品，不锈钢支架，固定安装4台加药泵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药箱液位</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杆式液位，高低液位</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十三</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电控间（土建建设）</w:t>
            </w:r>
            <w:r>
              <w:rPr>
                <w:rFonts w:hint="eastAsia" w:ascii="宋体" w:hAnsi="宋体" w:cs="仿宋"/>
                <w:b/>
                <w:bCs/>
                <w:color w:val="000000"/>
                <w:szCs w:val="21"/>
              </w:rPr>
            </w:r>
            <w:r/>
          </w:p>
        </w:tc>
      </w:tr>
      <w:tr>
        <w:trPr>
          <w:trHeight w:val="623"/>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电控系统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触摸屏、通讯模块及其它元器件、远程控制系统（电脑端和手机端）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2"/>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含监控、在线监测盒、4G网络天线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179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总余氯检测仪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科瑞达、泽铭、苏州科特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tcPr>
          <w:p>
            <w:pPr>
              <w:pStyle w:val="757"/>
              <w:jc w:val="left"/>
              <w:widowControl/>
              <w:rPr>
                <w:rFonts w:ascii="宋体" w:hAnsi="宋体" w:cs="仿宋"/>
                <w:color w:val="000000"/>
                <w:szCs w:val="21"/>
                <w:lang w:bidi="ar"/>
              </w:rPr>
            </w:pPr>
            <w:r>
              <w:rPr>
                <w:rFonts w:hint="eastAsia" w:ascii="宋体" w:hAnsi="宋体" w:cs="仿宋"/>
                <w:color w:val="ff0000"/>
                <w:szCs w:val="21"/>
                <w:lang w:bidi="ar"/>
              </w:rPr>
              <w:br w:type="textWrapping" w:clear="all"/>
            </w:r>
            <w:r>
              <w:rPr>
                <w:rFonts w:hint="eastAsia" w:ascii="宋体" w:hAnsi="宋体" w:cs="仿宋"/>
                <w:color w:val="000000"/>
                <w:szCs w:val="21"/>
                <w:lang w:bidi="ar"/>
              </w:rPr>
              <w:t xml:space="preserve">测量方法：分光光度法</w:t>
            </w:r>
            <w:r>
              <w:rPr>
                <w:rFonts w:hint="eastAsia" w:ascii="宋体" w:hAnsi="宋体" w:cs="仿宋"/>
                <w:color w:val="000000"/>
                <w:szCs w:val="21"/>
                <w:lang w:bidi="ar"/>
              </w:rPr>
              <w:br w:type="textWrapping" w:clear="all"/>
            </w:r>
            <w:r>
              <w:rPr>
                <w:rFonts w:hint="eastAsia" w:ascii="宋体" w:hAnsi="宋体" w:cs="仿宋"/>
                <w:color w:val="000000"/>
                <w:szCs w:val="21"/>
                <w:lang w:bidi="ar"/>
              </w:rPr>
              <w:t xml:space="preserve">带PH计</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测量范围：0~10mg/L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DPD比色法，测量精确、稳定；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内置校正曲线，用户校准可直接调用；支持用户手动校准（零点和不超过2个浓度点校准）；支持过程校准；</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支持多种测量方式：连续测量；间隔测量；手动测定；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测量间隔可选择：10min-12h,每次间隔10min,用户使用更方便；</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具有隔离(4～20)mA和RS485输出；</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具有自动上、下限报警功能；</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具有断电数据保持电路, 即使非正常停电, 仪器内部贮存的数据仍有效， 开机后勿需校准即可进入测量；</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主要性能参数</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分辨率：0.01mg/L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 示值误差：≤1mg/L：±0.05 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＞1mg/L：±5%</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重复性：≤1mg/L：±0.025 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＞1mg/L：±3%</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检出限：不大于0.05mg/L。</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输出信号：隔离（4～20）mA，最大负载为750Ω。 </w:t>
            </w:r>
            <w:r>
              <w:rPr>
                <w:rFonts w:hint="eastAsia" w:ascii="宋体" w:hAnsi="宋体" w:cs="仿宋"/>
                <w:color w:val="000000"/>
                <w:szCs w:val="21"/>
              </w:rPr>
            </w:r>
            <w:r/>
          </w:p>
          <w:p>
            <w:pPr>
              <w:pStyle w:val="757"/>
              <w:jc w:val="left"/>
              <w:widowControl/>
              <w:rPr>
                <w:rFonts w:hint="eastAsia" w:ascii="宋体" w:hAnsi="宋体" w:cs="仿宋"/>
                <w:color w:val="ff0000"/>
                <w:szCs w:val="21"/>
              </w:rPr>
            </w:pPr>
            <w:r>
              <w:rPr>
                <w:rFonts w:hint="eastAsia" w:ascii="宋体" w:hAnsi="宋体" w:cs="仿宋"/>
                <w:color w:val="000000"/>
                <w:szCs w:val="21"/>
              </w:rPr>
              <w:t xml:space="preserve">报警、控制继电器触点容量：2.5A，250V交流（无感），报警控制精度：±1.0%FS。含取样泵</w:t>
            </w:r>
            <w:r>
              <w:rPr>
                <w:rFonts w:hint="eastAsia" w:ascii="宋体" w:hAnsi="宋体" w:cs="仿宋"/>
                <w:color w:val="ff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PH计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三泽、源泓、苏州科特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ascii="宋体" w:hAnsi="宋体" w:cs="仿宋"/>
                <w:color w:val="000000"/>
                <w:szCs w:val="21"/>
                <w:lang w:bidi="ar"/>
              </w:rPr>
            </w:pPr>
            <w:r>
              <w:rPr>
                <w:rFonts w:hint="eastAsia" w:ascii="宋体" w:hAnsi="宋体" w:cs="仿宋"/>
                <w:color w:val="000000"/>
                <w:szCs w:val="21"/>
                <w:lang w:bidi="ar"/>
              </w:rPr>
              <w:t xml:space="preserve">PC-1000</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量</w:t>
            </w:r>
            <w:r>
              <w:rPr>
                <w:rFonts w:hint="eastAsia" w:ascii="宋体" w:hAnsi="宋体" w:cs="仿宋"/>
                <w:color w:val="000000"/>
                <w:szCs w:val="21"/>
              </w:rPr>
              <w:tab/>
            </w:r>
            <w:r>
              <w:rPr>
                <w:rFonts w:hint="eastAsia" w:ascii="宋体" w:hAnsi="宋体" w:cs="仿宋"/>
                <w:color w:val="000000"/>
                <w:szCs w:val="21"/>
              </w:rPr>
              <w:t xml:space="preserve">程：pH: -2.00～16.00pH；ORP: -1999～+1999mV；Temp.: -30.0～130.0℃</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解析度：pH: 0.01pH ； ORP: 1mV；Temp.: 0.1℃  输出负载：max750Ω</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精 确 度：pH: 0.01pH±1Digit  ORP: 1mV±1Digit</w:t>
            </w:r>
            <w:r>
              <w:rPr>
                <w:rFonts w:hint="eastAsia" w:ascii="宋体" w:hAnsi="宋体" w:cs="仿宋"/>
                <w:color w:val="000000"/>
                <w:szCs w:val="21"/>
              </w:rPr>
              <w:tab/>
            </w:r>
            <w:r>
              <w:rPr>
                <w:rFonts w:hint="eastAsia" w:ascii="宋体" w:hAnsi="宋体" w:cs="仿宋"/>
                <w:color w:val="000000"/>
                <w:szCs w:val="21"/>
              </w:rPr>
              <w:t xml:space="preserve">    Temp.: 0.1%±1Digit</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温度补偿：自动温度补偿 Pt1000、Pt100双模式选择；手动温度补偿 按键设定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继电器输出：高低点、区间值任意设定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清洗接点：程序设定时间控制；兼容高点或低点功能</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模拟输出：2路隔离式4～20mA输出可程序对应pH/ORP、Temp.设定</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数位输出：RS-485 Modbus标准数字量通讯</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溶液接地：可消除溶液带电干扰</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工作温度：-20～60℃</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电源输入：88～265V AC宽电源、50/60Hz；或24V DC可选</w:t>
            </w:r>
            <w:r>
              <w:rPr>
                <w:rFonts w:hint="eastAsia" w:ascii="宋体" w:hAnsi="宋体" w:cs="仿宋"/>
                <w:color w:val="000000"/>
                <w:szCs w:val="21"/>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防护等级：IP65</w:t>
            </w:r>
            <w:r>
              <w:rPr>
                <w:rFonts w:hint="eastAsia" w:ascii="宋体" w:hAnsi="宋体" w:cs="仿宋"/>
                <w:color w:val="000000"/>
                <w:szCs w:val="21"/>
              </w:rPr>
            </w:r>
            <w:r/>
          </w:p>
          <w:p>
            <w:pPr>
              <w:pStyle w:val="757"/>
              <w:jc w:val="left"/>
              <w:widowControl/>
              <w:rPr>
                <w:rFonts w:hint="eastAsia" w:ascii="宋体" w:hAnsi="宋体" w:cs="仿宋"/>
                <w:color w:val="ff0000"/>
                <w:szCs w:val="21"/>
              </w:rPr>
            </w:pPr>
            <w:r>
              <w:rPr>
                <w:rFonts w:ascii="宋体" w:hAnsi="宋体" w:cs="仿宋"/>
                <w:color w:val="000000"/>
                <w:szCs w:val="21"/>
              </w:rPr>
              <w:t xml:space="preserve"></w:t>
            </w:r>
            <w:r>
              <w:rPr>
                <w:rFonts w:ascii="宋体" w:hAnsi="宋体" w:cs="仿宋"/>
                <w:color w:val="000000"/>
                <w:szCs w:val="21"/>
              </w:rPr>
              <w:tab/>
            </w:r>
            <w:r>
              <w:rPr>
                <w:rFonts w:ascii="宋体" w:hAnsi="宋体" w:cs="仿宋"/>
                <w:color w:val="000000"/>
                <w:szCs w:val="21"/>
              </w:rPr>
              <w:t xml:space="preserve">CCEP</w:t>
            </w:r>
            <w:r>
              <w:rPr>
                <w:rFonts w:hint="eastAsia" w:ascii="宋体" w:hAnsi="宋体" w:cs="仿宋"/>
                <w:color w:val="000000"/>
                <w:szCs w:val="21"/>
              </w:rPr>
              <w:t xml:space="preserve">中国环境保护产品认证</w:t>
            </w:r>
            <w:r>
              <w:rPr>
                <w:rFonts w:hint="eastAsia" w:ascii="宋体" w:hAnsi="宋体" w:cs="仿宋"/>
                <w:color w:val="ff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数据采集仪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神采、源泓、天一信德</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ascii="宋体" w:hAnsi="宋体" w:cs="仿宋"/>
                <w:color w:val="000000"/>
                <w:szCs w:val="21"/>
                <w:lang w:bidi="ar"/>
              </w:rPr>
            </w:pPr>
            <w:r>
              <w:rPr>
                <w:rFonts w:hint="eastAsia" w:ascii="宋体" w:hAnsi="宋体" w:cs="仿宋"/>
                <w:color w:val="000000"/>
                <w:szCs w:val="21"/>
                <w:lang w:bidi="ar"/>
              </w:rPr>
              <w:t xml:space="preserve">环保用数采仪</w:t>
            </w:r>
            <w:r>
              <w:rPr>
                <w:rFonts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rPr>
              <w:t xml:space="preserve">检测设备数据采集，确保数据联网上传至环保局相关平台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氨氮检测仪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测量范围：0-300mg/L,中国环境保护产品认证（CCEP）；符合国家标准，确保数据准确上传，通过环保验收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COD在线检测仪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测量范围：0-1500mg/L,中国环境保护产品认证（CCEP），符合国家标准，确保数据准确上传，通过环保验收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等比例采样器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1、采样时间间隔1～99h59min</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2、采样量1～2000mL</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3、采样精度优于±5％</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4、流量输入信号4～20mA</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5、流量测量范围0～9999t/hMTBF＞3000h</w:t>
            </w:r>
            <w:r>
              <w:rPr>
                <w:rFonts w:hint="eastAsia" w:ascii="宋体" w:hAnsi="宋体" w:cs="仿宋"/>
                <w:color w:val="000000"/>
                <w:szCs w:val="21"/>
                <w:lang w:bidi="ar"/>
              </w:rPr>
            </w:r>
            <w:r/>
          </w:p>
          <w:p>
            <w:pPr>
              <w:pStyle w:val="75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6、工作电压(220±15%)V.AC仪器噪声≤60dB</w:t>
            </w:r>
            <w:r>
              <w:rPr>
                <w:rFonts w:hint="eastAsia" w:ascii="宋体" w:hAnsi="宋体" w:cs="仿宋"/>
                <w:color w:val="000000"/>
                <w:szCs w:val="21"/>
                <w:lang w:bidi="ar"/>
              </w:rPr>
            </w:r>
            <w:r/>
          </w:p>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7、采样方式超标留样、定时定量、定流定量、定时比例、定量、平行监测留样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十四</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废气处理设备（地基土建建设）</w:t>
            </w:r>
            <w:r>
              <w:rPr>
                <w:rFonts w:hint="eastAsia" w:ascii="宋体" w:hAnsi="宋体" w:cs="仿宋"/>
                <w:b/>
                <w:bCs/>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光催化+活性炭吸附一体机（含风机）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风量：5000m</w:t>
            </w:r>
            <w:r>
              <w:rPr>
                <w:rStyle w:val="1133"/>
                <w:sz w:val="21"/>
                <w:szCs w:val="21"/>
                <w:lang w:bidi="ar"/>
              </w:rPr>
              <w:t xml:space="preserve">³</w:t>
            </w:r>
            <w:r>
              <w:rPr>
                <w:rFonts w:hint="eastAsia" w:ascii="宋体" w:hAnsi="宋体" w:cs="仿宋"/>
                <w:color w:val="000000"/>
                <w:szCs w:val="21"/>
              </w:rPr>
              <w:t xml:space="preserve">/h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19"/>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光催化+活性炭吸附一体机（含风机）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设备内部隔音；</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设备功率：5.5KW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含管道风阀、软接头；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含取样、及固定支架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含变频电机及变频器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其中活性炭碘值≥800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井字架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排放高度15m；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99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井字架、取样平台、及固定支架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十五</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压泥间</w:t>
            </w:r>
            <w:r>
              <w:rPr>
                <w:rFonts w:hint="eastAsia" w:ascii="宋体" w:hAnsi="宋体" w:cs="仿宋"/>
                <w:b/>
                <w:bCs/>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叠螺式脱水机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无锡凌德、万洁、领旗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DS-5Kg/h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64"/>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配置脱水主体、电控柜、絮凝搅拌槽、集液槽、冲洗装置、主轴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材质：不锈钢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4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含投药装置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加药桶200L+配套搅拌机+计量泵系统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材质：PE</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气动隔膜泵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威马、美宝、隆恩特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型号：8040A，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尺寸：330*490（mm),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流量：8吨/小时，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口径：1.5寸，</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气口径：12mm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扬程：0~50米</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进出口径：1.5寸</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材质：铝合金</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气泵</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胜斯特、英格索兰、寿力</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型号22V-0.25-8，</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电压220V，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容量70L，</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流量0.25m3/min,</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86"/>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尺寸：90*37*71（cm)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十六</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管材管件辅材部分</w:t>
            </w:r>
            <w:r>
              <w:rPr>
                <w:rFonts w:hint="eastAsia" w:ascii="宋体" w:hAnsi="宋体" w:cs="仿宋"/>
                <w:b/>
                <w:bCs/>
                <w:color w:val="000000"/>
                <w:szCs w:val="21"/>
              </w:rPr>
            </w:r>
            <w:r/>
          </w:p>
        </w:tc>
      </w:tr>
      <w:tr>
        <w:trPr>
          <w:trHeight w:val="543"/>
        </w:trPr>
        <w:tc>
          <w:tcPr>
            <w:gridSpan w:val="2"/>
            <w:tcBorders>
              <w:top w:val="none" w:color="000000" w:sz="4" w:space="0"/>
              <w:left w:val="single" w:color="000000" w:sz="8" w:space="0"/>
              <w:bottom w:val="single" w:color="000000" w:sz="8" w:space="0"/>
              <w:right w:val="single" w:color="000000" w:sz="8" w:space="0"/>
            </w:tcBorders>
            <w:tcW w:w="58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管阀件、线材、辅材（含部分管道保温）</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vMerge w:val="restart"/>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管阀件、线材（含部分管道保温）</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95"/>
        </w:trPr>
        <w:tc>
          <w:tcPr>
            <w:gridSpan w:val="2"/>
            <w:tcBorders>
              <w:top w:val="none" w:color="000000" w:sz="4" w:space="0"/>
              <w:left w:val="single" w:color="000000" w:sz="8" w:space="0"/>
              <w:bottom w:val="single" w:color="000000" w:sz="8" w:space="0"/>
              <w:right w:val="single" w:color="000000" w:sz="8" w:space="0"/>
            </w:tcBorders>
            <w:tcW w:w="58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油漆、标示、KT板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十七</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8909" w:type="dxa"/>
            <w:vAlign w:val="center"/>
            <w:textDirection w:val="lrTb"/>
            <w:noWrap w:val="false"/>
          </w:tcPr>
          <w:p>
            <w:pPr>
              <w:pStyle w:val="75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其它部分</w:t>
            </w:r>
            <w:r>
              <w:rPr>
                <w:rFonts w:hint="eastAsia" w:ascii="宋体" w:hAnsi="宋体" w:cs="仿宋"/>
                <w:b/>
                <w:bCs/>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水质检测费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第三方取样检测、出具报告</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废气检测</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第三方取样检测、出具报告</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85"/>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安装调试</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污水站设备安装及单机调试、设备联动调试、进水调试、操作培训等</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吊装费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58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KT板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KT板、排放标志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gridAfter w:val="1"/>
          <w:trHeight w:val="285"/>
        </w:trPr>
        <w:tc>
          <w:tcPr>
            <w:gridSpan w:val="6"/>
            <w:tcBorders>
              <w:top w:val="none" w:color="000000" w:sz="4" w:space="0"/>
              <w:left w:val="none" w:color="000000" w:sz="4" w:space="0"/>
              <w:bottom w:val="none" w:color="000000" w:sz="4" w:space="0"/>
              <w:right w:val="none" w:color="000000" w:sz="4" w:space="0"/>
            </w:tcBorders>
            <w:tcW w:w="8979" w:type="dxa"/>
            <w:vAlign w:val="center"/>
            <w:textDirection w:val="lrTb"/>
            <w:noWrap w:val="false"/>
          </w:tcPr>
          <w:p>
            <w:pPr>
              <w:pStyle w:val="75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75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75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75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75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运维人员</w:t>
            </w:r>
            <w:r>
              <w:rPr>
                <w:rFonts w:hint="eastAsia" w:ascii="宋体" w:hAnsi="宋体" w:cs="宋体"/>
                <w:color w:val="000000"/>
                <w:sz w:val="22"/>
                <w:szCs w:val="22"/>
              </w:rPr>
            </w:r>
            <w:r/>
          </w:p>
        </w:tc>
      </w:tr>
      <w:tr>
        <w:trPr>
          <w:gridAfter w:val="1"/>
          <w:trHeight w:val="285"/>
        </w:trPr>
        <w:tc>
          <w:tcPr>
            <w:tcBorders>
              <w:top w:val="single" w:color="000000" w:sz="8" w:space="0"/>
              <w:left w:val="single" w:color="000000" w:sz="8" w:space="0"/>
              <w:bottom w:val="single" w:color="000000" w:sz="8" w:space="0"/>
              <w:right w:val="single" w:color="000000" w:sz="8" w:space="0"/>
            </w:tcBorders>
            <w:tcW w:w="252"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3"/>
            <w:tcBorders>
              <w:top w:val="single" w:color="000000" w:sz="8" w:space="0"/>
              <w:left w:val="none" w:color="000000" w:sz="4" w:space="0"/>
              <w:bottom w:val="single" w:color="000000" w:sz="8" w:space="0"/>
              <w:right w:val="single" w:color="000000" w:sz="8" w:space="0"/>
            </w:tcBorders>
            <w:tcW w:w="2234"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gridSpan w:val="2"/>
            <w:tcBorders>
              <w:top w:val="single" w:color="000000" w:sz="8" w:space="0"/>
              <w:left w:val="none" w:color="000000" w:sz="4" w:space="0"/>
              <w:bottom w:val="single" w:color="000000" w:sz="8" w:space="0"/>
              <w:right w:val="single" w:color="000000" w:sz="8" w:space="0"/>
            </w:tcBorders>
            <w:tcW w:w="626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内容</w:t>
            </w:r>
            <w:r>
              <w:rPr>
                <w:rFonts w:hint="eastAsia" w:ascii="宋体" w:hAnsi="宋体" w:cs="仿宋"/>
                <w:color w:val="000000"/>
                <w:szCs w:val="21"/>
              </w:rPr>
            </w:r>
            <w:r/>
          </w:p>
        </w:tc>
      </w:tr>
      <w:tr>
        <w:trPr>
          <w:gridAfter w:val="1"/>
          <w:trHeight w:val="729"/>
        </w:trPr>
        <w:tc>
          <w:tcPr>
            <w:tcBorders>
              <w:top w:val="none" w:color="000000" w:sz="4" w:space="0"/>
              <w:left w:val="single" w:color="000000" w:sz="8" w:space="0"/>
              <w:bottom w:val="single" w:color="000000" w:sz="8" w:space="0"/>
              <w:right w:val="single" w:color="000000" w:sz="8" w:space="0"/>
            </w:tcBorders>
            <w:tcW w:w="2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2234"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日常巡检维护</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626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按照污水站运维需求，每周2人/3 次巡检运维；运维人员持证上岗</w:t>
            </w:r>
            <w:r>
              <w:rPr>
                <w:rFonts w:hint="eastAsia" w:ascii="宋体" w:hAnsi="宋体" w:cs="仿宋"/>
                <w:color w:val="000000"/>
                <w:szCs w:val="21"/>
              </w:rPr>
            </w:r>
            <w:r/>
          </w:p>
        </w:tc>
      </w:tr>
      <w:tr>
        <w:trPr>
          <w:gridAfter w:val="1"/>
          <w:trHeight w:val="921"/>
        </w:trPr>
        <w:tc>
          <w:tcPr>
            <w:tcBorders>
              <w:top w:val="none" w:color="000000" w:sz="4" w:space="0"/>
              <w:left w:val="single" w:color="000000" w:sz="8" w:space="0"/>
              <w:bottom w:val="single" w:color="000000" w:sz="8" w:space="0"/>
              <w:right w:val="single" w:color="000000" w:sz="8" w:space="0"/>
            </w:tcBorders>
            <w:tcW w:w="2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2234"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定期设备保养</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6266" w:type="dxa"/>
            <w:vAlign w:val="center"/>
            <w:textDirection w:val="lrTb"/>
            <w:noWrap w:val="false"/>
          </w:tcPr>
          <w:p>
            <w:pPr>
              <w:pStyle w:val="757"/>
              <w:jc w:val="left"/>
              <w:widowControl/>
              <w:rPr>
                <w:rFonts w:hint="eastAsia" w:ascii="宋体" w:hAnsi="宋体" w:cs="仿宋"/>
                <w:color w:val="000000"/>
                <w:szCs w:val="21"/>
              </w:rPr>
            </w:pPr>
            <w:r>
              <w:rPr>
                <w:rFonts w:hint="eastAsia" w:ascii="宋体" w:hAnsi="宋体" w:cs="仿宋"/>
                <w:color w:val="000000"/>
                <w:szCs w:val="21"/>
                <w:lang w:bidi="ar"/>
              </w:rPr>
              <w:t xml:space="preserve">按照污水站各系统保养计划月度、季度、年度保养、污泥压制要求配置人员；运维人员持证上岗</w:t>
            </w:r>
            <w:r>
              <w:rPr>
                <w:rFonts w:hint="eastAsia" w:ascii="宋体" w:hAnsi="宋体" w:cs="仿宋"/>
                <w:color w:val="000000"/>
                <w:szCs w:val="21"/>
              </w:rPr>
            </w:r>
            <w:r/>
          </w:p>
        </w:tc>
      </w:tr>
      <w:tr>
        <w:trPr>
          <w:gridAfter w:val="1"/>
          <w:trHeight w:val="975"/>
        </w:trPr>
        <w:tc>
          <w:tcPr>
            <w:tcBorders>
              <w:top w:val="none" w:color="000000" w:sz="4" w:space="0"/>
              <w:left w:val="single" w:color="000000" w:sz="8" w:space="0"/>
              <w:bottom w:val="single" w:color="000000" w:sz="8" w:space="0"/>
              <w:right w:val="single" w:color="000000" w:sz="8" w:space="0"/>
            </w:tcBorders>
            <w:tcW w:w="25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2234"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应急处置</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626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运维单位设置应急小组及技术支持；应对突发情况处置；应急人员持证上岗；</w:t>
            </w:r>
            <w:r>
              <w:rPr>
                <w:rFonts w:hint="eastAsia" w:ascii="宋体" w:hAnsi="宋体" w:cs="仿宋"/>
                <w:color w:val="000000"/>
                <w:szCs w:val="21"/>
              </w:rPr>
            </w:r>
            <w:r/>
          </w:p>
        </w:tc>
      </w:tr>
    </w:tbl>
    <w:p>
      <w:pPr>
        <w:pStyle w:val="757"/>
        <w:rPr>
          <w:rFonts w:hint="eastAsia"/>
        </w:rPr>
      </w:pPr>
      <w:r>
        <w:rPr>
          <w:rFonts w:hint="eastAsia"/>
        </w:rPr>
      </w:r>
      <w:r/>
    </w:p>
    <w:p>
      <w:pPr>
        <w:pStyle w:val="779"/>
        <w:ind w:firstLine="441"/>
        <w:jc w:val="both"/>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b/>
          <w:sz w:val="21"/>
          <w:szCs w:val="21"/>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582"/>
        <w:gridCol w:w="1833"/>
        <w:gridCol w:w="1208"/>
        <w:gridCol w:w="5786"/>
      </w:tblGrid>
      <w:tr>
        <w:trPr>
          <w:trHeight w:val="285"/>
        </w:trPr>
        <w:tc>
          <w:tcPr>
            <w:gridSpan w:val="4"/>
            <w:tcBorders>
              <w:top w:val="none" w:color="000000" w:sz="4" w:space="0"/>
              <w:left w:val="none" w:color="000000" w:sz="4" w:space="0"/>
              <w:bottom w:val="single" w:color="000000" w:sz="8" w:space="0"/>
              <w:right w:val="none" w:color="000000" w:sz="4" w:space="0"/>
            </w:tcBorders>
            <w:tcW w:w="9409" w:type="dxa"/>
            <w:vAlign w:val="center"/>
            <w:textDirection w:val="lrTb"/>
            <w:noWrap/>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耗材及消毒药剂清单</w:t>
            </w:r>
            <w:r>
              <w:rPr>
                <w:rFonts w:ascii="宋体" w:hAnsi="宋体" w:cs="仿宋"/>
                <w:color w:val="000000"/>
                <w:szCs w:val="21"/>
              </w:rPr>
            </w:r>
            <w:r/>
          </w:p>
        </w:tc>
      </w:tr>
      <w:tr>
        <w:trPr>
          <w:trHeight w:val="272"/>
        </w:trPr>
        <w:tc>
          <w:tcPr>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序号</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208"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类型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5786"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说明</w:t>
            </w:r>
            <w:r>
              <w:rPr>
                <w:rFonts w:hint="eastAsia" w:ascii="宋体" w:hAnsi="宋体" w:cs="仿宋"/>
                <w:color w:val="000000"/>
                <w:szCs w:val="21"/>
              </w:rPr>
            </w:r>
            <w:r/>
          </w:p>
        </w:tc>
      </w:tr>
      <w:tr>
        <w:trPr>
          <w:trHeight w:val="480"/>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污水站耗材及消毒药剂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机械润滑油</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3#锂基酯；18L/桶，设备传动部位润滑</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皮带</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废气风机皮带更换</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电子清洁剂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02016C，电控箱内部清洁</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除锈剂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WD-40，金属部件清洁用</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液位计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易耗件更换使用</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各类管阀件</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易耗件更换使用</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人员防护装备</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手套、护目镜、安全鞋、防护服等</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清洁工具</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扫把、拖把等清洁工具</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9</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镀锌喷漆</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防腐漆，户外设备和钢结构</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10</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浮球液位计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池体液位控制</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11</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风机过滤棉</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废气系统进气过滤异物</w:t>
            </w:r>
            <w:r>
              <w:rPr>
                <w:rFonts w:hint="eastAsia" w:ascii="宋体" w:hAnsi="宋体" w:cs="仿宋"/>
                <w:color w:val="000000"/>
                <w:szCs w:val="21"/>
              </w:rPr>
            </w:r>
            <w:r/>
          </w:p>
        </w:tc>
      </w:tr>
      <w:tr>
        <w:trPr>
          <w:trHeight w:val="720"/>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12</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活性炭</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废气系统吸附；碘800 活性炭；按需求更换，更换后旧活性炭处置由院方负责</w:t>
            </w:r>
            <w:r>
              <w:rPr>
                <w:rFonts w:hint="eastAsia" w:ascii="宋体" w:hAnsi="宋体" w:cs="仿宋"/>
                <w:color w:val="000000"/>
                <w:szCs w:val="21"/>
              </w:rPr>
            </w:r>
            <w:r/>
          </w:p>
        </w:tc>
      </w:tr>
      <w:tr>
        <w:trPr>
          <w:trHeight w:val="720"/>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13</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UV 灯管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废气系统杀菌；灯管及整流器；按需求更换，更换后旧灯管处置由院方负责</w:t>
            </w:r>
            <w:r>
              <w:rPr>
                <w:rFonts w:hint="eastAsia" w:ascii="宋体" w:hAnsi="宋体" w:cs="仿宋"/>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14</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脱氯药剂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预处理污水脱氯使用</w:t>
            </w:r>
            <w:r>
              <w:rPr>
                <w:rFonts w:hint="eastAsia" w:ascii="宋体" w:hAnsi="宋体" w:cs="仿宋"/>
                <w:color w:val="000000"/>
                <w:szCs w:val="21"/>
              </w:rPr>
            </w:r>
            <w:r/>
          </w:p>
        </w:tc>
      </w:tr>
      <w:tr>
        <w:trPr>
          <w:trHeight w:val="480"/>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15</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生物菌种养料</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葡萄糖、面粉等定期投喂，培养菌种</w:t>
            </w:r>
            <w:r>
              <w:rPr>
                <w:rFonts w:hint="eastAsia" w:ascii="宋体" w:hAnsi="宋体" w:cs="仿宋"/>
                <w:color w:val="000000"/>
                <w:szCs w:val="21"/>
              </w:rPr>
            </w:r>
            <w:r/>
          </w:p>
        </w:tc>
      </w:tr>
      <w:tr>
        <w:trPr>
          <w:trHeight w:val="480"/>
        </w:trPr>
        <w:tc>
          <w:tcPr>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16</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消毒药剂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低浓度次氯酸钠溶液消毒剂；根据实际污水处理量按需求添加</w:t>
            </w:r>
            <w:r>
              <w:rPr>
                <w:rFonts w:hint="eastAsia" w:ascii="宋体" w:hAnsi="宋体" w:cs="仿宋"/>
                <w:color w:val="000000"/>
                <w:szCs w:val="21"/>
              </w:rPr>
            </w:r>
            <w:r/>
          </w:p>
        </w:tc>
      </w:tr>
    </w:tbl>
    <w:p>
      <w:pPr>
        <w:pStyle w:val="779"/>
        <w:ind w:firstLine="438"/>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576"/>
        <w:gridCol w:w="1475"/>
        <w:gridCol w:w="941"/>
        <w:gridCol w:w="6417"/>
      </w:tblGrid>
      <w:tr>
        <w:trPr>
          <w:trHeight w:val="285"/>
        </w:trPr>
        <w:tc>
          <w:tcPr>
            <w:gridSpan w:val="4"/>
            <w:tcBorders>
              <w:top w:val="none" w:color="000000" w:sz="4" w:space="0"/>
              <w:left w:val="none" w:color="000000" w:sz="4" w:space="0"/>
              <w:bottom w:val="single" w:color="000000" w:sz="8" w:space="0"/>
              <w:right w:val="none" w:color="000000" w:sz="4" w:space="0"/>
            </w:tcBorders>
            <w:tcW w:w="9409" w:type="dxa"/>
            <w:vAlign w:val="center"/>
            <w:textDirection w:val="lrTb"/>
            <w:noWrap w:val="false"/>
          </w:tcPr>
          <w:p>
            <w:pPr>
              <w:pStyle w:val="75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75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75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75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75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排污许可证及卫监要求检测清单</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94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数量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17"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备注</w:t>
            </w:r>
            <w:r>
              <w:rPr>
                <w:rFonts w:hint="eastAsia" w:ascii="宋体" w:hAnsi="宋体" w:cs="仿宋"/>
                <w:color w:val="000000"/>
                <w:szCs w:val="21"/>
              </w:rPr>
            </w:r>
            <w:r/>
          </w:p>
        </w:tc>
      </w:tr>
      <w:tr>
        <w:trPr>
          <w:trHeight w:val="1215"/>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排污许可证检测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年度</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6417"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含废气、废水检测等每月出具第三方监测报告以及江苏省排污单位自行监测信息发布平台申报维护</w:t>
            </w:r>
            <w:r>
              <w:rPr>
                <w:rFonts w:hint="eastAsia" w:ascii="宋体" w:hAnsi="宋体" w:cs="仿宋"/>
                <w:color w:val="000000"/>
                <w:szCs w:val="21"/>
              </w:rPr>
            </w:r>
            <w:r/>
          </w:p>
        </w:tc>
      </w:tr>
      <w:tr>
        <w:trPr>
          <w:trHeight w:val="495"/>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卫监要求水样检测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6417"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bl>
    <w:p>
      <w:pPr>
        <w:pStyle w:val="757"/>
        <w:rPr>
          <w:rFonts w:hint="eastAsia"/>
        </w:rPr>
      </w:pPr>
      <w:r>
        <w:rPr>
          <w:rFonts w:hint="eastAsia"/>
        </w:rPr>
      </w:r>
      <w:r/>
    </w:p>
    <w:p>
      <w:pPr>
        <w:pStyle w:val="757"/>
        <w:spacing w:line="360"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596"/>
        <w:gridCol w:w="1805"/>
        <w:gridCol w:w="1016"/>
        <w:gridCol w:w="3261"/>
        <w:gridCol w:w="2731"/>
      </w:tblGrid>
      <w:tr>
        <w:trPr>
          <w:trHeight w:val="285"/>
        </w:trPr>
        <w:tc>
          <w:tcPr>
            <w:gridSpan w:val="5"/>
            <w:tcBorders>
              <w:top w:val="none" w:color="000000" w:sz="4" w:space="0"/>
              <w:left w:val="none" w:color="000000" w:sz="4" w:space="0"/>
              <w:bottom w:val="single" w:color="000000" w:sz="8" w:space="0"/>
              <w:right w:val="none" w:color="000000" w:sz="4" w:space="0"/>
            </w:tcBorders>
            <w:tcW w:w="9409" w:type="dxa"/>
            <w:vAlign w:val="center"/>
            <w:textDirection w:val="lrTb"/>
            <w:noWrap w:val="false"/>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在线监测设备维护清单</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运维项目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数量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服务内同</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73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备注</w:t>
            </w:r>
            <w:r>
              <w:rPr>
                <w:rFonts w:hint="eastAsia" w:ascii="宋体" w:hAnsi="宋体" w:cs="仿宋"/>
                <w:color w:val="000000"/>
                <w:szCs w:val="21"/>
              </w:rPr>
            </w:r>
            <w:r/>
          </w:p>
        </w:tc>
      </w:tr>
      <w:tr>
        <w:trPr>
          <w:trHeight w:val="97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COD 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restart"/>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检测仪检测试 剂残液外运处置由使用方负责处置</w:t>
            </w:r>
            <w:r>
              <w:rPr>
                <w:rFonts w:hint="eastAsia" w:ascii="宋体" w:hAnsi="宋体" w:cs="仿宋"/>
                <w:color w:val="000000"/>
                <w:szCs w:val="21"/>
              </w:rPr>
            </w:r>
            <w:r/>
          </w:p>
        </w:tc>
      </w:tr>
      <w:tr>
        <w:trPr>
          <w:trHeight w:val="97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氨氮在线监测仪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7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DPD 总氯在线检测仪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PH 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年度计量/季度比对</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97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数据采集仪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离线数据补发；流量数据卡等</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r>
        <w:trPr>
          <w:trHeight w:val="495"/>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等比例采样器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日常维护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757"/>
              <w:jc w:val="center"/>
              <w:rPr>
                <w:rFonts w:hint="eastAsia" w:ascii="宋体" w:hAnsi="宋体" w:cs="仿宋"/>
                <w:color w:val="000000"/>
                <w:szCs w:val="21"/>
              </w:rPr>
            </w:pPr>
            <w:r>
              <w:rPr>
                <w:rFonts w:hint="eastAsia" w:ascii="宋体" w:hAnsi="宋体" w:cs="仿宋"/>
                <w:color w:val="000000"/>
                <w:szCs w:val="21"/>
              </w:rPr>
            </w:r>
            <w:r/>
          </w:p>
        </w:tc>
      </w:tr>
    </w:tbl>
    <w:p>
      <w:pPr>
        <w:pStyle w:val="757"/>
        <w:spacing w:line="360" w:lineRule="auto"/>
        <w:rPr>
          <w:rFonts w:hint="eastAsia" w:ascii="宋体" w:hAnsi="宋体" w:cs="宋体"/>
          <w:b/>
          <w:bCs/>
          <w:szCs w:val="21"/>
        </w:rPr>
      </w:pPr>
      <w:r>
        <w:rPr>
          <w:rFonts w:hint="eastAsia" w:ascii="宋体" w:hAnsi="宋体" w:cs="宋体"/>
          <w:b/>
          <w:bCs/>
          <w:szCs w:val="21"/>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33"/>
        <w:gridCol w:w="1441"/>
        <w:gridCol w:w="7128"/>
      </w:tblGrid>
      <w:tr>
        <w:trPr>
          <w:trHeight w:val="288"/>
        </w:trPr>
        <w:tc>
          <w:tcPr>
            <w:gridSpan w:val="3"/>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57"/>
              <w:jc w:val="center"/>
              <w:widowControl/>
              <w:rPr>
                <w:rFonts w:hint="eastAsia" w:ascii="宋体" w:hAnsi="宋体" w:cs="宋体"/>
                <w:color w:val="000000"/>
                <w:szCs w:val="21"/>
              </w:rPr>
            </w:pPr>
            <w:r>
              <w:rPr>
                <w:rFonts w:hint="eastAsia" w:ascii="宋体" w:hAnsi="宋体" w:cs="宋体"/>
                <w:color w:val="000000"/>
                <w:szCs w:val="21"/>
                <w:lang w:bidi="ar"/>
              </w:rPr>
              <w:t xml:space="preserve">在线监测软件平台清单</w:t>
            </w:r>
            <w:r>
              <w:rPr>
                <w:rFonts w:hint="eastAsia" w:ascii="宋体" w:hAnsi="宋体" w:cs="宋体"/>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5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说明</w:t>
            </w:r>
            <w:r>
              <w:rPr>
                <w:rFonts w:hint="eastAsia" w:ascii="宋体" w:hAnsi="宋体" w:cs="仿宋"/>
                <w:color w:val="000000"/>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在线监测软件平台</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757"/>
              <w:jc w:val="center"/>
              <w:widowControl/>
              <w:rPr>
                <w:rFonts w:hint="eastAsia" w:ascii="宋体" w:hAnsi="宋体" w:cs="仿宋"/>
                <w:color w:val="000000"/>
                <w:szCs w:val="21"/>
              </w:rPr>
            </w:pPr>
            <w:r>
              <w:rPr>
                <w:rFonts w:hint="eastAsia" w:ascii="宋体" w:hAnsi="宋体" w:cs="仿宋"/>
                <w:color w:val="000000"/>
                <w:szCs w:val="21"/>
                <w:lang w:bidi="ar"/>
              </w:rPr>
              <w:t xml:space="preserve">检测数据上传至监测平台，作为运维辅助手段监测医院污水站运行情况，院 方有权限浏览本院污水运行监测数据，包括流量、PH、总余氯等实时监测数据； 平台实时监测数据、历史曲线及异常报警记录，支持数据导出与图表生成功能， 满足监管部门对数据报表、运行台账管理等需求。</w:t>
            </w:r>
            <w:r>
              <w:rPr>
                <w:rFonts w:hint="eastAsia" w:ascii="宋体" w:hAnsi="宋体" w:cs="仿宋"/>
                <w:color w:val="000000"/>
                <w:szCs w:val="21"/>
              </w:rPr>
            </w:r>
            <w:r/>
          </w:p>
        </w:tc>
      </w:tr>
    </w:tbl>
    <w:p>
      <w:pPr>
        <w:pStyle w:val="757"/>
        <w:spacing w:line="360" w:lineRule="auto"/>
        <w:rPr>
          <w:rFonts w:hint="eastAsia" w:ascii="宋体" w:hAnsi="宋体" w:cs="宋体"/>
          <w:b/>
          <w:bCs/>
          <w:szCs w:val="21"/>
        </w:rPr>
      </w:pPr>
      <w:r>
        <w:rPr>
          <w:rFonts w:hint="eastAsia" w:ascii="宋体" w:hAnsi="宋体" w:cs="宋体"/>
          <w:b/>
          <w:bCs/>
          <w:szCs w:val="21"/>
        </w:rPr>
      </w:r>
      <w:r/>
    </w:p>
    <w:p>
      <w:pPr>
        <w:pStyle w:val="757"/>
        <w:spacing w:line="360" w:lineRule="auto"/>
        <w:rPr>
          <w:rFonts w:hint="eastAsia" w:ascii="宋体" w:hAnsi="宋体" w:cs="宋体"/>
          <w:b/>
          <w:bCs/>
          <w:color w:val="000000"/>
          <w:szCs w:val="21"/>
        </w:rPr>
      </w:pPr>
      <w:r>
        <w:rPr>
          <w:rFonts w:hint="eastAsia" w:ascii="宋体" w:hAnsi="宋体" w:cs="宋体"/>
          <w:b/>
          <w:bCs/>
          <w:color w:val="000000"/>
          <w:szCs w:val="21"/>
        </w:rPr>
        <w:t xml:space="preserve">（七）</w:t>
      </w:r>
      <w:r>
        <w:rPr>
          <w:rFonts w:hint="eastAsia" w:ascii="宋体" w:hAnsi="宋体" w:cs="宋体"/>
          <w:b/>
          <w:bCs/>
          <w:color w:val="000000"/>
          <w:szCs w:val="21"/>
        </w:rPr>
        <w:t xml:space="preserve">交货期：接到甲方书面通知之日起</w:t>
      </w:r>
      <w:r>
        <w:rPr>
          <w:rFonts w:hint="eastAsia" w:ascii="宋体" w:hAnsi="宋体" w:cs="宋体"/>
          <w:b/>
          <w:bCs/>
          <w:color w:val="000000"/>
          <w:szCs w:val="21"/>
          <w:u w:val="single"/>
        </w:rPr>
        <w:t xml:space="preserve">90</w:t>
      </w:r>
      <w:r>
        <w:rPr>
          <w:rFonts w:hint="eastAsia" w:ascii="宋体" w:hAnsi="宋体" w:cs="宋体"/>
          <w:b/>
          <w:bCs/>
          <w:color w:val="000000"/>
          <w:szCs w:val="21"/>
        </w:rPr>
        <w:t xml:space="preserve">日历天完成安装调试并</w:t>
      </w:r>
      <w:r>
        <w:rPr>
          <w:rFonts w:ascii="宋体" w:hAnsi="宋体" w:cs="宋体"/>
          <w:b/>
          <w:bCs/>
          <w:color w:val="000000"/>
          <w:szCs w:val="21"/>
        </w:rPr>
        <w:t xml:space="preserve">通过</w:t>
      </w:r>
      <w:r>
        <w:rPr>
          <w:rFonts w:hint="eastAsia" w:ascii="宋体" w:hAnsi="宋体" w:cs="宋体"/>
          <w:b/>
          <w:bCs/>
          <w:color w:val="000000"/>
          <w:szCs w:val="21"/>
        </w:rPr>
        <w:t xml:space="preserve">验收，具体时间以甲方通知为准。运维期限为租赁设备安装到位、通过验收、医院正式运营后3年。</w:t>
      </w:r>
      <w:r>
        <w:rPr>
          <w:rFonts w:hint="eastAsia" w:ascii="宋体" w:hAnsi="宋体" w:cs="宋体"/>
          <w:b/>
          <w:bCs/>
          <w:color w:val="000000"/>
          <w:szCs w:val="21"/>
        </w:rPr>
      </w:r>
      <w:r/>
    </w:p>
    <w:p>
      <w:pPr>
        <w:pStyle w:val="757"/>
        <w:spacing w:line="360" w:lineRule="auto"/>
        <w:rPr>
          <w:rFonts w:hint="eastAsia" w:ascii="宋体" w:hAnsi="宋体" w:cs="宋体"/>
          <w:b/>
          <w:bCs/>
          <w:szCs w:val="21"/>
          <w:lang w:eastAsia="zh-CN"/>
        </w:rPr>
      </w:pPr>
      <w:r>
        <w:rPr>
          <w:rFonts w:hint="eastAsia" w:ascii="宋体" w:hAnsi="宋体" w:cs="宋体"/>
          <w:b/>
          <w:bCs/>
          <w:szCs w:val="21"/>
          <w:lang w:eastAsia="zh-CN"/>
        </w:rPr>
        <w:t xml:space="preserve">（八）图纸</w:t>
      </w:r>
      <w:r>
        <w:rPr>
          <w:rFonts w:hint="eastAsia" w:ascii="宋体" w:hAnsi="宋体" w:cs="宋体"/>
          <w:b/>
          <w:bCs/>
          <w:szCs w:val="21"/>
          <w:lang w:eastAsia="zh-CN"/>
        </w:rPr>
      </w:r>
      <w:r/>
    </w:p>
    <w:p>
      <w:pPr>
        <w:pStyle w:val="757"/>
        <w:spacing w:line="360" w:lineRule="auto"/>
        <w:rPr>
          <w:rFonts w:hint="eastAsia" w:ascii="宋体" w:hAnsi="宋体" w:cs="宋体"/>
          <w:b/>
          <w:bCs/>
          <w:szCs w:val="21"/>
          <w:lang w:eastAsia="zh-CN"/>
        </w:rPr>
      </w:pPr>
      <w:r>
        <w:rPr>
          <w:rFonts w:hint="eastAsia" w:ascii="宋体" w:hAnsi="宋体" w:cs="宋体"/>
          <w:b/>
          <w:bCs/>
          <w:szCs w:val="21"/>
          <w:lang w:eastAsia="zh-CN"/>
        </w:rPr>
        <w:object w:dxaOrig="1640" w:dyaOrig="11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42.8pt;mso-wrap-distance-left:0.0pt;mso-wrap-distance-top:0.0pt;mso-wrap-distance-right:0.0pt;mso-wrap-distance-bottom:0.0pt;" filled="f" stroked="f">
            <v:path textboxrect="0,0,0,0"/>
            <v:imagedata r:id="rId17" o:title=""/>
          </v:shape>
          <o:OLEObject DrawAspect="Content" r:id="rId18" ObjectID="_1525044" ProgID="Package" ShapeID="_x0000_i4" Type="Embed"/>
        </w:object>
      </w:r>
      <w:r>
        <w:rPr>
          <w:rFonts w:hint="eastAsia" w:ascii="宋体" w:hAnsi="宋体" w:cs="宋体"/>
          <w:b/>
          <w:bCs/>
          <w:szCs w:val="21"/>
          <w:lang w:eastAsia="zh-CN"/>
        </w:rPr>
        <w:t xml:space="preserve"> </w:t>
      </w:r>
      <w:r/>
    </w:p>
    <w:p>
      <w:pPr>
        <w:pStyle w:val="757"/>
        <w:spacing w:line="360" w:lineRule="auto"/>
        <w:rPr>
          <w:rFonts w:hint="eastAsia" w:ascii="宋体" w:hAnsi="宋体"/>
          <w:b/>
          <w:szCs w:val="21"/>
          <w:lang w:val="zh-CN"/>
        </w:rPr>
      </w:pPr>
      <w:r>
        <w:rPr>
          <w:rFonts w:hint="eastAsia" w:ascii="宋体" w:hAnsi="宋体" w:cs="宋体"/>
          <w:b/>
          <w:bCs/>
          <w:szCs w:val="21"/>
        </w:rPr>
        <w:t xml:space="preserve">四、</w:t>
      </w:r>
      <w:r>
        <w:rPr>
          <w:rFonts w:hint="eastAsia" w:ascii="宋体" w:hAnsi="宋体"/>
          <w:b/>
          <w:szCs w:val="21"/>
          <w:lang w:val="zh-CN"/>
        </w:rPr>
        <w:t xml:space="preserve">其他事项： </w:t>
      </w:r>
      <w:r>
        <w:rPr>
          <w:rFonts w:hint="eastAsia" w:ascii="宋体" w:hAnsi="宋体"/>
          <w:b/>
          <w:szCs w:val="21"/>
          <w:lang w:val="zh-CN"/>
        </w:rPr>
      </w:r>
      <w:r/>
    </w:p>
    <w:p>
      <w:pPr>
        <w:pStyle w:val="757"/>
        <w:spacing w:line="360" w:lineRule="auto"/>
        <w:widowControl/>
        <w:rPr>
          <w:rFonts w:ascii="宋体" w:hAnsi="宋体" w:cs="Arial"/>
          <w:szCs w:val="21"/>
        </w:rPr>
      </w:pPr>
      <w:r>
        <w:rPr>
          <w:rFonts w:hint="eastAsia" w:ascii="宋体" w:hAnsi="宋体" w:cs="Arial"/>
          <w:szCs w:val="21"/>
        </w:rPr>
        <w:t xml:space="preserve">1.投标单位必须明确提供所投项目的说明及服务内容。</w:t>
      </w:r>
      <w:r>
        <w:rPr>
          <w:rFonts w:ascii="宋体" w:hAnsi="宋体" w:cs="Arial"/>
          <w:szCs w:val="21"/>
        </w:rPr>
      </w:r>
      <w:r/>
    </w:p>
    <w:p>
      <w:pPr>
        <w:pStyle w:val="757"/>
        <w:spacing w:line="360" w:lineRule="auto"/>
        <w:widowControl/>
        <w:rPr>
          <w:rFonts w:hint="eastAsia" w:ascii="宋体" w:hAnsi="宋体" w:cs="Arial"/>
          <w:szCs w:val="21"/>
        </w:rPr>
      </w:pPr>
      <w:r>
        <w:rPr>
          <w:rFonts w:hint="eastAsia" w:ascii="宋体" w:hAnsi="宋体" w:cs="Arial"/>
          <w:szCs w:val="21"/>
        </w:rPr>
        <w:t xml:space="preserve">2.投标单位必须承诺招标文件中提出的全部技术要求，如果以其中某些条款不响应时，应在文件中逐条列出，未列出的视同响应。</w:t>
      </w:r>
      <w:r>
        <w:rPr>
          <w:rFonts w:hint="eastAsia" w:ascii="宋体" w:hAnsi="宋体" w:cs="Arial"/>
          <w:szCs w:val="21"/>
        </w:rPr>
      </w:r>
      <w:r/>
    </w:p>
    <w:p>
      <w:pPr>
        <w:pStyle w:val="757"/>
        <w:spacing w:line="360" w:lineRule="auto"/>
        <w:widowControl/>
        <w:rPr>
          <w:rFonts w:hint="eastAsia" w:ascii="宋体" w:hAnsi="宋体" w:cs="Arial"/>
          <w:szCs w:val="21"/>
        </w:rPr>
      </w:pPr>
      <w:r>
        <w:rPr>
          <w:rFonts w:hint="eastAsia" w:ascii="宋体" w:hAnsi="宋体" w:cs="Arial"/>
          <w:szCs w:val="21"/>
        </w:rPr>
        <w:t xml:space="preserve">3.投标单位的报价以全部服务总价一次报定，即包括直至完成本项目全部服务内容的所有人力费用、物力费用、验收费及保险、劳保、专利技术、技术支持与人员培训、售后服务与维护及相关劳务支出等工作所发生的全部费用以及投标人企业利润、税金和政策性文件规定及合同包含的所有风险、责任等各项应有费用，所报总价包括完成本项目全部内容。</w:t>
      </w:r>
      <w:r>
        <w:rPr>
          <w:rFonts w:hint="eastAsia" w:ascii="宋体" w:hAnsi="宋体" w:cs="Arial"/>
          <w:szCs w:val="21"/>
        </w:rPr>
      </w:r>
      <w:r/>
    </w:p>
    <w:p>
      <w:pPr>
        <w:pStyle w:val="757"/>
        <w:spacing w:line="360" w:lineRule="auto"/>
        <w:widowControl/>
        <w:rPr>
          <w:rFonts w:hint="eastAsia" w:ascii="宋体" w:hAnsi="宋体" w:cs="Arial"/>
          <w:szCs w:val="21"/>
        </w:rPr>
      </w:pPr>
      <w:r>
        <w:rPr>
          <w:rFonts w:hint="eastAsia" w:ascii="宋体" w:hAnsi="宋体" w:cs="Arial"/>
          <w:szCs w:val="21"/>
        </w:rPr>
        <w:t xml:space="preserve">4.凡涉及招标文件的补充说明和修改，均以苏州市政府采购网通知为准。</w:t>
      </w:r>
      <w:r>
        <w:rPr>
          <w:rFonts w:hint="eastAsia" w:ascii="宋体" w:hAnsi="宋体" w:cs="Arial"/>
          <w:szCs w:val="21"/>
        </w:rPr>
      </w:r>
      <w:r/>
    </w:p>
    <w:p>
      <w:pPr>
        <w:pStyle w:val="758"/>
        <w:jc w:val="center"/>
        <w:spacing w:line="360" w:lineRule="auto"/>
        <w:rPr>
          <w:rFonts w:hint="eastAsia"/>
        </w:rPr>
      </w:pPr>
      <w:r/>
      <w:bookmarkEnd w:id="46"/>
      <w:r/>
      <w:bookmarkEnd w:id="47"/>
      <w:r/>
      <w:bookmarkEnd w:id="48"/>
      <w:r/>
      <w:bookmarkEnd w:id="49"/>
      <w:r/>
      <w:bookmarkStart w:id="50" w:name="_Toc194916143"/>
      <w:r/>
      <w:bookmarkStart w:id="51" w:name="_Toc13889378"/>
      <w:r/>
      <w:bookmarkStart w:id="52" w:name="_Toc13642118"/>
      <w:r>
        <w:rPr>
          <w:rFonts w:hint="eastAsia"/>
        </w:rPr>
      </w:r>
      <w:r/>
    </w:p>
    <w:p>
      <w:pPr>
        <w:pStyle w:val="758"/>
        <w:jc w:val="center"/>
        <w:spacing w:line="360" w:lineRule="auto"/>
        <w:rPr>
          <w:rFonts w:hint="eastAsia"/>
        </w:rPr>
      </w:pPr>
      <w:r>
        <w:rPr>
          <w:rFonts w:hint="eastAsia"/>
        </w:rPr>
      </w:r>
      <w:r/>
    </w:p>
    <w:p>
      <w:pPr>
        <w:pStyle w:val="758"/>
        <w:jc w:val="center"/>
        <w:spacing w:line="360" w:lineRule="auto"/>
        <w:rPr>
          <w:rFonts w:hint="eastAsia"/>
        </w:rPr>
      </w:pPr>
      <w:r>
        <w:rPr>
          <w:rFonts w:hint="eastAsia"/>
        </w:rPr>
      </w:r>
      <w:r/>
    </w:p>
    <w:p>
      <w:pPr>
        <w:pStyle w:val="757"/>
        <w:rPr>
          <w:rFonts w:hint="eastAsia"/>
        </w:rPr>
      </w:pPr>
      <w:r>
        <w:rPr>
          <w:rFonts w:hint="eastAsia"/>
        </w:rPr>
      </w:r>
      <w:r/>
    </w:p>
    <w:p>
      <w:pPr>
        <w:pStyle w:val="758"/>
        <w:jc w:val="center"/>
        <w:spacing w:line="360" w:lineRule="auto"/>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7"/>
        <w:rPr>
          <w:rFonts w:hint="eastAsia"/>
        </w:rPr>
      </w:pPr>
      <w:r>
        <w:rPr>
          <w:rFonts w:hint="eastAsia"/>
        </w:rPr>
      </w:r>
      <w:r/>
    </w:p>
    <w:p>
      <w:pPr>
        <w:pStyle w:val="758"/>
        <w:jc w:val="center"/>
        <w:spacing w:line="360" w:lineRule="auto"/>
        <w:rPr>
          <w:rFonts w:hint="eastAsia"/>
        </w:rPr>
      </w:pPr>
      <w:r>
        <w:rPr>
          <w:rFonts w:hint="eastAsia"/>
        </w:rPr>
        <w:t xml:space="preserve">第五章  合同主要条款</w:t>
      </w:r>
      <w:bookmarkEnd w:id="50"/>
      <w:r>
        <w:rPr>
          <w:rFonts w:hint="eastAsia"/>
        </w:rPr>
      </w:r>
      <w:r/>
    </w:p>
    <w:p>
      <w:pPr>
        <w:pStyle w:val="757"/>
        <w:spacing w:line="540" w:lineRule="exact"/>
        <w:rPr>
          <w:rFonts w:ascii="宋体" w:hAnsi="宋体"/>
          <w:szCs w:val="21"/>
        </w:rPr>
      </w:pPr>
      <w:r>
        <w:rPr>
          <w:rFonts w:hint="eastAsia" w:ascii="宋体" w:hAnsi="宋体"/>
          <w:szCs w:val="21"/>
        </w:rPr>
        <w:t xml:space="preserve">甲方：</w:t>
      </w:r>
      <w:r>
        <w:rPr>
          <w:rFonts w:ascii="宋体" w:hAnsi="宋体"/>
          <w:szCs w:val="21"/>
        </w:rPr>
      </w:r>
      <w:r/>
    </w:p>
    <w:p>
      <w:pPr>
        <w:pStyle w:val="757"/>
        <w:spacing w:line="54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757"/>
        <w:spacing w:line="540" w:lineRule="exact"/>
        <w:rPr>
          <w:rFonts w:hint="eastAsia" w:ascii="宋体" w:hAnsi="宋体"/>
          <w:szCs w:val="21"/>
        </w:rPr>
      </w:pPr>
      <w:r>
        <w:rPr>
          <w:rFonts w:hint="eastAsia" w:ascii="宋体" w:hAnsi="宋体"/>
          <w:szCs w:val="21"/>
        </w:rPr>
        <w:t xml:space="preserve">联系人及电话：</w:t>
      </w:r>
      <w:r>
        <w:rPr>
          <w:rFonts w:hint="eastAsia" w:ascii="宋体" w:hAnsi="宋体"/>
          <w:szCs w:val="21"/>
        </w:rPr>
      </w:r>
      <w:r/>
    </w:p>
    <w:p>
      <w:pPr>
        <w:pStyle w:val="757"/>
        <w:spacing w:line="540" w:lineRule="exact"/>
        <w:rPr>
          <w:rFonts w:hint="eastAsia" w:ascii="宋体" w:hAnsi="宋体"/>
          <w:szCs w:val="21"/>
        </w:rPr>
      </w:pPr>
      <w:r>
        <w:rPr>
          <w:rFonts w:hint="eastAsia" w:ascii="宋体" w:hAnsi="宋体"/>
          <w:szCs w:val="21"/>
        </w:rPr>
      </w:r>
      <w:r/>
    </w:p>
    <w:p>
      <w:pPr>
        <w:pStyle w:val="757"/>
        <w:spacing w:line="540" w:lineRule="exact"/>
        <w:rPr>
          <w:rFonts w:hint="eastAsia" w:ascii="宋体" w:hAnsi="宋体"/>
          <w:szCs w:val="21"/>
        </w:rPr>
      </w:pPr>
      <w:r>
        <w:rPr>
          <w:rFonts w:hint="eastAsia" w:ascii="宋体" w:hAnsi="宋体"/>
          <w:szCs w:val="21"/>
        </w:rPr>
        <w:t xml:space="preserve">乙方：</w:t>
      </w:r>
      <w:r>
        <w:rPr>
          <w:rFonts w:hint="eastAsia" w:ascii="宋体" w:hAnsi="宋体"/>
          <w:szCs w:val="21"/>
        </w:rPr>
      </w:r>
      <w:r/>
    </w:p>
    <w:p>
      <w:pPr>
        <w:pStyle w:val="757"/>
        <w:spacing w:line="54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联系人及电话</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    根据</w:t>
      </w:r>
      <w:r>
        <w:rPr>
          <w:rFonts w:hint="eastAsia" w:ascii="宋体" w:hAnsi="宋体"/>
          <w:szCs w:val="21"/>
          <w:u w:val="single"/>
        </w:rPr>
        <w:t xml:space="preserve">江苏正华新工程咨询有限公司</w:t>
      </w:r>
      <w:r>
        <w:rPr>
          <w:rFonts w:hint="eastAsia" w:ascii="宋体" w:hAnsi="宋体"/>
          <w:szCs w:val="21"/>
        </w:rPr>
        <w:t xml:space="preserve">招标编号</w:t>
      </w:r>
      <w:r>
        <w:rPr>
          <w:rFonts w:hint="eastAsia" w:ascii="宋体" w:hAnsi="宋体"/>
          <w:szCs w:val="21"/>
          <w:u w:val="single"/>
        </w:rPr>
        <w:t xml:space="preserve"> </w:t>
      </w:r>
      <w:r>
        <w:rPr>
          <w:rFonts w:hint="eastAsia" w:ascii="宋体" w:hAnsi="宋体"/>
          <w:u w:val="single"/>
        </w:rPr>
        <w:t xml:space="preserve">JSZC-320583-SZZH-G2026-0005</w:t>
      </w:r>
      <w:r>
        <w:rPr>
          <w:rFonts w:hint="eastAsia" w:ascii="宋体" w:hAnsi="宋体"/>
          <w:szCs w:val="21"/>
        </w:rPr>
        <w:t xml:space="preserve">号的招标文件及中标单位的投标文件和中标通知书，甲乙双方就此次中标的标的物的购销事宜，签订本合同书。</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一、合同文件</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下列文件为本合同不可分割部分：</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1.招标文件及其附件；</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2.乙方的投标文件；</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3.合同条款；</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4.乙方在招投标过程中所作的其它承诺、声明、书面澄清等；</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5.中标通知书；</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6.本合同附件。</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二、合同价款</w:t>
      </w:r>
      <w:r>
        <w:rPr>
          <w:rFonts w:hint="eastAsia" w:ascii="宋体" w:hAnsi="宋体"/>
          <w:szCs w:val="21"/>
        </w:rPr>
      </w:r>
      <w:r/>
    </w:p>
    <w:p>
      <w:pPr>
        <w:pStyle w:val="757"/>
        <w:jc w:val="left"/>
        <w:spacing w:line="360" w:lineRule="auto"/>
        <w:rPr>
          <w:rFonts w:hint="eastAsia" w:ascii="宋体" w:hAnsi="宋体"/>
          <w:szCs w:val="21"/>
        </w:rPr>
      </w:pPr>
      <w:r>
        <w:rPr>
          <w:rFonts w:hint="eastAsia" w:ascii="宋体" w:hAnsi="宋体"/>
          <w:szCs w:val="21"/>
        </w:rPr>
        <w:t xml:space="preserve">1.本合同总价为：大写</w:t>
      </w:r>
      <w:r>
        <w:rPr>
          <w:rFonts w:hint="eastAsia" w:ascii="宋体" w:hAnsi="宋体"/>
          <w:b/>
          <w:bCs/>
          <w:szCs w:val="21"/>
          <w:u w:val="single"/>
        </w:rPr>
        <w:t xml:space="preserve">人民币</w:t>
      </w:r>
      <w:r>
        <w:rPr>
          <w:rFonts w:hint="eastAsia" w:ascii="宋体" w:hAnsi="宋体"/>
          <w:b/>
          <w:bCs/>
          <w:szCs w:val="21"/>
          <w:u w:val="single"/>
        </w:rPr>
        <w:fldChar w:fldCharType="begin"/>
      </w:r>
      <w:r>
        <w:rPr>
          <w:rFonts w:hint="eastAsia" w:ascii="宋体" w:hAnsi="宋体"/>
          <w:b/>
          <w:bCs/>
          <w:szCs w:val="21"/>
          <w:u w:val="single"/>
        </w:rPr>
        <w:instrText xml:space="preserve"> = 676000 \* CHINESENUM4 \* MERGEFORMAT </w:instrText>
      </w:r>
      <w:r>
        <w:rPr>
          <w:rFonts w:ascii="宋体" w:hAnsi="宋体"/>
          <w:b/>
          <w:bCs/>
          <w:szCs w:val="21"/>
          <w:u w:val="single"/>
        </w:rPr>
        <w:fldChar w:fldCharType="separate"/>
      </w:r>
      <w:r>
        <w:rPr>
          <w:rFonts w:hint="eastAsia" w:ascii="宋体" w:hAnsi="宋体"/>
          <w:b/>
          <w:bCs/>
          <w:szCs w:val="21"/>
          <w:u w:val="single"/>
        </w:rPr>
        <w:t xml:space="preserve">          元整</w:t>
      </w:r>
      <w:r>
        <w:rPr>
          <w:rFonts w:hint="eastAsia" w:ascii="宋体" w:hAnsi="宋体"/>
          <w:b/>
          <w:bCs/>
          <w:szCs w:val="21"/>
          <w:u w:val="single"/>
        </w:rPr>
        <w:fldChar w:fldCharType="end"/>
      </w:r>
      <w:r>
        <w:rPr>
          <w:rFonts w:hint="eastAsia" w:ascii="宋体" w:hAnsi="宋体"/>
          <w:b/>
          <w:bCs/>
          <w:szCs w:val="21"/>
          <w:u w:val="single"/>
        </w:rPr>
        <w:t xml:space="preserve">（¥         元）；</w:t>
      </w:r>
      <w:r>
        <w:rPr>
          <w:rFonts w:hint="eastAsia" w:ascii="宋体" w:hAnsi="宋体" w:cs="宋体"/>
          <w:spacing w:val="1"/>
          <w:szCs w:val="21"/>
        </w:rPr>
        <w:t xml:space="preserve">适用税率：%。</w:t>
      </w:r>
      <w:r>
        <w:rPr>
          <w:rFonts w:hint="eastAsia" w:ascii="宋体" w:hAnsi="宋体"/>
          <w:szCs w:val="21"/>
        </w:rPr>
        <w:t xml:space="preserve">                               </w:t>
      </w:r>
      <w:r>
        <w:rPr>
          <w:rFonts w:hint="eastAsia" w:ascii="宋体" w:hAnsi="宋体"/>
          <w:szCs w:val="21"/>
        </w:rPr>
      </w:r>
      <w:r/>
    </w:p>
    <w:p>
      <w:pPr>
        <w:pStyle w:val="757"/>
        <w:jc w:val="left"/>
        <w:spacing w:line="360" w:lineRule="auto"/>
        <w:rPr>
          <w:rFonts w:hint="eastAsia" w:ascii="宋体" w:hAnsi="宋体"/>
          <w:color w:val="000000"/>
          <w:szCs w:val="21"/>
        </w:rPr>
      </w:pPr>
      <w:r>
        <w:rPr>
          <w:rFonts w:hint="eastAsia" w:ascii="宋体" w:hAnsi="宋体"/>
          <w:szCs w:val="21"/>
        </w:rPr>
        <w:t xml:space="preserve">   </w:t>
      </w:r>
      <w:r>
        <w:rPr>
          <w:rFonts w:hint="eastAsia" w:ascii="宋体" w:hAnsi="宋体"/>
          <w:color w:val="000000"/>
          <w:szCs w:val="21"/>
        </w:rPr>
        <w:t xml:space="preserve"> 报价包括完成该项目所需的污水站设备、配件、人工及所有备件；运维工作包括污水站设备日常巡检、定期保养、日常运行所需的耗材、消毒药剂、检测试剂、在线监测平台的使用及零备件更换、医院排污许可证及卫监部门要求的检测服务、软件升级及管理服务，各种税费及政策性文件规定及合同包含的所有风险、责任等各项应有费用。</w:t>
      </w:r>
      <w:r>
        <w:rPr>
          <w:rFonts w:hint="eastAsia" w:ascii="宋体" w:hAnsi="宋体"/>
          <w:color w:val="000000"/>
          <w:szCs w:val="21"/>
        </w:rPr>
      </w:r>
      <w:r/>
    </w:p>
    <w:p>
      <w:pPr>
        <w:pStyle w:val="757"/>
        <w:spacing w:line="520" w:lineRule="exact"/>
        <w:rPr>
          <w:rFonts w:hint="eastAsia" w:ascii="宋体" w:hAnsi="宋体"/>
          <w:color w:val="000000"/>
          <w:szCs w:val="21"/>
        </w:rPr>
      </w:pPr>
      <w:r>
        <w:rPr>
          <w:rFonts w:hint="eastAsia" w:ascii="宋体" w:hAnsi="宋体"/>
          <w:color w:val="000000"/>
          <w:szCs w:val="21"/>
        </w:rPr>
        <w:t xml:space="preserve">2.付款方式：乙方设备进场、完成安装调试、正常运行且收到乙方开具的发票后60天内，支付合同总金额的60%；租赁第二年度年底、乙方按照约定提供服务、收到乙方开具的发票后60天内支付合同总金额的10%；租赁第三年度年底、乙方按照约定提供服务、收到乙方开具的发票后60天内支付合同总金额的10%；余款待审计结果出具后三年内付清（每个付款节点的实际支付金额均需结合考核结果）。预留保证金为3%，在租赁期满且设备验收移交完成后一年内返还，本合同中所有应付款项，均不计任何利息。</w:t>
      </w:r>
      <w:r>
        <w:rPr>
          <w:rFonts w:hint="eastAsia" w:ascii="宋体" w:hAnsi="宋体"/>
          <w:color w:val="000000"/>
          <w:szCs w:val="21"/>
        </w:rPr>
      </w:r>
      <w:r/>
    </w:p>
    <w:p>
      <w:pPr>
        <w:pStyle w:val="757"/>
        <w:spacing w:line="520" w:lineRule="exact"/>
        <w:rPr>
          <w:rFonts w:hint="eastAsia" w:ascii="宋体" w:hAnsi="宋体"/>
          <w:szCs w:val="21"/>
        </w:rPr>
      </w:pPr>
      <w:r>
        <w:rPr>
          <w:rFonts w:hint="eastAsia" w:ascii="宋体" w:hAnsi="宋体"/>
          <w:szCs w:val="21"/>
        </w:rPr>
        <w:t xml:space="preserve">3.付款步骤：                  </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乙方应在甲方付款前3</w:t>
      </w:r>
      <w:r>
        <w:rPr>
          <w:rFonts w:ascii="宋体" w:hAnsi="宋体"/>
          <w:szCs w:val="21"/>
        </w:rPr>
        <w:t xml:space="preserve">0</w:t>
      </w:r>
      <w:r>
        <w:rPr>
          <w:rFonts w:hint="eastAsia" w:ascii="宋体" w:hAnsi="宋体"/>
          <w:szCs w:val="21"/>
        </w:rPr>
        <w:t xml:space="preserve">天向甲方提供以下材料：</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A、合格发票。</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B、《政府采购合同履行验收报告》。</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4.支付方式：银行转账等。</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三、收款账户</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1.乙方</w:t>
      </w:r>
      <w:r>
        <w:rPr>
          <w:rFonts w:ascii="宋体" w:hAnsi="宋体"/>
          <w:szCs w:val="21"/>
        </w:rPr>
        <w:t xml:space="preserve">确认</w:t>
      </w:r>
      <w:r>
        <w:rPr>
          <w:rFonts w:hint="eastAsia" w:ascii="宋体" w:hAnsi="宋体"/>
          <w:szCs w:val="21"/>
        </w:rPr>
        <w:t xml:space="preserve">甲方向乙方如下银行账户转账支付款项:</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乙方开户名称：            </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开户银行：                </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银行账号：                </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四、合同履行期限、地点</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1.合同履行期限：</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A、设备安装：</w:t>
      </w:r>
      <w:r>
        <w:rPr>
          <w:rFonts w:hint="eastAsia" w:ascii="宋体" w:hAnsi="宋体" w:cs="宋体"/>
          <w:b/>
          <w:bCs/>
          <w:color w:val="000000"/>
          <w:szCs w:val="21"/>
        </w:rPr>
        <w:t xml:space="preserve">接到甲方书面通知之日起</w:t>
      </w:r>
      <w:r>
        <w:rPr>
          <w:rFonts w:hint="eastAsia" w:ascii="宋体" w:hAnsi="宋体" w:cs="宋体"/>
          <w:b/>
          <w:bCs/>
          <w:color w:val="000000"/>
          <w:szCs w:val="21"/>
          <w:u w:val="single"/>
        </w:rPr>
        <w:t xml:space="preserve">90</w:t>
      </w:r>
      <w:r>
        <w:rPr>
          <w:rFonts w:hint="eastAsia" w:ascii="宋体" w:hAnsi="宋体" w:cs="宋体"/>
          <w:b/>
          <w:bCs/>
          <w:color w:val="000000"/>
          <w:szCs w:val="21"/>
        </w:rPr>
        <w:t xml:space="preserve">日历天完成安装调试并</w:t>
      </w:r>
      <w:r>
        <w:rPr>
          <w:rFonts w:ascii="宋体" w:hAnsi="宋体" w:cs="宋体"/>
          <w:b/>
          <w:bCs/>
          <w:color w:val="000000"/>
          <w:szCs w:val="21"/>
        </w:rPr>
        <w:t xml:space="preserve">通过</w:t>
      </w:r>
      <w:r>
        <w:rPr>
          <w:rFonts w:hint="eastAsia" w:ascii="宋体" w:hAnsi="宋体" w:cs="宋体"/>
          <w:b/>
          <w:bCs/>
          <w:color w:val="000000"/>
          <w:szCs w:val="21"/>
        </w:rPr>
        <w:t xml:space="preserve">验收。</w:t>
      </w:r>
      <w:r>
        <w:rPr>
          <w:rFonts w:hint="eastAsia" w:ascii="宋体" w:hAnsi="宋体"/>
          <w:szCs w:val="21"/>
        </w:rPr>
      </w:r>
      <w:r/>
    </w:p>
    <w:p>
      <w:pPr>
        <w:pStyle w:val="757"/>
        <w:spacing w:line="520" w:lineRule="exact"/>
        <w:rPr>
          <w:rFonts w:hint="eastAsia" w:ascii="宋体" w:hAnsi="宋体"/>
          <w:b/>
          <w:szCs w:val="21"/>
        </w:rPr>
      </w:pPr>
      <w:r>
        <w:rPr>
          <w:rFonts w:hint="eastAsia" w:ascii="宋体" w:hAnsi="宋体"/>
          <w:szCs w:val="21"/>
        </w:rPr>
        <w:t xml:space="preserve">B、运维期：</w:t>
      </w:r>
      <w:r>
        <w:rPr>
          <w:rFonts w:hint="eastAsia" w:ascii="宋体" w:hAnsi="宋体" w:cs="宋体"/>
          <w:b/>
          <w:bCs/>
          <w:color w:val="000000"/>
          <w:szCs w:val="21"/>
        </w:rPr>
        <w:t xml:space="preserve">租赁设备安装到位、通过</w:t>
      </w:r>
      <w:r>
        <w:rPr>
          <w:rFonts w:ascii="宋体" w:hAnsi="宋体" w:cs="宋体"/>
          <w:b/>
          <w:bCs/>
          <w:color w:val="000000"/>
          <w:szCs w:val="21"/>
        </w:rPr>
        <w:t xml:space="preserve">验收</w:t>
      </w:r>
      <w:r>
        <w:rPr>
          <w:rFonts w:hint="eastAsia" w:ascii="宋体" w:hAnsi="宋体" w:cs="宋体"/>
          <w:b/>
          <w:bCs/>
          <w:color w:val="000000"/>
          <w:szCs w:val="21"/>
        </w:rPr>
        <w:t xml:space="preserve">、医院正式运营后</w:t>
      </w:r>
      <w:r>
        <w:rPr>
          <w:rFonts w:hint="eastAsia" w:ascii="宋体" w:hAnsi="宋体" w:cs="宋体"/>
          <w:b/>
          <w:bCs/>
          <w:color w:val="000000"/>
          <w:szCs w:val="21"/>
          <w:u w:val="single"/>
        </w:rPr>
        <w:t xml:space="preserve">3</w:t>
      </w:r>
      <w:r>
        <w:rPr>
          <w:rFonts w:hint="eastAsia" w:ascii="宋体" w:hAnsi="宋体" w:cs="宋体"/>
          <w:b/>
          <w:bCs/>
          <w:color w:val="000000"/>
          <w:szCs w:val="21"/>
        </w:rPr>
        <w:t xml:space="preserve">年。</w:t>
      </w:r>
      <w:r>
        <w:rPr>
          <w:rFonts w:hint="eastAsia" w:ascii="宋体" w:hAnsi="宋体"/>
          <w:b/>
          <w:szCs w:val="21"/>
        </w:rPr>
        <w:t xml:space="preserve">自   年   月    日起至    年   月   日止。</w:t>
      </w:r>
      <w:r>
        <w:rPr>
          <w:rFonts w:hint="eastAsia" w:ascii="宋体" w:hAnsi="宋体"/>
          <w:b/>
          <w:szCs w:val="21"/>
        </w:rPr>
      </w:r>
      <w:r/>
    </w:p>
    <w:p>
      <w:pPr>
        <w:pStyle w:val="757"/>
        <w:spacing w:line="520" w:lineRule="exact"/>
        <w:rPr>
          <w:rFonts w:hint="eastAsia" w:ascii="宋体" w:hAnsi="宋体"/>
          <w:szCs w:val="21"/>
        </w:rPr>
      </w:pPr>
      <w:r>
        <w:rPr>
          <w:rFonts w:hint="eastAsia" w:ascii="宋体" w:hAnsi="宋体"/>
          <w:szCs w:val="21"/>
        </w:rPr>
        <w:t xml:space="preserve">2.服务地点：甲方指定地点。</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五、标的物的一般条款</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1.完整物权</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    乙方应能保证所提供相关服务及备品的知识产权和所提供技术资料是合法取得，并享有完整的知识产权，不会因为甲方的使用而被责令停止使用、追偿或要求赔偿损失，如出现此情况，一切经济和法律责任均由乙方承担，由此给</w:t>
      </w:r>
      <w:r>
        <w:rPr>
          <w:rFonts w:ascii="宋体" w:hAnsi="宋体"/>
          <w:szCs w:val="21"/>
        </w:rPr>
        <w:t xml:space="preserve">甲方</w:t>
      </w:r>
      <w:r>
        <w:rPr>
          <w:rFonts w:hint="eastAsia" w:ascii="宋体" w:hAnsi="宋体"/>
          <w:szCs w:val="21"/>
        </w:rPr>
        <w:t xml:space="preserve">造成的</w:t>
      </w:r>
      <w:r>
        <w:rPr>
          <w:rFonts w:ascii="宋体" w:hAnsi="宋体"/>
          <w:szCs w:val="21"/>
        </w:rPr>
        <w:t xml:space="preserve">全部损失</w:t>
      </w:r>
      <w:r>
        <w:rPr>
          <w:rFonts w:hint="eastAsia" w:ascii="宋体" w:hAnsi="宋体"/>
          <w:szCs w:val="21"/>
        </w:rPr>
        <w:t xml:space="preserve">（包括</w:t>
      </w:r>
      <w:r>
        <w:rPr>
          <w:rFonts w:ascii="宋体" w:hAnsi="宋体"/>
          <w:szCs w:val="21"/>
        </w:rPr>
        <w:t xml:space="preserve">但不限于</w:t>
      </w:r>
      <w:r>
        <w:rPr>
          <w:rFonts w:hint="eastAsia" w:ascii="宋体" w:hAnsi="宋体"/>
          <w:szCs w:val="21"/>
        </w:rPr>
        <w:t xml:space="preserve">赔偿款</w:t>
      </w:r>
      <w:r>
        <w:rPr>
          <w:rFonts w:ascii="宋体" w:hAnsi="宋体"/>
          <w:szCs w:val="21"/>
        </w:rPr>
        <w:t xml:space="preserve">、</w:t>
      </w:r>
      <w:r>
        <w:rPr>
          <w:rFonts w:hint="eastAsia" w:ascii="宋体" w:hAnsi="宋体"/>
          <w:szCs w:val="21"/>
        </w:rPr>
        <w:t xml:space="preserve">诉讼费</w:t>
      </w:r>
      <w:r>
        <w:rPr>
          <w:rFonts w:ascii="宋体" w:hAnsi="宋体"/>
          <w:szCs w:val="21"/>
        </w:rPr>
        <w:t xml:space="preserve">、</w:t>
      </w:r>
      <w:r>
        <w:rPr>
          <w:rFonts w:hint="eastAsia" w:ascii="宋体" w:hAnsi="宋体"/>
          <w:szCs w:val="21"/>
        </w:rPr>
        <w:t xml:space="preserve">保全费、财产</w:t>
      </w:r>
      <w:r>
        <w:rPr>
          <w:rFonts w:ascii="宋体" w:hAnsi="宋体"/>
          <w:szCs w:val="21"/>
        </w:rPr>
        <w:t xml:space="preserve">保全</w:t>
      </w:r>
      <w:r>
        <w:rPr>
          <w:rFonts w:hint="eastAsia" w:ascii="宋体" w:hAnsi="宋体"/>
          <w:szCs w:val="21"/>
        </w:rPr>
        <w:t xml:space="preserve">担保费、</w:t>
      </w:r>
      <w:r>
        <w:rPr>
          <w:rFonts w:ascii="宋体" w:hAnsi="宋体"/>
          <w:szCs w:val="21"/>
        </w:rPr>
        <w:t xml:space="preserve">律师费等）</w:t>
      </w:r>
      <w:r>
        <w:rPr>
          <w:rFonts w:hint="eastAsia" w:ascii="宋体" w:hAnsi="宋体"/>
          <w:szCs w:val="21"/>
        </w:rPr>
        <w:t xml:space="preserve">也由乙方</w:t>
      </w:r>
      <w:r>
        <w:rPr>
          <w:rFonts w:ascii="宋体" w:hAnsi="宋体"/>
          <w:szCs w:val="21"/>
        </w:rPr>
        <w:t xml:space="preserve">承担</w:t>
      </w:r>
      <w:r>
        <w:rPr>
          <w:rFonts w:hint="eastAsia" w:ascii="宋体" w:hAnsi="宋体"/>
          <w:szCs w:val="21"/>
        </w:rPr>
        <w:t xml:space="preserve">。</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2.对服务提出异议的时间和办法</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2.1甲方在验收过程中，应当于双方约定的检验期间内将服务不符合约定的情形及处理方式以书面形式通知乙方。</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2.2 乙方应在收到甲方书面异议后七天内负责处理问题，否则将视为默认甲方提出的异议和处理意见。</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3.伴随服务</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3.1乙方除应履行按期按量交付合格标的物的义务之外，还应提供下列服务。</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3.1.1标的物的现场安装、启动、调试、运行。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3.1.2对甲方技术人员的技术指导或培训。</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3.2除合同另有规定之外，伴随服务的费用均已含在合同价款中，甲方不再另行支付。</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六、维保服务要求：</w:t>
      </w:r>
      <w:r>
        <w:rPr>
          <w:rFonts w:hint="eastAsia" w:ascii="宋体" w:hAnsi="宋体"/>
          <w:szCs w:val="21"/>
        </w:rPr>
      </w:r>
      <w:r/>
    </w:p>
    <w:p>
      <w:pPr>
        <w:pStyle w:val="757"/>
        <w:spacing w:line="520" w:lineRule="exact"/>
        <w:rPr>
          <w:rFonts w:hint="eastAsia" w:ascii="宋体" w:hAnsi="宋体"/>
          <w:color w:val="ff0000"/>
          <w:szCs w:val="21"/>
        </w:rPr>
      </w:pPr>
      <w:r>
        <w:rPr>
          <w:rFonts w:hint="eastAsia" w:ascii="宋体" w:hAnsi="宋体"/>
          <w:color w:val="000000"/>
          <w:szCs w:val="21"/>
        </w:rPr>
        <w:t xml:space="preserve">（一）维保要求：</w:t>
      </w:r>
      <w:r>
        <w:rPr>
          <w:rFonts w:hint="eastAsia" w:ascii="宋体" w:hAnsi="宋体"/>
          <w:color w:val="ff0000"/>
          <w:szCs w:val="21"/>
        </w:rPr>
      </w:r>
      <w:r/>
    </w:p>
    <w:p>
      <w:pPr>
        <w:pStyle w:val="757"/>
        <w:spacing w:line="520" w:lineRule="exact"/>
        <w:rPr>
          <w:rFonts w:hint="eastAsia" w:ascii="宋体" w:hAnsi="宋体"/>
          <w:szCs w:val="21"/>
        </w:rPr>
      </w:pPr>
      <w:r>
        <w:rPr>
          <w:rFonts w:hint="eastAsia" w:ascii="宋体" w:hAnsi="宋体"/>
          <w:szCs w:val="21"/>
        </w:rPr>
        <w:t xml:space="preserve">1.污水站设备日常巡检、定期保养、日常运行所需的耗材、消毒药剂、检测试剂、在线监测平台的使用及零备件更换、医院排污许可证及卫监部门要求的检测服务、软件升级及管理服务，确保医院污水合格排放，并做好相关运维台帐。</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2.乙方安排专业维保人员负责医院污水处理站设备运维工作。为保证服务及时性，中标单位至少有4名以上苏州地区服务人员，并具备相关技能证书。</w:t>
      </w:r>
      <w:r>
        <w:rPr>
          <w:rFonts w:hint="eastAsia" w:ascii="宋体" w:hAnsi="宋体"/>
          <w:szCs w:val="21"/>
        </w:rPr>
      </w:r>
      <w:r/>
    </w:p>
    <w:p>
      <w:pPr>
        <w:pStyle w:val="757"/>
        <w:spacing w:line="520" w:lineRule="exact"/>
        <w:rPr>
          <w:rFonts w:ascii="宋体" w:hAnsi="宋体"/>
          <w:szCs w:val="21"/>
        </w:rPr>
      </w:pPr>
      <w:r>
        <w:rPr>
          <w:rFonts w:hint="eastAsia" w:ascii="宋体" w:hAnsi="宋体"/>
          <w:szCs w:val="21"/>
        </w:rPr>
        <w:t xml:space="preserve">3.维护人员的工时费、差旅费等全部支出和费用均已包含在合同价款内，甲方无需另行支付。</w:t>
      </w:r>
      <w:r>
        <w:rPr>
          <w:rFonts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4.</w:t>
      </w:r>
      <w:r>
        <w:rPr>
          <w:rFonts w:hint="eastAsia"/>
        </w:rPr>
        <w:t xml:space="preserve"> </w:t>
      </w:r>
      <w:r>
        <w:rPr>
          <w:rFonts w:hint="eastAsia" w:ascii="宋体" w:hAnsi="宋体"/>
          <w:szCs w:val="21"/>
        </w:rPr>
        <w:t xml:space="preserve">乙方须在收到甲方维保通知后3小时内派人至现场进行处理，并在12小时内完成维保，否则，每逾期1小时，乙方须向甲方支付违约金500元，逾期超过24小时的，甲方有权委托第三方进行处理，由此产生的费用全部由乙方承担。</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（二）服务范围：</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1、污水处理站设施操作及管理工作。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2、污水处理设备日常加药工作。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3、污水处理站的设备日常保养及维护工作。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4、污水处理设备维修及产生的一切费用。</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5、监测平台管理、软件维护升级及监测工作。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6、相关部门要求的检测工作。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7、提供污水站运行过程中需要的耗材、备品备件、消毒药剂、检测试剂。</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（三）其他要求：</w:t>
      </w:r>
      <w:r>
        <w:rPr>
          <w:rFonts w:hint="eastAsia" w:ascii="宋体" w:hAnsi="宋体"/>
          <w:szCs w:val="21"/>
        </w:rPr>
      </w:r>
      <w:r/>
    </w:p>
    <w:p>
      <w:pPr>
        <w:pStyle w:val="757"/>
        <w:spacing w:line="520" w:lineRule="exact"/>
        <w:rPr>
          <w:rFonts w:ascii="宋体" w:hAnsi="宋体"/>
          <w:szCs w:val="21"/>
        </w:rPr>
      </w:pPr>
      <w:r>
        <w:rPr>
          <w:rFonts w:hint="eastAsia" w:ascii="宋体" w:hAnsi="宋体"/>
          <w:szCs w:val="21"/>
        </w:rPr>
        <w:t xml:space="preserve">1、乙方负责员工的安全教育培训工作，所有人员在甲方场所作业必须按照有关规定进行安全培训后方可上岗。</w:t>
      </w:r>
      <w:r>
        <w:rPr>
          <w:rFonts w:ascii="宋体" w:hAnsi="宋体"/>
          <w:szCs w:val="21"/>
        </w:rPr>
      </w:r>
      <w:r/>
    </w:p>
    <w:p>
      <w:pPr>
        <w:pStyle w:val="757"/>
        <w:spacing w:line="520" w:lineRule="exact"/>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Tahoma"/>
          <w:szCs w:val="21"/>
        </w:rPr>
        <w:t xml:space="preserve"> </w:t>
      </w:r>
      <w:r>
        <w:rPr>
          <w:rFonts w:hint="eastAsia" w:ascii="宋体" w:hAnsi="宋体"/>
          <w:szCs w:val="21"/>
        </w:rPr>
        <w:t xml:space="preserve">乙方应当服从甲方的安全生产管理，乙方不服从管理导致生产安全事故的，由乙方单位承担全部事故责任。</w:t>
      </w:r>
      <w:r>
        <w:rPr>
          <w:rFonts w:ascii="宋体" w:hAnsi="宋体"/>
          <w:szCs w:val="21"/>
        </w:rPr>
      </w:r>
      <w:r/>
    </w:p>
    <w:p>
      <w:pPr>
        <w:pStyle w:val="757"/>
        <w:spacing w:line="520" w:lineRule="exact"/>
        <w:rPr>
          <w:rFonts w:ascii="宋体" w:hAnsi="宋体"/>
          <w:szCs w:val="21"/>
        </w:rPr>
      </w:pPr>
      <w:r>
        <w:rPr>
          <w:rFonts w:ascii="宋体" w:hAnsi="宋体"/>
          <w:szCs w:val="21"/>
        </w:rPr>
        <w:t xml:space="preserve">3</w:t>
      </w:r>
      <w:r>
        <w:rPr>
          <w:rFonts w:hint="eastAsia" w:ascii="宋体" w:hAnsi="宋体"/>
          <w:szCs w:val="21"/>
        </w:rPr>
        <w:t xml:space="preserve">、乙方应对承担的维保项目进行定期和专项安全检查，对查出的安全隐患应立即整改闭环，并做好安全检查回复记录。</w:t>
      </w:r>
      <w:r>
        <w:rPr>
          <w:rFonts w:ascii="宋体" w:hAnsi="宋体"/>
          <w:szCs w:val="21"/>
        </w:rPr>
      </w:r>
      <w:r/>
    </w:p>
    <w:p>
      <w:pPr>
        <w:pStyle w:val="757"/>
        <w:spacing w:line="520" w:lineRule="exact"/>
        <w:rPr>
          <w:rFonts w:ascii="宋体" w:hAnsi="宋体"/>
          <w:szCs w:val="21"/>
        </w:rPr>
      </w:pPr>
      <w:r>
        <w:rPr>
          <w:rFonts w:hint="eastAsia" w:ascii="宋体" w:hAnsi="宋体"/>
          <w:szCs w:val="21"/>
        </w:rPr>
        <w:t xml:space="preserve">七、违约责任</w:t>
      </w:r>
      <w:r>
        <w:rPr>
          <w:rFonts w:ascii="宋体" w:hAnsi="宋体"/>
          <w:szCs w:val="21"/>
        </w:rPr>
      </w:r>
      <w:r/>
    </w:p>
    <w:p>
      <w:pPr>
        <w:pStyle w:val="757"/>
        <w:spacing w:line="520" w:lineRule="exact"/>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rPr>
          <w:rFonts w:ascii="宋体" w:hAnsi="宋体"/>
          <w:szCs w:val="21"/>
        </w:rPr>
      </w:r>
      <w:r/>
    </w:p>
    <w:p>
      <w:pPr>
        <w:pStyle w:val="757"/>
        <w:spacing w:line="520" w:lineRule="exact"/>
        <w:rPr>
          <w:rFonts w:ascii="宋体" w:hAnsi="宋体"/>
          <w:szCs w:val="21"/>
        </w:rPr>
      </w:pPr>
      <w:r>
        <w:rPr>
          <w:rFonts w:ascii="宋体" w:hAnsi="宋体"/>
          <w:szCs w:val="21"/>
        </w:rPr>
        <w:t xml:space="preserve">1.</w:t>
      </w:r>
      <w:r>
        <w:rPr>
          <w:rFonts w:hint="eastAsia" w:ascii="宋体" w:hAnsi="宋体"/>
          <w:szCs w:val="21"/>
        </w:rPr>
        <w:t xml:space="preserve">甲方违约责任</w:t>
      </w:r>
      <w:r>
        <w:rPr>
          <w:rFonts w:ascii="宋体" w:hAnsi="宋体"/>
          <w:szCs w:val="21"/>
        </w:rPr>
      </w:r>
      <w:r/>
    </w:p>
    <w:p>
      <w:pPr>
        <w:pStyle w:val="757"/>
        <w:spacing w:line="520" w:lineRule="exact"/>
        <w:rPr>
          <w:rFonts w:ascii="宋体" w:hAnsi="宋体"/>
          <w:szCs w:val="21"/>
        </w:rPr>
      </w:pPr>
      <w:r>
        <w:rPr>
          <w:rFonts w:ascii="宋体" w:hAnsi="宋体"/>
          <w:szCs w:val="21"/>
        </w:rPr>
        <w:t xml:space="preserve">1.1</w:t>
      </w:r>
      <w:r>
        <w:rPr>
          <w:rFonts w:hint="eastAsia" w:ascii="宋体" w:hAnsi="宋体"/>
          <w:szCs w:val="21"/>
        </w:rPr>
        <w:t xml:space="preserve">甲方逾期付款的应按照逾期付款金额的每天万分之一支付逾期付款违约金。</w:t>
      </w:r>
      <w:r>
        <w:rPr>
          <w:rFonts w:ascii="宋体" w:hAnsi="宋体"/>
          <w:szCs w:val="21"/>
        </w:rPr>
      </w:r>
      <w:r/>
    </w:p>
    <w:p>
      <w:pPr>
        <w:pStyle w:val="757"/>
        <w:spacing w:line="520" w:lineRule="exact"/>
        <w:rPr>
          <w:rFonts w:hint="eastAsia" w:ascii="宋体" w:hAnsi="宋体"/>
          <w:szCs w:val="21"/>
        </w:rPr>
      </w:pPr>
      <w:r>
        <w:rPr>
          <w:rFonts w:ascii="宋体" w:hAnsi="宋体"/>
          <w:szCs w:val="21"/>
        </w:rPr>
        <w:t xml:space="preserve">1.2</w:t>
      </w:r>
      <w:r>
        <w:rPr>
          <w:rFonts w:hint="eastAsia" w:ascii="宋体" w:hAnsi="宋体"/>
          <w:szCs w:val="21"/>
        </w:rPr>
        <w:t xml:space="preserve">甲方违反合同规定，拒绝接收乙方交付的合格标的物，应当承担乙方由此造成的损失。</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2.乙方违约责任</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2.1乙方不能提供服务（逾期超过十五天视为不能提供服务），或提供服务不合格从而影响甲方按期正常使用的，或者转让合同的，甲方有权解除合同，乙方向甲方偿付合同总价</w:t>
      </w:r>
      <w:r>
        <w:rPr>
          <w:rFonts w:ascii="宋体" w:hAnsi="宋体"/>
          <w:szCs w:val="21"/>
        </w:rPr>
        <w:t xml:space="preserve">20</w:t>
      </w:r>
      <w:r>
        <w:rPr>
          <w:rFonts w:hint="eastAsia" w:ascii="宋体" w:hAnsi="宋体"/>
          <w:szCs w:val="21"/>
        </w:rPr>
        <w:t xml:space="preserve">%的违约金，违约金不足以补偿损失的甲方有权要求乙方补足。</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2.2 乙方逾期提供服务的，每逾期一天，乙方须</w:t>
      </w:r>
      <w:r>
        <w:rPr>
          <w:rFonts w:ascii="宋体" w:hAnsi="宋体"/>
          <w:szCs w:val="21"/>
        </w:rPr>
        <w:t xml:space="preserve">向</w:t>
      </w:r>
      <w:r>
        <w:rPr>
          <w:rFonts w:hint="eastAsia" w:ascii="宋体" w:hAnsi="宋体"/>
          <w:szCs w:val="21"/>
        </w:rPr>
        <w:t xml:space="preserve">甲方</w:t>
      </w:r>
      <w:r>
        <w:rPr>
          <w:rFonts w:ascii="宋体" w:hAnsi="宋体"/>
          <w:szCs w:val="21"/>
        </w:rPr>
        <w:t xml:space="preserve">支付</w:t>
      </w:r>
      <w:r>
        <w:rPr>
          <w:rFonts w:hint="eastAsia" w:ascii="宋体" w:hAnsi="宋体"/>
          <w:szCs w:val="21"/>
        </w:rPr>
        <w:t xml:space="preserve">合同1</w:t>
      </w:r>
      <w:r>
        <w:rPr>
          <w:rFonts w:ascii="宋体" w:hAnsi="宋体"/>
          <w:szCs w:val="21"/>
        </w:rPr>
        <w:t xml:space="preserve">%</w:t>
      </w:r>
      <w:r>
        <w:rPr>
          <w:rFonts w:hint="eastAsia" w:ascii="宋体" w:hAnsi="宋体"/>
          <w:szCs w:val="21"/>
        </w:rPr>
        <w:t xml:space="preserve">的违约金，同时承担甲方因此遭致的损失。</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八.不可抗力</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1.因不可抗力不能履行合同的，根据不可抗力的影响，部分或者全部免除责任。但合同一方迟延履行后发生不可抗力的，不能免除责任。</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九、合同的解除和转让</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1.合同的解除</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1.1甲方和乙方协商一致，可以解除合同。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1.2有下列情形之一，合同一方可以解除合同：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1.2.1因不可抗力致使不能实现合同目的，未受不可抗力影响的一方有权解除合同。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1.2.2因合同一方违约导致合同不能履行，另一方有权解除合同。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1.2.3有权解除合同的一方，应当在违约事实或不可抗力发生之后三十天内书面通知对方以主张解除合同，合同在书面通知到达对方时解除。</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2.合同的转让</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2.1合同的部分和全部都不得转让。</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十、合同的生效</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合同经甲乙双方代表签字并加盖公章可生效。合同须经政府采购管理部门备案。</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十一、争议解决</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甲乙双方因合同发生争议，应在招标方的主持下进行调解，协商不成，任何一方可以向甲方所在地人民法院起诉。</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十二、附则</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1.合同份数：本合同一式捌份，甲方执伍份，乙方执贰份，采购代理机构执壹份。</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2.本合同文件使用中文书写、解释和说明。</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3.本合同履行过程中产生的纪要、协议以及中标通知书、招标文件和投标文件为本合同的附件，与合同具有同等效力。</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4.未尽事宜</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本合同未尽事宜应按《中华人民共和国政府采购法》、《中华人民共和国民法典》及其它有关政府采购的法律法规的规定执行。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r>
      <w:r/>
    </w:p>
    <w:p>
      <w:pPr>
        <w:pStyle w:val="757"/>
        <w:spacing w:line="520" w:lineRule="exact"/>
        <w:rPr>
          <w:rFonts w:ascii="宋体" w:hAnsi="宋体"/>
          <w:szCs w:val="21"/>
        </w:rPr>
      </w:pPr>
      <w:r>
        <w:rPr>
          <w:rFonts w:hint="eastAsia" w:ascii="宋体" w:hAnsi="宋体"/>
          <w:szCs w:val="21"/>
        </w:rPr>
        <w:t xml:space="preserve">甲方：                               乙方：</w:t>
      </w:r>
      <w:r>
        <w:rPr>
          <w:rFonts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法定代表人（授权代表）：             法定代表人（授权代表）：</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 xml:space="preserve">签约日期：                            签约日期：</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开户行：</w:t>
      </w:r>
      <w:r>
        <w:rPr>
          <w:rFonts w:hint="eastAsia" w:ascii="宋体" w:hAnsi="宋体"/>
          <w:szCs w:val="21"/>
        </w:rPr>
      </w:r>
      <w:r/>
    </w:p>
    <w:p>
      <w:pPr>
        <w:pStyle w:val="757"/>
        <w:spacing w:line="520" w:lineRule="exact"/>
        <w:rPr>
          <w:rFonts w:hint="eastAsia"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帐户：</w:t>
      </w:r>
      <w:r>
        <w:rPr>
          <w:rFonts w:hint="eastAsia" w:ascii="宋体" w:hAnsi="宋体"/>
          <w:szCs w:val="21"/>
        </w:rPr>
      </w:r>
      <w:r/>
    </w:p>
    <w:p>
      <w:pPr>
        <w:pStyle w:val="757"/>
        <w:spacing w:line="520" w:lineRule="exact"/>
        <w:rPr>
          <w:rFonts w:hint="eastAsia" w:ascii="宋体" w:hAnsi="宋体"/>
          <w:b/>
          <w:szCs w:val="21"/>
        </w:rPr>
      </w:pPr>
      <w:r>
        <w:rPr>
          <w:rFonts w:hint="eastAsia" w:ascii="宋体" w:hAnsi="宋体"/>
          <w:b/>
          <w:szCs w:val="21"/>
        </w:rPr>
        <w:t xml:space="preserve">附表1：清单</w:t>
      </w: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hint="eastAsia" w:ascii="宋体" w:hAnsi="宋体"/>
          <w:b/>
          <w:szCs w:val="21"/>
        </w:rPr>
      </w:pPr>
      <w:r>
        <w:rPr>
          <w:rFonts w:hint="eastAsia" w:ascii="宋体" w:hAnsi="宋体"/>
          <w:b/>
          <w:szCs w:val="21"/>
        </w:rPr>
      </w:r>
      <w:r/>
    </w:p>
    <w:p>
      <w:pPr>
        <w:pStyle w:val="757"/>
        <w:spacing w:line="520" w:lineRule="exact"/>
        <w:rPr>
          <w:rFonts w:ascii="宋体" w:hAnsi="宋体"/>
          <w:b/>
          <w:szCs w:val="21"/>
        </w:rPr>
      </w:pPr>
      <w:r>
        <w:rPr>
          <w:rFonts w:hint="eastAsia" w:ascii="宋体" w:hAnsi="宋体"/>
          <w:b/>
          <w:szCs w:val="21"/>
        </w:rPr>
        <w:t xml:space="preserve">附表2：考核</w:t>
      </w:r>
      <w:r>
        <w:rPr>
          <w:rFonts w:ascii="宋体" w:hAnsi="宋体"/>
          <w:b/>
          <w:szCs w:val="21"/>
        </w:rPr>
      </w:r>
      <w:r/>
    </w:p>
    <w:tbl>
      <w:tblPr>
        <w:tblW w:w="893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0"/>
        <w:gridCol w:w="5528"/>
        <w:gridCol w:w="850"/>
        <w:gridCol w:w="851"/>
        <w:gridCol w:w="992"/>
      </w:tblGrid>
      <w:tr>
        <w:trPr>
          <w:trHeight w:val="424"/>
        </w:trPr>
        <w:tc>
          <w:tcPr>
            <w:gridSpan w:val="5"/>
            <w:tcBorders>
              <w:top w:val="none" w:color="000000" w:sz="0" w:space="0"/>
              <w:left w:val="none" w:color="000000" w:sz="0" w:space="0"/>
              <w:bottom w:val="none" w:color="000000" w:sz="0" w:space="0"/>
              <w:right w:val="none" w:color="000000" w:sz="0" w:space="0"/>
            </w:tcBorders>
            <w:tcW w:w="8931" w:type="dxa"/>
            <w:vAlign w:val="bottom"/>
            <w:textDirection w:val="lrTb"/>
            <w:noWrap/>
          </w:tcPr>
          <w:p>
            <w:pPr>
              <w:pStyle w:val="757"/>
              <w:jc w:val="center"/>
              <w:widowControl/>
              <w:rPr>
                <w:rFonts w:hint="eastAsia" w:ascii="宋体" w:hAnsi="宋体" w:cs="宋体"/>
                <w:b/>
                <w:bCs/>
                <w:szCs w:val="21"/>
              </w:rPr>
            </w:pPr>
            <w:r/>
            <w:bookmarkEnd w:id="51"/>
            <w:r/>
            <w:bookmarkEnd w:id="52"/>
            <w:r/>
            <w:bookmarkStart w:id="53" w:name="_Toc304374140"/>
            <w:r/>
            <w:bookmarkStart w:id="54" w:name="_Toc194916144"/>
            <w:r>
              <w:rPr>
                <w:rFonts w:hint="eastAsia" w:ascii="宋体" w:hAnsi="宋体" w:cs="宋体"/>
                <w:b/>
                <w:bCs/>
                <w:szCs w:val="21"/>
              </w:rPr>
              <w:t xml:space="preserve">昆山市第六人民医院污水站运维考核表</w:t>
            </w:r>
            <w:r>
              <w:rPr>
                <w:rFonts w:hint="eastAsia" w:ascii="宋体" w:hAnsi="宋体" w:cs="宋体"/>
                <w:b/>
                <w:bCs/>
                <w:szCs w:val="21"/>
              </w:rPr>
            </w:r>
            <w:r/>
          </w:p>
        </w:tc>
      </w:tr>
      <w:tr>
        <w:trPr>
          <w:trHeight w:val="254"/>
        </w:trPr>
        <w:tc>
          <w:tcPr>
            <w:gridSpan w:val="5"/>
            <w:tcBorders>
              <w:top w:val="none" w:color="000000" w:sz="4" w:space="0"/>
              <w:left w:val="none" w:color="000000" w:sz="4" w:space="0"/>
              <w:bottom w:val="single" w:color="000000" w:sz="4" w:space="0"/>
              <w:right w:val="none" w:color="000000" w:sz="4" w:space="0"/>
            </w:tcBorders>
            <w:tcW w:w="8931" w:type="dxa"/>
            <w:vAlign w:val="bottom"/>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科室名称：             填表人：             填表时间：</w:t>
            </w:r>
            <w:r>
              <w:rPr>
                <w:rFonts w:hint="eastAsia" w:ascii="宋体" w:hAnsi="宋体" w:cs="宋体"/>
                <w:szCs w:val="21"/>
              </w:rPr>
            </w:r>
            <w:r/>
          </w:p>
        </w:tc>
      </w:tr>
      <w:tr>
        <w:trPr>
          <w:trHeight w:val="496"/>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center"/>
              <w:widowControl/>
              <w:rPr>
                <w:rFonts w:hint="eastAsia" w:ascii="宋体" w:hAnsi="宋体" w:cs="宋体"/>
                <w:szCs w:val="21"/>
              </w:rPr>
            </w:pPr>
            <w:r>
              <w:rPr>
                <w:rFonts w:hint="eastAsia" w:ascii="宋体" w:hAnsi="宋体" w:cs="宋体"/>
                <w:szCs w:val="21"/>
              </w:rPr>
              <w:t xml:space="preserve">检查标准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应得分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实得分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扣分原因</w:t>
            </w:r>
            <w:r>
              <w:rPr>
                <w:rFonts w:hint="eastAsia" w:ascii="宋体" w:hAnsi="宋体" w:cs="宋体"/>
                <w:szCs w:val="21"/>
              </w:rPr>
            </w:r>
            <w:r/>
          </w:p>
        </w:tc>
      </w:tr>
      <w:tr>
        <w:trPr>
          <w:trHeight w:val="56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严格遵守入院维修保养登记工作，来院服务的工作人员严格参照本院的相关工作人员安排的要求执行。严格执行生产安全和消防安全规范要求，并按标准严格执行。严格落实上报、审批、汇报、防护机制。</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7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来院服务单位资质证件、经营范围准入齐全且在有效期内，人员身体健康并具备相应保险，涉及到特种设备类施工操作必须持证上岗、规范穿戴工作服装、配备齐全设备，并且严格按照规范要求执行。</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2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来院服务施工过程中必须做好报备告知，做好现场安全监管，符合医院安全管理要求和规定，需要医院配合的要提前做好准备，有相应安全防护措施、安全提示标识、安全间距警戒、安全设备配备等一系列事宜。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46"/>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确保污水排放水质合格，废气排放合格。</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来院服务单位必须配合医院做好相关各类督查检查事宜，有具体要求的必须到达医院现场陪同。医院需要定期应急演练或专项培训等事宜的，必须及时达到现场。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维修维保方面必须做好日常巡检巡查的相关记录，并做好相应台账汇总记录，包括所有的日常维修维保、隐患整改、大件类工程维修项目等涉及到每一个事项。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74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上级部门安全生产督查出现隐患项目，必须无条件配合完成，给予整改意见和措施，出具相应的情况报告，按照规范要求落实实施。</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每月进行维保维修事宜的双签、签订、评定、审核、查验，确保质量保障和安全保障，若出现不符合管理要求，医院有权责令维保单位更换到达标要求。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6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left"/>
              <w:widowControl/>
              <w:rPr>
                <w:rFonts w:hint="eastAsia" w:ascii="宋体" w:hAnsi="宋体" w:cs="宋体"/>
                <w:szCs w:val="21"/>
              </w:rPr>
            </w:pPr>
            <w:r>
              <w:rPr>
                <w:rFonts w:hint="eastAsia" w:ascii="宋体" w:hAnsi="宋体" w:cs="宋体"/>
                <w:szCs w:val="21"/>
              </w:rPr>
              <w:t xml:space="preserve">应急响应机制、应急预案处置能力能够快速启动，出现应急故障、应急抢修、应急救援的，能够快速达到现场进行处理。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341"/>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757"/>
              <w:jc w:val="center"/>
              <w:widowControl/>
              <w:rPr>
                <w:rFonts w:hint="eastAsia" w:ascii="宋体" w:hAnsi="宋体" w:cs="宋体"/>
                <w:b/>
                <w:bCs/>
                <w:szCs w:val="21"/>
              </w:rPr>
            </w:pPr>
            <w:r>
              <w:rPr>
                <w:rFonts w:hint="eastAsia" w:ascii="宋体" w:hAnsi="宋体" w:cs="宋体"/>
                <w:b/>
                <w:bCs/>
                <w:szCs w:val="21"/>
              </w:rPr>
              <w:t xml:space="preserve">合计</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757"/>
              <w:jc w:val="center"/>
              <w:widowControl/>
              <w:rPr>
                <w:rFonts w:hint="eastAsia" w:ascii="宋体" w:hAnsi="宋体" w:cs="宋体"/>
                <w:b/>
                <w:bCs/>
                <w:szCs w:val="21"/>
              </w:rPr>
            </w:pPr>
            <w:r>
              <w:rPr>
                <w:rFonts w:hint="eastAsia" w:ascii="宋体" w:hAnsi="宋体" w:cs="宋体"/>
                <w:b/>
                <w:bCs/>
                <w:szCs w:val="21"/>
              </w:rPr>
              <w:t xml:space="preserve">100</w:t>
            </w:r>
            <w:r>
              <w:rPr>
                <w:rFonts w:hint="eastAsia"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7"/>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280"/>
        </w:trPr>
        <w:tc>
          <w:tcPr>
            <w:gridSpan w:val="5"/>
            <w:tcBorders>
              <w:top w:val="none" w:color="000000" w:sz="0" w:space="0"/>
              <w:left w:val="none" w:color="000000" w:sz="0" w:space="0"/>
              <w:bottom w:val="none" w:color="000000" w:sz="0" w:space="0"/>
              <w:right w:val="none" w:color="000000" w:sz="0" w:space="0"/>
            </w:tcBorders>
            <w:tcW w:w="8931" w:type="dxa"/>
            <w:vAlign w:val="center"/>
            <w:textDirection w:val="lrTb"/>
            <w:noWrap w:val="false"/>
          </w:tcPr>
          <w:p>
            <w:pPr>
              <w:pStyle w:val="757"/>
              <w:jc w:val="left"/>
              <w:widowControl/>
              <w:rPr>
                <w:rFonts w:hint="eastAsia" w:ascii="宋体" w:hAnsi="宋体" w:cs="宋体"/>
                <w:szCs w:val="21"/>
                <w:highlight w:val="yellow"/>
              </w:rPr>
            </w:pPr>
            <w:r>
              <w:rPr>
                <w:rFonts w:hint="eastAsia" w:ascii="宋体" w:hAnsi="宋体" w:cs="宋体"/>
                <w:szCs w:val="21"/>
              </w:rPr>
              <w:t xml:space="preserve">备注：                                                                                          1.考核分值90分及以上，方可进行维护维保费用全额付款；                                                                                2.考核分值80-89分区间范围的，扣除当期款项的5%；                         </w:t>
            </w:r>
            <w:r>
              <w:rPr>
                <w:rFonts w:hint="eastAsia" w:ascii="宋体" w:hAnsi="宋体" w:cs="宋体"/>
                <w:szCs w:val="21"/>
              </w:rPr>
              <w:t xml:space="preserve">                         3.考核分值在80分及以下的，扣除当期款项的10%；                                                                                                                                   4.维保单位因自身原因操作不当、维护不当、安全防护不当、安全督查出现重大安全事故的等事宜，造成损失的，除承担相应同等赔偿外，相应责任由维保单位承担。</w:t>
            </w:r>
            <w:r>
              <w:rPr>
                <w:rFonts w:hint="eastAsia" w:ascii="宋体" w:hAnsi="宋体" w:cs="宋体"/>
                <w:szCs w:val="21"/>
                <w:highlight w:val="yellow"/>
              </w:rPr>
            </w:r>
            <w:r/>
          </w:p>
          <w:p>
            <w:pPr>
              <w:pStyle w:val="757"/>
              <w:rPr>
                <w:rFonts w:hint="eastAsia" w:ascii="宋体" w:hAnsi="宋体" w:cs="宋体"/>
                <w:szCs w:val="21"/>
              </w:rPr>
            </w:pPr>
            <w:r>
              <w:rPr>
                <w:rFonts w:hint="eastAsia" w:ascii="宋体" w:hAnsi="宋体" w:cs="宋体"/>
                <w:szCs w:val="21"/>
              </w:rPr>
            </w:r>
            <w:r/>
          </w:p>
        </w:tc>
      </w:tr>
    </w:tbl>
    <w:p>
      <w:pPr>
        <w:pStyle w:val="758"/>
        <w:jc w:val="center"/>
        <w:spacing w:line="360" w:lineRule="auto"/>
        <w:rPr>
          <w:rFonts w:hint="eastAsia"/>
        </w:rPr>
      </w:pPr>
      <w:r>
        <w:br w:type="page" w:clear="all"/>
      </w:r>
      <w:r>
        <w:rPr>
          <w:rFonts w:hint="eastAsia"/>
        </w:rPr>
        <w:t xml:space="preserve">第六章</w:t>
      </w:r>
      <w:r>
        <w:t xml:space="preserve"> </w:t>
      </w:r>
      <w:r>
        <w:rPr>
          <w:rFonts w:hint="eastAsia"/>
        </w:rPr>
        <w:t xml:space="preserve">评标方法、评分标准</w:t>
      </w:r>
      <w:bookmarkEnd w:id="53"/>
      <w:r/>
      <w:bookmarkEnd w:id="54"/>
      <w:r>
        <w:rPr>
          <w:rFonts w:hint="eastAsia"/>
        </w:rPr>
      </w:r>
      <w:r/>
    </w:p>
    <w:p>
      <w:pPr>
        <w:pStyle w:val="757"/>
        <w:spacing w:line="360" w:lineRule="auto"/>
        <w:rPr>
          <w:rFonts w:hint="eastAsia" w:ascii="Tahoma" w:hAnsi="Tahoma"/>
          <w:sz w:val="24"/>
        </w:rPr>
      </w:pPr>
      <w:r>
        <w:rPr>
          <w:rFonts w:ascii="宋体" w:hAnsi="宋体" w:cs="Arial"/>
          <w:b/>
          <w:bCs/>
          <w:szCs w:val="21"/>
        </w:rPr>
        <w:t xml:space="preserve">一、</w:t>
      </w:r>
      <w:r>
        <w:rPr>
          <w:rFonts w:ascii="宋体" w:hAnsi="宋体" w:cs="Arial"/>
          <w:b/>
          <w:szCs w:val="21"/>
        </w:rPr>
        <w:t xml:space="preserve">评分办法</w:t>
      </w:r>
      <w:r>
        <w:rPr>
          <w:rFonts w:hint="eastAsia" w:ascii="Tahoma" w:hAnsi="Tahoma"/>
          <w:sz w:val="24"/>
        </w:rPr>
      </w:r>
      <w:r/>
    </w:p>
    <w:p>
      <w:pPr>
        <w:pStyle w:val="757"/>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rPr>
          <w:rFonts w:ascii="宋体" w:hAnsi="宋体"/>
        </w:rPr>
      </w:r>
      <w:r/>
    </w:p>
    <w:p>
      <w:pPr>
        <w:pStyle w:val="757"/>
        <w:ind w:firstLine="480"/>
        <w:spacing w:line="400" w:lineRule="exact"/>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总分值为100分，价格分值占总分值的比重为15%（权重），技术部分和商务部分占总分值的比重为85%（权重）。</w:t>
      </w:r>
      <w:r>
        <w:rPr>
          <w:rFonts w:ascii="宋体" w:hAnsi="宋体"/>
          <w:szCs w:val="21"/>
        </w:rPr>
      </w:r>
      <w:r/>
    </w:p>
    <w:p>
      <w:pPr>
        <w:pStyle w:val="757"/>
        <w:ind w:firstLine="480"/>
        <w:spacing w:line="400" w:lineRule="exact"/>
        <w:rPr>
          <w:rFonts w:hint="eastAsia"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中标人或者中标候选人</w:t>
      </w:r>
      <w:r>
        <w:rPr>
          <w:rFonts w:ascii="宋体" w:hAnsi="宋体"/>
          <w:szCs w:val="21"/>
        </w:rPr>
        <w:t xml:space="preserve">。</w:t>
      </w:r>
      <w:r>
        <w:rPr>
          <w:rFonts w:hint="eastAsia" w:ascii="宋体" w:hAnsi="宋体"/>
          <w:szCs w:val="21"/>
        </w:rPr>
      </w:r>
      <w:r/>
    </w:p>
    <w:p>
      <w:pPr>
        <w:pStyle w:val="757"/>
        <w:spacing w:line="400" w:lineRule="exact"/>
        <w:rPr>
          <w:rFonts w:hint="eastAsia" w:ascii="宋体" w:hAnsi="宋体"/>
          <w:b/>
          <w:szCs w:val="21"/>
        </w:rPr>
      </w:pPr>
      <w:r>
        <w:rPr>
          <w:rFonts w:hint="eastAsia" w:ascii="宋体" w:hAnsi="宋体"/>
          <w:b/>
          <w:szCs w:val="21"/>
        </w:rPr>
        <w:t xml:space="preserve"> 二、采购政策</w:t>
      </w:r>
      <w:r>
        <w:rPr>
          <w:rFonts w:hint="eastAsia" w:ascii="宋体" w:hAnsi="宋体"/>
          <w:b/>
          <w:szCs w:val="21"/>
        </w:rPr>
      </w:r>
      <w:r/>
    </w:p>
    <w:p>
      <w:pPr>
        <w:pStyle w:val="757"/>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、中、小、微企业</w:t>
      </w:r>
      <w:r>
        <w:rPr>
          <w:rFonts w:ascii="宋体" w:hAnsi="宋体"/>
          <w:szCs w:val="21"/>
        </w:rPr>
      </w:r>
      <w:r/>
    </w:p>
    <w:p>
      <w:pPr>
        <w:pStyle w:val="757"/>
        <w:ind w:firstLine="420"/>
        <w:spacing w:line="360" w:lineRule="auto"/>
        <w:rPr>
          <w:rFonts w:ascii="宋体" w:hAnsi="宋体"/>
          <w:b/>
          <w:color w:val="000000"/>
          <w:szCs w:val="21"/>
        </w:rPr>
      </w:pPr>
      <w:r>
        <w:rPr>
          <w:rFonts w:hint="eastAsia" w:ascii="宋体" w:hAnsi="宋体"/>
          <w:b/>
          <w:color w:val="000000"/>
          <w:szCs w:val="21"/>
        </w:rPr>
        <w:t xml:space="preserve">①专门面向中小企业采购的</w:t>
      </w:r>
      <w:r>
        <w:rPr>
          <w:rFonts w:ascii="宋体" w:hAnsi="宋体"/>
          <w:b/>
          <w:color w:val="000000"/>
          <w:szCs w:val="21"/>
        </w:rPr>
      </w:r>
      <w:r/>
    </w:p>
    <w:p>
      <w:pPr>
        <w:pStyle w:val="757"/>
        <w:ind w:firstLine="420"/>
        <w:spacing w:line="360" w:lineRule="auto"/>
        <w:rPr>
          <w:rFonts w:ascii="宋体" w:hAnsi="宋体"/>
          <w:b/>
          <w:color w:val="000000"/>
          <w:szCs w:val="21"/>
        </w:rPr>
      </w:pPr>
      <w:r>
        <w:rPr>
          <w:rFonts w:hint="eastAsia" w:ascii="宋体" w:hAnsi="宋体"/>
          <w:b/>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ascii="宋体" w:hAnsi="宋体"/>
          <w:b/>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② </w:t>
      </w:r>
      <w:bookmarkStart w:id="55" w:name="_Hlk167786003"/>
      <w:r>
        <w:rPr>
          <w:rFonts w:hint="eastAsia" w:ascii="宋体" w:hAnsi="宋体"/>
          <w:color w:val="000000"/>
          <w:szCs w:val="21"/>
        </w:rPr>
        <w:t xml:space="preserve">非专门面向中小企业采购的</w:t>
      </w:r>
      <w:bookmarkEnd w:id="55"/>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ascii="宋体" w:hAnsi="宋体"/>
          <w:color w:val="000000"/>
          <w:szCs w:val="21"/>
        </w:rPr>
      </w:r>
      <w:r/>
    </w:p>
    <w:p>
      <w:pPr>
        <w:pStyle w:val="757"/>
        <w:ind w:firstLine="420"/>
        <w:spacing w:line="360" w:lineRule="auto"/>
        <w:rPr>
          <w:rFonts w:ascii="宋体" w:hAnsi="宋体"/>
          <w:color w:val="000000"/>
          <w:szCs w:val="21"/>
        </w:rPr>
      </w:pPr>
      <w:r>
        <w:rPr>
          <w:rFonts w:hint="eastAsia" w:ascii="宋体" w:hAnsi="宋体"/>
          <w:color w:val="000000"/>
          <w:szCs w:val="21"/>
        </w:rPr>
        <w:t xml:space="preserve">③加盖公章后的《中小企业声明函》电子件放置于投标文件中提交，未提交则不享受预留采购份额政策。</w:t>
      </w:r>
      <w:r>
        <w:rPr>
          <w:rFonts w:ascii="宋体" w:hAnsi="宋体"/>
          <w:color w:val="000000"/>
          <w:szCs w:val="21"/>
        </w:rPr>
      </w:r>
      <w:r/>
    </w:p>
    <w:p>
      <w:pPr>
        <w:pStyle w:val="757"/>
        <w:ind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、残疾人福利性单位</w:t>
      </w:r>
      <w:r>
        <w:rPr>
          <w:rFonts w:ascii="宋体" w:hAnsi="宋体"/>
          <w:szCs w:val="21"/>
        </w:rPr>
      </w:r>
      <w:r/>
    </w:p>
    <w:p>
      <w:pPr>
        <w:pStyle w:val="757"/>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加盖公章后的《残疾人福利性单位声明函》电子件放置于响应文件中提交，未提交则不享受预留采购份额政策。</w:t>
      </w:r>
      <w:r>
        <w:rPr>
          <w:rFonts w:ascii="宋体"/>
          <w:color w:val="000000"/>
          <w:szCs w:val="21"/>
        </w:rPr>
      </w:r>
      <w:r/>
    </w:p>
    <w:p>
      <w:pPr>
        <w:pStyle w:val="757"/>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、监狱企业</w:t>
      </w:r>
      <w:r>
        <w:rPr>
          <w:rFonts w:ascii="宋体" w:hAnsi="宋体"/>
          <w:szCs w:val="21"/>
        </w:rPr>
      </w:r>
      <w:r/>
    </w:p>
    <w:p>
      <w:pPr>
        <w:pStyle w:val="757"/>
        <w:ind w:firstLine="420"/>
        <w:spacing w:line="360" w:lineRule="auto"/>
        <w:rPr>
          <w:rFonts w:hint="eastAsia"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证明文件电子件放置于响应文件中提交，未提交则不享受预留采购份额政策。</w:t>
      </w:r>
      <w:r>
        <w:rPr>
          <w:rFonts w:hint="eastAsia" w:ascii="宋体"/>
          <w:b/>
          <w:bCs/>
          <w:color w:val="000000"/>
          <w:szCs w:val="21"/>
        </w:rPr>
      </w:r>
      <w:r/>
    </w:p>
    <w:p>
      <w:pPr>
        <w:pStyle w:val="757"/>
        <w:ind w:left="420"/>
        <w:spacing w:line="360" w:lineRule="auto"/>
        <w:rPr>
          <w:rFonts w:ascii="宋体"/>
          <w:color w:val="000000"/>
          <w:szCs w:val="21"/>
        </w:rPr>
      </w:pPr>
      <w:r>
        <w:rPr>
          <w:rFonts w:hint="eastAsia" w:ascii="宋体"/>
          <w:color w:val="000000"/>
          <w:szCs w:val="21"/>
        </w:rPr>
        <w:t xml:space="preserve">4、</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color w:val="000000"/>
          <w:szCs w:val="21"/>
        </w:rPr>
      </w:r>
      <w:r/>
    </w:p>
    <w:p>
      <w:pPr>
        <w:pStyle w:val="757"/>
        <w:ind w:firstLine="422"/>
        <w:spacing w:line="360" w:lineRule="auto"/>
        <w:rPr>
          <w:rFonts w:ascii="宋体" w:hAnsi="宋体"/>
          <w:b/>
        </w:rPr>
      </w:pPr>
      <w:r>
        <w:rPr>
          <w:rFonts w:hint="eastAsia" w:ascii="宋体" w:hAnsi="宋体"/>
          <w:b/>
        </w:rPr>
        <w:t xml:space="preserve">三、评分标准</w:t>
      </w:r>
      <w:r>
        <w:rPr>
          <w:rFonts w:ascii="宋体" w:hAnsi="宋体"/>
          <w:b/>
        </w:rPr>
      </w:r>
      <w:r/>
    </w:p>
    <w:p>
      <w:pPr>
        <w:pStyle w:val="757"/>
        <w:ind w:firstLine="422"/>
        <w:spacing w:line="360" w:lineRule="auto"/>
        <w:rPr>
          <w:rFonts w:ascii="宋体" w:hAnsi="宋体"/>
          <w:b/>
        </w:rPr>
      </w:pPr>
      <w:r>
        <w:rPr>
          <w:rFonts w:hint="eastAsia" w:ascii="宋体" w:hAnsi="宋体"/>
          <w:b/>
        </w:rPr>
        <w:t xml:space="preserve">（一）价格（15分）</w:t>
      </w:r>
      <w:r>
        <w:rPr>
          <w:rFonts w:ascii="宋体" w:hAnsi="宋体"/>
          <w:b/>
        </w:rPr>
      </w:r>
      <w:r/>
    </w:p>
    <w:p>
      <w:pPr>
        <w:pStyle w:val="757"/>
        <w:ind w:firstLine="420"/>
        <w:spacing w:line="360" w:lineRule="auto"/>
        <w:rPr>
          <w:rFonts w:ascii="宋体" w:hAnsi="宋体"/>
        </w:rPr>
      </w:pPr>
      <w:r>
        <w:rPr>
          <w:rFonts w:hint="eastAsia" w:ascii="宋体" w:hAnsi="宋体"/>
        </w:rPr>
        <w:t xml:space="preserve">1.</w:t>
      </w:r>
      <w:bookmarkStart w:id="56" w:name="_Hlk182915219"/>
      <w:r>
        <w:rPr>
          <w:rFonts w:ascii="宋体" w:hAnsi="宋体"/>
        </w:rPr>
        <w:t xml:space="preserve">投标</w:t>
      </w:r>
      <w:r>
        <w:rPr>
          <w:rFonts w:hint="eastAsia" w:ascii="宋体" w:hAnsi="宋体"/>
        </w:rPr>
        <w:t xml:space="preserve">总</w:t>
      </w:r>
      <w:r>
        <w:rPr>
          <w:rFonts w:ascii="宋体" w:hAnsi="宋体"/>
        </w:rPr>
        <w:t xml:space="preserve">报价低于或等于</w:t>
      </w:r>
      <w:r>
        <w:rPr>
          <w:rFonts w:hint="eastAsia" w:ascii="宋体" w:hAnsi="宋体"/>
        </w:rPr>
        <w:t xml:space="preserve">最高限价</w:t>
      </w:r>
      <w:r>
        <w:rPr>
          <w:rFonts w:ascii="宋体" w:hAnsi="宋体"/>
        </w:rPr>
        <w:t xml:space="preserve">的，为有效投标报价</w:t>
      </w:r>
      <w:bookmarkEnd w:id="56"/>
      <w:r>
        <w:rPr>
          <w:rFonts w:ascii="宋体" w:hAnsi="宋体"/>
        </w:rPr>
        <w:t xml:space="preserve">。</w:t>
      </w:r>
      <w:bookmarkStart w:id="57" w:name="OLE_LINK47"/>
      <w:r/>
      <w:bookmarkStart w:id="58" w:name="OLE_LINK46"/>
      <w:r>
        <w:rPr>
          <w:rFonts w:ascii="宋体" w:hAnsi="宋体"/>
        </w:rPr>
        <w:t xml:space="preserve">超</w:t>
      </w:r>
      <w:r>
        <w:rPr>
          <w:rFonts w:hint="eastAsia" w:ascii="宋体" w:hAnsi="宋体"/>
        </w:rPr>
        <w:t xml:space="preserve">最高限价</w:t>
      </w:r>
      <w:r>
        <w:rPr>
          <w:rFonts w:ascii="宋体" w:hAnsi="宋体"/>
        </w:rPr>
        <w:t xml:space="preserve">的投标报价为无效投标报价。无效投标报价的投标文件不进行评审，也不得</w:t>
      </w:r>
      <w:r>
        <w:rPr>
          <w:rFonts w:hint="eastAsia" w:ascii="宋体" w:hAnsi="宋体"/>
        </w:rPr>
        <w:t xml:space="preserve">中</w:t>
      </w:r>
      <w:r>
        <w:rPr>
          <w:rFonts w:ascii="宋体" w:hAnsi="宋体"/>
        </w:rPr>
        <w:t xml:space="preserve">标。</w:t>
      </w:r>
      <w:r>
        <w:rPr>
          <w:rFonts w:ascii="宋体" w:hAnsi="宋体"/>
        </w:rPr>
      </w:r>
      <w:r/>
    </w:p>
    <w:p>
      <w:pPr>
        <w:pStyle w:val="757"/>
        <w:ind w:firstLine="420"/>
        <w:spacing w:line="360" w:lineRule="auto"/>
        <w:rPr>
          <w:rFonts w:ascii="宋体" w:hAnsi="宋体"/>
        </w:rPr>
      </w:pPr>
      <w:r/>
      <w:bookmarkEnd w:id="57"/>
      <w:r/>
      <w:bookmarkEnd w:id="58"/>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rPr>
          <w:rFonts w:ascii="宋体" w:hAnsi="宋体"/>
        </w:rPr>
      </w:r>
      <w:r/>
    </w:p>
    <w:p>
      <w:pPr>
        <w:pStyle w:val="757"/>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rPr>
          <w:rFonts w:ascii="宋体" w:hAnsi="宋体"/>
        </w:rPr>
      </w:r>
      <w:r/>
    </w:p>
    <w:p>
      <w:pPr>
        <w:pStyle w:val="757"/>
        <w:ind w:right="-252" w:firstLine="405"/>
        <w:spacing w:line="360" w:lineRule="auto"/>
        <w:rPr>
          <w:rFonts w:hint="eastAsia" w:ascii="宋体" w:hAnsi="宋体" w:cs="Arial"/>
          <w:szCs w:val="21"/>
        </w:rPr>
      </w:pPr>
      <w:r/>
      <w:bookmarkStart w:id="59" w:name="OLE_LINK22"/>
      <w:r/>
      <w:bookmarkStart w:id="60" w:name="OLE_LINK23"/>
      <w:r>
        <w:rPr>
          <w:rFonts w:hint="eastAsia" w:ascii="宋体" w:hAnsi="宋体" w:cs="Arial"/>
          <w:szCs w:val="21"/>
        </w:rPr>
        <w:t xml:space="preserve">价格得分=（评标基准价/投标报价）×价格权重×100；（计算到小数点后二位）</w:t>
      </w:r>
      <w:r>
        <w:rPr>
          <w:rFonts w:hint="eastAsia" w:ascii="宋体" w:hAnsi="宋体" w:cs="Arial"/>
          <w:szCs w:val="21"/>
        </w:rPr>
      </w:r>
      <w:r/>
    </w:p>
    <w:p>
      <w:pPr>
        <w:pStyle w:val="757"/>
        <w:numPr>
          <w:ilvl w:val="0"/>
          <w:numId w:val="18"/>
        </w:numPr>
        <w:ind w:firstLine="420"/>
        <w:spacing w:line="360" w:lineRule="auto"/>
        <w:tabs>
          <w:tab w:val="left" w:pos="312" w:leader="none"/>
        </w:tabs>
        <w:rPr>
          <w:rFonts w:hint="eastAsia" w:ascii="宋体" w:hAnsi="宋体" w:cs="宋体"/>
          <w:b/>
          <w:bCs/>
          <w:color w:val="000000"/>
        </w:rPr>
      </w:pPr>
      <w:r>
        <w:rPr>
          <w:rFonts w:hint="eastAsia" w:ascii="宋体" w:hAnsi="宋体" w:cs="宋体"/>
          <w:b/>
          <w:bCs/>
          <w:color w:val="000000"/>
        </w:rPr>
        <w:t xml:space="preserve">异常低价响应审查：</w:t>
      </w:r>
      <w:r>
        <w:rPr>
          <w:rFonts w:hint="eastAsia" w:ascii="宋体" w:hAnsi="宋体" w:cs="宋体"/>
          <w:b/>
          <w:bCs/>
          <w:color w:val="000000"/>
        </w:rPr>
      </w:r>
      <w:r/>
    </w:p>
    <w:p>
      <w:pPr>
        <w:pStyle w:val="757"/>
        <w:ind w:firstLine="420"/>
        <w:spacing w:line="360" w:lineRule="auto"/>
        <w:rPr>
          <w:rFonts w:ascii="宋体" w:hAnsi="宋体"/>
        </w:rPr>
      </w:pPr>
      <w:r>
        <w:rPr>
          <w:rFonts w:hint="eastAsia" w:ascii="宋体" w:hAnsi="宋体"/>
        </w:rPr>
        <w:t xml:space="preserve">4.1</w:t>
      </w:r>
      <w:r>
        <w:rPr>
          <w:rFonts w:ascii="宋体" w:hAnsi="宋体"/>
        </w:rPr>
        <w:t xml:space="preserve">.</w:t>
      </w:r>
      <w:r>
        <w:rPr>
          <w:rFonts w:hint="eastAsia" w:ascii="宋体" w:hAnsi="宋体"/>
        </w:rPr>
        <w:t xml:space="preserve">评审过程中出现下列情形之一的，评审委员会应当启动异常低价投标审查程序：</w:t>
      </w:r>
      <w:r>
        <w:rPr>
          <w:rFonts w:ascii="宋体" w:hAnsi="宋体"/>
        </w:rPr>
      </w:r>
      <w:r/>
    </w:p>
    <w:p>
      <w:pPr>
        <w:pStyle w:val="757"/>
        <w:ind w:firstLine="420"/>
        <w:spacing w:line="360" w:lineRule="auto"/>
        <w:rPr>
          <w:rFonts w:ascii="宋体" w:hAnsi="宋体"/>
        </w:rPr>
      </w:pPr>
      <w:r>
        <w:rPr>
          <w:rFonts w:hint="eastAsia" w:ascii="宋体" w:hAnsi="宋体"/>
        </w:rPr>
        <w:t xml:space="preserve">4.</w:t>
      </w: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rPr>
          <w:rFonts w:ascii="宋体" w:hAnsi="宋体"/>
        </w:rPr>
      </w:r>
      <w:r/>
    </w:p>
    <w:p>
      <w:pPr>
        <w:pStyle w:val="757"/>
        <w:ind w:firstLine="420"/>
        <w:spacing w:line="360" w:lineRule="auto"/>
        <w:rPr>
          <w:rFonts w:ascii="宋体" w:hAnsi="宋体"/>
        </w:rPr>
      </w:pPr>
      <w:r>
        <w:rPr>
          <w:rFonts w:hint="eastAsia" w:ascii="宋体" w:hAnsi="宋体"/>
        </w:rPr>
        <w:t xml:space="preserve">4.</w:t>
      </w: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rPr>
          <w:rFonts w:ascii="宋体" w:hAnsi="宋体"/>
        </w:rPr>
      </w:r>
      <w:r/>
    </w:p>
    <w:p>
      <w:pPr>
        <w:pStyle w:val="757"/>
        <w:ind w:firstLine="420"/>
        <w:spacing w:line="360" w:lineRule="auto"/>
        <w:rPr>
          <w:rFonts w:ascii="宋体" w:hAnsi="宋体"/>
        </w:rPr>
      </w:pPr>
      <w:r>
        <w:rPr>
          <w:rFonts w:hint="eastAsia" w:ascii="宋体" w:hAnsi="宋体"/>
        </w:rPr>
        <w:t xml:space="preserve">4.</w:t>
      </w: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rPr>
          <w:rFonts w:ascii="宋体" w:hAnsi="宋体"/>
        </w:rPr>
      </w:r>
      <w:r/>
    </w:p>
    <w:p>
      <w:pPr>
        <w:pStyle w:val="757"/>
        <w:ind w:firstLine="420"/>
        <w:spacing w:line="360" w:lineRule="auto"/>
        <w:rPr>
          <w:rFonts w:ascii="宋体" w:hAnsi="宋体"/>
        </w:rPr>
      </w:pPr>
      <w:r>
        <w:rPr>
          <w:rFonts w:hint="eastAsia" w:ascii="宋体" w:hAnsi="宋体"/>
        </w:rPr>
        <w:t xml:space="preserve">4.</w:t>
      </w: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rPr>
          <w:rFonts w:ascii="宋体" w:hAnsi="宋体"/>
        </w:rPr>
      </w:r>
      <w:r/>
    </w:p>
    <w:p>
      <w:pPr>
        <w:pStyle w:val="757"/>
        <w:ind w:firstLine="420"/>
        <w:spacing w:line="360" w:lineRule="auto"/>
        <w:rPr>
          <w:rFonts w:ascii="宋体" w:hAnsi="宋体"/>
        </w:rPr>
      </w:pPr>
      <w:r>
        <w:rPr>
          <w:rFonts w:hint="eastAsia" w:ascii="宋体" w:hAnsi="宋体"/>
        </w:rPr>
        <w:t xml:space="preserve">4.</w:t>
      </w: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rPr>
          <w:rFonts w:ascii="宋体" w:hAnsi="宋体"/>
        </w:rPr>
      </w:r>
      <w:r/>
    </w:p>
    <w:p>
      <w:pPr>
        <w:pStyle w:val="757"/>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rPr>
        <w:t xml:space="preserve">审查相关情况应当在评审报告中进行记录。</w:t>
      </w:r>
      <w:r>
        <w:rPr>
          <w:rFonts w:hint="eastAsia" w:ascii="宋体" w:hAnsi="宋体"/>
        </w:rPr>
      </w:r>
      <w:r/>
    </w:p>
    <w:p>
      <w:pPr>
        <w:pStyle w:val="757"/>
        <w:ind w:firstLine="422"/>
        <w:spacing w:line="360" w:lineRule="auto"/>
        <w:rPr>
          <w:rFonts w:hint="eastAsia" w:ascii="宋体" w:hAnsi="宋体"/>
          <w:b/>
        </w:rPr>
      </w:pPr>
      <w:r/>
      <w:bookmarkEnd w:id="59"/>
      <w:r/>
      <w:bookmarkEnd w:id="60"/>
      <w:r>
        <w:rPr>
          <w:rFonts w:hint="eastAsia" w:ascii="宋体" w:hAnsi="宋体"/>
          <w:b/>
        </w:rPr>
      </w:r>
      <w:r/>
    </w:p>
    <w:p>
      <w:pPr>
        <w:pStyle w:val="757"/>
        <w:ind w:firstLine="422"/>
        <w:spacing w:line="360" w:lineRule="auto"/>
        <w:rPr>
          <w:rFonts w:hint="eastAsia" w:ascii="宋体" w:hAnsi="宋体" w:cs="宋体"/>
          <w:color w:val="000000"/>
          <w:szCs w:val="21"/>
        </w:rPr>
      </w:pPr>
      <w:r>
        <w:rPr>
          <w:rFonts w:hint="eastAsia" w:ascii="宋体" w:hAnsi="宋体"/>
          <w:b/>
        </w:rPr>
        <w:t xml:space="preserve">（二）技术部分(85分)</w:t>
      </w:r>
      <w:r>
        <w:rPr>
          <w:rFonts w:ascii="宋体" w:hAnsi="宋体" w:cs="宋体"/>
          <w:color w:val="000000"/>
          <w:szCs w:val="21"/>
        </w:rPr>
        <w:t xml:space="preserve"> </w:t>
      </w:r>
      <w:r>
        <w:rPr>
          <w:rFonts w:hint="eastAsia" w:ascii="宋体" w:hAnsi="宋体" w:cs="宋体"/>
          <w:color w:val="000000"/>
          <w:szCs w:val="21"/>
        </w:rPr>
      </w:r>
      <w:r/>
    </w:p>
    <w:p>
      <w:pPr>
        <w:pStyle w:val="757"/>
        <w:ind w:firstLine="420"/>
        <w:spacing w:line="360" w:lineRule="auto"/>
        <w:rPr>
          <w:rFonts w:ascii="宋体" w:hAnsi="宋体" w:cs="宋体"/>
          <w:color w:val="000000"/>
          <w:szCs w:val="21"/>
        </w:rPr>
      </w:pPr>
      <w:r>
        <w:rPr>
          <w:rFonts w:ascii="宋体" w:hAnsi="宋体" w:cs="宋体"/>
          <w:color w:val="000000"/>
          <w:szCs w:val="21"/>
        </w:rPr>
      </w:r>
      <w:r/>
    </w:p>
    <w:p>
      <w:pPr>
        <w:pStyle w:val="757"/>
        <w:spacing w:line="480" w:lineRule="auto"/>
        <w:rPr>
          <w:rFonts w:hint="eastAsia" w:ascii="仿宋_GB2312" w:eastAsia="仿宋_GB2312"/>
          <w:b/>
          <w:sz w:val="24"/>
        </w:rPr>
      </w:pPr>
      <w:r>
        <w:rPr>
          <w:rFonts w:hint="eastAsia" w:ascii="仿宋_GB2312" w:eastAsia="仿宋_GB2312"/>
          <w:b/>
          <w:sz w:val="24"/>
        </w:rPr>
        <w:t xml:space="preserve">初审评审指标</w:t>
      </w:r>
      <w:r>
        <w:rPr>
          <w:rFonts w:hint="eastAsia" w:ascii="仿宋_GB2312" w:eastAsia="仿宋_GB2312"/>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4644"/>
      </w:tblGrid>
      <w:tr>
        <w:trPr>
          <w:trHeight w:val="240"/>
        </w:trPr>
        <w:tc>
          <w:tcPr>
            <w:tcW w:w="1133" w:type="dxa"/>
            <w:vAlign w:val="center"/>
            <w:textDirection w:val="lrTb"/>
            <w:noWrap w:val="false"/>
          </w:tcPr>
          <w:p>
            <w:pPr>
              <w:pStyle w:val="757"/>
              <w:jc w:val="center"/>
              <w:spacing w:line="520" w:lineRule="exact"/>
              <w:rPr>
                <w:rFonts w:hint="eastAsia" w:ascii="仿宋_GB2312" w:eastAsia="仿宋_GB2312"/>
                <w:sz w:val="24"/>
              </w:rPr>
            </w:pPr>
            <w:r/>
            <w:bookmarkStart w:id="61" w:name="gpc_accord_horizontal_1"/>
            <w:r>
              <w:rPr>
                <w:rFonts w:hint="eastAsia" w:ascii="仿宋_GB2312" w:eastAsia="仿宋_GB2312"/>
                <w:sz w:val="24"/>
              </w:rPr>
              <w:t xml:space="preserve">指标</w:t>
            </w:r>
            <w:r>
              <w:rPr>
                <w:rFonts w:hint="eastAsia" w:ascii="仿宋_GB2312" w:eastAsia="仿宋_GB2312"/>
                <w:sz w:val="24"/>
              </w:rPr>
            </w:r>
            <w:r/>
          </w:p>
        </w:tc>
        <w:tc>
          <w:tcPr>
            <w:tcW w:w="4644" w:type="dxa"/>
            <w:vAlign w:val="top"/>
            <w:textDirection w:val="lrTb"/>
            <w:noWrap w:val="false"/>
          </w:tcPr>
          <w:p>
            <w:pPr>
              <w:pStyle w:val="757"/>
              <w:jc w:val="center"/>
              <w:spacing w:line="520" w:lineRule="exact"/>
              <w:rPr>
                <w:rFonts w:hint="eastAsia" w:ascii="仿宋_GB2312" w:eastAsia="仿宋_GB2312"/>
                <w:sz w:val="24"/>
              </w:rPr>
            </w:pPr>
            <w:r>
              <w:rPr>
                <w:rFonts w:hint="eastAsia" w:ascii="仿宋_GB2312" w:eastAsia="仿宋_GB2312"/>
                <w:sz w:val="24"/>
              </w:rPr>
              <w:t xml:space="preserve">描述</w:t>
            </w:r>
            <w:r>
              <w:rPr>
                <w:rFonts w:hint="eastAsia" w:ascii="仿宋_GB2312" w:eastAsia="仿宋_GB2312"/>
                <w:sz w:val="24"/>
              </w:rPr>
            </w:r>
            <w:r/>
          </w:p>
        </w:tc>
      </w:tr>
      <w:tr>
        <w:trPr>
          <w:trHeight w:val="438"/>
        </w:trPr>
        <w:tc>
          <w:tcPr>
            <w:tcW w:w="1133" w:type="dxa"/>
            <w:vAlign w:val="top"/>
            <w:textDirection w:val="lrTb"/>
            <w:noWrap w:val="false"/>
          </w:tcPr>
          <w:p>
            <w:pPr>
              <w:pStyle w:val="757"/>
              <w:jc w:val="center"/>
              <w:spacing w:line="520" w:lineRule="exact"/>
              <w:rPr>
                <w:rFonts w:hint="eastAsia" w:ascii="仿宋_GB2312" w:eastAsia="仿宋_GB2312"/>
                <w:sz w:val="24"/>
              </w:rPr>
            </w:pPr>
            <w:r>
              <w:rPr>
                <w:rFonts w:hint="eastAsia" w:ascii="仿宋_GB2312" w:eastAsia="仿宋_GB2312"/>
                <w:sz w:val="24"/>
              </w:rPr>
              <w:t xml:space="preserve">资格性检查</w:t>
            </w:r>
            <w:r>
              <w:rPr>
                <w:rFonts w:hint="eastAsia" w:ascii="仿宋_GB2312" w:eastAsia="仿宋_GB2312"/>
                <w:sz w:val="24"/>
              </w:rPr>
            </w:r>
            <w:r/>
          </w:p>
        </w:tc>
        <w:tc>
          <w:tcPr>
            <w:tcW w:w="4644" w:type="dxa"/>
            <w:vAlign w:val="top"/>
            <w:textDirection w:val="lrTb"/>
            <w:noWrap w:val="false"/>
          </w:tcPr>
          <w:p>
            <w:pPr>
              <w:pStyle w:val="757"/>
              <w:jc w:val="center"/>
              <w:spacing w:line="520" w:lineRule="exact"/>
              <w:rPr>
                <w:rFonts w:hint="eastAsia" w:ascii="仿宋_GB2312" w:eastAsia="仿宋_GB2312"/>
                <w:sz w:val="24"/>
              </w:rPr>
            </w:pPr>
            <w:r>
              <w:rPr>
                <w:rFonts w:hint="eastAsia" w:ascii="仿宋_GB2312" w:eastAsia="仿宋_GB2312"/>
                <w:sz w:val="24"/>
              </w:rPr>
              <w:t xml:space="preserve">详见招标文件</w:t>
            </w:r>
            <w:r>
              <w:rPr>
                <w:rFonts w:hint="eastAsia" w:ascii="仿宋_GB2312" w:eastAsia="仿宋_GB2312"/>
                <w:sz w:val="24"/>
              </w:rPr>
            </w:r>
            <w:r/>
          </w:p>
        </w:tc>
      </w:tr>
      <w:tr>
        <w:trPr>
          <w:trHeight w:val="438"/>
        </w:trPr>
        <w:tc>
          <w:tcPr>
            <w:tcW w:w="1133" w:type="dxa"/>
            <w:vAlign w:val="top"/>
            <w:textDirection w:val="lrTb"/>
            <w:noWrap w:val="false"/>
          </w:tcPr>
          <w:p>
            <w:pPr>
              <w:pStyle w:val="757"/>
              <w:jc w:val="center"/>
              <w:spacing w:line="520" w:lineRule="exact"/>
              <w:rPr>
                <w:rFonts w:hint="eastAsia" w:ascii="仿宋_GB2312" w:eastAsia="仿宋_GB2312"/>
                <w:sz w:val="24"/>
              </w:rPr>
            </w:pPr>
            <w:r>
              <w:rPr>
                <w:rFonts w:hint="eastAsia" w:ascii="仿宋_GB2312" w:eastAsia="仿宋_GB2312"/>
                <w:sz w:val="24"/>
              </w:rPr>
              <w:t xml:space="preserve">符合性检查</w:t>
            </w:r>
            <w:r>
              <w:rPr>
                <w:rFonts w:hint="eastAsia" w:ascii="仿宋_GB2312" w:eastAsia="仿宋_GB2312"/>
                <w:sz w:val="24"/>
              </w:rPr>
            </w:r>
            <w:r/>
          </w:p>
        </w:tc>
        <w:tc>
          <w:tcPr>
            <w:tcW w:w="4644" w:type="dxa"/>
            <w:vAlign w:val="top"/>
            <w:textDirection w:val="lrTb"/>
            <w:noWrap w:val="false"/>
          </w:tcPr>
          <w:p>
            <w:pPr>
              <w:pStyle w:val="757"/>
              <w:jc w:val="center"/>
              <w:spacing w:line="520" w:lineRule="exact"/>
              <w:rPr>
                <w:rFonts w:hint="eastAsia" w:ascii="仿宋_GB2312" w:eastAsia="仿宋_GB2312"/>
                <w:sz w:val="24"/>
              </w:rPr>
            </w:pPr>
            <w:r>
              <w:rPr>
                <w:rFonts w:hint="eastAsia" w:ascii="仿宋_GB2312" w:eastAsia="仿宋_GB2312"/>
                <w:sz w:val="24"/>
              </w:rPr>
              <w:t xml:space="preserve">详见招标文件</w:t>
            </w:r>
            <w:r>
              <w:rPr>
                <w:rFonts w:hint="eastAsia" w:ascii="仿宋_GB2312" w:eastAsia="仿宋_GB2312"/>
                <w:sz w:val="24"/>
              </w:rPr>
            </w:r>
            <w:r/>
          </w:p>
        </w:tc>
      </w:tr>
    </w:tbl>
    <w:p>
      <w:pPr>
        <w:pStyle w:val="757"/>
        <w:rPr>
          <w:rFonts w:hint="eastAsia"/>
          <w:b/>
        </w:rPr>
      </w:pPr>
      <w:r/>
      <w:bookmarkEnd w:id="61"/>
      <w:r>
        <w:rPr>
          <w:rFonts w:hint="eastAsia"/>
          <w:b/>
        </w:rPr>
      </w:r>
      <w:r/>
    </w:p>
    <w:p>
      <w:pPr>
        <w:pStyle w:val="757"/>
        <w:rPr>
          <w:b/>
        </w:rPr>
      </w:pPr>
      <w:r>
        <w:rPr>
          <w:b/>
        </w:rPr>
      </w:r>
      <w:r/>
    </w:p>
    <w:p>
      <w:pPr>
        <w:pStyle w:val="757"/>
        <w:ind w:left="360"/>
        <w:jc w:val="left"/>
        <w:widowControl/>
        <w:rPr>
          <w:rFonts w:hint="eastAsia" w:ascii="仿宋_GB2312" w:hAnsi="宋体" w:eastAsia="仿宋_GB2312" w:cs="宋体"/>
          <w:color w:val="000000"/>
          <w:sz w:val="24"/>
        </w:rPr>
      </w:pPr>
      <w:r>
        <w:rPr>
          <w:rFonts w:hint="eastAsia" w:ascii="仿宋_GB2312" w:hAnsi="宋体" w:eastAsia="仿宋_GB2312" w:cs="宋体"/>
          <w:color w:val="000000"/>
          <w:sz w:val="24"/>
        </w:rPr>
      </w:r>
      <w:r/>
    </w:p>
    <w:p>
      <w:pPr>
        <w:pStyle w:val="757"/>
        <w:rPr>
          <w:rFonts w:hint="eastAsia"/>
          <w:b/>
        </w:rPr>
      </w:pPr>
      <w:r>
        <w:rPr>
          <w:rFonts w:hint="eastAsia"/>
          <w:b/>
        </w:rPr>
        <w:t xml:space="preserve">复审评审指标</w:t>
      </w:r>
      <w:r>
        <w:rPr>
          <w:b/>
        </w:rPr>
        <w:t xml:space="preserve">  </w:t>
      </w:r>
      <w:r>
        <w:rPr>
          <w:rFonts w:hint="eastAsia"/>
          <w:b/>
        </w:rPr>
      </w:r>
      <w:r/>
    </w:p>
    <w:tbl>
      <w:tblPr>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274"/>
        <w:gridCol w:w="6522"/>
        <w:gridCol w:w="709"/>
      </w:tblGrid>
      <w:tr>
        <w:trPr>
          <w:trHeight w:val="359"/>
        </w:trPr>
        <w:tc>
          <w:tcPr>
            <w:tcW w:w="1277" w:type="dxa"/>
            <w:vAlign w:val="top"/>
            <w:textDirection w:val="lrTb"/>
            <w:noWrap w:val="false"/>
          </w:tcPr>
          <w:p>
            <w:pPr>
              <w:pStyle w:val="757"/>
              <w:jc w:val="center"/>
              <w:spacing w:line="276" w:lineRule="auto"/>
              <w:rPr>
                <w:rFonts w:hint="eastAsia" w:ascii="宋体" w:hAnsi="宋体"/>
                <w:color w:val="000000"/>
                <w:szCs w:val="21"/>
              </w:rPr>
            </w:pPr>
            <w:r>
              <w:rPr>
                <w:rFonts w:hint="eastAsia" w:ascii="宋体" w:hAnsi="宋体"/>
                <w:color w:val="000000"/>
                <w:szCs w:val="21"/>
              </w:rPr>
              <w:t xml:space="preserve">评审类别</w:t>
            </w:r>
            <w:r>
              <w:rPr>
                <w:rFonts w:hint="eastAsia" w:ascii="宋体" w:hAnsi="宋体"/>
                <w:color w:val="000000"/>
                <w:szCs w:val="21"/>
              </w:rPr>
            </w:r>
            <w:r/>
          </w:p>
        </w:tc>
        <w:tc>
          <w:tcPr>
            <w:tcW w:w="1274" w:type="dxa"/>
            <w:vAlign w:val="center"/>
            <w:textDirection w:val="lrTb"/>
            <w:noWrap w:val="false"/>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评审项</w:t>
            </w:r>
            <w:r>
              <w:rPr>
                <w:rFonts w:hint="eastAsia" w:ascii="宋体" w:hAnsi="宋体"/>
                <w:color w:val="000000"/>
                <w:szCs w:val="21"/>
              </w:rPr>
            </w:r>
            <w:r/>
          </w:p>
        </w:tc>
        <w:tc>
          <w:tcPr>
            <w:tcW w:w="6522" w:type="dxa"/>
            <w:vAlign w:val="top"/>
            <w:textDirection w:val="lrTb"/>
            <w:noWrap w:val="false"/>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评审规则</w:t>
            </w:r>
            <w:r>
              <w:rPr>
                <w:rFonts w:hint="eastAsia" w:ascii="宋体" w:hAnsi="宋体"/>
                <w:color w:val="000000"/>
                <w:szCs w:val="21"/>
              </w:rPr>
            </w:r>
            <w:r/>
          </w:p>
        </w:tc>
        <w:tc>
          <w:tcPr>
            <w:tcW w:w="709" w:type="dxa"/>
            <w:vAlign w:val="top"/>
            <w:textDirection w:val="lrTb"/>
            <w:noWrap w:val="false"/>
          </w:tcPr>
          <w:p>
            <w:pPr>
              <w:pStyle w:val="757"/>
              <w:jc w:val="center"/>
              <w:spacing w:line="276" w:lineRule="auto"/>
              <w:rPr>
                <w:rFonts w:hint="eastAsia" w:ascii="宋体" w:hAnsi="宋体"/>
                <w:color w:val="000000"/>
                <w:szCs w:val="21"/>
              </w:rPr>
            </w:pPr>
            <w:r>
              <w:rPr>
                <w:rFonts w:hint="eastAsia" w:ascii="宋体" w:hAnsi="宋体"/>
                <w:color w:val="000000"/>
                <w:szCs w:val="21"/>
              </w:rPr>
              <w:t xml:space="preserve">分值</w:t>
            </w:r>
            <w:r>
              <w:rPr>
                <w:rFonts w:hint="eastAsia" w:ascii="宋体" w:hAnsi="宋体"/>
                <w:color w:val="000000"/>
                <w:szCs w:val="21"/>
              </w:rPr>
            </w:r>
            <w:r/>
          </w:p>
        </w:tc>
      </w:tr>
      <w:tr>
        <w:trPr>
          <w:trHeight w:val="743"/>
        </w:trPr>
        <w:tc>
          <w:tcPr>
            <w:tcW w:w="1277" w:type="dxa"/>
            <w:vAlign w:val="top"/>
            <w:textDirection w:val="lrTb"/>
            <w:noWrap w:val="false"/>
          </w:tcPr>
          <w:p>
            <w:pPr>
              <w:pStyle w:val="757"/>
              <w:jc w:val="center"/>
              <w:spacing w:line="276" w:lineRule="auto"/>
              <w:rPr>
                <w:rFonts w:hint="eastAsia" w:ascii="宋体" w:hAnsi="宋体"/>
                <w:color w:val="000000"/>
                <w:szCs w:val="21"/>
              </w:rPr>
            </w:pPr>
            <w:r>
              <w:rPr>
                <w:rFonts w:hint="eastAsia" w:ascii="宋体" w:hAnsi="宋体"/>
                <w:color w:val="000000"/>
                <w:szCs w:val="21"/>
              </w:rPr>
              <w:t xml:space="preserve">价格（15分）</w:t>
            </w:r>
            <w:r>
              <w:rPr>
                <w:rFonts w:hint="eastAsia" w:ascii="宋体" w:hAnsi="宋体"/>
                <w:color w:val="000000"/>
                <w:szCs w:val="21"/>
              </w:rPr>
            </w:r>
            <w:r/>
          </w:p>
        </w:tc>
        <w:tc>
          <w:tcPr>
            <w:tcW w:w="1274" w:type="dxa"/>
            <w:vAlign w:val="top"/>
            <w:textDirection w:val="lrTb"/>
            <w:noWrap w:val="false"/>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价格评审指标（15分）</w:t>
            </w:r>
            <w:r>
              <w:rPr>
                <w:rFonts w:hint="eastAsia" w:ascii="宋体" w:hAnsi="宋体"/>
                <w:color w:val="000000"/>
                <w:szCs w:val="21"/>
              </w:rPr>
            </w:r>
            <w:r/>
          </w:p>
        </w:tc>
        <w:tc>
          <w:tcPr>
            <w:tcW w:w="6522" w:type="dxa"/>
            <w:vAlign w:val="top"/>
            <w:textDirection w:val="lrTb"/>
            <w:noWrap w:val="false"/>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（评标基准价／投标报价）×价格权值×100；（</w:t>
            </w:r>
            <w:r>
              <w:rPr>
                <w:rFonts w:hint="eastAsia" w:ascii="宋体" w:hAnsi="宋体" w:cs="Arial"/>
                <w:color w:val="000000"/>
                <w:szCs w:val="21"/>
              </w:rPr>
              <w:t xml:space="preserve">计算到小数点后二位）</w:t>
            </w:r>
            <w:r>
              <w:rPr>
                <w:rFonts w:hint="eastAsia" w:ascii="宋体" w:hAnsi="宋体"/>
                <w:color w:val="000000"/>
                <w:szCs w:val="21"/>
              </w:rPr>
              <w:t xml:space="preserve">超预算的投标报价不进入评标程序。</w:t>
            </w:r>
            <w:r>
              <w:rPr>
                <w:rFonts w:hint="eastAsia" w:ascii="宋体" w:hAnsi="宋体"/>
                <w:color w:val="000000"/>
                <w:szCs w:val="21"/>
              </w:rPr>
            </w:r>
            <w:r/>
          </w:p>
        </w:tc>
        <w:tc>
          <w:tcPr>
            <w:tcW w:w="709" w:type="dxa"/>
            <w:vAlign w:val="center"/>
            <w:textDirection w:val="lrTb"/>
            <w:noWrap w:val="false"/>
          </w:tcPr>
          <w:p>
            <w:pPr>
              <w:pStyle w:val="757"/>
              <w:jc w:val="center"/>
              <w:spacing w:line="360" w:lineRule="auto"/>
              <w:rPr>
                <w:rFonts w:hint="eastAsia" w:ascii="宋体" w:hAnsi="宋体"/>
              </w:rPr>
            </w:pPr>
            <w:r>
              <w:rPr>
                <w:rFonts w:hint="eastAsia" w:ascii="宋体" w:hAnsi="宋体"/>
              </w:rPr>
              <w:t xml:space="preserve">15分</w:t>
            </w:r>
            <w:r>
              <w:rPr>
                <w:rFonts w:hint="eastAsia" w:ascii="宋体" w:hAnsi="宋体"/>
              </w:rPr>
            </w:r>
            <w:r/>
          </w:p>
        </w:tc>
      </w:tr>
      <w:tr>
        <w:trPr>
          <w:trHeight w:val="1939"/>
        </w:trPr>
        <w:tc>
          <w:tcPr>
            <w:tcW w:w="1277" w:type="dxa"/>
            <w:vAlign w:val="center"/>
            <w:vMerge w:val="restart"/>
            <w:textDirection w:val="lrTb"/>
            <w:noWrap/>
          </w:tcPr>
          <w:p>
            <w:pPr>
              <w:pStyle w:val="757"/>
              <w:spacing w:line="360" w:lineRule="auto"/>
              <w:rPr>
                <w:rFonts w:hint="eastAsia" w:ascii="宋体" w:hAnsi="宋体"/>
                <w:b/>
                <w:szCs w:val="21"/>
              </w:rPr>
            </w:pPr>
            <w:r>
              <w:rPr>
                <w:rFonts w:hint="eastAsia" w:ascii="宋体" w:hAnsi="宋体"/>
                <w:b/>
                <w:szCs w:val="21"/>
              </w:rPr>
              <w:t xml:space="preserve">项目实施方案（72分）</w:t>
            </w:r>
            <w:r>
              <w:rPr>
                <w:rFonts w:hint="eastAsia" w:ascii="宋体" w:hAnsi="宋体"/>
                <w:b/>
                <w:szCs w:val="21"/>
              </w:rPr>
            </w:r>
            <w:r/>
          </w:p>
        </w:tc>
        <w:tc>
          <w:tcPr>
            <w:tcW w:w="1274" w:type="dxa"/>
            <w:vAlign w:val="center"/>
            <w:textDirection w:val="lrTb"/>
            <w:noWrap/>
          </w:tcPr>
          <w:p>
            <w:pPr>
              <w:pStyle w:val="757"/>
              <w:spacing w:line="360" w:lineRule="auto"/>
              <w:rPr>
                <w:rFonts w:hint="eastAsia" w:ascii="宋体" w:hAnsi="宋体"/>
                <w:szCs w:val="21"/>
              </w:rPr>
            </w:pPr>
            <w:r>
              <w:rPr>
                <w:rFonts w:hint="eastAsia" w:ascii="宋体" w:hAnsi="宋体"/>
                <w:szCs w:val="21"/>
              </w:rPr>
              <w:t xml:space="preserve">污水处理工艺深化设计方案</w:t>
            </w:r>
            <w:r>
              <w:rPr>
                <w:rFonts w:hint="eastAsia" w:ascii="宋体" w:hAnsi="宋体"/>
                <w:szCs w:val="21"/>
              </w:rPr>
            </w:r>
            <w:r/>
          </w:p>
        </w:tc>
        <w:tc>
          <w:tcPr>
            <w:tcW w:w="6522" w:type="dxa"/>
            <w:vAlign w:val="center"/>
            <w:textDirection w:val="lrTb"/>
            <w:noWrap/>
          </w:tcPr>
          <w:p>
            <w:pPr>
              <w:pStyle w:val="757"/>
              <w:spacing w:line="360" w:lineRule="auto"/>
              <w:rPr>
                <w:rFonts w:hint="eastAsia" w:ascii="宋体" w:hAnsi="宋体"/>
                <w:szCs w:val="21"/>
              </w:rPr>
            </w:pPr>
            <w:r>
              <w:rPr>
                <w:rFonts w:hint="eastAsia" w:ascii="宋体" w:hAnsi="宋体"/>
                <w:szCs w:val="21"/>
              </w:rPr>
              <w:t xml:space="preserve">提供</w:t>
            </w:r>
            <w:r>
              <w:rPr>
                <w:rFonts w:hint="eastAsia" w:ascii="宋体" w:hAnsi="宋体"/>
                <w:color w:val="000000"/>
                <w:szCs w:val="21"/>
              </w:rPr>
              <w:t xml:space="preserve">包括但不限于</w:t>
            </w:r>
            <w:r>
              <w:rPr>
                <w:rFonts w:hint="eastAsia" w:ascii="宋体" w:hAnsi="宋体"/>
                <w:szCs w:val="21"/>
              </w:rPr>
              <w:t xml:space="preserve">工艺设计总体说明、工作原理图及说明、工艺流程图、管道布局图、设备布置尺寸图、平面布置图。方案详细完整、工艺先进、完全满足采购需求的得10分；方案比较完善、基本符合采购需求的得7分；方案有所欠缺、采购需求符合性不足的得5分；与项目实际不符或不提供内容的不得分。</w:t>
            </w:r>
            <w:r>
              <w:rPr>
                <w:rFonts w:hint="eastAsia" w:ascii="宋体" w:hAnsi="宋体"/>
                <w:szCs w:val="21"/>
              </w:rPr>
            </w:r>
            <w:r/>
          </w:p>
        </w:tc>
        <w:tc>
          <w:tcPr>
            <w:tcW w:w="709" w:type="dxa"/>
            <w:vAlign w:val="center"/>
            <w:textDirection w:val="lrTb"/>
            <w:noWrap/>
          </w:tcPr>
          <w:p>
            <w:pPr>
              <w:pStyle w:val="757"/>
              <w:jc w:val="left"/>
              <w:spacing w:line="360" w:lineRule="auto"/>
              <w:rPr>
                <w:rFonts w:hint="eastAsia" w:ascii="宋体" w:hAnsi="宋体"/>
                <w:szCs w:val="21"/>
              </w:rPr>
            </w:pPr>
            <w:r>
              <w:rPr>
                <w:rFonts w:hint="eastAsia" w:ascii="宋体" w:hAnsi="宋体"/>
                <w:szCs w:val="21"/>
              </w:rPr>
              <w:t xml:space="preserve">10分</w:t>
            </w:r>
            <w:r>
              <w:rPr>
                <w:rFonts w:hint="eastAsia" w:ascii="宋体" w:hAnsi="宋体"/>
                <w:szCs w:val="21"/>
              </w:rPr>
            </w:r>
            <w:r/>
          </w:p>
        </w:tc>
      </w:tr>
      <w:tr>
        <w:trPr>
          <w:trHeight w:val="895"/>
        </w:trPr>
        <w:tc>
          <w:tcPr>
            <w:tcW w:w="1277" w:type="dxa"/>
            <w:vAlign w:val="center"/>
            <w:vMerge w:val="continue"/>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757"/>
              <w:rPr>
                <w:rFonts w:hint="eastAsia" w:ascii="宋体" w:hAnsi="宋体" w:cs="宋体"/>
                <w:bCs/>
                <w:color w:val="000000"/>
                <w:szCs w:val="21"/>
              </w:rPr>
            </w:pPr>
            <w:r>
              <w:rPr>
                <w:rFonts w:hint="eastAsia" w:ascii="宋体" w:hAnsi="宋体"/>
                <w:bCs/>
                <w:color w:val="000000"/>
                <w:szCs w:val="21"/>
              </w:rPr>
              <w:t xml:space="preserve">系统设备安装实施方案</w:t>
            </w:r>
            <w:r>
              <w:rPr>
                <w:rFonts w:hint="eastAsia" w:ascii="宋体" w:hAnsi="宋体" w:cs="宋体"/>
                <w:bCs/>
                <w:color w:val="000000"/>
                <w:szCs w:val="21"/>
              </w:rPr>
            </w:r>
            <w:r/>
          </w:p>
        </w:tc>
        <w:tc>
          <w:tcPr>
            <w:tcW w:w="6522" w:type="dxa"/>
            <w:vAlign w:val="center"/>
            <w:textDirection w:val="lrTb"/>
            <w:noWrap/>
          </w:tcPr>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系统设备安装实施方案，包括但不限于实施部署、通用设备和主要设备安装、管道安装等方案。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10分</w:t>
            </w:r>
            <w:r>
              <w:rPr>
                <w:rFonts w:hint="eastAsia" w:ascii="宋体" w:hAnsi="宋体"/>
                <w:color w:val="000000"/>
                <w:szCs w:val="21"/>
              </w:rPr>
            </w:r>
            <w:r/>
          </w:p>
        </w:tc>
      </w:tr>
      <w:tr>
        <w:trPr>
          <w:trHeight w:val="895"/>
        </w:trPr>
        <w:tc>
          <w:tcPr>
            <w:tcW w:w="1277" w:type="dxa"/>
            <w:vAlign w:val="center"/>
            <w:vMerge w:val="continue"/>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系统运行信息化联调联动调试方案</w:t>
            </w:r>
            <w:r>
              <w:rPr>
                <w:rFonts w:hint="eastAsia" w:ascii="宋体" w:hAnsi="宋体"/>
                <w:bCs/>
                <w:color w:val="000000"/>
                <w:szCs w:val="21"/>
              </w:rPr>
            </w:r>
            <w:r/>
          </w:p>
        </w:tc>
        <w:tc>
          <w:tcPr>
            <w:tcW w:w="6522" w:type="dxa"/>
            <w:vAlign w:val="center"/>
            <w:textDirection w:val="lrTb"/>
            <w:noWrap/>
          </w:tcPr>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提供系统运行信息化联调联动调试方案，包括但不限于单机调试、联动调试、试运行、安装调试保证措施等方案。</w:t>
            </w:r>
            <w:r>
              <w:rPr>
                <w:rFonts w:hint="eastAsia" w:ascii="宋体" w:hAnsi="宋体"/>
                <w:bCs/>
                <w:color w:val="000000"/>
                <w:szCs w:val="21"/>
              </w:rPr>
            </w:r>
            <w:r/>
          </w:p>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10分</w:t>
            </w:r>
            <w:r>
              <w:rPr>
                <w:rFonts w:hint="eastAsia" w:ascii="宋体" w:hAnsi="宋体"/>
                <w:color w:val="000000"/>
                <w:szCs w:val="21"/>
              </w:rPr>
            </w:r>
            <w:r/>
          </w:p>
        </w:tc>
      </w:tr>
      <w:tr>
        <w:trPr>
          <w:trHeight w:val="835"/>
        </w:trPr>
        <w:tc>
          <w:tcPr>
            <w:tcW w:w="1277" w:type="dxa"/>
            <w:vAlign w:val="center"/>
            <w:vMerge w:val="continue"/>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757"/>
              <w:jc w:val="left"/>
              <w:spacing w:line="360" w:lineRule="auto"/>
              <w:rPr>
                <w:rFonts w:hint="eastAsia" w:ascii="宋体" w:hAnsi="宋体" w:cs="宋体"/>
                <w:color w:val="000000"/>
                <w:szCs w:val="21"/>
              </w:rPr>
            </w:pPr>
            <w:r>
              <w:rPr>
                <w:rFonts w:hint="eastAsia" w:ascii="宋体" w:hAnsi="宋体"/>
                <w:bCs/>
                <w:color w:val="000000"/>
                <w:szCs w:val="21"/>
              </w:rPr>
              <w:t xml:space="preserve">提供实施组织方案</w:t>
            </w:r>
            <w:r>
              <w:rPr>
                <w:rFonts w:hint="eastAsia" w:ascii="宋体" w:hAnsi="宋体" w:cs="宋体"/>
                <w:color w:val="000000"/>
                <w:szCs w:val="21"/>
              </w:rPr>
            </w:r>
            <w:r/>
          </w:p>
        </w:tc>
        <w:tc>
          <w:tcPr>
            <w:tcW w:w="6522" w:type="dxa"/>
            <w:vAlign w:val="center"/>
            <w:textDirection w:val="lrTb"/>
            <w:noWrap/>
          </w:tcPr>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提供实施组织方案，包括但不限于项目团队组织、质量保证措施、工期保证措施、安全文明环保实施措施等方案。</w:t>
            </w:r>
            <w:r>
              <w:rPr>
                <w:rFonts w:hint="eastAsia" w:ascii="宋体" w:hAnsi="宋体"/>
                <w:bCs/>
                <w:color w:val="000000"/>
                <w:szCs w:val="21"/>
              </w:rPr>
            </w:r>
            <w:r/>
          </w:p>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757"/>
              <w:jc w:val="left"/>
              <w:spacing w:line="276" w:lineRule="auto"/>
              <w:rPr>
                <w:rFonts w:hint="eastAsia" w:ascii="宋体" w:hAnsi="宋体"/>
                <w:color w:val="000000"/>
                <w:szCs w:val="21"/>
              </w:rPr>
            </w:pPr>
            <w:r>
              <w:rPr>
                <w:rFonts w:hint="eastAsia" w:ascii="宋体" w:hAnsi="宋体"/>
                <w:color w:val="000000"/>
                <w:szCs w:val="21"/>
              </w:rPr>
              <w:t xml:space="preserve">10分</w:t>
            </w:r>
            <w:r>
              <w:rPr>
                <w:rFonts w:hint="eastAsia" w:ascii="宋体" w:hAnsi="宋体"/>
                <w:color w:val="000000"/>
                <w:szCs w:val="21"/>
              </w:rPr>
            </w:r>
            <w:r/>
          </w:p>
        </w:tc>
      </w:tr>
      <w:tr>
        <w:trPr>
          <w:trHeight w:val="2076"/>
        </w:trPr>
        <w:tc>
          <w:tcPr>
            <w:tcW w:w="1277" w:type="dxa"/>
            <w:vAlign w:val="center"/>
            <w:vMerge w:val="continue"/>
            <w:textDirection w:val="lrTb"/>
            <w:noWrap/>
          </w:tcPr>
          <w:p>
            <w:pPr>
              <w:pStyle w:val="75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757"/>
              <w:jc w:val="left"/>
              <w:spacing w:line="360" w:lineRule="auto"/>
              <w:rPr>
                <w:rFonts w:hint="eastAsia" w:ascii="宋体" w:hAnsi="宋体" w:cs="宋体"/>
                <w:bCs/>
                <w:color w:val="000000"/>
                <w:szCs w:val="21"/>
              </w:rPr>
            </w:pPr>
            <w:r>
              <w:rPr>
                <w:rFonts w:hint="eastAsia" w:ascii="宋体" w:hAnsi="宋体"/>
                <w:bCs/>
                <w:color w:val="000000"/>
                <w:szCs w:val="21"/>
              </w:rPr>
              <w:t xml:space="preserve">工期进度安排及供货、运输、安装、验收方案</w:t>
            </w:r>
            <w:r>
              <w:rPr>
                <w:rFonts w:hint="eastAsia" w:ascii="宋体" w:hAnsi="宋体" w:cs="宋体"/>
                <w:bCs/>
                <w:color w:val="000000"/>
                <w:szCs w:val="21"/>
              </w:rPr>
            </w:r>
            <w:r/>
          </w:p>
        </w:tc>
        <w:tc>
          <w:tcPr>
            <w:tcW w:w="6522" w:type="dxa"/>
            <w:vAlign w:val="center"/>
            <w:textDirection w:val="lrTb"/>
            <w:noWrap/>
          </w:tcPr>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工期进度安排及供货、运输、安装、验收方案。工期进度安排及供货、运输、安装方案完整、验收方案科学的得10分；工期进度安排及供货、运输、安装方案较为完整、验收方案可行、基本满足项目实施需要的得7分；方案有所欠缺、采购需求符合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t xml:space="preserve">10分</w:t>
            </w:r>
            <w:r>
              <w:rPr>
                <w:rFonts w:hint="eastAsia" w:ascii="宋体" w:hAnsi="宋体" w:cs="宋体"/>
                <w:bCs/>
                <w:color w:val="000000"/>
                <w:szCs w:val="21"/>
              </w:rPr>
            </w:r>
            <w:r/>
          </w:p>
        </w:tc>
      </w:tr>
      <w:tr>
        <w:trPr>
          <w:trHeight w:val="1259"/>
        </w:trPr>
        <w:tc>
          <w:tcPr>
            <w:tcW w:w="1277" w:type="dxa"/>
            <w:vAlign w:val="center"/>
            <w:vMerge w:val="continue"/>
            <w:textDirection w:val="lrTb"/>
            <w:noWrap/>
          </w:tcPr>
          <w:p>
            <w:pPr>
              <w:pStyle w:val="75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757"/>
              <w:jc w:val="center"/>
              <w:rPr>
                <w:rFonts w:ascii="宋体" w:hAnsi="宋体" w:cs="宋体"/>
                <w:bCs/>
                <w:color w:val="000000"/>
                <w:szCs w:val="21"/>
              </w:rPr>
            </w:pPr>
            <w:r>
              <w:rPr>
                <w:rStyle w:val="1136"/>
                <w:rFonts w:hint="eastAsia" w:ascii="宋体" w:hAnsi="宋体"/>
                <w:bCs/>
                <w:color w:val="000000"/>
                <w:szCs w:val="21"/>
              </w:rPr>
              <w:t xml:space="preserve">安装调试应急预案</w:t>
            </w:r>
            <w:r>
              <w:rPr>
                <w:rFonts w:ascii="宋体" w:hAnsi="宋体" w:cs="宋体"/>
                <w:bCs/>
                <w:color w:val="000000"/>
                <w:szCs w:val="21"/>
              </w:rPr>
            </w:r>
            <w:r/>
          </w:p>
        </w:tc>
        <w:tc>
          <w:tcPr>
            <w:tcW w:w="6522" w:type="dxa"/>
            <w:vAlign w:val="center"/>
            <w:textDirection w:val="lrTb"/>
            <w:noWrap/>
          </w:tcPr>
          <w:p>
            <w:pPr>
              <w:pStyle w:val="757"/>
              <w:jc w:val="left"/>
              <w:spacing w:line="360" w:lineRule="auto"/>
              <w:widowControl/>
              <w:rPr>
                <w:rFonts w:ascii="宋体" w:hAnsi="宋体"/>
                <w:color w:val="000000"/>
                <w:szCs w:val="21"/>
              </w:rPr>
            </w:pPr>
            <w:r>
              <w:rPr>
                <w:rFonts w:hint="eastAsia" w:ascii="宋体" w:hAnsi="宋体"/>
                <w:color w:val="000000"/>
                <w:szCs w:val="21"/>
              </w:rPr>
              <w:t xml:space="preserve">提供安装调试应急预案，包括但不限于管理体系与组织机构安排、技术指导与培训服务、日常运维与巡检服务、备品备件保障、发生应急情况预案及措施等方案。</w:t>
            </w:r>
            <w:r>
              <w:rPr>
                <w:rFonts w:ascii="宋体" w:hAnsi="宋体"/>
                <w:color w:val="000000"/>
                <w:szCs w:val="21"/>
              </w:rPr>
            </w:r>
            <w:r/>
          </w:p>
          <w:p>
            <w:pPr>
              <w:pStyle w:val="757"/>
              <w:jc w:val="left"/>
              <w:spacing w:line="360" w:lineRule="auto"/>
              <w:widowControl/>
              <w:rPr>
                <w:rFonts w:hint="eastAsia" w:ascii="宋体" w:hAnsi="宋体"/>
                <w:bCs/>
                <w:color w:val="000000"/>
                <w:szCs w:val="21"/>
              </w:rPr>
            </w:pPr>
            <w:r>
              <w:rPr>
                <w:rFonts w:hint="eastAsia" w:ascii="宋体" w:hAnsi="宋体"/>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757"/>
              <w:jc w:val="center"/>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r>
      <w:tr>
        <w:trPr>
          <w:trHeight w:val="1259"/>
        </w:trPr>
        <w:tc>
          <w:tcPr>
            <w:tcW w:w="1277" w:type="dxa"/>
            <w:vAlign w:val="center"/>
            <w:vMerge w:val="continue"/>
            <w:textDirection w:val="lrTb"/>
            <w:noWrap/>
          </w:tcPr>
          <w:p>
            <w:pPr>
              <w:pStyle w:val="75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757"/>
              <w:jc w:val="center"/>
              <w:rPr>
                <w:rFonts w:ascii="宋体" w:hAnsi="宋体" w:cs="宋体"/>
                <w:bCs/>
                <w:color w:val="000000"/>
                <w:szCs w:val="21"/>
              </w:rPr>
            </w:pPr>
            <w:r>
              <w:rPr>
                <w:rFonts w:hint="eastAsia" w:ascii="宋体" w:hAnsi="宋体"/>
                <w:bCs/>
                <w:color w:val="000000"/>
                <w:szCs w:val="21"/>
              </w:rPr>
              <w:t xml:space="preserve">本项目污水站运行维护方案</w:t>
            </w:r>
            <w:r>
              <w:rPr>
                <w:rFonts w:ascii="宋体" w:hAnsi="宋体" w:cs="宋体"/>
                <w:bCs/>
                <w:color w:val="000000"/>
                <w:szCs w:val="21"/>
              </w:rPr>
            </w:r>
            <w:r/>
          </w:p>
        </w:tc>
        <w:tc>
          <w:tcPr>
            <w:tcW w:w="6522" w:type="dxa"/>
            <w:vAlign w:val="center"/>
            <w:textDirection w:val="lrTb"/>
            <w:noWrap/>
          </w:tcPr>
          <w:p>
            <w:pPr>
              <w:pStyle w:val="757"/>
              <w:jc w:val="left"/>
              <w:spacing w:line="360" w:lineRule="auto"/>
              <w:widowControl/>
              <w:rPr>
                <w:rFonts w:ascii="宋体"/>
                <w:bCs/>
                <w:color w:val="000000"/>
                <w:szCs w:val="21"/>
              </w:rPr>
            </w:pPr>
            <w:r>
              <w:rPr>
                <w:rFonts w:hint="eastAsia" w:ascii="宋体" w:hAnsi="宋体"/>
                <w:bCs/>
                <w:color w:val="000000"/>
                <w:szCs w:val="21"/>
              </w:rPr>
              <w:t xml:space="preserve">提供本项目污水站运行维护方案，包括但不限于</w:t>
            </w:r>
            <w:r>
              <w:rPr>
                <w:rFonts w:hint="eastAsia" w:ascii="宋体" w:hAnsi="宋体"/>
                <w:color w:val="000000"/>
                <w:szCs w:val="21"/>
              </w:rPr>
              <w:t xml:space="preserve">运维项目组织管理方案</w:t>
            </w:r>
            <w:r>
              <w:rPr>
                <w:rFonts w:hint="eastAsia" w:ascii="宋体" w:hAnsi="宋体"/>
                <w:bCs/>
                <w:color w:val="000000"/>
                <w:szCs w:val="21"/>
              </w:rPr>
              <w:t xml:space="preserve">、</w:t>
            </w:r>
            <w:r>
              <w:rPr>
                <w:rFonts w:hint="eastAsia" w:ascii="宋体" w:hAnsi="宋体"/>
                <w:color w:val="000000"/>
                <w:szCs w:val="21"/>
              </w:rPr>
              <w:t xml:space="preserve">现场运维方案</w:t>
            </w:r>
            <w:r>
              <w:rPr>
                <w:rFonts w:hint="eastAsia" w:ascii="宋体" w:hAnsi="宋体"/>
                <w:bCs/>
                <w:color w:val="000000"/>
                <w:szCs w:val="21"/>
              </w:rPr>
              <w:t xml:space="preserve">、运维</w:t>
            </w:r>
            <w:r>
              <w:rPr>
                <w:rFonts w:hint="eastAsia" w:ascii="宋体" w:hAnsi="宋体"/>
                <w:color w:val="000000"/>
                <w:szCs w:val="21"/>
              </w:rPr>
              <w:t xml:space="preserve">突发事故应急预案与处理能力</w:t>
            </w:r>
            <w:r>
              <w:rPr>
                <w:rFonts w:hint="eastAsia" w:ascii="宋体" w:hAnsi="宋体"/>
                <w:bCs/>
                <w:color w:val="000000"/>
                <w:szCs w:val="21"/>
              </w:rPr>
              <w:t xml:space="preserve">、</w:t>
            </w:r>
            <w:r>
              <w:rPr>
                <w:rFonts w:hint="eastAsia" w:ascii="宋体" w:hAnsi="宋体"/>
                <w:color w:val="000000"/>
                <w:szCs w:val="21"/>
              </w:rPr>
              <w:t xml:space="preserve">运营服务承诺和达标排放计划及监测、技术支持及质量保证（障）措施</w:t>
            </w:r>
            <w:r>
              <w:rPr>
                <w:rFonts w:hint="eastAsia" w:ascii="宋体" w:hAnsi="宋体"/>
                <w:bCs/>
                <w:color w:val="000000"/>
                <w:szCs w:val="21"/>
              </w:rPr>
              <w:t xml:space="preserve">等方案。</w:t>
            </w:r>
            <w:r>
              <w:rPr>
                <w:rFonts w:ascii="宋体"/>
                <w:bCs/>
                <w:color w:val="000000"/>
                <w:szCs w:val="21"/>
              </w:rPr>
            </w:r>
            <w:r/>
          </w:p>
          <w:p>
            <w:pPr>
              <w:pStyle w:val="757"/>
              <w:jc w:val="left"/>
              <w:spacing w:line="360" w:lineRule="auto"/>
              <w:rPr>
                <w:rFonts w:hint="eastAsia" w:ascii="宋体" w:hAnsi="宋体" w:cs="宋体"/>
                <w:color w:val="000000"/>
                <w:szCs w:val="21"/>
              </w:rPr>
            </w:pPr>
            <w:r>
              <w:rPr>
                <w:rFonts w:hint="eastAsia" w:ascii="宋体" w:hAnsi="宋体"/>
                <w:bCs/>
                <w:color w:val="000000"/>
                <w:szCs w:val="21"/>
              </w:rPr>
              <w:t xml:space="preserve">方案详细完整、措施科学合理、技术可行性强、流程标准规范的得12分；方案较为完整、措施较为合理、技术可行性一般、流程基本规范的得8分；方案简单笼统、措施合理性、技术可行性、流程规范性不足的得5分；与项目实际不符或不提供内容的不得分。</w:t>
            </w:r>
            <w:r>
              <w:rPr>
                <w:rFonts w:hint="eastAsia" w:ascii="宋体" w:hAnsi="宋体" w:cs="宋体"/>
                <w:color w:val="000000"/>
                <w:szCs w:val="21"/>
              </w:rPr>
            </w:r>
            <w:r/>
          </w:p>
        </w:tc>
        <w:tc>
          <w:tcPr>
            <w:tcW w:w="709" w:type="dxa"/>
            <w:vAlign w:val="center"/>
            <w:textDirection w:val="lrTb"/>
            <w:noWrap/>
          </w:tcPr>
          <w:p>
            <w:pPr>
              <w:pStyle w:val="757"/>
              <w:jc w:val="center"/>
              <w:rPr>
                <w:rFonts w:ascii="宋体" w:hAnsi="宋体" w:cs="宋体"/>
                <w:bCs/>
                <w:color w:val="000000"/>
                <w:szCs w:val="21"/>
              </w:rPr>
            </w:pPr>
            <w:r>
              <w:rPr>
                <w:rFonts w:hint="eastAsia" w:ascii="宋体" w:hAnsi="宋体" w:cs="宋体"/>
                <w:bCs/>
                <w:color w:val="000000"/>
                <w:szCs w:val="21"/>
              </w:rPr>
              <w:t xml:space="preserve">12分</w:t>
            </w:r>
            <w:r>
              <w:rPr>
                <w:rFonts w:ascii="宋体" w:hAnsi="宋体" w:cs="宋体"/>
                <w:bCs/>
                <w:color w:val="000000"/>
                <w:szCs w:val="21"/>
              </w:rPr>
            </w:r>
            <w:r/>
          </w:p>
        </w:tc>
      </w:tr>
      <w:tr>
        <w:trPr>
          <w:trHeight w:val="1259"/>
        </w:trPr>
        <w:tc>
          <w:tcPr>
            <w:tcW w:w="1277" w:type="dxa"/>
            <w:vAlign w:val="center"/>
            <w:vMerge w:val="restart"/>
            <w:textDirection w:val="lrTb"/>
            <w:noWrap/>
          </w:tcPr>
          <w:p>
            <w:pPr>
              <w:pStyle w:val="757"/>
              <w:jc w:val="center"/>
              <w:rPr>
                <w:rFonts w:hint="eastAsia" w:ascii="宋体" w:hAnsi="宋体" w:cs="宋体"/>
                <w:bCs/>
                <w:color w:val="000000"/>
                <w:szCs w:val="21"/>
              </w:rPr>
            </w:pPr>
            <w:r>
              <w:rPr>
                <w:rFonts w:hint="eastAsia" w:ascii="宋体" w:hAnsi="宋体"/>
                <w:b/>
                <w:color w:val="000000"/>
                <w:szCs w:val="21"/>
              </w:rPr>
              <w:t xml:space="preserve">综合实力（13分）</w:t>
            </w:r>
            <w:r>
              <w:rPr>
                <w:rFonts w:hint="eastAsia" w:ascii="宋体" w:hAnsi="宋体" w:cs="宋体"/>
                <w:bCs/>
                <w:color w:val="000000"/>
                <w:szCs w:val="21"/>
              </w:rPr>
            </w:r>
            <w:r/>
          </w:p>
        </w:tc>
        <w:tc>
          <w:tcPr>
            <w:tcW w:w="1274" w:type="dxa"/>
            <w:vAlign w:val="center"/>
            <w:textDirection w:val="lrTb"/>
            <w:noWrap/>
          </w:tcPr>
          <w:p>
            <w:pPr>
              <w:pStyle w:val="757"/>
              <w:jc w:val="center"/>
              <w:rPr>
                <w:rFonts w:ascii="宋体" w:hAnsi="宋体" w:cs="宋体"/>
                <w:bCs/>
                <w:color w:val="000000"/>
                <w:szCs w:val="21"/>
              </w:rPr>
            </w:pPr>
            <w:r>
              <w:rPr>
                <w:rFonts w:hint="eastAsia" w:ascii="宋体" w:hAnsi="宋体"/>
                <w:bCs/>
                <w:color w:val="000000"/>
                <w:sz w:val="24"/>
                <w:szCs w:val="21"/>
              </w:rPr>
              <w:t xml:space="preserve">项目人员配备</w:t>
            </w:r>
            <w:r>
              <w:rPr>
                <w:rFonts w:ascii="宋体" w:hAnsi="宋体" w:cs="宋体"/>
                <w:bCs/>
                <w:color w:val="000000"/>
                <w:szCs w:val="21"/>
              </w:rPr>
            </w:r>
            <w:r/>
          </w:p>
        </w:tc>
        <w:tc>
          <w:tcPr>
            <w:tcW w:w="6522" w:type="dxa"/>
            <w:vAlign w:val="center"/>
            <w:textDirection w:val="lrTb"/>
            <w:noWrap/>
          </w:tcPr>
          <w:p>
            <w:pPr>
              <w:pStyle w:val="757"/>
              <w:jc w:val="left"/>
              <w:spacing w:line="360" w:lineRule="auto"/>
              <w:widowControl/>
              <w:rPr>
                <w:rFonts w:asci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）项目经理具备中级工程师及以上职称证书的得</w:t>
            </w:r>
            <w:r>
              <w:rPr>
                <w:rFonts w:ascii="宋体" w:hAnsi="宋体"/>
                <w:bCs/>
                <w:color w:val="000000"/>
                <w:szCs w:val="21"/>
              </w:rPr>
              <w:t xml:space="preserve">2</w:t>
            </w:r>
            <w:r>
              <w:rPr>
                <w:rFonts w:hint="eastAsia" w:ascii="宋体" w:hAnsi="宋体"/>
                <w:bCs/>
                <w:color w:val="000000"/>
                <w:szCs w:val="21"/>
              </w:rPr>
              <w:t xml:space="preserve">分；本项最高得</w:t>
            </w:r>
            <w:r>
              <w:rPr>
                <w:rFonts w:ascii="宋体" w:hAnsi="宋体"/>
                <w:bCs/>
                <w:color w:val="000000"/>
                <w:szCs w:val="21"/>
              </w:rPr>
              <w:t xml:space="preserve">2</w:t>
            </w:r>
            <w:r>
              <w:rPr>
                <w:rFonts w:hint="eastAsia" w:ascii="宋体" w:hAnsi="宋体"/>
                <w:bCs/>
                <w:color w:val="000000"/>
                <w:szCs w:val="21"/>
              </w:rPr>
              <w:t xml:space="preserve">分。</w:t>
            </w:r>
            <w:r>
              <w:rPr>
                <w:rFonts w:ascii="宋体"/>
                <w:bCs/>
                <w:color w:val="000000"/>
                <w:szCs w:val="21"/>
              </w:rPr>
            </w:r>
            <w:r/>
          </w:p>
          <w:p>
            <w:pPr>
              <w:pStyle w:val="757"/>
              <w:jc w:val="left"/>
              <w:spacing w:line="360" w:lineRule="auto"/>
              <w:widowControl/>
              <w:rPr>
                <w:rFonts w:hint="eastAsia"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）项目组成员1（除项目经理外）：具有安全员证书的得</w:t>
            </w:r>
            <w:r>
              <w:rPr>
                <w:rFonts w:ascii="宋体" w:hAnsi="宋体"/>
                <w:bCs/>
                <w:color w:val="000000"/>
                <w:szCs w:val="21"/>
              </w:rPr>
              <w:t xml:space="preserve">1</w:t>
            </w:r>
            <w:r>
              <w:rPr>
                <w:rFonts w:hint="eastAsia" w:ascii="宋体" w:hAnsi="宋体"/>
                <w:bCs/>
                <w:color w:val="000000"/>
                <w:szCs w:val="21"/>
              </w:rPr>
              <w:t xml:space="preserve">分，具有注册安全工程师证书的得2分，本项最高得2分。</w:t>
            </w:r>
            <w:r>
              <w:rPr>
                <w:rFonts w:hint="eastAsia" w:ascii="宋体" w:hAnsi="宋体"/>
                <w:bCs/>
                <w:color w:val="000000"/>
                <w:szCs w:val="21"/>
              </w:rPr>
            </w:r>
            <w:r/>
          </w:p>
          <w:p>
            <w:pPr>
              <w:pStyle w:val="757"/>
              <w:jc w:val="left"/>
              <w:spacing w:line="360" w:lineRule="auto"/>
              <w:rPr>
                <w:rFonts w:hint="eastAsia" w:ascii="宋体" w:hAnsi="宋体"/>
                <w:bCs/>
                <w:color w:val="000000"/>
                <w:szCs w:val="21"/>
              </w:rPr>
            </w:pPr>
            <w:r>
              <w:rPr>
                <w:rFonts w:hint="eastAsia" w:ascii="宋体" w:hAnsi="宋体"/>
                <w:bCs/>
                <w:color w:val="000000"/>
                <w:szCs w:val="21"/>
              </w:rPr>
              <w:t xml:space="preserve">（3）项目组成员2（除项目经理外）：具备污水(工业废水)处理工职业技能等级证书，得2分。</w:t>
            </w:r>
            <w:r>
              <w:rPr>
                <w:rFonts w:hint="eastAsia" w:ascii="宋体" w:hAnsi="宋体"/>
                <w:bCs/>
                <w:color w:val="000000"/>
                <w:szCs w:val="21"/>
              </w:rPr>
            </w:r>
            <w:r/>
          </w:p>
          <w:p>
            <w:pPr>
              <w:pStyle w:val="757"/>
              <w:jc w:val="left"/>
              <w:spacing w:line="360" w:lineRule="auto"/>
              <w:rPr>
                <w:rFonts w:hint="eastAsia" w:ascii="宋体" w:hAnsi="宋体" w:cs="宋体"/>
                <w:color w:val="000000"/>
                <w:szCs w:val="21"/>
              </w:rPr>
            </w:pPr>
            <w:r>
              <w:rPr>
                <w:rFonts w:hint="eastAsia" w:ascii="宋体" w:hAnsi="宋体"/>
                <w:b/>
                <w:bCs/>
                <w:color w:val="000000"/>
                <w:szCs w:val="21"/>
              </w:rPr>
              <w:t xml:space="preserve">（提供相关证书及投标人为其缴纳的近期社保证明扫描件）</w:t>
            </w:r>
            <w:r>
              <w:rPr>
                <w:rFonts w:hint="eastAsia" w:ascii="宋体" w:hAnsi="宋体"/>
                <w:bCs/>
                <w:color w:val="000000"/>
                <w:szCs w:val="21"/>
              </w:rPr>
              <w:t xml:space="preserve">。</w:t>
            </w:r>
            <w:r>
              <w:rPr>
                <w:rFonts w:hint="eastAsia" w:ascii="宋体" w:hAnsi="宋体" w:cs="宋体"/>
                <w:color w:val="000000"/>
                <w:szCs w:val="21"/>
              </w:rPr>
            </w:r>
            <w:r/>
          </w:p>
        </w:tc>
        <w:tc>
          <w:tcPr>
            <w:tcW w:w="709" w:type="dxa"/>
            <w:vAlign w:val="center"/>
            <w:textDirection w:val="lrTb"/>
            <w:noWrap/>
          </w:tcPr>
          <w:p>
            <w:pPr>
              <w:pStyle w:val="757"/>
              <w:jc w:val="center"/>
              <w:rPr>
                <w:rFonts w:ascii="宋体" w:hAnsi="宋体" w:cs="宋体"/>
                <w:bCs/>
                <w:color w:val="000000"/>
                <w:szCs w:val="21"/>
              </w:rPr>
            </w:pPr>
            <w:r>
              <w:rPr>
                <w:rFonts w:hint="eastAsia" w:ascii="宋体" w:hAnsi="宋体" w:cs="宋体"/>
                <w:bCs/>
                <w:color w:val="000000"/>
                <w:szCs w:val="21"/>
              </w:rPr>
              <w:t xml:space="preserve">6分</w:t>
            </w:r>
            <w:r>
              <w:rPr>
                <w:rFonts w:ascii="宋体" w:hAnsi="宋体" w:cs="宋体"/>
                <w:bCs/>
                <w:color w:val="000000"/>
                <w:szCs w:val="21"/>
              </w:rPr>
            </w:r>
            <w:r/>
          </w:p>
        </w:tc>
      </w:tr>
      <w:tr>
        <w:trPr>
          <w:trHeight w:val="814"/>
        </w:trPr>
        <w:tc>
          <w:tcPr>
            <w:tcW w:w="1277" w:type="dxa"/>
            <w:vAlign w:val="center"/>
            <w:vMerge w:val="continue"/>
            <w:textDirection w:val="lrTb"/>
            <w:noWrap/>
          </w:tcPr>
          <w:p>
            <w:pPr>
              <w:pStyle w:val="75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t xml:space="preserve">体系认证</w:t>
            </w:r>
            <w:r>
              <w:rPr>
                <w:rFonts w:hint="eastAsia" w:ascii="宋体" w:hAnsi="宋体" w:cs="宋体"/>
                <w:bCs/>
                <w:color w:val="000000"/>
                <w:szCs w:val="21"/>
              </w:rPr>
            </w:r>
            <w:r/>
          </w:p>
        </w:tc>
        <w:tc>
          <w:tcPr>
            <w:tcW w:w="6522" w:type="dxa"/>
            <w:vAlign w:val="center"/>
            <w:textDirection w:val="lrTb"/>
            <w:noWrap/>
          </w:tcPr>
          <w:p>
            <w:pPr>
              <w:pStyle w:val="757"/>
              <w:jc w:val="left"/>
              <w:spacing w:line="360" w:lineRule="auto"/>
              <w:rPr>
                <w:rFonts w:hint="eastAsia" w:ascii="宋体" w:hAnsi="宋体"/>
                <w:bCs/>
                <w:color w:val="000000"/>
                <w:szCs w:val="21"/>
              </w:rPr>
            </w:pPr>
            <w:r>
              <w:rPr>
                <w:rFonts w:hint="eastAsia" w:ascii="宋体" w:hAnsi="宋体"/>
                <w:bCs/>
                <w:color w:val="000000"/>
                <w:szCs w:val="21"/>
              </w:rPr>
              <w:t xml:space="preserve">投标人具备在有效期内的质量管理体系认证证书、环境管理体系认证证书、职业健康安全管理体系认证证书的，每具备一项得</w:t>
            </w:r>
            <w:r>
              <w:rPr>
                <w:rFonts w:ascii="宋体" w:hAnsi="宋体"/>
                <w:bCs/>
                <w:color w:val="000000"/>
                <w:szCs w:val="21"/>
              </w:rPr>
              <w:t xml:space="preserve">1</w:t>
            </w:r>
            <w:r>
              <w:rPr>
                <w:rFonts w:hint="eastAsia" w:ascii="宋体" w:hAnsi="宋体"/>
                <w:bCs/>
                <w:color w:val="000000"/>
                <w:szCs w:val="21"/>
              </w:rPr>
              <w:t xml:space="preserve">分，本项最高得</w:t>
            </w:r>
            <w:r>
              <w:rPr>
                <w:rFonts w:ascii="宋体" w:hAnsi="宋体"/>
                <w:bCs/>
                <w:color w:val="000000"/>
                <w:szCs w:val="21"/>
              </w:rPr>
              <w:t xml:space="preserve">3</w:t>
            </w:r>
            <w:r>
              <w:rPr>
                <w:rFonts w:hint="eastAsia" w:ascii="宋体" w:hAnsi="宋体"/>
                <w:bCs/>
                <w:color w:val="000000"/>
                <w:szCs w:val="21"/>
              </w:rPr>
              <w:t xml:space="preserve">分。                                                </w:t>
            </w:r>
            <w:r>
              <w:rPr>
                <w:rFonts w:hint="eastAsia" w:ascii="宋体" w:hAnsi="宋体"/>
                <w:b/>
                <w:bCs/>
                <w:color w:val="000000"/>
                <w:szCs w:val="21"/>
              </w:rPr>
              <w:t xml:space="preserve">（提供证书扫描件及中国国家认证认可监督管理委员会网站查询清晰页面完整截图）</w:t>
            </w:r>
            <w:r>
              <w:rPr>
                <w:rFonts w:hint="eastAsia" w:ascii="宋体" w:hAnsi="宋体"/>
                <w:bCs/>
                <w:color w:val="000000"/>
                <w:szCs w:val="21"/>
              </w:rPr>
            </w:r>
            <w:r/>
          </w:p>
        </w:tc>
        <w:tc>
          <w:tcPr>
            <w:tcW w:w="709" w:type="dxa"/>
            <w:vAlign w:val="center"/>
            <w:textDirection w:val="lrTb"/>
            <w:noWrap/>
          </w:tcPr>
          <w:p>
            <w:pPr>
              <w:pStyle w:val="757"/>
              <w:jc w:val="center"/>
              <w:rPr>
                <w:rFonts w:ascii="宋体" w:hAnsi="宋体" w:cs="宋体"/>
                <w:bCs/>
                <w:color w:val="000000"/>
                <w:szCs w:val="21"/>
              </w:rPr>
            </w:pPr>
            <w:r>
              <w:rPr>
                <w:rFonts w:hint="eastAsia" w:ascii="宋体" w:hAnsi="宋体" w:cs="宋体"/>
                <w:bCs/>
                <w:color w:val="000000"/>
                <w:szCs w:val="21"/>
              </w:rPr>
              <w:t xml:space="preserve">3分</w:t>
            </w:r>
            <w:r>
              <w:rPr>
                <w:rFonts w:ascii="宋体" w:hAnsi="宋体" w:cs="宋体"/>
                <w:bCs/>
                <w:color w:val="000000"/>
                <w:szCs w:val="21"/>
              </w:rPr>
            </w:r>
            <w:r/>
          </w:p>
        </w:tc>
      </w:tr>
      <w:tr>
        <w:trPr>
          <w:trHeight w:val="1409"/>
        </w:trPr>
        <w:tc>
          <w:tcPr>
            <w:tcW w:w="1277" w:type="dxa"/>
            <w:vAlign w:val="center"/>
            <w:vMerge w:val="continue"/>
            <w:textDirection w:val="lrTb"/>
            <w:noWrap/>
          </w:tcPr>
          <w:p>
            <w:pPr>
              <w:pStyle w:val="75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757"/>
              <w:jc w:val="center"/>
              <w:rPr>
                <w:rFonts w:hint="eastAsia" w:ascii="宋体" w:hAnsi="宋体" w:cs="宋体"/>
                <w:bCs/>
                <w:color w:val="000000"/>
                <w:szCs w:val="21"/>
              </w:rPr>
            </w:pPr>
            <w:r>
              <w:rPr>
                <w:rFonts w:hint="eastAsia" w:ascii="宋体" w:hAnsi="宋体" w:cs="宋体"/>
                <w:bCs/>
                <w:color w:val="000000"/>
                <w:szCs w:val="21"/>
              </w:rPr>
              <w:t xml:space="preserve">业绩</w:t>
            </w:r>
            <w:r>
              <w:rPr>
                <w:rFonts w:hint="eastAsia" w:ascii="宋体" w:hAnsi="宋体" w:cs="宋体"/>
                <w:bCs/>
                <w:color w:val="000000"/>
                <w:szCs w:val="21"/>
              </w:rPr>
            </w:r>
            <w:r/>
          </w:p>
        </w:tc>
        <w:tc>
          <w:tcPr>
            <w:tcW w:w="6522" w:type="dxa"/>
            <w:vAlign w:val="center"/>
            <w:textDirection w:val="lrTb"/>
            <w:noWrap/>
          </w:tcPr>
          <w:p>
            <w:pPr>
              <w:pStyle w:val="757"/>
              <w:jc w:val="left"/>
              <w:spacing w:line="360" w:lineRule="auto"/>
              <w:rPr>
                <w:rFonts w:hint="eastAsia" w:ascii="宋体" w:hAnsi="宋体"/>
                <w:bCs/>
                <w:color w:val="000000"/>
                <w:sz w:val="24"/>
                <w:szCs w:val="21"/>
                <w:highlight w:val="yellow"/>
              </w:rPr>
            </w:pPr>
            <w:r>
              <w:rPr>
                <w:rFonts w:hint="eastAsia" w:ascii="宋体" w:hAnsi="宋体"/>
                <w:bCs/>
                <w:color w:val="000000"/>
                <w:szCs w:val="21"/>
              </w:rPr>
              <w:t xml:space="preserve">投标人自</w:t>
            </w:r>
            <w:r>
              <w:rPr>
                <w:rFonts w:ascii="宋体" w:hAnsi="宋体"/>
                <w:bCs/>
                <w:color w:val="000000"/>
                <w:szCs w:val="21"/>
              </w:rPr>
              <w:t xml:space="preserve">202</w:t>
            </w:r>
            <w:r>
              <w:rPr>
                <w:rFonts w:hint="eastAsia" w:ascii="宋体" w:hAnsi="宋体"/>
                <w:bCs/>
                <w:color w:val="000000"/>
                <w:szCs w:val="21"/>
              </w:rPr>
              <w:t xml:space="preserve">2年</w:t>
            </w:r>
            <w:r>
              <w:rPr>
                <w:rFonts w:ascii="宋体" w:hAnsi="宋体"/>
                <w:bCs/>
                <w:color w:val="000000"/>
                <w:szCs w:val="21"/>
              </w:rPr>
              <w:t xml:space="preserve">1</w:t>
            </w:r>
            <w:r>
              <w:rPr>
                <w:rFonts w:hint="eastAsia" w:ascii="宋体" w:hAnsi="宋体"/>
                <w:bCs/>
                <w:color w:val="000000"/>
                <w:szCs w:val="21"/>
              </w:rPr>
              <w:t xml:space="preserve">月</w:t>
            </w:r>
            <w:r>
              <w:rPr>
                <w:rFonts w:ascii="宋体" w:hAnsi="宋体"/>
                <w:bCs/>
                <w:color w:val="000000"/>
                <w:szCs w:val="21"/>
              </w:rPr>
              <w:t xml:space="preserve">1</w:t>
            </w:r>
            <w:r>
              <w:rPr>
                <w:rFonts w:hint="eastAsia" w:ascii="宋体" w:hAnsi="宋体"/>
                <w:bCs/>
                <w:color w:val="000000"/>
                <w:szCs w:val="21"/>
              </w:rPr>
              <w:t xml:space="preserve">日至今（以合同签订日期为准）以来独立完成过的类似项目业绩证明，每提供一份业绩得1分，本项最高得4分。                                                           （提供业绩合同及部分发票扫描件）</w:t>
            </w:r>
            <w:r>
              <w:rPr>
                <w:rFonts w:hint="eastAsia" w:ascii="宋体" w:hAnsi="宋体"/>
                <w:bCs/>
                <w:color w:val="000000"/>
                <w:sz w:val="24"/>
                <w:szCs w:val="21"/>
                <w:highlight w:val="yellow"/>
              </w:rPr>
            </w:r>
            <w:r/>
          </w:p>
        </w:tc>
        <w:tc>
          <w:tcPr>
            <w:tcW w:w="709" w:type="dxa"/>
            <w:vAlign w:val="center"/>
            <w:textDirection w:val="lrTb"/>
            <w:noWrap/>
          </w:tcPr>
          <w:p>
            <w:pPr>
              <w:pStyle w:val="757"/>
              <w:jc w:val="center"/>
              <w:rPr>
                <w:rFonts w:ascii="宋体" w:hAnsi="宋体" w:cs="宋体"/>
                <w:bCs/>
                <w:color w:val="000000"/>
                <w:szCs w:val="21"/>
                <w:highlight w:val="yellow"/>
              </w:rPr>
            </w:pPr>
            <w:r>
              <w:rPr>
                <w:rFonts w:hint="eastAsia" w:ascii="宋体" w:hAnsi="宋体" w:cs="宋体"/>
                <w:bCs/>
                <w:color w:val="000000"/>
                <w:szCs w:val="21"/>
              </w:rPr>
              <w:t xml:space="preserve">4分</w:t>
            </w:r>
            <w:r>
              <w:rPr>
                <w:rFonts w:ascii="宋体" w:hAnsi="宋体" w:cs="宋体"/>
                <w:bCs/>
                <w:color w:val="000000"/>
                <w:szCs w:val="21"/>
                <w:highlight w:val="yellow"/>
              </w:rPr>
            </w:r>
            <w:r/>
          </w:p>
        </w:tc>
      </w:tr>
    </w:tbl>
    <w:p>
      <w:pPr>
        <w:pStyle w:val="757"/>
        <w:rPr>
          <w:rFonts w:hint="eastAsia"/>
          <w:b/>
        </w:rPr>
      </w:pPr>
      <w:r>
        <w:rPr>
          <w:rFonts w:hint="eastAsia"/>
          <w:b/>
        </w:rPr>
      </w:r>
      <w:r/>
    </w:p>
    <w:p>
      <w:pPr>
        <w:pStyle w:val="757"/>
        <w:rPr>
          <w:rFonts w:ascii="Tahoma" w:hAnsi="Tahoma"/>
          <w:sz w:val="24"/>
        </w:rPr>
      </w:pPr>
      <w:r/>
      <w:bookmarkStart w:id="62" w:name="_Toc42161280"/>
      <w:r>
        <w:rPr>
          <w:rFonts w:ascii="Tahoma" w:hAnsi="Tahoma"/>
          <w:sz w:val="24"/>
        </w:rPr>
      </w:r>
      <w:r/>
    </w:p>
    <w:p>
      <w:pPr>
        <w:pStyle w:val="779"/>
        <w:ind w:firstLine="0"/>
        <w:rPr>
          <w:rFonts w:hint="eastAsia" w:ascii="宋体" w:hAnsi="宋体" w:eastAsia="宋体"/>
          <w:b/>
        </w:rPr>
      </w:pPr>
      <w:r>
        <w:rPr>
          <w:rFonts w:hint="eastAsia" w:ascii="宋体" w:hAnsi="宋体" w:eastAsia="宋体"/>
          <w:b/>
        </w:rPr>
        <w:t xml:space="preserve">备注：</w:t>
      </w:r>
      <w:r>
        <w:rPr>
          <w:rFonts w:hint="eastAsia" w:ascii="宋体" w:hAnsi="宋体" w:eastAsia="宋体"/>
          <w:b/>
        </w:rPr>
      </w:r>
      <w:r/>
    </w:p>
    <w:p>
      <w:pPr>
        <w:pStyle w:val="757"/>
        <w:spacing w:line="360" w:lineRule="auto"/>
        <w:rPr>
          <w:rFonts w:hint="eastAsia" w:ascii="宋体" w:hAnsi="宋体" w:cs="宋体"/>
          <w:szCs w:val="21"/>
        </w:rPr>
      </w:pPr>
      <w:r>
        <w:rPr>
          <w:rFonts w:hint="eastAsia" w:ascii="宋体" w:hAnsi="宋体" w:cs="宋体"/>
          <w:szCs w:val="21"/>
        </w:rPr>
        <w:t xml:space="preserve">1、以上评分标准中评分的每一条，各投标单位均应提供相关的资料作出相应的对比供专家评判。</w:t>
      </w:r>
      <w:r>
        <w:rPr>
          <w:rFonts w:hint="eastAsia" w:ascii="宋体" w:hAnsi="宋体" w:cs="宋体"/>
          <w:szCs w:val="21"/>
        </w:rPr>
      </w:r>
      <w:r/>
    </w:p>
    <w:p>
      <w:pPr>
        <w:pStyle w:val="757"/>
        <w:spacing w:line="360" w:lineRule="auto"/>
        <w:rPr>
          <w:rFonts w:hint="eastAsia" w:ascii="宋体" w:hAnsi="宋体" w:cs="宋体"/>
          <w:szCs w:val="21"/>
        </w:rPr>
      </w:pPr>
      <w:r>
        <w:rPr>
          <w:rFonts w:hint="eastAsia" w:ascii="宋体" w:hAnsi="宋体" w:cs="宋体"/>
          <w:color w:val="000000"/>
          <w:szCs w:val="21"/>
        </w:rPr>
        <w:t xml:space="preserve">2、投标文件内所有有关评审的证书、荣誉、业绩、人员等评分项</w:t>
      </w:r>
      <w:r>
        <w:rPr>
          <w:rFonts w:hint="eastAsia" w:ascii="宋体" w:hAnsi="宋体" w:cs="宋体"/>
          <w:szCs w:val="21"/>
        </w:rPr>
        <w:t xml:space="preserve">须提供加盖投标单位公章的相关资料扫描件，不提供不得分。投标文件内所有资料均须清晰可辨，如因投标文件内的资料模糊造成的评审扣分由投标单位自行承担后果。</w:t>
      </w:r>
      <w:r>
        <w:rPr>
          <w:rFonts w:hint="eastAsia" w:ascii="宋体" w:hAnsi="宋体" w:cs="宋体"/>
          <w:szCs w:val="21"/>
        </w:rPr>
      </w:r>
      <w:r/>
    </w:p>
    <w:p>
      <w:pPr>
        <w:pStyle w:val="757"/>
        <w:spacing w:line="360" w:lineRule="auto"/>
        <w:rPr>
          <w:rFonts w:hint="eastAsia" w:ascii="宋体" w:hAnsi="宋体" w:cs="宋体"/>
          <w:szCs w:val="21"/>
        </w:rPr>
      </w:pPr>
      <w:r>
        <w:rPr>
          <w:rFonts w:hint="eastAsia" w:ascii="宋体" w:hAnsi="宋体" w:cs="宋体"/>
          <w:szCs w:val="21"/>
        </w:rPr>
        <w:t xml:space="preserve">3、投标文件中如果出现前后不一致的地方，允许投标单位做澄清。如果前后不一致的地方是关系到评分部分，则由专家根据投标单位的澄清做酌情打分。</w:t>
      </w:r>
      <w:r>
        <w:rPr>
          <w:rFonts w:hint="eastAsia" w:ascii="宋体" w:hAnsi="宋体" w:cs="宋体"/>
          <w:szCs w:val="21"/>
        </w:rPr>
      </w:r>
      <w:r/>
    </w:p>
    <w:p>
      <w:pPr>
        <w:pStyle w:val="757"/>
        <w:spacing w:line="360" w:lineRule="auto"/>
        <w:rPr>
          <w:rFonts w:hint="eastAsia" w:ascii="宋体" w:hAnsi="宋体" w:cs="宋体"/>
          <w:szCs w:val="21"/>
        </w:rPr>
      </w:pPr>
      <w:r>
        <w:rPr>
          <w:rFonts w:hint="eastAsia" w:ascii="宋体" w:hAnsi="宋体" w:cs="宋体"/>
          <w:szCs w:val="21"/>
        </w:rPr>
        <w:t xml:space="preserve">4、投标报价超过最高限价金额的，投标单位不得进入评标程序。</w:t>
      </w:r>
      <w:r>
        <w:rPr>
          <w:rFonts w:hint="eastAsia" w:ascii="宋体" w:hAnsi="宋体" w:cs="宋体"/>
          <w:szCs w:val="21"/>
        </w:rPr>
      </w:r>
      <w:r/>
    </w:p>
    <w:p>
      <w:pPr>
        <w:pStyle w:val="757"/>
        <w:spacing w:line="360" w:lineRule="auto"/>
        <w:rPr>
          <w:rFonts w:hint="eastAsia" w:ascii="宋体" w:hAnsi="宋体" w:cs="宋体"/>
          <w:szCs w:val="21"/>
        </w:rPr>
      </w:pPr>
      <w:r>
        <w:rPr>
          <w:rFonts w:hint="eastAsia" w:ascii="宋体" w:hAnsi="宋体" w:cs="宋体"/>
          <w:szCs w:val="21"/>
        </w:rPr>
        <w:t xml:space="preserve">5、付款方式(商务条款)不响应招标要求的不得中标。</w:t>
      </w:r>
      <w:r>
        <w:rPr>
          <w:rFonts w:hint="eastAsia" w:ascii="宋体" w:hAnsi="宋体" w:cs="宋体"/>
          <w:szCs w:val="21"/>
        </w:rPr>
      </w:r>
      <w:r/>
    </w:p>
    <w:p>
      <w:pPr>
        <w:pStyle w:val="757"/>
        <w:spacing w:line="360" w:lineRule="auto"/>
        <w:rPr>
          <w:rFonts w:hint="eastAsia" w:ascii="宋体" w:hAnsi="宋体" w:cs="宋体"/>
          <w:b/>
          <w:szCs w:val="21"/>
        </w:rPr>
      </w:pPr>
      <w:r>
        <w:rPr>
          <w:rFonts w:hint="eastAsia" w:ascii="宋体" w:hAnsi="宋体" w:cs="宋体"/>
          <w:b/>
          <w:szCs w:val="21"/>
        </w:rPr>
        <w:t xml:space="preserve">6、为确保货物、服务质量，投标单位除投标价格得分以外的分值低于75%作无效标处理。</w:t>
      </w:r>
      <w:r>
        <w:rPr>
          <w:rFonts w:hint="eastAsia" w:ascii="宋体" w:hAnsi="宋体" w:cs="宋体"/>
          <w:b/>
          <w:szCs w:val="21"/>
        </w:rPr>
      </w:r>
      <w:r/>
    </w:p>
    <w:p>
      <w:pPr>
        <w:pStyle w:val="757"/>
        <w:spacing w:line="360" w:lineRule="auto"/>
        <w:rPr>
          <w:rFonts w:hint="eastAsia" w:ascii="宋体" w:hAnsi="宋体" w:cs="宋体"/>
          <w:szCs w:val="21"/>
        </w:rPr>
      </w:pPr>
      <w:r>
        <w:rPr>
          <w:rFonts w:hint="eastAsia" w:ascii="宋体" w:hAnsi="宋体" w:cs="宋体"/>
          <w:szCs w:val="21"/>
        </w:rPr>
        <w:t xml:space="preserve">7、各投标单位必须通过“苏采云”进行该项目网上电子投标，否则视为无效投标。</w:t>
      </w:r>
      <w:r>
        <w:rPr>
          <w:rFonts w:hint="eastAsia" w:ascii="宋体" w:hAnsi="宋体" w:cs="宋体"/>
          <w:szCs w:val="21"/>
        </w:rPr>
        <w:br w:type="page" w:clear="all"/>
      </w:r>
      <w:r>
        <w:rPr>
          <w:rFonts w:hint="eastAsia" w:ascii="宋体" w:hAnsi="宋体" w:cs="宋体"/>
          <w:szCs w:val="21"/>
        </w:rPr>
      </w:r>
      <w:r/>
    </w:p>
    <w:p>
      <w:pPr>
        <w:pStyle w:val="758"/>
        <w:jc w:val="center"/>
        <w:spacing w:line="360" w:lineRule="auto"/>
      </w:pPr>
      <w:r/>
      <w:bookmarkStart w:id="63" w:name="_Toc194916145"/>
      <w:r>
        <w:rPr>
          <w:rFonts w:hint="eastAsia"/>
        </w:rPr>
        <w:t xml:space="preserve">第七章  </w:t>
      </w:r>
      <w:r>
        <w:t xml:space="preserve">昆山市政府采购供应商诚信管理办法</w:t>
      </w:r>
      <w:bookmarkEnd w:id="62"/>
      <w:r/>
      <w:bookmarkEnd w:id="63"/>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Arial"/>
          <w:color w:val="333333"/>
          <w:szCs w:val="21"/>
        </w:rPr>
      </w:r>
      <w:r/>
    </w:p>
    <w:p>
      <w:pPr>
        <w:pStyle w:val="757"/>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rPr>
          <w:rFonts w:ascii="宋体" w:hAnsi="宋体" w:cs="Arial"/>
          <w:color w:val="333333"/>
          <w:szCs w:val="21"/>
        </w:rPr>
      </w:r>
      <w:r/>
    </w:p>
    <w:p>
      <w:pPr>
        <w:pStyle w:val="757"/>
        <w:ind w:right="-252"/>
        <w:spacing w:line="360" w:lineRule="auto"/>
        <w:rPr>
          <w:rFonts w:hint="eastAsia"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hint="eastAsia" w:ascii="宋体" w:hAnsi="宋体" w:cs="Arial"/>
          <w:b/>
        </w:rPr>
      </w:r>
      <w:r/>
    </w:p>
    <w:p>
      <w:pPr>
        <w:pStyle w:val="757"/>
        <w:ind w:right="-252"/>
        <w:spacing w:line="360" w:lineRule="auto"/>
        <w:rPr>
          <w:rFonts w:hint="eastAsia" w:ascii="宋体" w:hAnsi="宋体" w:cs="Arial"/>
          <w:b/>
        </w:rPr>
      </w:pPr>
      <w:r>
        <w:rPr>
          <w:rFonts w:hint="eastAsia" w:ascii="宋体" w:hAnsi="宋体" w:cs="Arial"/>
          <w:b/>
        </w:rPr>
      </w:r>
      <w:r/>
    </w:p>
    <w:p>
      <w:pPr>
        <w:pStyle w:val="757"/>
        <w:ind w:right="-252"/>
        <w:spacing w:line="360" w:lineRule="auto"/>
        <w:rPr>
          <w:rFonts w:hint="eastAsia" w:ascii="宋体" w:hAnsi="宋体" w:cs="Arial"/>
          <w:b/>
        </w:rPr>
      </w:pPr>
      <w:r>
        <w:rPr>
          <w:rFonts w:hint="eastAsia" w:ascii="宋体" w:hAnsi="宋体" w:cs="Arial"/>
          <w:b/>
        </w:rPr>
      </w:r>
      <w:r/>
    </w:p>
    <w:p>
      <w:pPr>
        <w:pStyle w:val="757"/>
        <w:ind w:right="-252"/>
        <w:spacing w:line="360" w:lineRule="auto"/>
        <w:rPr>
          <w:rFonts w:hint="eastAsia"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rPr>
          <w:rFonts w:hint="eastAsia" w:ascii="宋体" w:hAnsi="宋体" w:cs="Arial"/>
          <w:b/>
        </w:rPr>
      </w:r>
      <w:r/>
    </w:p>
    <w:sectPr>
      <w:headerReference w:type="default" r:id="rId10"/>
      <w:headerReference w:type="first" r:id="rId11"/>
      <w:footerReference w:type="default" r:id="rId14"/>
      <w:footerReference w:type="first" r:id="rId15"/>
      <w:footnotePr/>
      <w:endnotePr/>
      <w:type w:val="nextPage"/>
      <w:pgSz w:w="11906" w:h="16838" w:orient="portrait"/>
      <w:pgMar w:top="947" w:right="1361" w:bottom="760" w:left="1259" w:header="851"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Footlight MT Light">
    <w:panose1 w:val="0204060206030A020304"/>
  </w:font>
  <w:font w:name="PMingLiU">
    <w:panose1 w:val="02020500000000000000"/>
  </w:font>
  <w:font w:name="Calibri">
    <w:panose1 w:val="020F0502020204030204"/>
  </w:font>
  <w:font w:name="Courier New">
    <w:panose1 w:val="02070309020205020404"/>
  </w:font>
  <w:font w:name="Cambria">
    <w:panose1 w:val="02040503050406030204"/>
  </w:font>
  <w:font w:name="方正姚体">
    <w:panose1 w:val="02010601030101010101"/>
  </w:font>
  <w:font w:name="仿宋_GB2312">
    <w:panose1 w:val="02010609060101010101"/>
  </w:font>
  <w:font w:name="Verdana">
    <w:panose1 w:val="020B0604030504040204"/>
  </w:font>
  <w:font w:name="黑体">
    <w:panose1 w:val="02010609060101010101"/>
  </w:font>
  <w:font w:name="楷体_GB2312">
    <w:panose1 w:val="02010609060101010101"/>
  </w:font>
  <w:font w:name="Tahoma">
    <w:panose1 w:val="020B060403050404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Pr>
        <w:rStyle w:val="827"/>
        <w:rFonts w:hint="eastAsia"/>
        <w:sz w:val="16"/>
        <w:szCs w:val="16"/>
      </w:rPr>
      <w:t xml:space="preserve">                                                                                       第</w:t>
    </w:r>
    <w:r>
      <w:rPr>
        <w:rFonts w:ascii="宋体" w:hAnsi="宋体" w:eastAsia="宋体"/>
        <w:sz w:val="16"/>
        <w:szCs w:val="16"/>
      </w:rPr>
      <w:fldChar w:fldCharType="begin"/>
    </w:r>
    <w:r>
      <w:rPr>
        <w:rStyle w:val="827"/>
        <w:sz w:val="16"/>
        <w:szCs w:val="16"/>
      </w:rPr>
      <w:instrText xml:space="preserve"> PAGE </w:instrText>
    </w:r>
    <w:r>
      <w:rPr>
        <w:rFonts w:ascii="宋体" w:hAnsi="宋体" w:eastAsia="宋体"/>
        <w:sz w:val="16"/>
        <w:szCs w:val="16"/>
      </w:rPr>
      <w:fldChar w:fldCharType="separate"/>
    </w:r>
    <w:r>
      <w:rPr>
        <w:rStyle w:val="827"/>
        <w:sz w:val="16"/>
        <w:szCs w:val="16"/>
      </w:rPr>
      <w:t xml:space="preserve">53</w:t>
    </w:r>
    <w:r>
      <w:rPr>
        <w:rFonts w:ascii="宋体" w:hAnsi="宋体" w:eastAsia="宋体"/>
        <w:sz w:val="16"/>
        <w:szCs w:val="16"/>
      </w:rPr>
      <w:fldChar w:fldCharType="end"/>
    </w:r>
    <w:r>
      <w:rPr>
        <w:rStyle w:val="827"/>
        <w:rFonts w:hint="eastAsia"/>
        <w:sz w:val="16"/>
        <w:szCs w:val="16"/>
      </w:rPr>
      <w:t xml:space="preserve">页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left" w:pos="4050" w:leader="none"/>
      </w:tabs>
    </w:pPr>
    <w:r>
      <w:tab/>
    </w:r>
    <w:r>
      <w:rPr>
        <w:rStyle w:val="827"/>
        <w:rFonts w:hint="eastAsia"/>
        <w:sz w:val="16"/>
        <w:szCs w:val="16"/>
      </w:rPr>
      <w:t xml:space="preserve">                                                  第</w:t>
    </w:r>
    <w:r>
      <w:rPr>
        <w:rFonts w:ascii="宋体" w:hAnsi="宋体" w:eastAsia="宋体"/>
        <w:sz w:val="16"/>
        <w:szCs w:val="16"/>
      </w:rPr>
      <w:fldChar w:fldCharType="begin"/>
    </w:r>
    <w:r>
      <w:rPr>
        <w:rStyle w:val="827"/>
        <w:sz w:val="16"/>
        <w:szCs w:val="16"/>
      </w:rPr>
      <w:instrText xml:space="preserve"> PAGE </w:instrText>
    </w:r>
    <w:r>
      <w:rPr>
        <w:rFonts w:ascii="宋体" w:hAnsi="宋体" w:eastAsia="宋体"/>
        <w:sz w:val="16"/>
        <w:szCs w:val="16"/>
      </w:rPr>
      <w:fldChar w:fldCharType="separate"/>
    </w:r>
    <w:r>
      <w:rPr>
        <w:rStyle w:val="827"/>
        <w:sz w:val="16"/>
        <w:szCs w:val="16"/>
      </w:rPr>
      <w:t xml:space="preserve">1</w:t>
    </w:r>
    <w:r>
      <w:rPr>
        <w:rFonts w:ascii="宋体" w:hAnsi="宋体" w:eastAsia="宋体"/>
        <w:sz w:val="16"/>
        <w:szCs w:val="16"/>
      </w:rPr>
      <w:fldChar w:fldCharType="end"/>
    </w:r>
    <w:r>
      <w:rPr>
        <w:rStyle w:val="827"/>
        <w:rFonts w:hint="eastAsia"/>
        <w:sz w:val="16"/>
        <w:szCs w:val="16"/>
      </w:rPr>
      <w:t xml:space="preserve">页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left="7380" w:right="357" w:hanging="7380"/>
      <w:spacing w:before="120"/>
      <w:tabs>
        <w:tab w:val="center" w:pos="4153" w:leader="none"/>
        <w:tab w:val="right" w:pos="8306" w:leader="none"/>
      </w:tabs>
      <w:rPr>
        <w:rStyle w:val="827"/>
        <w:rFonts w:hint="eastAsia"/>
        <w:sz w:val="16"/>
        <w:szCs w:val="16"/>
      </w:rPr>
    </w:pPr>
    <w:r>
      <w:rPr>
        <w:lang w:val="zh-CN"/>
      </w:rPr>
      <w:t xml:space="preserve"> </w:t>
    </w: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0609663;mso-wrap-distance-left:9.0pt;mso-wrap-distance-top:0.0pt;mso-wrap-distance-right:9.0pt;mso-wrap-distance-bottom:0.0pt;visibility:visible;" from="-6.8pt,4.9pt" to="452.1pt,4.9pt" filled="f" strokecolor="#000000" strokeweight="0.50pt"/>
          </w:pict>
        </mc:Fallback>
      </mc:AlternateContent>
    </w:r>
    <w:r>
      <w:rPr>
        <w:rStyle w:val="827"/>
        <w:rFonts w:hint="eastAsia"/>
        <w:sz w:val="16"/>
        <w:szCs w:val="16"/>
      </w:rPr>
      <w:t xml:space="preserve">                                                                                                      第</w:t>
    </w:r>
    <w:r>
      <w:rPr>
        <w:rFonts w:ascii="宋体" w:hAnsi="宋体" w:eastAsia="宋体"/>
        <w:sz w:val="16"/>
        <w:szCs w:val="16"/>
      </w:rPr>
      <w:fldChar w:fldCharType="begin"/>
    </w:r>
    <w:r>
      <w:rPr>
        <w:rStyle w:val="827"/>
        <w:sz w:val="16"/>
        <w:szCs w:val="16"/>
      </w:rPr>
      <w:instrText xml:space="preserve"> PAGE </w:instrText>
    </w:r>
    <w:r>
      <w:rPr>
        <w:rFonts w:ascii="宋体" w:hAnsi="宋体" w:eastAsia="宋体"/>
        <w:sz w:val="16"/>
        <w:szCs w:val="16"/>
      </w:rPr>
      <w:fldChar w:fldCharType="separate"/>
    </w:r>
    <w:r>
      <w:rPr>
        <w:rStyle w:val="827"/>
        <w:sz w:val="16"/>
        <w:szCs w:val="16"/>
      </w:rPr>
      <w:t xml:space="preserve">77</w:t>
    </w:r>
    <w:r>
      <w:rPr>
        <w:rFonts w:ascii="宋体" w:hAnsi="宋体" w:eastAsia="宋体"/>
        <w:sz w:val="16"/>
        <w:szCs w:val="16"/>
      </w:rPr>
      <w:fldChar w:fldCharType="end"/>
    </w:r>
    <w:r>
      <w:rPr>
        <w:rStyle w:val="827"/>
        <w:rFonts w:hint="eastAsia"/>
        <w:sz w:val="16"/>
        <w:szCs w:val="16"/>
      </w:rPr>
      <w:t xml:space="preserve">页                                                                        </w:t>
    </w:r>
    <w:r>
      <w:rPr>
        <w:rStyle w:val="827"/>
        <w:rFonts w:hint="eastAsia"/>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right="357"/>
      <w:spacing w:before="120"/>
      <w:tabs>
        <w:tab w:val="center" w:pos="4153" w:leader="none"/>
        <w:tab w:val="right" w:pos="8306" w:leader="none"/>
      </w:tabs>
      <w:rPr>
        <w:rStyle w:val="827"/>
        <w:rFonts w:hint="eastAsia"/>
        <w:sz w:val="16"/>
        <w:szCs w:val="16"/>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6.8pt,4.9pt" to="452.1pt,4.9pt" filled="f" strokecolor="#000000" strokeweight="0.50pt"/>
          </w:pict>
        </mc:Fallback>
      </mc:AlternateContent>
    </w:r>
    <w:r>
      <w:rPr>
        <w:rStyle w:val="827"/>
        <w:rFonts w:hint="eastAsia"/>
        <w:sz w:val="16"/>
        <w:szCs w:val="16"/>
      </w:rPr>
      <w:t xml:space="preserve">                                                                                                       第</w:t>
    </w:r>
    <w:r>
      <w:rPr>
        <w:rFonts w:ascii="宋体" w:hAnsi="宋体" w:eastAsia="宋体"/>
        <w:sz w:val="16"/>
        <w:szCs w:val="16"/>
      </w:rPr>
      <w:fldChar w:fldCharType="begin"/>
    </w:r>
    <w:r>
      <w:rPr>
        <w:rStyle w:val="827"/>
        <w:sz w:val="16"/>
        <w:szCs w:val="16"/>
      </w:rPr>
      <w:instrText xml:space="preserve"> PAGE </w:instrText>
    </w:r>
    <w:r>
      <w:rPr>
        <w:rFonts w:ascii="宋体" w:hAnsi="宋体" w:eastAsia="宋体"/>
        <w:sz w:val="16"/>
        <w:szCs w:val="16"/>
      </w:rPr>
      <w:fldChar w:fldCharType="separate"/>
    </w:r>
    <w:r>
      <w:rPr>
        <w:rStyle w:val="827"/>
        <w:sz w:val="16"/>
        <w:szCs w:val="16"/>
      </w:rPr>
      <w:t xml:space="preserve">54</w:t>
    </w:r>
    <w:r>
      <w:rPr>
        <w:rFonts w:ascii="宋体" w:hAnsi="宋体" w:eastAsia="宋体"/>
        <w:sz w:val="16"/>
        <w:szCs w:val="16"/>
      </w:rPr>
      <w:fldChar w:fldCharType="end"/>
    </w:r>
    <w:r>
      <w:rPr>
        <w:rStyle w:val="827"/>
        <w:rFonts w:hint="eastAsia"/>
        <w:sz w:val="16"/>
        <w:szCs w:val="16"/>
      </w:rPr>
      <w:t xml:space="preserve">页                                                                        </w:t>
    </w:r>
    <w:r>
      <w:rPr>
        <w:rStyle w:val="827"/>
        <w:rFonts w:hint="eastAsia"/>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tabs>
        <w:tab w:val="center" w:pos="4153" w:leader="none"/>
        <w:tab w:val="right" w:pos="8306" w:leader="none"/>
      </w:tabs>
    </w:pPr>
    <w:r>
      <w:rPr>
        <w:rFonts w:hint="eastAsia" w:ascii="宋体" w:hAnsi="宋体" w:eastAsia="宋体"/>
      </w:rPr>
      <w:t xml:space="preserve">编号：JSZC-320583-SZZH-G2026-0005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编号：JSZC-320583-SZZH-G2026-0005                                                            公开招标文件  </w:t>
    </w:r>
    <w:r>
      <w:rPr>
        <w:rFonts w:hint="eastAsia"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编号：JSZC-320583-SZZH-G2026-0005                                                         公开招标文件</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pStyle w:val="757"/>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8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6"/>
      <w:isLgl w:val="false"/>
      <w:suff w:val="tab"/>
      <w:lvlText w:val="%1、"/>
      <w:lvlJc w:val="left"/>
      <w:pPr>
        <w:pStyle w:val="757"/>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63"/>
      <w:isLgl w:val="false"/>
      <w:suff w:val="tab"/>
      <w:lvlText w:val=""/>
      <w:lvlJc w:val="left"/>
      <w:pPr>
        <w:pStyle w:val="757"/>
        <w:ind w:left="840" w:hanging="420"/>
        <w:tabs>
          <w:tab w:val="num" w:pos="840" w:leader="none"/>
        </w:tabs>
      </w:pPr>
      <w:rPr>
        <w:rFonts w:ascii="Wingdings" w:hAnsi="Wingdings"/>
        <w:color w:val="000000"/>
      </w:rPr>
    </w:lvl>
    <w:lvl w:ilvl="1">
      <w:start w:val="1"/>
      <w:numFmt w:val="decimal"/>
      <w:isLgl w:val="false"/>
      <w:suff w:val="tab"/>
      <w:lvlText w:val="%2."/>
      <w:lvlJc w:val="left"/>
      <w:pPr>
        <w:pStyle w:val="757"/>
        <w:ind w:left="1440" w:hanging="360"/>
        <w:tabs>
          <w:tab w:val="num" w:pos="1440" w:leader="none"/>
        </w:tabs>
      </w:pPr>
    </w:lvl>
    <w:lvl w:ilvl="2">
      <w:start w:val="1"/>
      <w:numFmt w:val="decimal"/>
      <w:isLgl w:val="false"/>
      <w:suff w:val="tab"/>
      <w:lvlText w:val="%3."/>
      <w:lvlJc w:val="left"/>
      <w:pPr>
        <w:pStyle w:val="757"/>
        <w:ind w:left="2160" w:hanging="360"/>
        <w:tabs>
          <w:tab w:val="num" w:pos="2160" w:leader="none"/>
        </w:tabs>
      </w:pPr>
    </w:lvl>
    <w:lvl w:ilvl="3">
      <w:start w:val="1"/>
      <w:numFmt w:val="decimal"/>
      <w:isLgl w:val="false"/>
      <w:suff w:val="tab"/>
      <w:lvlText w:val="%4."/>
      <w:lvlJc w:val="left"/>
      <w:pPr>
        <w:pStyle w:val="757"/>
        <w:ind w:left="2880" w:hanging="360"/>
        <w:tabs>
          <w:tab w:val="num" w:pos="2880" w:leader="none"/>
        </w:tabs>
      </w:pPr>
    </w:lvl>
    <w:lvl w:ilvl="4">
      <w:start w:val="1"/>
      <w:numFmt w:val="decimal"/>
      <w:isLgl w:val="false"/>
      <w:suff w:val="tab"/>
      <w:lvlText w:val="%5."/>
      <w:lvlJc w:val="left"/>
      <w:pPr>
        <w:pStyle w:val="757"/>
        <w:ind w:left="3600" w:hanging="360"/>
        <w:tabs>
          <w:tab w:val="num" w:pos="3600" w:leader="none"/>
        </w:tabs>
      </w:pPr>
    </w:lvl>
    <w:lvl w:ilvl="5">
      <w:start w:val="1"/>
      <w:numFmt w:val="decimal"/>
      <w:isLgl w:val="false"/>
      <w:suff w:val="tab"/>
      <w:lvlText w:val="%6."/>
      <w:lvlJc w:val="left"/>
      <w:pPr>
        <w:pStyle w:val="757"/>
        <w:ind w:left="4320" w:hanging="360"/>
        <w:tabs>
          <w:tab w:val="num" w:pos="4320" w:leader="none"/>
        </w:tabs>
      </w:pPr>
    </w:lvl>
    <w:lvl w:ilvl="6">
      <w:start w:val="1"/>
      <w:numFmt w:val="decimal"/>
      <w:isLgl w:val="false"/>
      <w:suff w:val="tab"/>
      <w:lvlText w:val="%7."/>
      <w:lvlJc w:val="left"/>
      <w:pPr>
        <w:pStyle w:val="757"/>
        <w:ind w:left="5040" w:hanging="360"/>
        <w:tabs>
          <w:tab w:val="num" w:pos="5040" w:leader="none"/>
        </w:tabs>
      </w:pPr>
    </w:lvl>
    <w:lvl w:ilvl="7">
      <w:start w:val="1"/>
      <w:numFmt w:val="decimal"/>
      <w:isLgl w:val="false"/>
      <w:suff w:val="tab"/>
      <w:lvlText w:val="%8."/>
      <w:lvlJc w:val="left"/>
      <w:pPr>
        <w:pStyle w:val="757"/>
        <w:ind w:left="5760" w:hanging="360"/>
        <w:tabs>
          <w:tab w:val="num" w:pos="5760" w:leader="none"/>
        </w:tabs>
      </w:pPr>
    </w:lvl>
    <w:lvl w:ilvl="8">
      <w:start w:val="1"/>
      <w:numFmt w:val="decimal"/>
      <w:isLgl w:val="false"/>
      <w:suff w:val="tab"/>
      <w:lvlText w:val="%9."/>
      <w:lvlJc w:val="left"/>
      <w:pPr>
        <w:pStyle w:val="757"/>
        <w:ind w:left="6480" w:hanging="360"/>
        <w:tabs>
          <w:tab w:val="num" w:pos="6480" w:leader="none"/>
        </w:tabs>
      </w:pPr>
    </w:lvl>
  </w:abstractNum>
  <w:abstractNum w:abstractNumId="3">
    <w:multiLevelType w:val="hybridMultilevel"/>
    <w:lvl w:ilvl="0">
      <w:start w:val="4"/>
      <w:numFmt w:val="decimal"/>
      <w:pStyle w:val="849"/>
      <w:isLgl w:val="false"/>
      <w:suff w:val="tab"/>
      <w:lvlText w:val="%1"/>
      <w:lvlJc w:val="left"/>
      <w:pPr>
        <w:pStyle w:val="757"/>
        <w:ind w:left="495" w:hanging="495"/>
        <w:tabs>
          <w:tab w:val="num" w:pos="495" w:leader="none"/>
        </w:tabs>
      </w:pPr>
    </w:lvl>
    <w:lvl w:ilvl="1">
      <w:start w:val="1"/>
      <w:numFmt w:val="decimal"/>
      <w:isLgl w:val="false"/>
      <w:suff w:val="tab"/>
      <w:lvlText w:val="%1.%2"/>
      <w:lvlJc w:val="left"/>
      <w:pPr>
        <w:pStyle w:val="757"/>
        <w:ind w:left="915" w:hanging="495"/>
        <w:tabs>
          <w:tab w:val="num" w:pos="915" w:leader="none"/>
        </w:tabs>
      </w:pPr>
    </w:lvl>
    <w:lvl w:ilvl="2">
      <w:start w:val="1"/>
      <w:numFmt w:val="decimal"/>
      <w:isLgl w:val="false"/>
      <w:suff w:val="tab"/>
      <w:lvlText w:val="%1.%2.%3"/>
      <w:lvlJc w:val="left"/>
      <w:pPr>
        <w:pStyle w:val="757"/>
        <w:ind w:left="1335" w:hanging="495"/>
        <w:tabs>
          <w:tab w:val="num" w:pos="1335" w:leader="none"/>
        </w:tabs>
      </w:pPr>
    </w:lvl>
    <w:lvl w:ilvl="3">
      <w:start w:val="1"/>
      <w:numFmt w:val="decimal"/>
      <w:isLgl w:val="false"/>
      <w:suff w:val="tab"/>
      <w:lvlText w:val="%1.%2.%3.%4"/>
      <w:lvlJc w:val="left"/>
      <w:pPr>
        <w:pStyle w:val="757"/>
        <w:ind w:left="1755" w:hanging="495"/>
        <w:tabs>
          <w:tab w:val="num" w:pos="1755" w:leader="none"/>
        </w:tabs>
      </w:pPr>
    </w:lvl>
    <w:lvl w:ilvl="4">
      <w:start w:val="1"/>
      <w:numFmt w:val="decimal"/>
      <w:isLgl w:val="false"/>
      <w:suff w:val="tab"/>
      <w:lvlText w:val="%1.%2.%3.%4.%5"/>
      <w:lvlJc w:val="left"/>
      <w:pPr>
        <w:pStyle w:val="757"/>
        <w:ind w:left="2175" w:hanging="495"/>
        <w:tabs>
          <w:tab w:val="num" w:pos="2175" w:leader="none"/>
        </w:tabs>
      </w:pPr>
    </w:lvl>
    <w:lvl w:ilvl="5">
      <w:start w:val="1"/>
      <w:numFmt w:val="decimal"/>
      <w:isLgl w:val="false"/>
      <w:suff w:val="tab"/>
      <w:lvlText w:val="%1.%2.%3.%4.%5.%6"/>
      <w:lvlJc w:val="left"/>
      <w:pPr>
        <w:pStyle w:val="757"/>
        <w:ind w:left="2595" w:hanging="495"/>
        <w:tabs>
          <w:tab w:val="num" w:pos="2595" w:leader="none"/>
        </w:tabs>
      </w:pPr>
    </w:lvl>
    <w:lvl w:ilvl="6">
      <w:start w:val="1"/>
      <w:numFmt w:val="decimal"/>
      <w:isLgl w:val="false"/>
      <w:suff w:val="tab"/>
      <w:lvlText w:val="%1.%2.%3.%4.%5.%6.%7"/>
      <w:lvlJc w:val="left"/>
      <w:pPr>
        <w:pStyle w:val="757"/>
        <w:ind w:left="3015" w:hanging="495"/>
        <w:tabs>
          <w:tab w:val="num" w:pos="3015" w:leader="none"/>
        </w:tabs>
      </w:pPr>
    </w:lvl>
    <w:lvl w:ilvl="7">
      <w:start w:val="1"/>
      <w:numFmt w:val="decimal"/>
      <w:isLgl w:val="false"/>
      <w:suff w:val="tab"/>
      <w:lvlText w:val="%1.%2.%3.%4.%5.%6.%7.%8"/>
      <w:lvlJc w:val="left"/>
      <w:pPr>
        <w:pStyle w:val="757"/>
        <w:ind w:left="3435" w:hanging="495"/>
        <w:tabs>
          <w:tab w:val="num" w:pos="3435" w:leader="none"/>
        </w:tabs>
      </w:pPr>
    </w:lvl>
    <w:lvl w:ilvl="8">
      <w:start w:val="1"/>
      <w:numFmt w:val="decimal"/>
      <w:isLgl w:val="false"/>
      <w:suff w:val="tab"/>
      <w:lvlText w:val="%1.%2.%3.%4.%5.%6.%7.%8.%9"/>
      <w:lvlJc w:val="left"/>
      <w:pPr>
        <w:pStyle w:val="757"/>
        <w:ind w:left="3855" w:hanging="495"/>
        <w:tabs>
          <w:tab w:val="num" w:pos="3855" w:leader="none"/>
        </w:tabs>
      </w:pPr>
    </w:lvl>
  </w:abstractNum>
  <w:abstractNum w:abstractNumId="4">
    <w:multiLevelType w:val="hybridMultilevel"/>
    <w:lvl w:ilvl="0">
      <w:start w:val="1"/>
      <w:numFmt w:val="decimal"/>
      <w:isLgl w:val="false"/>
      <w:suff w:val="tab"/>
      <w:lvlText w:val="%1"/>
      <w:lvlJc w:val="left"/>
      <w:pPr>
        <w:pStyle w:val="757"/>
        <w:ind w:left="432" w:hanging="632"/>
        <w:tabs>
          <w:tab w:val="num" w:pos="432" w:leader="none"/>
        </w:tabs>
      </w:pPr>
      <w:rPr>
        <w:rFonts w:ascii="Times New Roman" w:hAnsi="Times New Roman" w:eastAsia="宋体"/>
        <w:b/>
        <w:i w:val="0"/>
        <w:spacing w:val="8"/>
        <w:sz w:val="32"/>
        <w:szCs w:val="32"/>
      </w:rPr>
    </w:lvl>
    <w:lvl w:ilvl="1">
      <w:start w:val="1"/>
      <w:numFmt w:val="decimal"/>
      <w:pStyle w:val="931"/>
      <w:isLgl w:val="false"/>
      <w:suff w:val="tab"/>
      <w:lvlText w:val="%1.%2"/>
      <w:lvlJc w:val="left"/>
      <w:pPr>
        <w:pStyle w:val="757"/>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757"/>
        <w:ind w:left="833" w:hanging="833"/>
        <w:tabs>
          <w:tab w:val="num" w:pos="833" w:leader="none"/>
        </w:tabs>
      </w:pPr>
      <w:rPr>
        <w:rFonts w:ascii="Times New Roman" w:hAnsi="Times New Roman" w:eastAsia="宋体"/>
        <w:b/>
        <w:i w:val="0"/>
        <w:sz w:val="24"/>
        <w:szCs w:val="24"/>
      </w:rPr>
    </w:lvl>
    <w:lvl w:ilvl="3">
      <w:start w:val="1"/>
      <w:numFmt w:val="decimal"/>
      <w:pStyle w:val="896"/>
      <w:isLgl w:val="false"/>
      <w:suff w:val="tab"/>
      <w:lvlText w:val="%1.%2.%3.%4"/>
      <w:lvlJc w:val="left"/>
      <w:pPr>
        <w:pStyle w:val="757"/>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757"/>
        <w:ind w:left="1008" w:hanging="1008"/>
        <w:tabs>
          <w:tab w:val="num" w:pos="1008" w:leader="none"/>
        </w:tabs>
      </w:pPr>
      <w:rPr>
        <w:rFonts w:hint="eastAsia"/>
      </w:rPr>
    </w:lvl>
    <w:lvl w:ilvl="5">
      <w:start w:val="1"/>
      <w:numFmt w:val="decimal"/>
      <w:isLgl w:val="false"/>
      <w:suff w:val="tab"/>
      <w:lvlText w:val="%1.%2.%3.%4.%5.%6"/>
      <w:lvlJc w:val="left"/>
      <w:pPr>
        <w:pStyle w:val="757"/>
        <w:ind w:left="1152" w:hanging="1152"/>
        <w:tabs>
          <w:tab w:val="num" w:pos="1152" w:leader="none"/>
        </w:tabs>
      </w:pPr>
      <w:rPr>
        <w:rFonts w:hint="eastAsia"/>
      </w:rPr>
    </w:lvl>
    <w:lvl w:ilvl="6">
      <w:start w:val="1"/>
      <w:numFmt w:val="decimal"/>
      <w:isLgl w:val="false"/>
      <w:suff w:val="tab"/>
      <w:lvlText w:val="%1.%2.%3.%4.%5.%6.%7"/>
      <w:lvlJc w:val="left"/>
      <w:pPr>
        <w:pStyle w:val="757"/>
        <w:ind w:left="1296" w:hanging="1296"/>
        <w:tabs>
          <w:tab w:val="num" w:pos="1296" w:leader="none"/>
        </w:tabs>
      </w:pPr>
      <w:rPr>
        <w:rFonts w:hint="eastAsia"/>
      </w:rPr>
    </w:lvl>
    <w:lvl w:ilvl="7">
      <w:start w:val="1"/>
      <w:numFmt w:val="decimal"/>
      <w:isLgl w:val="false"/>
      <w:suff w:val="tab"/>
      <w:lvlText w:val="%1.%2.%3.%4.%5.%6.%7.%8"/>
      <w:lvlJc w:val="left"/>
      <w:pPr>
        <w:pStyle w:val="757"/>
        <w:ind w:left="1440" w:hanging="1440"/>
        <w:tabs>
          <w:tab w:val="num" w:pos="1440" w:leader="none"/>
        </w:tabs>
      </w:pPr>
      <w:rPr>
        <w:rFonts w:hint="eastAsia"/>
      </w:rPr>
    </w:lvl>
    <w:lvl w:ilvl="8">
      <w:start w:val="1"/>
      <w:numFmt w:val="decimal"/>
      <w:isLgl w:val="false"/>
      <w:suff w:val="tab"/>
      <w:lvlText w:val="%1.%2.%3.%4.%5.%6.%7.%8.%9"/>
      <w:lvlJc w:val="left"/>
      <w:pPr>
        <w:pStyle w:val="757"/>
        <w:ind w:left="1584" w:hanging="1584"/>
        <w:tabs>
          <w:tab w:val="num" w:pos="1584" w:leader="none"/>
        </w:tabs>
      </w:pPr>
      <w:rPr>
        <w:rFonts w:hint="eastAsia"/>
      </w:rPr>
    </w:lvl>
  </w:abstractNum>
  <w:abstractNum w:abstractNumId="5">
    <w:multiLevelType w:val="hybridMultilevel"/>
    <w:lvl w:ilvl="0">
      <w:start w:val="1"/>
      <w:numFmt w:val="decimal"/>
      <w:pStyle w:val="954"/>
      <w:isLgl w:val="false"/>
      <w:suff w:val="tab"/>
      <w:lvlText w:val="%1、"/>
      <w:lvlJc w:val="left"/>
      <w:pPr>
        <w:pStyle w:val="757"/>
        <w:ind w:left="440" w:firstLine="400"/>
        <w:tabs>
          <w:tab w:val="num" w:pos="1240" w:leader="none"/>
        </w:tabs>
      </w:pPr>
      <w:rPr>
        <w:rFonts w:hint="eastAsia"/>
      </w:rPr>
    </w:lvl>
    <w:lvl w:ilvl="1">
      <w:start w:val="1"/>
      <w:numFmt w:val="upperLetter"/>
      <w:isLgl w:val="false"/>
      <w:suff w:val="tab"/>
      <w:lvlText w:val="%2."/>
      <w:lvlJc w:val="left"/>
      <w:pPr>
        <w:pStyle w:val="757"/>
        <w:ind w:left="840" w:hanging="420"/>
        <w:tabs>
          <w:tab w:val="num" w:pos="840" w:leader="none"/>
        </w:tabs>
      </w:pPr>
      <w:rPr>
        <w:rFonts w:hint="eastAsia"/>
      </w:rPr>
    </w:lvl>
    <w:lvl w:ilvl="2">
      <w:start w:val="1"/>
      <w:numFmt w:val="lowerRoman"/>
      <w:isLgl w:val="false"/>
      <w:suff w:val="tab"/>
      <w:lvlText w:val="%3."/>
      <w:lvlJc w:val="right"/>
      <w:pPr>
        <w:pStyle w:val="757"/>
        <w:ind w:left="1260" w:hanging="420"/>
        <w:tabs>
          <w:tab w:val="num" w:pos="1260" w:leader="none"/>
        </w:tabs>
      </w:pPr>
    </w:lvl>
    <w:lvl w:ilvl="3">
      <w:start w:val="1"/>
      <w:numFmt w:val="decimal"/>
      <w:isLgl w:val="false"/>
      <w:suff w:val="tab"/>
      <w:lvlText w:val="%4."/>
      <w:lvlJc w:val="left"/>
      <w:pPr>
        <w:pStyle w:val="757"/>
        <w:ind w:left="1680" w:hanging="420"/>
        <w:tabs>
          <w:tab w:val="num" w:pos="1680" w:leader="none"/>
        </w:tabs>
      </w:pPr>
    </w:lvl>
    <w:lvl w:ilvl="4">
      <w:start w:val="1"/>
      <w:numFmt w:val="lowerLetter"/>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abstractNum w:abstractNumId="6">
    <w:multiLevelType w:val="hybridMultilevel"/>
    <w:lvl w:ilvl="0">
      <w:start w:val="1"/>
      <w:numFmt w:val="decimal"/>
      <w:pStyle w:val="937"/>
      <w:isLgl w:val="false"/>
      <w:suff w:val="nothing"/>
      <w:lvlText w:val="%1"/>
      <w:lvlJc w:val="left"/>
      <w:pPr>
        <w:pStyle w:val="757"/>
        <w:ind w:left="0" w:firstLine="0"/>
      </w:pPr>
      <w:rPr>
        <w:rFonts w:ascii="Times New Roman" w:hAnsi="Times New Roman"/>
        <w:b/>
        <w:i w:val="0"/>
        <w:sz w:val="21"/>
      </w:rPr>
    </w:lvl>
    <w:lvl w:ilvl="1">
      <w:start w:val="1"/>
      <w:numFmt w:val="decimal"/>
      <w:isLgl w:val="false"/>
      <w:suff w:val="nothing"/>
      <w:lvlText w:val="%1%2　"/>
      <w:lvlJc w:val="left"/>
      <w:pPr>
        <w:pStyle w:val="757"/>
        <w:ind w:left="0" w:firstLine="0"/>
      </w:pPr>
      <w:rPr>
        <w:rFonts w:hint="eastAsia" w:ascii="黑体" w:hAnsi="Times New Roman" w:eastAsia="黑体"/>
        <w:b w:val="0"/>
        <w:i w:val="0"/>
        <w:sz w:val="21"/>
      </w:rPr>
    </w:lvl>
    <w:lvl w:ilvl="2">
      <w:start w:val="1"/>
      <w:numFmt w:val="decimal"/>
      <w:pStyle w:val="861"/>
      <w:isLgl w:val="false"/>
      <w:suff w:val="nothing"/>
      <w:lvlText w:val="%1%2.%3　"/>
      <w:lvlJc w:val="left"/>
      <w:pPr>
        <w:pStyle w:val="757"/>
        <w:ind w:left="420" w:firstLine="0"/>
      </w:pPr>
      <w:rPr>
        <w:rFonts w:hint="eastAsia" w:ascii="黑体" w:hAnsi="Times New Roman" w:eastAsia="黑体"/>
        <w:b w:val="0"/>
        <w:i w:val="0"/>
        <w:sz w:val="21"/>
      </w:rPr>
    </w:lvl>
    <w:lvl w:ilvl="3">
      <w:start w:val="1"/>
      <w:numFmt w:val="decimal"/>
      <w:pStyle w:val="860"/>
      <w:isLgl w:val="false"/>
      <w:suff w:val="nothing"/>
      <w:lvlText w:val="%1%2.%3.%4　"/>
      <w:lvlJc w:val="left"/>
      <w:pPr>
        <w:pStyle w:val="757"/>
        <w:ind w:left="0" w:firstLine="0"/>
      </w:pPr>
      <w:rPr>
        <w:rFonts w:hint="eastAsia" w:ascii="黑体" w:hAnsi="Times New Roman" w:eastAsia="黑体"/>
        <w:b w:val="0"/>
        <w:i w:val="0"/>
        <w:sz w:val="21"/>
      </w:rPr>
    </w:lvl>
    <w:lvl w:ilvl="4">
      <w:start w:val="1"/>
      <w:numFmt w:val="decimal"/>
      <w:pStyle w:val="859"/>
      <w:isLgl w:val="false"/>
      <w:suff w:val="nothing"/>
      <w:lvlText w:val="%1%2.%3.%4.%5　"/>
      <w:lvlJc w:val="left"/>
      <w:pPr>
        <w:pStyle w:val="75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5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5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57"/>
        <w:ind w:left="3969" w:hanging="1418"/>
        <w:tabs>
          <w:tab w:val="num" w:pos="4351" w:leader="none"/>
        </w:tabs>
      </w:pPr>
      <w:rPr>
        <w:rFonts w:hint="eastAsia"/>
      </w:rPr>
    </w:lvl>
    <w:lvl w:ilvl="8">
      <w:start w:val="1"/>
      <w:numFmt w:val="decimal"/>
      <w:isLgl w:val="false"/>
      <w:suff w:val="tab"/>
      <w:lvlText w:val="%1.%2.%3.%4.%5.%6.%7.%8.%9"/>
      <w:lvlJc w:val="left"/>
      <w:pPr>
        <w:pStyle w:val="757"/>
        <w:ind w:left="4677" w:hanging="1700"/>
        <w:tabs>
          <w:tab w:val="num" w:pos="4777" w:leader="none"/>
        </w:tabs>
      </w:pPr>
      <w:rPr>
        <w:rFonts w:hint="eastAsia"/>
      </w:rPr>
    </w:lvl>
  </w:abstractNum>
  <w:abstractNum w:abstractNumId="7">
    <w:multiLevelType w:val="hybridMultilevel"/>
    <w:lvl w:ilvl="0">
      <w:start w:val="1"/>
      <w:numFmt w:val="decimal"/>
      <w:pStyle w:val="906"/>
      <w:isLgl w:val="false"/>
      <w:suff w:val="tab"/>
      <w:lvlText w:val="%1"/>
      <w:lvlJc w:val="left"/>
      <w:pPr>
        <w:pStyle w:val="757"/>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57"/>
        <w:ind w:left="360" w:hanging="360"/>
        <w:tabs>
          <w:tab w:val="num" w:pos="360" w:leader="none"/>
        </w:tabs>
      </w:pPr>
      <w:rPr>
        <w:rFonts w:hint="eastAsia"/>
      </w:rPr>
    </w:lvl>
    <w:lvl w:ilvl="1">
      <w:start w:val="1"/>
      <w:numFmt w:val="lowerLetter"/>
      <w:isLgl w:val="false"/>
      <w:suff w:val="tab"/>
      <w:lvlText w:val="%2)"/>
      <w:lvlJc w:val="left"/>
      <w:pPr>
        <w:pStyle w:val="757"/>
        <w:ind w:left="840" w:hanging="420"/>
        <w:tabs>
          <w:tab w:val="num" w:pos="840" w:leader="none"/>
        </w:tabs>
      </w:pPr>
    </w:lvl>
    <w:lvl w:ilvl="2">
      <w:start w:val="1"/>
      <w:numFmt w:val="lowerRoman"/>
      <w:isLgl w:val="false"/>
      <w:suff w:val="tab"/>
      <w:lvlText w:val="%3."/>
      <w:lvlJc w:val="right"/>
      <w:pPr>
        <w:pStyle w:val="757"/>
        <w:ind w:left="1260" w:hanging="420"/>
        <w:tabs>
          <w:tab w:val="num" w:pos="1260" w:leader="none"/>
        </w:tabs>
      </w:pPr>
    </w:lvl>
    <w:lvl w:ilvl="3">
      <w:start w:val="1"/>
      <w:numFmt w:val="decimal"/>
      <w:isLgl w:val="false"/>
      <w:suff w:val="tab"/>
      <w:lvlText w:val="%4."/>
      <w:lvlJc w:val="left"/>
      <w:pPr>
        <w:pStyle w:val="757"/>
        <w:ind w:left="1680" w:hanging="420"/>
        <w:tabs>
          <w:tab w:val="num" w:pos="1680" w:leader="none"/>
        </w:tabs>
      </w:pPr>
    </w:lvl>
    <w:lvl w:ilvl="4">
      <w:start w:val="1"/>
      <w:numFmt w:val="lowerLetter"/>
      <w:isLgl w:val="false"/>
      <w:suff w:val="tab"/>
      <w:lvlText w:val="%5)"/>
      <w:lvlJc w:val="left"/>
      <w:pPr>
        <w:pStyle w:val="757"/>
        <w:ind w:left="2100" w:hanging="420"/>
        <w:tabs>
          <w:tab w:val="num" w:pos="2100" w:leader="none"/>
        </w:tabs>
      </w:pPr>
    </w:lvl>
    <w:lvl w:ilvl="5">
      <w:start w:val="1"/>
      <w:numFmt w:val="lowerRoman"/>
      <w:isLgl w:val="false"/>
      <w:suff w:val="tab"/>
      <w:lvlText w:val="%6."/>
      <w:lvlJc w:val="right"/>
      <w:pPr>
        <w:pStyle w:val="757"/>
        <w:ind w:left="2520" w:hanging="420"/>
        <w:tabs>
          <w:tab w:val="num" w:pos="2520" w:leader="none"/>
        </w:tabs>
      </w:pPr>
    </w:lvl>
    <w:lvl w:ilvl="6">
      <w:start w:val="1"/>
      <w:numFmt w:val="decimal"/>
      <w:pStyle w:val="885"/>
      <w:isLgl w:val="false"/>
      <w:suff w:val="tab"/>
      <w:lvlText w:val="%7."/>
      <w:lvlJc w:val="left"/>
      <w:pPr>
        <w:pStyle w:val="757"/>
        <w:ind w:left="2940" w:hanging="420"/>
        <w:tabs>
          <w:tab w:val="num" w:pos="2940" w:leader="none"/>
        </w:tabs>
      </w:pPr>
    </w:lvl>
    <w:lvl w:ilvl="7">
      <w:start w:val="1"/>
      <w:numFmt w:val="lowerLetter"/>
      <w:isLgl w:val="false"/>
      <w:suff w:val="tab"/>
      <w:lvlText w:val="%8)"/>
      <w:lvlJc w:val="left"/>
      <w:pPr>
        <w:pStyle w:val="757"/>
        <w:ind w:left="3360" w:hanging="420"/>
        <w:tabs>
          <w:tab w:val="num" w:pos="3360" w:leader="none"/>
        </w:tabs>
      </w:pPr>
    </w:lvl>
    <w:lvl w:ilvl="8">
      <w:start w:val="1"/>
      <w:numFmt w:val="lowerRoman"/>
      <w:isLgl w:val="false"/>
      <w:suff w:val="tab"/>
      <w:lvlText w:val="%9."/>
      <w:lvlJc w:val="right"/>
      <w:pPr>
        <w:pStyle w:val="757"/>
        <w:ind w:left="3780" w:hanging="420"/>
        <w:tabs>
          <w:tab w:val="num" w:pos="3780" w:leader="none"/>
        </w:tabs>
      </w:pPr>
    </w:lvl>
  </w:abstractNum>
  <w:abstractNum w:abstractNumId="9">
    <w:multiLevelType w:val="hybridMultilevel"/>
    <w:lvl w:ilvl="0">
      <w:start w:val="1"/>
      <w:numFmt w:val="decimal"/>
      <w:isLgl w:val="false"/>
      <w:suff w:val="tab"/>
      <w:lvlText w:val="一、"/>
      <w:lvlJc w:val="left"/>
      <w:pPr>
        <w:pStyle w:val="757"/>
        <w:ind w:left="840" w:hanging="420"/>
        <w:tabs>
          <w:tab w:val="num" w:pos="840" w:leader="none"/>
        </w:tabs>
      </w:pPr>
    </w:lvl>
    <w:lvl w:ilvl="1">
      <w:start w:val="1"/>
      <w:numFmt w:val="lowerLetter"/>
      <w:isLgl w:val="false"/>
      <w:suff w:val="tab"/>
      <w:lvlText w:val="%2)"/>
      <w:lvlJc w:val="left"/>
      <w:pPr>
        <w:pStyle w:val="757"/>
        <w:ind w:left="1260" w:hanging="420"/>
        <w:tabs>
          <w:tab w:val="num" w:pos="1260" w:leader="none"/>
        </w:tabs>
      </w:pPr>
    </w:lvl>
    <w:lvl w:ilvl="2">
      <w:start w:val="1"/>
      <w:numFmt w:val="lowerRoman"/>
      <w:isLgl w:val="false"/>
      <w:suff w:val="tab"/>
      <w:lvlText w:val="%3."/>
      <w:lvlJc w:val="right"/>
      <w:pPr>
        <w:pStyle w:val="757"/>
        <w:ind w:left="1680" w:hanging="420"/>
        <w:tabs>
          <w:tab w:val="num" w:pos="1680" w:leader="none"/>
        </w:tabs>
      </w:pPr>
    </w:lvl>
    <w:lvl w:ilvl="3">
      <w:start w:val="1"/>
      <w:numFmt w:val="decimal"/>
      <w:pStyle w:val="916"/>
      <w:isLgl w:val="false"/>
      <w:suff w:val="tab"/>
      <w:lvlText w:val="%4."/>
      <w:lvlJc w:val="left"/>
      <w:pPr>
        <w:pStyle w:val="757"/>
        <w:ind w:left="2100" w:hanging="420"/>
        <w:tabs>
          <w:tab w:val="num" w:pos="2100" w:leader="none"/>
        </w:tabs>
      </w:pPr>
    </w:lvl>
    <w:lvl w:ilvl="4">
      <w:start w:val="1"/>
      <w:numFmt w:val="lowerLetter"/>
      <w:pStyle w:val="915"/>
      <w:isLgl w:val="false"/>
      <w:suff w:val="tab"/>
      <w:lvlText w:val="%5)"/>
      <w:lvlJc w:val="left"/>
      <w:pPr>
        <w:pStyle w:val="757"/>
        <w:ind w:left="2520" w:hanging="420"/>
        <w:tabs>
          <w:tab w:val="num" w:pos="2520" w:leader="none"/>
        </w:tabs>
      </w:pPr>
    </w:lvl>
    <w:lvl w:ilvl="5">
      <w:start w:val="1"/>
      <w:numFmt w:val="lowerRoman"/>
      <w:isLgl w:val="false"/>
      <w:suff w:val="tab"/>
      <w:lvlText w:val="%6."/>
      <w:lvlJc w:val="right"/>
      <w:pPr>
        <w:pStyle w:val="757"/>
        <w:ind w:left="2940" w:hanging="420"/>
        <w:tabs>
          <w:tab w:val="num" w:pos="2940" w:leader="none"/>
        </w:tabs>
      </w:pPr>
    </w:lvl>
    <w:lvl w:ilvl="6">
      <w:start w:val="1"/>
      <w:numFmt w:val="decimal"/>
      <w:isLgl w:val="false"/>
      <w:suff w:val="tab"/>
      <w:lvlText w:val="%7."/>
      <w:lvlJc w:val="left"/>
      <w:pPr>
        <w:pStyle w:val="757"/>
        <w:ind w:left="3360" w:hanging="420"/>
        <w:tabs>
          <w:tab w:val="num" w:pos="3360" w:leader="none"/>
        </w:tabs>
      </w:pPr>
    </w:lvl>
    <w:lvl w:ilvl="7">
      <w:start w:val="1"/>
      <w:numFmt w:val="lowerLetter"/>
      <w:isLgl w:val="false"/>
      <w:suff w:val="tab"/>
      <w:lvlText w:val="%8)"/>
      <w:lvlJc w:val="left"/>
      <w:pPr>
        <w:pStyle w:val="757"/>
        <w:ind w:left="3780" w:hanging="420"/>
        <w:tabs>
          <w:tab w:val="num" w:pos="3780" w:leader="none"/>
        </w:tabs>
      </w:pPr>
    </w:lvl>
    <w:lvl w:ilvl="8">
      <w:start w:val="1"/>
      <w:numFmt w:val="lowerRoman"/>
      <w:isLgl w:val="false"/>
      <w:suff w:val="tab"/>
      <w:lvlText w:val="%9."/>
      <w:lvlJc w:val="right"/>
      <w:pPr>
        <w:pStyle w:val="757"/>
        <w:ind w:left="4200" w:hanging="420"/>
        <w:tabs>
          <w:tab w:val="num" w:pos="4200" w:leader="none"/>
        </w:tabs>
      </w:pPr>
    </w:lvl>
  </w:abstractNum>
  <w:abstractNum w:abstractNumId="10">
    <w:multiLevelType w:val="hybridMultilevel"/>
    <w:lvl w:ilvl="0">
      <w:start w:val="1"/>
      <w:numFmt w:val="bullet"/>
      <w:pStyle w:val="889"/>
      <w:isLgl w:val="false"/>
      <w:suff w:val="tab"/>
      <w:lvlText w:val=""/>
      <w:lvlJc w:val="left"/>
      <w:pPr>
        <w:pStyle w:val="757"/>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80"/>
      <w:isLgl w:val="false"/>
      <w:suff w:val="tab"/>
      <w:lvlText w:val="%1)"/>
      <w:lvlJc w:val="left"/>
      <w:pPr>
        <w:pStyle w:val="75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pStyle w:val="926"/>
      <w:isLgl w:val="false"/>
      <w:suff w:val="tab"/>
      <w:lvlText w:val="%1"/>
      <w:lvlJc w:val="left"/>
      <w:pPr>
        <w:pStyle w:val="757"/>
        <w:ind w:left="425" w:hanging="425"/>
        <w:tabs>
          <w:tab w:val="num" w:pos="425" w:leader="none"/>
        </w:tabs>
      </w:pPr>
    </w:lvl>
    <w:lvl w:ilvl="1">
      <w:start w:val="1"/>
      <w:numFmt w:val="decimal"/>
      <w:isLgl w:val="false"/>
      <w:suff w:val="tab"/>
      <w:lvlText w:val="%1.%2"/>
      <w:lvlJc w:val="left"/>
      <w:pPr>
        <w:pStyle w:val="757"/>
        <w:ind w:left="992" w:hanging="567"/>
        <w:tabs>
          <w:tab w:val="num" w:pos="992" w:leader="none"/>
        </w:tabs>
      </w:pPr>
    </w:lvl>
    <w:lvl w:ilvl="2">
      <w:start w:val="1"/>
      <w:numFmt w:val="decimal"/>
      <w:isLgl w:val="false"/>
      <w:suff w:val="tab"/>
      <w:lvlText w:val="%1.%2.%3"/>
      <w:lvlJc w:val="left"/>
      <w:pPr>
        <w:pStyle w:val="757"/>
        <w:ind w:left="1418" w:hanging="567"/>
        <w:tabs>
          <w:tab w:val="num" w:pos="1418" w:leader="none"/>
        </w:tabs>
      </w:pPr>
    </w:lvl>
    <w:lvl w:ilvl="3">
      <w:start w:val="5"/>
      <w:numFmt w:val="decimal"/>
      <w:isLgl w:val="false"/>
      <w:suff w:val="tab"/>
      <w:lvlText w:val="%1.%2.%3.%4"/>
      <w:lvlJc w:val="left"/>
      <w:pPr>
        <w:pStyle w:val="757"/>
        <w:ind w:left="1984" w:hanging="708"/>
        <w:tabs>
          <w:tab w:val="num" w:pos="1984" w:leader="none"/>
        </w:tabs>
      </w:pPr>
    </w:lvl>
    <w:lvl w:ilvl="4">
      <w:start w:val="5"/>
      <w:numFmt w:val="decimal"/>
      <w:isLgl w:val="false"/>
      <w:suff w:val="tab"/>
      <w:lvlText w:val="%1.%2.%3.%4.%5"/>
      <w:lvlJc w:val="left"/>
      <w:pPr>
        <w:pStyle w:val="757"/>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757"/>
        <w:ind w:left="3260" w:hanging="1134"/>
        <w:tabs>
          <w:tab w:val="num" w:pos="3260" w:leader="none"/>
        </w:tabs>
      </w:pPr>
    </w:lvl>
    <w:lvl w:ilvl="6">
      <w:start w:val="1"/>
      <w:numFmt w:val="decimal"/>
      <w:isLgl w:val="false"/>
      <w:suff w:val="tab"/>
      <w:lvlText w:val="%1.%2.%3.%4.%5.%6.%7"/>
      <w:lvlJc w:val="left"/>
      <w:pPr>
        <w:pStyle w:val="757"/>
        <w:ind w:left="3827" w:hanging="1276"/>
        <w:tabs>
          <w:tab w:val="num" w:pos="3827" w:leader="none"/>
        </w:tabs>
      </w:pPr>
    </w:lvl>
    <w:lvl w:ilvl="7">
      <w:start w:val="1"/>
      <w:numFmt w:val="decimal"/>
      <w:isLgl w:val="false"/>
      <w:suff w:val="tab"/>
      <w:lvlText w:val="%1.%2.%3.%4.%5.%6.%7.%8"/>
      <w:lvlJc w:val="left"/>
      <w:pPr>
        <w:pStyle w:val="757"/>
        <w:ind w:left="4394" w:hanging="1418"/>
        <w:tabs>
          <w:tab w:val="num" w:pos="4394" w:leader="none"/>
        </w:tabs>
      </w:pPr>
    </w:lvl>
    <w:lvl w:ilvl="8">
      <w:start w:val="1"/>
      <w:numFmt w:val="decimal"/>
      <w:isLgl w:val="false"/>
      <w:suff w:val="tab"/>
      <w:lvlText w:val="%1.%2.%3.%4.%5.%6.%7.%8.%9"/>
      <w:lvlJc w:val="left"/>
      <w:pPr>
        <w:pStyle w:val="757"/>
        <w:ind w:left="5102" w:hanging="1700"/>
        <w:tabs>
          <w:tab w:val="num" w:pos="5102" w:leader="none"/>
        </w:tabs>
      </w:pPr>
    </w:lvl>
  </w:abstractNum>
  <w:abstractNum w:abstractNumId="13">
    <w:multiLevelType w:val="hybridMultilevel"/>
    <w:lvl w:ilvl="0">
      <w:start w:val="1"/>
      <w:numFmt w:val="decimal"/>
      <w:isLgl w:val="false"/>
      <w:suff w:val="tab"/>
      <w:lvlText w:val="%1)"/>
      <w:lvlJc w:val="left"/>
      <w:pPr>
        <w:pStyle w:val="757"/>
        <w:ind w:left="420" w:hanging="420"/>
      </w:pPr>
      <w:rPr>
        <w:rFonts w:ascii="Times New Roman" w:hAnsi="Times New Roman" w:cs="Times New Roman"/>
      </w:rPr>
    </w:lvl>
    <w:lvl w:ilvl="1">
      <w:start w:val="1"/>
      <w:numFmt w:val="lowerLetter"/>
      <w:isLgl w:val="false"/>
      <w:suff w:val="tab"/>
      <w:lvlText w:val="%2)"/>
      <w:lvlJc w:val="left"/>
      <w:pPr>
        <w:pStyle w:val="757"/>
        <w:ind w:left="840" w:hanging="420"/>
      </w:pPr>
      <w:rPr>
        <w:rFonts w:ascii="Times New Roman" w:hAnsi="Times New Roman" w:cs="Times New Roman"/>
      </w:rPr>
    </w:lvl>
    <w:lvl w:ilvl="2">
      <w:start w:val="1"/>
      <w:numFmt w:val="lowerRoman"/>
      <w:isLgl w:val="false"/>
      <w:suff w:val="tab"/>
      <w:lvlText w:val="%3."/>
      <w:lvlJc w:val="right"/>
      <w:pPr>
        <w:pStyle w:val="757"/>
        <w:ind w:left="1260" w:hanging="420"/>
      </w:pPr>
      <w:rPr>
        <w:rFonts w:ascii="Times New Roman" w:hAnsi="Times New Roman" w:cs="Times New Roman"/>
      </w:rPr>
    </w:lvl>
    <w:lvl w:ilvl="3">
      <w:start w:val="1"/>
      <w:numFmt w:val="decimal"/>
      <w:isLgl w:val="false"/>
      <w:suff w:val="tab"/>
      <w:lvlText w:val="%4."/>
      <w:lvlJc w:val="left"/>
      <w:pPr>
        <w:pStyle w:val="757"/>
        <w:ind w:left="1680" w:hanging="420"/>
      </w:pPr>
      <w:rPr>
        <w:rFonts w:ascii="Times New Roman" w:hAnsi="Times New Roman" w:cs="Times New Roman"/>
      </w:rPr>
    </w:lvl>
    <w:lvl w:ilvl="4">
      <w:start w:val="1"/>
      <w:numFmt w:val="lowerLetter"/>
      <w:isLgl w:val="false"/>
      <w:suff w:val="tab"/>
      <w:lvlText w:val="%5)"/>
      <w:lvlJc w:val="left"/>
      <w:pPr>
        <w:pStyle w:val="757"/>
        <w:ind w:left="2100" w:hanging="420"/>
      </w:pPr>
      <w:rPr>
        <w:rFonts w:ascii="Times New Roman" w:hAnsi="Times New Roman" w:cs="Times New Roman"/>
      </w:rPr>
    </w:lvl>
    <w:lvl w:ilvl="5">
      <w:start w:val="1"/>
      <w:numFmt w:val="lowerRoman"/>
      <w:isLgl w:val="false"/>
      <w:suff w:val="tab"/>
      <w:lvlText w:val="%6."/>
      <w:lvlJc w:val="right"/>
      <w:pPr>
        <w:pStyle w:val="757"/>
        <w:ind w:left="2520" w:hanging="420"/>
      </w:pPr>
      <w:rPr>
        <w:rFonts w:ascii="Times New Roman" w:hAnsi="Times New Roman" w:cs="Times New Roman"/>
      </w:rPr>
    </w:lvl>
    <w:lvl w:ilvl="6">
      <w:start w:val="1"/>
      <w:numFmt w:val="decimal"/>
      <w:isLgl w:val="false"/>
      <w:suff w:val="tab"/>
      <w:lvlText w:val="%7."/>
      <w:lvlJc w:val="left"/>
      <w:pPr>
        <w:pStyle w:val="757"/>
        <w:ind w:left="2940" w:hanging="420"/>
      </w:pPr>
      <w:rPr>
        <w:rFonts w:ascii="Times New Roman" w:hAnsi="Times New Roman" w:cs="Times New Roman"/>
      </w:rPr>
    </w:lvl>
    <w:lvl w:ilvl="7">
      <w:start w:val="1"/>
      <w:numFmt w:val="lowerLetter"/>
      <w:isLgl w:val="false"/>
      <w:suff w:val="tab"/>
      <w:lvlText w:val="%8)"/>
      <w:lvlJc w:val="left"/>
      <w:pPr>
        <w:pStyle w:val="757"/>
        <w:ind w:left="3360" w:hanging="420"/>
      </w:pPr>
      <w:rPr>
        <w:rFonts w:ascii="Times New Roman" w:hAnsi="Times New Roman" w:cs="Times New Roman"/>
      </w:rPr>
    </w:lvl>
    <w:lvl w:ilvl="8">
      <w:start w:val="1"/>
      <w:numFmt w:val="lowerRoman"/>
      <w:isLgl w:val="false"/>
      <w:suff w:val="tab"/>
      <w:lvlText w:val="%9."/>
      <w:lvlJc w:val="right"/>
      <w:pPr>
        <w:pStyle w:val="757"/>
        <w:ind w:left="3780" w:hanging="420"/>
      </w:pPr>
      <w:rPr>
        <w:rFonts w:ascii="Times New Roman" w:hAnsi="Times New Roman" w:cs="Times New Roman"/>
      </w:rPr>
    </w:lvl>
  </w:abstractNum>
  <w:abstractNum w:abstractNumId="14">
    <w:multiLevelType w:val="hybridMultilevel"/>
    <w:lvl w:ilvl="0">
      <w:start w:val="1"/>
      <w:numFmt w:val="lowerLetter"/>
      <w:isLgl w:val="false"/>
      <w:suff w:val="tab"/>
      <w:lvlText w:val="%1．"/>
      <w:lvlJc w:val="left"/>
      <w:pPr>
        <w:pStyle w:val="757"/>
        <w:ind w:left="360" w:hanging="360"/>
        <w:tabs>
          <w:tab w:val="num" w:pos="360" w:leader="none"/>
        </w:tabs>
      </w:pPr>
      <w:rPr>
        <w:rFonts w:ascii="Times New Roman" w:hAnsi="Times New Roman" w:cs="Times New Roman"/>
      </w:rPr>
    </w:lvl>
    <w:lvl w:ilvl="1">
      <w:start w:val="1"/>
      <w:numFmt w:val="decimal"/>
      <w:isLgl w:val="false"/>
      <w:suff w:val="tab"/>
      <w:lvlText w:val="%2、"/>
      <w:lvlJc w:val="left"/>
      <w:pPr>
        <w:pStyle w:val="757"/>
        <w:ind w:left="780" w:hanging="360"/>
        <w:tabs>
          <w:tab w:val="num" w:pos="780" w:leader="none"/>
        </w:tabs>
      </w:pPr>
      <w:rPr>
        <w:rFonts w:ascii="Times New Roman" w:hAnsi="Times New Roman" w:cs="Times New Roman"/>
      </w:rPr>
    </w:lvl>
    <w:lvl w:ilvl="2">
      <w:start w:val="1"/>
      <w:numFmt w:val="lowerRoman"/>
      <w:isLgl w:val="false"/>
      <w:suff w:val="tab"/>
      <w:lvlText w:val="%3."/>
      <w:lvlJc w:val="right"/>
      <w:pPr>
        <w:pStyle w:val="757"/>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757"/>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757"/>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757"/>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757"/>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757"/>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757"/>
        <w:ind w:left="3780" w:hanging="420"/>
        <w:tabs>
          <w:tab w:val="num" w:pos="3780" w:leader="none"/>
        </w:tabs>
      </w:pPr>
      <w:rPr>
        <w:rFonts w:ascii="Times New Roman" w:hAnsi="Times New Roman" w:cs="Times New Roman"/>
      </w:rPr>
    </w:lvl>
  </w:abstractNum>
  <w:abstractNum w:abstractNumId="15">
    <w:multiLevelType w:val="hybridMultilevel"/>
    <w:lvl w:ilvl="0">
      <w:start w:val="1"/>
      <w:numFmt w:val="decimal"/>
      <w:isLgl w:val="false"/>
      <w:suff w:val="tab"/>
      <w:lvlText w:val="%1、"/>
      <w:lvlJc w:val="left"/>
      <w:pPr>
        <w:pStyle w:val="757"/>
        <w:ind w:left="629" w:hanging="425"/>
      </w:pPr>
      <w:rPr>
        <w:rFonts w:hint="eastAsia"/>
      </w:rPr>
    </w:lvl>
    <w:lvl w:ilvl="1">
      <w:start w:val="0"/>
      <w:numFmt w:val="decimal"/>
      <w:isLgl w:val="false"/>
      <w:suff w:val="tab"/>
      <w:lvlText w:val=""/>
      <w:lvlJc w:val="left"/>
      <w:pPr>
        <w:pStyle w:val="757"/>
        <w:tabs>
          <w:tab w:val="num" w:pos="360" w:leader="none"/>
        </w:tabs>
      </w:pPr>
    </w:lvl>
    <w:lvl w:ilvl="2">
      <w:start w:val="0"/>
      <w:numFmt w:val="decimal"/>
      <w:isLgl w:val="false"/>
      <w:suff w:val="tab"/>
      <w:lvlText w:val=""/>
      <w:lvlJc w:val="left"/>
      <w:pPr>
        <w:pStyle w:val="757"/>
        <w:tabs>
          <w:tab w:val="num" w:pos="360" w:leader="none"/>
        </w:tabs>
      </w:pPr>
    </w:lvl>
    <w:lvl w:ilvl="3">
      <w:start w:val="0"/>
      <w:numFmt w:val="decimal"/>
      <w:isLgl w:val="false"/>
      <w:suff w:val="tab"/>
      <w:lvlText w:val=""/>
      <w:lvlJc w:val="left"/>
      <w:pPr>
        <w:pStyle w:val="757"/>
        <w:tabs>
          <w:tab w:val="num" w:pos="360" w:leader="none"/>
        </w:tabs>
      </w:pPr>
    </w:lvl>
    <w:lvl w:ilvl="4">
      <w:start w:val="0"/>
      <w:numFmt w:val="decimal"/>
      <w:isLgl w:val="false"/>
      <w:suff w:val="tab"/>
      <w:lvlText w:val=""/>
      <w:lvlJc w:val="left"/>
      <w:pPr>
        <w:pStyle w:val="757"/>
        <w:tabs>
          <w:tab w:val="num" w:pos="360" w:leader="none"/>
        </w:tabs>
      </w:pPr>
    </w:lvl>
    <w:lvl w:ilvl="5">
      <w:start w:val="0"/>
      <w:numFmt w:val="decimal"/>
      <w:isLgl w:val="false"/>
      <w:suff w:val="tab"/>
      <w:lvlText w:val=""/>
      <w:lvlJc w:val="left"/>
      <w:pPr>
        <w:pStyle w:val="757"/>
        <w:tabs>
          <w:tab w:val="num" w:pos="360" w:leader="none"/>
        </w:tabs>
      </w:pPr>
    </w:lvl>
    <w:lvl w:ilvl="6">
      <w:start w:val="0"/>
      <w:numFmt w:val="decimal"/>
      <w:isLgl w:val="false"/>
      <w:suff w:val="tab"/>
      <w:lvlText w:val=""/>
      <w:lvlJc w:val="left"/>
      <w:pPr>
        <w:pStyle w:val="757"/>
        <w:tabs>
          <w:tab w:val="num" w:pos="360" w:leader="none"/>
        </w:tabs>
      </w:pPr>
    </w:lvl>
    <w:lvl w:ilvl="7">
      <w:start w:val="0"/>
      <w:numFmt w:val="decimal"/>
      <w:isLgl w:val="false"/>
      <w:suff w:val="tab"/>
      <w:lvlText w:val=""/>
      <w:lvlJc w:val="left"/>
      <w:pPr>
        <w:pStyle w:val="757"/>
        <w:tabs>
          <w:tab w:val="num" w:pos="360" w:leader="none"/>
        </w:tabs>
      </w:pPr>
    </w:lvl>
    <w:lvl w:ilvl="8">
      <w:start w:val="0"/>
      <w:numFmt w:val="decimal"/>
      <w:isLgl w:val="false"/>
      <w:suff w:val="tab"/>
      <w:lvlText w:val=""/>
      <w:lvlJc w:val="left"/>
      <w:pPr>
        <w:pStyle w:val="757"/>
        <w:tabs>
          <w:tab w:val="num" w:pos="360" w:leader="none"/>
        </w:tabs>
      </w:pPr>
    </w:lvl>
  </w:abstractNum>
  <w:abstractNum w:abstractNumId="16">
    <w:multiLevelType w:val="hybridMultilevel"/>
    <w:lvl w:ilvl="0">
      <w:start w:val="1"/>
      <w:numFmt w:val="decimal"/>
      <w:isLgl w:val="false"/>
      <w:suff w:val="tab"/>
      <w:lvlText w:val="%1、"/>
      <w:lvlJc w:val="left"/>
      <w:pPr>
        <w:pStyle w:val="757"/>
        <w:ind w:left="360" w:hanging="360"/>
      </w:p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17">
    <w:multiLevelType w:val="hybridMultilevel"/>
    <w:lvl w:ilvl="0">
      <w:start w:val="4"/>
      <w:numFmt w:val="decimal"/>
      <w:isLgl w:val="false"/>
      <w:suff w:val="tab"/>
      <w:lvlText w:val="%1."/>
      <w:lvlJc w:val="left"/>
      <w:pPr>
        <w:pStyle w:val="7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2"/>
  </w:num>
  <w:num w:numId="5">
    <w:abstractNumId w:val="1"/>
  </w:num>
  <w:num w:numId="6">
    <w:abstractNumId w:val="11"/>
  </w:num>
  <w:num w:numId="7">
    <w:abstractNumId w:val="8"/>
  </w:num>
  <w:num w:numId="8">
    <w:abstractNumId w:val="10"/>
  </w:num>
  <w:num w:numId="9">
    <w:abstractNumId w:val="4"/>
  </w:num>
  <w:num w:numId="10">
    <w:abstractNumId w:val="7"/>
  </w:num>
  <w:num w:numId="11">
    <w:abstractNumId w:val="9"/>
  </w:num>
  <w:num w:numId="12">
    <w:abstractNumId w:val="12"/>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5"/>
  </w:num>
  <w:num w:numId="14">
    <w:abstractNumId w:val="15"/>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7"/>
    <w:next w:val="7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widowControl w:val="off"/>
    </w:pPr>
    <w:rPr>
      <w:sz w:val="21"/>
      <w:szCs w:val="24"/>
      <w:lang w:val="en-US" w:eastAsia="zh-CN" w:bidi="ar-SA"/>
    </w:rPr>
  </w:style>
  <w:style w:type="paragraph" w:styleId="758">
    <w:name w:val="标题 1"/>
    <w:basedOn w:val="757"/>
    <w:next w:val="757"/>
    <w:link w:val="769"/>
    <w:qFormat/>
    <w:pPr>
      <w:keepLines/>
      <w:keepNext/>
      <w:spacing w:before="340" w:after="330" w:line="576" w:lineRule="auto"/>
      <w:outlineLvl w:val="0"/>
    </w:pPr>
    <w:rPr>
      <w:rFonts w:ascii="Tahoma" w:hAnsi="Tahoma" w:eastAsia="楷体_GB2312"/>
      <w:b/>
      <w:sz w:val="44"/>
    </w:rPr>
  </w:style>
  <w:style w:type="paragraph" w:styleId="759">
    <w:name w:val="标题 2"/>
    <w:next w:val="757"/>
    <w:link w:val="770"/>
    <w:qFormat/>
    <w:pPr>
      <w:spacing w:before="624" w:after="312"/>
      <w:outlineLvl w:val="1"/>
    </w:pPr>
    <w:rPr>
      <w:rFonts w:ascii="Arial" w:hAnsi="Arial" w:eastAsia="黑体"/>
      <w:b/>
      <w:bCs/>
      <w:color w:val="000000"/>
      <w:spacing w:val="16"/>
      <w:sz w:val="28"/>
      <w:szCs w:val="32"/>
      <w:lang w:val="en-US" w:eastAsia="zh-CN" w:bidi="ar-SA"/>
    </w:rPr>
  </w:style>
  <w:style w:type="paragraph" w:styleId="760">
    <w:name w:val="标题 3"/>
    <w:next w:val="757"/>
    <w:link w:val="771"/>
    <w:qFormat/>
    <w:pPr>
      <w:ind w:right="238"/>
      <w:spacing w:before="468" w:after="468"/>
      <w:outlineLvl w:val="2"/>
    </w:pPr>
    <w:rPr>
      <w:rFonts w:ascii="宋体" w:hAnsi="宋体"/>
      <w:sz w:val="28"/>
      <w:szCs w:val="24"/>
      <w:lang w:val="en-US" w:eastAsia="zh-CN" w:bidi="ar-SA"/>
    </w:rPr>
  </w:style>
  <w:style w:type="paragraph" w:styleId="761">
    <w:name w:val="标题 4"/>
    <w:next w:val="757"/>
    <w:link w:val="772"/>
    <w:qFormat/>
    <w:pPr>
      <w:spacing w:before="468" w:after="468"/>
      <w:outlineLvl w:val="3"/>
    </w:pPr>
    <w:rPr>
      <w:rFonts w:ascii="宋体" w:hAnsi="宋体"/>
      <w:color w:val="000000"/>
      <w:sz w:val="24"/>
      <w:szCs w:val="28"/>
      <w:u w:val="single"/>
      <w:lang w:val="en-US" w:eastAsia="zh-CN" w:bidi="ar-SA"/>
    </w:rPr>
  </w:style>
  <w:style w:type="paragraph" w:styleId="762">
    <w:name w:val="标题 5"/>
    <w:basedOn w:val="757"/>
    <w:next w:val="757"/>
    <w:link w:val="773"/>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763">
    <w:name w:val="标题 6"/>
    <w:basedOn w:val="757"/>
    <w:next w:val="757"/>
    <w:link w:val="774"/>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764">
    <w:name w:val="标题 7"/>
    <w:basedOn w:val="757"/>
    <w:next w:val="757"/>
    <w:link w:val="775"/>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765">
    <w:name w:val="标题 8"/>
    <w:basedOn w:val="757"/>
    <w:next w:val="757"/>
    <w:link w:val="776"/>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66">
    <w:name w:val="标题 9"/>
    <w:basedOn w:val="757"/>
    <w:next w:val="757"/>
    <w:link w:val="777"/>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67">
    <w:name w:val="默认段落字体"/>
    <w:next w:val="767"/>
    <w:link w:val="757"/>
    <w:rPr>
      <w:rFonts w:ascii="Tahoma" w:hAnsi="Tahoma" w:eastAsia="宋体"/>
      <w:sz w:val="24"/>
      <w:szCs w:val="24"/>
      <w:lang w:val="en-US" w:eastAsia="zh-CN" w:bidi="ar-SA"/>
    </w:rPr>
  </w:style>
  <w:style w:type="table" w:styleId="768">
    <w:name w:val="普通表格"/>
    <w:next w:val="768"/>
    <w:link w:val="757"/>
    <w:uiPriority w:val="99"/>
    <w:unhideWhenUsed/>
    <w:tblPr/>
  </w:style>
  <w:style w:type="character" w:styleId="769">
    <w:name w:val="标题 1 Char"/>
    <w:next w:val="769"/>
    <w:link w:val="758"/>
    <w:rPr>
      <w:rFonts w:ascii="Tahoma" w:hAnsi="Tahoma" w:eastAsia="楷体_GB2312"/>
      <w:b/>
      <w:sz w:val="44"/>
      <w:szCs w:val="24"/>
      <w:lang w:val="en-US" w:eastAsia="zh-CN" w:bidi="ar-SA"/>
    </w:rPr>
  </w:style>
  <w:style w:type="character" w:styleId="770">
    <w:name w:val="标题 2 Char"/>
    <w:next w:val="770"/>
    <w:link w:val="759"/>
    <w:rPr>
      <w:rFonts w:ascii="Arial" w:hAnsi="Arial" w:eastAsia="黑体"/>
      <w:b/>
      <w:bCs/>
      <w:color w:val="000000"/>
      <w:spacing w:val="16"/>
      <w:sz w:val="28"/>
      <w:szCs w:val="32"/>
      <w:lang w:val="en-US" w:eastAsia="zh-CN" w:bidi="ar-SA"/>
    </w:rPr>
  </w:style>
  <w:style w:type="character" w:styleId="771">
    <w:name w:val="标题 3 Char"/>
    <w:next w:val="771"/>
    <w:link w:val="760"/>
    <w:rPr>
      <w:rFonts w:ascii="宋体" w:hAnsi="宋体"/>
      <w:sz w:val="28"/>
      <w:szCs w:val="24"/>
      <w:lang w:val="en-US" w:eastAsia="zh-CN" w:bidi="ar-SA"/>
    </w:rPr>
  </w:style>
  <w:style w:type="character" w:styleId="772">
    <w:name w:val="标题 4 Char"/>
    <w:next w:val="772"/>
    <w:link w:val="761"/>
    <w:rPr>
      <w:rFonts w:ascii="宋体" w:hAnsi="宋体"/>
      <w:color w:val="000000"/>
      <w:sz w:val="24"/>
      <w:szCs w:val="28"/>
      <w:u w:val="single"/>
      <w:lang w:val="en-US" w:eastAsia="zh-CN" w:bidi="ar-SA"/>
    </w:rPr>
  </w:style>
  <w:style w:type="character" w:styleId="773">
    <w:name w:val="标题 5 Char"/>
    <w:next w:val="773"/>
    <w:link w:val="762"/>
    <w:rPr>
      <w:rFonts w:ascii="Tahoma" w:hAnsi="Tahoma" w:eastAsia="宋体"/>
      <w:b/>
      <w:bCs/>
      <w:sz w:val="28"/>
      <w:szCs w:val="28"/>
      <w:lang w:val="en-US" w:eastAsia="zh-CN" w:bidi="ar-SA"/>
    </w:rPr>
  </w:style>
  <w:style w:type="character" w:styleId="774">
    <w:name w:val="标题 6 Char"/>
    <w:next w:val="774"/>
    <w:link w:val="763"/>
    <w:rPr>
      <w:rFonts w:ascii="Arial" w:hAnsi="Arial" w:eastAsia="黑体"/>
      <w:b/>
      <w:bCs/>
      <w:sz w:val="24"/>
      <w:szCs w:val="24"/>
      <w:lang w:val="en-US" w:eastAsia="zh-CN" w:bidi="ar-SA"/>
    </w:rPr>
  </w:style>
  <w:style w:type="character" w:styleId="775">
    <w:name w:val="标题 7 Char"/>
    <w:next w:val="775"/>
    <w:link w:val="764"/>
    <w:rPr>
      <w:rFonts w:ascii="Tahoma" w:hAnsi="Tahoma" w:eastAsia="宋体"/>
      <w:b/>
      <w:bCs/>
      <w:sz w:val="24"/>
      <w:szCs w:val="24"/>
      <w:lang w:val="en-US" w:eastAsia="zh-CN" w:bidi="ar-SA"/>
    </w:rPr>
  </w:style>
  <w:style w:type="character" w:styleId="776">
    <w:name w:val="标题 8 Char"/>
    <w:next w:val="776"/>
    <w:link w:val="765"/>
    <w:rPr>
      <w:rFonts w:ascii="Arial" w:hAnsi="Arial" w:eastAsia="黑体"/>
      <w:sz w:val="24"/>
      <w:szCs w:val="24"/>
      <w:lang w:val="en-US" w:eastAsia="zh-CN" w:bidi="ar-SA"/>
    </w:rPr>
  </w:style>
  <w:style w:type="character" w:styleId="777">
    <w:name w:val="标题 9 Char"/>
    <w:next w:val="777"/>
    <w:link w:val="766"/>
    <w:rPr>
      <w:rFonts w:ascii="Arial" w:hAnsi="Arial" w:eastAsia="黑体"/>
      <w:sz w:val="21"/>
      <w:szCs w:val="21"/>
      <w:lang w:val="en-US" w:eastAsia="zh-CN" w:bidi="ar-SA"/>
    </w:rPr>
  </w:style>
  <w:style w:type="paragraph" w:styleId="778">
    <w:name w:val="列表 3"/>
    <w:basedOn w:val="757"/>
    <w:next w:val="778"/>
    <w:link w:val="757"/>
    <w:pPr>
      <w:ind w:left="1260" w:hanging="420"/>
    </w:pPr>
  </w:style>
  <w:style w:type="paragraph" w:styleId="779">
    <w:name w:val="正文缩进"/>
    <w:basedOn w:val="757"/>
    <w:next w:val="757"/>
    <w:link w:val="780"/>
    <w:qFormat/>
    <w:pPr>
      <w:ind w:firstLine="420"/>
      <w:jc w:val="left"/>
    </w:pPr>
    <w:rPr>
      <w:rFonts w:ascii="Tahoma" w:hAnsi="Tahoma" w:eastAsia="楷体_GB2312"/>
      <w:sz w:val="24"/>
    </w:rPr>
  </w:style>
  <w:style w:type="character" w:styleId="780">
    <w:name w:val="正文缩进 Char"/>
    <w:next w:val="780"/>
    <w:link w:val="779"/>
    <w:qFormat/>
    <w:rPr>
      <w:rFonts w:ascii="Tahoma" w:hAnsi="Tahoma" w:eastAsia="楷体_GB2312"/>
      <w:sz w:val="24"/>
      <w:szCs w:val="24"/>
      <w:lang w:val="en-US" w:eastAsia="zh-CN" w:bidi="ar-SA"/>
    </w:rPr>
  </w:style>
  <w:style w:type="paragraph" w:styleId="781">
    <w:name w:val="题注"/>
    <w:basedOn w:val="757"/>
    <w:next w:val="757"/>
    <w:link w:val="757"/>
    <w:qFormat/>
    <w:pPr>
      <w:jc w:val="left"/>
      <w:widowControl/>
    </w:pPr>
    <w:rPr>
      <w:rFonts w:ascii="Cambria" w:hAnsi="Cambria" w:eastAsia="黑体"/>
      <w:sz w:val="20"/>
      <w:szCs w:val="20"/>
    </w:rPr>
  </w:style>
  <w:style w:type="paragraph" w:styleId="782">
    <w:name w:val="文档结构图"/>
    <w:basedOn w:val="757"/>
    <w:next w:val="782"/>
    <w:link w:val="783"/>
    <w:pPr>
      <w:shd w:val="clear" w:color="auto" w:fill="000080"/>
    </w:pPr>
    <w:rPr>
      <w:rFonts w:ascii="Tahoma" w:hAnsi="Tahoma"/>
    </w:rPr>
  </w:style>
  <w:style w:type="character" w:styleId="783">
    <w:name w:val="文档结构图 Char"/>
    <w:next w:val="783"/>
    <w:link w:val="782"/>
    <w:rPr>
      <w:rFonts w:ascii="Tahoma" w:hAnsi="Tahoma" w:eastAsia="宋体"/>
      <w:sz w:val="21"/>
      <w:szCs w:val="24"/>
      <w:shd w:val="clear" w:color="auto" w:fill="000080"/>
      <w:lang w:val="en-US" w:eastAsia="zh-CN" w:bidi="ar-SA"/>
    </w:rPr>
  </w:style>
  <w:style w:type="paragraph" w:styleId="784">
    <w:name w:val="批注文字"/>
    <w:basedOn w:val="757"/>
    <w:next w:val="784"/>
    <w:link w:val="785"/>
    <w:qFormat/>
    <w:pPr>
      <w:jc w:val="left"/>
    </w:pPr>
    <w:rPr>
      <w:rFonts w:ascii="Tahoma" w:hAnsi="Tahoma"/>
    </w:rPr>
  </w:style>
  <w:style w:type="character" w:styleId="785">
    <w:name w:val="批注文字 Char"/>
    <w:next w:val="785"/>
    <w:link w:val="784"/>
    <w:rPr>
      <w:rFonts w:ascii="Tahoma" w:hAnsi="Tahoma" w:eastAsia="宋体"/>
      <w:sz w:val="21"/>
      <w:szCs w:val="24"/>
      <w:lang w:val="en-US" w:eastAsia="zh-CN" w:bidi="ar-SA"/>
    </w:rPr>
  </w:style>
  <w:style w:type="paragraph" w:styleId="786">
    <w:name w:val="正文文本 3"/>
    <w:basedOn w:val="757"/>
    <w:next w:val="786"/>
    <w:link w:val="787"/>
    <w:pPr>
      <w:spacing w:after="120"/>
    </w:pPr>
    <w:rPr>
      <w:rFonts w:ascii="Tahoma" w:hAnsi="Tahoma"/>
      <w:sz w:val="16"/>
      <w:szCs w:val="16"/>
    </w:rPr>
  </w:style>
  <w:style w:type="character" w:styleId="787">
    <w:name w:val="正文文本 3 Char"/>
    <w:next w:val="787"/>
    <w:link w:val="786"/>
    <w:rPr>
      <w:rFonts w:ascii="Tahoma" w:hAnsi="Tahoma" w:eastAsia="宋体"/>
      <w:sz w:val="16"/>
      <w:szCs w:val="16"/>
      <w:lang w:val="en-US" w:eastAsia="zh-CN" w:bidi="ar-SA"/>
    </w:rPr>
  </w:style>
  <w:style w:type="paragraph" w:styleId="788">
    <w:name w:val="正文文本"/>
    <w:basedOn w:val="757"/>
    <w:next w:val="788"/>
    <w:link w:val="789"/>
    <w:qFormat/>
    <w:pPr>
      <w:spacing w:line="400" w:lineRule="exact"/>
    </w:pPr>
    <w:rPr>
      <w:rFonts w:ascii="楷体_GB2312" w:eastAsia="楷体_GB2312"/>
      <w:sz w:val="28"/>
      <w:szCs w:val="20"/>
    </w:rPr>
  </w:style>
  <w:style w:type="character" w:styleId="789">
    <w:name w:val="正文文本 Char"/>
    <w:next w:val="789"/>
    <w:link w:val="788"/>
    <w:qFormat/>
    <w:rPr>
      <w:rFonts w:ascii="楷体_GB2312" w:eastAsia="楷体_GB2312"/>
      <w:sz w:val="28"/>
    </w:rPr>
  </w:style>
  <w:style w:type="paragraph" w:styleId="790">
    <w:name w:val="正文文本缩进"/>
    <w:basedOn w:val="757"/>
    <w:next w:val="790"/>
    <w:link w:val="791"/>
    <w:pPr>
      <w:ind w:firstLine="435"/>
      <w:spacing w:line="260" w:lineRule="exact"/>
    </w:pPr>
    <w:rPr>
      <w:rFonts w:ascii="Tahoma" w:hAnsi="Tahoma"/>
      <w:sz w:val="18"/>
    </w:rPr>
  </w:style>
  <w:style w:type="character" w:styleId="791">
    <w:name w:val="正文文本缩进 Char"/>
    <w:next w:val="791"/>
    <w:link w:val="790"/>
    <w:rPr>
      <w:rFonts w:ascii="Tahoma" w:hAnsi="Tahoma" w:eastAsia="宋体"/>
      <w:sz w:val="18"/>
      <w:szCs w:val="24"/>
      <w:lang w:val="en-US" w:eastAsia="zh-CN" w:bidi="ar-SA"/>
    </w:rPr>
  </w:style>
  <w:style w:type="paragraph" w:styleId="792">
    <w:name w:val="列表 2"/>
    <w:basedOn w:val="757"/>
    <w:next w:val="792"/>
    <w:link w:val="757"/>
    <w:pPr>
      <w:ind w:left="840" w:hanging="420"/>
    </w:pPr>
  </w:style>
  <w:style w:type="paragraph" w:styleId="793">
    <w:name w:val="目录 5"/>
    <w:basedOn w:val="757"/>
    <w:next w:val="757"/>
    <w:link w:val="757"/>
    <w:pPr>
      <w:ind w:left="1680"/>
    </w:pPr>
  </w:style>
  <w:style w:type="paragraph" w:styleId="794">
    <w:name w:val="目录 3"/>
    <w:basedOn w:val="757"/>
    <w:next w:val="757"/>
    <w:link w:val="757"/>
    <w:pPr>
      <w:ind w:left="840"/>
    </w:pPr>
  </w:style>
  <w:style w:type="paragraph" w:styleId="795">
    <w:name w:val="纯文本"/>
    <w:basedOn w:val="757"/>
    <w:next w:val="795"/>
    <w:link w:val="796"/>
    <w:rPr>
      <w:rFonts w:ascii="宋体" w:hAnsi="Courier New" w:eastAsia="楷体_GB2312"/>
      <w:sz w:val="28"/>
    </w:rPr>
  </w:style>
  <w:style w:type="character" w:styleId="796">
    <w:name w:val="纯文本 Char"/>
    <w:next w:val="796"/>
    <w:link w:val="795"/>
    <w:rPr>
      <w:rFonts w:ascii="宋体" w:hAnsi="Courier New" w:eastAsia="楷体_GB2312"/>
      <w:sz w:val="28"/>
      <w:szCs w:val="24"/>
      <w:lang w:val="en-US" w:eastAsia="zh-CN" w:bidi="ar-SA"/>
    </w:rPr>
  </w:style>
  <w:style w:type="paragraph" w:styleId="797">
    <w:name w:val="日期"/>
    <w:basedOn w:val="757"/>
    <w:next w:val="757"/>
    <w:link w:val="798"/>
    <w:rPr>
      <w:rFonts w:ascii="宋体" w:hAnsi="宋体" w:eastAsia="楷体_GB2312"/>
      <w:sz w:val="24"/>
    </w:rPr>
  </w:style>
  <w:style w:type="character" w:styleId="798">
    <w:name w:val="日期 Char"/>
    <w:next w:val="798"/>
    <w:link w:val="797"/>
    <w:rPr>
      <w:rFonts w:ascii="宋体" w:hAnsi="宋体" w:eastAsia="楷体_GB2312"/>
      <w:sz w:val="24"/>
      <w:szCs w:val="24"/>
      <w:lang w:val="en-US" w:eastAsia="zh-CN" w:bidi="ar-SA"/>
    </w:rPr>
  </w:style>
  <w:style w:type="paragraph" w:styleId="799">
    <w:name w:val="正文文本缩进 2"/>
    <w:basedOn w:val="757"/>
    <w:next w:val="799"/>
    <w:link w:val="800"/>
    <w:pPr>
      <w:ind w:left="420"/>
      <w:spacing w:after="120" w:line="480" w:lineRule="auto"/>
    </w:pPr>
    <w:rPr>
      <w:rFonts w:ascii="Tahoma" w:hAnsi="Tahoma"/>
    </w:rPr>
  </w:style>
  <w:style w:type="character" w:styleId="800">
    <w:name w:val="正文文本缩进 2 Char"/>
    <w:next w:val="800"/>
    <w:link w:val="799"/>
    <w:rPr>
      <w:rFonts w:ascii="Tahoma" w:hAnsi="Tahoma" w:eastAsia="宋体"/>
      <w:sz w:val="21"/>
      <w:szCs w:val="24"/>
      <w:lang w:val="en-US" w:eastAsia="zh-CN" w:bidi="ar-SA"/>
    </w:rPr>
  </w:style>
  <w:style w:type="paragraph" w:styleId="801">
    <w:name w:val="批注框文本"/>
    <w:basedOn w:val="757"/>
    <w:next w:val="801"/>
    <w:link w:val="802"/>
    <w:rPr>
      <w:rFonts w:ascii="Tahoma" w:hAnsi="Tahoma"/>
      <w:sz w:val="18"/>
      <w:szCs w:val="18"/>
    </w:rPr>
  </w:style>
  <w:style w:type="character" w:styleId="802">
    <w:name w:val="批注框文本 Char"/>
    <w:next w:val="802"/>
    <w:link w:val="801"/>
    <w:rPr>
      <w:rFonts w:ascii="Tahoma" w:hAnsi="Tahoma" w:eastAsia="宋体"/>
      <w:sz w:val="18"/>
      <w:szCs w:val="18"/>
      <w:lang w:val="en-US" w:eastAsia="zh-CN" w:bidi="ar-SA"/>
    </w:rPr>
  </w:style>
  <w:style w:type="paragraph" w:styleId="803">
    <w:name w:val="页脚"/>
    <w:basedOn w:val="757"/>
    <w:next w:val="803"/>
    <w:link w:val="804"/>
    <w:pPr>
      <w:jc w:val="left"/>
      <w:tabs>
        <w:tab w:val="center" w:pos="4153" w:leader="none"/>
        <w:tab w:val="right" w:pos="8306" w:leader="none"/>
      </w:tabs>
    </w:pPr>
    <w:rPr>
      <w:rFonts w:ascii="Tahoma" w:hAnsi="Tahoma" w:eastAsia="楷体_GB2312"/>
      <w:sz w:val="18"/>
    </w:rPr>
  </w:style>
  <w:style w:type="character" w:styleId="804">
    <w:name w:val="页脚 Char"/>
    <w:next w:val="804"/>
    <w:link w:val="803"/>
    <w:rPr>
      <w:rFonts w:ascii="Tahoma" w:hAnsi="Tahoma" w:eastAsia="楷体_GB2312"/>
      <w:sz w:val="18"/>
      <w:szCs w:val="24"/>
      <w:lang w:val="en-US" w:eastAsia="zh-CN" w:bidi="ar-SA"/>
    </w:rPr>
  </w:style>
  <w:style w:type="paragraph" w:styleId="805">
    <w:name w:val="页眉"/>
    <w:basedOn w:val="757"/>
    <w:next w:val="805"/>
    <w:link w:val="806"/>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806">
    <w:name w:val="页眉 Char"/>
    <w:next w:val="806"/>
    <w:link w:val="805"/>
    <w:rPr>
      <w:rFonts w:ascii="Tahoma" w:hAnsi="Tahoma" w:eastAsia="楷体_GB2312"/>
      <w:sz w:val="18"/>
      <w:szCs w:val="24"/>
      <w:lang w:val="en-US" w:eastAsia="zh-CN" w:bidi="ar-SA"/>
    </w:rPr>
  </w:style>
  <w:style w:type="paragraph" w:styleId="807">
    <w:name w:val="目录 1"/>
    <w:basedOn w:val="757"/>
    <w:next w:val="757"/>
    <w:link w:val="757"/>
    <w:uiPriority w:val="39"/>
    <w:pPr>
      <w:jc w:val="left"/>
    </w:pPr>
    <w:rPr>
      <w:rFonts w:eastAsia="楷体_GB2312"/>
      <w:sz w:val="24"/>
      <w:szCs w:val="20"/>
    </w:rPr>
  </w:style>
  <w:style w:type="paragraph" w:styleId="808">
    <w:name w:val="列表接续 4"/>
    <w:basedOn w:val="757"/>
    <w:next w:val="808"/>
    <w:link w:val="757"/>
    <w:pPr>
      <w:ind w:left="1680"/>
      <w:spacing w:after="120"/>
    </w:pPr>
  </w:style>
  <w:style w:type="paragraph" w:styleId="809">
    <w:name w:val="目录 4"/>
    <w:basedOn w:val="757"/>
    <w:next w:val="757"/>
    <w:link w:val="757"/>
    <w:pPr>
      <w:ind w:left="1260"/>
    </w:pPr>
  </w:style>
  <w:style w:type="paragraph" w:styleId="810">
    <w:name w:val="索引标题"/>
    <w:basedOn w:val="757"/>
    <w:next w:val="811"/>
    <w:link w:val="757"/>
    <w:rPr>
      <w:rFonts w:ascii="Arial" w:hAnsi="Arial" w:cs="Arial"/>
      <w:b/>
      <w:bCs/>
    </w:rPr>
  </w:style>
  <w:style w:type="paragraph" w:styleId="811">
    <w:name w:val="索引 1"/>
    <w:basedOn w:val="757"/>
    <w:next w:val="757"/>
    <w:link w:val="757"/>
  </w:style>
  <w:style w:type="paragraph" w:styleId="812">
    <w:name w:val="副标题"/>
    <w:basedOn w:val="757"/>
    <w:next w:val="812"/>
    <w:link w:val="757"/>
    <w:qFormat/>
    <w:pPr>
      <w:jc w:val="left"/>
      <w:spacing w:before="100" w:beforeAutospacing="1" w:after="100" w:afterAutospacing="1"/>
      <w:widowControl/>
    </w:pPr>
    <w:rPr>
      <w:rFonts w:ascii="宋体" w:hAnsi="宋体" w:cs="宋体"/>
      <w:sz w:val="24"/>
    </w:rPr>
  </w:style>
  <w:style w:type="paragraph" w:styleId="813">
    <w:name w:val="列表"/>
    <w:basedOn w:val="757"/>
    <w:next w:val="813"/>
    <w:link w:val="757"/>
    <w:uiPriority w:val="99"/>
    <w:unhideWhenUsed/>
    <w:pPr>
      <w:contextualSpacing/>
      <w:ind w:left="200" w:hanging="200"/>
    </w:pPr>
  </w:style>
  <w:style w:type="paragraph" w:styleId="814">
    <w:name w:val="正文文本缩进 3"/>
    <w:basedOn w:val="757"/>
    <w:next w:val="814"/>
    <w:link w:val="757"/>
    <w:pPr>
      <w:ind w:left="420"/>
      <w:spacing w:after="120"/>
    </w:pPr>
    <w:rPr>
      <w:sz w:val="16"/>
      <w:szCs w:val="16"/>
    </w:rPr>
  </w:style>
  <w:style w:type="paragraph" w:styleId="815">
    <w:name w:val="目录 2"/>
    <w:basedOn w:val="757"/>
    <w:next w:val="757"/>
    <w:link w:val="757"/>
    <w:pPr>
      <w:ind w:left="420"/>
    </w:pPr>
  </w:style>
  <w:style w:type="paragraph" w:styleId="816">
    <w:name w:val="目录 9"/>
    <w:basedOn w:val="757"/>
    <w:next w:val="757"/>
    <w:link w:val="757"/>
    <w:pPr>
      <w:ind w:left="3360"/>
    </w:pPr>
    <w:rPr>
      <w:rFonts w:eastAsia="楷体_GB2312"/>
      <w:sz w:val="28"/>
      <w:szCs w:val="20"/>
    </w:rPr>
  </w:style>
  <w:style w:type="paragraph" w:styleId="817">
    <w:name w:val="正文文本 2"/>
    <w:basedOn w:val="757"/>
    <w:next w:val="817"/>
    <w:link w:val="757"/>
    <w:pPr>
      <w:spacing w:after="120" w:line="480" w:lineRule="auto"/>
    </w:pPr>
  </w:style>
  <w:style w:type="paragraph" w:styleId="818">
    <w:name w:val="列表接续 2"/>
    <w:basedOn w:val="757"/>
    <w:next w:val="818"/>
    <w:link w:val="757"/>
    <w:pPr>
      <w:ind w:left="840"/>
      <w:spacing w:after="120"/>
    </w:pPr>
  </w:style>
  <w:style w:type="paragraph" w:styleId="819">
    <w:name w:val="HTML 预设格式"/>
    <w:basedOn w:val="757"/>
    <w:next w:val="819"/>
    <w:link w:val="7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20">
    <w:name w:val="普通(网站)"/>
    <w:basedOn w:val="757"/>
    <w:next w:val="820"/>
    <w:link w:val="757"/>
    <w:uiPriority w:val="99"/>
    <w:pPr>
      <w:jc w:val="left"/>
      <w:spacing w:before="100" w:beforeAutospacing="1" w:after="100" w:afterAutospacing="1"/>
      <w:widowControl/>
    </w:pPr>
    <w:rPr>
      <w:rFonts w:ascii="宋体" w:hAnsi="宋体"/>
      <w:sz w:val="24"/>
    </w:rPr>
  </w:style>
  <w:style w:type="paragraph" w:styleId="821">
    <w:name w:val="批注主题"/>
    <w:basedOn w:val="784"/>
    <w:next w:val="784"/>
    <w:link w:val="822"/>
    <w:semiHidden/>
    <w:rPr>
      <w:b/>
      <w:bCs/>
    </w:rPr>
  </w:style>
  <w:style w:type="character" w:styleId="822">
    <w:name w:val="批注主题 Char"/>
    <w:next w:val="822"/>
    <w:link w:val="821"/>
    <w:rPr>
      <w:lang w:val="en-US" w:eastAsia="zh-CN" w:bidi="ar-SA"/>
    </w:rPr>
  </w:style>
  <w:style w:type="paragraph" w:styleId="823">
    <w:name w:val="正文首行缩进"/>
    <w:basedOn w:val="788"/>
    <w:next w:val="823"/>
    <w:link w:val="757"/>
    <w:pPr>
      <w:ind w:firstLine="420"/>
      <w:spacing w:after="120" w:line="240" w:lineRule="auto"/>
    </w:pPr>
    <w:rPr>
      <w:rFonts w:ascii="Times New Roman" w:eastAsia="宋体"/>
      <w:sz w:val="21"/>
      <w:szCs w:val="24"/>
    </w:rPr>
  </w:style>
  <w:style w:type="paragraph" w:styleId="824">
    <w:name w:val="正文首行缩进 2"/>
    <w:basedOn w:val="790"/>
    <w:next w:val="824"/>
    <w:link w:val="757"/>
    <w:pPr>
      <w:ind w:left="420" w:firstLine="420"/>
      <w:spacing w:after="120" w:line="240" w:lineRule="auto"/>
    </w:pPr>
    <w:rPr>
      <w:sz w:val="21"/>
    </w:rPr>
  </w:style>
  <w:style w:type="table" w:styleId="825">
    <w:name w:val="网格型"/>
    <w:basedOn w:val="768"/>
    <w:next w:val="825"/>
    <w:link w:val="757"/>
    <w:uiPriority w:val="39"/>
    <w:pPr>
      <w:jc w:val="both"/>
      <w:widowControl w:val="off"/>
    </w:pPr>
    <w:tblPr/>
  </w:style>
  <w:style w:type="character" w:styleId="826">
    <w:name w:val="要点"/>
    <w:next w:val="826"/>
    <w:link w:val="757"/>
    <w:uiPriority w:val="22"/>
    <w:qFormat/>
    <w:rPr>
      <w:rFonts w:ascii="Tahoma" w:hAnsi="Tahoma" w:eastAsia="宋体"/>
      <w:b/>
      <w:bCs/>
      <w:sz w:val="24"/>
      <w:szCs w:val="24"/>
      <w:lang w:val="en-US" w:eastAsia="zh-CN" w:bidi="ar-SA"/>
    </w:rPr>
  </w:style>
  <w:style w:type="character" w:styleId="827">
    <w:name w:val="页码"/>
    <w:next w:val="827"/>
    <w:link w:val="757"/>
    <w:rPr>
      <w:lang w:val="en-US" w:eastAsia="zh-CN" w:bidi="ar-SA"/>
    </w:rPr>
  </w:style>
  <w:style w:type="character" w:styleId="828">
    <w:name w:val="已访问的超链接"/>
    <w:next w:val="828"/>
    <w:link w:val="757"/>
    <w:uiPriority w:val="99"/>
    <w:rPr>
      <w:rFonts w:ascii="Tahoma" w:hAnsi="Tahoma" w:eastAsia="宋体"/>
      <w:color w:val="800080"/>
      <w:sz w:val="24"/>
      <w:szCs w:val="24"/>
      <w:u w:val="single"/>
      <w:lang w:val="en-US" w:eastAsia="zh-CN" w:bidi="ar-SA"/>
    </w:rPr>
  </w:style>
  <w:style w:type="character" w:styleId="829">
    <w:name w:val="HTML 打字机"/>
    <w:next w:val="829"/>
    <w:link w:val="757"/>
    <w:rPr>
      <w:rFonts w:ascii="黑体" w:hAnsi="Courier New" w:eastAsia="黑体" w:cs="Courier New"/>
      <w:sz w:val="14"/>
      <w:szCs w:val="14"/>
      <w:lang w:val="en-US" w:eastAsia="zh-CN" w:bidi="ar-SA"/>
    </w:rPr>
  </w:style>
  <w:style w:type="character" w:styleId="830">
    <w:name w:val="超链接"/>
    <w:next w:val="830"/>
    <w:link w:val="757"/>
    <w:uiPriority w:val="99"/>
    <w:rPr>
      <w:rFonts w:ascii="Arial" w:hAnsi="Arial" w:eastAsia="宋体" w:cs="Arial"/>
      <w:color w:val="2200cc"/>
      <w:sz w:val="24"/>
      <w:szCs w:val="24"/>
      <w:u w:val="single"/>
      <w:lang w:val="en-US" w:eastAsia="zh-CN" w:bidi="ar-SA"/>
    </w:rPr>
  </w:style>
  <w:style w:type="character" w:styleId="831">
    <w:name w:val="批注引用"/>
    <w:next w:val="831"/>
    <w:link w:val="757"/>
    <w:unhideWhenUsed/>
    <w:rPr>
      <w:rFonts w:ascii="Tahoma" w:hAnsi="Tahoma" w:eastAsia="宋体"/>
      <w:sz w:val="21"/>
      <w:szCs w:val="21"/>
      <w:lang w:val="en-US" w:eastAsia="zh-CN" w:bidi="ar-SA"/>
    </w:rPr>
  </w:style>
  <w:style w:type="character" w:styleId="832">
    <w:name w:val="Char Char Char Char Char Char Char Char Char"/>
    <w:next w:val="832"/>
    <w:link w:val="833"/>
    <w:rPr>
      <w:rFonts w:ascii="Tahoma" w:hAnsi="Tahoma"/>
      <w:sz w:val="24"/>
    </w:rPr>
  </w:style>
  <w:style w:type="paragraph" w:styleId="833">
    <w:name w:val="Char Char Char Char Char Char Char"/>
    <w:basedOn w:val="757"/>
    <w:next w:val="833"/>
    <w:link w:val="832"/>
    <w:pPr>
      <w:ind w:firstLine="480"/>
      <w:spacing w:line="360" w:lineRule="auto"/>
    </w:pPr>
    <w:rPr>
      <w:rFonts w:ascii="Tahoma" w:hAnsi="Tahoma"/>
      <w:sz w:val="24"/>
      <w:szCs w:val="20"/>
    </w:rPr>
  </w:style>
  <w:style w:type="character" w:styleId="834">
    <w:name w:val="info4"/>
    <w:next w:val="834"/>
    <w:link w:val="757"/>
    <w:rPr>
      <w:lang w:val="en-US" w:eastAsia="zh-CN" w:bidi="ar-SA"/>
    </w:rPr>
  </w:style>
  <w:style w:type="character" w:styleId="835">
    <w:name w:val="f141"/>
    <w:next w:val="835"/>
    <w:link w:val="757"/>
    <w:rPr>
      <w:lang w:val="en-US" w:eastAsia="zh-CN" w:bidi="ar-SA"/>
    </w:rPr>
  </w:style>
  <w:style w:type="character" w:styleId="836">
    <w:name w:val="3zw1"/>
    <w:next w:val="836"/>
    <w:link w:val="757"/>
    <w:rPr>
      <w:rFonts w:ascii="Tahoma" w:hAnsi="Tahoma" w:eastAsia="宋体"/>
      <w:color w:val="000000"/>
      <w:sz w:val="21"/>
      <w:szCs w:val="21"/>
      <w:lang w:val="en-US" w:eastAsia="zh-CN" w:bidi="ar-SA"/>
    </w:rPr>
  </w:style>
  <w:style w:type="character" w:styleId="837">
    <w:name w:val="+正文 Char Char Char Char"/>
    <w:next w:val="837"/>
    <w:link w:val="757"/>
    <w:rPr>
      <w:rFonts w:ascii="Tahoma" w:hAnsi="Tahoma" w:eastAsia="宋体"/>
      <w:sz w:val="24"/>
      <w:szCs w:val="28"/>
      <w:lang w:val="en-US" w:eastAsia="zh-CN" w:bidi="ar-SA"/>
    </w:rPr>
  </w:style>
  <w:style w:type="character" w:styleId="838">
    <w:name w:val="+正文 Char Char Char2"/>
    <w:next w:val="838"/>
    <w:link w:val="757"/>
    <w:rPr>
      <w:rFonts w:ascii="Tahoma" w:hAnsi="Tahoma" w:eastAsia="宋体"/>
      <w:sz w:val="24"/>
      <w:szCs w:val="24"/>
      <w:lang w:val="en-US" w:eastAsia="zh-CN" w:bidi="ar-SA"/>
    </w:rPr>
  </w:style>
  <w:style w:type="character" w:styleId="839">
    <w:name w:val="font"/>
    <w:next w:val="839"/>
    <w:link w:val="757"/>
    <w:rPr>
      <w:lang w:val="en-US" w:eastAsia="zh-CN" w:bidi="ar-SA"/>
    </w:rPr>
  </w:style>
  <w:style w:type="character" w:styleId="840">
    <w:name w:val="e1"/>
    <w:next w:val="840"/>
    <w:link w:val="757"/>
    <w:rPr>
      <w:rFonts w:ascii="Tahoma" w:hAnsi="Tahoma" w:eastAsia="宋体"/>
      <w:sz w:val="21"/>
      <w:szCs w:val="24"/>
      <w:lang w:val="en-US" w:eastAsia="zh-CN" w:bidi="ar-SA"/>
    </w:rPr>
  </w:style>
  <w:style w:type="character" w:styleId="841">
    <w:name w:val="body1"/>
    <w:next w:val="841"/>
    <w:link w:val="757"/>
    <w:rPr>
      <w:rFonts w:eastAsia="宋体"/>
      <w:sz w:val="18"/>
      <w:szCs w:val="18"/>
      <w:lang w:val="en-US" w:eastAsia="zh-CN" w:bidi="ar-SA"/>
    </w:rPr>
  </w:style>
  <w:style w:type="character" w:styleId="842">
    <w:name w:val="+标题3 Char Char"/>
    <w:next w:val="842"/>
    <w:link w:val="757"/>
    <w:rPr>
      <w:rFonts w:ascii="Tahoma" w:hAnsi="Tahoma" w:eastAsia="宋体"/>
      <w:b/>
      <w:bCs/>
      <w:sz w:val="24"/>
      <w:szCs w:val="28"/>
      <w:lang w:val="en-US" w:eastAsia="zh-CN" w:bidi="ar-SA"/>
    </w:rPr>
  </w:style>
  <w:style w:type="character" w:styleId="843">
    <w:name w:val="td21"/>
    <w:next w:val="843"/>
    <w:link w:val="757"/>
    <w:rPr>
      <w:rFonts w:ascii="Tahoma" w:hAnsi="Tahoma" w:eastAsia="宋体"/>
      <w:sz w:val="21"/>
      <w:szCs w:val="21"/>
      <w:u w:val="none"/>
      <w:lang w:val="en-US" w:eastAsia="zh-CN" w:bidi="ar-SA"/>
    </w:rPr>
  </w:style>
  <w:style w:type="character" w:styleId="844">
    <w:name w:val="样式 楷体_GB2312 四号 加粗"/>
    <w:next w:val="844"/>
    <w:link w:val="757"/>
    <w:rPr>
      <w:rFonts w:ascii="楷体_GB2312" w:hAnsi="楷体_GB2312" w:eastAsia="楷体_GB2312"/>
      <w:b/>
      <w:bCs/>
      <w:sz w:val="28"/>
      <w:szCs w:val="24"/>
      <w:lang w:val="en-US" w:eastAsia="zh-CN" w:bidi="ar-SA"/>
    </w:rPr>
  </w:style>
  <w:style w:type="character" w:styleId="845">
    <w:name w:val="biaoti1"/>
    <w:next w:val="845"/>
    <w:link w:val="757"/>
    <w:rPr>
      <w:rFonts w:ascii="Tahoma" w:hAnsi="Tahoma" w:eastAsia="宋体"/>
      <w:b/>
      <w:bCs/>
      <w:color w:val="336699"/>
      <w:sz w:val="21"/>
      <w:szCs w:val="21"/>
      <w:u w:val="none"/>
      <w:lang w:val="en-US" w:eastAsia="zh-CN" w:bidi="ar-SA"/>
    </w:rPr>
  </w:style>
  <w:style w:type="character" w:styleId="846">
    <w:name w:val=" Char Char2"/>
    <w:next w:val="846"/>
    <w:link w:val="757"/>
    <w:rPr>
      <w:rFonts w:ascii="宋体" w:hAnsi="Courier New" w:eastAsia="宋体"/>
      <w:sz w:val="21"/>
      <w:szCs w:val="21"/>
      <w:lang w:val="en-US" w:eastAsia="zh-CN" w:bidi="ar-SA"/>
    </w:rPr>
  </w:style>
  <w:style w:type="character" w:styleId="847">
    <w:name w:val="apple-style-span"/>
    <w:next w:val="847"/>
    <w:link w:val="757"/>
    <w:rPr>
      <w:lang w:val="en-US" w:eastAsia="zh-CN" w:bidi="ar-SA"/>
    </w:rPr>
  </w:style>
  <w:style w:type="character" w:styleId="848">
    <w:name w:val=" Char Char Char Char Char Char Char"/>
    <w:next w:val="848"/>
    <w:link w:val="849"/>
    <w:rPr>
      <w:lang w:val="en-US" w:eastAsia="zh-CN" w:bidi="ar-SA"/>
    </w:rPr>
  </w:style>
  <w:style w:type="paragraph" w:styleId="849">
    <w:name w:val=" Char"/>
    <w:basedOn w:val="757"/>
    <w:next w:val="849"/>
    <w:link w:val="848"/>
    <w:pPr>
      <w:numPr>
        <w:ilvl w:val="0"/>
        <w:numId w:val="1"/>
      </w:numPr>
      <w:tabs>
        <w:tab w:val="left" w:pos="495" w:leader="none"/>
      </w:tabs>
    </w:pPr>
    <w:rPr>
      <w:rFonts w:eastAsia="宋体"/>
      <w:sz w:val="24"/>
      <w:szCs w:val="24"/>
      <w:lang w:val="en-US" w:eastAsia="zh-CN" w:bidi="ar-SA"/>
    </w:rPr>
  </w:style>
  <w:style w:type="character" w:styleId="850">
    <w:name w:val="apple-converted-space"/>
    <w:next w:val="850"/>
    <w:link w:val="757"/>
    <w:rPr>
      <w:lang w:val="en-US" w:eastAsia="zh-CN" w:bidi="ar-SA"/>
    </w:rPr>
  </w:style>
  <w:style w:type="character" w:styleId="851">
    <w:name w:val="+列表编号 Char Char"/>
    <w:next w:val="851"/>
    <w:link w:val="757"/>
    <w:rPr>
      <w:rFonts w:ascii="Tahoma" w:hAnsi="Tahoma" w:eastAsia="宋体"/>
      <w:b/>
      <w:spacing w:val="8"/>
      <w:sz w:val="24"/>
      <w:szCs w:val="24"/>
      <w:lang w:val="en-US" w:eastAsia="zh-CN" w:bidi="ar-SA"/>
    </w:rPr>
  </w:style>
  <w:style w:type="character" w:styleId="852">
    <w:name w:val="Plain Text Char Char"/>
    <w:next w:val="852"/>
    <w:link w:val="757"/>
    <w:rPr>
      <w:rFonts w:ascii="宋体" w:hAnsi="Courier New" w:eastAsia="楷体_GB2312"/>
      <w:sz w:val="28"/>
      <w:szCs w:val="24"/>
      <w:lang w:val="en-US" w:eastAsia="zh-CN" w:bidi="ar-SA"/>
    </w:rPr>
  </w:style>
  <w:style w:type="character" w:styleId="853">
    <w:name w:val="content021"/>
    <w:next w:val="853"/>
    <w:link w:val="757"/>
    <w:rPr>
      <w:lang w:val="en-US" w:eastAsia="zh-CN" w:bidi="ar-SA"/>
    </w:rPr>
  </w:style>
  <w:style w:type="character" w:styleId="854">
    <w:name w:val="标题 2 Char Char"/>
    <w:next w:val="854"/>
    <w:link w:val="757"/>
    <w:rPr>
      <w:rFonts w:ascii="Arial" w:hAnsi="Arial" w:eastAsia="黑体"/>
      <w:b/>
      <w:spacing w:val="-6"/>
      <w:sz w:val="30"/>
      <w:szCs w:val="32"/>
      <w:lang w:val="en-US" w:eastAsia="zh-CN" w:bidi="ar-SA"/>
    </w:rPr>
  </w:style>
  <w:style w:type="character" w:styleId="855">
    <w:name w:val="+正文 Char3"/>
    <w:next w:val="855"/>
    <w:link w:val="856"/>
    <w:rPr>
      <w:rFonts w:ascii="Tahoma" w:hAnsi="Tahoma" w:eastAsia="宋体"/>
      <w:sz w:val="24"/>
      <w:szCs w:val="28"/>
      <w:lang w:val="en-US" w:eastAsia="zh-CN" w:bidi="ar-SA"/>
    </w:rPr>
  </w:style>
  <w:style w:type="paragraph" w:styleId="856">
    <w:name w:val="+正文"/>
    <w:basedOn w:val="757"/>
    <w:next w:val="856"/>
    <w:link w:val="855"/>
    <w:pPr>
      <w:ind w:firstLine="200"/>
      <w:spacing w:line="360" w:lineRule="auto"/>
    </w:pPr>
    <w:rPr>
      <w:rFonts w:ascii="Tahoma" w:hAnsi="Tahoma"/>
      <w:sz w:val="24"/>
      <w:szCs w:val="28"/>
    </w:rPr>
  </w:style>
  <w:style w:type="paragraph" w:styleId="857">
    <w:name w:val="+(1)"/>
    <w:basedOn w:val="858"/>
    <w:next w:val="857"/>
    <w:link w:val="757"/>
    <w:pPr>
      <w:numPr>
        <w:ilvl w:val="2"/>
        <w:numId w:val="2"/>
      </w:numPr>
      <w:tabs>
        <w:tab w:val="left" w:pos="1140" w:leader="none"/>
      </w:tabs>
    </w:pPr>
  </w:style>
  <w:style w:type="paragraph" w:styleId="858">
    <w:name w:val="+正文 Char"/>
    <w:basedOn w:val="757"/>
    <w:next w:val="858"/>
    <w:link w:val="757"/>
    <w:pPr>
      <w:ind w:firstLine="200"/>
      <w:spacing w:line="360" w:lineRule="auto"/>
    </w:pPr>
    <w:rPr>
      <w:sz w:val="24"/>
      <w:szCs w:val="28"/>
    </w:rPr>
  </w:style>
  <w:style w:type="paragraph" w:styleId="859">
    <w:name w:val="三级条标题"/>
    <w:basedOn w:val="860"/>
    <w:next w:val="757"/>
    <w:link w:val="757"/>
    <w:pPr>
      <w:numPr>
        <w:ilvl w:val="4"/>
        <w:numId w:val="3"/>
      </w:numPr>
      <w:ind w:hanging="480"/>
      <w:tabs>
        <w:tab w:val="left" w:pos="480" w:leader="none"/>
      </w:tabs>
      <w:outlineLvl w:val="4"/>
    </w:pPr>
  </w:style>
  <w:style w:type="paragraph" w:styleId="860">
    <w:name w:val="二级条标题"/>
    <w:basedOn w:val="861"/>
    <w:next w:val="757"/>
    <w:link w:val="757"/>
    <w:pPr>
      <w:numPr>
        <w:ilvl w:val="3"/>
        <w:numId w:val="3"/>
      </w:numPr>
      <w:ind w:left="480" w:hanging="480"/>
      <w:tabs>
        <w:tab w:val="left" w:pos="480" w:leader="none"/>
      </w:tabs>
      <w:outlineLvl w:val="3"/>
    </w:pPr>
  </w:style>
  <w:style w:type="paragraph" w:styleId="861">
    <w:name w:val="一级条标题"/>
    <w:basedOn w:val="757"/>
    <w:next w:val="757"/>
    <w:link w:val="757"/>
    <w:pPr>
      <w:numPr>
        <w:ilvl w:val="2"/>
        <w:numId w:val="3"/>
      </w:numPr>
      <w:widowControl/>
      <w:tabs>
        <w:tab w:val="left" w:pos="360" w:leader="none"/>
      </w:tabs>
      <w:outlineLvl w:val="2"/>
    </w:pPr>
    <w:rPr>
      <w:rFonts w:ascii="黑体" w:eastAsia="黑体"/>
      <w:szCs w:val="20"/>
    </w:rPr>
  </w:style>
  <w:style w:type="paragraph" w:styleId="862">
    <w:name w:val="reader-word-layer"/>
    <w:basedOn w:val="757"/>
    <w:next w:val="862"/>
    <w:link w:val="757"/>
    <w:pPr>
      <w:jc w:val="left"/>
      <w:spacing w:before="100" w:beforeAutospacing="1" w:after="100" w:afterAutospacing="1"/>
      <w:widowControl/>
    </w:pPr>
    <w:rPr>
      <w:rFonts w:ascii="宋体" w:hAnsi="宋体" w:cs="宋体"/>
      <w:sz w:val="24"/>
    </w:rPr>
  </w:style>
  <w:style w:type="paragraph" w:styleId="863">
    <w:name w:val="列表内容"/>
    <w:basedOn w:val="757"/>
    <w:next w:val="757"/>
    <w:link w:val="757"/>
    <w:pPr>
      <w:numPr>
        <w:ilvl w:val="0"/>
        <w:numId w:val="4"/>
      </w:numPr>
      <w:ind w:left="0" w:firstLine="200"/>
      <w:jc w:val="left"/>
      <w:widowControl/>
      <w:tabs>
        <w:tab w:val="left" w:pos="840" w:leader="none"/>
      </w:tabs>
    </w:pPr>
    <w:rPr>
      <w:sz w:val="18"/>
    </w:rPr>
  </w:style>
  <w:style w:type="paragraph" w:styleId="864">
    <w:name w:val="+1."/>
    <w:basedOn w:val="858"/>
    <w:next w:val="864"/>
    <w:link w:val="757"/>
    <w:pPr>
      <w:ind w:left="198" w:firstLine="0"/>
      <w:tabs>
        <w:tab w:val="left" w:pos="624" w:leader="none"/>
      </w:tabs>
    </w:pPr>
  </w:style>
  <w:style w:type="paragraph" w:styleId="865">
    <w:name w:val="xl84"/>
    <w:basedOn w:val="757"/>
    <w:next w:val="865"/>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866">
    <w:name w:val="EHPT"/>
    <w:basedOn w:val="757"/>
    <w:next w:val="788"/>
    <w:link w:val="757"/>
    <w:pPr>
      <w:ind w:right="-694"/>
    </w:pPr>
    <w:rPr>
      <w:sz w:val="24"/>
      <w:szCs w:val="20"/>
    </w:rPr>
  </w:style>
  <w:style w:type="paragraph" w:styleId="867">
    <w:name w:val="Plain Text"/>
    <w:basedOn w:val="757"/>
    <w:next w:val="867"/>
    <w:link w:val="757"/>
    <w:rPr>
      <w:rFonts w:ascii="宋体" w:hAnsi="Courier New" w:eastAsia="楷体_GB2312"/>
      <w:sz w:val="28"/>
      <w:szCs w:val="20"/>
    </w:rPr>
  </w:style>
  <w:style w:type="paragraph" w:styleId="868">
    <w:name w:val="表格文字"/>
    <w:basedOn w:val="757"/>
    <w:next w:val="868"/>
    <w:link w:val="757"/>
  </w:style>
  <w:style w:type="paragraph" w:styleId="869">
    <w:name w:val="xl70"/>
    <w:basedOn w:val="757"/>
    <w:next w:val="869"/>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70">
    <w:name w:val="xl43"/>
    <w:basedOn w:val="757"/>
    <w:next w:val="870"/>
    <w:link w:val="75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871">
    <w:name w:val="Char Char1 Char Char Char Char Char Char Char"/>
    <w:basedOn w:val="757"/>
    <w:next w:val="871"/>
    <w:link w:val="757"/>
    <w:rPr>
      <w:szCs w:val="20"/>
    </w:rPr>
  </w:style>
  <w:style w:type="paragraph" w:styleId="872">
    <w:name w:val="+正文 Char Char2 Char Char"/>
    <w:basedOn w:val="757"/>
    <w:next w:val="872"/>
    <w:link w:val="757"/>
    <w:pPr>
      <w:ind w:firstLine="200"/>
      <w:spacing w:line="360" w:lineRule="auto"/>
    </w:pPr>
    <w:rPr>
      <w:sz w:val="24"/>
      <w:szCs w:val="28"/>
    </w:rPr>
  </w:style>
  <w:style w:type="paragraph" w:styleId="873">
    <w:name w:val="列出段落"/>
    <w:basedOn w:val="757"/>
    <w:next w:val="873"/>
    <w:link w:val="874"/>
    <w:uiPriority w:val="34"/>
    <w:qFormat/>
    <w:pPr>
      <w:ind w:firstLine="420"/>
      <w:spacing w:line="360" w:lineRule="auto"/>
    </w:pPr>
    <w:rPr>
      <w:rFonts w:ascii="Calibri" w:hAnsi="Calibri"/>
      <w:szCs w:val="22"/>
    </w:rPr>
  </w:style>
  <w:style w:type="character" w:styleId="874">
    <w:name w:val="列出段落 Char"/>
    <w:next w:val="874"/>
    <w:link w:val="873"/>
    <w:uiPriority w:val="34"/>
    <w:rPr>
      <w:rFonts w:ascii="Calibri" w:hAnsi="Calibri"/>
      <w:sz w:val="21"/>
      <w:szCs w:val="22"/>
    </w:rPr>
  </w:style>
  <w:style w:type="paragraph" w:styleId="875">
    <w:name w:val="+标题3"/>
    <w:basedOn w:val="760"/>
    <w:next w:val="875"/>
    <w:link w:val="757"/>
    <w:pPr>
      <w:ind w:right="0"/>
      <w:jc w:val="both"/>
      <w:keepLines/>
      <w:keepNext/>
      <w:spacing w:before="120" w:after="120" w:line="360" w:lineRule="auto"/>
      <w:widowControl w:val="off"/>
    </w:pPr>
    <w:rPr>
      <w:rFonts w:ascii="Times New Roman"/>
      <w:color w:val="000000"/>
      <w:spacing w:val="0"/>
      <w:szCs w:val="28"/>
    </w:rPr>
  </w:style>
  <w:style w:type="paragraph" w:styleId="876">
    <w:name w:val="+▲"/>
    <w:basedOn w:val="858"/>
    <w:next w:val="876"/>
    <w:link w:val="757"/>
    <w:pPr>
      <w:numPr>
        <w:ilvl w:val="0"/>
        <w:numId w:val="5"/>
      </w:numPr>
      <w:tabs>
        <w:tab w:val="left" w:pos="930" w:leader="none"/>
      </w:tabs>
    </w:pPr>
  </w:style>
  <w:style w:type="paragraph" w:styleId="877">
    <w:name w:val="xl26"/>
    <w:basedOn w:val="757"/>
    <w:next w:val="877"/>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78">
    <w:name w:val=" Char Char Char Char"/>
    <w:basedOn w:val="757"/>
    <w:next w:val="878"/>
    <w:link w:val="757"/>
    <w:pPr>
      <w:numPr>
        <w:ilvl w:val="0"/>
        <w:numId w:val="1"/>
      </w:numPr>
      <w:tabs>
        <w:tab w:val="left" w:pos="495" w:leader="none"/>
      </w:tabs>
    </w:pPr>
  </w:style>
  <w:style w:type="paragraph" w:styleId="879">
    <w:name w:val="xl73"/>
    <w:basedOn w:val="757"/>
    <w:next w:val="879"/>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880">
    <w:name w:val="符号与编号"/>
    <w:basedOn w:val="757"/>
    <w:next w:val="880"/>
    <w:link w:val="757"/>
    <w:pPr>
      <w:numPr>
        <w:ilvl w:val="0"/>
        <w:numId w:val="6"/>
      </w:numPr>
      <w:spacing w:line="360" w:lineRule="auto"/>
      <w:tabs>
        <w:tab w:val="left" w:pos="425" w:leader="none"/>
      </w:tabs>
    </w:pPr>
    <w:rPr>
      <w:rFonts w:ascii="宋体" w:hAnsi="宋体"/>
      <w:sz w:val="28"/>
      <w:szCs w:val="28"/>
    </w:rPr>
  </w:style>
  <w:style w:type="paragraph" w:styleId="881">
    <w:name w:val="xl77"/>
    <w:basedOn w:val="757"/>
    <w:next w:val="881"/>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82">
    <w:name w:val="+正文 Char Char5"/>
    <w:basedOn w:val="757"/>
    <w:next w:val="882"/>
    <w:link w:val="757"/>
    <w:pPr>
      <w:ind w:firstLine="200"/>
    </w:pPr>
    <w:rPr>
      <w:sz w:val="24"/>
    </w:rPr>
  </w:style>
  <w:style w:type="paragraph" w:styleId="883">
    <w:name w:val="xl79"/>
    <w:basedOn w:val="757"/>
    <w:next w:val="883"/>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84">
    <w:name w:val="xl40"/>
    <w:basedOn w:val="757"/>
    <w:next w:val="884"/>
    <w:link w:val="75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885">
    <w:name w:val="+●"/>
    <w:basedOn w:val="858"/>
    <w:next w:val="885"/>
    <w:link w:val="757"/>
    <w:pPr>
      <w:numPr>
        <w:ilvl w:val="6"/>
        <w:numId w:val="7"/>
      </w:numPr>
      <w:tabs>
        <w:tab w:val="left" w:pos="2940" w:leader="none"/>
      </w:tabs>
    </w:pPr>
  </w:style>
  <w:style w:type="paragraph" w:styleId="886">
    <w:name w:val="样式 标题 4"/>
    <w:basedOn w:val="761"/>
    <w:next w:val="886"/>
    <w:link w:val="757"/>
    <w:pPr>
      <w:jc w:val="both"/>
      <w:keepLines/>
      <w:keepNext/>
      <w:spacing w:before="120" w:after="120" w:line="374" w:lineRule="auto"/>
      <w:widowControl w:val="off"/>
    </w:pPr>
    <w:rPr>
      <w:b/>
      <w:bCs/>
      <w:color w:val="000000"/>
      <w:sz w:val="30"/>
      <w:szCs w:val="20"/>
      <w:u w:val="none"/>
    </w:rPr>
  </w:style>
  <w:style w:type="paragraph" w:styleId="887">
    <w:name w:val="xl41"/>
    <w:basedOn w:val="757"/>
    <w:next w:val="887"/>
    <w:link w:val="757"/>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888">
    <w:name w:val="样式 样式 样式 小四 左 首行缩进:  2 字符 + 首行缩进:  2 字符 Char + 右  0 字符1"/>
    <w:basedOn w:val="757"/>
    <w:next w:val="888"/>
    <w:link w:val="757"/>
    <w:pPr>
      <w:ind w:firstLine="200"/>
      <w:jc w:val="left"/>
      <w:spacing w:line="360" w:lineRule="auto"/>
    </w:pPr>
    <w:rPr>
      <w:rFonts w:cs="宋体"/>
      <w:sz w:val="24"/>
      <w:szCs w:val="20"/>
    </w:rPr>
  </w:style>
  <w:style w:type="paragraph" w:styleId="889">
    <w:name w:val="样式4"/>
    <w:basedOn w:val="757"/>
    <w:next w:val="889"/>
    <w:link w:val="757"/>
    <w:pPr>
      <w:numPr>
        <w:ilvl w:val="0"/>
        <w:numId w:val="8"/>
      </w:numPr>
      <w:spacing w:line="360" w:lineRule="auto"/>
      <w:tabs>
        <w:tab w:val="left" w:pos="420" w:leader="none"/>
      </w:tabs>
    </w:pPr>
    <w:rPr>
      <w:sz w:val="24"/>
    </w:rPr>
  </w:style>
  <w:style w:type="paragraph" w:styleId="890">
    <w:name w:val="font6"/>
    <w:basedOn w:val="757"/>
    <w:next w:val="890"/>
    <w:link w:val="757"/>
    <w:pPr>
      <w:jc w:val="left"/>
      <w:spacing w:before="100" w:beforeAutospacing="1" w:after="100" w:afterAutospacing="1"/>
      <w:widowControl/>
    </w:pPr>
    <w:rPr>
      <w:rFonts w:ascii="宋体" w:hAnsi="宋体" w:cs="宋体"/>
      <w:color w:val="000000"/>
      <w:sz w:val="18"/>
      <w:szCs w:val="18"/>
    </w:rPr>
  </w:style>
  <w:style w:type="paragraph" w:styleId="891">
    <w:name w:val="xl83"/>
    <w:basedOn w:val="757"/>
    <w:next w:val="891"/>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892">
    <w:name w:val="xl30"/>
    <w:basedOn w:val="757"/>
    <w:next w:val="892"/>
    <w:link w:val="75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3">
    <w:name w:val="标书正文格式"/>
    <w:next w:val="893"/>
    <w:link w:val="757"/>
    <w:pPr>
      <w:ind w:firstLine="200"/>
      <w:spacing w:line="360" w:lineRule="auto"/>
    </w:pPr>
    <w:rPr>
      <w:rFonts w:eastAsia="楷体_GB2312"/>
      <w:sz w:val="24"/>
      <w:szCs w:val="24"/>
      <w:lang w:val="en-US" w:eastAsia="zh-CN" w:bidi="ar-SA"/>
    </w:rPr>
  </w:style>
  <w:style w:type="paragraph" w:styleId="894">
    <w:name w:val="xl74"/>
    <w:basedOn w:val="757"/>
    <w:next w:val="894"/>
    <w:link w:val="757"/>
    <w:pPr>
      <w:jc w:val="left"/>
      <w:spacing w:before="100" w:beforeAutospacing="1" w:after="100" w:afterAutospacing="1"/>
      <w:widowControl/>
    </w:pPr>
    <w:rPr>
      <w:rFonts w:ascii="宋体" w:hAnsi="宋体" w:cs="宋体"/>
      <w:color w:val="ff0000"/>
      <w:sz w:val="24"/>
    </w:rPr>
  </w:style>
  <w:style w:type="paragraph" w:styleId="895">
    <w:name w:val="xl71"/>
    <w:basedOn w:val="757"/>
    <w:next w:val="895"/>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896">
    <w:name w:val="+标题4"/>
    <w:basedOn w:val="761"/>
    <w:next w:val="896"/>
    <w:link w:val="757"/>
    <w:pPr>
      <w:numPr>
        <w:ilvl w:val="3"/>
        <w:numId w:val="9"/>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897">
    <w:name w:val="xl69"/>
    <w:basedOn w:val="757"/>
    <w:next w:val="897"/>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8">
    <w:name w:val="文档正文"/>
    <w:basedOn w:val="757"/>
    <w:next w:val="898"/>
    <w:link w:val="757"/>
    <w:pPr>
      <w:ind w:firstLine="567"/>
      <w:spacing w:line="480" w:lineRule="atLeast"/>
    </w:pPr>
    <w:rPr>
      <w:rFonts w:ascii="仿宋_GB2312" w:eastAsia="仿宋_GB2312"/>
      <w:sz w:val="28"/>
      <w:szCs w:val="20"/>
    </w:rPr>
  </w:style>
  <w:style w:type="paragraph" w:styleId="899">
    <w:name w:val="xl24"/>
    <w:basedOn w:val="757"/>
    <w:next w:val="899"/>
    <w:link w:val="757"/>
    <w:pPr>
      <w:jc w:val="center"/>
      <w:spacing w:before="100" w:beforeAutospacing="1" w:after="100" w:afterAutospacing="1"/>
      <w:widowControl/>
    </w:pPr>
    <w:rPr>
      <w:rFonts w:ascii="宋体" w:hAnsi="宋体"/>
      <w:sz w:val="24"/>
    </w:rPr>
  </w:style>
  <w:style w:type="paragraph" w:styleId="900">
    <w:name w:val="xl88"/>
    <w:basedOn w:val="757"/>
    <w:next w:val="900"/>
    <w:link w:val="757"/>
    <w:pPr>
      <w:jc w:val="center"/>
      <w:spacing w:before="100" w:beforeAutospacing="1" w:after="100" w:afterAutospacing="1"/>
      <w:widowControl/>
      <w:pBdr>
        <w:bottom w:val="single" w:color="000000" w:sz="4" w:space="0"/>
      </w:pBdr>
    </w:pPr>
    <w:rPr>
      <w:rFonts w:ascii="宋体" w:hAnsi="宋体" w:cs="宋体"/>
      <w:sz w:val="24"/>
    </w:rPr>
  </w:style>
  <w:style w:type="paragraph" w:styleId="901">
    <w:name w:val="yyn2"/>
    <w:basedOn w:val="757"/>
    <w:next w:val="901"/>
    <w:link w:val="757"/>
    <w:pPr>
      <w:jc w:val="left"/>
      <w:keepNext/>
      <w:spacing w:line="360" w:lineRule="auto"/>
      <w:widowControl/>
      <w:tabs>
        <w:tab w:val="left" w:pos="1344" w:leader="none"/>
      </w:tabs>
    </w:pPr>
    <w:rPr>
      <w:rFonts w:ascii="宋体"/>
      <w:color w:val="000000"/>
      <w:sz w:val="28"/>
      <w:szCs w:val="20"/>
    </w:rPr>
  </w:style>
  <w:style w:type="paragraph" w:styleId="902">
    <w:name w:val="Char Char Char Char Char1 Char Char Char Char Char Char Char"/>
    <w:basedOn w:val="757"/>
    <w:next w:val="902"/>
    <w:link w:val="757"/>
  </w:style>
  <w:style w:type="paragraph" w:styleId="903">
    <w:name w:val="xl65"/>
    <w:basedOn w:val="757"/>
    <w:next w:val="90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4">
    <w:name w:val=" Char Char Char"/>
    <w:basedOn w:val="757"/>
    <w:next w:val="904"/>
    <w:link w:val="757"/>
    <w:pPr>
      <w:spacing w:line="360" w:lineRule="auto"/>
    </w:pPr>
    <w:rPr>
      <w:sz w:val="24"/>
      <w:szCs w:val="20"/>
    </w:rPr>
  </w:style>
  <w:style w:type="paragraph" w:styleId="905">
    <w:name w:val="接續本文"/>
    <w:basedOn w:val="788"/>
    <w:next w:val="905"/>
    <w:link w:val="757"/>
    <w:pPr>
      <w:ind w:left="1080"/>
      <w:keepNext/>
      <w:spacing w:after="240" w:line="240" w:lineRule="atLeast"/>
      <w:widowControl/>
    </w:pPr>
    <w:rPr>
      <w:rFonts w:ascii="Arial" w:hAnsi="Arial" w:eastAsia="PMingLiU"/>
      <w:spacing w:val="-5"/>
      <w:sz w:val="20"/>
      <w:lang w:eastAsia="zh-TW" w:bidi="he-IL"/>
    </w:rPr>
  </w:style>
  <w:style w:type="paragraph" w:styleId="906">
    <w:name w:val="样式SZA"/>
    <w:basedOn w:val="788"/>
    <w:next w:val="906"/>
    <w:link w:val="757"/>
    <w:pPr>
      <w:numPr>
        <w:ilvl w:val="0"/>
        <w:numId w:val="10"/>
      </w:numPr>
      <w:jc w:val="left"/>
      <w:spacing w:after="220" w:line="220" w:lineRule="atLeast"/>
      <w:widowControl/>
      <w:tabs>
        <w:tab w:val="left" w:pos="660" w:leader="none"/>
      </w:tabs>
    </w:pPr>
    <w:rPr>
      <w:rFonts w:ascii="Times New Roman" w:eastAsia="宋体"/>
      <w:sz w:val="21"/>
    </w:rPr>
  </w:style>
  <w:style w:type="paragraph" w:styleId="907">
    <w:name w:val="Body Text Indent"/>
    <w:basedOn w:val="757"/>
    <w:next w:val="907"/>
    <w:link w:val="757"/>
    <w:pPr>
      <w:ind w:left="-360" w:firstLine="540"/>
      <w:jc w:val="left"/>
      <w:widowControl/>
    </w:pPr>
    <w:rPr>
      <w:rFonts w:ascii="宋体" w:hAnsi="宋体"/>
      <w:sz w:val="24"/>
    </w:rPr>
  </w:style>
  <w:style w:type="paragraph" w:styleId="908">
    <w:name w:val="+注："/>
    <w:basedOn w:val="757"/>
    <w:next w:val="908"/>
    <w:link w:val="757"/>
    <w:pPr>
      <w:ind w:firstLine="200"/>
      <w:spacing w:line="360" w:lineRule="auto"/>
    </w:pPr>
    <w:rPr>
      <w:szCs w:val="21"/>
    </w:rPr>
  </w:style>
  <w:style w:type="paragraph" w:styleId="909">
    <w:name w:val="xl31"/>
    <w:basedOn w:val="757"/>
    <w:next w:val="909"/>
    <w:link w:val="75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910">
    <w:name w:val="Char Char Char Char"/>
    <w:basedOn w:val="782"/>
    <w:next w:val="910"/>
    <w:link w:val="757"/>
    <w:pPr>
      <w:spacing w:line="360" w:lineRule="auto"/>
    </w:pPr>
    <w:rPr>
      <w:rFonts w:ascii="Tahoma" w:hAnsi="Tahoma"/>
      <w:sz w:val="24"/>
    </w:rPr>
  </w:style>
  <w:style w:type="paragraph" w:styleId="911">
    <w:name w:val="xl67"/>
    <w:basedOn w:val="757"/>
    <w:next w:val="911"/>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2">
    <w:name w:val="正文缩进1"/>
    <w:basedOn w:val="757"/>
    <w:next w:val="912"/>
    <w:link w:val="757"/>
    <w:pPr>
      <w:ind w:firstLine="480"/>
      <w:widowControl/>
    </w:pPr>
    <w:rPr>
      <w:rFonts w:ascii="Calibri" w:hAnsi="Calibri"/>
      <w:sz w:val="24"/>
      <w:szCs w:val="20"/>
    </w:rPr>
  </w:style>
  <w:style w:type="paragraph" w:styleId="913">
    <w:name w:val="xl28"/>
    <w:basedOn w:val="757"/>
    <w:next w:val="91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14">
    <w:name w:val="样式1"/>
    <w:basedOn w:val="757"/>
    <w:next w:val="914"/>
    <w:link w:val="757"/>
    <w:pPr>
      <w:numPr>
        <w:ilvl w:val="0"/>
        <w:numId w:val="10"/>
      </w:numPr>
      <w:tabs>
        <w:tab w:val="left" w:pos="660" w:leader="none"/>
        <w:tab w:val="left" w:pos="709" w:leader="none"/>
      </w:tabs>
    </w:pPr>
    <w:rPr>
      <w:rFonts w:ascii="宋体" w:hAnsi="宋体"/>
      <w:szCs w:val="21"/>
    </w:rPr>
  </w:style>
  <w:style w:type="paragraph" w:styleId="915">
    <w:name w:val="五级条标题"/>
    <w:basedOn w:val="916"/>
    <w:next w:val="757"/>
    <w:link w:val="757"/>
    <w:pPr>
      <w:numPr>
        <w:ilvl w:val="4"/>
        <w:numId w:val="11"/>
      </w:numPr>
      <w:ind w:left="480" w:hanging="480"/>
      <w:tabs>
        <w:tab w:val="left" w:pos="2520" w:leader="none"/>
      </w:tabs>
      <w:outlineLvl w:val="6"/>
    </w:pPr>
  </w:style>
  <w:style w:type="paragraph" w:styleId="916">
    <w:name w:val="四级条标题"/>
    <w:basedOn w:val="859"/>
    <w:next w:val="757"/>
    <w:link w:val="757"/>
    <w:pPr>
      <w:numPr>
        <w:ilvl w:val="3"/>
        <w:numId w:val="11"/>
      </w:numPr>
      <w:ind w:left="480" w:hanging="480"/>
      <w:tabs>
        <w:tab w:val="left" w:pos="2100" w:leader="none"/>
      </w:tabs>
      <w:outlineLvl w:val="5"/>
    </w:pPr>
  </w:style>
  <w:style w:type="paragraph" w:styleId="917">
    <w:name w:val="纯文本1"/>
    <w:basedOn w:val="757"/>
    <w:next w:val="917"/>
    <w:link w:val="757"/>
    <w:qFormat/>
    <w:rPr>
      <w:rFonts w:hint="eastAsia" w:ascii="宋体" w:hAnsi="Courier New" w:eastAsia="楷体_GB2312"/>
      <w:sz w:val="28"/>
      <w:szCs w:val="20"/>
    </w:rPr>
  </w:style>
  <w:style w:type="paragraph" w:styleId="918">
    <w:name w:val="xl86"/>
    <w:basedOn w:val="757"/>
    <w:next w:val="918"/>
    <w:link w:val="757"/>
    <w:pPr>
      <w:jc w:val="center"/>
      <w:spacing w:before="100" w:beforeAutospacing="1" w:after="100" w:afterAutospacing="1"/>
      <w:widowControl/>
    </w:pPr>
    <w:rPr>
      <w:rFonts w:ascii="宋体" w:hAnsi="宋体" w:cs="宋体"/>
      <w:b/>
      <w:bCs/>
      <w:sz w:val="28"/>
      <w:szCs w:val="28"/>
    </w:rPr>
  </w:style>
  <w:style w:type="paragraph" w:styleId="919">
    <w:name w:val="+标题1"/>
    <w:basedOn w:val="758"/>
    <w:next w:val="919"/>
    <w:link w:val="75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920">
    <w:name w:val="xl82"/>
    <w:basedOn w:val="757"/>
    <w:next w:val="920"/>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21">
    <w:name w:val="xl44"/>
    <w:basedOn w:val="757"/>
    <w:next w:val="921"/>
    <w:link w:val="757"/>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922">
    <w:name w:val="xl45"/>
    <w:basedOn w:val="757"/>
    <w:next w:val="922"/>
    <w:link w:val="757"/>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923">
    <w:name w:val="xl29"/>
    <w:basedOn w:val="757"/>
    <w:next w:val="92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924">
    <w:name w:val="打对勾的标号1"/>
    <w:basedOn w:val="757"/>
    <w:next w:val="924"/>
    <w:link w:val="757"/>
    <w:pPr>
      <w:tabs>
        <w:tab w:val="left" w:pos="540" w:leader="none"/>
      </w:tabs>
    </w:pPr>
    <w:rPr>
      <w:rFonts w:ascii="宋体"/>
      <w:color w:val="000000"/>
      <w:sz w:val="28"/>
      <w:szCs w:val="20"/>
      <w:lang w:val="en-GB"/>
    </w:rPr>
  </w:style>
  <w:style w:type="paragraph" w:styleId="925">
    <w:name w:val="+列表2"/>
    <w:basedOn w:val="757"/>
    <w:next w:val="925"/>
    <w:link w:val="757"/>
    <w:pPr>
      <w:jc w:val="center"/>
    </w:pPr>
    <w:rPr>
      <w:sz w:val="18"/>
      <w:szCs w:val="21"/>
    </w:rPr>
  </w:style>
  <w:style w:type="paragraph" w:styleId="926">
    <w:name w:val="Char Char"/>
    <w:basedOn w:val="782"/>
    <w:next w:val="926"/>
    <w:link w:val="757"/>
    <w:pPr>
      <w:numPr>
        <w:ilvl w:val="0"/>
        <w:numId w:val="12"/>
      </w:numPr>
      <w:tabs>
        <w:tab w:val="left" w:pos="425" w:leader="none"/>
      </w:tabs>
    </w:pPr>
    <w:rPr>
      <w:rFonts w:ascii="Tahoma" w:hAnsi="Tahoma"/>
      <w:sz w:val="24"/>
    </w:rPr>
  </w:style>
  <w:style w:type="paragraph" w:styleId="927">
    <w:name w:val="xl34"/>
    <w:basedOn w:val="757"/>
    <w:next w:val="927"/>
    <w:link w:val="75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928">
    <w:name w:val="Char Char Char Char Char Char Char Char Char1 Char"/>
    <w:basedOn w:val="782"/>
    <w:next w:val="928"/>
    <w:link w:val="757"/>
    <w:pPr>
      <w:spacing w:line="360" w:lineRule="auto"/>
    </w:pPr>
  </w:style>
  <w:style w:type="paragraph" w:styleId="929">
    <w:name w:val="xl35"/>
    <w:basedOn w:val="757"/>
    <w:next w:val="92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930">
    <w:name w:val="Default"/>
    <w:next w:val="930"/>
    <w:link w:val="757"/>
    <w:pPr>
      <w:widowControl w:val="off"/>
    </w:pPr>
    <w:rPr>
      <w:color w:val="000000"/>
      <w:sz w:val="24"/>
      <w:szCs w:val="24"/>
      <w:lang w:val="en-US" w:eastAsia="zh-CN" w:bidi="ar-SA"/>
    </w:rPr>
  </w:style>
  <w:style w:type="paragraph" w:styleId="931">
    <w:name w:val="+标题2"/>
    <w:basedOn w:val="759"/>
    <w:next w:val="931"/>
    <w:link w:val="757"/>
    <w:pPr>
      <w:numPr>
        <w:ilvl w:val="1"/>
        <w:numId w:val="9"/>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932">
    <w:name w:val="xl80"/>
    <w:basedOn w:val="757"/>
    <w:next w:val="932"/>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33">
    <w:name w:val=" Char Char Char Char Char Char Char Char Char Char Char1 Char Char Char Char Char Char Char Char Char Char"/>
    <w:basedOn w:val="757"/>
    <w:next w:val="933"/>
    <w:link w:val="757"/>
    <w:rPr>
      <w:rFonts w:ascii="Tahoma" w:hAnsi="Tahoma"/>
      <w:sz w:val="24"/>
      <w:szCs w:val="20"/>
    </w:rPr>
  </w:style>
  <w:style w:type="paragraph" w:styleId="934">
    <w:name w:val="Char"/>
    <w:basedOn w:val="757"/>
    <w:next w:val="934"/>
    <w:link w:val="757"/>
    <w:pPr>
      <w:tabs>
        <w:tab w:val="left" w:pos="360" w:leader="none"/>
      </w:tabs>
    </w:pPr>
  </w:style>
  <w:style w:type="paragraph" w:styleId="935">
    <w:name w:val="List Paragraph"/>
    <w:basedOn w:val="757"/>
    <w:next w:val="935"/>
    <w:link w:val="757"/>
    <w:pPr>
      <w:ind w:firstLine="420"/>
    </w:pPr>
  </w:style>
  <w:style w:type="paragraph" w:styleId="936">
    <w:name w:val="xl85"/>
    <w:basedOn w:val="757"/>
    <w:next w:val="936"/>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937">
    <w:name w:val="标准正文"/>
    <w:basedOn w:val="790"/>
    <w:next w:val="937"/>
    <w:link w:val="757"/>
    <w:pPr>
      <w:numPr>
        <w:ilvl w:val="0"/>
        <w:numId w:val="3"/>
      </w:numPr>
      <w:ind w:firstLine="482"/>
      <w:spacing w:before="60" w:after="60" w:line="360" w:lineRule="auto"/>
    </w:pPr>
    <w:rPr>
      <w:rFonts w:ascii="Arial" w:hAnsi="Arial"/>
      <w:sz w:val="24"/>
    </w:rPr>
  </w:style>
  <w:style w:type="paragraph" w:styleId="938">
    <w:name w:val="xl75"/>
    <w:basedOn w:val="757"/>
    <w:next w:val="93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39">
    <w:name w:val="xl39"/>
    <w:basedOn w:val="757"/>
    <w:next w:val="939"/>
    <w:link w:val="757"/>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940">
    <w:name w:val="Blockquote"/>
    <w:basedOn w:val="757"/>
    <w:next w:val="940"/>
    <w:link w:val="757"/>
    <w:pPr>
      <w:ind w:left="360" w:right="360"/>
      <w:jc w:val="left"/>
      <w:spacing w:before="100" w:after="100"/>
    </w:pPr>
    <w:rPr>
      <w:sz w:val="24"/>
      <w:szCs w:val="21"/>
    </w:rPr>
  </w:style>
  <w:style w:type="paragraph" w:styleId="941">
    <w:name w:val="样式 首行缩进:  2 字符"/>
    <w:basedOn w:val="757"/>
    <w:next w:val="941"/>
    <w:link w:val="757"/>
    <w:pPr>
      <w:ind w:firstLine="480"/>
      <w:spacing w:line="500" w:lineRule="exact"/>
    </w:pPr>
    <w:rPr>
      <w:rFonts w:ascii="宋体" w:hAnsi="宋体"/>
      <w:sz w:val="24"/>
      <w:szCs w:val="20"/>
    </w:rPr>
  </w:style>
  <w:style w:type="paragraph" w:styleId="942">
    <w:name w:val=" Char1 Char Char Char Char Char Char"/>
    <w:basedOn w:val="757"/>
    <w:next w:val="942"/>
    <w:link w:val="757"/>
    <w:rPr>
      <w:rFonts w:ascii="Tahoma" w:hAnsi="Tahoma"/>
      <w:sz w:val="24"/>
      <w:szCs w:val="20"/>
    </w:rPr>
  </w:style>
  <w:style w:type="paragraph" w:styleId="943">
    <w:name w:val="+列表1"/>
    <w:basedOn w:val="757"/>
    <w:next w:val="943"/>
    <w:link w:val="757"/>
    <w:pPr>
      <w:jc w:val="center"/>
    </w:pPr>
    <w:rPr>
      <w:sz w:val="24"/>
    </w:rPr>
  </w:style>
  <w:style w:type="paragraph" w:styleId="944">
    <w:name w:val="xl36"/>
    <w:basedOn w:val="757"/>
    <w:next w:val="944"/>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945">
    <w:name w:val="xl33"/>
    <w:basedOn w:val="757"/>
    <w:next w:val="945"/>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946">
    <w:name w:val="纯文本5"/>
    <w:basedOn w:val="757"/>
    <w:next w:val="946"/>
    <w:link w:val="757"/>
    <w:rPr>
      <w:rFonts w:hint="eastAsia" w:ascii="宋体" w:hAnsi="Courier New" w:eastAsia="楷体_GB2312"/>
      <w:sz w:val="28"/>
      <w:szCs w:val="20"/>
    </w:rPr>
  </w:style>
  <w:style w:type="paragraph" w:styleId="947">
    <w:name w:val="font0"/>
    <w:basedOn w:val="757"/>
    <w:next w:val="947"/>
    <w:link w:val="757"/>
    <w:pPr>
      <w:jc w:val="left"/>
      <w:spacing w:before="100" w:beforeAutospacing="1" w:after="100" w:afterAutospacing="1"/>
      <w:widowControl/>
    </w:pPr>
    <w:rPr>
      <w:rFonts w:ascii="宋体" w:hAnsi="宋体" w:cs="宋体"/>
      <w:sz w:val="24"/>
    </w:rPr>
  </w:style>
  <w:style w:type="paragraph" w:styleId="948">
    <w:name w:val="xl76"/>
    <w:basedOn w:val="757"/>
    <w:next w:val="94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49">
    <w:name w:val="xl81"/>
    <w:basedOn w:val="757"/>
    <w:next w:val="94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font5"/>
    <w:basedOn w:val="757"/>
    <w:next w:val="950"/>
    <w:link w:val="757"/>
    <w:pPr>
      <w:jc w:val="left"/>
      <w:spacing w:before="100" w:beforeAutospacing="1" w:after="100" w:afterAutospacing="1"/>
      <w:widowControl/>
    </w:pPr>
    <w:rPr>
      <w:rFonts w:hint="eastAsia" w:ascii="宋体" w:hAnsi="宋体"/>
      <w:sz w:val="18"/>
      <w:szCs w:val="18"/>
    </w:rPr>
  </w:style>
  <w:style w:type="paragraph" w:styleId="951">
    <w:name w:val="xl78"/>
    <w:basedOn w:val="757"/>
    <w:next w:val="951"/>
    <w:link w:val="75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52">
    <w:name w:val=" Char Char"/>
    <w:basedOn w:val="757"/>
    <w:next w:val="952"/>
    <w:link w:val="757"/>
    <w:pPr>
      <w:jc w:val="left"/>
      <w:spacing w:after="160" w:line="240" w:lineRule="exact"/>
      <w:widowControl/>
    </w:pPr>
    <w:rPr>
      <w:rFonts w:ascii="Verdana" w:hAnsi="Verdana"/>
      <w:szCs w:val="20"/>
      <w:lang w:eastAsia="en-US"/>
    </w:rPr>
  </w:style>
  <w:style w:type="paragraph" w:styleId="953">
    <w:name w:val="xl38"/>
    <w:basedOn w:val="757"/>
    <w:next w:val="953"/>
    <w:link w:val="757"/>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954">
    <w:name w:val="+正文 Char6"/>
    <w:basedOn w:val="757"/>
    <w:next w:val="954"/>
    <w:link w:val="757"/>
    <w:pPr>
      <w:numPr>
        <w:ilvl w:val="0"/>
        <w:numId w:val="13"/>
      </w:numPr>
      <w:ind w:left="0" w:firstLine="200"/>
      <w:spacing w:line="360" w:lineRule="auto"/>
      <w:tabs>
        <w:tab w:val="clear" w:pos="1240" w:leader="none"/>
      </w:tabs>
    </w:pPr>
    <w:rPr>
      <w:sz w:val="24"/>
    </w:rPr>
  </w:style>
  <w:style w:type="paragraph" w:styleId="955">
    <w:name w:val="纯文本2"/>
    <w:basedOn w:val="757"/>
    <w:next w:val="955"/>
    <w:link w:val="757"/>
    <w:qFormat/>
    <w:rPr>
      <w:rFonts w:ascii="宋体" w:hAnsi="Courier New" w:eastAsia="楷体_GB2312"/>
      <w:sz w:val="28"/>
      <w:szCs w:val="20"/>
    </w:rPr>
  </w:style>
  <w:style w:type="paragraph" w:styleId="956">
    <w:name w:val="xl25"/>
    <w:basedOn w:val="757"/>
    <w:next w:val="956"/>
    <w:link w:val="757"/>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957">
    <w:name w:val="xl42"/>
    <w:basedOn w:val="757"/>
    <w:next w:val="957"/>
    <w:link w:val="757"/>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958">
    <w:name w:val="xl27"/>
    <w:basedOn w:val="757"/>
    <w:next w:val="958"/>
    <w:link w:val="75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959">
    <w:name w:val="xl66"/>
    <w:basedOn w:val="757"/>
    <w:next w:val="95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0">
    <w:name w:val="样式 正文文本缩进 2 + Times New Roman 首行缩进:  1.06 厘米 行距: 固定值 30 磅"/>
    <w:basedOn w:val="799"/>
    <w:next w:val="960"/>
    <w:link w:val="757"/>
    <w:pPr>
      <w:ind w:left="0" w:firstLine="601"/>
      <w:spacing w:after="0" w:line="540" w:lineRule="exact"/>
    </w:pPr>
    <w:rPr>
      <w:sz w:val="28"/>
      <w:szCs w:val="28"/>
    </w:rPr>
  </w:style>
  <w:style w:type="paragraph" w:styleId="961">
    <w:name w:val="p0"/>
    <w:basedOn w:val="757"/>
    <w:next w:val="961"/>
    <w:link w:val="757"/>
    <w:qFormat/>
    <w:pPr>
      <w:jc w:val="left"/>
      <w:spacing w:before="100" w:beforeAutospacing="1" w:after="100" w:afterAutospacing="1"/>
      <w:widowControl/>
    </w:pPr>
    <w:rPr>
      <w:rFonts w:ascii="宋体" w:hAnsi="宋体" w:cs="宋体"/>
      <w:sz w:val="24"/>
    </w:rPr>
  </w:style>
  <w:style w:type="paragraph" w:styleId="962">
    <w:name w:val="图"/>
    <w:basedOn w:val="757"/>
    <w:next w:val="962"/>
    <w:link w:val="757"/>
    <w:pPr>
      <w:jc w:val="center"/>
      <w:keepNext/>
      <w:spacing w:before="60" w:after="60" w:line="300" w:lineRule="auto"/>
    </w:pPr>
    <w:rPr>
      <w:spacing w:val="20"/>
      <w:sz w:val="24"/>
      <w:szCs w:val="20"/>
    </w:rPr>
  </w:style>
  <w:style w:type="paragraph" w:styleId="963">
    <w:name w:val=" Char Char Char1 Char"/>
    <w:basedOn w:val="757"/>
    <w:next w:val="963"/>
    <w:link w:val="757"/>
    <w:pPr>
      <w:spacing w:line="312" w:lineRule="atLeast"/>
    </w:pPr>
    <w:rPr>
      <w:b/>
      <w:bCs/>
      <w:sz w:val="36"/>
      <w:szCs w:val="32"/>
    </w:rPr>
  </w:style>
  <w:style w:type="paragraph" w:styleId="964">
    <w:name w:val="标准"/>
    <w:basedOn w:val="757"/>
    <w:next w:val="964"/>
    <w:link w:val="757"/>
    <w:pPr>
      <w:spacing w:line="300" w:lineRule="exact"/>
    </w:pPr>
    <w:rPr>
      <w:rFonts w:ascii="Footlight MT Light" w:hAnsi="Footlight MT Light"/>
      <w:b/>
      <w:sz w:val="28"/>
      <w:szCs w:val="20"/>
    </w:rPr>
  </w:style>
  <w:style w:type="paragraph" w:styleId="965">
    <w:name w:val="xl37"/>
    <w:basedOn w:val="757"/>
    <w:next w:val="965"/>
    <w:link w:val="757"/>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966">
    <w:name w:val="font11"/>
    <w:basedOn w:val="757"/>
    <w:next w:val="966"/>
    <w:link w:val="757"/>
    <w:pPr>
      <w:jc w:val="left"/>
      <w:spacing w:before="100" w:beforeAutospacing="1" w:after="100" w:afterAutospacing="1"/>
      <w:widowControl/>
    </w:pPr>
    <w:rPr>
      <w:rFonts w:ascii="宋体" w:hAnsi="宋体" w:cs="宋体"/>
      <w:sz w:val="18"/>
      <w:szCs w:val="18"/>
    </w:rPr>
  </w:style>
  <w:style w:type="paragraph" w:styleId="967">
    <w:name w:val="font9"/>
    <w:basedOn w:val="757"/>
    <w:next w:val="967"/>
    <w:link w:val="757"/>
    <w:pPr>
      <w:jc w:val="left"/>
      <w:spacing w:before="100" w:beforeAutospacing="1" w:after="100" w:afterAutospacing="1"/>
      <w:widowControl/>
    </w:pPr>
    <w:rPr>
      <w:rFonts w:ascii="宋体" w:hAnsi="宋体" w:cs="宋体"/>
      <w:sz w:val="20"/>
      <w:szCs w:val="20"/>
    </w:rPr>
  </w:style>
  <w:style w:type="paragraph" w:styleId="968">
    <w:name w:val="font8"/>
    <w:basedOn w:val="757"/>
    <w:next w:val="968"/>
    <w:link w:val="757"/>
    <w:pPr>
      <w:jc w:val="left"/>
      <w:spacing w:before="100" w:beforeAutospacing="1" w:after="100" w:afterAutospacing="1"/>
      <w:widowControl/>
    </w:pPr>
    <w:rPr>
      <w:rFonts w:ascii="宋体" w:hAnsi="宋体" w:cs="宋体"/>
      <w:color w:val="ff0000"/>
      <w:sz w:val="20"/>
      <w:szCs w:val="20"/>
    </w:rPr>
  </w:style>
  <w:style w:type="paragraph" w:styleId="969">
    <w:name w:val=" Char Char Char Char Char Char1 Char"/>
    <w:basedOn w:val="757"/>
    <w:next w:val="969"/>
    <w:link w:val="757"/>
    <w:pPr>
      <w:jc w:val="left"/>
      <w:spacing w:after="160" w:line="240" w:lineRule="exact"/>
      <w:widowControl/>
    </w:pPr>
    <w:rPr>
      <w:rFonts w:ascii="Verdana" w:hAnsi="Verdana"/>
      <w:sz w:val="20"/>
      <w:szCs w:val="20"/>
      <w:lang w:eastAsia="en-US"/>
    </w:rPr>
  </w:style>
  <w:style w:type="paragraph" w:styleId="970">
    <w:name w:val="font7"/>
    <w:basedOn w:val="757"/>
    <w:next w:val="970"/>
    <w:link w:val="757"/>
    <w:pPr>
      <w:jc w:val="left"/>
      <w:spacing w:before="100" w:beforeAutospacing="1" w:after="100" w:afterAutospacing="1"/>
      <w:widowControl/>
    </w:pPr>
    <w:rPr>
      <w:rFonts w:ascii="宋体" w:hAnsi="宋体" w:cs="宋体"/>
      <w:b/>
      <w:bCs/>
      <w:color w:val="000000"/>
      <w:sz w:val="18"/>
      <w:szCs w:val="18"/>
    </w:rPr>
  </w:style>
  <w:style w:type="paragraph" w:styleId="971">
    <w:name w:val=" Char Char Char Char Char Char Char Char Char1 Char"/>
    <w:basedOn w:val="782"/>
    <w:next w:val="971"/>
    <w:link w:val="757"/>
    <w:pPr>
      <w:spacing w:line="360" w:lineRule="auto"/>
    </w:pPr>
    <w:rPr>
      <w:rFonts w:ascii="Tahoma" w:hAnsi="Tahoma"/>
      <w:sz w:val="24"/>
    </w:rPr>
  </w:style>
  <w:style w:type="paragraph" w:styleId="972">
    <w:name w:val="xl89"/>
    <w:basedOn w:val="757"/>
    <w:next w:val="972"/>
    <w:link w:val="757"/>
    <w:pPr>
      <w:jc w:val="left"/>
      <w:spacing w:before="100" w:beforeAutospacing="1" w:after="100" w:afterAutospacing="1"/>
      <w:widowControl/>
      <w:pBdr>
        <w:bottom w:val="single" w:color="000000" w:sz="4" w:space="0"/>
      </w:pBdr>
    </w:pPr>
    <w:rPr>
      <w:rFonts w:ascii="宋体" w:hAnsi="宋体" w:cs="宋体"/>
      <w:sz w:val="24"/>
    </w:rPr>
  </w:style>
  <w:style w:type="paragraph" w:styleId="973">
    <w:name w:val="xl68"/>
    <w:basedOn w:val="757"/>
    <w:next w:val="97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4">
    <w:name w:val="font10"/>
    <w:basedOn w:val="757"/>
    <w:next w:val="974"/>
    <w:link w:val="757"/>
    <w:pPr>
      <w:jc w:val="left"/>
      <w:spacing w:before="100" w:beforeAutospacing="1" w:after="100" w:afterAutospacing="1"/>
      <w:widowControl/>
    </w:pPr>
    <w:rPr>
      <w:rFonts w:ascii="宋体" w:hAnsi="宋体" w:cs="宋体"/>
      <w:color w:val="000000"/>
      <w:sz w:val="20"/>
      <w:szCs w:val="20"/>
    </w:rPr>
  </w:style>
  <w:style w:type="paragraph" w:styleId="975">
    <w:name w:val="+正文 Char Char5 Char"/>
    <w:basedOn w:val="757"/>
    <w:next w:val="975"/>
    <w:link w:val="757"/>
    <w:pPr>
      <w:ind w:firstLine="200"/>
      <w:spacing w:line="360" w:lineRule="auto"/>
    </w:pPr>
    <w:rPr>
      <w:sz w:val="24"/>
      <w:szCs w:val="20"/>
    </w:rPr>
  </w:style>
  <w:style w:type="paragraph" w:styleId="976">
    <w:name w:val="xl32"/>
    <w:basedOn w:val="757"/>
    <w:next w:val="976"/>
    <w:link w:val="75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977">
    <w:name w:val="默认段落字体 Para Char Char Char Char Char Char Char Char Char1 Char Char Char Char"/>
    <w:basedOn w:val="757"/>
    <w:next w:val="977"/>
    <w:link w:val="757"/>
    <w:rPr>
      <w:rFonts w:ascii="Tahoma" w:hAnsi="Tahoma"/>
      <w:sz w:val="24"/>
      <w:szCs w:val="20"/>
    </w:rPr>
  </w:style>
  <w:style w:type="paragraph" w:styleId="978">
    <w:name w:val="xl72"/>
    <w:basedOn w:val="757"/>
    <w:next w:val="978"/>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79">
    <w:name w:val="xl87"/>
    <w:basedOn w:val="757"/>
    <w:next w:val="979"/>
    <w:link w:val="757"/>
    <w:pPr>
      <w:jc w:val="center"/>
      <w:spacing w:before="100" w:beforeAutospacing="1" w:after="100" w:afterAutospacing="1"/>
      <w:widowControl/>
    </w:pPr>
    <w:rPr>
      <w:rFonts w:ascii="宋体" w:hAnsi="宋体" w:cs="宋体"/>
      <w:b/>
      <w:bCs/>
      <w:sz w:val="22"/>
      <w:szCs w:val="22"/>
    </w:rPr>
  </w:style>
  <w:style w:type="table" w:styleId="980">
    <w:name w:val="Table Normal"/>
    <w:next w:val="980"/>
    <w:link w:val="757"/>
    <w:rPr>
      <w:lang w:val="en-US" w:eastAsia="zh-CN" w:bidi="ar-SA"/>
    </w:rPr>
    <w:tblPr/>
  </w:style>
  <w:style w:type="paragraph" w:styleId="981">
    <w:name w:val="页眉1"/>
    <w:next w:val="981"/>
    <w:link w:val="757"/>
    <w:pPr>
      <w:jc w:val="both"/>
      <w:widowControl w:val="off"/>
      <w:tabs>
        <w:tab w:val="center" w:pos="4153" w:leader="none"/>
        <w:tab w:val="right" w:pos="8306" w:leader="none"/>
      </w:tabs>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982">
    <w:name w:val="正文 A"/>
    <w:next w:val="982"/>
    <w:link w:val="757"/>
    <w:pPr>
      <w:jc w:val="both"/>
      <w:widowControl w:val="off"/>
      <w:framePr w:wrap="around" w:vAnchor="margin" w:hAnchor="text" w:y="1"/>
    </w:pPr>
    <w:rPr>
      <w:rFonts w:eastAsia="Times New Roman"/>
      <w:color w:val="000000"/>
      <w:sz w:val="21"/>
      <w:szCs w:val="21"/>
      <w:lang w:val="en-US" w:eastAsia="zh-CN" w:bidi="ar-SA"/>
    </w:rPr>
  </w:style>
  <w:style w:type="paragraph" w:styleId="983">
    <w:name w:val="页脚1"/>
    <w:next w:val="983"/>
    <w:link w:val="757"/>
    <w:qFormat/>
    <w:pPr>
      <w:widowControl w:val="off"/>
      <w:tabs>
        <w:tab w:val="center" w:pos="4153" w:leader="none"/>
        <w:tab w:val="right" w:pos="8306" w:leader="none"/>
      </w:tabs>
      <w:framePr w:wrap="around" w:vAnchor="margin" w:hAnchor="text" w:y="1"/>
    </w:pPr>
    <w:rPr>
      <w:rFonts w:eastAsia="Times New Roman"/>
      <w:color w:val="000000"/>
      <w:sz w:val="18"/>
      <w:szCs w:val="18"/>
      <w:lang w:val="en-US" w:eastAsia="zh-CN" w:bidi="ar-SA"/>
    </w:rPr>
  </w:style>
  <w:style w:type="paragraph" w:styleId="984">
    <w:name w:val="居中标题"/>
    <w:next w:val="984"/>
    <w:link w:val="757"/>
    <w:pPr>
      <w:jc w:val="center"/>
      <w:widowControl w:val="off"/>
      <w:framePr w:wrap="around" w:vAnchor="margin" w:hAnchor="text" w:y="1"/>
    </w:pPr>
    <w:rPr>
      <w:rFonts w:hint="eastAsia" w:ascii="Arial Unicode MS" w:hAnsi="Arial Unicode MS" w:eastAsia="Arial" w:cs="Arial Unicode MS"/>
      <w:color w:val="000000"/>
      <w:sz w:val="24"/>
      <w:szCs w:val="24"/>
      <w:lang w:val="en-US" w:eastAsia="zh-CN" w:bidi="ar-SA"/>
    </w:rPr>
  </w:style>
  <w:style w:type="paragraph" w:styleId="985">
    <w:name w:val="AA2"/>
    <w:next w:val="985"/>
    <w:link w:val="757"/>
    <w:pPr>
      <w:jc w:val="both"/>
      <w:spacing w:line="312" w:lineRule="exact"/>
      <w:widowControl w:val="off"/>
      <w:framePr w:wrap="around" w:vAnchor="margin" w:hAnchor="text" w:y="1"/>
      <w:outlineLvl w:val="0"/>
    </w:pPr>
    <w:rPr>
      <w:rFonts w:eastAsia="Times New Roman"/>
      <w:color w:val="000000"/>
      <w:sz w:val="21"/>
      <w:szCs w:val="21"/>
      <w:lang w:val="en-US" w:eastAsia="zh-CN" w:bidi="ar-SA"/>
    </w:rPr>
  </w:style>
  <w:style w:type="paragraph" w:styleId="986">
    <w:name w:val="标题 11"/>
    <w:next w:val="982"/>
    <w:link w:val="757"/>
    <w:pPr>
      <w:jc w:val="both"/>
      <w:keepLines/>
      <w:keepNext/>
      <w:spacing w:before="340" w:after="330" w:line="578" w:lineRule="auto"/>
      <w:widowControl w:val="off"/>
      <w:framePr w:wrap="around" w:vAnchor="margin" w:hAnchor="text" w:y="1"/>
      <w:outlineLvl w:val="1"/>
    </w:pPr>
    <w:rPr>
      <w:rFonts w:eastAsia="Times New Roman"/>
      <w:b/>
      <w:bCs/>
      <w:color w:val="000000"/>
      <w:sz w:val="44"/>
      <w:szCs w:val="44"/>
      <w:lang w:val="en-US" w:eastAsia="zh-CN" w:bidi="ar-SA"/>
    </w:rPr>
  </w:style>
  <w:style w:type="paragraph" w:styleId="987">
    <w:name w:val="标题 21"/>
    <w:next w:val="912"/>
    <w:link w:val="757"/>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paragraph" w:styleId="988">
    <w:name w:val="标题 31"/>
    <w:next w:val="982"/>
    <w:link w:val="757"/>
    <w:pPr>
      <w:jc w:val="both"/>
      <w:keepLines/>
      <w:keepNext/>
      <w:spacing w:before="260" w:after="260" w:line="416" w:lineRule="auto"/>
      <w:widowControl w:val="off"/>
      <w:tabs>
        <w:tab w:val="left" w:pos="720" w:leader="none"/>
      </w:tabs>
      <w:framePr w:wrap="around" w:vAnchor="margin" w:hAnchor="text" w:y="1"/>
      <w:outlineLvl w:val="3"/>
    </w:pPr>
    <w:rPr>
      <w:rFonts w:eastAsia="Times New Roman"/>
      <w:color w:val="000000"/>
      <w:sz w:val="24"/>
      <w:szCs w:val="24"/>
      <w:lang w:val="en-US" w:eastAsia="zh-CN" w:bidi="ar-SA"/>
    </w:rPr>
  </w:style>
  <w:style w:type="paragraph" w:styleId="989">
    <w:name w:val="_列表编号1"/>
    <w:next w:val="989"/>
    <w:link w:val="757"/>
    <w:pPr>
      <w:jc w:val="both"/>
      <w:spacing w:line="276" w:lineRule="auto"/>
      <w:tabs>
        <w:tab w:val="left" w:pos="800" w:leader="none"/>
      </w:tabs>
      <w:framePr w:wrap="around" w:vAnchor="margin" w:hAnchor="text" w:y="1"/>
    </w:pPr>
    <w:rPr>
      <w:rFonts w:hint="eastAsia" w:ascii="Arial Unicode MS" w:hAnsi="Arial Unicode MS" w:eastAsia="Arial" w:cs="Arial Unicode MS"/>
      <w:color w:val="000000"/>
      <w:sz w:val="21"/>
      <w:szCs w:val="21"/>
      <w:lang w:val="en-US" w:eastAsia="zh-CN" w:bidi="ar-SA"/>
    </w:rPr>
  </w:style>
  <w:style w:type="paragraph" w:styleId="990">
    <w:name w:val="默认"/>
    <w:next w:val="990"/>
    <w:link w:val="757"/>
    <w:qFormat/>
    <w:pPr>
      <w:framePr w:wrap="around" w:vAnchor="margin" w:hAnchor="text" w:y="1"/>
    </w:pPr>
    <w:rPr>
      <w:rFonts w:ascii="Helvetica" w:hAnsi="Helvetica" w:eastAsia="Helvetica" w:cs="Helvetica"/>
      <w:color w:val="000000"/>
      <w:sz w:val="22"/>
      <w:szCs w:val="22"/>
      <w:lang w:val="en-US" w:eastAsia="zh-CN" w:bidi="ar-SA"/>
    </w:rPr>
  </w:style>
  <w:style w:type="paragraph" w:styleId="991">
    <w:name w:val="正文 A A"/>
    <w:next w:val="991"/>
    <w:link w:val="757"/>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992">
    <w:name w:val="_表格条文"/>
    <w:next w:val="992"/>
    <w:link w:val="757"/>
    <w:pPr>
      <w:jc w:val="both"/>
      <w:spacing w:line="276" w:lineRule="auto"/>
      <w:widowControl w:val="off"/>
      <w:framePr w:wrap="around" w:vAnchor="margin" w:hAnchor="text" w:y="1"/>
    </w:pPr>
    <w:rPr>
      <w:rFonts w:hint="eastAsia" w:ascii="Arial Unicode MS" w:hAnsi="Arial Unicode MS" w:eastAsia="Arial" w:cs="Arial Unicode MS"/>
      <w:color w:val="000000"/>
      <w:sz w:val="18"/>
      <w:szCs w:val="18"/>
      <w:lang w:val="en-US" w:eastAsia="zh-CN" w:bidi="ar-SA"/>
    </w:rPr>
  </w:style>
  <w:style w:type="paragraph" w:styleId="993">
    <w:name w:val="列出段落1"/>
    <w:next w:val="993"/>
    <w:link w:val="757"/>
    <w:uiPriority w:val="34"/>
    <w:qFormat/>
    <w:pPr>
      <w:ind w:firstLine="420"/>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994">
    <w:name w:val="文字样式"/>
    <w:basedOn w:val="757"/>
    <w:next w:val="994"/>
    <w:link w:val="995"/>
    <w:pPr>
      <w:ind w:firstLine="480"/>
      <w:spacing w:line="360" w:lineRule="auto"/>
    </w:pPr>
    <w:rPr>
      <w:sz w:val="24"/>
    </w:rPr>
  </w:style>
  <w:style w:type="character" w:styleId="995">
    <w:name w:val="文字样式 Char"/>
    <w:next w:val="995"/>
    <w:link w:val="994"/>
    <w:rPr>
      <w:sz w:val="24"/>
      <w:szCs w:val="24"/>
    </w:rPr>
  </w:style>
  <w:style w:type="paragraph" w:styleId="996">
    <w:name w:val="内容样式"/>
    <w:basedOn w:val="757"/>
    <w:next w:val="996"/>
    <w:link w:val="757"/>
    <w:pPr>
      <w:ind w:firstLine="560"/>
      <w:jc w:val="left"/>
      <w:spacing w:line="460" w:lineRule="exact"/>
    </w:pPr>
    <w:rPr>
      <w:rFonts w:ascii="仿宋_GB2312" w:hAnsi="仿宋_GB2312" w:eastAsia="仿宋_GB2312" w:cs="宋体"/>
      <w:sz w:val="28"/>
      <w:szCs w:val="20"/>
    </w:rPr>
  </w:style>
  <w:style w:type="paragraph" w:styleId="997">
    <w:name w:val="p15"/>
    <w:basedOn w:val="757"/>
    <w:next w:val="997"/>
    <w:link w:val="757"/>
    <w:qFormat/>
    <w:pPr>
      <w:widowControl/>
    </w:pPr>
    <w:rPr>
      <w:rFonts w:ascii="宋体" w:hAnsi="宋体" w:cs="宋体"/>
      <w:sz w:val="28"/>
      <w:szCs w:val="28"/>
    </w:rPr>
  </w:style>
  <w:style w:type="paragraph" w:styleId="998">
    <w:name w:val="纯文本12"/>
    <w:basedOn w:val="757"/>
    <w:next w:val="998"/>
    <w:link w:val="757"/>
    <w:rPr>
      <w:rFonts w:hint="eastAsia" w:ascii="宋体" w:hAnsi="Courier New" w:eastAsia="楷体_GB2312"/>
      <w:sz w:val="28"/>
      <w:szCs w:val="20"/>
    </w:rPr>
  </w:style>
  <w:style w:type="paragraph" w:styleId="999">
    <w:name w:val="xl90"/>
    <w:basedOn w:val="757"/>
    <w:next w:val="99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name w:val="xl91"/>
    <w:basedOn w:val="757"/>
    <w:next w:val="1000"/>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001">
    <w:name w:val="xl92"/>
    <w:basedOn w:val="757"/>
    <w:next w:val="1001"/>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02">
    <w:name w:val="xl93"/>
    <w:basedOn w:val="757"/>
    <w:next w:val="1002"/>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3">
    <w:name w:val="xl94"/>
    <w:basedOn w:val="757"/>
    <w:next w:val="1003"/>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004">
    <w:name w:val="xl95"/>
    <w:basedOn w:val="757"/>
    <w:next w:val="1004"/>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c000"/>
      <w:sz w:val="20"/>
      <w:szCs w:val="20"/>
    </w:rPr>
  </w:style>
  <w:style w:type="paragraph" w:styleId="1005">
    <w:name w:val="xl96"/>
    <w:basedOn w:val="757"/>
    <w:next w:val="1005"/>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6">
    <w:name w:val="xl97"/>
    <w:basedOn w:val="757"/>
    <w:next w:val="1006"/>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7">
    <w:name w:val="xl98"/>
    <w:basedOn w:val="757"/>
    <w:next w:val="1007"/>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name w:val="xl99"/>
    <w:basedOn w:val="757"/>
    <w:next w:val="100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9">
    <w:name w:val="xl100"/>
    <w:basedOn w:val="757"/>
    <w:next w:val="1009"/>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0">
    <w:name w:val="xl101"/>
    <w:basedOn w:val="757"/>
    <w:next w:val="1010"/>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name w:val="xl102"/>
    <w:basedOn w:val="757"/>
    <w:next w:val="1011"/>
    <w:link w:val="75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2">
    <w:name w:val="xl103"/>
    <w:basedOn w:val="757"/>
    <w:next w:val="1012"/>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3">
    <w:name w:val="xl104"/>
    <w:basedOn w:val="757"/>
    <w:next w:val="1013"/>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4">
    <w:name w:val="xl105"/>
    <w:basedOn w:val="757"/>
    <w:next w:val="1014"/>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5">
    <w:name w:val="xl106"/>
    <w:basedOn w:val="757"/>
    <w:next w:val="1015"/>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6">
    <w:name w:val="xl107"/>
    <w:basedOn w:val="757"/>
    <w:next w:val="101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7">
    <w:name w:val="xl108"/>
    <w:basedOn w:val="757"/>
    <w:next w:val="1017"/>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8">
    <w:name w:val="xl109"/>
    <w:basedOn w:val="757"/>
    <w:next w:val="101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name w:val="xl110"/>
    <w:basedOn w:val="757"/>
    <w:next w:val="1019"/>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name w:val="xl111"/>
    <w:basedOn w:val="757"/>
    <w:next w:val="1020"/>
    <w:link w:val="75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name w:val="xl112"/>
    <w:basedOn w:val="757"/>
    <w:next w:val="1021"/>
    <w:link w:val="7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xl113"/>
    <w:basedOn w:val="757"/>
    <w:next w:val="1022"/>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name w:val="xl114"/>
    <w:basedOn w:val="757"/>
    <w:next w:val="1023"/>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4">
    <w:name w:val="xl115"/>
    <w:basedOn w:val="757"/>
    <w:next w:val="1024"/>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5">
    <w:name w:val="xl116"/>
    <w:basedOn w:val="757"/>
    <w:next w:val="1025"/>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name w:val="xl117"/>
    <w:basedOn w:val="757"/>
    <w:next w:val="102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name w:val="xl118"/>
    <w:basedOn w:val="757"/>
    <w:next w:val="1027"/>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name w:val="xl119"/>
    <w:basedOn w:val="757"/>
    <w:next w:val="1028"/>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9">
    <w:name w:val="xl120"/>
    <w:basedOn w:val="757"/>
    <w:next w:val="1029"/>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0">
    <w:name w:val="xl121"/>
    <w:basedOn w:val="757"/>
    <w:next w:val="1030"/>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name w:val="xl122"/>
    <w:basedOn w:val="757"/>
    <w:next w:val="1031"/>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xl123"/>
    <w:basedOn w:val="757"/>
    <w:next w:val="1032"/>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name w:val="xl124"/>
    <w:basedOn w:val="757"/>
    <w:next w:val="1033"/>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name w:val="xl125"/>
    <w:basedOn w:val="757"/>
    <w:next w:val="1034"/>
    <w:link w:val="75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name w:val="xl126"/>
    <w:basedOn w:val="757"/>
    <w:next w:val="1035"/>
    <w:link w:val="75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xl127"/>
    <w:basedOn w:val="757"/>
    <w:next w:val="1036"/>
    <w:link w:val="757"/>
    <w:pPr>
      <w:spacing w:before="100" w:beforeAutospacing="1" w:after="100" w:afterAutospacing="1"/>
      <w:widowControl/>
    </w:pPr>
    <w:rPr>
      <w:rFonts w:ascii="宋体" w:hAnsi="宋体" w:cs="宋体"/>
      <w:color w:val="171717"/>
      <w:szCs w:val="21"/>
    </w:rPr>
  </w:style>
  <w:style w:type="paragraph" w:styleId="1037">
    <w:name w:val="xl128"/>
    <w:basedOn w:val="757"/>
    <w:next w:val="1037"/>
    <w:link w:val="757"/>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xl129"/>
    <w:basedOn w:val="757"/>
    <w:next w:val="1038"/>
    <w:link w:val="75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9">
    <w:name w:val="xl130"/>
    <w:basedOn w:val="757"/>
    <w:next w:val="1039"/>
    <w:link w:val="75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0">
    <w:name w:val="xl131"/>
    <w:basedOn w:val="757"/>
    <w:next w:val="1040"/>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name w:val="xl132"/>
    <w:basedOn w:val="757"/>
    <w:next w:val="1041"/>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name w:val="xl133"/>
    <w:basedOn w:val="757"/>
    <w:next w:val="1042"/>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43">
    <w:name w:val="xl134"/>
    <w:basedOn w:val="757"/>
    <w:next w:val="104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44">
    <w:name w:val="xl135"/>
    <w:basedOn w:val="757"/>
    <w:next w:val="1044"/>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name w:val="xl136"/>
    <w:basedOn w:val="757"/>
    <w:next w:val="1045"/>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046">
    <w:name w:val="xl137"/>
    <w:basedOn w:val="757"/>
    <w:next w:val="1046"/>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name w:val="xl138"/>
    <w:basedOn w:val="757"/>
    <w:next w:val="1047"/>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name w:val="xl139"/>
    <w:basedOn w:val="757"/>
    <w:next w:val="104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049">
    <w:name w:val="xl140"/>
    <w:basedOn w:val="757"/>
    <w:next w:val="1049"/>
    <w:link w:val="7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50">
    <w:name w:val="xl141"/>
    <w:basedOn w:val="757"/>
    <w:next w:val="1050"/>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51">
    <w:name w:val="xl142"/>
    <w:basedOn w:val="757"/>
    <w:next w:val="1051"/>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52">
    <w:name w:val="xl143"/>
    <w:basedOn w:val="757"/>
    <w:next w:val="1052"/>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2"/>
      <w:szCs w:val="12"/>
    </w:rPr>
  </w:style>
  <w:style w:type="paragraph" w:styleId="1053">
    <w:name w:val="xl144"/>
    <w:basedOn w:val="757"/>
    <w:next w:val="105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4">
    <w:name w:val="xl145"/>
    <w:basedOn w:val="757"/>
    <w:next w:val="1054"/>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xl146"/>
    <w:basedOn w:val="757"/>
    <w:next w:val="1055"/>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056">
    <w:name w:val="xl147"/>
    <w:basedOn w:val="757"/>
    <w:next w:val="1056"/>
    <w:link w:val="7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2"/>
      <w:szCs w:val="12"/>
    </w:rPr>
  </w:style>
  <w:style w:type="paragraph" w:styleId="1057">
    <w:name w:val="xl148"/>
    <w:basedOn w:val="757"/>
    <w:next w:val="1057"/>
    <w:link w:val="757"/>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058">
    <w:name w:val="xl149"/>
    <w:basedOn w:val="757"/>
    <w:next w:val="1058"/>
    <w:link w:val="757"/>
    <w:pPr>
      <w:jc w:val="left"/>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059">
    <w:name w:val="xl150"/>
    <w:basedOn w:val="757"/>
    <w:next w:val="1059"/>
    <w:link w:val="75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0">
    <w:name w:val="xl151"/>
    <w:basedOn w:val="757"/>
    <w:next w:val="1060"/>
    <w:link w:val="757"/>
    <w:pPr>
      <w:jc w:val="center"/>
      <w:spacing w:before="100" w:beforeAutospacing="1" w:after="100" w:afterAutospacing="1"/>
      <w:widowControl/>
      <w:pBdr>
        <w:bottom w:val="single" w:color="000000" w:sz="8" w:space="0"/>
        <w:right w:val="single" w:color="000000" w:sz="8" w:space="0"/>
      </w:pBdr>
    </w:pPr>
    <w:rPr>
      <w:rFonts w:ascii="宋体" w:hAnsi="宋体" w:cs="宋体"/>
      <w:color w:val="ff0000"/>
      <w:sz w:val="20"/>
      <w:szCs w:val="20"/>
    </w:rPr>
  </w:style>
  <w:style w:type="paragraph" w:styleId="1061">
    <w:name w:val="xl152"/>
    <w:basedOn w:val="757"/>
    <w:next w:val="1061"/>
    <w:link w:val="757"/>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62">
    <w:name w:val="xl153"/>
    <w:basedOn w:val="757"/>
    <w:next w:val="1062"/>
    <w:link w:val="757"/>
    <w:pPr>
      <w:jc w:val="center"/>
      <w:spacing w:before="100" w:beforeAutospacing="1" w:after="100" w:afterAutospacing="1"/>
      <w:widowControl/>
      <w:pBdr>
        <w:right w:val="single" w:color="000000" w:sz="8" w:space="0"/>
      </w:pBdr>
    </w:pPr>
    <w:rPr>
      <w:rFonts w:ascii="宋体" w:hAnsi="宋体" w:cs="宋体"/>
      <w:sz w:val="20"/>
      <w:szCs w:val="20"/>
    </w:rPr>
  </w:style>
  <w:style w:type="paragraph" w:styleId="1063">
    <w:name w:val="xl154"/>
    <w:basedOn w:val="757"/>
    <w:next w:val="1063"/>
    <w:link w:val="757"/>
    <w:pPr>
      <w:jc w:val="left"/>
      <w:spacing w:before="100" w:beforeAutospacing="1" w:after="100" w:afterAutospacing="1"/>
      <w:widowControl/>
      <w:pBdr>
        <w:right w:val="single" w:color="000000" w:sz="8" w:space="0"/>
      </w:pBdr>
    </w:pPr>
    <w:rPr>
      <w:rFonts w:ascii="宋体" w:hAnsi="宋体" w:cs="宋体"/>
      <w:sz w:val="20"/>
      <w:szCs w:val="20"/>
    </w:rPr>
  </w:style>
  <w:style w:type="paragraph" w:styleId="1064">
    <w:name w:val="xl155"/>
    <w:basedOn w:val="757"/>
    <w:next w:val="1064"/>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156"/>
    <w:basedOn w:val="757"/>
    <w:next w:val="1065"/>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name w:val="xl157"/>
    <w:basedOn w:val="757"/>
    <w:next w:val="1066"/>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name w:val="xl158"/>
    <w:basedOn w:val="757"/>
    <w:next w:val="1067"/>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xl159"/>
    <w:basedOn w:val="757"/>
    <w:next w:val="1068"/>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9">
    <w:name w:val="xl160"/>
    <w:basedOn w:val="757"/>
    <w:next w:val="106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name w:val="xl161"/>
    <w:basedOn w:val="757"/>
    <w:next w:val="1070"/>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name w:val="xl162"/>
    <w:basedOn w:val="757"/>
    <w:next w:val="1071"/>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072">
    <w:name w:val="xl163"/>
    <w:basedOn w:val="757"/>
    <w:next w:val="1072"/>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73">
    <w:name w:val="xl164"/>
    <w:basedOn w:val="757"/>
    <w:next w:val="1073"/>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6"/>
      <w:szCs w:val="16"/>
    </w:rPr>
  </w:style>
  <w:style w:type="paragraph" w:styleId="1074">
    <w:name w:val="xl165"/>
    <w:basedOn w:val="757"/>
    <w:next w:val="1074"/>
    <w:link w:val="757"/>
    <w:pPr>
      <w:jc w:val="center"/>
      <w:spacing w:before="100" w:beforeAutospacing="1" w:after="100" w:afterAutospacing="1"/>
      <w:widowControl/>
    </w:pPr>
    <w:rPr>
      <w:rFonts w:ascii="宋体" w:hAnsi="宋体" w:cs="宋体"/>
      <w:b/>
      <w:bCs/>
      <w:color w:val="000000"/>
      <w:sz w:val="40"/>
      <w:szCs w:val="40"/>
    </w:rPr>
  </w:style>
  <w:style w:type="paragraph" w:styleId="1075">
    <w:name w:val="xl166"/>
    <w:basedOn w:val="757"/>
    <w:next w:val="1075"/>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0"/>
      <w:szCs w:val="20"/>
    </w:rPr>
  </w:style>
  <w:style w:type="paragraph" w:styleId="1076">
    <w:name w:val="xl167"/>
    <w:basedOn w:val="757"/>
    <w:next w:val="1076"/>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7">
    <w:name w:val="xl168"/>
    <w:basedOn w:val="757"/>
    <w:next w:val="1077"/>
    <w:link w:val="757"/>
    <w:pPr>
      <w:jc w:val="center"/>
      <w:spacing w:before="100" w:beforeAutospacing="1" w:after="100" w:afterAutospacing="1"/>
      <w:widowControl/>
    </w:pPr>
    <w:rPr>
      <w:rFonts w:ascii="宋体" w:hAnsi="宋体" w:cs="宋体"/>
      <w:b/>
      <w:bCs/>
      <w:sz w:val="32"/>
      <w:szCs w:val="32"/>
    </w:rPr>
  </w:style>
  <w:style w:type="paragraph" w:styleId="1078">
    <w:name w:val="xl169"/>
    <w:basedOn w:val="757"/>
    <w:next w:val="1078"/>
    <w:link w:val="757"/>
    <w:pPr>
      <w:jc w:val="center"/>
      <w:spacing w:before="100" w:beforeAutospacing="1" w:after="100" w:afterAutospacing="1"/>
      <w:widowControl/>
    </w:pPr>
    <w:rPr>
      <w:rFonts w:ascii="宋体" w:hAnsi="宋体" w:cs="宋体"/>
      <w:b/>
      <w:bCs/>
      <w:sz w:val="28"/>
      <w:szCs w:val="28"/>
    </w:rPr>
  </w:style>
  <w:style w:type="paragraph" w:styleId="1079">
    <w:name w:val="xl170"/>
    <w:basedOn w:val="757"/>
    <w:next w:val="1079"/>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0">
    <w:name w:val="xl171"/>
    <w:basedOn w:val="757"/>
    <w:next w:val="1080"/>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name w:val="xl172"/>
    <w:basedOn w:val="757"/>
    <w:next w:val="1081"/>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2">
    <w:name w:val="xl173"/>
    <w:basedOn w:val="757"/>
    <w:next w:val="1082"/>
    <w:link w:val="757"/>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083">
    <w:name w:val="xl174"/>
    <w:basedOn w:val="757"/>
    <w:next w:val="1083"/>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4">
    <w:name w:val="xl175"/>
    <w:basedOn w:val="757"/>
    <w:next w:val="1084"/>
    <w:link w:val="75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5">
    <w:name w:val="xl176"/>
    <w:basedOn w:val="757"/>
    <w:next w:val="1085"/>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6">
    <w:name w:val="xl177"/>
    <w:basedOn w:val="757"/>
    <w:next w:val="1086"/>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87">
    <w:name w:val="xl178"/>
    <w:basedOn w:val="757"/>
    <w:next w:val="1087"/>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088">
    <w:name w:val="xl179"/>
    <w:basedOn w:val="757"/>
    <w:next w:val="1088"/>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9">
    <w:name w:val="xl180"/>
    <w:basedOn w:val="757"/>
    <w:next w:val="1089"/>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name w:val="xl181"/>
    <w:basedOn w:val="757"/>
    <w:next w:val="1090"/>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1">
    <w:name w:val="xl182"/>
    <w:basedOn w:val="757"/>
    <w:next w:val="1091"/>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2">
    <w:name w:val="xl183"/>
    <w:basedOn w:val="757"/>
    <w:next w:val="1092"/>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name w:val="xl184"/>
    <w:basedOn w:val="757"/>
    <w:next w:val="1093"/>
    <w:link w:val="757"/>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094">
    <w:name w:val="xl185"/>
    <w:basedOn w:val="757"/>
    <w:next w:val="1094"/>
    <w:link w:val="757"/>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095">
    <w:name w:val="xl186"/>
    <w:basedOn w:val="757"/>
    <w:next w:val="1095"/>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6">
    <w:name w:val="xl187"/>
    <w:basedOn w:val="757"/>
    <w:next w:val="1096"/>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7">
    <w:name w:val="xl188"/>
    <w:basedOn w:val="757"/>
    <w:next w:val="1097"/>
    <w:link w:val="757"/>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098">
    <w:name w:val="xl189"/>
    <w:basedOn w:val="757"/>
    <w:next w:val="1098"/>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name w:val="xl190"/>
    <w:basedOn w:val="757"/>
    <w:next w:val="1099"/>
    <w:link w:val="75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xl191"/>
    <w:basedOn w:val="757"/>
    <w:next w:val="1100"/>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1">
    <w:name w:val="xl192"/>
    <w:basedOn w:val="757"/>
    <w:next w:val="1101"/>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02">
    <w:name w:val="xl193"/>
    <w:basedOn w:val="757"/>
    <w:next w:val="1102"/>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103">
    <w:name w:val="xl194"/>
    <w:basedOn w:val="757"/>
    <w:next w:val="1103"/>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4">
    <w:name w:val="xl195"/>
    <w:basedOn w:val="757"/>
    <w:next w:val="1104"/>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05">
    <w:name w:val="xl196"/>
    <w:basedOn w:val="757"/>
    <w:next w:val="1105"/>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name w:val="xl197"/>
    <w:basedOn w:val="757"/>
    <w:next w:val="1106"/>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07">
    <w:name w:val="xl198"/>
    <w:basedOn w:val="757"/>
    <w:next w:val="1107"/>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name w:val="xl199"/>
    <w:basedOn w:val="757"/>
    <w:next w:val="1108"/>
    <w:link w:val="757"/>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0"/>
      <w:szCs w:val="20"/>
    </w:rPr>
  </w:style>
  <w:style w:type="paragraph" w:styleId="1109">
    <w:name w:val="xl200"/>
    <w:basedOn w:val="757"/>
    <w:next w:val="1109"/>
    <w:link w:val="757"/>
    <w:pPr>
      <w:jc w:val="center"/>
      <w:spacing w:before="100" w:beforeAutospacing="1" w:after="100" w:afterAutospacing="1"/>
      <w:widowControl/>
      <w:pBdr>
        <w:right w:val="single" w:color="000000" w:sz="4" w:space="0"/>
      </w:pBdr>
    </w:pPr>
    <w:rPr>
      <w:rFonts w:ascii="宋体" w:hAnsi="宋体" w:cs="宋体"/>
      <w:color w:val="000000"/>
      <w:sz w:val="20"/>
      <w:szCs w:val="20"/>
    </w:rPr>
  </w:style>
  <w:style w:type="paragraph" w:styleId="1110">
    <w:name w:val="xl201"/>
    <w:basedOn w:val="757"/>
    <w:next w:val="1110"/>
    <w:link w:val="757"/>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0"/>
      <w:szCs w:val="20"/>
    </w:rPr>
  </w:style>
  <w:style w:type="paragraph" w:styleId="1111">
    <w:name w:val="xl202"/>
    <w:basedOn w:val="757"/>
    <w:next w:val="1111"/>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12">
    <w:name w:val="xl203"/>
    <w:basedOn w:val="757"/>
    <w:next w:val="1112"/>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name w:val="xl204"/>
    <w:basedOn w:val="757"/>
    <w:next w:val="1113"/>
    <w:link w:val="757"/>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114">
    <w:name w:val="xl205"/>
    <w:basedOn w:val="757"/>
    <w:next w:val="1114"/>
    <w:link w:val="757"/>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115">
    <w:name w:val="xl206"/>
    <w:basedOn w:val="757"/>
    <w:next w:val="1115"/>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16">
    <w:name w:val="xl207"/>
    <w:basedOn w:val="757"/>
    <w:next w:val="1116"/>
    <w:link w:val="75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117">
    <w:name w:val="xl208"/>
    <w:basedOn w:val="757"/>
    <w:next w:val="1117"/>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18">
    <w:name w:val="xl209"/>
    <w:basedOn w:val="757"/>
    <w:next w:val="1118"/>
    <w:link w:val="75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19">
    <w:name w:val="xl210"/>
    <w:basedOn w:val="757"/>
    <w:next w:val="1119"/>
    <w:link w:val="757"/>
    <w:pPr>
      <w:jc w:val="left"/>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120">
    <w:name w:val="xl211"/>
    <w:basedOn w:val="757"/>
    <w:next w:val="1120"/>
    <w:link w:val="75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21">
    <w:name w:val="xl212"/>
    <w:basedOn w:val="757"/>
    <w:next w:val="1121"/>
    <w:link w:val="757"/>
    <w:pPr>
      <w:jc w:val="center"/>
      <w:spacing w:before="100" w:beforeAutospacing="1" w:after="100" w:afterAutospacing="1"/>
      <w:widowControl/>
      <w:pBdr>
        <w:top w:val="single" w:color="000000" w:sz="8" w:space="0"/>
        <w:left w:val="single" w:color="000000" w:sz="8" w:space="0"/>
      </w:pBdr>
    </w:pPr>
    <w:rPr>
      <w:rFonts w:ascii="宋体" w:hAnsi="宋体" w:cs="宋体"/>
      <w:color w:val="ff0000"/>
      <w:sz w:val="20"/>
      <w:szCs w:val="20"/>
    </w:rPr>
  </w:style>
  <w:style w:type="paragraph" w:styleId="1122">
    <w:name w:val="xl213"/>
    <w:basedOn w:val="757"/>
    <w:next w:val="1122"/>
    <w:link w:val="757"/>
    <w:pPr>
      <w:jc w:val="center"/>
      <w:spacing w:before="100" w:beforeAutospacing="1" w:after="100" w:afterAutospacing="1"/>
      <w:widowControl/>
      <w:pBdr>
        <w:left w:val="single" w:color="000000" w:sz="8" w:space="0"/>
      </w:pBdr>
    </w:pPr>
    <w:rPr>
      <w:rFonts w:ascii="宋体" w:hAnsi="宋体" w:cs="宋体"/>
      <w:color w:val="ff0000"/>
      <w:sz w:val="20"/>
      <w:szCs w:val="20"/>
    </w:rPr>
  </w:style>
  <w:style w:type="paragraph" w:styleId="1123">
    <w:name w:val="xl214"/>
    <w:basedOn w:val="757"/>
    <w:next w:val="1123"/>
    <w:link w:val="75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24">
    <w:name w:val="xl215"/>
    <w:basedOn w:val="757"/>
    <w:next w:val="1124"/>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xl216"/>
    <w:basedOn w:val="757"/>
    <w:next w:val="1125"/>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name w:val="xl217"/>
    <w:basedOn w:val="757"/>
    <w:next w:val="1126"/>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name w:val="xl218"/>
    <w:basedOn w:val="757"/>
    <w:next w:val="1127"/>
    <w:link w:val="75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8">
    <w:name w:val="xl219"/>
    <w:basedOn w:val="757"/>
    <w:next w:val="1128"/>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9">
    <w:name w:val="xl220"/>
    <w:basedOn w:val="757"/>
    <w:next w:val="1129"/>
    <w:link w:val="7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30">
    <w:name w:val="段"/>
    <w:next w:val="757"/>
    <w:link w:val="757"/>
    <w:qFormat/>
    <w:pPr>
      <w:ind w:firstLine="200"/>
      <w:jc w:val="both"/>
    </w:pPr>
    <w:rPr>
      <w:rFonts w:ascii="宋体"/>
      <w:sz w:val="21"/>
      <w:lang w:val="en-US" w:eastAsia="zh-CN" w:bidi="ar-SA"/>
    </w:rPr>
  </w:style>
  <w:style w:type="paragraph" w:styleId="1131">
    <w:name w:val="Body text|1"/>
    <w:basedOn w:val="757"/>
    <w:next w:val="1131"/>
    <w:link w:val="757"/>
    <w:qFormat/>
    <w:pPr>
      <w:ind w:firstLine="400"/>
      <w:jc w:val="left"/>
      <w:spacing w:line="480" w:lineRule="auto"/>
    </w:pPr>
    <w:rPr>
      <w:rFonts w:ascii="宋体" w:hAnsi="宋体" w:cs="宋体"/>
      <w:sz w:val="20"/>
      <w:szCs w:val="20"/>
      <w:lang w:val="zh-TW" w:eastAsia="zh-TW" w:bidi="zh-TW"/>
    </w:rPr>
  </w:style>
  <w:style w:type="character" w:styleId="1132">
    <w:name w:val="font21"/>
    <w:next w:val="1132"/>
    <w:link w:val="757"/>
    <w:rPr>
      <w:rFonts w:hint="eastAsia" w:ascii="仿宋" w:hAnsi="仿宋" w:eastAsia="仿宋" w:cs="仿宋"/>
      <w:b/>
      <w:bCs/>
      <w:i w:val="0"/>
      <w:iCs w:val="0"/>
      <w:color w:val="000000"/>
      <w:sz w:val="20"/>
      <w:szCs w:val="20"/>
      <w:u w:val="none"/>
      <w:lang w:val="en-US" w:eastAsia="zh-CN" w:bidi="ar-SA"/>
    </w:rPr>
  </w:style>
  <w:style w:type="character" w:styleId="1133">
    <w:name w:val="font31"/>
    <w:next w:val="1133"/>
    <w:link w:val="757"/>
    <w:rPr>
      <w:rFonts w:hint="eastAsia" w:ascii="宋体" w:hAnsi="宋体" w:eastAsia="宋体" w:cs="宋体"/>
      <w:i w:val="0"/>
      <w:iCs w:val="0"/>
      <w:color w:val="000000"/>
      <w:sz w:val="20"/>
      <w:szCs w:val="20"/>
      <w:u w:val="none"/>
      <w:lang w:val="en-US" w:eastAsia="zh-CN" w:bidi="ar-SA"/>
    </w:rPr>
  </w:style>
  <w:style w:type="character" w:styleId="1134">
    <w:name w:val="font41"/>
    <w:next w:val="1134"/>
    <w:link w:val="757"/>
    <w:rPr>
      <w:rFonts w:hint="eastAsia" w:ascii="仿宋" w:hAnsi="仿宋" w:eastAsia="仿宋" w:cs="仿宋"/>
      <w:i w:val="0"/>
      <w:iCs w:val="0"/>
      <w:color w:val="000000"/>
      <w:sz w:val="20"/>
      <w:szCs w:val="20"/>
      <w:u w:val="none"/>
      <w:vertAlign w:val="superscript"/>
      <w:lang w:val="en-US" w:eastAsia="zh-CN" w:bidi="ar-SA"/>
    </w:rPr>
  </w:style>
  <w:style w:type="paragraph" w:styleId="1135">
    <w:name w:val="正文缩进112"/>
    <w:basedOn w:val="757"/>
    <w:next w:val="1135"/>
    <w:link w:val="757"/>
    <w:pPr>
      <w:ind w:firstLine="420"/>
      <w:jc w:val="left"/>
      <w:widowControl/>
    </w:pPr>
    <w:rPr>
      <w:sz w:val="24"/>
    </w:rPr>
  </w:style>
  <w:style w:type="character" w:styleId="1136">
    <w:name w:val="15"/>
    <w:next w:val="1136"/>
    <w:link w:val="757"/>
    <w:rPr>
      <w:rFonts w:ascii="Times New Roman" w:hAnsi="Times New Roman" w:cs="Times New Roman"/>
      <w:lang w:val="en-US" w:eastAsia="zh-CN" w:bidi="ar-SA"/>
    </w:rPr>
  </w:style>
  <w:style w:type="character" w:styleId="1137">
    <w:name w:val="font71"/>
    <w:next w:val="1137"/>
    <w:link w:val="757"/>
    <w:rPr>
      <w:rFonts w:hint="eastAsia" w:ascii="仿宋" w:hAnsi="仿宋" w:eastAsia="仿宋" w:cs="仿宋"/>
      <w:color w:val="000000"/>
      <w:sz w:val="20"/>
      <w:szCs w:val="20"/>
      <w:u w:val="none"/>
      <w:vertAlign w:val="superscript"/>
      <w:lang w:val="en-US" w:eastAsia="zh-CN" w:bidi="ar-SA"/>
    </w:rPr>
  </w:style>
  <w:style w:type="character" w:styleId="44340" w:default="1">
    <w:name w:val="Default Paragraph Font"/>
    <w:uiPriority w:val="1"/>
    <w:semiHidden/>
    <w:unhideWhenUsed/>
  </w:style>
  <w:style w:type="numbering" w:styleId="44341" w:default="1">
    <w:name w:val="No List"/>
    <w:uiPriority w:val="99"/>
    <w:semiHidden/>
    <w:unhideWhenUsed/>
  </w:style>
  <w:style w:type="table" w:styleId="44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皮卡皮卡</dc:creator>
  <cp:lastModifiedBy>王琴</cp:lastModifiedBy>
  <cp:revision>3</cp:revision>
  <dcterms:created xsi:type="dcterms:W3CDTF">2021-03-10T07:06:00Z</dcterms:created>
  <dcterms:modified xsi:type="dcterms:W3CDTF">2026-05-26T06:24:54Z</dcterms:modified>
</cp:coreProperties>
</file>