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left"/>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常州市第二人民医院阳湖院区污水站托管运营服务项目</w:t>
      </w:r>
      <w:bookmarkEnd w:id="0"/>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JSZC-320400-CZJC-G2026-0033</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人：常州市第二人民医院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740"/>
          <w:rFonts w:hint="eastAsia" w:ascii="宋体" w:hAnsi="宋体" w:eastAsia="宋体" w:cs="宋体"/>
          <w:sz w:val="30"/>
          <w:szCs w:val="30"/>
        </w:rPr>
        <w:t xml:space="preserve">常州金诚招投标有限公司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722"/>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722"/>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722"/>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722"/>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722"/>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722"/>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722"/>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70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728"/>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0"/>
                <w:rFonts w:hint="eastAsia" w:ascii="宋体" w:hAnsi="宋体" w:eastAsia="宋体" w:cs="宋体"/>
                <w:bCs/>
                <w:spacing w:val="2"/>
                <w:sz w:val="24"/>
              </w:rPr>
            </w:pPr>
            <w:r>
              <w:rPr>
                <w:rStyle w:val="740"/>
                <w:rFonts w:hint="eastAsia" w:ascii="宋体" w:hAnsi="宋体" w:eastAsia="宋体" w:cs="宋体"/>
                <w:bCs/>
                <w:spacing w:val="2"/>
                <w:sz w:val="24"/>
              </w:rPr>
              <w:t xml:space="preserve">项目概况</w:t>
            </w:r>
            <w:r/>
          </w:p>
          <w:p>
            <w:pPr>
              <w:ind w:firstLine="480"/>
              <w:spacing w:line="360" w:lineRule="auto"/>
              <w:rPr>
                <w:rStyle w:val="740"/>
                <w:rFonts w:hint="eastAsia" w:ascii="宋体" w:hAnsi="宋体" w:eastAsia="宋体" w:cs="宋体"/>
                <w:sz w:val="24"/>
                <w:szCs w:val="24"/>
              </w:rPr>
            </w:pPr>
            <w:r>
              <w:rPr>
                <w:rFonts w:hint="eastAsia" w:ascii="宋体" w:hAnsi="宋体" w:eastAsia="宋体" w:cs="宋体"/>
                <w:sz w:val="24"/>
                <w:szCs w:val="24"/>
              </w:rPr>
              <w:t xml:space="preserve">常州市第二人民医院阳湖院区污水站托管运营服务项目的潜在投标人应在“苏采云”系统获取招标文件，并于</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7</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9</w:t>
            </w:r>
            <w:r>
              <w:rPr>
                <w:rFonts w:hint="eastAsia" w:ascii="宋体" w:hAnsi="宋体" w:eastAsia="宋体" w:cs="宋体"/>
                <w:color w:val="ee0000"/>
                <w:sz w:val="24"/>
                <w:szCs w:val="24"/>
              </w:rPr>
              <w:t xml:space="preserve">日</w:t>
            </w:r>
            <w:r>
              <w:rPr>
                <w:rFonts w:hint="eastAsia" w:ascii="宋体" w:hAnsi="宋体" w:eastAsia="宋体" w:cs="宋体"/>
                <w:color w:val="ee0000"/>
                <w:sz w:val="24"/>
                <w:szCs w:val="24"/>
              </w:rPr>
              <w:t xml:space="preserve">09</w:t>
            </w:r>
            <w:r>
              <w:rPr>
                <w:rFonts w:hint="eastAsia" w:ascii="宋体" w:hAnsi="宋体" w:eastAsia="宋体" w:cs="宋体"/>
                <w:color w:val="ee0000"/>
                <w:sz w:val="24"/>
                <w:szCs w:val="24"/>
              </w:rPr>
              <w:t xml:space="preserve">点</w:t>
            </w:r>
            <w:r>
              <w:rPr>
                <w:rFonts w:hint="eastAsia" w:ascii="宋体" w:hAnsi="宋体" w:eastAsia="宋体" w:cs="宋体"/>
                <w:color w:val="ee0000"/>
                <w:sz w:val="24"/>
                <w:szCs w:val="24"/>
              </w:rPr>
              <w:t xml:space="preserve">0</w:t>
            </w:r>
            <w:r>
              <w:rPr>
                <w:rFonts w:hint="eastAsia" w:ascii="宋体" w:hAnsi="宋体" w:eastAsia="宋体" w:cs="宋体"/>
                <w:color w:val="ee0000"/>
                <w:sz w:val="24"/>
                <w:szCs w:val="24"/>
              </w:rPr>
              <w:t xml:space="preserve">0分</w:t>
            </w:r>
            <w:r>
              <w:rPr>
                <w:rFonts w:hint="eastAsia" w:ascii="宋体" w:hAnsi="宋体" w:eastAsia="宋体" w:cs="宋体"/>
                <w:sz w:val="24"/>
                <w:szCs w:val="24"/>
              </w:rPr>
              <w:t xml:space="preserve">（北京时间）前提交投标文件。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JSZC-320400-CZJC-G2026-0033</w:t>
      </w:r>
      <w:r/>
    </w:p>
    <w:p>
      <w:pPr>
        <w:ind w:firstLine="480"/>
        <w:spacing w:line="360" w:lineRule="auto"/>
        <w:rPr>
          <w:rStyle w:val="740"/>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740"/>
          <w:rFonts w:hint="eastAsia" w:ascii="宋体" w:hAnsi="宋体" w:eastAsia="宋体" w:cs="宋体"/>
          <w:bCs/>
          <w:sz w:val="24"/>
        </w:rPr>
        <w:t xml:space="preserve">常州市第二人民医院阳湖院区污水站托管运营服务项目</w:t>
      </w:r>
      <w:bookmarkEnd w:id="2"/>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w:t>
      </w:r>
      <w:r>
        <w:rPr>
          <w:rFonts w:hint="eastAsia" w:ascii="宋体" w:hAnsi="宋体" w:eastAsia="宋体" w:cs="宋体"/>
          <w:sz w:val="24"/>
          <w:szCs w:val="24"/>
        </w:rPr>
        <w:t xml:space="preserve">300万元/三年（100万/年）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244.29</w:t>
      </w:r>
      <w:r>
        <w:rPr>
          <w:rFonts w:hint="eastAsia" w:ascii="宋体" w:hAnsi="宋体" w:eastAsia="宋体" w:cs="宋体"/>
          <w:sz w:val="24"/>
          <w:szCs w:val="24"/>
        </w:rPr>
        <w:t xml:space="preserve">万元/三年（</w:t>
      </w:r>
      <w:r>
        <w:rPr>
          <w:rFonts w:ascii="宋体" w:hAnsi="宋体" w:eastAsia="宋体" w:cs="宋体"/>
          <w:sz w:val="24"/>
          <w:szCs w:val="24"/>
        </w:rPr>
        <w:t xml:space="preserve">81.43</w:t>
      </w:r>
      <w:r>
        <w:rPr>
          <w:rFonts w:hint="eastAsia" w:ascii="宋体" w:hAnsi="宋体" w:eastAsia="宋体" w:cs="宋体"/>
          <w:sz w:val="24"/>
          <w:szCs w:val="24"/>
        </w:rPr>
        <w:t xml:space="preserve">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本项目为常州市第二人民医院阳湖院区污水站托管运营服务项目。详见采购文件。</w:t>
      </w:r>
      <w:bookmarkEnd w:id="3"/>
      <w:r/>
    </w:p>
    <w:p>
      <w:pPr>
        <w:ind w:firstLine="480"/>
        <w:jc w:val="left"/>
        <w:spacing w:line="360" w:lineRule="auto"/>
        <w:rPr>
          <w:sz w:val="24"/>
        </w:rPr>
      </w:pPr>
      <w:r>
        <w:rPr>
          <w:rFonts w:hint="eastAsia" w:ascii="宋体" w:hAnsi="宋体" w:eastAsia="宋体" w:cs="宋体"/>
          <w:sz w:val="24"/>
          <w:szCs w:val="24"/>
        </w:rPr>
        <w:t xml:space="preserve">7.合同履行期限：</w:t>
      </w:r>
      <w:r>
        <w:rPr>
          <w:rFonts w:hint="eastAsia"/>
          <w:sz w:val="24"/>
        </w:rPr>
        <w:t xml:space="preserve">服务期叁年，合同一年一签；</w:t>
      </w:r>
      <w:r>
        <w:rPr>
          <w:sz w:val="24"/>
        </w:rPr>
        <w:t xml:space="preserve">一年合同期满经采购人考核合格后可续签一年，最多可续签两次。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w:t>
      </w:r>
      <w:r>
        <w:rPr>
          <w:rFonts w:hint="eastAsia" w:ascii="宋体" w:hAnsi="宋体" w:eastAsia="宋体" w:cs="宋体"/>
          <w:sz w:val="24"/>
          <w:szCs w:val="24"/>
        </w:rPr>
        <w:t xml:space="preserve">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sz w:val="24"/>
        </w:rPr>
      </w:pPr>
      <w:r>
        <w:rPr>
          <w:rFonts w:hint="eastAsia" w:ascii="宋体" w:hAnsi="宋体" w:eastAsia="宋体" w:cs="宋体"/>
          <w:sz w:val="24"/>
          <w:szCs w:val="24"/>
        </w:rPr>
        <w:t xml:space="preserve">3.3其他特定资格要求：</w:t>
      </w:r>
      <w:r/>
    </w:p>
    <w:p>
      <w:pPr>
        <w:ind w:firstLine="480"/>
        <w:spacing w:line="360" w:lineRule="auto"/>
        <w:rPr>
          <w:sz w:val="24"/>
        </w:rPr>
      </w:pPr>
      <w:r>
        <w:rPr>
          <w:rFonts w:hint="eastAsia" w:ascii="宋体" w:hAnsi="宋体" w:eastAsia="宋体" w:cs="宋体"/>
          <w:sz w:val="24"/>
          <w:szCs w:val="24"/>
        </w:rPr>
        <w:t xml:space="preserve">3.3.1</w:t>
      </w:r>
      <w:r>
        <w:rPr>
          <w:rFonts w:hint="eastAsia"/>
          <w:sz w:val="24"/>
        </w:rPr>
        <w:t xml:space="preserve">投标人具有</w:t>
      </w:r>
      <w:r>
        <w:rPr>
          <w:sz w:val="24"/>
        </w:rPr>
        <w:t xml:space="preserve">环保工程专业承包三级及以上资质</w:t>
      </w:r>
      <w:r>
        <w:rPr>
          <w:rFonts w:hint="eastAsia"/>
          <w:sz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w:t>
      </w:r>
      <w:r>
        <w:rPr>
          <w:rFonts w:hint="eastAsia"/>
          <w:sz w:val="24"/>
        </w:rPr>
        <w:t xml:space="preserve">投标人</w:t>
      </w:r>
      <w:r>
        <w:rPr>
          <w:rFonts w:ascii="宋体" w:hAnsi="宋体" w:eastAsia="宋体" w:cs="宋体"/>
          <w:sz w:val="24"/>
          <w:szCs w:val="24"/>
        </w:rPr>
        <w:t xml:space="preserve">具有</w:t>
      </w:r>
      <w:r>
        <w:rPr>
          <w:rFonts w:hint="eastAsia" w:ascii="宋体" w:hAnsi="宋体" w:eastAsia="宋体" w:cs="宋体"/>
          <w:sz w:val="24"/>
          <w:szCs w:val="24"/>
        </w:rPr>
        <w:t xml:space="preserve">有效的</w:t>
      </w:r>
      <w:r>
        <w:rPr>
          <w:rFonts w:ascii="宋体" w:hAnsi="宋体" w:eastAsia="宋体" w:cs="宋体"/>
          <w:sz w:val="24"/>
          <w:szCs w:val="24"/>
        </w:rPr>
        <w:t xml:space="preserve">安全生产许可证</w:t>
      </w:r>
      <w:r>
        <w:rPr>
          <w:rFonts w:hint="eastAsia" w:ascii="宋体" w:hAnsi="宋体" w:eastAsia="宋体" w:cs="宋体"/>
          <w:sz w:val="24"/>
          <w:szCs w:val="24"/>
        </w:rPr>
        <w:t xml:space="preserve">。</w:t>
      </w:r>
      <w:bookmarkEnd w:id="5"/>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color w:val="ee0000"/>
          <w:sz w:val="24"/>
        </w:rPr>
        <w:t xml:space="preserve">投标截止时间、开标时间：</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7</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9</w:t>
      </w:r>
      <w:r>
        <w:rPr>
          <w:rFonts w:hint="eastAsia" w:ascii="宋体" w:hAnsi="宋体" w:eastAsia="宋体" w:cs="宋体"/>
          <w:color w:val="ee0000"/>
          <w:sz w:val="24"/>
          <w:szCs w:val="24"/>
        </w:rPr>
        <w:t xml:space="preserve">日</w:t>
      </w:r>
      <w:r>
        <w:rPr>
          <w:rFonts w:hint="eastAsia" w:ascii="宋体" w:hAnsi="宋体" w:eastAsia="宋体" w:cs="宋体"/>
          <w:color w:val="ee0000"/>
          <w:sz w:val="24"/>
          <w:szCs w:val="24"/>
        </w:rPr>
        <w:t xml:space="preserve">09</w:t>
      </w:r>
      <w:r>
        <w:rPr>
          <w:rFonts w:hint="eastAsia" w:ascii="宋体" w:hAnsi="宋体" w:eastAsia="宋体" w:cs="宋体"/>
          <w:color w:val="ee0000"/>
          <w:sz w:val="24"/>
          <w:szCs w:val="24"/>
        </w:rPr>
        <w:t xml:space="preserve">点</w:t>
      </w:r>
      <w:r>
        <w:rPr>
          <w:rFonts w:hint="eastAsia" w:ascii="宋体" w:hAnsi="宋体" w:eastAsia="宋体" w:cs="宋体"/>
          <w:color w:val="ee0000"/>
          <w:sz w:val="24"/>
          <w:szCs w:val="24"/>
        </w:rPr>
        <w:t xml:space="preserve">0</w:t>
      </w:r>
      <w:r>
        <w:rPr>
          <w:rFonts w:hint="eastAsia" w:ascii="宋体" w:hAnsi="宋体" w:eastAsia="宋体" w:cs="宋体"/>
          <w:color w:val="ee0000"/>
          <w:sz w:val="24"/>
          <w:szCs w:val="24"/>
        </w:rPr>
        <w:t xml:space="preserve">0分（北京时间）</w:t>
      </w:r>
      <w:r>
        <w:rPr>
          <w:rFonts w:hint="eastAsia" w:ascii="宋体" w:hAnsi="宋体" w:eastAsia="宋体" w:cs="宋体"/>
          <w:sz w:val="24"/>
          <w:szCs w:val="24"/>
        </w:rPr>
        <w:t xml:space="preserve">。</w:t>
      </w:r>
      <w:bookmarkEnd w:id="6"/>
      <w:r/>
      <w:r/>
    </w:p>
    <w:p>
      <w:pPr>
        <w:ind w:firstLine="480"/>
        <w:spacing w:line="360" w:lineRule="auto"/>
        <w:rPr>
          <w:rFonts w:hint="eastAsia" w:ascii="宋体" w:hAnsi="宋体" w:eastAsia="宋体" w:cs="宋体"/>
          <w:sz w:val="24"/>
        </w:rPr>
      </w:pPr>
      <w:r/>
      <w:bookmarkStart w:id="7" w:name="_Toc28359084"/>
      <w:r/>
      <w:bookmarkStart w:id="8" w:name="_Toc35393625"/>
      <w:r/>
      <w:bookmarkStart w:id="9" w:name="_Toc35393794"/>
      <w:r/>
      <w:bookmarkStart w:id="10" w:name="_Toc28359007"/>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jc w:val="left"/>
        <w:spacing w:line="360" w:lineRule="auto"/>
        <w:rPr>
          <w:rFonts w:hint="eastAsia" w:ascii="宋体" w:hAnsi="宋体" w:eastAsia="宋体" w:cs="宋体"/>
          <w:b/>
          <w:sz w:val="24"/>
          <w:szCs w:val="24"/>
        </w:rPr>
      </w:pPr>
      <w:r/>
      <w:bookmarkStart w:id="13"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w:t>
      </w:r>
      <w:r>
        <w:rPr>
          <w:rFonts w:hint="eastAsia" w:ascii="宋体" w:hAnsi="宋体" w:eastAsia="宋体" w:cs="宋体"/>
          <w:sz w:val="24"/>
          <w:szCs w:val="24"/>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3"/>
      <w:r/>
      <w:r/>
    </w:p>
    <w:p>
      <w:pPr>
        <w:ind w:left="229" w:hanging="229"/>
        <w:spacing w:line="360" w:lineRule="auto"/>
        <w:rPr>
          <w:rFonts w:hint="eastAsia" w:ascii="宋体" w:hAnsi="宋体" w:eastAsia="宋体" w:cs="宋体"/>
          <w:b/>
          <w:sz w:val="24"/>
          <w:szCs w:val="24"/>
        </w:rPr>
      </w:pPr>
      <w:r/>
      <w:bookmarkStart w:id="14" w:name="_Toc28359085"/>
      <w:r/>
      <w:bookmarkStart w:id="15" w:name="_Toc35393627"/>
      <w:r/>
      <w:bookmarkStart w:id="16" w:name="_Toc28359008"/>
      <w:r/>
      <w:bookmarkStart w:id="17" w:name="_Toc35393796"/>
      <w:r>
        <w:rPr>
          <w:rFonts w:hint="eastAsia" w:ascii="宋体" w:hAnsi="宋体" w:eastAsia="宋体" w:cs="宋体"/>
          <w:b/>
          <w:sz w:val="24"/>
          <w:szCs w:val="24"/>
        </w:rPr>
        <w:t xml:space="preserve">七、对本项目提出询问，请按以下方式联系。</w:t>
      </w:r>
      <w:bookmarkEnd w:id="14"/>
      <w:r/>
      <w:bookmarkEnd w:id="15"/>
      <w:r/>
      <w:bookmarkEnd w:id="16"/>
      <w:r/>
      <w:bookmarkEnd w:id="1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8" w:name="_Toc28359009"/>
      <w:r/>
      <w:bookmarkStart w:id="19" w:name="_Toc28359086"/>
      <w:r>
        <w:rPr>
          <w:rFonts w:hint="eastAsia" w:ascii="宋体" w:hAnsi="宋体" w:eastAsia="宋体" w:cs="宋体"/>
          <w:sz w:val="24"/>
          <w:szCs w:val="24"/>
        </w:rPr>
        <w:t xml:space="preserve">单位名称：常州市第二人民医院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江苏省常州市武进区滆湖中路68号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0" w:name="OLE_LINK7"/>
      <w:r>
        <w:rPr>
          <w:rFonts w:hint="eastAsia" w:ascii="宋体" w:hAnsi="宋体" w:eastAsia="宋体" w:cs="宋体"/>
          <w:sz w:val="24"/>
          <w:szCs w:val="24"/>
        </w:rPr>
        <w:t xml:space="preserve">夏先生</w:t>
      </w:r>
      <w:bookmarkEnd w:id="20"/>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0519-88065616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8"/>
      <w:r/>
      <w:bookmarkEnd w:id="19"/>
      <w:r/>
      <w:r/>
    </w:p>
    <w:p>
      <w:pPr>
        <w:ind w:firstLine="480"/>
        <w:spacing w:line="360" w:lineRule="auto"/>
        <w:rPr>
          <w:rFonts w:hint="eastAsia" w:ascii="宋体" w:hAnsi="宋体" w:eastAsia="宋体" w:cs="宋体"/>
          <w:sz w:val="24"/>
          <w:szCs w:val="24"/>
        </w:rPr>
      </w:pPr>
      <w:r/>
      <w:bookmarkStart w:id="21" w:name="_Toc28359010"/>
      <w:r/>
      <w:bookmarkStart w:id="22" w:name="_Toc28359087"/>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1"/>
      <w:r/>
      <w:bookmarkEnd w:id="2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705"/>
        <w:ind w:left="343" w:hanging="343"/>
        <w:rPr>
          <w:rFonts w:hint="eastAsia" w:ascii="宋体" w:hAnsi="宋体" w:eastAsia="宋体" w:cs="宋体"/>
        </w:rPr>
      </w:pPr>
      <w:r/>
      <w:bookmarkStart w:id="23" w:name="_Toc23148"/>
      <w:r>
        <w:rPr>
          <w:rFonts w:hint="eastAsia" w:ascii="宋体" w:hAnsi="宋体" w:eastAsia="宋体" w:cs="宋体"/>
        </w:rPr>
        <w:t xml:space="preserve">第二章 投标人须知</w:t>
      </w:r>
      <w:bookmarkEnd w:id="23"/>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收费标准：收费比例按差额定率累进法计算：以</w:t>
            </w:r>
            <w:r>
              <w:rPr>
                <w:rFonts w:hint="eastAsia" w:ascii="宋体" w:hAnsi="宋体" w:eastAsia="宋体" w:cs="宋体"/>
                <w:sz w:val="24"/>
              </w:rPr>
              <w:t xml:space="preserve">中标</w:t>
            </w:r>
            <w:r>
              <w:rPr>
                <w:rFonts w:hint="eastAsia" w:ascii="宋体" w:hAnsi="宋体" w:eastAsia="宋体" w:cs="宋体"/>
                <w:sz w:val="24"/>
                <w:lang w:val="zh-TW"/>
              </w:rPr>
              <w:t xml:space="preserve">金额为基数，按100万以下*1.5%*0.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、100万元（含）—500万元*</w:t>
            </w:r>
            <w:r>
              <w:rPr>
                <w:rFonts w:hint="eastAsia" w:ascii="宋体" w:hAnsi="宋体" w:eastAsia="宋体" w:cs="宋体"/>
                <w:sz w:val="24"/>
              </w:rPr>
              <w:t xml:space="preserve">0.8</w:t>
            </w:r>
            <w:r>
              <w:rPr>
                <w:rFonts w:hint="eastAsia" w:ascii="宋体" w:hAnsi="宋体" w:eastAsia="宋体" w:cs="宋体"/>
                <w:sz w:val="24"/>
                <w:lang w:val="zh-TW"/>
              </w:rPr>
              <w:t xml:space="preserve">%*0.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计算</w:t>
            </w:r>
            <w:r>
              <w:rPr>
                <w:rFonts w:hint="eastAsia" w:ascii="宋体" w:hAnsi="宋体" w:eastAsia="宋体" w:cs="宋体"/>
                <w:sz w:val="24"/>
                <w:lang w:val="zh-TW"/>
              </w:rPr>
              <w:t xml:space="preserve">，</w:t>
            </w:r>
            <w:r>
              <w:rPr>
                <w:rFonts w:ascii="宋体" w:hAnsi="宋体" w:eastAsia="宋体"/>
                <w:sz w:val="24"/>
                <w:szCs w:val="24"/>
              </w:rPr>
              <w:t xml:space="preserve">不足3000按3000收取</w:t>
            </w:r>
            <w:r>
              <w:rPr>
                <w:rFonts w:hint="eastAsia" w:ascii="宋体" w:hAnsi="宋体" w:eastAsia="宋体" w:cs="宋体"/>
                <w:sz w:val="24"/>
                <w:lang w:val="zh-TW"/>
              </w:rPr>
              <w:t xml:space="preserve">。代理服务费按上述标准计算并一次性缴纳。</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4" w:name="_Toc151193760"/>
      <w:r/>
      <w:bookmarkStart w:id="25" w:name="_Toc151193906"/>
      <w:r/>
      <w:bookmarkStart w:id="26" w:name="_Toc264969208"/>
      <w:r/>
      <w:bookmarkStart w:id="27" w:name="_Toc226965791"/>
      <w:r/>
      <w:bookmarkStart w:id="28" w:name="_Toc305158860"/>
      <w:r/>
      <w:bookmarkStart w:id="29" w:name="_Toc150480756"/>
      <w:r/>
      <w:bookmarkStart w:id="30" w:name="_Toc151193688"/>
      <w:r/>
      <w:bookmarkStart w:id="31" w:name="_Toc226337214"/>
      <w:r/>
      <w:bookmarkStart w:id="32" w:name="_Toc150509269"/>
      <w:r/>
      <w:bookmarkStart w:id="33" w:name="_Toc305158786"/>
      <w:r/>
      <w:bookmarkStart w:id="34" w:name="_Toc226309762"/>
      <w:r/>
      <w:bookmarkStart w:id="35" w:name="_Toc150774618"/>
      <w:r/>
      <w:bookmarkStart w:id="36" w:name="_Toc151193832"/>
      <w:r/>
      <w:bookmarkStart w:id="37" w:name="_Toc226965708"/>
      <w:r/>
      <w:bookmarkStart w:id="38" w:name="_Toc150774723"/>
      <w:r/>
      <w:bookmarkStart w:id="39" w:name="_Toc142311020"/>
      <w:r/>
      <w:bookmarkStart w:id="40" w:name="_Toc265228356"/>
      <w:r/>
      <w:bookmarkStart w:id="41" w:name="_Toc195842883"/>
      <w:r/>
      <w:bookmarkStart w:id="42" w:name="_Toc151193616"/>
      <w:r/>
      <w:bookmarkStart w:id="43" w:name="_Toc151190145"/>
      <w:r>
        <w:rPr>
          <w:rFonts w:hint="eastAsia" w:ascii="宋体" w:hAnsi="宋体" w:eastAsia="宋体" w:cs="宋体"/>
          <w:b/>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744"/>
        <w:numPr>
          <w:ilvl w:val="0"/>
          <w:numId w:val="3"/>
        </w:numPr>
        <w:jc w:val="left"/>
        <w:spacing w:line="360" w:lineRule="auto"/>
        <w:rPr>
          <w:rFonts w:hint="eastAsia" w:ascii="宋体" w:hAnsi="宋体" w:eastAsia="宋体" w:cs="宋体"/>
          <w:sz w:val="24"/>
          <w:szCs w:val="24"/>
        </w:rPr>
      </w:pPr>
      <w:r/>
      <w:bookmarkStart w:id="44" w:name="_Toc305158861"/>
      <w:r/>
      <w:bookmarkStart w:id="45" w:name="_Toc265228357"/>
      <w:r/>
      <w:bookmarkStart w:id="46" w:name="_Toc305158787"/>
      <w:r/>
      <w:bookmarkStart w:id="47" w:name="_Toc264969209"/>
      <w:r/>
      <w:bookmarkStart w:id="48" w:name="_Toc265228360"/>
      <w:r/>
      <w:bookmarkStart w:id="49" w:name="_Toc151193836"/>
      <w:r/>
      <w:bookmarkStart w:id="50" w:name="_Toc305158790"/>
      <w:r/>
      <w:bookmarkStart w:id="51" w:name="_Toc195842887"/>
      <w:r/>
      <w:bookmarkStart w:id="52" w:name="_Toc226965712"/>
      <w:r/>
      <w:bookmarkStart w:id="53" w:name="_Toc151193910"/>
      <w:r/>
      <w:bookmarkStart w:id="54" w:name="_Toc150509273"/>
      <w:r/>
      <w:bookmarkStart w:id="55" w:name="_Toc226965795"/>
      <w:r/>
      <w:bookmarkStart w:id="56" w:name="_Toc150480760"/>
      <w:r/>
      <w:bookmarkStart w:id="57" w:name="_Toc520356146"/>
      <w:r/>
      <w:bookmarkStart w:id="58" w:name="_Toc226309766"/>
      <w:r/>
      <w:bookmarkStart w:id="59" w:name="_Toc150774727"/>
      <w:r/>
      <w:bookmarkStart w:id="60" w:name="_Toc305158864"/>
      <w:r/>
      <w:bookmarkStart w:id="61" w:name="_Toc142311024"/>
      <w:r/>
      <w:bookmarkStart w:id="62" w:name="_Toc150774622"/>
      <w:r/>
      <w:bookmarkStart w:id="63" w:name="_Toc151190149"/>
      <w:r/>
      <w:bookmarkStart w:id="64" w:name="_Toc264969212"/>
      <w:r/>
      <w:bookmarkStart w:id="65" w:name="_Toc151193692"/>
      <w:r/>
      <w:bookmarkStart w:id="66" w:name="_Toc151193620"/>
      <w:r/>
      <w:bookmarkStart w:id="67" w:name="_Toc127151522"/>
      <w:r/>
      <w:bookmarkStart w:id="68" w:name="_Toc151193764"/>
      <w:r/>
      <w:bookmarkStart w:id="69" w:name="_Toc226337218"/>
      <w:r>
        <w:rPr>
          <w:rFonts w:hint="eastAsia" w:ascii="宋体" w:hAnsi="宋体" w:eastAsia="宋体" w:cs="宋体"/>
          <w:sz w:val="24"/>
        </w:rPr>
        <w:t xml:space="preserve">采购人、采购代理机构、投标人</w:t>
      </w:r>
      <w:bookmarkEnd w:id="44"/>
      <w:r/>
      <w:bookmarkEnd w:id="45"/>
      <w:r/>
      <w:bookmarkEnd w:id="46"/>
      <w:r/>
      <w:bookmarkEnd w:id="47"/>
      <w:r>
        <w:rPr>
          <w:rFonts w:hint="eastAsia" w:ascii="宋体" w:hAnsi="宋体" w:eastAsia="宋体" w:cs="宋体"/>
          <w:sz w:val="24"/>
        </w:rPr>
        <w:t xml:space="preserve">、联合体</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744"/>
        <w:numPr>
          <w:ilvl w:val="0"/>
          <w:numId w:val="4"/>
        </w:numPr>
        <w:jc w:val="left"/>
        <w:spacing w:line="360" w:lineRule="auto"/>
        <w:rPr>
          <w:rFonts w:hint="eastAsia" w:ascii="宋体" w:hAnsi="宋体" w:eastAsia="宋体" w:cs="宋体"/>
          <w:sz w:val="24"/>
          <w:szCs w:val="24"/>
        </w:rPr>
      </w:pPr>
      <w:r/>
      <w:bookmarkStart w:id="70" w:name="_Toc264969210"/>
      <w:r/>
      <w:bookmarkStart w:id="71" w:name="_Toc151193762"/>
      <w:r/>
      <w:bookmarkStart w:id="72" w:name="_Toc150509271"/>
      <w:r/>
      <w:bookmarkStart w:id="73" w:name="_Toc127161434"/>
      <w:r/>
      <w:bookmarkStart w:id="74" w:name="_Toc164229361"/>
      <w:r/>
      <w:bookmarkStart w:id="75" w:name="_Toc151190147"/>
      <w:r/>
      <w:bookmarkStart w:id="76" w:name="_Toc150774725"/>
      <w:r/>
      <w:bookmarkStart w:id="77" w:name="_Toc127151520"/>
      <w:r/>
      <w:bookmarkStart w:id="78" w:name="_Toc164608789"/>
      <w:r/>
      <w:bookmarkStart w:id="79" w:name="_Toc164351614"/>
      <w:r/>
      <w:bookmarkStart w:id="80" w:name="_Toc164229215"/>
      <w:r/>
      <w:bookmarkStart w:id="81" w:name="_Toc164608634"/>
      <w:r/>
      <w:bookmarkStart w:id="82" w:name="_Toc305158788"/>
      <w:r/>
      <w:bookmarkStart w:id="83" w:name="_Toc127151721"/>
      <w:r/>
      <w:bookmarkStart w:id="84" w:name="_Toc226965710"/>
      <w:r/>
      <w:bookmarkStart w:id="85" w:name="_Toc226337216"/>
      <w:r/>
      <w:bookmarkStart w:id="86" w:name="_Toc305158862"/>
      <w:r/>
      <w:bookmarkStart w:id="87" w:name="_Toc149720813"/>
      <w:r/>
      <w:bookmarkStart w:id="88" w:name="_Toc195842885"/>
      <w:r/>
      <w:bookmarkStart w:id="89" w:name="_Toc226309764"/>
      <w:r/>
      <w:bookmarkStart w:id="90" w:name="_Toc150774620"/>
      <w:r/>
      <w:bookmarkStart w:id="91" w:name="_Toc151193618"/>
      <w:r/>
      <w:bookmarkStart w:id="92" w:name="_Toc226965793"/>
      <w:r/>
      <w:bookmarkStart w:id="93" w:name="_Toc151193690"/>
      <w:r/>
      <w:bookmarkStart w:id="94" w:name="_Toc151193834"/>
      <w:r/>
      <w:bookmarkStart w:id="95" w:name="_Toc150480758"/>
      <w:r/>
      <w:bookmarkStart w:id="96" w:name="_Toc142311022"/>
      <w:r/>
      <w:bookmarkStart w:id="97" w:name="_Toc151193908"/>
      <w:r/>
      <w:bookmarkStart w:id="98" w:name="_Toc265228358"/>
      <w:r>
        <w:rPr>
          <w:rFonts w:hint="eastAsia" w:ascii="宋体" w:hAnsi="宋体" w:eastAsia="宋体" w:cs="宋体"/>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sz w:val="24"/>
        </w:rPr>
        <w:t xml:space="preserve">、项目属性、科研仪器设备采购、核心产品</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744"/>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744"/>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744"/>
        <w:numPr>
          <w:ilvl w:val="0"/>
          <w:numId w:val="4"/>
        </w:numPr>
        <w:jc w:val="left"/>
        <w:spacing w:line="360" w:lineRule="auto"/>
        <w:rPr>
          <w:rFonts w:hint="eastAsia" w:ascii="宋体" w:hAnsi="宋体" w:eastAsia="宋体" w:cs="宋体"/>
          <w:sz w:val="24"/>
          <w:szCs w:val="24"/>
        </w:rPr>
      </w:pPr>
      <w:r/>
      <w:bookmarkStart w:id="99" w:name="_Toc142311025"/>
      <w:r/>
      <w:bookmarkStart w:id="100" w:name="_Toc127161437"/>
      <w:r/>
      <w:bookmarkStart w:id="101" w:name="_Toc151193621"/>
      <w:r/>
      <w:bookmarkStart w:id="102" w:name="_Toc195842888"/>
      <w:r/>
      <w:bookmarkStart w:id="103" w:name="_Toc150509274"/>
      <w:r/>
      <w:bookmarkStart w:id="104" w:name="_Toc164229218"/>
      <w:r/>
      <w:bookmarkStart w:id="105" w:name="_Toc305158865"/>
      <w:r/>
      <w:bookmarkStart w:id="106" w:name="_Toc151193765"/>
      <w:r/>
      <w:bookmarkStart w:id="107" w:name="_Toc127151724"/>
      <w:r/>
      <w:bookmarkStart w:id="108" w:name="_Toc164229364"/>
      <w:r/>
      <w:bookmarkStart w:id="109" w:name="_Toc127151523"/>
      <w:r/>
      <w:bookmarkStart w:id="110" w:name="_Toc150480761"/>
      <w:r/>
      <w:bookmarkStart w:id="111" w:name="_Toc226337219"/>
      <w:r/>
      <w:bookmarkStart w:id="112" w:name="_Toc305158791"/>
      <w:r/>
      <w:bookmarkStart w:id="113" w:name="_Toc226309767"/>
      <w:r/>
      <w:bookmarkStart w:id="114" w:name="_Toc150774728"/>
      <w:r/>
      <w:bookmarkStart w:id="115" w:name="_Toc151190150"/>
      <w:r/>
      <w:bookmarkStart w:id="116" w:name="_Toc164351617"/>
      <w:r/>
      <w:bookmarkStart w:id="117" w:name="_Toc264969213"/>
      <w:r/>
      <w:bookmarkStart w:id="118" w:name="_Toc226965796"/>
      <w:r/>
      <w:bookmarkStart w:id="119" w:name="_Toc151193837"/>
      <w:r/>
      <w:bookmarkStart w:id="120" w:name="_Toc164608792"/>
      <w:r/>
      <w:bookmarkStart w:id="121" w:name="_Toc164608637"/>
      <w:r/>
      <w:bookmarkStart w:id="122" w:name="_Toc151193693"/>
      <w:r/>
      <w:bookmarkStart w:id="123" w:name="_Toc265228361"/>
      <w:r/>
      <w:bookmarkStart w:id="124" w:name="_Toc226965713"/>
      <w:r/>
      <w:bookmarkStart w:id="125" w:name="_Toc150774623"/>
      <w:r/>
      <w:bookmarkStart w:id="126" w:name="_Toc520356147"/>
      <w:r/>
      <w:bookmarkStart w:id="127" w:name="_Toc149720816"/>
      <w:r/>
      <w:bookmarkStart w:id="128" w:name="_Toc151193911"/>
      <w:r>
        <w:rPr>
          <w:rFonts w:hint="eastAsia" w:ascii="宋体" w:hAnsi="宋体" w:eastAsia="宋体" w:cs="宋体"/>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 w:val="24"/>
        </w:rPr>
        <w:t xml:space="preserve">成</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744"/>
        <w:numPr>
          <w:ilvl w:val="0"/>
          <w:numId w:val="4"/>
        </w:numPr>
        <w:jc w:val="left"/>
        <w:spacing w:line="360" w:lineRule="auto"/>
        <w:rPr>
          <w:rFonts w:hint="eastAsia" w:ascii="宋体" w:hAnsi="宋体" w:eastAsia="宋体" w:cs="宋体"/>
          <w:sz w:val="24"/>
        </w:rPr>
      </w:pPr>
      <w:r/>
      <w:bookmarkStart w:id="129" w:name="_Toc195842892"/>
      <w:r/>
      <w:bookmarkStart w:id="130" w:name="_Toc127151728"/>
      <w:r/>
      <w:bookmarkStart w:id="131" w:name="_Toc127151527"/>
      <w:r/>
      <w:bookmarkStart w:id="132" w:name="_Toc151193697"/>
      <w:r/>
      <w:bookmarkStart w:id="133" w:name="_Toc150509278"/>
      <w:r/>
      <w:bookmarkStart w:id="134" w:name="_Toc264969217"/>
      <w:r/>
      <w:bookmarkStart w:id="135" w:name="_Toc226965717"/>
      <w:r/>
      <w:bookmarkStart w:id="136" w:name="_Toc150774732"/>
      <w:r/>
      <w:bookmarkStart w:id="137" w:name="_Toc151193841"/>
      <w:r/>
      <w:bookmarkStart w:id="138" w:name="_Toc305158795"/>
      <w:r/>
      <w:bookmarkStart w:id="139" w:name="_Toc164608641"/>
      <w:r/>
      <w:bookmarkStart w:id="140" w:name="_Toc164229368"/>
      <w:r/>
      <w:bookmarkStart w:id="141" w:name="_Toc164608796"/>
      <w:r/>
      <w:bookmarkStart w:id="142" w:name="_Toc150480765"/>
      <w:r/>
      <w:bookmarkStart w:id="143" w:name="_Toc226965800"/>
      <w:r/>
      <w:bookmarkStart w:id="144" w:name="_Toc151193625"/>
      <w:r/>
      <w:bookmarkStart w:id="145" w:name="_Toc149720820"/>
      <w:r/>
      <w:bookmarkStart w:id="146" w:name="_Toc305158869"/>
      <w:r/>
      <w:bookmarkStart w:id="147" w:name="_Toc142311029"/>
      <w:r/>
      <w:bookmarkStart w:id="148" w:name="_Toc516367021"/>
      <w:r/>
      <w:bookmarkStart w:id="149" w:name="_Toc164229222"/>
      <w:r/>
      <w:bookmarkStart w:id="150" w:name="_Toc151193915"/>
      <w:r/>
      <w:bookmarkStart w:id="151" w:name="_Toc265228365"/>
      <w:r/>
      <w:bookmarkStart w:id="152" w:name="_Toc127161441"/>
      <w:r/>
      <w:bookmarkStart w:id="153" w:name="_Toc151193769"/>
      <w:r/>
      <w:bookmarkStart w:id="154" w:name="_Toc520356151"/>
      <w:r/>
      <w:bookmarkStart w:id="155" w:name="_Toc150774627"/>
      <w:r/>
      <w:bookmarkStart w:id="156" w:name="_Toc226337223"/>
      <w:r/>
      <w:bookmarkStart w:id="157" w:name="_Toc151190154"/>
      <w:r/>
      <w:bookmarkStart w:id="158" w:name="_Toc164351621"/>
      <w:r/>
      <w:bookmarkStart w:id="159" w:name="_Toc226309771"/>
      <w:r>
        <w:rPr>
          <w:rFonts w:hint="eastAsia" w:ascii="宋体" w:hAnsi="宋体" w:eastAsia="宋体" w:cs="宋体"/>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sz w:val="24"/>
        </w:rPr>
        <w:t xml:space="preserve">及投标语言</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44"/>
        <w:numPr>
          <w:ilvl w:val="0"/>
          <w:numId w:val="4"/>
        </w:numPr>
        <w:jc w:val="left"/>
        <w:spacing w:line="360" w:lineRule="auto"/>
        <w:rPr>
          <w:rFonts w:hint="eastAsia" w:ascii="宋体" w:hAnsi="宋体" w:eastAsia="宋体" w:cs="宋体"/>
          <w:sz w:val="24"/>
        </w:rPr>
      </w:pPr>
      <w:r/>
      <w:bookmarkStart w:id="160" w:name="_Ref467306195"/>
      <w:r/>
      <w:bookmarkStart w:id="161" w:name="_Toc516367022"/>
      <w:r/>
      <w:bookmarkStart w:id="162" w:name="_Ref467306676"/>
      <w:r/>
      <w:bookmarkStart w:id="163" w:name="_Toc127151729"/>
      <w:r/>
      <w:bookmarkStart w:id="164" w:name="_Toc305158796"/>
      <w:r/>
      <w:bookmarkStart w:id="165" w:name="_Toc265228366"/>
      <w:r/>
      <w:bookmarkStart w:id="166" w:name="_Toc150774733"/>
      <w:r/>
      <w:bookmarkStart w:id="167" w:name="_Toc151193770"/>
      <w:r/>
      <w:bookmarkStart w:id="168" w:name="_Toc305158870"/>
      <w:r/>
      <w:bookmarkStart w:id="169" w:name="_Toc226965801"/>
      <w:r/>
      <w:bookmarkStart w:id="170" w:name="_Toc149720821"/>
      <w:r/>
      <w:bookmarkStart w:id="171" w:name="_Toc151190155"/>
      <w:r/>
      <w:bookmarkStart w:id="172" w:name="_Toc127151528"/>
      <w:r/>
      <w:bookmarkStart w:id="173" w:name="_Toc226309772"/>
      <w:r/>
      <w:bookmarkStart w:id="174" w:name="_Toc164351622"/>
      <w:r/>
      <w:bookmarkStart w:id="175" w:name="_Toc142311030"/>
      <w:r/>
      <w:bookmarkStart w:id="176" w:name="_Toc226965718"/>
      <w:r/>
      <w:bookmarkStart w:id="177" w:name="_Toc226337224"/>
      <w:r/>
      <w:bookmarkStart w:id="178" w:name="_Toc164608797"/>
      <w:r/>
      <w:bookmarkStart w:id="179" w:name="_Toc164229223"/>
      <w:r/>
      <w:bookmarkStart w:id="180" w:name="_Toc195842893"/>
      <w:r/>
      <w:bookmarkStart w:id="181" w:name="_Toc151193842"/>
      <w:r/>
      <w:bookmarkStart w:id="182" w:name="_Toc151193916"/>
      <w:r/>
      <w:bookmarkStart w:id="183" w:name="_Toc150480766"/>
      <w:r/>
      <w:bookmarkStart w:id="184" w:name="_Toc151193698"/>
      <w:r/>
      <w:bookmarkStart w:id="185" w:name="_Toc264969218"/>
      <w:r/>
      <w:bookmarkStart w:id="186" w:name="_Toc127161442"/>
      <w:r/>
      <w:bookmarkStart w:id="187" w:name="_Toc520356152"/>
      <w:r/>
      <w:bookmarkStart w:id="188" w:name="_Toc164229369"/>
      <w:r/>
      <w:bookmarkStart w:id="189" w:name="_Toc151193626"/>
      <w:r/>
      <w:bookmarkStart w:id="190" w:name="_Toc150774628"/>
      <w:r/>
      <w:bookmarkStart w:id="191" w:name="_Toc150509279"/>
      <w:r/>
      <w:bookmarkStart w:id="192" w:name="_Toc164608642"/>
      <w:r>
        <w:rPr>
          <w:rFonts w:hint="eastAsia" w:ascii="宋体" w:hAnsi="宋体" w:eastAsia="宋体" w:cs="宋体"/>
          <w:sz w:val="24"/>
        </w:rPr>
        <w:t xml:space="preserve">投标文件</w:t>
      </w:r>
      <w:bookmarkEnd w:id="160"/>
      <w:r/>
      <w:bookmarkEnd w:id="161"/>
      <w:r/>
      <w:bookmarkEnd w:id="162"/>
      <w:r>
        <w:rPr>
          <w:rFonts w:hint="eastAsia" w:ascii="宋体" w:hAnsi="宋体" w:eastAsia="宋体" w:cs="宋体"/>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bookmarkStart w:id="193" w:name="_Toc164229228"/>
      <w:r/>
      <w:bookmarkStart w:id="194" w:name="_Toc142311035"/>
      <w:r/>
      <w:bookmarkStart w:id="195" w:name="_Toc226965723"/>
      <w:r/>
      <w:bookmarkStart w:id="196" w:name="_Toc150509284"/>
      <w:r/>
      <w:bookmarkStart w:id="197" w:name="_Toc127151533"/>
      <w:r/>
      <w:bookmarkStart w:id="198" w:name="_Toc305158875"/>
      <w:r/>
      <w:bookmarkStart w:id="199" w:name="_Toc195842898"/>
      <w:r/>
      <w:bookmarkStart w:id="200" w:name="_Toc164351627"/>
      <w:r/>
      <w:bookmarkStart w:id="201" w:name="_Toc151193921"/>
      <w:r/>
      <w:bookmarkStart w:id="202" w:name="_Toc151193775"/>
      <w:r/>
      <w:bookmarkStart w:id="203" w:name="_Toc151193703"/>
      <w:r/>
      <w:bookmarkStart w:id="204" w:name="_Toc264969223"/>
      <w:r/>
      <w:bookmarkStart w:id="205" w:name="_Toc226337229"/>
      <w:r/>
      <w:bookmarkStart w:id="206" w:name="_Toc150480771"/>
      <w:r/>
      <w:bookmarkStart w:id="207" w:name="_Toc164608647"/>
      <w:r/>
      <w:bookmarkStart w:id="208" w:name="_Toc127151734"/>
      <w:r/>
      <w:bookmarkStart w:id="209" w:name="_Toc305158801"/>
      <w:r/>
      <w:bookmarkStart w:id="210" w:name="_Toc150774633"/>
      <w:r/>
      <w:bookmarkStart w:id="211" w:name="_Toc164229374"/>
      <w:r/>
      <w:bookmarkStart w:id="212" w:name="_Toc151193847"/>
      <w:r/>
      <w:bookmarkStart w:id="213" w:name="_Toc265228371"/>
      <w:r/>
      <w:bookmarkStart w:id="214" w:name="_Toc151190160"/>
      <w:r/>
      <w:bookmarkStart w:id="215" w:name="_Toc164608802"/>
      <w:r/>
      <w:bookmarkStart w:id="216" w:name="_Toc127161447"/>
      <w:r/>
      <w:bookmarkStart w:id="217" w:name="_Toc149720826"/>
      <w:r/>
      <w:bookmarkStart w:id="218" w:name="_Toc226309777"/>
      <w:r/>
      <w:bookmarkStart w:id="219" w:name="_Toc520356158"/>
      <w:r/>
      <w:bookmarkStart w:id="220" w:name="_Toc226965806"/>
      <w:r/>
      <w:bookmarkStart w:id="221" w:name="_Toc151193631"/>
      <w:r/>
      <w:bookmarkStart w:id="222" w:name="_Toc150774738"/>
      <w:r>
        <w:rPr>
          <w:rFonts w:hint="eastAsia" w:ascii="宋体" w:hAnsi="宋体" w:eastAsia="宋体" w:cs="宋体"/>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sz w:val="24"/>
        </w:rPr>
        <w:t xml:space="preserve">制作、密封与盖章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3" w:name="_Toc150774739"/>
      <w:r/>
      <w:bookmarkStart w:id="224" w:name="_Toc226965807"/>
      <w:r/>
      <w:bookmarkStart w:id="225" w:name="_Toc151193848"/>
      <w:r/>
      <w:bookmarkStart w:id="226" w:name="_Toc520356159"/>
      <w:r/>
      <w:bookmarkStart w:id="227" w:name="_Toc151193632"/>
      <w:r/>
      <w:bookmarkStart w:id="228" w:name="_Toc151193776"/>
      <w:r/>
      <w:bookmarkStart w:id="229" w:name="_Toc195842899"/>
      <w:r/>
      <w:bookmarkStart w:id="230" w:name="_Toc150509285"/>
      <w:r/>
      <w:bookmarkStart w:id="231" w:name="_Toc264969224"/>
      <w:r/>
      <w:bookmarkStart w:id="232" w:name="_Toc151193704"/>
      <w:r/>
      <w:bookmarkStart w:id="233" w:name="_Toc142311036"/>
      <w:r/>
      <w:bookmarkStart w:id="234" w:name="_Toc265228372"/>
      <w:r/>
      <w:bookmarkStart w:id="235" w:name="_Toc151193922"/>
      <w:r/>
      <w:bookmarkStart w:id="236" w:name="_Toc305158802"/>
      <w:r/>
      <w:bookmarkStart w:id="237" w:name="_Toc150480772"/>
      <w:r/>
      <w:bookmarkStart w:id="238" w:name="_Toc305158876"/>
      <w:r/>
      <w:bookmarkStart w:id="239" w:name="_Toc226965724"/>
      <w:r/>
      <w:bookmarkStart w:id="240" w:name="_Toc150774634"/>
      <w:r/>
      <w:bookmarkStart w:id="241" w:name="_Toc127151534"/>
      <w:r/>
      <w:bookmarkStart w:id="242" w:name="_Toc151190161"/>
      <w:r/>
      <w:bookmarkStart w:id="243" w:name="_Toc226337230"/>
      <w:r/>
      <w:bookmarkStart w:id="244" w:name="_Toc226309778"/>
      <w:r>
        <w:rPr>
          <w:rFonts w:hint="eastAsia" w:ascii="宋体" w:hAnsi="宋体" w:eastAsia="宋体" w:cs="宋体"/>
          <w:b/>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744"/>
        <w:numPr>
          <w:ilvl w:val="0"/>
          <w:numId w:val="4"/>
        </w:numPr>
        <w:jc w:val="left"/>
        <w:spacing w:line="360" w:lineRule="auto"/>
        <w:rPr>
          <w:rFonts w:hint="eastAsia" w:ascii="宋体" w:hAnsi="宋体" w:eastAsia="宋体" w:cs="宋体"/>
          <w:sz w:val="24"/>
        </w:rPr>
      </w:pPr>
      <w:r/>
      <w:bookmarkStart w:id="245" w:name="_Toc265228373"/>
      <w:r/>
      <w:bookmarkStart w:id="246" w:name="_Toc305158877"/>
      <w:r/>
      <w:bookmarkStart w:id="247" w:name="_Toc305158803"/>
      <w:r/>
      <w:bookmarkStart w:id="248" w:name="_Toc226965725"/>
      <w:r/>
      <w:bookmarkStart w:id="249" w:name="_Toc164351629"/>
      <w:r/>
      <w:bookmarkStart w:id="250" w:name="_Toc142311037"/>
      <w:r/>
      <w:bookmarkStart w:id="251" w:name="_Toc226337231"/>
      <w:r/>
      <w:bookmarkStart w:id="252" w:name="_Toc151193777"/>
      <w:r/>
      <w:bookmarkStart w:id="253" w:name="_Toc164229376"/>
      <w:r/>
      <w:bookmarkStart w:id="254" w:name="_Toc151193849"/>
      <w:r/>
      <w:bookmarkStart w:id="255" w:name="_Toc150774740"/>
      <w:r/>
      <w:bookmarkStart w:id="256" w:name="_Toc520356160"/>
      <w:r/>
      <w:bookmarkStart w:id="257" w:name="_Toc151193705"/>
      <w:r/>
      <w:bookmarkStart w:id="258" w:name="_Toc127161449"/>
      <w:r/>
      <w:bookmarkStart w:id="259" w:name="_Toc195842900"/>
      <w:r/>
      <w:bookmarkStart w:id="260" w:name="_Toc151190162"/>
      <w:r/>
      <w:bookmarkStart w:id="261" w:name="_Toc226965808"/>
      <w:r/>
      <w:bookmarkStart w:id="262" w:name="_Toc164229230"/>
      <w:r/>
      <w:bookmarkStart w:id="263" w:name="_Toc127151736"/>
      <w:r/>
      <w:bookmarkStart w:id="264" w:name="_Toc164608804"/>
      <w:r/>
      <w:bookmarkStart w:id="265" w:name="_Toc127151535"/>
      <w:r/>
      <w:bookmarkStart w:id="266" w:name="_Toc149720828"/>
      <w:r/>
      <w:bookmarkStart w:id="267" w:name="_Toc164608649"/>
      <w:r/>
      <w:bookmarkStart w:id="268" w:name="_Toc150480773"/>
      <w:r/>
      <w:bookmarkStart w:id="269" w:name="_Toc151193923"/>
      <w:r/>
      <w:bookmarkStart w:id="270" w:name="_Toc151193633"/>
      <w:r/>
      <w:bookmarkStart w:id="271" w:name="_Toc264969225"/>
      <w:r/>
      <w:bookmarkStart w:id="272" w:name="_Toc150509286"/>
      <w:r/>
      <w:bookmarkStart w:id="273" w:name="_Toc226309779"/>
      <w:r/>
      <w:bookmarkStart w:id="274" w:name="_Toc150774635"/>
      <w:r>
        <w:rPr>
          <w:rFonts w:hint="eastAsia" w:ascii="宋体" w:hAnsi="宋体" w:eastAsia="宋体" w:cs="宋体"/>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sz w:val="24"/>
        </w:rPr>
        <w:t xml:space="preserve">提交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744"/>
        <w:numPr>
          <w:ilvl w:val="0"/>
          <w:numId w:val="4"/>
        </w:numPr>
        <w:jc w:val="left"/>
        <w:spacing w:line="360" w:lineRule="auto"/>
        <w:rPr>
          <w:rFonts w:hint="eastAsia" w:ascii="宋体" w:hAnsi="宋体" w:eastAsia="宋体" w:cs="宋体"/>
          <w:sz w:val="24"/>
        </w:rPr>
      </w:pPr>
      <w:r/>
      <w:bookmarkStart w:id="275" w:name="_Toc164608805"/>
      <w:r/>
      <w:bookmarkStart w:id="276" w:name="_Toc164351630"/>
      <w:r/>
      <w:bookmarkStart w:id="277" w:name="_Toc151190163"/>
      <w:r/>
      <w:bookmarkStart w:id="278" w:name="_Toc164229231"/>
      <w:r/>
      <w:bookmarkStart w:id="279" w:name="_Toc150480774"/>
      <w:r/>
      <w:bookmarkStart w:id="280" w:name="_Toc226337232"/>
      <w:r/>
      <w:bookmarkStart w:id="281" w:name="_Toc151193706"/>
      <w:r/>
      <w:bookmarkStart w:id="282" w:name="_Toc226309780"/>
      <w:r/>
      <w:bookmarkStart w:id="283" w:name="_Toc151193924"/>
      <w:r/>
      <w:bookmarkStart w:id="284" w:name="_Toc164229377"/>
      <w:r/>
      <w:bookmarkStart w:id="285" w:name="_Toc150509287"/>
      <w:r/>
      <w:bookmarkStart w:id="286" w:name="_Toc195842901"/>
      <w:r/>
      <w:bookmarkStart w:id="287" w:name="_Toc127161450"/>
      <w:r/>
      <w:bookmarkStart w:id="288" w:name="_Toc520356161"/>
      <w:r/>
      <w:bookmarkStart w:id="289" w:name="_Toc164608650"/>
      <w:r/>
      <w:bookmarkStart w:id="290" w:name="_Toc265228374"/>
      <w:r/>
      <w:bookmarkStart w:id="291" w:name="_Toc150774741"/>
      <w:r/>
      <w:bookmarkStart w:id="292" w:name="_Toc151193634"/>
      <w:r/>
      <w:bookmarkStart w:id="293" w:name="_Toc151193778"/>
      <w:r/>
      <w:bookmarkStart w:id="294" w:name="_Toc127151737"/>
      <w:r/>
      <w:bookmarkStart w:id="295" w:name="_Toc226965726"/>
      <w:r/>
      <w:bookmarkStart w:id="296" w:name="_Toc305158804"/>
      <w:r/>
      <w:bookmarkStart w:id="297" w:name="_Toc150774636"/>
      <w:r/>
      <w:bookmarkStart w:id="298" w:name="_Toc305158878"/>
      <w:r/>
      <w:bookmarkStart w:id="299" w:name="_Toc226965809"/>
      <w:r/>
      <w:bookmarkStart w:id="300" w:name="_Toc151193850"/>
      <w:r/>
      <w:bookmarkStart w:id="301" w:name="_Toc142311038"/>
      <w:r/>
      <w:bookmarkStart w:id="302" w:name="_Toc149720829"/>
      <w:r/>
      <w:bookmarkStart w:id="303" w:name="_Toc264969226"/>
      <w:r/>
      <w:bookmarkStart w:id="304" w:name="_Toc127151536"/>
      <w:r>
        <w:rPr>
          <w:rFonts w:hint="eastAsia" w:ascii="宋体" w:hAnsi="宋体" w:eastAsia="宋体" w:cs="宋体"/>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sz w:val="24"/>
        </w:rPr>
        <w:t xml:space="preserve">时间</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744"/>
        <w:numPr>
          <w:ilvl w:val="0"/>
          <w:numId w:val="4"/>
        </w:numPr>
        <w:jc w:val="left"/>
        <w:spacing w:line="360" w:lineRule="auto"/>
        <w:rPr>
          <w:rFonts w:hint="eastAsia" w:ascii="宋体" w:hAnsi="宋体" w:eastAsia="宋体" w:cs="宋体"/>
          <w:sz w:val="24"/>
        </w:rPr>
      </w:pPr>
      <w:r/>
      <w:bookmarkStart w:id="305" w:name="_Toc149720830"/>
      <w:r/>
      <w:bookmarkStart w:id="306" w:name="_Toc164351631"/>
      <w:r/>
      <w:bookmarkStart w:id="307" w:name="_Toc127151738"/>
      <w:r/>
      <w:bookmarkStart w:id="308" w:name="_Toc150480775"/>
      <w:r/>
      <w:bookmarkStart w:id="309" w:name="_Toc164229232"/>
      <w:r/>
      <w:bookmarkStart w:id="310" w:name="_Toc142311039"/>
      <w:r/>
      <w:bookmarkStart w:id="311" w:name="_Toc164608806"/>
      <w:r/>
      <w:bookmarkStart w:id="312" w:name="_Toc127161451"/>
      <w:r/>
      <w:bookmarkStart w:id="313" w:name="_Toc305158805"/>
      <w:r/>
      <w:bookmarkStart w:id="314" w:name="_Toc226337233"/>
      <w:r/>
      <w:bookmarkStart w:id="315" w:name="_Toc520356162"/>
      <w:r/>
      <w:bookmarkStart w:id="316" w:name="_Toc164608651"/>
      <w:r/>
      <w:bookmarkStart w:id="317" w:name="_Toc150509288"/>
      <w:r/>
      <w:bookmarkStart w:id="318" w:name="_Toc151193635"/>
      <w:r/>
      <w:bookmarkStart w:id="319" w:name="_Toc265228375"/>
      <w:r/>
      <w:bookmarkStart w:id="320" w:name="_Toc151193707"/>
      <w:r/>
      <w:bookmarkStart w:id="321" w:name="_Toc150774742"/>
      <w:r/>
      <w:bookmarkStart w:id="322" w:name="_Toc226965727"/>
      <w:r/>
      <w:bookmarkStart w:id="323" w:name="_Toc195842902"/>
      <w:r/>
      <w:bookmarkStart w:id="324" w:name="_Toc164229378"/>
      <w:r/>
      <w:bookmarkStart w:id="325" w:name="_Toc127151537"/>
      <w:r/>
      <w:bookmarkStart w:id="326" w:name="_Toc151193925"/>
      <w:r/>
      <w:bookmarkStart w:id="327" w:name="_Toc151193779"/>
      <w:r/>
      <w:bookmarkStart w:id="328" w:name="_Toc151190164"/>
      <w:r/>
      <w:bookmarkStart w:id="329" w:name="_Toc305158879"/>
      <w:r/>
      <w:bookmarkStart w:id="330" w:name="_Toc226309781"/>
      <w:r/>
      <w:bookmarkStart w:id="331" w:name="_Toc226965810"/>
      <w:r/>
      <w:bookmarkStart w:id="332" w:name="_Toc150774637"/>
      <w:r/>
      <w:bookmarkStart w:id="333" w:name="_Toc264969227"/>
      <w:r/>
      <w:bookmarkStart w:id="334" w:name="_Toc151193851"/>
      <w:r>
        <w:rPr>
          <w:rFonts w:hint="eastAsia" w:ascii="宋体" w:hAnsi="宋体" w:eastAsia="宋体" w:cs="宋体"/>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5" w:name="_Toc264969228"/>
      <w:r/>
      <w:bookmarkStart w:id="336" w:name="_Toc151190165"/>
      <w:r/>
      <w:bookmarkStart w:id="337" w:name="_Toc305158806"/>
      <w:r/>
      <w:bookmarkStart w:id="338" w:name="_Toc127151538"/>
      <w:r/>
      <w:bookmarkStart w:id="339" w:name="_Toc150774743"/>
      <w:r/>
      <w:bookmarkStart w:id="340" w:name="_Toc226965811"/>
      <w:r/>
      <w:bookmarkStart w:id="341" w:name="_Toc226965728"/>
      <w:r/>
      <w:bookmarkStart w:id="342" w:name="_Toc265228376"/>
      <w:r/>
      <w:bookmarkStart w:id="343" w:name="_Toc150774638"/>
      <w:r/>
      <w:bookmarkStart w:id="344" w:name="_Toc226337234"/>
      <w:r/>
      <w:bookmarkStart w:id="345" w:name="_Toc150509289"/>
      <w:r/>
      <w:bookmarkStart w:id="346" w:name="_Toc150480776"/>
      <w:r/>
      <w:bookmarkStart w:id="347" w:name="_Toc305158880"/>
      <w:r/>
      <w:bookmarkStart w:id="348" w:name="_Toc151193780"/>
      <w:r/>
      <w:bookmarkStart w:id="349" w:name="_Toc151193636"/>
      <w:r/>
      <w:bookmarkStart w:id="350" w:name="_Toc151193852"/>
      <w:r/>
      <w:bookmarkStart w:id="351" w:name="_Toc226309782"/>
      <w:r/>
      <w:bookmarkStart w:id="352" w:name="_Toc520356163"/>
      <w:r/>
      <w:bookmarkStart w:id="353" w:name="_Toc142311040"/>
      <w:r/>
      <w:bookmarkStart w:id="354" w:name="_Toc195842903"/>
      <w:r/>
      <w:bookmarkStart w:id="355" w:name="_Toc151193708"/>
      <w:r/>
      <w:bookmarkStart w:id="356" w:name="_Toc15119392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rFonts w:hint="eastAsia" w:ascii="宋体" w:hAnsi="宋体" w:eastAsia="宋体" w:cs="宋体"/>
          <w:b/>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cs="宋体"/>
          <w:b/>
          <w:sz w:val="28"/>
          <w:szCs w:val="28"/>
        </w:rPr>
        <w:t xml:space="preserve">、开标、资格审查及评标</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744"/>
        <w:numPr>
          <w:ilvl w:val="0"/>
          <w:numId w:val="4"/>
        </w:numPr>
        <w:jc w:val="left"/>
        <w:spacing w:line="360" w:lineRule="auto"/>
        <w:rPr>
          <w:rFonts w:hint="eastAsia" w:ascii="宋体" w:hAnsi="宋体" w:eastAsia="宋体" w:cs="宋体"/>
          <w:sz w:val="24"/>
        </w:rPr>
      </w:pPr>
      <w:r/>
      <w:bookmarkStart w:id="357" w:name="_Toc305158808"/>
      <w:r/>
      <w:bookmarkStart w:id="358" w:name="_Toc226309784"/>
      <w:r/>
      <w:bookmarkStart w:id="359" w:name="_Toc164608654"/>
      <w:r/>
      <w:bookmarkStart w:id="360" w:name="_Toc226965730"/>
      <w:r/>
      <w:bookmarkStart w:id="361" w:name="_Toc150774745"/>
      <w:r/>
      <w:bookmarkStart w:id="362" w:name="_Toc226337236"/>
      <w:r/>
      <w:bookmarkStart w:id="363" w:name="_Toc142311042"/>
      <w:r/>
      <w:bookmarkStart w:id="364" w:name="_Toc151193928"/>
      <w:r/>
      <w:bookmarkStart w:id="365" w:name="_Toc164229381"/>
      <w:r/>
      <w:bookmarkStart w:id="366" w:name="_Toc265228378"/>
      <w:r/>
      <w:bookmarkStart w:id="367" w:name="_Toc151193638"/>
      <w:r/>
      <w:bookmarkStart w:id="368" w:name="_Toc195842905"/>
      <w:r/>
      <w:bookmarkStart w:id="369" w:name="_Toc164608809"/>
      <w:r/>
      <w:bookmarkStart w:id="370" w:name="_Toc264969230"/>
      <w:r/>
      <w:bookmarkStart w:id="371" w:name="_Toc226965813"/>
      <w:r/>
      <w:bookmarkStart w:id="372" w:name="_Toc150509291"/>
      <w:r/>
      <w:bookmarkStart w:id="373" w:name="_Toc151193710"/>
      <w:r/>
      <w:bookmarkStart w:id="374" w:name="_Toc151193782"/>
      <w:r/>
      <w:bookmarkStart w:id="375" w:name="_Toc150774640"/>
      <w:r/>
      <w:bookmarkStart w:id="376" w:name="_Toc127161454"/>
      <w:r/>
      <w:bookmarkStart w:id="377" w:name="_Toc164351634"/>
      <w:r/>
      <w:bookmarkStart w:id="378" w:name="_Toc127151540"/>
      <w:r/>
      <w:bookmarkStart w:id="379" w:name="_Toc164229235"/>
      <w:r/>
      <w:bookmarkStart w:id="380" w:name="_Toc305158882"/>
      <w:r/>
      <w:bookmarkStart w:id="381" w:name="_Toc151190167"/>
      <w:r/>
      <w:bookmarkStart w:id="382" w:name="_Toc149720833"/>
      <w:r/>
      <w:bookmarkStart w:id="383" w:name="_Toc127151741"/>
      <w:r/>
      <w:bookmarkStart w:id="384" w:name="_Toc150480778"/>
      <w:r/>
      <w:bookmarkStart w:id="385" w:name="_Toc151193854"/>
      <w:r>
        <w:rPr>
          <w:rFonts w:hint="eastAsia" w:ascii="宋体" w:hAnsi="宋体" w:eastAsia="宋体" w:cs="宋体"/>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6" w:name="_Toc520356169"/>
      <w:r/>
      <w:bookmarkStart w:id="387" w:name="_Toc226965735"/>
      <w:r/>
      <w:bookmarkStart w:id="388" w:name="_Toc305158887"/>
      <w:r/>
      <w:bookmarkStart w:id="389" w:name="_Toc150774645"/>
      <w:r/>
      <w:bookmarkStart w:id="390" w:name="_Toc151193715"/>
      <w:r/>
      <w:bookmarkStart w:id="391" w:name="_Toc305158813"/>
      <w:r/>
      <w:bookmarkStart w:id="392" w:name="_Toc226337241"/>
      <w:r/>
      <w:bookmarkStart w:id="393" w:name="_Toc151190172"/>
      <w:r/>
      <w:bookmarkStart w:id="394" w:name="_Toc151193643"/>
      <w:r/>
      <w:bookmarkStart w:id="395" w:name="_Toc150509296"/>
      <w:r/>
      <w:bookmarkStart w:id="396" w:name="_Toc265228383"/>
      <w:r/>
      <w:bookmarkStart w:id="397" w:name="_Toc151193933"/>
      <w:r/>
      <w:bookmarkStart w:id="398" w:name="_Toc264969235"/>
      <w:r/>
      <w:bookmarkStart w:id="399" w:name="_Toc150774750"/>
      <w:r/>
      <w:bookmarkStart w:id="400" w:name="_Toc127151545"/>
      <w:r/>
      <w:bookmarkStart w:id="401" w:name="_Toc226309789"/>
      <w:r/>
      <w:bookmarkStart w:id="402" w:name="_Toc150480783"/>
      <w:r/>
      <w:bookmarkStart w:id="403" w:name="_Toc142311047"/>
      <w:r/>
      <w:bookmarkStart w:id="404" w:name="_Toc195842910"/>
      <w:r/>
      <w:bookmarkStart w:id="405" w:name="_Toc226965818"/>
      <w:r/>
      <w:bookmarkStart w:id="406" w:name="_Toc151193787"/>
      <w:r/>
      <w:bookmarkStart w:id="407" w:name="_Toc151193859"/>
      <w:r>
        <w:rPr>
          <w:rFonts w:hint="eastAsia" w:ascii="宋体" w:hAnsi="宋体" w:eastAsia="宋体" w:cs="宋体"/>
          <w:b/>
          <w:sz w:val="28"/>
          <w:szCs w:val="28"/>
        </w:rPr>
        <w:t xml:space="preserve">六</w:t>
      </w:r>
      <w:bookmarkEnd w:id="386"/>
      <w:r>
        <w:rPr>
          <w:rFonts w:hint="eastAsia" w:ascii="宋体" w:hAnsi="宋体" w:eastAsia="宋体" w:cs="宋体"/>
          <w:b/>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sz w:val="28"/>
          <w:szCs w:val="28"/>
        </w:rPr>
        <w:t xml:space="preserve">中标</w:t>
      </w:r>
      <w:r/>
    </w:p>
    <w:p>
      <w:pPr>
        <w:pStyle w:val="744"/>
        <w:numPr>
          <w:ilvl w:val="0"/>
          <w:numId w:val="4"/>
        </w:numPr>
        <w:jc w:val="left"/>
        <w:spacing w:line="360" w:lineRule="auto"/>
        <w:rPr>
          <w:rFonts w:hint="eastAsia" w:ascii="宋体" w:hAnsi="宋体" w:eastAsia="宋体" w:cs="宋体"/>
          <w:sz w:val="24"/>
        </w:rPr>
      </w:pPr>
      <w:r/>
      <w:bookmarkStart w:id="408" w:name="_Toc226965737"/>
      <w:r/>
      <w:bookmarkStart w:id="409" w:name="_Toc264969237"/>
      <w:r/>
      <w:bookmarkStart w:id="410" w:name="_Toc226337243"/>
      <w:r/>
      <w:bookmarkStart w:id="411" w:name="_Toc142311049"/>
      <w:r/>
      <w:bookmarkStart w:id="412" w:name="_Toc164229388"/>
      <w:r/>
      <w:bookmarkStart w:id="413" w:name="_Toc305158815"/>
      <w:r/>
      <w:bookmarkStart w:id="414" w:name="_Toc151193645"/>
      <w:r/>
      <w:bookmarkStart w:id="415" w:name="_Toc151190174"/>
      <w:r/>
      <w:bookmarkStart w:id="416" w:name="_Toc151193717"/>
      <w:r/>
      <w:bookmarkStart w:id="417" w:name="_Toc150480785"/>
      <w:r/>
      <w:bookmarkStart w:id="418" w:name="_Toc164229242"/>
      <w:r/>
      <w:bookmarkStart w:id="419" w:name="_Toc150509298"/>
      <w:r/>
      <w:bookmarkStart w:id="420" w:name="_Toc150774752"/>
      <w:r/>
      <w:bookmarkStart w:id="421" w:name="_Toc164608661"/>
      <w:r/>
      <w:bookmarkStart w:id="422" w:name="_Toc151193789"/>
      <w:r/>
      <w:bookmarkStart w:id="423" w:name="_Toc127151547"/>
      <w:r/>
      <w:bookmarkStart w:id="424" w:name="_Toc195842912"/>
      <w:r/>
      <w:bookmarkStart w:id="425" w:name="_Toc226965820"/>
      <w:r/>
      <w:bookmarkStart w:id="426" w:name="_Toc127151748"/>
      <w:r/>
      <w:bookmarkStart w:id="427" w:name="_Toc226309791"/>
      <w:r/>
      <w:bookmarkStart w:id="428" w:name="_Toc127161461"/>
      <w:r/>
      <w:bookmarkStart w:id="429" w:name="_Toc164351641"/>
      <w:r/>
      <w:bookmarkStart w:id="430" w:name="_Toc151193861"/>
      <w:r/>
      <w:bookmarkStart w:id="431" w:name="_Toc305158889"/>
      <w:r/>
      <w:bookmarkStart w:id="432" w:name="_Toc151193935"/>
      <w:r/>
      <w:bookmarkStart w:id="433" w:name="_Toc149720840"/>
      <w:r/>
      <w:bookmarkStart w:id="434" w:name="_Toc150774647"/>
      <w:r/>
      <w:bookmarkStart w:id="435" w:name="_Toc164608816"/>
      <w:r/>
      <w:bookmarkStart w:id="436" w:name="_Toc265228385"/>
      <w:r>
        <w:rPr>
          <w:rFonts w:hint="eastAsia" w:ascii="宋体" w:hAnsi="宋体" w:eastAsia="宋体" w:cs="宋体"/>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sz w:val="24"/>
        </w:rPr>
        <w:t xml:space="preserve">中标人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744"/>
        <w:numPr>
          <w:ilvl w:val="0"/>
          <w:numId w:val="4"/>
        </w:numPr>
        <w:jc w:val="left"/>
        <w:spacing w:line="360" w:lineRule="auto"/>
        <w:rPr>
          <w:rFonts w:hint="eastAsia" w:ascii="宋体" w:hAnsi="宋体" w:eastAsia="宋体" w:cs="宋体"/>
          <w:sz w:val="24"/>
        </w:rPr>
      </w:pPr>
      <w:r/>
      <w:bookmarkStart w:id="437" w:name="_Toc305158817"/>
      <w:r/>
      <w:bookmarkStart w:id="438" w:name="_Toc305158891"/>
      <w:r>
        <w:rPr>
          <w:rFonts w:hint="eastAsia" w:ascii="宋体" w:hAnsi="宋体" w:eastAsia="宋体" w:cs="宋体"/>
          <w:sz w:val="24"/>
        </w:rPr>
        <w:t xml:space="preserve">中标公告与中标通知书</w:t>
      </w:r>
      <w:bookmarkEnd w:id="437"/>
      <w:r/>
      <w:bookmarkEnd w:id="438"/>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744"/>
        <w:numPr>
          <w:ilvl w:val="0"/>
          <w:numId w:val="4"/>
        </w:numPr>
        <w:jc w:val="left"/>
        <w:spacing w:line="360" w:lineRule="auto"/>
        <w:rPr>
          <w:rFonts w:hint="eastAsia" w:ascii="宋体" w:hAnsi="宋体" w:eastAsia="宋体" w:cs="宋体"/>
          <w:sz w:val="24"/>
        </w:rPr>
      </w:pPr>
      <w:r/>
      <w:bookmarkStart w:id="439" w:name="_Toc164351644"/>
      <w:r/>
      <w:bookmarkStart w:id="440" w:name="_Toc150774650"/>
      <w:r/>
      <w:bookmarkStart w:id="441" w:name="_Ref467306377"/>
      <w:r/>
      <w:bookmarkStart w:id="442" w:name="_Ref467307062"/>
      <w:r/>
      <w:bookmarkStart w:id="443" w:name="_Toc226965740"/>
      <w:r/>
      <w:bookmarkStart w:id="444" w:name="_Toc149720843"/>
      <w:r/>
      <w:bookmarkStart w:id="445" w:name="_Toc305158892"/>
      <w:r/>
      <w:bookmarkStart w:id="446" w:name="_Toc150480788"/>
      <w:r/>
      <w:bookmarkStart w:id="447" w:name="_Toc164229391"/>
      <w:r/>
      <w:bookmarkStart w:id="448" w:name="_Toc151193938"/>
      <w:r/>
      <w:bookmarkStart w:id="449" w:name="_Toc151193648"/>
      <w:r/>
      <w:bookmarkStart w:id="450" w:name="_Toc264969240"/>
      <w:r/>
      <w:bookmarkStart w:id="451" w:name="_Ref467306978"/>
      <w:r/>
      <w:bookmarkStart w:id="452" w:name="_Toc127151751"/>
      <w:r/>
      <w:bookmarkStart w:id="453" w:name="_Toc142311052"/>
      <w:r/>
      <w:bookmarkStart w:id="454" w:name="_Ref467307204"/>
      <w:r/>
      <w:bookmarkStart w:id="455" w:name="_Toc150774755"/>
      <w:r/>
      <w:bookmarkStart w:id="456" w:name="_Toc151190177"/>
      <w:r/>
      <w:bookmarkStart w:id="457" w:name="_Toc127161464"/>
      <w:r/>
      <w:bookmarkStart w:id="458" w:name="_Toc151193720"/>
      <w:r/>
      <w:bookmarkStart w:id="459" w:name="_Toc195842915"/>
      <w:r/>
      <w:bookmarkStart w:id="460" w:name="_Toc305158818"/>
      <w:r/>
      <w:bookmarkStart w:id="461" w:name="_Toc265228388"/>
      <w:r/>
      <w:bookmarkStart w:id="462" w:name="_Toc226337246"/>
      <w:r/>
      <w:bookmarkStart w:id="463" w:name="_Toc151193792"/>
      <w:r/>
      <w:bookmarkStart w:id="464" w:name="_Toc127151550"/>
      <w:r/>
      <w:bookmarkStart w:id="465" w:name="_Toc520356175"/>
      <w:r/>
      <w:bookmarkStart w:id="466" w:name="_Toc151193864"/>
      <w:r/>
      <w:bookmarkStart w:id="467" w:name="_Toc226309794"/>
      <w:r/>
      <w:bookmarkStart w:id="468" w:name="_Toc164229245"/>
      <w:r/>
      <w:bookmarkStart w:id="469" w:name="_Toc164608819"/>
      <w:r/>
      <w:bookmarkStart w:id="470" w:name="_Toc150509301"/>
      <w:r/>
      <w:bookmarkStart w:id="471" w:name="_Toc164608664"/>
      <w:r/>
      <w:bookmarkStart w:id="472" w:name="_Toc226965823"/>
      <w:r>
        <w:rPr>
          <w:rFonts w:hint="eastAsia" w:ascii="宋体" w:hAnsi="宋体" w:eastAsia="宋体" w:cs="宋体"/>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3" w:name="_Hlt100654014"/>
        <w:r>
          <w:rPr>
            <w:rFonts w:hint="eastAsia" w:ascii="宋体" w:hAnsi="宋体" w:eastAsia="宋体" w:cs="宋体"/>
            <w:sz w:val="24"/>
          </w:rPr>
          <w:t xml:space="preserve">s</w:t>
        </w:r>
        <w:bookmarkEnd w:id="473"/>
        <w:r>
          <w:rPr>
            <w:rFonts w:hint="eastAsia" w:ascii="宋体" w:hAnsi="宋体" w:eastAsia="宋体" w:cs="宋体"/>
            <w:sz w:val="24"/>
          </w:rPr>
          <w:t xml:space="preserve">.m</w:t>
        </w:r>
        <w:bookmarkStart w:id="474" w:name="_Hlt100653993"/>
        <w:bookmarkStart w:id="475" w:name="_Hlt100653994"/>
        <w:r>
          <w:rPr>
            <w:rFonts w:hint="eastAsia" w:ascii="宋体" w:hAnsi="宋体" w:eastAsia="宋体" w:cs="宋体"/>
            <w:sz w:val="24"/>
          </w:rPr>
          <w:t xml:space="preserve">o</w:t>
        </w:r>
        <w:bookmarkStart w:id="476" w:name="_Hlt101169156"/>
        <w:bookmarkEnd w:id="474"/>
        <w:bookmarkEnd w:id="475"/>
        <w:r>
          <w:rPr>
            <w:rFonts w:hint="eastAsia" w:ascii="宋体" w:hAnsi="宋体" w:eastAsia="宋体" w:cs="宋体"/>
            <w:sz w:val="24"/>
          </w:rPr>
          <w:t xml:space="preserve">f</w:t>
        </w:r>
        <w:bookmarkEnd w:id="476"/>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744"/>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05"/>
        <w:ind w:left="343" w:hanging="343"/>
        <w:rPr>
          <w:rFonts w:hint="eastAsia" w:ascii="宋体" w:hAnsi="宋体" w:eastAsia="宋体" w:cs="宋体"/>
        </w:rPr>
      </w:pPr>
      <w:r/>
      <w:bookmarkStart w:id="477" w:name="_Toc29623"/>
      <w:r/>
      <w:bookmarkStart w:id="478" w:name="_Toc104818927"/>
      <w:r>
        <w:rPr>
          <w:rFonts w:hint="eastAsia" w:ascii="宋体" w:hAnsi="宋体" w:eastAsia="宋体" w:cs="宋体"/>
        </w:rPr>
        <w:t xml:space="preserve">第三章 资格审查</w:t>
      </w:r>
      <w:bookmarkEnd w:id="477"/>
      <w:r/>
      <w:r/>
    </w:p>
    <w:p>
      <w:pPr>
        <w:ind w:left="229" w:hanging="229"/>
        <w:jc w:val="center"/>
        <w:spacing w:line="360" w:lineRule="auto"/>
        <w:rPr>
          <w:rFonts w:hint="eastAsia" w:ascii="宋体" w:hAnsi="宋体" w:eastAsia="宋体" w:cs="宋体"/>
          <w:b/>
          <w:sz w:val="24"/>
          <w:szCs w:val="24"/>
        </w:rPr>
      </w:pPr>
      <w:r/>
      <w:bookmarkStart w:id="479" w:name="_Toc99301422"/>
      <w:r>
        <w:rPr>
          <w:rFonts w:hint="eastAsia" w:ascii="宋体" w:hAnsi="宋体" w:eastAsia="宋体" w:cs="宋体"/>
          <w:b/>
          <w:sz w:val="24"/>
          <w:szCs w:val="24"/>
        </w:rPr>
        <w:t xml:space="preserve">一、资格审查程序</w:t>
      </w:r>
      <w:bookmarkEnd w:id="479"/>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Theme="minorEastAsia" w:hAnsiTheme="minorEastAsia"/>
                <w:szCs w:val="21"/>
              </w:rPr>
              <w:t xml:space="preserve">本项目的特定资格要求</w:t>
            </w:r>
            <w:r/>
          </w:p>
        </w:tc>
        <w:tc>
          <w:tcPr>
            <w:tcW w:w="2330" w:type="pct"/>
            <w:vAlign w:val="center"/>
            <w:textDirection w:val="lrTb"/>
            <w:noWrap w:val="false"/>
          </w:tcPr>
          <w:p>
            <w:pPr>
              <w:ind w:left="199" w:hanging="199"/>
              <w:rPr>
                <w:rFonts w:hint="eastAsia" w:asciiTheme="minorEastAsia" w:hAnsiTheme="minorEastAsia"/>
                <w:szCs w:val="21"/>
              </w:rPr>
            </w:pPr>
            <w:r>
              <w:rPr>
                <w:rFonts w:hint="eastAsia" w:asciiTheme="minorEastAsia" w:hAnsiTheme="minorEastAsia"/>
                <w:szCs w:val="21"/>
              </w:rPr>
              <w:t xml:space="preserve">A投标人具有环保工程专业承包三级及以上资质；</w:t>
            </w:r>
            <w:r/>
          </w:p>
          <w:p>
            <w:pPr>
              <w:ind w:left="199" w:hanging="199"/>
              <w:rPr>
                <w:rFonts w:hint="eastAsia" w:ascii="宋体" w:hAnsi="宋体" w:eastAsia="宋体" w:cs="宋体"/>
                <w:szCs w:val="21"/>
              </w:rPr>
            </w:pPr>
            <w:r>
              <w:rPr>
                <w:rFonts w:hint="eastAsia" w:asciiTheme="minorEastAsia" w:hAnsiTheme="minorEastAsia"/>
                <w:szCs w:val="21"/>
              </w:rPr>
              <w:t xml:space="preserve">B 投标人具有</w:t>
            </w:r>
            <w:r>
              <w:rPr>
                <w:rFonts w:hint="eastAsia" w:asciiTheme="minorEastAsia" w:hAnsiTheme="minorEastAsia"/>
                <w:szCs w:val="21"/>
              </w:rPr>
              <w:t xml:space="preserve">有效的</w:t>
            </w:r>
            <w:r>
              <w:rPr>
                <w:rFonts w:hint="eastAsia" w:asciiTheme="minorEastAsia" w:hAnsiTheme="minorEastAsia"/>
                <w:szCs w:val="21"/>
              </w:rPr>
              <w:t xml:space="preserve">安全生产许可证。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提供扫描件加盖公章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ind w:left="343" w:hanging="343"/>
        <w:rPr>
          <w:rFonts w:hint="eastAsia" w:ascii="宋体" w:hAnsi="宋体" w:eastAsia="宋体" w:cs="宋体"/>
        </w:rPr>
      </w:pPr>
      <w:r/>
      <w:bookmarkStart w:id="480" w:name="_Toc861"/>
      <w:r>
        <w:rPr>
          <w:rFonts w:hint="eastAsia" w:ascii="宋体" w:hAnsi="宋体" w:eastAsia="宋体" w:cs="宋体"/>
        </w:rPr>
        <w:t xml:space="preserve">第四章 评标程序、评标方法和评标标准</w:t>
      </w:r>
      <w:bookmarkEnd w:id="478"/>
      <w:r/>
      <w:bookmarkEnd w:id="480"/>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744"/>
        <w:numPr>
          <w:ilvl w:val="0"/>
          <w:numId w:val="6"/>
        </w:numPr>
        <w:jc w:val="left"/>
        <w:spacing w:line="360" w:lineRule="auto"/>
        <w:rPr>
          <w:rFonts w:hint="eastAsia" w:ascii="宋体" w:hAnsi="宋体" w:eastAsia="宋体" w:cs="宋体"/>
          <w:sz w:val="24"/>
        </w:rPr>
      </w:pPr>
      <w:r/>
      <w:bookmarkStart w:id="481" w:name="_Toc127151742"/>
      <w:r/>
      <w:bookmarkStart w:id="482" w:name="_Toc127161455"/>
      <w:r/>
      <w:bookmarkStart w:id="483" w:name="_Toc151193783"/>
      <w:r/>
      <w:bookmarkStart w:id="484" w:name="_Toc151193855"/>
      <w:r/>
      <w:bookmarkStart w:id="485" w:name="_Toc305158883"/>
      <w:r/>
      <w:bookmarkStart w:id="486" w:name="_Toc195842906"/>
      <w:r/>
      <w:bookmarkStart w:id="487" w:name="_Toc264969231"/>
      <w:r/>
      <w:bookmarkStart w:id="488" w:name="_Toc226309785"/>
      <w:r/>
      <w:bookmarkStart w:id="489" w:name="_Toc226337237"/>
      <w:r/>
      <w:bookmarkStart w:id="490" w:name="_Toc142311043"/>
      <w:r/>
      <w:bookmarkStart w:id="491" w:name="_Toc151193639"/>
      <w:r/>
      <w:bookmarkStart w:id="492" w:name="_Toc150774746"/>
      <w:r/>
      <w:bookmarkStart w:id="493" w:name="_Toc164608655"/>
      <w:r/>
      <w:bookmarkStart w:id="494" w:name="_Toc164229236"/>
      <w:r/>
      <w:bookmarkStart w:id="495" w:name="_Toc149720834"/>
      <w:r/>
      <w:bookmarkStart w:id="496" w:name="_Toc150509292"/>
      <w:r/>
      <w:bookmarkStart w:id="497" w:name="_Toc151193929"/>
      <w:r/>
      <w:bookmarkStart w:id="498" w:name="_Toc150774641"/>
      <w:r/>
      <w:bookmarkStart w:id="499" w:name="_Toc150480779"/>
      <w:r/>
      <w:bookmarkStart w:id="500" w:name="_Toc265228379"/>
      <w:r/>
      <w:bookmarkStart w:id="501" w:name="_Toc151190168"/>
      <w:r/>
      <w:bookmarkStart w:id="502" w:name="_Toc127151541"/>
      <w:r/>
      <w:bookmarkStart w:id="503" w:name="_Toc164608810"/>
      <w:r/>
      <w:bookmarkStart w:id="504" w:name="_Toc151193711"/>
      <w:r/>
      <w:bookmarkStart w:id="505" w:name="_Toc164351635"/>
      <w:r/>
      <w:bookmarkStart w:id="506" w:name="_Toc305158809"/>
      <w:r/>
      <w:bookmarkStart w:id="507" w:name="_Toc164229382"/>
      <w:r/>
      <w:bookmarkStart w:id="508" w:name="_Toc226965731"/>
      <w:r/>
      <w:bookmarkStart w:id="509" w:name="_Toc226965814"/>
      <w:r>
        <w:rPr>
          <w:rFonts w:hint="eastAsia" w:ascii="宋体" w:hAnsi="宋体" w:eastAsia="宋体" w:cs="宋体"/>
          <w:sz w:val="24"/>
        </w:rPr>
        <w:t xml:space="preserve">投标文件的符合性审查</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还需提供：分项报价表、合同条款偏离表，采购需求偏离表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招标文件不接受进口产品投标的内容时，投标人所投产品非进口产品的；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744"/>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44"/>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744"/>
        <w:numPr>
          <w:ilvl w:val="0"/>
          <w:numId w:val="6"/>
        </w:numPr>
        <w:jc w:val="left"/>
        <w:spacing w:line="360" w:lineRule="auto"/>
        <w:rPr>
          <w:rFonts w:hint="eastAsia" w:ascii="宋体" w:hAnsi="宋体" w:eastAsia="宋体" w:cs="宋体"/>
          <w:sz w:val="24"/>
        </w:rPr>
      </w:pPr>
      <w:r/>
      <w:bookmarkStart w:id="510" w:name="_Hlk159067375"/>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bookmarkEnd w:id="510"/>
      <w:r/>
      <w:r/>
    </w:p>
    <w:p>
      <w:pPr>
        <w:pStyle w:val="744"/>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44"/>
        <w:numPr>
          <w:ilvl w:val="0"/>
          <w:numId w:val="7"/>
        </w:numPr>
        <w:ind w:firstLine="0"/>
        <w:jc w:val="left"/>
        <w:spacing w:line="360" w:lineRule="auto"/>
        <w:rPr>
          <w:rFonts w:hint="eastAsia" w:ascii="宋体" w:hAnsi="宋体" w:eastAsia="宋体" w:cs="宋体"/>
          <w:b/>
          <w:sz w:val="28"/>
          <w:szCs w:val="28"/>
        </w:rPr>
      </w:pPr>
      <w:r/>
      <w:bookmarkStart w:id="511" w:name="_Toc104818929"/>
      <w:r>
        <w:rPr>
          <w:rFonts w:hint="eastAsia" w:ascii="宋体" w:hAnsi="宋体" w:eastAsia="宋体" w:cs="宋体"/>
          <w:b/>
          <w:sz w:val="28"/>
          <w:szCs w:val="28"/>
        </w:rPr>
        <w:t xml:space="preserve">评标标准</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96"/>
        <w:gridCol w:w="756"/>
        <w:gridCol w:w="6271"/>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96"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75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6271"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r>
      <w:tr>
        <w:trPr>
          <w:jc w:val="center"/>
          <w:trHeight w:val="397"/>
        </w:trPr>
        <w:tc>
          <w:tcPr>
            <w:gridSpan w:val="4"/>
            <w:tcW w:w="9072"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w:t>
            </w:r>
            <w:r>
              <w:rPr>
                <w:rFonts w:hint="eastAsia" w:ascii="宋体" w:hAnsi="宋体" w:cs="宋体"/>
                <w:b/>
                <w:bCs/>
                <w:sz w:val="24"/>
              </w:rPr>
              <w:t xml:space="preserve">25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报价</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cs="宋体"/>
                <w:sz w:val="24"/>
              </w:rPr>
              <w:t xml:space="preserve">25</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jc w:val="left"/>
              <w:widowControl/>
              <w:rPr>
                <w:rFonts w:hint="eastAsia" w:ascii="宋体" w:hAnsi="宋体" w:cs="宋体"/>
                <w:sz w:val="24"/>
              </w:rPr>
            </w:pPr>
            <w:r>
              <w:rPr>
                <w:rFonts w:hint="eastAsia" w:ascii="宋体" w:hAnsi="宋体" w:cs="宋体"/>
                <w:sz w:val="24"/>
              </w:rPr>
              <w:t xml:space="preserve">投标报价得分＝（评标基准价/投标报价）×分值。</w:t>
            </w:r>
            <w:r/>
          </w:p>
          <w:p>
            <w:pPr>
              <w:jc w:val="left"/>
              <w:widowControl/>
              <w:rPr>
                <w:rFonts w:hint="eastAsia" w:ascii="宋体" w:hAnsi="宋体" w:cs="宋体"/>
                <w:sz w:val="24"/>
              </w:rPr>
            </w:pPr>
            <w:r>
              <w:rPr>
                <w:rFonts w:hint="eastAsia" w:ascii="宋体" w:hAnsi="宋体" w:cs="宋体"/>
                <w:sz w:val="24"/>
              </w:rPr>
              <w:t xml:space="preserve">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（二）技术分（</w:t>
            </w:r>
            <w:r>
              <w:rPr>
                <w:rFonts w:hint="eastAsia" w:ascii="宋体" w:hAnsi="宋体" w:cs="宋体"/>
                <w:b/>
                <w:bCs/>
                <w:sz w:val="24"/>
              </w:rPr>
              <w:t xml:space="preserve">45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污水处理</w:t>
            </w:r>
            <w:r>
              <w:rPr>
                <w:rFonts w:ascii="宋体" w:hAnsi="宋体" w:eastAsia="宋体" w:cs="宋体"/>
                <w:sz w:val="24"/>
              </w:rPr>
              <w:t xml:space="preserve">技术方案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1</w:t>
            </w:r>
            <w:r>
              <w:rPr>
                <w:rFonts w:hint="eastAsia" w:ascii="宋体" w:hAnsi="宋体" w:eastAsia="宋体" w:cs="宋体"/>
                <w:sz w:val="24"/>
              </w:rPr>
              <w:t xml:space="preserve">6</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1、污水处理站出水排放标准描述明确，且符合采购文件要求的，方案科学合理、操作性强得</w:t>
            </w:r>
            <w:r>
              <w:rPr>
                <w:rFonts w:hint="eastAsia" w:ascii="宋体" w:hAnsi="宋体" w:eastAsia="宋体" w:cs="宋体"/>
                <w:sz w:val="24"/>
              </w:rPr>
              <w:t xml:space="preserve">4</w:t>
            </w:r>
            <w:r>
              <w:rPr>
                <w:rFonts w:hint="eastAsia" w:ascii="宋体" w:hAnsi="宋体" w:eastAsia="宋体" w:cs="宋体"/>
                <w:sz w:val="24"/>
              </w:rPr>
              <w:t xml:space="preserve">分，方案较科学较合理、操作性较强得2分，方案一般得1分，其他不得分。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2、污水处理站处理水量描述明确，且符合采购文件要求的，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hint="eastAsia" w:ascii="宋体" w:hAnsi="宋体" w:eastAsia="宋体" w:cs="宋体"/>
                <w:sz w:val="24"/>
              </w:rPr>
              <w:t xml:space="preserve">3、污水处理工艺流程描述明确，且有工艺流程说明的，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分，方案较科学较合理、操作性较强得2分，方案一般得1分，其他不得分。</w:t>
            </w:r>
            <w:r/>
          </w:p>
          <w:p>
            <w:pPr>
              <w:jc w:val="left"/>
              <w:widowControl/>
              <w:rPr>
                <w:rFonts w:hint="eastAsia" w:ascii="宋体" w:hAnsi="宋体" w:cs="宋体"/>
                <w:sz w:val="24"/>
              </w:rPr>
            </w:pPr>
            <w:r>
              <w:rPr>
                <w:rFonts w:hint="eastAsia" w:ascii="宋体" w:hAnsi="宋体" w:eastAsia="宋体" w:cs="宋体"/>
                <w:sz w:val="24"/>
              </w:rPr>
              <w:t xml:space="preserve">4、有污水处理单元（包括排放口增设加压泵和阀门）及设计参数的明确描述说明的，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污水站应急预案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应急预案科学合理、内容完整，操作性强得</w:t>
            </w:r>
            <w:r>
              <w:rPr>
                <w:rFonts w:hint="eastAsia" w:ascii="宋体" w:hAnsi="宋体" w:eastAsia="宋体" w:cs="宋体"/>
                <w:sz w:val="24"/>
              </w:rPr>
              <w:t xml:space="preserve">7</w:t>
            </w:r>
            <w:r>
              <w:rPr>
                <w:rFonts w:ascii="宋体" w:hAnsi="宋体" w:eastAsia="宋体" w:cs="宋体"/>
                <w:sz w:val="24"/>
              </w:rPr>
              <w:t xml:space="preserve"> 分；应急预案较科学合理、内容较完整，操作性较强得</w:t>
            </w:r>
            <w:r>
              <w:rPr>
                <w:rFonts w:hint="eastAsia" w:ascii="宋体" w:hAnsi="宋体" w:eastAsia="宋体" w:cs="宋体"/>
                <w:sz w:val="24"/>
              </w:rPr>
              <w:t xml:space="preserve">5</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基本科学合理且具有基本操作性得</w:t>
            </w:r>
            <w:r>
              <w:rPr>
                <w:rFonts w:hint="eastAsia" w:ascii="宋体" w:hAnsi="宋体" w:eastAsia="宋体" w:cs="宋体"/>
                <w:sz w:val="24"/>
              </w:rPr>
              <w:t xml:space="preserve">3</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污水检测方案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1、说明分析COD的检测方案的，</w:t>
            </w:r>
            <w:r>
              <w:rPr>
                <w:rFonts w:ascii="宋体" w:hAnsi="宋体" w:eastAsia="宋体" w:cs="宋体"/>
                <w:sz w:val="24"/>
              </w:rPr>
              <w:t xml:space="preserve">方案科学合理、操作性强</w:t>
            </w:r>
            <w:r>
              <w:rPr>
                <w:rFonts w:hint="eastAsia" w:ascii="宋体" w:hAnsi="宋体" w:eastAsia="宋体" w:cs="宋体"/>
                <w:sz w:val="24"/>
              </w:rPr>
              <w:t xml:space="preserve">得3分，</w:t>
            </w:r>
            <w:r>
              <w:rPr>
                <w:rFonts w:ascii="宋体" w:hAnsi="宋体" w:eastAsia="宋体" w:cs="宋体"/>
                <w:sz w:val="24"/>
              </w:rPr>
              <w:t xml:space="preserve">方案较科学较合理、操作性较强</w:t>
            </w:r>
            <w:r>
              <w:rPr>
                <w:rFonts w:hint="eastAsia" w:ascii="宋体" w:hAnsi="宋体" w:eastAsia="宋体" w:cs="宋体"/>
                <w:sz w:val="24"/>
              </w:rPr>
              <w:t xml:space="preserve">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2、说明分析PH的检测方案的，</w:t>
            </w:r>
            <w:r>
              <w:rPr>
                <w:rFonts w:ascii="宋体" w:hAnsi="宋体" w:eastAsia="宋体" w:cs="宋体"/>
                <w:sz w:val="24"/>
              </w:rPr>
              <w:t xml:space="preserve">方案科学合理、操作性强得</w:t>
            </w:r>
            <w:r>
              <w:rPr>
                <w:rFonts w:hint="eastAsia" w:ascii="宋体" w:hAnsi="宋体" w:eastAsia="宋体" w:cs="宋体"/>
                <w:sz w:val="24"/>
              </w:rPr>
              <w:t xml:space="preserve">2</w:t>
            </w:r>
            <w:r>
              <w:rPr>
                <w:rFonts w:ascii="宋体" w:hAnsi="宋体" w:eastAsia="宋体" w:cs="宋体"/>
                <w:sz w:val="24"/>
              </w:rPr>
              <w:t xml:space="preserve">分，方案较科学较合理、操作性较强得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ascii="宋体" w:hAnsi="宋体" w:eastAsia="宋体" w:cs="宋体"/>
                <w:sz w:val="24"/>
              </w:rPr>
              <w:t xml:space="preserve">3、说明分析余氯的检测方案的，方案优具有操作性得</w:t>
            </w:r>
            <w:r>
              <w:rPr>
                <w:rFonts w:hint="eastAsia" w:ascii="宋体" w:hAnsi="宋体" w:eastAsia="宋体" w:cs="宋体"/>
                <w:sz w:val="24"/>
              </w:rPr>
              <w:t xml:space="preserve">2</w:t>
            </w:r>
            <w:r>
              <w:rPr>
                <w:rFonts w:ascii="宋体" w:hAnsi="宋体" w:eastAsia="宋体" w:cs="宋体"/>
                <w:sz w:val="24"/>
              </w:rPr>
              <w:t xml:space="preserve">分，方案较好得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cs="宋体"/>
                <w:sz w:val="24"/>
              </w:rPr>
              <w:t xml:space="preserve">培训方案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培训方案科学合理、内容完整，操作性强得</w:t>
            </w:r>
            <w:r>
              <w:rPr>
                <w:rFonts w:hint="eastAsia" w:ascii="宋体" w:hAnsi="宋体" w:eastAsia="宋体" w:cs="宋体"/>
                <w:sz w:val="24"/>
              </w:rPr>
              <w:t xml:space="preserve">5</w:t>
            </w:r>
            <w:r>
              <w:rPr>
                <w:rFonts w:ascii="宋体" w:hAnsi="宋体" w:eastAsia="宋体" w:cs="宋体"/>
                <w:sz w:val="24"/>
              </w:rPr>
              <w:t xml:space="preserve">分；培训方案较科学合理、内容较完整，操作性较强得</w:t>
            </w:r>
            <w:r>
              <w:rPr>
                <w:rFonts w:hint="eastAsia" w:ascii="宋体" w:hAnsi="宋体" w:eastAsia="宋体" w:cs="宋体"/>
                <w:sz w:val="24"/>
              </w:rPr>
              <w:t xml:space="preserve">4</w:t>
            </w:r>
            <w:r>
              <w:rPr>
                <w:rFonts w:ascii="宋体" w:hAnsi="宋体" w:eastAsia="宋体" w:cs="宋体"/>
                <w:sz w:val="24"/>
              </w:rPr>
              <w:t xml:space="preserve">分；</w:t>
            </w:r>
            <w:r>
              <w:rPr>
                <w:rFonts w:hint="eastAsia" w:ascii="宋体" w:hAnsi="宋体" w:eastAsia="宋体" w:cs="宋体"/>
                <w:sz w:val="24"/>
              </w:rPr>
              <w:t xml:space="preserve">培训方</w:t>
            </w:r>
            <w:r>
              <w:rPr>
                <w:rFonts w:hint="eastAsia" w:ascii="宋体" w:hAnsi="宋体" w:eastAsia="宋体" w:cs="宋体"/>
                <w:sz w:val="24"/>
              </w:rPr>
              <w:t xml:space="preserve">案</w:t>
            </w:r>
            <w:r>
              <w:rPr>
                <w:rFonts w:ascii="宋体" w:hAnsi="宋体" w:eastAsia="宋体" w:cs="宋体"/>
                <w:sz w:val="24"/>
              </w:rPr>
              <w:t xml:space="preserve">基本科学合理且具有基本操作性得</w:t>
            </w:r>
            <w:r>
              <w:rPr>
                <w:rFonts w:hint="eastAsia" w:ascii="宋体" w:hAnsi="宋体" w:eastAsia="宋体" w:cs="宋体"/>
                <w:sz w:val="24"/>
              </w:rPr>
              <w:t xml:space="preserve">2</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培训方案内容简单但基本完整，操作性一般得1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运维管理方案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有完善的运维管理方案及配套表样的，方案及表样科学合理具有操作性得</w:t>
            </w:r>
            <w:r>
              <w:rPr>
                <w:rFonts w:hint="eastAsia" w:ascii="宋体" w:hAnsi="宋体" w:eastAsia="宋体" w:cs="宋体"/>
                <w:sz w:val="24"/>
              </w:rPr>
              <w:t xml:space="preserve">5</w:t>
            </w:r>
            <w:r>
              <w:rPr>
                <w:rFonts w:ascii="宋体" w:hAnsi="宋体" w:eastAsia="宋体" w:cs="宋体"/>
                <w:sz w:val="24"/>
              </w:rPr>
              <w:t xml:space="preserve">分；方案及表样较科学合理且具有一定操作性得</w:t>
            </w:r>
            <w:r>
              <w:rPr>
                <w:rFonts w:hint="eastAsia" w:ascii="宋体" w:hAnsi="宋体" w:eastAsia="宋体" w:cs="宋体"/>
                <w:sz w:val="24"/>
              </w:rPr>
              <w:t xml:space="preserve">4</w:t>
            </w:r>
            <w:r>
              <w:rPr>
                <w:rFonts w:ascii="宋体" w:hAnsi="宋体" w:eastAsia="宋体" w:cs="宋体"/>
                <w:sz w:val="24"/>
              </w:rPr>
              <w:t xml:space="preserve">分；方案及表样基本科学合理且具有基本操作性得</w:t>
            </w:r>
            <w:r>
              <w:rPr>
                <w:rFonts w:hint="eastAsia" w:ascii="宋体" w:hAnsi="宋体" w:eastAsia="宋体" w:cs="宋体"/>
                <w:sz w:val="24"/>
              </w:rPr>
              <w:t xml:space="preserve">2</w:t>
            </w:r>
            <w:r>
              <w:rPr>
                <w:rFonts w:ascii="宋体" w:hAnsi="宋体" w:eastAsia="宋体" w:cs="宋体"/>
                <w:sz w:val="24"/>
              </w:rPr>
              <w:t xml:space="preserve">分，方案及表样简单得1分；不提供不得分。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优惠条款或承诺</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根据供应商提供的优惠条款或承诺，经评委会认定确有价值的得</w:t>
            </w:r>
            <w:r>
              <w:rPr>
                <w:rFonts w:hint="eastAsia" w:ascii="宋体" w:hAnsi="宋体" w:eastAsia="宋体" w:cs="宋体"/>
                <w:sz w:val="24"/>
              </w:rPr>
              <w:t xml:space="preserve">5</w:t>
            </w:r>
            <w:r>
              <w:rPr>
                <w:rFonts w:ascii="宋体" w:hAnsi="宋体" w:eastAsia="宋体" w:cs="宋体"/>
                <w:sz w:val="24"/>
              </w:rPr>
              <w:t xml:space="preserve">分，比较有价值的得</w:t>
            </w:r>
            <w:r>
              <w:rPr>
                <w:rFonts w:hint="eastAsia" w:ascii="宋体" w:hAnsi="宋体" w:eastAsia="宋体" w:cs="宋体"/>
                <w:sz w:val="24"/>
              </w:rPr>
              <w:t xml:space="preserve">3</w:t>
            </w:r>
            <w:r>
              <w:rPr>
                <w:rFonts w:ascii="宋体" w:hAnsi="宋体" w:eastAsia="宋体" w:cs="宋体"/>
                <w:sz w:val="24"/>
              </w:rPr>
              <w:t xml:space="preserve">分，一般得1分，其他不得分。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（三）商务分（3</w:t>
            </w:r>
            <w:r>
              <w:rPr>
                <w:rFonts w:hint="eastAsia" w:ascii="宋体" w:hAnsi="宋体" w:cs="宋体"/>
                <w:b/>
                <w:bCs/>
                <w:sz w:val="24"/>
              </w:rPr>
              <w:t xml:space="preserve">0</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体系认证</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投标人具有有效的质量管理体系、环境管理体系、职业健康安全管理体系认证证书的，每具有一项得</w:t>
            </w:r>
            <w:r>
              <w:rPr>
                <w:rFonts w:hint="eastAsia" w:ascii="宋体" w:hAnsi="宋体" w:cs="宋体"/>
                <w:sz w:val="24"/>
              </w:rPr>
              <w:t xml:space="preserve">3</w:t>
            </w:r>
            <w:r>
              <w:rPr>
                <w:rFonts w:hint="eastAsia" w:ascii="宋体" w:hAnsi="宋体" w:cs="宋体"/>
                <w:sz w:val="24"/>
              </w:rPr>
              <w:t xml:space="preserve">分，最高</w:t>
            </w:r>
            <w:r>
              <w:rPr>
                <w:rFonts w:hint="eastAsia" w:ascii="宋体" w:hAnsi="宋体" w:cs="宋体"/>
                <w:sz w:val="24"/>
              </w:rPr>
              <w:t xml:space="preserve">9</w:t>
            </w:r>
            <w:r>
              <w:rPr>
                <w:rFonts w:hint="eastAsia" w:ascii="宋体" w:hAnsi="宋体" w:cs="宋体"/>
                <w:sz w:val="24"/>
              </w:rPr>
              <w:t xml:space="preserve">分。</w:t>
            </w:r>
            <w:r/>
          </w:p>
          <w:p>
            <w:pPr>
              <w:jc w:val="left"/>
              <w:widowControl/>
              <w:rPr>
                <w:rFonts w:hint="eastAsia" w:ascii="宋体" w:hAnsi="宋体" w:cs="宋体"/>
                <w:b/>
                <w:bCs/>
                <w:sz w:val="24"/>
              </w:rPr>
            </w:pPr>
            <w:r>
              <w:rPr>
                <w:rFonts w:hint="eastAsia" w:ascii="宋体" w:hAnsi="宋体" w:cs="宋体"/>
                <w:b/>
                <w:bCs/>
                <w:sz w:val="24"/>
              </w:rPr>
              <w:t xml:space="preserve">注：投标文件中提供有效证书扫描件加盖公章。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业绩</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w:t>
            </w:r>
            <w:r>
              <w:rPr>
                <w:rFonts w:ascii="宋体" w:hAnsi="宋体" w:cs="宋体"/>
                <w:sz w:val="24"/>
              </w:rPr>
              <w:t xml:space="preserve">自2023年1月1日以来（以合同签订时间为准），具有类似业绩的，每提供一份得</w:t>
            </w:r>
            <w:r>
              <w:rPr>
                <w:rFonts w:hint="eastAsia" w:ascii="宋体" w:hAnsi="宋体" w:cs="宋体"/>
                <w:sz w:val="24"/>
              </w:rPr>
              <w:t xml:space="preserve">5</w:t>
            </w:r>
            <w:r>
              <w:rPr>
                <w:rFonts w:ascii="宋体" w:hAnsi="宋体" w:cs="宋体"/>
                <w:sz w:val="24"/>
              </w:rPr>
              <w:t xml:space="preserve">分，最高</w:t>
            </w:r>
            <w:r>
              <w:rPr>
                <w:rFonts w:hint="eastAsia" w:ascii="宋体" w:hAnsi="宋体" w:cs="宋体"/>
                <w:sz w:val="24"/>
              </w:rPr>
              <w:t xml:space="preserve">15</w:t>
            </w:r>
            <w:r>
              <w:rPr>
                <w:rFonts w:ascii="宋体" w:hAnsi="宋体" w:cs="宋体"/>
                <w:sz w:val="24"/>
              </w:rPr>
              <w:t xml:space="preserve">分。</w:t>
            </w:r>
            <w:r/>
          </w:p>
          <w:p>
            <w:pPr>
              <w:jc w:val="left"/>
              <w:widowControl/>
              <w:rPr>
                <w:rFonts w:hint="eastAsia" w:ascii="宋体" w:hAnsi="宋体" w:cs="宋体"/>
                <w:b/>
                <w:bCs/>
                <w:sz w:val="24"/>
              </w:rPr>
            </w:pPr>
            <w:r>
              <w:rPr>
                <w:rFonts w:ascii="宋体" w:hAnsi="宋体" w:cs="宋体"/>
                <w:b/>
                <w:bCs/>
                <w:sz w:val="24"/>
              </w:rPr>
              <w:t xml:space="preserve">注：</w:t>
            </w:r>
            <w:r>
              <w:rPr>
                <w:rFonts w:hint="eastAsia" w:ascii="宋体" w:hAnsi="宋体" w:cs="宋体"/>
                <w:b/>
                <w:bCs/>
                <w:sz w:val="24"/>
              </w:rPr>
              <w:t xml:space="preserve">投标</w:t>
            </w:r>
            <w:r>
              <w:rPr>
                <w:rFonts w:ascii="宋体" w:hAnsi="宋体" w:cs="宋体"/>
                <w:b/>
                <w:bCs/>
                <w:sz w:val="24"/>
              </w:rPr>
              <w:t xml:space="preserve">文件中提供业绩合同或有此业绩的证明材料扫描件加盖公章。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人员情况</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操作人员</w:t>
            </w:r>
            <w:r>
              <w:rPr>
                <w:rFonts w:ascii="宋体" w:hAnsi="宋体" w:cs="宋体"/>
                <w:sz w:val="24"/>
              </w:rPr>
              <w:t xml:space="preserve">持有</w:t>
            </w:r>
            <w:r>
              <w:rPr>
                <w:rFonts w:hint="eastAsia" w:ascii="宋体" w:hAnsi="宋体" w:cs="宋体"/>
                <w:sz w:val="24"/>
              </w:rPr>
              <w:t xml:space="preserve">《</w:t>
            </w:r>
            <w:r>
              <w:rPr>
                <w:rFonts w:ascii="宋体" w:hAnsi="宋体" w:cs="宋体"/>
                <w:sz w:val="24"/>
              </w:rPr>
              <w:t xml:space="preserve">环保设施运营专业技术培训证书（污废水处理工</w:t>
            </w:r>
            <w:r>
              <w:rPr>
                <w:rFonts w:hint="eastAsia" w:ascii="宋体" w:hAnsi="宋体" w:cs="宋体"/>
                <w:sz w:val="24"/>
              </w:rPr>
              <w:t xml:space="preserve">》的得3分。</w:t>
            </w:r>
            <w:r/>
          </w:p>
          <w:p>
            <w:pPr>
              <w:jc w:val="left"/>
              <w:widowControl/>
              <w:rPr>
                <w:rFonts w:hint="eastAsia" w:ascii="宋体" w:hAnsi="宋体" w:cs="宋体"/>
                <w:b/>
                <w:bCs/>
                <w:sz w:val="24"/>
              </w:rPr>
            </w:pPr>
            <w:r>
              <w:rPr>
                <w:rFonts w:hint="eastAsia" w:ascii="宋体" w:hAnsi="宋体" w:cs="宋体"/>
                <w:b/>
                <w:bCs/>
                <w:sz w:val="24"/>
              </w:rPr>
              <w:t xml:space="preserve">注：提供证书扫描件加盖公章，否则不得分。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eastAsia="宋体"/>
                <w:sz w:val="24"/>
              </w:rPr>
            </w:pPr>
            <w:r>
              <w:rPr>
                <w:rFonts w:ascii="宋体" w:hAnsi="宋体" w:eastAsia="宋体"/>
                <w:sz w:val="24"/>
              </w:rPr>
              <w:t xml:space="preserve">消毒药剂资质</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271" w:type="dxa"/>
            <w:vAlign w:val="center"/>
            <w:textDirection w:val="lrTb"/>
            <w:noWrap w:val="false"/>
          </w:tcPr>
          <w:p>
            <w:pPr>
              <w:rPr>
                <w:rFonts w:hint="eastAsia" w:ascii="宋体" w:hAnsi="宋体" w:cs="宋体"/>
                <w:color w:val="ee0000"/>
                <w:sz w:val="24"/>
              </w:rPr>
            </w:pPr>
            <w:r>
              <w:rPr>
                <w:rFonts w:ascii="宋体" w:hAnsi="宋体" w:cs="宋体"/>
                <w:color w:val="ee0000"/>
                <w:sz w:val="24"/>
              </w:rPr>
              <w:t xml:space="preserve">投标人拟使用的含氯消毒产品提供具有CMA认定的检验机构出具的检验报告得 3 分，不提供不得分</w:t>
            </w:r>
            <w:r>
              <w:rPr>
                <w:rFonts w:hint="eastAsia" w:ascii="宋体" w:hAnsi="宋体" w:cs="宋体"/>
                <w:color w:val="ee0000"/>
                <w:sz w:val="24"/>
              </w:rPr>
              <w:t xml:space="preserve">。</w:t>
            </w:r>
            <w:r/>
          </w:p>
          <w:p>
            <w:pPr>
              <w:rPr>
                <w:rFonts w:hint="eastAsia" w:ascii="宋体" w:hAnsi="宋体" w:cs="宋体"/>
                <w:b/>
                <w:bCs/>
                <w:sz w:val="24"/>
              </w:rPr>
            </w:pPr>
            <w:r>
              <w:rPr>
                <w:rFonts w:hint="eastAsia" w:ascii="宋体" w:hAnsi="宋体" w:cs="宋体"/>
                <w:b/>
                <w:bCs/>
                <w:color w:val="ee0000"/>
                <w:sz w:val="24"/>
              </w:rPr>
              <w:t xml:space="preserve">注：提供证相关</w:t>
            </w:r>
            <w:r>
              <w:rPr>
                <w:rFonts w:hint="eastAsia" w:ascii="宋体" w:hAnsi="宋体" w:cs="宋体"/>
                <w:b/>
                <w:bCs/>
                <w:color w:val="ee0000"/>
                <w:sz w:val="24"/>
              </w:rPr>
              <w:t xml:space="preserve">报告</w:t>
            </w:r>
            <w:r>
              <w:rPr>
                <w:rFonts w:hint="eastAsia" w:ascii="宋体" w:hAnsi="宋体" w:cs="宋体"/>
                <w:b/>
                <w:bCs/>
                <w:color w:val="ee0000"/>
                <w:sz w:val="24"/>
              </w:rPr>
              <w:t xml:space="preserve">扫描件加盖公章，否则不得分。</w:t>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705"/>
      </w:pPr>
      <w:r/>
      <w:bookmarkStart w:id="512" w:name="_Toc19013"/>
      <w:r/>
      <w:bookmarkStart w:id="513" w:name="OLE_LINK6"/>
      <w:r>
        <w:rPr>
          <w:rFonts w:hint="eastAsia"/>
        </w:rPr>
        <w:t xml:space="preserve">第五章</w:t>
      </w:r>
      <w:r>
        <w:rPr>
          <w:rFonts w:hint="eastAsia"/>
        </w:rPr>
        <w:t xml:space="preserve"> </w:t>
      </w:r>
      <w:r>
        <w:rPr>
          <w:rFonts w:hint="eastAsia"/>
        </w:rPr>
        <w:t xml:space="preserve">采购需求</w:t>
      </w:r>
      <w:bookmarkEnd w:id="512"/>
      <w:r/>
      <w:r/>
    </w:p>
    <w:p>
      <w:pPr>
        <w:spacing w:line="360" w:lineRule="auto"/>
        <w:widowControl/>
        <w:tabs>
          <w:tab w:val="left" w:pos="284" w:leader="none"/>
        </w:tabs>
        <w:rPr>
          <w:rFonts w:hint="eastAsia" w:ascii="宋体" w:hAnsi="宋体" w:eastAsia="宋体" w:cs="Times New Roman"/>
          <w:b/>
          <w:szCs w:val="21"/>
        </w:rPr>
      </w:pPr>
      <w:r>
        <w:rPr>
          <w:rFonts w:ascii="宋体" w:hAnsi="宋体" w:eastAsia="宋体" w:cs="Times New Roman"/>
          <w:b/>
          <w:szCs w:val="21"/>
        </w:rPr>
        <w:t xml:space="preserve">一、项目费用组成</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1</w:t>
      </w:r>
      <w:r>
        <w:rPr>
          <w:rFonts w:ascii="Times New Roman" w:hAnsi="Times New Roman" w:eastAsia="宋体" w:cs="Times New Roman"/>
          <w:szCs w:val="24"/>
        </w:rPr>
        <w:t xml:space="preserve">、项目预算</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300</w:t>
      </w:r>
      <w:r>
        <w:rPr>
          <w:rFonts w:hint="eastAsia" w:ascii="Times New Roman" w:hAnsi="Times New Roman" w:eastAsia="宋体" w:cs="Times New Roman"/>
          <w:szCs w:val="24"/>
        </w:rPr>
        <w:t xml:space="preserve">万元</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三年（</w:t>
      </w:r>
      <w:r>
        <w:rPr>
          <w:rFonts w:hint="eastAsia" w:ascii="Times New Roman" w:hAnsi="Times New Roman" w:eastAsia="宋体" w:cs="Times New Roman"/>
          <w:szCs w:val="24"/>
        </w:rPr>
        <w:t xml:space="preserve">100</w:t>
      </w:r>
      <w:r>
        <w:rPr>
          <w:rFonts w:hint="eastAsia" w:ascii="Times New Roman" w:hAnsi="Times New Roman" w:eastAsia="宋体" w:cs="Times New Roman"/>
          <w:szCs w:val="24"/>
        </w:rPr>
        <w:t xml:space="preserve">万</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最高限价：</w:t>
      </w:r>
      <w:r>
        <w:rPr>
          <w:rFonts w:ascii="Times New Roman" w:hAnsi="Times New Roman" w:eastAsia="宋体" w:cs="Times New Roman"/>
          <w:szCs w:val="24"/>
        </w:rPr>
        <w:t xml:space="preserve">244.29</w:t>
      </w:r>
      <w:r>
        <w:rPr>
          <w:rFonts w:ascii="Times New Roman" w:hAnsi="Times New Roman" w:eastAsia="宋体" w:cs="Times New Roman"/>
          <w:szCs w:val="24"/>
        </w:rPr>
        <w:t xml:space="preserve">万元</w:t>
      </w:r>
      <w:r>
        <w:rPr>
          <w:rFonts w:ascii="Times New Roman" w:hAnsi="Times New Roman" w:eastAsia="宋体" w:cs="Times New Roman"/>
          <w:szCs w:val="24"/>
        </w:rPr>
        <w:t xml:space="preserve">/</w:t>
      </w:r>
      <w:r>
        <w:rPr>
          <w:rFonts w:ascii="Times New Roman" w:hAnsi="Times New Roman" w:eastAsia="宋体" w:cs="Times New Roman"/>
          <w:szCs w:val="24"/>
        </w:rPr>
        <w:t xml:space="preserve">三年</w:t>
      </w:r>
      <w:r>
        <w:rPr>
          <w:rFonts w:ascii="Times New Roman" w:hAnsi="Times New Roman" w:eastAsia="宋体" w:cs="Times New Roman"/>
          <w:szCs w:val="24"/>
        </w:rPr>
        <w:t xml:space="preserve">（</w:t>
      </w:r>
      <w:r>
        <w:rPr>
          <w:rFonts w:ascii="Times New Roman" w:hAnsi="Times New Roman" w:eastAsia="宋体" w:cs="Times New Roman"/>
          <w:szCs w:val="24"/>
        </w:rPr>
        <w:t xml:space="preserve">81.43</w:t>
      </w:r>
      <w:r>
        <w:rPr>
          <w:rFonts w:ascii="Times New Roman" w:hAnsi="Times New Roman" w:eastAsia="宋体" w:cs="Times New Roman"/>
          <w:szCs w:val="24"/>
        </w:rPr>
        <w:t xml:space="preserve">万</w:t>
      </w:r>
      <w:r>
        <w:rPr>
          <w:rFonts w:ascii="Times New Roman" w:hAnsi="Times New Roman" w:eastAsia="宋体" w:cs="Times New Roman"/>
          <w:szCs w:val="24"/>
        </w:rPr>
        <w:t xml:space="preserve">/</w:t>
      </w:r>
      <w:r>
        <w:rPr>
          <w:rFonts w:ascii="Times New Roman" w:hAnsi="Times New Roman" w:eastAsia="宋体" w:cs="Times New Roman"/>
          <w:szCs w:val="24"/>
        </w:rPr>
        <w:t xml:space="preserve">年）</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2</w:t>
      </w:r>
      <w:r>
        <w:rPr>
          <w:rFonts w:hint="eastAsia" w:ascii="Times New Roman" w:hAnsi="Times New Roman" w:eastAsia="宋体" w:cs="Times New Roman"/>
          <w:szCs w:val="24"/>
        </w:rPr>
        <w:t xml:space="preserve">、服务范围：常州市第二人民医院阳湖院区</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3</w:t>
      </w:r>
      <w:r>
        <w:rPr>
          <w:rFonts w:ascii="Times New Roman" w:hAnsi="Times New Roman" w:eastAsia="宋体" w:cs="Times New Roman"/>
          <w:szCs w:val="24"/>
        </w:rPr>
        <w:t xml:space="preserve">、发包方式：管理费、工人工资、水质监测药剂费等，一次性包干。消毒药剂费采用固定单价，按实际污水处理量计算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4</w:t>
      </w:r>
      <w:r>
        <w:rPr>
          <w:rFonts w:ascii="Times New Roman" w:hAnsi="Times New Roman" w:eastAsia="宋体" w:cs="Times New Roman"/>
          <w:szCs w:val="24"/>
        </w:rPr>
        <w:t xml:space="preserve">、按采购人书面通知后，进行维保工作，合同履约起计日期为成交供应商进场后次日。按</w:t>
      </w:r>
      <w:r>
        <w:rPr>
          <w:rFonts w:ascii="Times New Roman" w:hAnsi="Times New Roman" w:eastAsia="宋体" w:cs="Times New Roman"/>
          <w:szCs w:val="24"/>
        </w:rPr>
        <w:t xml:space="preserve">12</w:t>
      </w:r>
      <w:r>
        <w:rPr>
          <w:rFonts w:ascii="Times New Roman" w:hAnsi="Times New Roman" w:eastAsia="宋体" w:cs="Times New Roman"/>
          <w:szCs w:val="24"/>
        </w:rPr>
        <w:t xml:space="preserve">个月为一个托管服务计费年度。</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5</w:t>
      </w:r>
      <w:r>
        <w:rPr>
          <w:rFonts w:ascii="Times New Roman" w:hAnsi="Times New Roman" w:eastAsia="宋体" w:cs="Times New Roman"/>
          <w:szCs w:val="24"/>
        </w:rPr>
        <w:t xml:space="preserve">、付款方式：</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a</w:t>
      </w:r>
      <w:r>
        <w:rPr>
          <w:rFonts w:ascii="Times New Roman" w:hAnsi="Times New Roman" w:eastAsia="宋体" w:cs="Times New Roman"/>
          <w:szCs w:val="24"/>
        </w:rPr>
        <w:t xml:space="preserve">）</w: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固定托管运营费：按自然年度结算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合同签订生效后，分六次付清，每两月付一次。</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b</w:t>
      </w:r>
      <w:r>
        <w:rPr>
          <w:rFonts w:ascii="Times New Roman" w:hAnsi="Times New Roman" w:eastAsia="宋体" w:cs="Times New Roman"/>
          <w:szCs w:val="24"/>
        </w:rPr>
        <w:t xml:space="preserve">）消毒药剂按每月实际污水处理量两月一结</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c</w:t>
      </w:r>
      <w:r>
        <w:rPr>
          <w:rFonts w:ascii="Times New Roman" w:hAnsi="Times New Roman" w:eastAsia="宋体" w:cs="Times New Roman"/>
          <w:szCs w:val="24"/>
        </w:rPr>
        <w:t xml:space="preserve">）如发生考核管理细则中涉及的处罚费用，可在当期发生的核算费用中予以扣除。</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二、托管运营范围、职责</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w:t>
      </w:r>
      <w:r>
        <w:rPr>
          <w:rFonts w:ascii="Times New Roman" w:hAnsi="Times New Roman" w:eastAsia="宋体" w:cs="Times New Roman"/>
          <w:bCs/>
          <w:szCs w:val="24"/>
        </w:rPr>
        <w:t xml:space="preserve">、承担污水处理站的日常管理和操作，包括：设备运行管理和工作状况记录；水质监测与自检记录；每日巡检设备与数据管理等工作。值守人员须持证上岗。</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2</w:t>
      </w:r>
      <w:r>
        <w:rPr>
          <w:rFonts w:ascii="Times New Roman" w:hAnsi="Times New Roman" w:eastAsia="宋体" w:cs="Times New Roman"/>
          <w:bCs/>
          <w:szCs w:val="24"/>
        </w:rPr>
        <w:t xml:space="preserve">、接受主管部门、环保、疾控中心等部门的监督管理。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3</w:t>
      </w:r>
      <w:r>
        <w:rPr>
          <w:rFonts w:ascii="Times New Roman" w:hAnsi="Times New Roman" w:eastAsia="宋体" w:cs="Times New Roman"/>
          <w:bCs/>
          <w:szCs w:val="24"/>
        </w:rPr>
        <w:t xml:space="preserve">、保证污水处理设施的安全运行；防止污水漫溢，及时清理格栅机中的漂浮物和污泥，集中放置，便于处理。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4</w:t>
      </w:r>
      <w:r>
        <w:rPr>
          <w:rFonts w:ascii="Times New Roman" w:hAnsi="Times New Roman" w:eastAsia="宋体" w:cs="Times New Roman"/>
          <w:bCs/>
          <w:szCs w:val="24"/>
        </w:rPr>
        <w:t xml:space="preserve">、负责消毒药剂、水质分析试剂的采购与贮存。维持污水处理站的环境卫生。</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5</w:t>
      </w:r>
      <w:r>
        <w:rPr>
          <w:rFonts w:ascii="Times New Roman" w:hAnsi="Times New Roman" w:eastAsia="宋体" w:cs="Times New Roman"/>
          <w:bCs/>
          <w:szCs w:val="24"/>
        </w:rPr>
        <w:t xml:space="preserve">、出水水质：达到《医疗机构水污染物排放标准》（</w:t>
      </w:r>
      <w:r>
        <w:rPr>
          <w:rFonts w:ascii="Times New Roman" w:hAnsi="Times New Roman" w:eastAsia="宋体" w:cs="Times New Roman"/>
          <w:bCs/>
          <w:szCs w:val="24"/>
        </w:rPr>
        <w:t xml:space="preserve">GB 18466-2005</w:t>
      </w:r>
      <w:r>
        <w:rPr>
          <w:rFonts w:ascii="Times New Roman" w:hAnsi="Times New Roman" w:eastAsia="宋体" w:cs="Times New Roman"/>
          <w:bCs/>
          <w:szCs w:val="24"/>
        </w:rPr>
        <w:t xml:space="preserve">）预处理标准。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、每日进行所有设备的巡检，发现异常立即申报主管部门安排维修，保证设备运行正常。</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7</w:t>
      </w:r>
      <w:r>
        <w:rPr>
          <w:rFonts w:ascii="Times New Roman" w:hAnsi="Times New Roman" w:eastAsia="宋体" w:cs="Times New Roman"/>
          <w:bCs/>
          <w:szCs w:val="24"/>
        </w:rPr>
        <w:t xml:space="preserve">、每月取样送至环保部门检测，发现问题立即查找原因，确保达标排放。</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8</w:t>
      </w:r>
      <w:r>
        <w:rPr>
          <w:rFonts w:ascii="Times New Roman" w:hAnsi="Times New Roman" w:eastAsia="宋体" w:cs="Times New Roman"/>
          <w:bCs/>
          <w:szCs w:val="24"/>
        </w:rPr>
        <w:t xml:space="preserve">、院方承担污水处理站所消耗的电费、自来水费、照明及控制室空调用电费用，托管方应力行节约，帮助院方提供合理化节能建议。</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9</w:t>
      </w:r>
      <w:r>
        <w:rPr>
          <w:rFonts w:ascii="Times New Roman" w:hAnsi="Times New Roman" w:eastAsia="宋体" w:cs="Times New Roman"/>
          <w:bCs/>
          <w:szCs w:val="24"/>
        </w:rPr>
        <w:t xml:space="preserve">、在托管过程中，出水应</w:t>
      </w:r>
      <w:r>
        <w:rPr>
          <w:rFonts w:ascii="Times New Roman" w:hAnsi="Times New Roman" w:eastAsia="宋体" w:cs="Times New Roman"/>
          <w:bCs/>
          <w:szCs w:val="24"/>
        </w:rPr>
        <w:t xml:space="preserve">100%</w:t>
      </w:r>
      <w:r>
        <w:rPr>
          <w:rFonts w:ascii="Times New Roman" w:hAnsi="Times New Roman" w:eastAsia="宋体" w:cs="Times New Roman"/>
          <w:bCs/>
          <w:szCs w:val="24"/>
        </w:rPr>
        <w:t xml:space="preserve">达标，如污水处理系统出水超标，所产生的环保、卫生防疫、污水接管部门的罚款均由托管方承担，并负责尽快整改直至污水达标排放，相关费用均由托管方承担。</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10</w:t>
      </w:r>
      <w:r>
        <w:rPr>
          <w:rFonts w:ascii="Times New Roman" w:hAnsi="Times New Roman" w:eastAsia="宋体" w:cs="Times New Roman"/>
          <w:bCs/>
          <w:szCs w:val="24"/>
        </w:rPr>
        <w:t xml:space="preserve">、托管方驻场值守人员</w:t>
      </w:r>
      <w:r>
        <w:rPr>
          <w:rFonts w:hint="eastAsia" w:ascii="Times New Roman" w:hAnsi="Times New Roman" w:eastAsia="宋体" w:cs="Times New Roman"/>
          <w:bCs/>
          <w:szCs w:val="24"/>
        </w:rPr>
        <w:t xml:space="preserve">不少于</w:t>
      </w:r>
      <w:r>
        <w:rPr>
          <w:rFonts w:hint="eastAsia" w:ascii="Times New Roman" w:hAnsi="Times New Roman" w:eastAsia="宋体" w:cs="Times New Roman"/>
          <w:bCs/>
          <w:szCs w:val="24"/>
        </w:rPr>
        <w:t xml:space="preserve">3</w:t>
      </w:r>
      <w:r>
        <w:rPr>
          <w:rFonts w:hint="eastAsia" w:ascii="Times New Roman" w:hAnsi="Times New Roman" w:eastAsia="宋体" w:cs="Times New Roman"/>
          <w:bCs/>
          <w:szCs w:val="24"/>
        </w:rPr>
        <w:t xml:space="preserve">人</w:t>
      </w:r>
      <w:r>
        <w:rPr>
          <w:rFonts w:ascii="Times New Roman" w:hAnsi="Times New Roman" w:eastAsia="宋体" w:cs="Times New Roman"/>
          <w:bCs/>
          <w:szCs w:val="24"/>
        </w:rPr>
        <w:t xml:space="preserve">，经双方核准后，保持相对稳定至少</w:t>
      </w: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个月以上，每月至少进行两次技术巡检（须采购人人员在场），并做好台账记录。</w:t>
      </w:r>
      <w:r>
        <w:t xml:space="preserve">托管方须依法足额发放驻场人员薪酬、依规落实工时、社保、休假等用工事项，全部用工管理严格遵照《中华人民共和国劳动法》《劳动合同法》等相关法律法规执行。</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11</w:t>
      </w:r>
      <w:r>
        <w:rPr>
          <w:rFonts w:ascii="Times New Roman" w:hAnsi="Times New Roman" w:eastAsia="宋体" w:cs="Times New Roman"/>
          <w:bCs/>
          <w:szCs w:val="24"/>
        </w:rPr>
        <w:t xml:space="preserve">、托管方不得将本托管服务转包或分包给第三方。</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12</w:t>
      </w:r>
      <w:r>
        <w:rPr>
          <w:rFonts w:ascii="Times New Roman" w:hAnsi="Times New Roman" w:eastAsia="宋体" w:cs="Times New Roman"/>
          <w:bCs/>
          <w:szCs w:val="24"/>
        </w:rPr>
        <w:t xml:space="preserve">、托管运营服务期：</w:t>
      </w:r>
      <w:r>
        <w:rPr>
          <w:rFonts w:hint="eastAsia" w:ascii="Times New Roman" w:hAnsi="Times New Roman" w:eastAsia="宋体" w:cs="Times New Roman"/>
          <w:bCs/>
          <w:szCs w:val="24"/>
        </w:rPr>
        <w:t xml:space="preserve">三</w:t>
      </w:r>
      <w:r>
        <w:rPr>
          <w:rFonts w:ascii="Times New Roman" w:hAnsi="Times New Roman" w:eastAsia="宋体" w:cs="Times New Roman"/>
          <w:bCs/>
          <w:szCs w:val="24"/>
        </w:rPr>
        <w:t xml:space="preserve">年，一年合同期满经采购人考核合格后可续签一年，最多可续签两次。</w:t>
      </w:r>
      <w:r/>
    </w:p>
    <w:p>
      <w:pPr>
        <w:ind w:firstLine="420"/>
        <w:spacing w:line="360" w:lineRule="auto"/>
        <w:widowControl/>
        <w:tabs>
          <w:tab w:val="left" w:pos="284" w:leader="none"/>
        </w:tabs>
        <w:rPr>
          <w:rFonts w:ascii="Times New Roman" w:hAnsi="Times New Roman" w:eastAsia="宋体" w:cs="Times New Roman"/>
          <w:b/>
          <w:szCs w:val="24"/>
        </w:rPr>
      </w:pPr>
      <w:r>
        <w:rPr>
          <w:rFonts w:hint="eastAsia" w:ascii="Times New Roman" w:hAnsi="Times New Roman" w:eastAsia="宋体" w:cs="Times New Roman"/>
          <w:bCs/>
          <w:szCs w:val="24"/>
        </w:rPr>
        <w:t xml:space="preserve">13</w:t>
      </w:r>
      <w:r>
        <w:rPr>
          <w:rFonts w:hint="eastAsia" w:ascii="Times New Roman" w:hAnsi="Times New Roman" w:eastAsia="宋体" w:cs="Times New Roman"/>
          <w:bCs/>
          <w:szCs w:val="24"/>
        </w:rPr>
        <w:t xml:space="preserve">、</w:t>
      </w:r>
      <w:r>
        <w:rPr>
          <w:rFonts w:ascii="Times New Roman" w:hAnsi="Times New Roman" w:eastAsia="宋体" w:cs="Times New Roman"/>
          <w:bCs/>
          <w:szCs w:val="24"/>
        </w:rPr>
        <w:t xml:space="preserve">服务期内，因中标人运维管理原因造成污水排放不达标的，由此产生的环保及相关部门罚款、整改等一切费用和责任，均由中标人自行承担。</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三、消毒药剂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本项目消毒药剂为：含氯消毒剂。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产品应具备：《消毒产品生产企业卫生许可证》</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四、污水站项目附表</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专业化维保及托管运行</w:t>
      </w:r>
      <w:r/>
    </w:p>
    <w:tbl>
      <w:tblPr>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4"/>
        <w:gridCol w:w="1816"/>
        <w:gridCol w:w="1982"/>
        <w:gridCol w:w="4436"/>
      </w:tblGrid>
      <w:tr>
        <w:trPr>
          <w:jc w:val="center"/>
          <w:trHeight w:val="313"/>
        </w:trPr>
        <w:tc>
          <w:tcPr>
            <w:tcW w:w="904"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181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1982"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c>
          <w:tcPr>
            <w:tcW w:w="443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备注</w:t>
            </w:r>
            <w:r/>
          </w:p>
        </w:tc>
      </w:tr>
      <w:tr>
        <w:trPr>
          <w:jc w:val="center"/>
          <w:trHeight w:val="698"/>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水样送环保部门、污水接管单位检测</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含每月一次水质送检费用。检测范围：COD、BOD、PH、SS、粪大肠菌、总磷、氨氮、总氮等</w:t>
            </w:r>
            <w:r/>
          </w:p>
        </w:tc>
      </w:tr>
      <w:tr>
        <w:trPr>
          <w:jc w:val="center"/>
          <w:trHeight w:val="499"/>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工人工资</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三</w:t>
            </w:r>
            <w:r>
              <w:rPr>
                <w:rFonts w:ascii="宋体" w:hAnsi="宋体" w:eastAsia="宋体" w:cs="Times New Roman"/>
                <w:szCs w:val="21"/>
              </w:rPr>
              <w:t xml:space="preserve">人</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全年全天值班</w:t>
            </w:r>
            <w:r/>
          </w:p>
        </w:tc>
      </w:tr>
      <w:tr>
        <w:trPr>
          <w:jc w:val="center"/>
          <w:trHeight w:val="562"/>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COD在线检测试剂费</w:t>
            </w:r>
            <w:r/>
          </w:p>
        </w:tc>
        <w:tc>
          <w:tcPr>
            <w:tcW w:w="1982"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重铬酸盐法（HJ828-2017）</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830"/>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总余氯检测试剂费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N,N-二乙基-1，</w:t>
            </w:r>
            <w:r/>
          </w:p>
          <w:p>
            <w:pPr>
              <w:jc w:val="center"/>
              <w:widowControl/>
              <w:rPr>
                <w:rFonts w:hint="eastAsia" w:ascii="宋体" w:hAnsi="宋体" w:eastAsia="宋体" w:cs="Times New Roman"/>
                <w:szCs w:val="21"/>
              </w:rPr>
            </w:pPr>
            <w:r>
              <w:rPr>
                <w:rFonts w:ascii="宋体" w:hAnsi="宋体" w:eastAsia="宋体" w:cs="Times New Roman"/>
                <w:szCs w:val="21"/>
              </w:rPr>
              <w:t xml:space="preserve">4-苯二胺滴定法</w:t>
            </w:r>
            <w:r/>
          </w:p>
          <w:p>
            <w:pPr>
              <w:jc w:val="center"/>
              <w:widowControl/>
              <w:rPr>
                <w:rFonts w:hint="eastAsia" w:ascii="宋体" w:hAnsi="宋体" w:eastAsia="宋体" w:cs="Times New Roman"/>
                <w:szCs w:val="21"/>
              </w:rPr>
            </w:pPr>
            <w:r>
              <w:rPr>
                <w:rFonts w:ascii="宋体" w:hAnsi="宋体" w:eastAsia="宋体" w:cs="Times New Roman"/>
                <w:szCs w:val="21"/>
              </w:rPr>
              <w:t xml:space="preserve">HJ585-2010</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553"/>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5</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氨氮检测试剂费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杨酸分光光度法，HJ536-2009</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bl>
    <w:p>
      <w:pPr>
        <w:jc w:val="left"/>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说明：专业化维保及托管运行为固定总价，合同期内不因任何因素而调整。</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托管运营消毒剂费用表</w:t>
      </w:r>
      <w:r/>
    </w:p>
    <w:tbl>
      <w:tblPr>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7"/>
        <w:gridCol w:w="2865"/>
        <w:gridCol w:w="5487"/>
      </w:tblGrid>
      <w:tr>
        <w:trPr>
          <w:jc w:val="center"/>
          <w:trHeight w:val="650"/>
        </w:trPr>
        <w:tc>
          <w:tcPr>
            <w:tcW w:w="82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2865"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548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综合污水处理单价（消毒药剂费）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元/吨</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暂定处理量</w:t>
            </w:r>
            <w:r/>
          </w:p>
        </w:tc>
        <w:tc>
          <w:tcPr>
            <w:tcW w:w="5487"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45</w:t>
            </w:r>
            <w:r>
              <w:rPr>
                <w:rFonts w:ascii="宋体" w:hAnsi="宋体" w:eastAsia="宋体" w:cs="Times New Roman"/>
                <w:szCs w:val="21"/>
              </w:rPr>
              <w:t xml:space="preserve">万吨/年</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全年污水处理费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元/年</w:t>
            </w:r>
            <w:r/>
          </w:p>
        </w:tc>
      </w:tr>
    </w:tbl>
    <w:p>
      <w:pPr>
        <w:jc w:val="center"/>
        <w:spacing w:line="360" w:lineRule="auto"/>
        <w:rPr>
          <w:b/>
          <w:sz w:val="28"/>
          <w:szCs w:val="28"/>
        </w:rPr>
      </w:pPr>
      <w:r>
        <w:rPr>
          <w:rFonts w:ascii="宋体" w:hAnsi="宋体" w:eastAsia="宋体" w:cs="Times New Roman"/>
          <w:b/>
          <w:sz w:val="24"/>
          <w:szCs w:val="24"/>
        </w:rPr>
        <w:t xml:space="preserve">说明：消毒剂费用按实际发生数量结算</w:t>
      </w:r>
      <w:r>
        <w:rPr>
          <w:rFonts w:hint="eastAsia" w:ascii="宋体" w:hAnsi="宋体" w:eastAsia="宋体" w:cs="Times New Roman"/>
          <w:b/>
          <w:sz w:val="24"/>
          <w:szCs w:val="24"/>
        </w:rPr>
        <w:t xml:space="preserve">，</w:t>
      </w:r>
      <w:r>
        <w:rPr>
          <w:rFonts w:ascii="宋体" w:hAnsi="宋体" w:eastAsia="宋体" w:cs="Times New Roman"/>
          <w:b/>
          <w:sz w:val="24"/>
          <w:szCs w:val="24"/>
        </w:rPr>
        <w:t xml:space="preserve">托管期间如污水总量超过45万吨，按45万吨结算。年处理量超出45万吨的部分，采购人不再另行支付费用。</w:t>
      </w:r>
      <w:r>
        <w:br w:type="page" w:clear="all"/>
      </w:r>
      <w:r/>
    </w:p>
    <w:p>
      <w:pPr>
        <w:pStyle w:val="705"/>
      </w:pPr>
      <w:r/>
      <w:bookmarkStart w:id="514" w:name="_Toc8588"/>
      <w:r/>
      <w:bookmarkStart w:id="515" w:name="_Toc15023"/>
      <w:r>
        <w:rPr>
          <w:rFonts w:hint="eastAsia"/>
        </w:rPr>
        <w:t xml:space="preserve">第六章</w:t>
      </w:r>
      <w:r>
        <w:rPr>
          <w:rFonts w:hint="eastAsia"/>
        </w:rPr>
        <w:t xml:space="preserve"> </w:t>
      </w:r>
      <w:bookmarkEnd w:id="514"/>
      <w:r>
        <w:rPr>
          <w:rFonts w:hint="eastAsia" w:ascii="宋体" w:hAnsi="宋体" w:eastAsia="宋体" w:cs="宋体"/>
        </w:rPr>
        <w:t xml:space="preserve">拟签订的合同文本</w:t>
      </w:r>
      <w:bookmarkEnd w:id="515"/>
      <w:r/>
      <w:r/>
    </w:p>
    <w:p>
      <w:pPr>
        <w:spacing w:line="360" w:lineRule="auto"/>
        <w:rPr>
          <w:rFonts w:hint="eastAsia" w:ascii="宋体" w:hAnsi="宋体" w:eastAsia="宋体" w:cs="Times New Roman"/>
          <w:sz w:val="24"/>
          <w:szCs w:val="24"/>
        </w:rPr>
      </w:pPr>
      <w:r/>
      <w:bookmarkStart w:id="516" w:name="_Toc104818930"/>
      <w:r/>
      <w:bookmarkStart w:id="517" w:name="_Toc26106"/>
      <w:r/>
      <w:bookmarkEnd w:id="511"/>
      <w:r/>
      <w:bookmarkEnd w:id="513"/>
      <w:r>
        <w:rPr>
          <w:rFonts w:ascii="宋体" w:hAnsi="宋体" w:eastAsia="宋体" w:cs="Times New Roman"/>
          <w:sz w:val="24"/>
          <w:szCs w:val="24"/>
        </w:rPr>
        <w:t xml:space="preserve">甲方：                                   合同编号</w:t>
      </w:r>
      <w:r>
        <w:rPr>
          <w:rFonts w:ascii="宋体" w:hAnsi="宋体" w:eastAsia="宋体" w:cs="Times New Roman"/>
          <w:b/>
          <w:sz w:val="24"/>
          <w:szCs w:val="24"/>
        </w:rPr>
        <w:t xml:space="preserve">：</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乙方：                                   签订地点：</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招标代理机构：常州金诚招投标有限公司     项目编号：     号</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合同时间：2026年    月    日</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根据常州金诚招投标有限公司2026年   月   日进行的</w:t>
      </w:r>
      <w:r>
        <w:rPr>
          <w:rFonts w:ascii="宋体" w:hAnsi="宋体" w:eastAsia="宋体" w:cs="Times New Roman"/>
          <w:sz w:val="24"/>
          <w:szCs w:val="24"/>
        </w:rPr>
        <w:t xml:space="preserve">JSZC-320400-CZJC-G2026-0033</w:t>
      </w:r>
      <w:r>
        <w:rPr>
          <w:rFonts w:hint="eastAsia" w:ascii="宋体" w:hAnsi="宋体" w:eastAsia="宋体" w:cs="Times New Roman"/>
          <w:sz w:val="24"/>
          <w:szCs w:val="24"/>
        </w:rPr>
        <w:t xml:space="preserve">号公开招标</w:t>
      </w:r>
      <w:r>
        <w:rPr>
          <w:rFonts w:ascii="宋体" w:hAnsi="宋体" w:eastAsia="宋体" w:cs="Times New Roman"/>
          <w:sz w:val="24"/>
          <w:szCs w:val="24"/>
        </w:rPr>
        <w:t xml:space="preserve">，甲、乙二方就乙方成交的常州市第二人民医院阳湖院区污水站托管运营服务项目，本着平等互利的原则，通过共同协商，根据《中华人民共和国民法典》及有关法律法规，就相关事宜达成如下合同。</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一、合同内容</w:t>
      </w:r>
      <w:r/>
    </w:p>
    <w:p>
      <w:pPr>
        <w:jc w:val="left"/>
        <w:spacing w:line="360" w:lineRule="auto"/>
        <w:shd w:val="clear" w:color="auto" w:fill="ffffff"/>
        <w:rPr>
          <w:rFonts w:hint="eastAsia" w:ascii="宋体" w:hAnsi="宋体" w:eastAsia="宋体"/>
          <w:b/>
          <w:bCs/>
          <w:sz w:val="24"/>
          <w:szCs w:val="24"/>
        </w:rPr>
      </w:pPr>
      <w:r>
        <w:rPr>
          <w:rFonts w:ascii="宋体" w:hAnsi="宋体" w:eastAsia="宋体"/>
          <w:b/>
          <w:bCs/>
          <w:sz w:val="24"/>
          <w:szCs w:val="24"/>
        </w:rPr>
        <w:t xml:space="preserve">二、服务期限：</w:t>
      </w:r>
      <w:r/>
    </w:p>
    <w:p>
      <w:pP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三、合同文件构成</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通知书；</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（2）乙方的</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（3）乙方提交的其他资料及承诺；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公开招标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（5）最终报价及分项报价表；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（6）合同附件。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以上与本合同具有同等法律效力。</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四、项目经理</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指派       为乙方项目负责人，负责合同履行。按要求组织项目的运营，解决由乙方负责的各项事宜。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五、合同价格及费用结算</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1、合同价格：</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2、费用结算：</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六、主要成果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七、本合同生效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1、本合同经双方签字盖章，经代理机构鉴证盖章后生效。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2、合同在执行过程中出现的未尽事宜，双方在不违背本合同和采购文件的</w:t>
      </w:r>
      <w:r>
        <w:rPr>
          <w:rFonts w:ascii="宋体" w:hAnsi="宋体" w:eastAsia="宋体" w:cs="Times New Roman"/>
          <w:sz w:val="24"/>
          <w:szCs w:val="24"/>
        </w:rPr>
        <w:t xml:space="preserve">原则下协商解决，协商结果以书面形式盖章记录在案，作为本合同的附件，与本合同具有同等效力，但需向采购方提交二份备存。</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八、合同的解除和转让</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1、甲方和乙方协商一致，可以解除合同。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2、有下列情形之一，合同一方可以解除合同：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（1）因疫情等不可抗力因素致使活动取消的，不能实现合同目的，甲方有权解除合同，并不承担任何费用；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（2）因合同一方违约导致合同不能履行，另一方有权解除合同。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4、合同的部分和全部都不得转让。</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九、其它</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本合同未尽之处双方协商解决；如协商不成，双方同意由一方向合同履行地人民法院提起诉讼。</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十、附则</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1、合同份数：</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本合同一式五份，甲方两份，乙方两份，招标代理机构一份。</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2、未尽事宜：</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本合同未尽事宜应按《中华人民共和国民法典》以及其同相关法律、法规之规定解释。</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甲方：单位名称（章）：               乙方：单位名称（章）：</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                           单位地址：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                         法定代表人：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委托代理人：                         委托代理人：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                             经办人：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电  话：                             电  话：</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rPr>
        <w:tab/>
        <w:t xml:space="preserve">                       开户银行：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银行账号：                           银行账号：</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招标代理机构（见证方）（章）：常州金诚招投标有限公司</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单位地址：常州市新北区汉江路368号金城大厦1910室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705"/>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t xml:space="preserve">第七章 投标文件格式</w:t>
      </w:r>
      <w:bookmarkEnd w:id="516"/>
      <w:r/>
      <w:bookmarkEnd w:id="517"/>
      <w:r/>
      <w:r/>
    </w:p>
    <w:p>
      <w:pPr>
        <w:pStyle w:val="756"/>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756"/>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6"/>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6"/>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756"/>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九、我单位无以下不良信用记录情形：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outlineLvl w:val="2"/>
      </w:pPr>
      <w:r>
        <w:rPr>
          <w:rFonts w:hint="eastAsia" w:ascii="宋体" w:hAnsi="宋体" w:eastAsia="宋体" w:cs="宋体"/>
          <w:bCs/>
          <w:sz w:val="24"/>
        </w:rPr>
        <w:t xml:space="preserve">2 </w:t>
      </w:r>
      <w:r>
        <w:rPr>
          <w:rFonts w:ascii="宋体" w:hAnsi="宋体" w:eastAsia="宋体" w:cs="宋体"/>
          <w:bCs/>
          <w:sz w:val="24"/>
        </w:rPr>
        <w:t xml:space="preserve">其他特定资格要求：</w:t>
      </w:r>
      <w:r/>
    </w:p>
    <w:p>
      <w:pPr>
        <w:spacing w:line="360" w:lineRule="auto"/>
        <w:rPr>
          <w:rStyle w:val="740"/>
          <w:rFonts w:hint="eastAsia" w:ascii="宋体" w:hAnsi="宋体" w:eastAsia="宋体"/>
          <w:sz w:val="24"/>
          <w:szCs w:val="28"/>
        </w:rPr>
      </w:pPr>
      <w:r>
        <w:rPr>
          <w:rFonts w:hint="eastAsia" w:ascii="宋体" w:hAnsi="宋体" w:eastAsia="宋体"/>
          <w:sz w:val="24"/>
          <w:szCs w:val="28"/>
        </w:rPr>
      </w:r>
      <w:r/>
    </w:p>
    <w:p>
      <w:pPr>
        <w:spacing w:line="360" w:lineRule="auto"/>
        <w:rPr>
          <w:rStyle w:val="740"/>
          <w:rFonts w:hint="eastAsia" w:ascii="宋体" w:hAnsi="宋体" w:eastAsia="宋体"/>
          <w:sz w:val="24"/>
          <w:szCs w:val="28"/>
        </w:rPr>
      </w:pPr>
      <w:r>
        <w:rPr>
          <w:rStyle w:val="740"/>
          <w:rFonts w:ascii="宋体" w:hAnsi="宋体" w:eastAsia="宋体"/>
          <w:sz w:val="24"/>
          <w:szCs w:val="28"/>
        </w:rPr>
        <w:t xml:space="preserve">A投标人具有环保工程专业承包三级及以上资质；</w:t>
      </w:r>
      <w:r/>
    </w:p>
    <w:p>
      <w:pPr>
        <w:spacing w:line="360" w:lineRule="auto"/>
        <w:rPr>
          <w:rStyle w:val="740"/>
          <w:rFonts w:hint="eastAsia" w:ascii="宋体" w:hAnsi="宋体" w:eastAsia="宋体"/>
          <w:sz w:val="24"/>
          <w:szCs w:val="28"/>
        </w:rPr>
      </w:pPr>
      <w:r>
        <w:rPr>
          <w:rStyle w:val="740"/>
          <w:rFonts w:hint="eastAsia" w:ascii="宋体" w:hAnsi="宋体" w:eastAsia="宋体"/>
          <w:sz w:val="24"/>
          <w:szCs w:val="28"/>
        </w:rPr>
        <w:t xml:space="preserve">B</w:t>
      </w:r>
      <w:r>
        <w:rPr>
          <w:rStyle w:val="740"/>
          <w:rFonts w:ascii="宋体" w:hAnsi="宋体" w:eastAsia="宋体"/>
          <w:sz w:val="24"/>
          <w:szCs w:val="28"/>
        </w:rPr>
        <w:t xml:space="preserve"> 投标人具有</w:t>
      </w:r>
      <w:r>
        <w:rPr>
          <w:rStyle w:val="740"/>
          <w:rFonts w:hint="eastAsia" w:ascii="宋体" w:hAnsi="宋体" w:eastAsia="宋体"/>
          <w:sz w:val="24"/>
          <w:szCs w:val="28"/>
        </w:rPr>
        <w:t xml:space="preserve">有效的</w:t>
      </w:r>
      <w:r>
        <w:rPr>
          <w:rStyle w:val="740"/>
          <w:rFonts w:ascii="宋体" w:hAnsi="宋体" w:eastAsia="宋体"/>
          <w:sz w:val="24"/>
          <w:szCs w:val="28"/>
        </w:rPr>
        <w:t xml:space="preserve">安全生产许可证。</w:t>
      </w:r>
      <w:r/>
    </w:p>
    <w:p>
      <w:pPr>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 w:val="24"/>
        </w:rPr>
        <w:t xml:space="preserve">提供</w:t>
      </w:r>
      <w:r>
        <w:rPr>
          <w:rFonts w:hint="eastAsia" w:ascii="宋体" w:hAnsi="宋体" w:eastAsia="宋体" w:cs="宋体"/>
          <w:bCs/>
          <w:sz w:val="24"/>
        </w:rPr>
        <w:t xml:space="preserve">证书</w:t>
      </w:r>
      <w:r>
        <w:rPr>
          <w:rFonts w:ascii="宋体" w:hAnsi="宋体" w:eastAsia="宋体" w:cs="宋体"/>
          <w:bCs/>
          <w:sz w:val="24"/>
        </w:rPr>
        <w:t xml:space="preserve">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18" w:name="_Toc164608672"/>
      <w:r/>
      <w:bookmarkStart w:id="519" w:name="_Toc226965748"/>
      <w:r/>
      <w:bookmarkStart w:id="520" w:name="_Toc226965831"/>
      <w:r/>
      <w:bookmarkStart w:id="521" w:name="_Toc265228396"/>
      <w:r/>
      <w:bookmarkStart w:id="522" w:name="_Toc226337254"/>
      <w:r/>
      <w:bookmarkStart w:id="523" w:name="_Toc264969248"/>
      <w:r/>
      <w:bookmarkStart w:id="524" w:name="_Toc195842923"/>
      <w:r/>
      <w:bookmarkStart w:id="525" w:name="_Toc305158826"/>
      <w:r/>
      <w:bookmarkStart w:id="526" w:name="_Toc164608827"/>
      <w:r/>
      <w:bookmarkStart w:id="527" w:name="_Toc305158900"/>
      <w:r/>
      <w:bookmarkStart w:id="528" w:name="_Toc226309802"/>
      <w:r>
        <w:rPr>
          <w:rFonts w:hint="eastAsia" w:ascii="宋体" w:hAnsi="宋体" w:eastAsia="宋体" w:cs="宋体"/>
          <w:b/>
          <w:sz w:val="36"/>
          <w:szCs w:val="36"/>
        </w:rPr>
        <w:t xml:space="preserve">开标一览表</w:t>
      </w:r>
      <w:bookmarkEnd w:id="518"/>
      <w:r/>
      <w:bookmarkEnd w:id="519"/>
      <w:r/>
      <w:bookmarkEnd w:id="520"/>
      <w:r/>
      <w:bookmarkEnd w:id="521"/>
      <w:r/>
      <w:bookmarkEnd w:id="522"/>
      <w:r/>
      <w:bookmarkEnd w:id="523"/>
      <w:r/>
      <w:bookmarkEnd w:id="524"/>
      <w:r/>
      <w:bookmarkEnd w:id="525"/>
      <w:r/>
      <w:bookmarkEnd w:id="526"/>
      <w:r/>
      <w:bookmarkEnd w:id="527"/>
      <w:r/>
      <w:bookmarkEnd w:id="528"/>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三年）</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b/>
          <w:bCs/>
          <w:sz w:val="24"/>
        </w:rPr>
      </w:pPr>
      <w:r>
        <w:rPr>
          <w:b/>
          <w:bCs/>
          <w:sz w:val="24"/>
        </w:rPr>
        <w:t xml:space="preserve">注：</w:t>
      </w:r>
      <w:r/>
    </w:p>
    <w:p>
      <w:pPr>
        <w:jc w:val="left"/>
        <w:spacing w:line="360" w:lineRule="auto"/>
        <w:rPr>
          <w:b/>
          <w:bCs/>
          <w:sz w:val="24"/>
          <w:szCs w:val="20"/>
        </w:rPr>
      </w:pPr>
      <w:r>
        <w:rPr>
          <w:b/>
          <w:bCs/>
          <w:sz w:val="24"/>
        </w:rPr>
        <w:t xml:space="preserve">1</w:t>
      </w:r>
      <w:r>
        <w:rPr>
          <w:b/>
          <w:bCs/>
          <w:sz w:val="24"/>
          <w:szCs w:val="20"/>
        </w:rPr>
        <w:t xml:space="preserve">.</w:t>
      </w:r>
      <w:r>
        <w:rPr>
          <w:b/>
          <w:bCs/>
          <w:sz w:val="24"/>
          <w:szCs w:val="20"/>
        </w:rPr>
        <w:t xml:space="preserve">此表中，每包的投标报价应和《投标分项报价表》中的</w:t>
      </w:r>
      <w:r>
        <w:rPr>
          <w:rFonts w:hint="eastAsia"/>
          <w:b/>
          <w:bCs/>
          <w:sz w:val="24"/>
          <w:szCs w:val="20"/>
        </w:rPr>
        <w:t xml:space="preserve">三年</w:t>
      </w:r>
      <w:r>
        <w:rPr>
          <w:b/>
          <w:bCs/>
          <w:sz w:val="24"/>
          <w:szCs w:val="20"/>
        </w:rPr>
        <w:t xml:space="preserve">总价相一致。</w:t>
      </w:r>
      <w:r/>
    </w:p>
    <w:p>
      <w:pPr>
        <w:jc w:val="left"/>
        <w:spacing w:line="360" w:lineRule="auto"/>
        <w:rPr>
          <w:b/>
          <w:bCs/>
          <w:sz w:val="24"/>
          <w:szCs w:val="20"/>
        </w:rPr>
      </w:pPr>
      <w:r>
        <w:rPr>
          <w:rFonts w:hint="eastAsia"/>
          <w:b/>
          <w:bCs/>
          <w:sz w:val="24"/>
          <w:szCs w:val="20"/>
        </w:rPr>
        <w:t xml:space="preserve">2.</w:t>
      </w:r>
      <w:r>
        <w:rPr>
          <w:rFonts w:hint="eastAsia"/>
          <w:b/>
          <w:bCs/>
          <w:sz w:val="24"/>
          <w:szCs w:val="20"/>
        </w:rPr>
        <w:t xml:space="preserve">本表需填写三年总价，保留小数点后</w:t>
      </w:r>
      <w:r>
        <w:rPr>
          <w:rFonts w:hint="eastAsia"/>
          <w:b/>
          <w:bCs/>
          <w:sz w:val="24"/>
          <w:szCs w:val="20"/>
        </w:rPr>
        <w:t xml:space="preserve">2</w:t>
      </w:r>
      <w:r>
        <w:rPr>
          <w:rFonts w:hint="eastAsia"/>
          <w:b/>
          <w:bCs/>
          <w:sz w:val="24"/>
          <w:szCs w:val="20"/>
        </w:rPr>
        <w:t xml:space="preserve">位。</w:t>
      </w:r>
      <w:r/>
    </w:p>
    <w:p>
      <w:pPr>
        <w:ind w:left="228" w:hanging="228"/>
        <w:spacing w:before="312" w:after="312"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投标分项报价表（实质性格式）</w:t>
      </w:r>
      <w:r/>
    </w:p>
    <w:p>
      <w:pPr>
        <w:jc w:val="center"/>
        <w:spacing w:line="360" w:lineRule="exact"/>
        <w:rPr>
          <w:sz w:val="36"/>
          <w:szCs w:val="36"/>
        </w:rPr>
      </w:pPr>
      <w:r>
        <w:rPr>
          <w:sz w:val="36"/>
          <w:szCs w:val="36"/>
        </w:rPr>
      </w:r>
      <w:r/>
    </w:p>
    <w:p>
      <w:pPr>
        <w:jc w:val="center"/>
        <w:spacing w:line="360" w:lineRule="exact"/>
        <w:rPr>
          <w:b/>
          <w:sz w:val="36"/>
          <w:szCs w:val="36"/>
        </w:rPr>
      </w:pPr>
      <w:r>
        <w:rPr>
          <w:rFonts w:hint="eastAsia"/>
          <w:b/>
          <w:sz w:val="36"/>
          <w:szCs w:val="36"/>
        </w:rPr>
        <w:t xml:space="preserve">投标分项报价表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p>
      <w:pPr>
        <w:tabs>
          <w:tab w:val="left" w:pos="1800" w:leader="none"/>
          <w:tab w:val="left" w:pos="5580" w:leader="none"/>
        </w:tabs>
        <w:rPr>
          <w:sz w:val="24"/>
        </w:rPr>
      </w:pPr>
      <w:r>
        <w:rPr>
          <w:sz w:val="24"/>
        </w:rPr>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9"/>
        <w:gridCol w:w="2764"/>
        <w:gridCol w:w="3179"/>
        <w:gridCol w:w="1828"/>
      </w:tblGrid>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污水设施专业化维保及托管运行费用表</w:t>
            </w:r>
            <w:r/>
          </w:p>
        </w:tc>
      </w:tr>
      <w:tr>
        <w:trPr>
          <w:jc w:val="center"/>
          <w:trHeight w:val="972"/>
        </w:trPr>
        <w:tc>
          <w:tcPr>
            <w:tcW w:w="729" w:type="dxa"/>
            <w:vAlign w:val="center"/>
            <w:textDirection w:val="lrTb"/>
            <w:noWrap w:val="false"/>
          </w:tcPr>
          <w:p>
            <w:pPr>
              <w:jc w:val="center"/>
              <w:spacing w:line="360" w:lineRule="auto"/>
              <w:widowControl/>
              <w:rPr>
                <w:rFonts w:hint="eastAsia" w:ascii="宋体" w:hAnsi="宋体" w:cs="宋体"/>
                <w:b/>
              </w:rPr>
            </w:pPr>
            <w:r>
              <w:rPr>
                <w:rFonts w:ascii="宋体" w:hAnsi="宋体" w:cs="宋体"/>
                <w:b/>
              </w:rPr>
              <w:t xml:space="preserve">序号</w:t>
            </w:r>
            <w:r/>
          </w:p>
        </w:tc>
        <w:tc>
          <w:tcPr>
            <w:tcW w:w="2764"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费用名称</w:t>
            </w:r>
            <w:r/>
          </w:p>
        </w:tc>
        <w:tc>
          <w:tcPr>
            <w:tcW w:w="3179"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标准</w:t>
            </w:r>
            <w:r/>
          </w:p>
        </w:tc>
        <w:tc>
          <w:tcPr>
            <w:tcW w:w="1828"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（元/</w:t>
            </w:r>
            <w:r>
              <w:rPr>
                <w:rFonts w:ascii="宋体" w:hAnsi="宋体" w:cs="宋体"/>
                <w:b/>
                <w:sz w:val="24"/>
              </w:rPr>
              <w:t xml:space="preserve">月</w:t>
            </w:r>
            <w:r>
              <w:rPr>
                <w:rFonts w:hint="eastAsia" w:ascii="宋体" w:hAnsi="宋体" w:cs="宋体"/>
                <w:b/>
                <w:sz w:val="24"/>
              </w:rPr>
              <w:t xml:space="preserve">）</w:t>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hint="eastAsia" w:ascii="宋体" w:hAnsi="宋体" w:cs="Arial"/>
                <w:szCs w:val="21"/>
              </w:rPr>
              <w:t xml:space="preserve">1</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托管运营费</w:t>
            </w:r>
            <w:r/>
          </w:p>
        </w:tc>
        <w:tc>
          <w:tcPr>
            <w:tcW w:w="317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包含人工、第三方检测、试剂等其他全部费用</w:t>
            </w:r>
            <w:r/>
          </w:p>
        </w:tc>
        <w:tc>
          <w:tcPr>
            <w:tcW w:w="182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ascii="宋体" w:hAnsi="宋体" w:cs="Arial"/>
                <w:szCs w:val="21"/>
              </w:rPr>
              <w:t xml:space="preserve">2</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总计</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sz w:val="24"/>
              </w:rPr>
            </w:pPr>
            <w:r>
              <w:rPr>
                <w:rFonts w:hint="eastAsia" w:ascii="宋体" w:hAnsi="宋体"/>
                <w:b/>
                <w:sz w:val="24"/>
              </w:rPr>
              <w:t xml:space="preserve">托管运营消毒药剂费用表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b/>
              </w:rPr>
            </w:pPr>
            <w:r>
              <w:rPr>
                <w:rFonts w:hint="eastAsia" w:ascii="宋体" w:hAnsi="宋体" w:cs="宋体"/>
                <w:b/>
              </w:rPr>
              <w:t xml:space="preserve">序号</w:t>
            </w:r>
            <w:r/>
          </w:p>
        </w:tc>
        <w:tc>
          <w:tcPr>
            <w:tcW w:w="2764"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费用名称</w:t>
            </w:r>
            <w:r/>
          </w:p>
        </w:tc>
        <w:tc>
          <w:tcPr>
            <w:gridSpan w:val="2"/>
            <w:tcW w:w="5007"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w:t>
            </w:r>
            <w:r>
              <w:rPr>
                <w:rFonts w:ascii="宋体" w:hAnsi="宋体" w:cs="宋体"/>
                <w:b/>
                <w:sz w:val="24"/>
              </w:rPr>
              <w:t xml:space="preserve">元</w:t>
            </w:r>
            <w:r>
              <w:rPr>
                <w:rFonts w:hint="eastAsia" w:ascii="宋体" w:hAnsi="宋体" w:cs="宋体"/>
                <w:b/>
                <w:sz w:val="24"/>
              </w:rPr>
              <w:t xml:space="preserve">/吨）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3</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综合污水处理单价</w:t>
            </w:r>
            <w:r/>
          </w:p>
          <w:p>
            <w:pPr>
              <w:jc w:val="center"/>
              <w:spacing w:line="360" w:lineRule="auto"/>
              <w:rPr>
                <w:rFonts w:hint="eastAsia" w:ascii="宋体" w:hAnsi="宋体" w:cs="宋体"/>
                <w:sz w:val="24"/>
              </w:rPr>
            </w:pPr>
            <w:r>
              <w:rPr>
                <w:rFonts w:hint="eastAsia" w:ascii="宋体" w:hAnsi="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4</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预估处理量</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450000吨/年</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5</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全年污水处理费</w:t>
            </w:r>
            <w:r/>
          </w:p>
          <w:p>
            <w:pPr>
              <w:jc w:val="center"/>
              <w:spacing w:line="360" w:lineRule="auto"/>
              <w:rPr>
                <w:rFonts w:hint="eastAsia" w:ascii="宋体" w:hAnsi="宋体" w:cs="宋体"/>
                <w:sz w:val="24"/>
              </w:rPr>
            </w:pPr>
            <w:r>
              <w:rPr>
                <w:rFonts w:hint="eastAsia" w:ascii="宋体" w:hAnsi="宋体" w:cs="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一年总报价</w:t>
            </w:r>
            <w:r/>
          </w:p>
          <w:p>
            <w:pPr>
              <w:jc w:val="center"/>
              <w:spacing w:line="360" w:lineRule="auto"/>
              <w:rPr>
                <w:rFonts w:hint="eastAsia" w:ascii="宋体" w:hAnsi="宋体" w:cs="宋体"/>
                <w:b/>
                <w:sz w:val="24"/>
              </w:rPr>
            </w:pPr>
            <w:r>
              <w:rPr>
                <w:rFonts w:hint="eastAsia" w:ascii="宋体" w:hAnsi="宋体" w:cs="宋体"/>
                <w:b/>
                <w:sz w:val="24"/>
              </w:rPr>
              <w:t xml:space="preserve">（序号2+序号5）</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三年总报价</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/三</w:t>
            </w:r>
            <w:r>
              <w:rPr>
                <w:rFonts w:ascii="宋体" w:hAnsi="宋体" w:cs="宋体"/>
                <w:sz w:val="24"/>
              </w:rPr>
              <w:t xml:space="preserve">年</w:t>
            </w:r>
            <w:r/>
          </w:p>
        </w:tc>
      </w:tr>
    </w:tbl>
    <w:p>
      <w:pPr>
        <w:ind w:firstLine="480"/>
        <w:spacing w:before="25" w:after="25" w:line="360" w:lineRule="auto"/>
        <w:rPr>
          <w:rFonts w:hint="eastAsia" w:ascii="宋体" w:hAnsi="宋体" w:eastAsia="宋体"/>
          <w:b/>
          <w:bCs/>
          <w:sz w:val="22"/>
          <w:szCs w:val="21"/>
        </w:rPr>
      </w:pPr>
      <w:r>
        <w:rPr>
          <w:sz w:val="24"/>
        </w:rPr>
        <w:t xml:space="preserve">注：</w:t>
      </w:r>
      <w:r>
        <w:rPr>
          <w:rFonts w:hint="eastAsia"/>
          <w:sz w:val="24"/>
        </w:rPr>
        <w:t xml:space="preserve">上表中托管运营费按中标金额结算，</w:t>
      </w:r>
      <w:r>
        <w:rPr>
          <w:rFonts w:hint="eastAsia" w:ascii="宋体" w:hAnsi="宋体"/>
          <w:sz w:val="24"/>
        </w:rPr>
        <w:t xml:space="preserve">消毒药剂费用</w:t>
      </w:r>
      <w:r>
        <w:rPr>
          <w:rFonts w:hint="eastAsia"/>
          <w:sz w:val="24"/>
        </w:rPr>
        <w:t xml:space="preserve">按实际发生量结算（</w:t>
      </w:r>
      <w:r>
        <w:rPr>
          <w:sz w:val="24"/>
        </w:rPr>
        <w:t xml:space="preserve">托管期间如污水总量超过</w:t>
      </w:r>
      <w:r>
        <w:rPr>
          <w:sz w:val="24"/>
        </w:rPr>
        <w:t xml:space="preserve">45</w:t>
      </w:r>
      <w:r>
        <w:rPr>
          <w:sz w:val="24"/>
        </w:rPr>
        <w:t xml:space="preserve">万吨，按</w:t>
      </w:r>
      <w:r>
        <w:rPr>
          <w:sz w:val="24"/>
        </w:rPr>
        <w:t xml:space="preserve">45</w:t>
      </w:r>
      <w:r>
        <w:rPr>
          <w:sz w:val="24"/>
        </w:rPr>
        <w:t xml:space="preserve">万吨结算。年处理量超出</w:t>
      </w:r>
      <w:r>
        <w:rPr>
          <w:sz w:val="24"/>
        </w:rPr>
        <w:t xml:space="preserve">45</w:t>
      </w:r>
      <w:r>
        <w:rPr>
          <w:sz w:val="24"/>
        </w:rPr>
        <w:t xml:space="preserve">万吨的部分，采购人不再另行支付费用。</w:t>
      </w:r>
      <w:r>
        <w:rPr>
          <w:rFonts w:hint="eastAsia"/>
          <w:sz w:val="24"/>
        </w:rPr>
        <w:t xml:space="preserve">）。</w:t>
      </w:r>
      <w:r>
        <w:rPr>
          <w:rFonts w:ascii="宋体" w:hAnsi="宋体" w:eastAsia="宋体"/>
          <w:b/>
          <w:bCs/>
          <w:sz w:val="22"/>
          <w:szCs w:val="21"/>
        </w:rPr>
        <w:t xml:space="preserve">              </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“偏离情况”列应据实填写“正偏离”或“负偏离”。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7采购需求偏离表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715"/>
        <w:rPr>
          <w:rFonts w:hint="eastAsia"/>
        </w:rPr>
      </w:pPr>
      <w:r>
        <w:rPr>
          <w:rFonts w:hint="eastAsia"/>
        </w:rPr>
      </w:r>
      <w:r/>
    </w:p>
    <w:p>
      <w:pPr>
        <w:rPr>
          <w:sz w:val="24"/>
        </w:rPr>
      </w:pPr>
      <w:r>
        <w:rPr>
          <w:sz w:val="24"/>
        </w:rPr>
      </w:r>
      <w:r/>
    </w:p>
    <w:p>
      <w:pPr>
        <w:pStyle w:val="715"/>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“偏离情况”列应据实填写“正偏离”、“负偏离”或“无偏离”。</w:t>
      </w:r>
      <w:r/>
    </w:p>
    <w:p>
      <w:pPr>
        <w:pStyle w:val="714"/>
      </w:pPr>
      <w:r/>
      <w:r/>
    </w:p>
    <w:p>
      <w:pPr>
        <w:pStyle w:val="715"/>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6）在货物采购项目中，投标人提供的货物既有中型企业制造货物，也有小微企业制造货物的，不享受小微企业扶持政策，不予价格扣除。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1从业人员、营业收入、资产总额填报上一年度数据，无上一年度数据的新成立企业可不填报。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9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10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29" w:name="_Toc288738839"/>
      <w:r/>
      <w:bookmarkStart w:id="530"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11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29"/>
      <w:r/>
      <w:bookmarkEnd w:id="530"/>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12 招标文件要求提供或</w:t>
      </w:r>
      <w:bookmarkStart w:id="531" w:name="OLE_LINK3"/>
      <w:r>
        <w:rPr>
          <w:rFonts w:hint="eastAsia" w:ascii="宋体" w:hAnsi="宋体" w:eastAsia="宋体" w:cs="宋体"/>
          <w:sz w:val="24"/>
        </w:rPr>
        <w:t xml:space="preserve">投标人认为应附的其他材料</w:t>
      </w:r>
      <w:bookmarkEnd w:id="531"/>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19"/>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1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japaneseCounting"/>
      <w:pStyle w:val="786"/>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1"/>
    <w:uiPriority w:val="99"/>
  </w:style>
  <w:style w:type="character" w:styleId="44">
    <w:name w:val="Footer Char"/>
    <w:basedOn w:val="709"/>
    <w:link w:val="719"/>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9"/>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39"/>
    <w:uiPriority w:val="9"/>
    <w:qFormat/>
    <w:pPr>
      <w:jc w:val="center"/>
      <w:spacing w:line="360" w:lineRule="auto"/>
      <w:outlineLvl w:val="0"/>
    </w:pPr>
    <w:rPr>
      <w:b/>
      <w:sz w:val="36"/>
      <w:szCs w:val="36"/>
    </w:rPr>
  </w:style>
  <w:style w:type="paragraph" w:styleId="706">
    <w:name w:val="Heading 2"/>
    <w:basedOn w:val="704"/>
    <w:next w:val="704"/>
    <w:link w:val="74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50"/>
    <w:uiPriority w:val="9"/>
    <w:semiHidden/>
    <w:unhideWhenUsed/>
    <w:qFormat/>
    <w:pPr>
      <w:keepLines/>
      <w:keepNext/>
      <w:spacing w:before="260" w:after="260" w:line="416" w:lineRule="auto"/>
      <w:outlineLvl w:val="2"/>
    </w:pPr>
    <w:rPr>
      <w:b/>
      <w:bCs/>
      <w:sz w:val="32"/>
      <w:szCs w:val="32"/>
    </w:rPr>
  </w:style>
  <w:style w:type="paragraph" w:styleId="708">
    <w:name w:val="Heading 4"/>
    <w:basedOn w:val="704"/>
    <w:next w:val="704"/>
    <w:link w:val="78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name w:val="Normal Indent"/>
    <w:basedOn w:val="704"/>
    <w:next w:val="704"/>
    <w:link w:val="751"/>
    <w:uiPriority w:val="99"/>
    <w:qFormat/>
    <w:pPr>
      <w:ind w:firstLine="420"/>
      <w:jc w:val="left"/>
    </w:pPr>
    <w:rPr>
      <w:rFonts w:ascii="宋体" w:hAnsi="Times New Roman" w:eastAsia="宋体" w:cs="Times New Roman"/>
      <w:sz w:val="24"/>
      <w:szCs w:val="24"/>
    </w:rPr>
  </w:style>
  <w:style w:type="paragraph" w:styleId="713">
    <w:name w:val="Document Map"/>
    <w:basedOn w:val="704"/>
    <w:link w:val="758"/>
    <w:uiPriority w:val="99"/>
    <w:semiHidden/>
    <w:unhideWhenUsed/>
    <w:qFormat/>
    <w:rPr>
      <w:rFonts w:ascii="宋体" w:eastAsia="宋体"/>
      <w:sz w:val="18"/>
      <w:szCs w:val="18"/>
    </w:rPr>
  </w:style>
  <w:style w:type="paragraph" w:styleId="714">
    <w:name w:val="annotation text"/>
    <w:basedOn w:val="704"/>
    <w:link w:val="746"/>
    <w:qFormat/>
    <w:pPr>
      <w:jc w:val="left"/>
    </w:pPr>
    <w:rPr>
      <w:rFonts w:ascii="Times New Roman" w:hAnsi="Times New Roman" w:eastAsia="宋体" w:cs="Times New Roman"/>
      <w:szCs w:val="24"/>
    </w:rPr>
  </w:style>
  <w:style w:type="paragraph" w:styleId="715">
    <w:name w:val="Body Text"/>
    <w:basedOn w:val="704"/>
    <w:next w:val="704"/>
    <w:link w:val="741"/>
    <w:qFormat/>
    <w:pPr>
      <w:spacing w:before="120" w:line="22" w:lineRule="atLeast"/>
      <w:tabs>
        <w:tab w:val="left" w:pos="567" w:leader="none"/>
      </w:tabs>
    </w:pPr>
    <w:rPr>
      <w:rFonts w:ascii="宋体" w:hAnsi="宋体" w:eastAsia="宋体" w:cs="Times New Roman"/>
      <w:sz w:val="24"/>
      <w:szCs w:val="24"/>
    </w:rPr>
  </w:style>
  <w:style w:type="paragraph" w:styleId="716">
    <w:name w:val="Body Text Indent"/>
    <w:basedOn w:val="704"/>
    <w:unhideWhenUsed/>
    <w:qFormat/>
    <w:pPr>
      <w:ind w:left="420"/>
      <w:spacing w:after="120"/>
    </w:pPr>
    <w:rPr>
      <w:rFonts w:eastAsia="Calibri"/>
      <w:sz w:val="20"/>
      <w:szCs w:val="20"/>
      <w:lang w:val="zh-CN"/>
    </w:rPr>
  </w:style>
  <w:style w:type="paragraph" w:styleId="717">
    <w:name w:val="Plain Text"/>
    <w:basedOn w:val="704"/>
    <w:link w:val="743"/>
    <w:qFormat/>
    <w:rPr>
      <w:rFonts w:hint="eastAsia" w:ascii="宋体" w:hAnsi="Courier New" w:eastAsia="宋体" w:cs="Times New Roman"/>
      <w:szCs w:val="20"/>
    </w:rPr>
  </w:style>
  <w:style w:type="paragraph" w:styleId="718">
    <w:name w:val="Balloon Text"/>
    <w:basedOn w:val="704"/>
    <w:link w:val="747"/>
    <w:uiPriority w:val="99"/>
    <w:semiHidden/>
    <w:unhideWhenUsed/>
    <w:qFormat/>
    <w:rPr>
      <w:sz w:val="18"/>
      <w:szCs w:val="18"/>
    </w:rPr>
  </w:style>
  <w:style w:type="paragraph" w:styleId="719">
    <w:name w:val="Footer"/>
    <w:basedOn w:val="704"/>
    <w:link w:val="738"/>
    <w:uiPriority w:val="99"/>
    <w:unhideWhenUsed/>
    <w:qFormat/>
    <w:pPr>
      <w:jc w:val="left"/>
      <w:tabs>
        <w:tab w:val="center" w:pos="4153" w:leader="none"/>
        <w:tab w:val="right" w:pos="8306" w:leader="none"/>
      </w:tabs>
    </w:pPr>
    <w:rPr>
      <w:sz w:val="18"/>
      <w:szCs w:val="18"/>
    </w:rPr>
  </w:style>
  <w:style w:type="paragraph" w:styleId="720">
    <w:name w:val="envelope return"/>
    <w:basedOn w:val="704"/>
    <w:qFormat/>
    <w:rPr>
      <w:rFonts w:ascii="Arial" w:hAnsi="Arial"/>
      <w:szCs w:val="24"/>
    </w:rPr>
  </w:style>
  <w:style w:type="paragraph" w:styleId="721">
    <w:name w:val="Header"/>
    <w:basedOn w:val="704"/>
    <w:link w:val="7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704"/>
    <w:next w:val="704"/>
    <w:uiPriority w:val="39"/>
    <w:unhideWhenUsed/>
    <w:qFormat/>
    <w:rPr>
      <w:rFonts w:ascii="宋体" w:hAnsi="宋体" w:eastAsia="宋体" w:cs="宋体"/>
      <w:b/>
      <w:sz w:val="32"/>
    </w:rPr>
  </w:style>
  <w:style w:type="paragraph" w:styleId="723">
    <w:name w:val="toc 4"/>
    <w:basedOn w:val="704"/>
    <w:next w:val="704"/>
    <w:uiPriority w:val="39"/>
    <w:semiHidden/>
    <w:unhideWhenUsed/>
    <w:qFormat/>
    <w:pPr>
      <w:ind w:left="1260"/>
    </w:pPr>
  </w:style>
  <w:style w:type="paragraph" w:styleId="724">
    <w:name w:val="toc 2"/>
    <w:basedOn w:val="704"/>
    <w:next w:val="704"/>
    <w:uiPriority w:val="39"/>
    <w:qFormat/>
    <w:pPr>
      <w:ind w:left="420"/>
    </w:pPr>
  </w:style>
  <w:style w:type="paragraph" w:styleId="725">
    <w:name w:val="Normal (Web)"/>
    <w:basedOn w:val="704"/>
    <w:link w:val="757"/>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6">
    <w:name w:val="annotation subject"/>
    <w:basedOn w:val="714"/>
    <w:next w:val="714"/>
    <w:link w:val="759"/>
    <w:uiPriority w:val="99"/>
    <w:unhideWhenUsed/>
    <w:qFormat/>
    <w:rPr>
      <w:rFonts w:asciiTheme="minorHAnsi" w:hAnsiTheme="minorHAnsi" w:eastAsiaTheme="minorEastAsia" w:cstheme="minorBidi"/>
      <w:b/>
      <w:bCs/>
      <w:szCs w:val="22"/>
    </w:rPr>
  </w:style>
  <w:style w:type="paragraph" w:styleId="727">
    <w:name w:val="Body Text First Indent 2"/>
    <w:basedOn w:val="716"/>
    <w:next w:val="704"/>
    <w:uiPriority w:val="99"/>
    <w:qFormat/>
    <w:pPr>
      <w:ind w:firstLine="420"/>
    </w:pPr>
    <w:rPr>
      <w:sz w:val="24"/>
    </w:rPr>
  </w:style>
  <w:style w:type="table" w:styleId="728">
    <w:name w:val="Table Grid"/>
    <w:basedOn w:val="71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29">
    <w:name w:val="Strong"/>
    <w:basedOn w:val="709"/>
    <w:uiPriority w:val="22"/>
    <w:qFormat/>
    <w:rPr>
      <w:rFonts w:ascii="Times New Roman" w:hAnsi="Times New Roman" w:eastAsia="宋体" w:cs="Times New Roman"/>
      <w:b/>
    </w:rPr>
  </w:style>
  <w:style w:type="character" w:styleId="730">
    <w:name w:val="FollowedHyperlink"/>
    <w:basedOn w:val="709"/>
    <w:qFormat/>
    <w:rPr>
      <w:color w:val="800080"/>
      <w:u w:val="single"/>
    </w:rPr>
  </w:style>
  <w:style w:type="character" w:styleId="731">
    <w:name w:val="Emphasis"/>
    <w:basedOn w:val="709"/>
    <w:uiPriority w:val="20"/>
    <w:qFormat/>
    <w:rPr>
      <w:i/>
      <w:iCs/>
    </w:rPr>
  </w:style>
  <w:style w:type="character" w:styleId="732">
    <w:name w:val="Hyperlink"/>
    <w:uiPriority w:val="99"/>
    <w:qFormat/>
    <w:rPr>
      <w:color w:val="0000ff"/>
      <w:u w:val="single"/>
    </w:rPr>
  </w:style>
  <w:style w:type="character" w:styleId="733">
    <w:name w:val="annotation reference"/>
    <w:basedOn w:val="709"/>
    <w:uiPriority w:val="99"/>
    <w:qFormat/>
    <w:rPr>
      <w:sz w:val="21"/>
      <w:szCs w:val="21"/>
    </w:rPr>
  </w:style>
  <w:style w:type="paragraph" w:styleId="734" w:customStyle="1">
    <w:name w:val="正文首行缩进 21"/>
    <w:basedOn w:val="735"/>
    <w:qFormat/>
    <w:pPr>
      <w:ind w:left="420" w:firstLine="420"/>
      <w:spacing w:after="120" w:line="480" w:lineRule="exact"/>
    </w:pPr>
    <w:rPr>
      <w:szCs w:val="20"/>
    </w:rPr>
  </w:style>
  <w:style w:type="paragraph" w:styleId="735" w:customStyle="1">
    <w:name w:val="正文文本缩进11"/>
    <w:basedOn w:val="704"/>
    <w:next w:val="704"/>
    <w:qFormat/>
    <w:pPr>
      <w:ind w:firstLine="570"/>
      <w:spacing w:line="360" w:lineRule="auto"/>
    </w:pPr>
    <w:rPr>
      <w:sz w:val="24"/>
    </w:rPr>
  </w:style>
  <w:style w:type="paragraph" w:styleId="736" w:customStyle="1">
    <w:name w:val="Default"/>
    <w:qFormat/>
    <w:pPr>
      <w:widowControl w:val="off"/>
    </w:pPr>
    <w:rPr>
      <w:rFonts w:ascii="宋体" w:cs="宋体" w:hAnsiTheme="minorHAnsi"/>
      <w:color w:val="000000"/>
      <w:sz w:val="24"/>
      <w:szCs w:val="24"/>
    </w:rPr>
  </w:style>
  <w:style w:type="character" w:styleId="737" w:customStyle="1">
    <w:name w:val="页眉 字符"/>
    <w:basedOn w:val="709"/>
    <w:link w:val="721"/>
    <w:uiPriority w:val="99"/>
    <w:qFormat/>
    <w:rPr>
      <w:sz w:val="18"/>
      <w:szCs w:val="18"/>
    </w:rPr>
  </w:style>
  <w:style w:type="character" w:styleId="738" w:customStyle="1">
    <w:name w:val="页脚 字符"/>
    <w:basedOn w:val="709"/>
    <w:link w:val="719"/>
    <w:uiPriority w:val="99"/>
    <w:qFormat/>
    <w:rPr>
      <w:sz w:val="18"/>
      <w:szCs w:val="18"/>
    </w:rPr>
  </w:style>
  <w:style w:type="character" w:styleId="739" w:customStyle="1">
    <w:name w:val="标题 1 字符1"/>
    <w:basedOn w:val="709"/>
    <w:link w:val="705"/>
    <w:uiPriority w:val="9"/>
    <w:qFormat/>
    <w:rPr>
      <w:b/>
      <w:sz w:val="36"/>
      <w:szCs w:val="36"/>
    </w:rPr>
  </w:style>
  <w:style w:type="character" w:styleId="740" w:customStyle="1">
    <w:name w:val="NormalCharacter"/>
    <w:basedOn w:val="709"/>
    <w:qFormat/>
  </w:style>
  <w:style w:type="character" w:styleId="741" w:customStyle="1">
    <w:name w:val="正文文本 字符"/>
    <w:basedOn w:val="709"/>
    <w:link w:val="715"/>
    <w:qFormat/>
    <w:rPr>
      <w:rFonts w:ascii="宋体" w:hAnsi="宋体" w:eastAsia="宋体" w:cs="Times New Roman"/>
      <w:sz w:val="24"/>
      <w:szCs w:val="24"/>
    </w:rPr>
  </w:style>
  <w:style w:type="character" w:styleId="742" w:customStyle="1">
    <w:name w:val="标题 2 字符1"/>
    <w:basedOn w:val="709"/>
    <w:link w:val="706"/>
    <w:uiPriority w:val="9"/>
    <w:semiHidden/>
    <w:qFormat/>
    <w:rPr>
      <w:rFonts w:asciiTheme="majorHAnsi" w:hAnsiTheme="majorHAnsi" w:eastAsiaTheme="majorEastAsia" w:cstheme="majorBidi"/>
      <w:b/>
      <w:bCs/>
      <w:sz w:val="32"/>
      <w:szCs w:val="32"/>
    </w:rPr>
  </w:style>
  <w:style w:type="character" w:styleId="743" w:customStyle="1">
    <w:name w:val="纯文本 字符"/>
    <w:basedOn w:val="709"/>
    <w:link w:val="717"/>
    <w:qFormat/>
    <w:rPr>
      <w:rFonts w:ascii="宋体" w:hAnsi="Courier New" w:eastAsia="宋体" w:cs="Times New Roman"/>
      <w:szCs w:val="20"/>
    </w:rPr>
  </w:style>
  <w:style w:type="paragraph" w:styleId="744">
    <w:name w:val="List Paragraph"/>
    <w:basedOn w:val="704"/>
    <w:link w:val="749"/>
    <w:uiPriority w:val="99"/>
    <w:qFormat/>
    <w:pPr>
      <w:ind w:firstLine="420"/>
    </w:pPr>
  </w:style>
  <w:style w:type="character" w:styleId="745" w:customStyle="1">
    <w:name w:val="批注文字 Char"/>
    <w:basedOn w:val="709"/>
    <w:uiPriority w:val="99"/>
    <w:qFormat/>
  </w:style>
  <w:style w:type="character" w:styleId="746" w:customStyle="1">
    <w:name w:val="批注文字 字符"/>
    <w:link w:val="714"/>
    <w:qFormat/>
    <w:rPr>
      <w:rFonts w:ascii="Times New Roman" w:hAnsi="Times New Roman" w:eastAsia="宋体" w:cs="Times New Roman"/>
      <w:szCs w:val="24"/>
    </w:rPr>
  </w:style>
  <w:style w:type="character" w:styleId="747" w:customStyle="1">
    <w:name w:val="批注框文本 字符"/>
    <w:basedOn w:val="709"/>
    <w:link w:val="718"/>
    <w:uiPriority w:val="99"/>
    <w:semiHidden/>
    <w:qFormat/>
    <w:rPr>
      <w:sz w:val="18"/>
      <w:szCs w:val="18"/>
    </w:rPr>
  </w:style>
  <w:style w:type="paragraph" w:styleId="748"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49" w:customStyle="1">
    <w:name w:val="列表段落 字符1"/>
    <w:link w:val="744"/>
    <w:uiPriority w:val="34"/>
    <w:qFormat/>
  </w:style>
  <w:style w:type="character" w:styleId="750" w:customStyle="1">
    <w:name w:val="标题 3 字符"/>
    <w:basedOn w:val="709"/>
    <w:link w:val="707"/>
    <w:uiPriority w:val="9"/>
    <w:semiHidden/>
    <w:qFormat/>
    <w:rPr>
      <w:b/>
      <w:bCs/>
      <w:sz w:val="32"/>
      <w:szCs w:val="32"/>
    </w:rPr>
  </w:style>
  <w:style w:type="character" w:styleId="751" w:customStyle="1">
    <w:name w:val="正文缩进 字符"/>
    <w:link w:val="712"/>
    <w:uiPriority w:val="99"/>
    <w:qFormat/>
    <w:rPr>
      <w:rFonts w:ascii="宋体" w:hAnsi="Times New Roman" w:eastAsia="宋体" w:cs="Times New Roman"/>
      <w:sz w:val="24"/>
      <w:szCs w:val="24"/>
    </w:rPr>
  </w:style>
  <w:style w:type="paragraph" w:styleId="752" w:customStyle="1">
    <w:name w:val="Table Paragraph"/>
    <w:basedOn w:val="704"/>
    <w:uiPriority w:val="1"/>
    <w:qFormat/>
    <w:pPr>
      <w:jc w:val="left"/>
    </w:pPr>
    <w:rPr>
      <w:rFonts w:ascii="宋体" w:hAnsi="宋体" w:eastAsia="宋体" w:cs="宋体"/>
      <w:sz w:val="22"/>
      <w:lang w:eastAsia="en-US"/>
    </w:rPr>
  </w:style>
  <w:style w:type="paragraph" w:styleId="753" w:customStyle="1">
    <w:name w:val="179"/>
    <w:basedOn w:val="704"/>
    <w:qFormat/>
    <w:pPr>
      <w:ind w:firstLine="420"/>
    </w:pPr>
    <w:rPr>
      <w:rFonts w:ascii="Calibri" w:hAnsi="Calibri" w:eastAsia="宋体" w:cs="Times New Roman"/>
    </w:rPr>
  </w:style>
  <w:style w:type="paragraph" w:styleId="754" w:customStyle="1">
    <w:name w:val="成文日期"/>
    <w:basedOn w:val="704"/>
    <w:link w:val="755"/>
    <w:qFormat/>
    <w:pPr>
      <w:ind w:right="400" w:firstLine="200"/>
      <w:jc w:val="right"/>
      <w:spacing w:line="570" w:lineRule="exact"/>
    </w:pPr>
    <w:rPr>
      <w:rFonts w:ascii="仿宋_GB2312" w:hAnsi="Times New Roman" w:eastAsia="仿宋_GB2312" w:cs="Times New Roman"/>
      <w:sz w:val="32"/>
      <w:szCs w:val="20"/>
    </w:rPr>
  </w:style>
  <w:style w:type="character" w:styleId="755" w:customStyle="1">
    <w:name w:val="成文日期 Char"/>
    <w:link w:val="754"/>
    <w:qFormat/>
    <w:rPr>
      <w:rFonts w:ascii="仿宋_GB2312" w:hAnsi="Times New Roman" w:eastAsia="仿宋_GB2312" w:cs="Times New Roman"/>
      <w:sz w:val="32"/>
      <w:szCs w:val="20"/>
    </w:rPr>
  </w:style>
  <w:style w:type="paragraph" w:styleId="756" w:customStyle="1">
    <w:name w:val="Plain Text1"/>
    <w:next w:val="723"/>
    <w:qFormat/>
    <w:pPr>
      <w:jc w:val="both"/>
      <w:widowControl w:val="off"/>
    </w:pPr>
    <w:rPr>
      <w:rFonts w:ascii="宋体" w:hAnsi="宋体" w:eastAsia="楷体_GB2312"/>
      <w:sz w:val="26"/>
      <w:szCs w:val="22"/>
    </w:rPr>
  </w:style>
  <w:style w:type="character" w:styleId="757" w:customStyle="1">
    <w:name w:val="普通(网站) 字符1"/>
    <w:link w:val="725"/>
    <w:qFormat/>
    <w:rPr>
      <w:rFonts w:ascii="Arial Unicode MS" w:hAnsi="Arial Unicode MS" w:eastAsia="Arial Unicode MS" w:cs="Arial Unicode MS"/>
      <w:sz w:val="24"/>
      <w:szCs w:val="24"/>
    </w:rPr>
  </w:style>
  <w:style w:type="character" w:styleId="758" w:customStyle="1">
    <w:name w:val="文档结构图 字符"/>
    <w:basedOn w:val="709"/>
    <w:link w:val="713"/>
    <w:uiPriority w:val="99"/>
    <w:semiHidden/>
    <w:qFormat/>
    <w:rPr>
      <w:rFonts w:ascii="宋体" w:eastAsia="宋体"/>
      <w:sz w:val="18"/>
      <w:szCs w:val="18"/>
    </w:rPr>
  </w:style>
  <w:style w:type="character" w:styleId="759" w:customStyle="1">
    <w:name w:val="批注主题 字符"/>
    <w:basedOn w:val="746"/>
    <w:link w:val="726"/>
    <w:uiPriority w:val="99"/>
    <w:semiHidden/>
    <w:qFormat/>
    <w:rPr>
      <w:rFonts w:ascii="Times New Roman" w:hAnsi="Times New Roman" w:eastAsia="宋体" w:cs="Times New Roman"/>
      <w:b/>
      <w:bCs/>
      <w:szCs w:val="24"/>
    </w:rPr>
  </w:style>
  <w:style w:type="character" w:styleId="760" w:customStyle="1">
    <w:name w:val="正文缩进 Char1"/>
    <w:uiPriority w:val="99"/>
    <w:qFormat/>
    <w:rPr>
      <w:rFonts w:ascii="宋体" w:eastAsia="宋体"/>
      <w:sz w:val="24"/>
      <w:szCs w:val="24"/>
      <w:lang w:val="en-US" w:eastAsia="zh-CN" w:bidi="ar-SA"/>
    </w:rPr>
  </w:style>
  <w:style w:type="paragraph" w:styleId="761" w:customStyle="1">
    <w:name w:val="列表段落1"/>
    <w:basedOn w:val="704"/>
    <w:qFormat/>
    <w:pPr>
      <w:ind w:firstLine="420"/>
      <w:jc w:val="left"/>
    </w:pPr>
    <w:rPr>
      <w:rFonts w:ascii="Calibri" w:hAnsi="Calibri" w:eastAsia="宋体" w:cs="Times New Roman"/>
      <w:sz w:val="20"/>
      <w:szCs w:val="20"/>
    </w:rPr>
  </w:style>
  <w:style w:type="paragraph" w:styleId="762" w:customStyle="1">
    <w:name w:val="p0"/>
    <w:basedOn w:val="704"/>
    <w:qFormat/>
    <w:pPr>
      <w:widowControl/>
    </w:pPr>
    <w:rPr>
      <w:rFonts w:ascii="Calibri" w:hAnsi="Calibri" w:eastAsia="宋体" w:cs="Times New Roman"/>
      <w:szCs w:val="24"/>
    </w:rPr>
  </w:style>
  <w:style w:type="character" w:styleId="763" w:customStyle="1">
    <w:name w:val="标题 2 字符"/>
    <w:qFormat/>
    <w:rPr>
      <w:rFonts w:ascii="Arial" w:hAnsi="Arial" w:eastAsia="黑体"/>
      <w:b/>
      <w:sz w:val="30"/>
      <w:lang w:val="en-US" w:eastAsia="zh-CN" w:bidi="ar-SA"/>
    </w:rPr>
  </w:style>
  <w:style w:type="character" w:styleId="764" w:customStyle="1">
    <w:name w:val="列表段落 字符"/>
    <w:link w:val="765"/>
    <w:uiPriority w:val="34"/>
    <w:qFormat/>
    <w:rPr>
      <w:rFonts w:ascii="Calibri" w:hAnsi="Calibri" w:eastAsia="宋体"/>
      <w:sz w:val="21"/>
      <w:szCs w:val="22"/>
      <w:lang w:val="en-US" w:eastAsia="zh-CN" w:bidi="ar-SA"/>
    </w:rPr>
  </w:style>
  <w:style w:type="paragraph" w:styleId="765" w:customStyle="1">
    <w:name w:val="_Style 50"/>
    <w:basedOn w:val="704"/>
    <w:next w:val="744"/>
    <w:link w:val="764"/>
    <w:uiPriority w:val="34"/>
    <w:qFormat/>
    <w:pPr>
      <w:ind w:firstLine="420"/>
    </w:pPr>
    <w:rPr>
      <w:rFonts w:ascii="Calibri" w:hAnsi="Calibri" w:eastAsia="宋体"/>
    </w:rPr>
  </w:style>
  <w:style w:type="character" w:styleId="766" w:customStyle="1">
    <w:name w:val="批注主题 Char1"/>
    <w:uiPriority w:val="99"/>
    <w:semiHidden/>
    <w:qFormat/>
    <w:rPr>
      <w:b/>
      <w:bCs/>
      <w:sz w:val="21"/>
      <w:szCs w:val="24"/>
    </w:rPr>
  </w:style>
  <w:style w:type="character" w:styleId="767" w:customStyle="1">
    <w:name w:val="纯文本 字符2"/>
    <w:qFormat/>
    <w:rPr>
      <w:rFonts w:hint="eastAsia" w:ascii="宋体" w:hAnsi="Courier New" w:eastAsia="宋体" w:cs="宋体"/>
      <w:sz w:val="21"/>
    </w:rPr>
  </w:style>
  <w:style w:type="character" w:styleId="768" w:customStyle="1">
    <w:name w:val="普通(网站) 字符"/>
    <w:uiPriority w:val="99"/>
    <w:qFormat/>
    <w:rPr>
      <w:rFonts w:ascii="宋体" w:hAnsi="宋体" w:cs="宋体"/>
      <w:sz w:val="24"/>
      <w:szCs w:val="24"/>
    </w:rPr>
  </w:style>
  <w:style w:type="character" w:styleId="769" w:customStyle="1">
    <w:name w:val="标题 1 字符"/>
    <w:qFormat/>
    <w:rPr>
      <w:rFonts w:ascii="宋体"/>
      <w:b/>
      <w:sz w:val="32"/>
    </w:rPr>
  </w:style>
  <w:style w:type="paragraph" w:styleId="770" w:customStyle="1">
    <w:name w:val="修订1"/>
    <w:hidden/>
    <w:uiPriority w:val="99"/>
    <w:unhideWhenUsed/>
    <w:qFormat/>
    <w:rPr>
      <w:rFonts w:asciiTheme="minorHAnsi" w:hAnsiTheme="minorHAnsi" w:eastAsiaTheme="minorEastAsia" w:cstheme="minorBidi"/>
      <w:sz w:val="21"/>
      <w:szCs w:val="22"/>
    </w:rPr>
  </w:style>
  <w:style w:type="paragraph" w:styleId="771"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72"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73" w:customStyle="1">
    <w:name w:val="Heading 3 Char"/>
    <w:basedOn w:val="709"/>
    <w:uiPriority w:val="9"/>
    <w:qFormat/>
    <w:rPr>
      <w:rFonts w:ascii="Arial" w:hAnsi="Arial" w:eastAsia="Arial" w:cs="Arial"/>
      <w:sz w:val="30"/>
      <w:szCs w:val="30"/>
    </w:rPr>
  </w:style>
  <w:style w:type="paragraph" w:styleId="774" w:customStyle="1">
    <w:name w:val="**"/>
    <w:basedOn w:val="706"/>
    <w:qFormat/>
    <w:pPr>
      <w:spacing w:before="120" w:after="120" w:line="320" w:lineRule="exact"/>
      <w:tabs>
        <w:tab w:val="left" w:pos="900" w:leader="none"/>
      </w:tabs>
    </w:pPr>
    <w:rPr>
      <w:rFonts w:ascii="Arial" w:hAnsi="Arial" w:eastAsia="黑体"/>
      <w:sz w:val="28"/>
      <w:szCs w:val="28"/>
      <w:lang w:val="en-GB"/>
    </w:rPr>
  </w:style>
  <w:style w:type="paragraph" w:styleId="775" w:customStyle="1">
    <w:name w:val="表格"/>
    <w:basedOn w:val="704"/>
    <w:qFormat/>
    <w:pPr>
      <w:jc w:val="center"/>
    </w:pPr>
    <w:rPr>
      <w:rFonts w:ascii="Times New Roman" w:hAnsi="Times New Roman" w:cs="Times New Roman"/>
      <w:szCs w:val="24"/>
    </w:rPr>
  </w:style>
  <w:style w:type="paragraph" w:styleId="776" w:customStyle="1">
    <w:name w:val="文档结构图1"/>
    <w:qFormat/>
    <w:pPr>
      <w:jc w:val="both"/>
      <w:shd w:val="clear" w:color="auto" w:fill="000080"/>
      <w:widowControl w:val="off"/>
    </w:pPr>
    <w:rPr>
      <w:sz w:val="21"/>
    </w:rPr>
  </w:style>
  <w:style w:type="paragraph" w:styleId="777" w:customStyle="1">
    <w:name w:val="正文文本1"/>
    <w:basedOn w:val="704"/>
    <w:qFormat/>
    <w:pPr>
      <w:spacing w:after="120"/>
    </w:pPr>
  </w:style>
  <w:style w:type="paragraph" w:styleId="778" w:customStyle="1">
    <w:name w:val="pt-ad"/>
    <w:basedOn w:val="704"/>
    <w:qFormat/>
    <w:pPr>
      <w:jc w:val="left"/>
      <w:spacing w:before="100" w:beforeAutospacing="1" w:after="100" w:afterAutospacing="1"/>
      <w:widowControl/>
    </w:pPr>
    <w:rPr>
      <w:rFonts w:ascii="宋体" w:hAnsi="宋体" w:eastAsia="宋体" w:cs="宋体"/>
      <w:sz w:val="24"/>
    </w:rPr>
  </w:style>
  <w:style w:type="character" w:styleId="779" w:customStyle="1">
    <w:name w:val="pt-a0-000020"/>
    <w:basedOn w:val="709"/>
    <w:qFormat/>
  </w:style>
  <w:style w:type="paragraph" w:styleId="780" w:customStyle="1">
    <w:name w:val="pt-a-000025"/>
    <w:basedOn w:val="704"/>
    <w:qFormat/>
    <w:pPr>
      <w:jc w:val="left"/>
      <w:spacing w:before="100" w:beforeAutospacing="1" w:after="100" w:afterAutospacing="1"/>
      <w:widowControl/>
    </w:pPr>
    <w:rPr>
      <w:rFonts w:ascii="宋体" w:hAnsi="宋体" w:eastAsia="宋体" w:cs="宋体"/>
      <w:sz w:val="24"/>
    </w:rPr>
  </w:style>
  <w:style w:type="character" w:styleId="781" w:customStyle="1">
    <w:name w:val="pt-a0-000004"/>
    <w:basedOn w:val="709"/>
    <w:qFormat/>
  </w:style>
  <w:style w:type="character" w:styleId="782" w:customStyle="1">
    <w:name w:val="pt-a0-000005"/>
    <w:basedOn w:val="709"/>
    <w:qFormat/>
  </w:style>
  <w:style w:type="paragraph" w:styleId="783" w:customStyle="1">
    <w:name w:val="Table Text"/>
    <w:basedOn w:val="704"/>
    <w:qFormat/>
    <w:pPr>
      <w:jc w:val="left"/>
    </w:pPr>
    <w:rPr>
      <w:rFonts w:hint="eastAsia" w:ascii="宋体" w:hAnsi="宋体" w:eastAsia="宋体" w:cs="Times New Roman"/>
      <w:color w:val="000000"/>
      <w:sz w:val="26"/>
      <w:szCs w:val="26"/>
    </w:rPr>
  </w:style>
  <w:style w:type="paragraph" w:styleId="784" w:customStyle="1">
    <w:name w:val="列出段落"/>
    <w:basedOn w:val="704"/>
    <w:uiPriority w:val="34"/>
    <w:qFormat/>
    <w:pPr>
      <w:ind w:firstLine="420"/>
    </w:pPr>
    <w:rPr>
      <w:rFonts w:ascii="Calibri" w:hAnsi="Calibri" w:eastAsia="宋体" w:cs="Times New Roman"/>
    </w:rPr>
  </w:style>
  <w:style w:type="character" w:styleId="785" w:customStyle="1">
    <w:name w:val="标题 4 字符"/>
    <w:basedOn w:val="709"/>
    <w:link w:val="708"/>
    <w:uiPriority w:val="9"/>
    <w:semiHidden/>
    <w:qFormat/>
    <w:rPr>
      <w:rFonts w:asciiTheme="majorHAnsi" w:hAnsiTheme="majorHAnsi" w:eastAsiaTheme="majorEastAsia" w:cstheme="majorBidi"/>
      <w:b/>
      <w:bCs/>
      <w:sz w:val="28"/>
      <w:szCs w:val="28"/>
    </w:rPr>
  </w:style>
  <w:style w:type="paragraph" w:styleId="786" w:customStyle="1">
    <w:name w:val="二级目录"/>
    <w:basedOn w:val="704"/>
    <w:next w:val="704"/>
    <w:qFormat/>
    <w:pPr>
      <w:numPr>
        <w:numId w:val="1"/>
      </w:numPr>
      <w:jc w:val="left"/>
      <w:widowControl/>
      <w:tabs>
        <w:tab w:val="left" w:pos="720" w:leader="none"/>
      </w:tabs>
      <w:outlineLvl w:val="1"/>
    </w:pPr>
    <w:rPr>
      <w:rFonts w:ascii="Calibri" w:hAnsi="Calibri" w:eastAsia="宋体" w:cs="Times New Roman"/>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1098</cp:revision>
  <dcterms:created xsi:type="dcterms:W3CDTF">2024-01-01T02:41:00Z</dcterms:created>
  <dcterms:modified xsi:type="dcterms:W3CDTF">2026-06-23T02:11:15Z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E87508ACAB5747ECB2CE65351C808C55_13</vt:lpwstr>
  </property>
  <property fmtid="{D5CDD505-2E9C-101B-9397-08002B2CF9AE}" pid="4" name="KSOTemplateDocerSaveRecord">
    <vt:lpwstr>eyJoZGlkIjoiZDdjM2M1NmFlODg4YmJmM2M4NzlhNzYxZTFkYWU4YzkiLCJ1c2VySWQiOiI1NDcwNzYxNTYifQ==</vt:lpwstr>
  </property>
</Properties>
</file>