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pStyle w:val="913"/>
        <w:rPr>
          <w:color w:val="auto"/>
          <w:highlight w:val="none"/>
        </w:rPr>
      </w:pPr>
      <w:r>
        <w:rPr>
          <w:color w:val="auto"/>
          <w:highlight w:val="none"/>
        </w:rPr>
      </w:r>
      <w:r/>
    </w:p>
    <w:p>
      <w:pPr>
        <w:pStyle w:val="924"/>
        <w:jc w:val="center"/>
        <w:rPr>
          <w:rFonts w:eastAsia="黑体"/>
          <w:b/>
          <w:bCs/>
          <w:color w:val="auto"/>
          <w:sz w:val="84"/>
          <w:highlight w:val="none"/>
        </w:rPr>
      </w:pPr>
      <w:r>
        <w:rPr>
          <w:rFonts w:hint="eastAsia" w:eastAsia="黑体"/>
          <w:b/>
          <w:bCs/>
          <w:color w:val="auto"/>
          <w:sz w:val="84"/>
          <w:highlight w:val="none"/>
        </w:rPr>
        <w:t xml:space="preserve">招　标　文　件</w:t>
      </w:r>
      <w:r/>
    </w:p>
    <w:p>
      <w:pPr>
        <w:ind w:left="2997" w:hanging="1506"/>
        <w:spacing w:line="360" w:lineRule="auto"/>
        <w:rPr>
          <w:b/>
          <w:color w:val="auto"/>
          <w:sz w:val="30"/>
          <w:szCs w:val="30"/>
          <w:highlight w:val="none"/>
          <w:u w:val="single"/>
        </w:rPr>
      </w:pPr>
      <w:r>
        <w:rPr>
          <w:rFonts w:hint="eastAsia"/>
          <w:b/>
          <w:color w:val="auto"/>
          <w:sz w:val="30"/>
          <w:szCs w:val="30"/>
          <w:highlight w:val="none"/>
        </w:rPr>
        <w:t xml:space="preserve">项目名称：</w:t>
      </w:r>
      <w:r>
        <w:rPr>
          <w:rFonts w:hint="eastAsia"/>
          <w:b/>
          <w:color w:val="auto"/>
          <w:sz w:val="30"/>
          <w:szCs w:val="30"/>
          <w:highlight w:val="none"/>
          <w:lang w:val="en-US" w:eastAsia="zh-CN"/>
        </w:rPr>
        <w:t xml:space="preserve">行知中学教学、办公木器及后勤等设备采购项目</w:t>
      </w:r>
      <w:r/>
    </w:p>
    <w:p>
      <w:pPr>
        <w:ind w:firstLine="1506"/>
        <w:rPr>
          <w:rFonts w:hint="eastAsia" w:eastAsia="宋体" w:cs="Times New Roman"/>
          <w:b/>
          <w:color w:val="auto"/>
          <w:sz w:val="30"/>
          <w:szCs w:val="30"/>
          <w:highlight w:val="none"/>
          <w:lang w:eastAsia="zh-CN"/>
        </w:rPr>
        <w:outlineLvl w:val="0"/>
      </w:pPr>
      <w:r/>
      <w:bookmarkStart w:id="0" w:name="_Toc29996"/>
      <w:r/>
      <w:bookmarkStart w:id="1" w:name="_Toc13823"/>
      <w:r>
        <w:rPr>
          <w:rFonts w:hint="eastAsia"/>
          <w:b/>
          <w:color w:val="auto"/>
          <w:sz w:val="30"/>
          <w:szCs w:val="30"/>
          <w:highlight w:val="none"/>
        </w:rPr>
        <w:t xml:space="preserve">项目编号：</w:t>
      </w:r>
      <w:bookmarkEnd w:id="0"/>
      <w:r/>
      <w:bookmarkEnd w:id="1"/>
      <w:r>
        <w:rPr>
          <w:rFonts w:hint="eastAsia" w:ascii="Times New Roman" w:hAnsi="Times New Roman" w:eastAsia="宋体" w:cs="Times New Roman"/>
          <w:b/>
          <w:bCs w:val="0"/>
          <w:color w:val="auto"/>
          <w:sz w:val="32"/>
          <w:szCs w:val="32"/>
          <w:highlight w:val="none"/>
          <w:u w:val="none"/>
          <w:lang w:eastAsia="zh-CN"/>
        </w:rPr>
        <w:t xml:space="preserve">JSZC-320111-JZCG-G2026-0036 </w:t>
      </w:r>
      <w:r>
        <w:rPr>
          <w:rFonts w:hint="eastAsia" w:eastAsia="宋体" w:cs="Times New Roman"/>
          <w:b/>
          <w:color w:val="auto"/>
          <w:sz w:val="30"/>
          <w:szCs w:val="30"/>
          <w:highlight w:val="none"/>
          <w:lang w:eastAsia="zh-CN"/>
        </w:rPr>
        <w:t xml:space="preserve">             </w:t>
      </w:r>
      <w:r/>
    </w:p>
    <w:p>
      <w:pPr>
        <w:ind w:firstLine="2177"/>
        <w:spacing w:line="360" w:lineRule="auto"/>
        <w:rPr>
          <w:b/>
          <w:color w:val="auto"/>
          <w:sz w:val="30"/>
          <w:szCs w:val="30"/>
          <w:highlight w:val="none"/>
        </w:rPr>
      </w:pPr>
      <w:r>
        <w:rPr>
          <w:rFonts w:hint="eastAsia" w:eastAsia="宋体" w:cs="Times New Roman"/>
          <w:b/>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highlight w:val="none"/>
          <w:lang w:eastAsia="zh-CN"/>
        </w:rPr>
        <w:t xml:space="preserve">面向中小企业</w:t>
      </w:r>
      <w:r>
        <w:rPr>
          <w:rFonts w:hint="eastAsia" w:eastAsia="宋体" w:cs="Times New Roman"/>
          <w:b/>
          <w:color w:val="auto"/>
          <w:sz w:val="30"/>
          <w:szCs w:val="30"/>
          <w:highlight w:val="none"/>
          <w:lang w:eastAsia="zh-CN"/>
        </w:rPr>
        <w:t xml:space="preserve">）</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bookmarkStart w:id="254" w:name="_GoBack"/>
      <w:r/>
      <w:bookmarkEnd w:id="254"/>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924"/>
        <w:ind w:firstLine="0"/>
        <w:jc w:val="center"/>
        <w:rPr>
          <w:b/>
          <w:bCs/>
          <w:color w:val="auto"/>
          <w:sz w:val="32"/>
          <w:highlight w:val="none"/>
        </w:rPr>
      </w:pPr>
      <w:r>
        <w:rPr>
          <w:rFonts w:hint="eastAsia"/>
          <w:b/>
          <w:bCs/>
          <w:color w:val="auto"/>
          <w:sz w:val="32"/>
          <w:highlight w:val="none"/>
        </w:rPr>
        <w:t xml:space="preserve">南京市公共资源交易中心浦口分中心</w:t>
      </w:r>
      <w:r/>
    </w:p>
    <w:p>
      <w:pPr>
        <w:jc w:val="center"/>
        <w:rPr>
          <w:b/>
          <w:color w:val="auto"/>
          <w:sz w:val="32"/>
          <w:szCs w:val="32"/>
          <w:highlight w:val="none"/>
        </w:rPr>
      </w:pPr>
      <w:r>
        <w:rPr>
          <w:rFonts w:hint="eastAsia" w:ascii="Times New Roman" w:hAnsi="Times New Roman" w:eastAsia="宋体" w:cs="Times New Roman"/>
          <w:b/>
          <w:bCs w:val="0"/>
          <w:color w:val="auto"/>
          <w:sz w:val="32"/>
          <w:szCs w:val="32"/>
          <w:highlight w:val="none"/>
          <w:u w:val="none"/>
          <w:lang w:val="en-US" w:eastAsia="zh-CN"/>
        </w:rPr>
        <w:t xml:space="preserve">2026年6月</w:t>
      </w:r>
      <w:r/>
    </w:p>
    <w:p>
      <w:pPr>
        <w:jc w:val="left"/>
        <w:spacing w:before="120" w:after="120" w:line="360" w:lineRule="auto"/>
        <w:rPr>
          <w:rFonts w:ascii="Arial" w:hAnsi="Arial"/>
          <w:color w:val="auto"/>
          <w:sz w:val="24"/>
          <w:szCs w:val="24"/>
          <w:highlight w:val="none"/>
          <w:u w:val="single"/>
        </w:rPr>
      </w:pPr>
      <w:r>
        <w:rPr>
          <w:rFonts w:ascii="Arial" w:hAnsi="Arial"/>
          <w:color w:val="auto"/>
          <w:sz w:val="24"/>
          <w:szCs w:val="24"/>
          <w:highlight w:val="none"/>
          <w:u w:val="single"/>
        </w:rPr>
      </w:r>
      <w:r/>
    </w:p>
    <w:p>
      <w:pPr>
        <w:jc w:val="center"/>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jc w:val="center"/>
        <w:spacing w:line="480" w:lineRule="auto"/>
        <w:rPr>
          <w:rFonts w:ascii="黑体" w:hAnsi="Arial" w:eastAsia="黑体"/>
          <w:b/>
          <w:color w:val="auto"/>
          <w:sz w:val="44"/>
          <w:szCs w:val="21"/>
          <w:highlight w:val="none"/>
        </w:rPr>
        <w:outlineLvl w:val="0"/>
      </w:pPr>
      <w:r>
        <w:rPr>
          <w:color w:val="auto"/>
          <w:szCs w:val="21"/>
          <w:highlight w:val="none"/>
        </w:rPr>
        <w:br w:type="page" w:clear="all"/>
      </w:r>
      <w:bookmarkStart w:id="2" w:name="_Toc9312"/>
      <w:r/>
      <w:bookmarkStart w:id="3" w:name="_Toc28793"/>
      <w:r/>
      <w:bookmarkStart w:id="4" w:name="_Toc120614210"/>
      <w:r/>
      <w:bookmarkStart w:id="5" w:name="_Toc479757206"/>
      <w:r/>
      <w:bookmarkStart w:id="6" w:name="_Toc523127445"/>
      <w:r/>
      <w:bookmarkStart w:id="7" w:name="_Toc16938516"/>
      <w:r/>
      <w:bookmarkStart w:id="8" w:name="_Toc513029200"/>
      <w:r/>
      <w:bookmarkStart w:id="9" w:name="_Toc20823272"/>
      <w:r>
        <w:rPr>
          <w:rFonts w:hint="eastAsia" w:ascii="黑体" w:hAnsi="Arial" w:eastAsia="黑体"/>
          <w:b/>
          <w:color w:val="auto"/>
          <w:sz w:val="44"/>
          <w:szCs w:val="21"/>
          <w:highlight w:val="none"/>
        </w:rPr>
        <w:t xml:space="preserve">总  目  录</w:t>
      </w:r>
      <w:bookmarkEnd w:id="2"/>
      <w:r/>
      <w:bookmarkEnd w:id="3"/>
      <w:r/>
      <w:r/>
    </w:p>
    <w:p>
      <w:pPr>
        <w:rPr>
          <w:color w:val="auto"/>
          <w:szCs w:val="21"/>
          <w:highlight w:val="none"/>
        </w:rPr>
      </w:pPr>
      <w:r>
        <w:rPr>
          <w:color w:val="auto"/>
          <w:szCs w:val="21"/>
          <w:highlight w:val="none"/>
        </w:rPr>
      </w:r>
      <w:r/>
    </w:p>
    <w:sdt>
      <w:sdtPr>
        <w15:appearance w15:val="boundingBox"/>
        <w15:color w:val="dbdbdb"/>
        <w:id w:val="147482354"/>
        <w:docPartObj>
          <w:docPartGallery w:val="Table of Contents"/>
          <w:docPartUnique w:val="true"/>
        </w:docPartObj>
        <w:rPr>
          <w:rFonts w:hint="default" w:ascii="宋体" w:hAnsi="宋体" w:eastAsia="宋体" w:cs="Times New Roman"/>
          <w:color w:val="auto"/>
          <w:sz w:val="21"/>
          <w:szCs w:val="22"/>
          <w:highlight w:val="none"/>
        </w:rPr>
      </w:sdtPr>
      <w:sdtContent>
        <w:p>
          <w:pPr>
            <w:pStyle w:val="696"/>
            <w:spacing w:line="720" w:lineRule="auto"/>
            <w:tabs>
              <w:tab w:val="right" w:pos="9746" w:leader="dot"/>
            </w:tabs>
            <w:rPr>
              <w:rFonts w:hint="eastAsia" w:ascii="黑体" w:hAnsi="黑体" w:eastAsia="黑体" w:cs="黑体"/>
              <w:b/>
              <w:bCs/>
              <w:color w:val="auto"/>
              <w:sz w:val="36"/>
              <w:szCs w:val="36"/>
              <w:highlight w:val="none"/>
            </w:rPr>
          </w:pPr>
          <w:r>
            <w:rPr>
              <w:color w:val="auto"/>
              <w:szCs w:val="21"/>
              <w:highlight w:val="none"/>
            </w:rPr>
            <w:fldChar w:fldCharType="begin"/>
          </w:r>
          <w:r>
            <w:rPr>
              <w:color w:val="auto"/>
              <w:szCs w:val="21"/>
              <w:highlight w:val="none"/>
            </w:rPr>
            <w:instrText xml:space="preserve">TOC \o "1-1" \h \u </w:instrText>
          </w:r>
          <w:r>
            <w:rPr>
              <w:color w:val="auto"/>
              <w:szCs w:val="21"/>
              <w:highlight w:val="none"/>
            </w:rPr>
            <w:fldChar w:fldCharType="separate"/>
          </w:r>
          <w:r/>
        </w:p>
        <w:p>
          <w:pPr>
            <w:pStyle w:val="696"/>
            <w:spacing w:line="720" w:lineRule="auto"/>
            <w:tabs>
              <w:tab w:val="right" w:pos="9746" w:leader="dot"/>
            </w:tabs>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fldChar w:fldCharType="begin"/>
          </w:r>
          <w:r>
            <w:rPr>
              <w:rFonts w:hint="eastAsia" w:ascii="黑体" w:hAnsi="黑体" w:eastAsia="黑体" w:cs="黑体"/>
              <w:b/>
              <w:bCs/>
              <w:color w:val="auto"/>
              <w:sz w:val="36"/>
              <w:szCs w:val="36"/>
              <w:highlight w:val="none"/>
            </w:rPr>
            <w:instrText xml:space="preserve"> HYPERLINK \l _Toc8709 </w:instrText>
          </w:r>
          <w:r>
            <w:rPr>
              <w:rFonts w:hint="eastAsia" w:ascii="黑体" w:hAnsi="黑体" w:eastAsia="黑体" w:cs="黑体"/>
              <w:b/>
              <w:bCs/>
              <w:color w:val="auto"/>
              <w:sz w:val="36"/>
              <w:szCs w:val="36"/>
              <w:highlight w:val="none"/>
            </w:rPr>
            <w:fldChar w:fldCharType="separate"/>
          </w:r>
          <w:r>
            <w:rPr>
              <w:rFonts w:hint="eastAsia" w:ascii="黑体" w:hAnsi="黑体" w:eastAsia="黑体" w:cs="黑体"/>
              <w:b/>
              <w:bCs/>
              <w:color w:val="auto"/>
              <w:sz w:val="36"/>
              <w:szCs w:val="36"/>
              <w:highlight w:val="none"/>
            </w:rPr>
            <w:t xml:space="preserve">第一章  投标邀请</w:t>
          </w:r>
          <w:r>
            <w:rPr>
              <w:rFonts w:hint="eastAsia" w:ascii="黑体" w:hAnsi="黑体" w:eastAsia="黑体" w:cs="黑体"/>
              <w:b/>
              <w:bCs/>
              <w:color w:val="auto"/>
              <w:sz w:val="36"/>
              <w:szCs w:val="36"/>
              <w:highlight w:val="none"/>
            </w:rPr>
            <w:tab/>
          </w:r>
          <w:r>
            <w:rPr>
              <w:rFonts w:hint="eastAsia" w:ascii="黑体" w:hAnsi="黑体" w:eastAsia="黑体" w:cs="黑体"/>
              <w:b/>
              <w:bCs/>
              <w:color w:val="auto"/>
              <w:sz w:val="36"/>
              <w:szCs w:val="36"/>
              <w:highlight w:val="none"/>
            </w:rPr>
            <w:fldChar w:fldCharType="begin"/>
          </w:r>
          <w:r>
            <w:rPr>
              <w:rFonts w:hint="eastAsia" w:ascii="黑体" w:hAnsi="黑体" w:eastAsia="黑体" w:cs="黑体"/>
              <w:b/>
              <w:bCs/>
              <w:color w:val="auto"/>
              <w:sz w:val="36"/>
              <w:szCs w:val="36"/>
              <w:highlight w:val="none"/>
            </w:rPr>
            <w:instrText xml:space="preserve"> PAGEREF _Toc8709 \h </w:instrText>
          </w:r>
          <w:r>
            <w:rPr>
              <w:rFonts w:hint="eastAsia" w:ascii="黑体" w:hAnsi="黑体" w:eastAsia="黑体" w:cs="黑体"/>
              <w:b/>
              <w:bCs/>
              <w:color w:val="auto"/>
              <w:sz w:val="36"/>
              <w:szCs w:val="36"/>
              <w:highlight w:val="none"/>
            </w:rPr>
            <w:fldChar w:fldCharType="separate"/>
          </w:r>
          <w:r>
            <w:rPr>
              <w:rFonts w:hint="eastAsia" w:ascii="黑体" w:hAnsi="黑体" w:eastAsia="黑体" w:cs="黑体"/>
              <w:b/>
              <w:bCs/>
              <w:color w:val="auto"/>
              <w:sz w:val="36"/>
              <w:szCs w:val="36"/>
              <w:highlight w:val="none"/>
            </w:rPr>
            <w:t xml:space="preserve">3</w:t>
          </w:r>
          <w:r>
            <w:rPr>
              <w:rFonts w:hint="eastAsia" w:ascii="黑体" w:hAnsi="黑体" w:eastAsia="黑体" w:cs="黑体"/>
              <w:b/>
              <w:bCs/>
              <w:color w:val="auto"/>
              <w:sz w:val="36"/>
              <w:szCs w:val="36"/>
              <w:highlight w:val="none"/>
            </w:rPr>
            <w:fldChar w:fldCharType="end"/>
          </w:r>
          <w:r>
            <w:rPr>
              <w:rFonts w:hint="eastAsia" w:ascii="黑体" w:hAnsi="黑体" w:eastAsia="黑体" w:cs="黑体"/>
              <w:b/>
              <w:bCs/>
              <w:color w:val="auto"/>
              <w:sz w:val="36"/>
              <w:szCs w:val="36"/>
              <w:highlight w:val="none"/>
            </w:rPr>
            <w:fldChar w:fldCharType="end"/>
          </w:r>
          <w:r/>
        </w:p>
        <w:p>
          <w:pPr>
            <w:pStyle w:val="696"/>
            <w:spacing w:line="720" w:lineRule="auto"/>
            <w:tabs>
              <w:tab w:val="right" w:pos="9746" w:leader="dot"/>
            </w:tabs>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fldChar w:fldCharType="begin"/>
          </w:r>
          <w:r>
            <w:rPr>
              <w:rFonts w:hint="eastAsia" w:ascii="黑体" w:hAnsi="黑体" w:eastAsia="黑体" w:cs="黑体"/>
              <w:b/>
              <w:bCs/>
              <w:color w:val="auto"/>
              <w:sz w:val="36"/>
              <w:szCs w:val="36"/>
              <w:highlight w:val="none"/>
            </w:rPr>
            <w:instrText xml:space="preserve"> HYPERLINK \l _Toc27691 </w:instrText>
          </w:r>
          <w:r>
            <w:rPr>
              <w:rFonts w:hint="eastAsia" w:ascii="黑体" w:hAnsi="黑体" w:eastAsia="黑体" w:cs="黑体"/>
              <w:b/>
              <w:bCs/>
              <w:color w:val="auto"/>
              <w:sz w:val="36"/>
              <w:szCs w:val="36"/>
              <w:highlight w:val="none"/>
            </w:rPr>
            <w:fldChar w:fldCharType="separate"/>
          </w:r>
          <w:r>
            <w:rPr>
              <w:rFonts w:hint="eastAsia" w:ascii="黑体" w:hAnsi="黑体" w:eastAsia="黑体" w:cs="黑体"/>
              <w:b/>
              <w:bCs/>
              <w:color w:val="auto"/>
              <w:sz w:val="36"/>
              <w:szCs w:val="36"/>
              <w:highlight w:val="none"/>
            </w:rPr>
            <w:t xml:space="preserve">第二章  投标人须知</w:t>
          </w:r>
          <w:r>
            <w:rPr>
              <w:rFonts w:hint="eastAsia" w:ascii="黑体" w:hAnsi="黑体" w:eastAsia="黑体" w:cs="黑体"/>
              <w:b/>
              <w:bCs/>
              <w:color w:val="auto"/>
              <w:sz w:val="36"/>
              <w:szCs w:val="36"/>
              <w:highlight w:val="none"/>
            </w:rPr>
            <w:tab/>
          </w:r>
          <w:r>
            <w:rPr>
              <w:rFonts w:hint="eastAsia" w:ascii="黑体" w:hAnsi="黑体" w:eastAsia="黑体" w:cs="黑体"/>
              <w:b/>
              <w:bCs/>
              <w:color w:val="auto"/>
              <w:sz w:val="36"/>
              <w:szCs w:val="36"/>
              <w:highlight w:val="none"/>
            </w:rPr>
            <w:fldChar w:fldCharType="begin"/>
          </w:r>
          <w:r>
            <w:rPr>
              <w:rFonts w:hint="eastAsia" w:ascii="黑体" w:hAnsi="黑体" w:eastAsia="黑体" w:cs="黑体"/>
              <w:b/>
              <w:bCs/>
              <w:color w:val="auto"/>
              <w:sz w:val="36"/>
              <w:szCs w:val="36"/>
              <w:highlight w:val="none"/>
            </w:rPr>
            <w:instrText xml:space="preserve"> PAGEREF _Toc27691 \h </w:instrText>
          </w:r>
          <w:r>
            <w:rPr>
              <w:rFonts w:hint="eastAsia" w:ascii="黑体" w:hAnsi="黑体" w:eastAsia="黑体" w:cs="黑体"/>
              <w:b/>
              <w:bCs/>
              <w:color w:val="auto"/>
              <w:sz w:val="36"/>
              <w:szCs w:val="36"/>
              <w:highlight w:val="none"/>
            </w:rPr>
            <w:fldChar w:fldCharType="separate"/>
          </w:r>
          <w:r>
            <w:rPr>
              <w:rFonts w:hint="eastAsia" w:ascii="黑体" w:hAnsi="黑体" w:eastAsia="黑体" w:cs="黑体"/>
              <w:b/>
              <w:bCs/>
              <w:color w:val="auto"/>
              <w:sz w:val="36"/>
              <w:szCs w:val="36"/>
              <w:highlight w:val="none"/>
            </w:rPr>
            <w:t xml:space="preserve">5</w:t>
          </w:r>
          <w:r>
            <w:rPr>
              <w:rFonts w:hint="eastAsia" w:ascii="黑体" w:hAnsi="黑体" w:eastAsia="黑体" w:cs="黑体"/>
              <w:b/>
              <w:bCs/>
              <w:color w:val="auto"/>
              <w:sz w:val="36"/>
              <w:szCs w:val="36"/>
              <w:highlight w:val="none"/>
            </w:rPr>
            <w:fldChar w:fldCharType="end"/>
          </w:r>
          <w:r>
            <w:rPr>
              <w:rFonts w:hint="eastAsia" w:ascii="黑体" w:hAnsi="黑体" w:eastAsia="黑体" w:cs="黑体"/>
              <w:b/>
              <w:bCs/>
              <w:color w:val="auto"/>
              <w:sz w:val="36"/>
              <w:szCs w:val="36"/>
              <w:highlight w:val="none"/>
            </w:rPr>
            <w:fldChar w:fldCharType="end"/>
          </w:r>
          <w:r/>
        </w:p>
        <w:p>
          <w:pPr>
            <w:pStyle w:val="696"/>
            <w:spacing w:line="720" w:lineRule="auto"/>
            <w:tabs>
              <w:tab w:val="right" w:pos="9746" w:leader="dot"/>
            </w:tabs>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fldChar w:fldCharType="begin"/>
          </w:r>
          <w:r>
            <w:rPr>
              <w:rFonts w:hint="eastAsia" w:ascii="黑体" w:hAnsi="黑体" w:eastAsia="黑体" w:cs="黑体"/>
              <w:b/>
              <w:bCs/>
              <w:color w:val="auto"/>
              <w:sz w:val="36"/>
              <w:szCs w:val="36"/>
              <w:highlight w:val="none"/>
            </w:rPr>
            <w:instrText xml:space="preserve"> HYPERLINK \l _Toc11304 </w:instrText>
          </w:r>
          <w:r>
            <w:rPr>
              <w:rFonts w:hint="eastAsia" w:ascii="黑体" w:hAnsi="黑体" w:eastAsia="黑体" w:cs="黑体"/>
              <w:b/>
              <w:bCs/>
              <w:color w:val="auto"/>
              <w:sz w:val="36"/>
              <w:szCs w:val="36"/>
              <w:highlight w:val="none"/>
            </w:rPr>
            <w:fldChar w:fldCharType="separate"/>
          </w:r>
          <w:r>
            <w:rPr>
              <w:rFonts w:hint="eastAsia" w:ascii="黑体" w:hAnsi="黑体" w:eastAsia="黑体" w:cs="黑体"/>
              <w:b/>
              <w:bCs/>
              <w:color w:val="auto"/>
              <w:sz w:val="36"/>
              <w:szCs w:val="36"/>
              <w:highlight w:val="none"/>
            </w:rPr>
            <w:t xml:space="preserve">第三章  合同文本</w:t>
          </w:r>
          <w:r>
            <w:rPr>
              <w:rFonts w:hint="eastAsia" w:ascii="黑体" w:hAnsi="黑体" w:eastAsia="黑体" w:cs="黑体"/>
              <w:b/>
              <w:bCs/>
              <w:color w:val="auto"/>
              <w:sz w:val="36"/>
              <w:szCs w:val="36"/>
              <w:highlight w:val="none"/>
            </w:rPr>
            <w:tab/>
          </w:r>
          <w:r>
            <w:rPr>
              <w:rFonts w:hint="eastAsia" w:ascii="黑体" w:hAnsi="黑体" w:eastAsia="黑体" w:cs="黑体"/>
              <w:b/>
              <w:bCs/>
              <w:color w:val="auto"/>
              <w:sz w:val="36"/>
              <w:szCs w:val="36"/>
              <w:highlight w:val="none"/>
            </w:rPr>
            <w:fldChar w:fldCharType="begin"/>
          </w:r>
          <w:r>
            <w:rPr>
              <w:rFonts w:hint="eastAsia" w:ascii="黑体" w:hAnsi="黑体" w:eastAsia="黑体" w:cs="黑体"/>
              <w:b/>
              <w:bCs/>
              <w:color w:val="auto"/>
              <w:sz w:val="36"/>
              <w:szCs w:val="36"/>
              <w:highlight w:val="none"/>
            </w:rPr>
            <w:instrText xml:space="preserve"> PAGEREF _Toc11304 \h </w:instrText>
          </w:r>
          <w:r>
            <w:rPr>
              <w:rFonts w:hint="eastAsia" w:ascii="黑体" w:hAnsi="黑体" w:eastAsia="黑体" w:cs="黑体"/>
              <w:b/>
              <w:bCs/>
              <w:color w:val="auto"/>
              <w:sz w:val="36"/>
              <w:szCs w:val="36"/>
              <w:highlight w:val="none"/>
            </w:rPr>
            <w:fldChar w:fldCharType="separate"/>
          </w:r>
          <w:r>
            <w:rPr>
              <w:rFonts w:hint="eastAsia" w:ascii="黑体" w:hAnsi="黑体" w:eastAsia="黑体" w:cs="黑体"/>
              <w:b/>
              <w:bCs/>
              <w:color w:val="auto"/>
              <w:sz w:val="36"/>
              <w:szCs w:val="36"/>
              <w:highlight w:val="none"/>
            </w:rPr>
            <w:t xml:space="preserve">15</w:t>
          </w:r>
          <w:r>
            <w:rPr>
              <w:rFonts w:hint="eastAsia" w:ascii="黑体" w:hAnsi="黑体" w:eastAsia="黑体" w:cs="黑体"/>
              <w:b/>
              <w:bCs/>
              <w:color w:val="auto"/>
              <w:sz w:val="36"/>
              <w:szCs w:val="36"/>
              <w:highlight w:val="none"/>
            </w:rPr>
            <w:fldChar w:fldCharType="end"/>
          </w:r>
          <w:r>
            <w:rPr>
              <w:rFonts w:hint="eastAsia" w:ascii="黑体" w:hAnsi="黑体" w:eastAsia="黑体" w:cs="黑体"/>
              <w:b/>
              <w:bCs/>
              <w:color w:val="auto"/>
              <w:sz w:val="36"/>
              <w:szCs w:val="36"/>
              <w:highlight w:val="none"/>
            </w:rPr>
            <w:fldChar w:fldCharType="end"/>
          </w:r>
          <w:r/>
        </w:p>
        <w:p>
          <w:pPr>
            <w:pStyle w:val="696"/>
            <w:spacing w:line="720" w:lineRule="auto"/>
            <w:tabs>
              <w:tab w:val="right" w:pos="9746" w:leader="dot"/>
            </w:tabs>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fldChar w:fldCharType="begin"/>
          </w:r>
          <w:r>
            <w:rPr>
              <w:rFonts w:hint="eastAsia" w:ascii="黑体" w:hAnsi="黑体" w:eastAsia="黑体" w:cs="黑体"/>
              <w:b/>
              <w:bCs/>
              <w:color w:val="auto"/>
              <w:sz w:val="36"/>
              <w:szCs w:val="36"/>
              <w:highlight w:val="none"/>
            </w:rPr>
            <w:instrText xml:space="preserve"> HYPERLINK \l _Toc6357 </w:instrText>
          </w:r>
          <w:r>
            <w:rPr>
              <w:rFonts w:hint="eastAsia" w:ascii="黑体" w:hAnsi="黑体" w:eastAsia="黑体" w:cs="黑体"/>
              <w:b/>
              <w:bCs/>
              <w:color w:val="auto"/>
              <w:sz w:val="36"/>
              <w:szCs w:val="36"/>
              <w:highlight w:val="none"/>
            </w:rPr>
            <w:fldChar w:fldCharType="separate"/>
          </w:r>
          <w:r>
            <w:rPr>
              <w:rFonts w:hint="eastAsia" w:ascii="黑体" w:hAnsi="黑体" w:eastAsia="黑体" w:cs="黑体"/>
              <w:b/>
              <w:bCs/>
              <w:color w:val="auto"/>
              <w:sz w:val="36"/>
              <w:szCs w:val="36"/>
              <w:highlight w:val="none"/>
            </w:rPr>
            <w:t xml:space="preserve">第四章  采购需求</w:t>
          </w:r>
          <w:r>
            <w:rPr>
              <w:rFonts w:hint="eastAsia" w:ascii="黑体" w:hAnsi="黑体" w:eastAsia="黑体" w:cs="黑体"/>
              <w:b/>
              <w:bCs/>
              <w:color w:val="auto"/>
              <w:sz w:val="36"/>
              <w:szCs w:val="36"/>
              <w:highlight w:val="none"/>
            </w:rPr>
            <w:tab/>
          </w:r>
          <w:r>
            <w:rPr>
              <w:rFonts w:hint="eastAsia" w:ascii="黑体" w:hAnsi="黑体" w:eastAsia="黑体" w:cs="黑体"/>
              <w:b/>
              <w:bCs/>
              <w:color w:val="auto"/>
              <w:sz w:val="36"/>
              <w:szCs w:val="36"/>
              <w:highlight w:val="none"/>
            </w:rPr>
            <w:fldChar w:fldCharType="begin"/>
          </w:r>
          <w:r>
            <w:rPr>
              <w:rFonts w:hint="eastAsia" w:ascii="黑体" w:hAnsi="黑体" w:eastAsia="黑体" w:cs="黑体"/>
              <w:b/>
              <w:bCs/>
              <w:color w:val="auto"/>
              <w:sz w:val="36"/>
              <w:szCs w:val="36"/>
              <w:highlight w:val="none"/>
            </w:rPr>
            <w:instrText xml:space="preserve"> PAGEREF _Toc6357 \h </w:instrText>
          </w:r>
          <w:r>
            <w:rPr>
              <w:rFonts w:hint="eastAsia" w:ascii="黑体" w:hAnsi="黑体" w:eastAsia="黑体" w:cs="黑体"/>
              <w:b/>
              <w:bCs/>
              <w:color w:val="auto"/>
              <w:sz w:val="36"/>
              <w:szCs w:val="36"/>
              <w:highlight w:val="none"/>
            </w:rPr>
            <w:fldChar w:fldCharType="separate"/>
          </w:r>
          <w:r>
            <w:rPr>
              <w:rFonts w:hint="eastAsia" w:ascii="黑体" w:hAnsi="黑体" w:eastAsia="黑体" w:cs="黑体"/>
              <w:b/>
              <w:bCs/>
              <w:color w:val="auto"/>
              <w:sz w:val="36"/>
              <w:szCs w:val="36"/>
              <w:highlight w:val="none"/>
            </w:rPr>
            <w:t xml:space="preserve">20</w:t>
          </w:r>
          <w:r>
            <w:rPr>
              <w:rFonts w:hint="eastAsia" w:ascii="黑体" w:hAnsi="黑体" w:eastAsia="黑体" w:cs="黑体"/>
              <w:b/>
              <w:bCs/>
              <w:color w:val="auto"/>
              <w:sz w:val="36"/>
              <w:szCs w:val="36"/>
              <w:highlight w:val="none"/>
            </w:rPr>
            <w:fldChar w:fldCharType="end"/>
          </w:r>
          <w:r>
            <w:rPr>
              <w:rFonts w:hint="eastAsia" w:ascii="黑体" w:hAnsi="黑体" w:eastAsia="黑体" w:cs="黑体"/>
              <w:b/>
              <w:bCs/>
              <w:color w:val="auto"/>
              <w:sz w:val="36"/>
              <w:szCs w:val="36"/>
              <w:highlight w:val="none"/>
            </w:rPr>
            <w:fldChar w:fldCharType="end"/>
          </w:r>
          <w:r/>
        </w:p>
        <w:p>
          <w:pPr>
            <w:pStyle w:val="696"/>
            <w:spacing w:line="720" w:lineRule="auto"/>
            <w:tabs>
              <w:tab w:val="right" w:pos="9746" w:leader="dot"/>
            </w:tabs>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fldChar w:fldCharType="begin"/>
          </w:r>
          <w:r>
            <w:rPr>
              <w:rFonts w:hint="eastAsia" w:ascii="黑体" w:hAnsi="黑体" w:eastAsia="黑体" w:cs="黑体"/>
              <w:b/>
              <w:bCs/>
              <w:color w:val="auto"/>
              <w:sz w:val="36"/>
              <w:szCs w:val="36"/>
              <w:highlight w:val="none"/>
            </w:rPr>
            <w:instrText xml:space="preserve"> HYPERLINK \l _Toc17 </w:instrText>
          </w:r>
          <w:r>
            <w:rPr>
              <w:rFonts w:hint="eastAsia" w:ascii="黑体" w:hAnsi="黑体" w:eastAsia="黑体" w:cs="黑体"/>
              <w:b/>
              <w:bCs/>
              <w:color w:val="auto"/>
              <w:sz w:val="36"/>
              <w:szCs w:val="36"/>
              <w:highlight w:val="none"/>
            </w:rPr>
            <w:fldChar w:fldCharType="separate"/>
          </w:r>
          <w:r>
            <w:rPr>
              <w:rFonts w:hint="eastAsia" w:ascii="黑体" w:hAnsi="黑体" w:eastAsia="黑体" w:cs="黑体"/>
              <w:b/>
              <w:bCs/>
              <w:color w:val="auto"/>
              <w:sz w:val="36"/>
              <w:szCs w:val="36"/>
              <w:highlight w:val="none"/>
            </w:rPr>
            <w:t xml:space="preserve">第五章  评标方法与评标标准</w:t>
          </w:r>
          <w:r>
            <w:rPr>
              <w:rFonts w:hint="eastAsia" w:ascii="黑体" w:hAnsi="黑体" w:eastAsia="黑体" w:cs="黑体"/>
              <w:b/>
              <w:bCs/>
              <w:color w:val="auto"/>
              <w:sz w:val="36"/>
              <w:szCs w:val="36"/>
              <w:highlight w:val="none"/>
            </w:rPr>
            <w:tab/>
          </w:r>
          <w:r>
            <w:rPr>
              <w:rFonts w:hint="eastAsia" w:ascii="黑体" w:hAnsi="黑体" w:eastAsia="黑体" w:cs="黑体"/>
              <w:b/>
              <w:bCs/>
              <w:color w:val="auto"/>
              <w:sz w:val="36"/>
              <w:szCs w:val="36"/>
              <w:highlight w:val="none"/>
            </w:rPr>
            <w:fldChar w:fldCharType="begin"/>
          </w:r>
          <w:r>
            <w:rPr>
              <w:rFonts w:hint="eastAsia" w:ascii="黑体" w:hAnsi="黑体" w:eastAsia="黑体" w:cs="黑体"/>
              <w:b/>
              <w:bCs/>
              <w:color w:val="auto"/>
              <w:sz w:val="36"/>
              <w:szCs w:val="36"/>
              <w:highlight w:val="none"/>
            </w:rPr>
            <w:instrText xml:space="preserve"> PAGEREF _Toc17 \h </w:instrText>
          </w:r>
          <w:r>
            <w:rPr>
              <w:rFonts w:hint="eastAsia" w:ascii="黑体" w:hAnsi="黑体" w:eastAsia="黑体" w:cs="黑体"/>
              <w:b/>
              <w:bCs/>
              <w:color w:val="auto"/>
              <w:sz w:val="36"/>
              <w:szCs w:val="36"/>
              <w:highlight w:val="none"/>
            </w:rPr>
            <w:fldChar w:fldCharType="separate"/>
          </w:r>
          <w:r>
            <w:rPr>
              <w:rFonts w:hint="eastAsia" w:ascii="黑体" w:hAnsi="黑体" w:eastAsia="黑体" w:cs="黑体"/>
              <w:b/>
              <w:bCs/>
              <w:color w:val="auto"/>
              <w:sz w:val="36"/>
              <w:szCs w:val="36"/>
              <w:highlight w:val="none"/>
            </w:rPr>
            <w:t xml:space="preserve">24</w:t>
          </w:r>
          <w:r>
            <w:rPr>
              <w:rFonts w:hint="eastAsia" w:ascii="黑体" w:hAnsi="黑体" w:eastAsia="黑体" w:cs="黑体"/>
              <w:b/>
              <w:bCs/>
              <w:color w:val="auto"/>
              <w:sz w:val="36"/>
              <w:szCs w:val="36"/>
              <w:highlight w:val="none"/>
            </w:rPr>
            <w:fldChar w:fldCharType="end"/>
          </w:r>
          <w:r>
            <w:rPr>
              <w:rFonts w:hint="eastAsia" w:ascii="黑体" w:hAnsi="黑体" w:eastAsia="黑体" w:cs="黑体"/>
              <w:b/>
              <w:bCs/>
              <w:color w:val="auto"/>
              <w:sz w:val="36"/>
              <w:szCs w:val="36"/>
              <w:highlight w:val="none"/>
            </w:rPr>
            <w:fldChar w:fldCharType="end"/>
          </w:r>
          <w:r/>
        </w:p>
        <w:p>
          <w:pPr>
            <w:pStyle w:val="696"/>
            <w:spacing w:line="720" w:lineRule="auto"/>
            <w:tabs>
              <w:tab w:val="right" w:pos="9746" w:leader="dot"/>
            </w:tabs>
            <w:rPr>
              <w:rFonts w:hint="eastAsia" w:ascii="黑体" w:hAnsi="黑体" w:eastAsia="黑体" w:cs="黑体"/>
              <w:b/>
              <w:bCs/>
              <w:color w:val="auto"/>
              <w:sz w:val="36"/>
              <w:szCs w:val="36"/>
              <w:highlight w:val="none"/>
            </w:rPr>
          </w:pPr>
          <w:r>
            <w:rPr>
              <w:rFonts w:hint="eastAsia" w:ascii="黑体" w:hAnsi="黑体" w:eastAsia="黑体" w:cs="黑体"/>
              <w:b/>
              <w:bCs/>
              <w:color w:val="auto"/>
              <w:sz w:val="36"/>
              <w:szCs w:val="36"/>
              <w:highlight w:val="none"/>
            </w:rPr>
            <w:fldChar w:fldCharType="begin"/>
          </w:r>
          <w:r>
            <w:rPr>
              <w:rFonts w:hint="eastAsia" w:ascii="黑体" w:hAnsi="黑体" w:eastAsia="黑体" w:cs="黑体"/>
              <w:b/>
              <w:bCs/>
              <w:color w:val="auto"/>
              <w:sz w:val="36"/>
              <w:szCs w:val="36"/>
              <w:highlight w:val="none"/>
            </w:rPr>
            <w:instrText xml:space="preserve"> HYPERLINK \l _Toc21735 </w:instrText>
          </w:r>
          <w:r>
            <w:rPr>
              <w:rFonts w:hint="eastAsia" w:ascii="黑体" w:hAnsi="黑体" w:eastAsia="黑体" w:cs="黑体"/>
              <w:b/>
              <w:bCs/>
              <w:color w:val="auto"/>
              <w:sz w:val="36"/>
              <w:szCs w:val="36"/>
              <w:highlight w:val="none"/>
            </w:rPr>
            <w:fldChar w:fldCharType="separate"/>
          </w:r>
          <w:r>
            <w:rPr>
              <w:rFonts w:hint="eastAsia" w:ascii="黑体" w:hAnsi="黑体" w:eastAsia="黑体" w:cs="黑体"/>
              <w:b/>
              <w:bCs/>
              <w:color w:val="auto"/>
              <w:sz w:val="36"/>
              <w:szCs w:val="36"/>
              <w:highlight w:val="none"/>
            </w:rPr>
            <w:t xml:space="preserve">第六章  投标文件格式</w:t>
          </w:r>
          <w:r>
            <w:rPr>
              <w:rFonts w:hint="eastAsia" w:ascii="黑体" w:hAnsi="黑体" w:eastAsia="黑体" w:cs="黑体"/>
              <w:b/>
              <w:bCs/>
              <w:color w:val="auto"/>
              <w:sz w:val="36"/>
              <w:szCs w:val="36"/>
              <w:highlight w:val="none"/>
            </w:rPr>
            <w:tab/>
          </w:r>
          <w:r>
            <w:rPr>
              <w:rFonts w:hint="eastAsia" w:ascii="黑体" w:hAnsi="黑体" w:eastAsia="黑体" w:cs="黑体"/>
              <w:b/>
              <w:bCs/>
              <w:color w:val="auto"/>
              <w:sz w:val="36"/>
              <w:szCs w:val="36"/>
              <w:highlight w:val="none"/>
            </w:rPr>
            <w:fldChar w:fldCharType="begin"/>
          </w:r>
          <w:r>
            <w:rPr>
              <w:rFonts w:hint="eastAsia" w:ascii="黑体" w:hAnsi="黑体" w:eastAsia="黑体" w:cs="黑体"/>
              <w:b/>
              <w:bCs/>
              <w:color w:val="auto"/>
              <w:sz w:val="36"/>
              <w:szCs w:val="36"/>
              <w:highlight w:val="none"/>
            </w:rPr>
            <w:instrText xml:space="preserve"> PAGEREF _Toc21735 \h </w:instrText>
          </w:r>
          <w:r>
            <w:rPr>
              <w:rFonts w:hint="eastAsia" w:ascii="黑体" w:hAnsi="黑体" w:eastAsia="黑体" w:cs="黑体"/>
              <w:b/>
              <w:bCs/>
              <w:color w:val="auto"/>
              <w:sz w:val="36"/>
              <w:szCs w:val="36"/>
              <w:highlight w:val="none"/>
            </w:rPr>
            <w:fldChar w:fldCharType="separate"/>
          </w:r>
          <w:r>
            <w:rPr>
              <w:rFonts w:hint="eastAsia" w:ascii="黑体" w:hAnsi="黑体" w:eastAsia="黑体" w:cs="黑体"/>
              <w:b/>
              <w:bCs/>
              <w:color w:val="auto"/>
              <w:sz w:val="36"/>
              <w:szCs w:val="36"/>
              <w:highlight w:val="none"/>
            </w:rPr>
            <w:t xml:space="preserve">31</w:t>
          </w:r>
          <w:r>
            <w:rPr>
              <w:rFonts w:hint="eastAsia" w:ascii="黑体" w:hAnsi="黑体" w:eastAsia="黑体" w:cs="黑体"/>
              <w:b/>
              <w:bCs/>
              <w:color w:val="auto"/>
              <w:sz w:val="36"/>
              <w:szCs w:val="36"/>
              <w:highlight w:val="none"/>
            </w:rPr>
            <w:fldChar w:fldCharType="end"/>
          </w:r>
          <w:r>
            <w:rPr>
              <w:rFonts w:hint="eastAsia" w:ascii="黑体" w:hAnsi="黑体" w:eastAsia="黑体" w:cs="黑体"/>
              <w:b/>
              <w:bCs/>
              <w:color w:val="auto"/>
              <w:sz w:val="36"/>
              <w:szCs w:val="36"/>
              <w:highlight w:val="none"/>
            </w:rPr>
            <w:fldChar w:fldCharType="end"/>
          </w:r>
          <w:r/>
        </w:p>
        <w:p>
          <w:pPr>
            <w:pStyle w:val="696"/>
            <w:tabs>
              <w:tab w:val="right" w:pos="9746" w:leader="dot"/>
            </w:tabs>
            <w:rPr>
              <w:color w:val="auto"/>
              <w:highlight w:val="none"/>
            </w:rPr>
          </w:pPr>
          <w:r>
            <w:rPr>
              <w:color w:val="auto"/>
              <w:highlight w:val="none"/>
            </w:rPr>
          </w:r>
          <w:r/>
        </w:p>
        <w:p>
          <w:pPr>
            <w:rPr>
              <w:rFonts w:hint="default" w:ascii="Times New Roman" w:hAnsi="Times New Roman" w:eastAsia="宋体" w:cs="Times New Roman"/>
              <w:color w:val="auto"/>
              <w:sz w:val="21"/>
              <w:szCs w:val="21"/>
              <w:highlight w:val="none"/>
            </w:rPr>
          </w:pPr>
          <w:r>
            <w:rPr>
              <w:color w:val="auto"/>
              <w:szCs w:val="21"/>
              <w:highlight w:val="none"/>
            </w:rPr>
            <w:fldChar w:fldCharType="end"/>
          </w:r>
          <w:r/>
        </w:p>
      </w:sdtContent>
    </w:sdt>
    <w:p>
      <w:pPr>
        <w:pStyle w:val="669"/>
        <w:rPr>
          <w:color w:val="auto"/>
          <w:highlight w:val="none"/>
        </w:rPr>
      </w:pPr>
      <w:r>
        <w:rPr>
          <w:color w:val="auto"/>
          <w:highlight w:val="none"/>
        </w:rPr>
      </w:r>
      <w:r/>
    </w:p>
    <w:p>
      <w:pPr>
        <w:pStyle w:val="658"/>
        <w:keepLines w:val="0"/>
        <w:keepNext/>
        <w:pageBreakBefore/>
        <w:widowControl w:val="off"/>
        <w:rPr>
          <w:color w:val="auto"/>
          <w:highlight w:val="none"/>
        </w:rPr>
      </w:pPr>
      <w:r/>
      <w:bookmarkStart w:id="10" w:name="_Toc8709"/>
      <w:r/>
      <w:bookmarkStart w:id="11" w:name="_Toc31145"/>
      <w:r>
        <w:rPr>
          <w:rFonts w:hint="eastAsia"/>
          <w:color w:val="auto"/>
          <w:highlight w:val="none"/>
        </w:rPr>
        <w:t xml:space="preserve">第一章  </w:t>
      </w:r>
      <w:bookmarkEnd w:id="4"/>
      <w:r>
        <w:rPr>
          <w:rFonts w:hint="eastAsia"/>
          <w:color w:val="auto"/>
          <w:highlight w:val="none"/>
        </w:rPr>
        <w:t xml:space="preserve">投标邀请</w:t>
      </w:r>
      <w:bookmarkEnd w:id="10"/>
      <w:r/>
      <w:bookmarkEnd w:id="11"/>
      <w:r/>
      <w:r/>
    </w:p>
    <w:p>
      <w:pPr>
        <w:ind w:firstLine="480"/>
        <w:spacing w:line="264"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受南京市浦口区教育局的委托，南京市公共资源交易中心浦口分中心就</w:t>
      </w:r>
      <w:r>
        <w:rPr>
          <w:rFonts w:hint="eastAsia" w:ascii="宋体" w:hAnsi="宋体"/>
          <w:color w:val="auto"/>
          <w:sz w:val="24"/>
          <w:szCs w:val="24"/>
          <w:highlight w:val="none"/>
          <w:lang w:eastAsia="zh-CN"/>
        </w:rPr>
        <w:t xml:space="preserve">行知中学教学、办公木器及后勤等设备采购项目</w:t>
      </w:r>
      <w:r>
        <w:rPr>
          <w:rFonts w:hint="eastAsia" w:ascii="宋体" w:hAnsi="宋体"/>
          <w:color w:val="auto"/>
          <w:sz w:val="24"/>
          <w:szCs w:val="24"/>
          <w:highlight w:val="none"/>
        </w:rPr>
        <w:t xml:space="preserve">进行公开招标采购，欢迎符合条件的供应商投标。</w:t>
      </w:r>
      <w:r/>
    </w:p>
    <w:p>
      <w:pPr>
        <w:pStyle w:val="660"/>
        <w:ind w:firstLine="465"/>
        <w:spacing w:before="145" w:after="145" w:line="264" w:lineRule="auto"/>
        <w:rPr>
          <w:rFonts w:ascii="方正黑体_GBK" w:hAnsi="方正黑体_GBK" w:eastAsia="方正黑体_GBK" w:cs="方正黑体_GBK"/>
          <w:b w:val="0"/>
          <w:bCs w:val="0"/>
          <w:color w:val="auto"/>
          <w:sz w:val="30"/>
          <w:szCs w:val="30"/>
          <w:highlight w:val="none"/>
        </w:rPr>
      </w:pPr>
      <w:r/>
      <w:bookmarkStart w:id="12" w:name="_Toc35393621"/>
      <w:r/>
      <w:bookmarkStart w:id="13" w:name="_Toc28359079"/>
      <w:r/>
      <w:bookmarkStart w:id="14" w:name="_Toc38985263"/>
      <w:r/>
      <w:bookmarkStart w:id="15" w:name="_Toc28359002"/>
      <w:r/>
      <w:bookmarkStart w:id="16" w:name="_Toc35393790"/>
      <w:r/>
      <w:bookmarkStart w:id="17" w:name="_Hlk24379207"/>
      <w:r>
        <w:rPr>
          <w:rFonts w:hint="eastAsia" w:ascii="方正黑体_GBK" w:hAnsi="方正黑体_GBK" w:eastAsia="方正黑体_GBK" w:cs="方正黑体_GBK"/>
          <w:b w:val="0"/>
          <w:bCs w:val="0"/>
          <w:color w:val="auto"/>
          <w:sz w:val="30"/>
          <w:szCs w:val="30"/>
          <w:highlight w:val="none"/>
        </w:rPr>
        <w:t xml:space="preserve">一、项目基本情况</w:t>
      </w:r>
      <w:bookmarkEnd w:id="12"/>
      <w:r/>
      <w:bookmarkEnd w:id="13"/>
      <w:r/>
      <w:bookmarkEnd w:id="14"/>
      <w:r/>
      <w:bookmarkEnd w:id="15"/>
      <w:r/>
      <w:bookmarkEnd w:id="16"/>
      <w:r/>
      <w:bookmarkEnd w:id="17"/>
      <w:r/>
      <w:r/>
    </w:p>
    <w:p>
      <w:pPr>
        <w:ind w:firstLine="480"/>
        <w:pageBreakBefore w:val="0"/>
        <w:spacing w:line="240" w:lineRule="auto"/>
        <w:widowControl w:val="off"/>
        <w:rPr>
          <w:rFonts w:hint="eastAsia" w:ascii="宋体" w:hAnsi="宋体" w:cs="Times New Roman"/>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s="Times New Roman"/>
          <w:color w:val="auto"/>
          <w:sz w:val="24"/>
          <w:szCs w:val="24"/>
          <w:highlight w:val="none"/>
          <w:lang w:eastAsia="zh-CN"/>
        </w:rPr>
        <w:t xml:space="preserve">JSZC-320111-JZCG-G2026-0036</w:t>
      </w:r>
      <w:r/>
    </w:p>
    <w:p>
      <w:pPr>
        <w:ind w:firstLine="48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2.项目名称：行知中学教学、办公木器及后勤等设备采购项目</w:t>
      </w:r>
      <w:r/>
    </w:p>
    <w:p>
      <w:pPr>
        <w:ind w:firstLine="480"/>
        <w:pageBreakBefore w:val="0"/>
        <w:spacing w:line="240" w:lineRule="auto"/>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270万元</w:t>
      </w:r>
      <w:r/>
    </w:p>
    <w:p>
      <w:pPr>
        <w:ind w:firstLine="48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最高限价：</w:t>
      </w:r>
      <w:r>
        <w:rPr>
          <w:rFonts w:hint="eastAsia" w:ascii="宋体" w:hAnsi="宋体"/>
          <w:color w:val="auto"/>
          <w:sz w:val="24"/>
          <w:szCs w:val="24"/>
          <w:highlight w:val="none"/>
          <w:lang w:val="en-US" w:eastAsia="zh-CN"/>
        </w:rPr>
        <w:t xml:space="preserve">270万元</w:t>
      </w:r>
      <w:r/>
    </w:p>
    <w:p>
      <w:pPr>
        <w:ind w:firstLine="480"/>
        <w:spacing w:line="264" w:lineRule="auto"/>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5.采购需求（简介）：根据学校教育教学需求，配置相关</w:t>
      </w:r>
      <w:r>
        <w:rPr>
          <w:rFonts w:hint="eastAsia" w:ascii="宋体" w:hAnsi="宋体"/>
          <w:color w:val="auto"/>
          <w:sz w:val="24"/>
          <w:szCs w:val="24"/>
          <w:highlight w:val="none"/>
          <w:lang w:val="en-US" w:eastAsia="zh-CN"/>
        </w:rPr>
        <w:t xml:space="preserve">教学、办公木器及后勤等装备</w:t>
      </w:r>
      <w:r>
        <w:rPr>
          <w:rFonts w:hint="eastAsia" w:ascii="宋体" w:hAnsi="宋体"/>
          <w:color w:val="auto"/>
          <w:sz w:val="24"/>
          <w:szCs w:val="24"/>
          <w:highlight w:val="none"/>
        </w:rPr>
        <w:t xml:space="preserve">，满足</w:t>
      </w:r>
      <w:r>
        <w:rPr>
          <w:rFonts w:hint="eastAsia" w:ascii="宋体" w:hAnsi="宋体"/>
          <w:color w:val="auto"/>
          <w:sz w:val="24"/>
          <w:szCs w:val="24"/>
          <w:highlight w:val="none"/>
          <w:lang w:val="en-US" w:eastAsia="zh-CN"/>
        </w:rPr>
        <w:t xml:space="preserve">办学</w:t>
      </w:r>
      <w:r>
        <w:rPr>
          <w:rFonts w:hint="eastAsia" w:ascii="宋体" w:hAnsi="宋体"/>
          <w:color w:val="auto"/>
          <w:sz w:val="24"/>
          <w:szCs w:val="24"/>
          <w:highlight w:val="none"/>
        </w:rPr>
        <w:t xml:space="preserve">需要。（详细内容</w:t>
      </w:r>
      <w:r>
        <w:rPr>
          <w:rFonts w:hint="eastAsia" w:ascii="宋体" w:hAnsi="宋体" w:cs="宋体"/>
          <w:color w:val="auto"/>
          <w:sz w:val="24"/>
          <w:szCs w:val="24"/>
          <w:highlight w:val="none"/>
        </w:rPr>
        <w:t xml:space="preserve">见本招标文件第四章）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b/>
          <w:bCs/>
          <w:color w:val="auto"/>
          <w:sz w:val="24"/>
          <w:szCs w:val="24"/>
          <w:highlight w:val="none"/>
        </w:rPr>
        <w:t xml:space="preserve">2235天（交付期45天、质保期2190天）</w:t>
      </w:r>
      <w:r>
        <w:rPr>
          <w:rFonts w:hint="eastAsia" w:ascii="宋体" w:hAnsi="宋体" w:eastAsia="宋体" w:cs="Times New Roman"/>
          <w:color w:val="auto"/>
          <w:sz w:val="24"/>
          <w:szCs w:val="24"/>
          <w:highlight w:val="none"/>
        </w:rPr>
        <w:t xml:space="preserve">，合同签订后45日内交付，自验收报告签字确认日起开始进入质保期。</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7.本项目不接受进口产品投标。</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8.本项目不接受联合体投标。</w:t>
      </w:r>
      <w:r/>
    </w:p>
    <w:p>
      <w:pPr>
        <w:pStyle w:val="660"/>
        <w:ind w:firstLine="465"/>
        <w:spacing w:before="145" w:after="145" w:line="264" w:lineRule="auto"/>
        <w:rPr>
          <w:rFonts w:ascii="方正黑体_GBK" w:hAnsi="方正黑体_GBK" w:eastAsia="方正黑体_GBK" w:cs="方正黑体_GBK"/>
          <w:b w:val="0"/>
          <w:bCs w:val="0"/>
          <w:color w:val="auto"/>
          <w:sz w:val="30"/>
          <w:szCs w:val="30"/>
          <w:highlight w:val="none"/>
        </w:rPr>
      </w:pPr>
      <w:r/>
      <w:bookmarkStart w:id="18" w:name="_Toc38985264"/>
      <w:r/>
      <w:bookmarkStart w:id="19" w:name="_Toc28359003"/>
      <w:r/>
      <w:bookmarkStart w:id="20" w:name="_Toc35393622"/>
      <w:r/>
      <w:bookmarkStart w:id="21" w:name="_Toc35393791"/>
      <w:r/>
      <w:bookmarkStart w:id="22" w:name="_Toc28359080"/>
      <w:r>
        <w:rPr>
          <w:rFonts w:hint="eastAsia" w:ascii="方正黑体_GBK" w:hAnsi="方正黑体_GBK" w:eastAsia="方正黑体_GBK" w:cs="方正黑体_GBK"/>
          <w:b w:val="0"/>
          <w:bCs w:val="0"/>
          <w:color w:val="auto"/>
          <w:sz w:val="30"/>
          <w:szCs w:val="30"/>
          <w:highlight w:val="none"/>
        </w:rPr>
        <w:t xml:space="preserve">二、申请人的资格要求</w:t>
      </w:r>
      <w:bookmarkEnd w:id="18"/>
      <w:r/>
      <w:bookmarkEnd w:id="19"/>
      <w:r/>
      <w:bookmarkEnd w:id="20"/>
      <w:r/>
      <w:bookmarkEnd w:id="21"/>
      <w:r/>
      <w:bookmarkEnd w:id="22"/>
      <w:r/>
      <w:r/>
    </w:p>
    <w:p>
      <w:pPr>
        <w:ind w:firstLine="480"/>
        <w:spacing w:line="264" w:lineRule="auto"/>
        <w:rPr>
          <w:rFonts w:ascii="宋体" w:hAnsi="宋体" w:cs="宋体"/>
          <w:color w:val="auto"/>
          <w:sz w:val="24"/>
          <w:szCs w:val="24"/>
          <w:highlight w:val="none"/>
        </w:rPr>
      </w:pPr>
      <w:r/>
      <w:bookmarkStart w:id="23" w:name="_Toc35393792"/>
      <w:r/>
      <w:bookmarkStart w:id="24" w:name="_Toc28359081"/>
      <w:r/>
      <w:bookmarkStart w:id="25" w:name="_Toc28359004"/>
      <w:r/>
      <w:bookmarkStart w:id="26" w:name="_Toc35393623"/>
      <w:r/>
      <w:bookmarkStart w:id="27" w:name="_Toc38985265"/>
      <w:r>
        <w:rPr>
          <w:rFonts w:hint="eastAsia" w:ascii="宋体" w:hAnsi="宋体" w:cs="宋体"/>
          <w:color w:val="auto"/>
          <w:sz w:val="24"/>
          <w:szCs w:val="24"/>
          <w:highlight w:val="none"/>
        </w:rPr>
        <w:t xml:space="preserve">（一）通用资格要求</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供应商信用承诺函（格式见第六章）。</w:t>
      </w:r>
      <w:r/>
    </w:p>
    <w:p>
      <w:pPr>
        <w:ind w:firstLine="480"/>
        <w:spacing w:line="264" w:lineRule="auto"/>
        <w:rPr>
          <w:rFonts w:ascii="宋体" w:hAnsi="宋体"/>
          <w:color w:val="auto"/>
          <w:sz w:val="24"/>
          <w:szCs w:val="24"/>
          <w:highlight w:val="none"/>
          <w:lang w:val="zh-CN"/>
        </w:rPr>
      </w:pPr>
      <w:r>
        <w:rPr>
          <w:rFonts w:hint="eastAsia" w:ascii="宋体" w:hAnsi="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本项目不专门面向中小微企业采购，执行价格扣除优惠政策</w:t>
      </w:r>
      <w:r>
        <w:rPr>
          <w:rFonts w:hint="eastAsia" w:ascii="宋体" w:hAnsi="宋体" w:cs="宋体"/>
          <w:color w:val="auto"/>
          <w:sz w:val="24"/>
          <w:szCs w:val="24"/>
          <w:highlight w:val="none"/>
          <w:lang w:val="zh-CN"/>
        </w:rPr>
        <w:t xml:space="preserve">。提供《</w:t>
      </w:r>
      <w:r>
        <w:rPr>
          <w:rFonts w:hint="eastAsia" w:ascii="宋体" w:hAnsi="宋体" w:cs="宋体"/>
          <w:color w:val="auto"/>
          <w:sz w:val="24"/>
          <w:szCs w:val="24"/>
          <w:highlight w:val="none"/>
        </w:rPr>
        <w:t xml:space="preserve">中</w:t>
      </w:r>
      <w:r>
        <w:rPr>
          <w:rFonts w:hint="eastAsia" w:ascii="宋体" w:hAnsi="宋体" w:cs="宋体"/>
          <w:color w:val="auto"/>
          <w:sz w:val="24"/>
          <w:szCs w:val="24"/>
          <w:highlight w:val="none"/>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264"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本项目采购标的对应的中小企业划分标准所属行业为：</w:t>
      </w:r>
      <w:r>
        <w:rPr>
          <w:rFonts w:hint="eastAsia" w:ascii="宋体" w:hAnsi="宋体"/>
          <w:color w:val="auto"/>
          <w:sz w:val="24"/>
          <w:szCs w:val="24"/>
          <w:highlight w:val="none"/>
        </w:rPr>
        <w:t xml:space="preserve">工</w:t>
      </w:r>
      <w:r>
        <w:rPr>
          <w:rFonts w:hint="eastAsia" w:ascii="宋体" w:hAnsi="宋体"/>
          <w:color w:val="auto"/>
          <w:sz w:val="24"/>
          <w:szCs w:val="24"/>
          <w:highlight w:val="none"/>
          <w:lang w:val="zh-CN"/>
        </w:rPr>
        <w:t xml:space="preserve">业。</w:t>
      </w:r>
      <w:r>
        <w:rPr>
          <w:rFonts w:hint="eastAsia" w:ascii="宋体" w:hAnsi="宋体"/>
          <w:color w:val="auto"/>
          <w:sz w:val="24"/>
          <w:szCs w:val="24"/>
          <w:highlight w:val="none"/>
        </w:rPr>
        <w:t xml:space="preserve">根据《中小企业划型标准规定》（工信部联企业</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2011</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ascii="宋体" w:hAnsi="宋体"/>
          <w:color w:val="auto"/>
          <w:sz w:val="24"/>
          <w:szCs w:val="24"/>
          <w:highlight w:val="none"/>
        </w:rPr>
      </w:pPr>
      <w:r>
        <w:rPr>
          <w:rFonts w:hint="eastAsia" w:ascii="宋体" w:hAnsi="宋体" w:cs="宋体"/>
          <w:color w:val="auto"/>
          <w:sz w:val="24"/>
          <w:szCs w:val="24"/>
          <w:highlight w:val="none"/>
        </w:rPr>
        <w:t xml:space="preserve">（二）本项目特定资格要求：</w:t>
      </w:r>
      <w:r>
        <w:rPr>
          <w:rFonts w:hint="eastAsia" w:ascii="宋体" w:hAnsi="宋体"/>
          <w:color w:val="auto"/>
          <w:sz w:val="24"/>
          <w:szCs w:val="24"/>
          <w:highlight w:val="none"/>
        </w:rPr>
        <w:t xml:space="preserve">无</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（三）拒绝下述供应商参加本次采购活动</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1.单位负责人为同一人或者存在直接控股、管理关系的不同供应商，不得参加同一合同项下的政府采购活动。</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2.为采购项目提供整体设计、规范编制或者项目管理、监理、检测等服务的供应商，不得参加本项目的采购活动。</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3.供应商被“信用中国”网站（www.creditchina.gov.cn）列入失信被执行人、重大税收违法案件当事人名单、政府采购严重违法失信行为记录名单。</w:t>
      </w:r>
      <w:r/>
    </w:p>
    <w:p>
      <w:pPr>
        <w:pStyle w:val="660"/>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23"/>
      <w:r/>
      <w:bookmarkEnd w:id="24"/>
      <w:r/>
      <w:bookmarkEnd w:id="25"/>
      <w:r/>
      <w:bookmarkEnd w:id="26"/>
      <w:r/>
      <w:bookmarkEnd w:id="27"/>
      <w:r/>
      <w:r/>
    </w:p>
    <w:p>
      <w:pPr>
        <w:ind w:firstLine="480"/>
        <w:spacing w:line="264" w:lineRule="auto"/>
        <w:rPr>
          <w:rFonts w:ascii="宋体" w:hAnsi="宋体" w:cs="宋体"/>
          <w:color w:val="auto"/>
          <w:sz w:val="24"/>
          <w:szCs w:val="24"/>
          <w:highlight w:val="none"/>
        </w:rPr>
      </w:pPr>
      <w:r/>
      <w:bookmarkStart w:id="28" w:name="_Toc28359005"/>
      <w:r/>
      <w:bookmarkStart w:id="29" w:name="_Toc28359082"/>
      <w:r/>
      <w:bookmarkStart w:id="30" w:name="_Toc35393793"/>
      <w:r/>
      <w:bookmarkStart w:id="31" w:name="_Toc35393624"/>
      <w:r/>
      <w:bookmarkStart w:id="32" w:name="_Toc38985266"/>
      <w:r>
        <w:rPr>
          <w:rFonts w:hint="eastAsia" w:ascii="宋体" w:hAnsi="宋体" w:cs="宋体"/>
          <w:color w:val="auto"/>
          <w:sz w:val="24"/>
          <w:szCs w:val="24"/>
          <w:highlight w:val="none"/>
        </w:rPr>
        <w:t xml:space="preserve">1.时间：自招标文件公告发布之日起。</w:t>
      </w:r>
      <w:r/>
    </w:p>
    <w:p>
      <w:pPr>
        <w:ind w:firstLine="480"/>
        <w:spacing w:line="264"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660"/>
        <w:ind w:firstLine="465"/>
        <w:spacing w:before="145" w:after="145" w:line="264" w:lineRule="auto"/>
        <w:rPr>
          <w:rFonts w:ascii="方正黑体_GBK" w:hAnsi="方正黑体_GBK" w:eastAsia="方正黑体_GBK" w:cs="方正黑体_GBK"/>
          <w:b/>
          <w:bCs/>
          <w:color w:val="auto"/>
          <w:sz w:val="30"/>
          <w:szCs w:val="30"/>
          <w:highlight w:val="none"/>
        </w:rPr>
      </w:pPr>
      <w:r>
        <w:rPr>
          <w:rFonts w:hint="eastAsia" w:ascii="方正黑体_GBK" w:hAnsi="方正黑体_GBK" w:eastAsia="方正黑体_GBK" w:cs="方正黑体_GBK"/>
          <w:b/>
          <w:bCs/>
          <w:color w:val="auto"/>
          <w:sz w:val="30"/>
          <w:szCs w:val="30"/>
          <w:highlight w:val="none"/>
        </w:rPr>
        <w:t xml:space="preserve">四、提交投标文件</w:t>
      </w:r>
      <w:bookmarkEnd w:id="28"/>
      <w:r/>
      <w:bookmarkEnd w:id="29"/>
      <w:r>
        <w:rPr>
          <w:rFonts w:hint="eastAsia" w:ascii="方正黑体_GBK" w:hAnsi="方正黑体_GBK" w:eastAsia="方正黑体_GBK" w:cs="方正黑体_GBK"/>
          <w:b/>
          <w:bCs/>
          <w:color w:val="auto"/>
          <w:sz w:val="30"/>
          <w:szCs w:val="30"/>
          <w:highlight w:val="none"/>
        </w:rPr>
        <w:t xml:space="preserve">截止时间、开标时间和地点</w:t>
      </w:r>
      <w:bookmarkEnd w:id="30"/>
      <w:r/>
      <w:bookmarkEnd w:id="31"/>
      <w:r/>
      <w:bookmarkEnd w:id="32"/>
      <w:r/>
      <w:r/>
    </w:p>
    <w:p>
      <w:pPr>
        <w:pStyle w:val="660"/>
        <w:ind w:firstLine="465"/>
        <w:spacing w:before="145" w:after="145" w:line="264" w:lineRule="auto"/>
        <w:rPr>
          <w:rFonts w:hint="eastAsia" w:ascii="宋体" w:hAnsi="宋体" w:cs="宋体"/>
          <w:b w:val="0"/>
          <w:bCs w:val="0"/>
          <w:color w:val="auto"/>
          <w:sz w:val="24"/>
          <w:szCs w:val="24"/>
          <w:highlight w:val="none"/>
        </w:rPr>
      </w:pPr>
      <w:r/>
      <w:bookmarkStart w:id="33" w:name="_Toc38985267"/>
      <w:r/>
      <w:bookmarkStart w:id="34" w:name="_Toc35393625"/>
      <w:r/>
      <w:bookmarkStart w:id="35" w:name="_Toc28359007"/>
      <w:r/>
      <w:bookmarkStart w:id="36" w:name="_Toc35393794"/>
      <w:r/>
      <w:bookmarkStart w:id="37" w:name="_Toc28359084"/>
      <w:r>
        <w:rPr>
          <w:rFonts w:hint="eastAsia" w:ascii="宋体" w:hAnsi="宋体" w:cs="宋体"/>
          <w:b w:val="0"/>
          <w:bCs w:val="0"/>
          <w:color w:val="auto"/>
          <w:sz w:val="24"/>
          <w:szCs w:val="24"/>
          <w:highlight w:val="none"/>
        </w:rPr>
        <w:t xml:space="preserve">1.提交投标文件截止时间、开标时间：2026年</w:t>
      </w:r>
      <w:r>
        <w:rPr>
          <w:rFonts w:hint="eastAsia" w:ascii="宋体" w:hAnsi="宋体" w:cs="宋体"/>
          <w:b w:val="0"/>
          <w:bCs w:val="0"/>
          <w:color w:val="auto"/>
          <w:sz w:val="24"/>
          <w:szCs w:val="24"/>
          <w:highlight w:val="none"/>
          <w:lang w:val="en-US" w:eastAsia="zh-CN"/>
        </w:rPr>
        <w:t xml:space="preserve">7</w:t>
      </w:r>
      <w:r>
        <w:rPr>
          <w:rFonts w:hint="eastAsia" w:ascii="宋体" w:hAnsi="宋体" w:cs="宋体"/>
          <w:b w:val="0"/>
          <w:bCs w:val="0"/>
          <w:color w:val="auto"/>
          <w:sz w:val="24"/>
          <w:szCs w:val="24"/>
          <w:highlight w:val="none"/>
        </w:rPr>
        <w:t xml:space="preserve">月</w:t>
      </w: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rPr>
        <w:t xml:space="preserve">日09时30分（北京时间）。</w:t>
      </w:r>
      <w:r/>
    </w:p>
    <w:p>
      <w:pPr>
        <w:pStyle w:val="660"/>
        <w:ind w:firstLine="465"/>
        <w:spacing w:before="145" w:after="145" w:line="264"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2.地点：江苏省政府采购交易系统（以下简称“苏采云系统”）网上开标大厅。</w:t>
      </w:r>
      <w:r/>
    </w:p>
    <w:p>
      <w:pPr>
        <w:pStyle w:val="660"/>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33"/>
      <w:r/>
      <w:bookmarkEnd w:id="34"/>
      <w:r/>
      <w:bookmarkEnd w:id="35"/>
      <w:r/>
      <w:bookmarkEnd w:id="36"/>
      <w:r/>
      <w:bookmarkEnd w:id="37"/>
      <w:r/>
      <w:r/>
    </w:p>
    <w:p>
      <w:pPr>
        <w:ind w:firstLine="480"/>
        <w:spacing w:line="264" w:lineRule="auto"/>
        <w:rPr>
          <w:rFonts w:ascii="宋体" w:hAnsi="宋体" w:cs="宋体"/>
          <w:color w:val="auto"/>
          <w:sz w:val="24"/>
          <w:szCs w:val="24"/>
          <w:highlight w:val="none"/>
        </w:rPr>
      </w:pPr>
      <w:r/>
      <w:bookmarkStart w:id="38" w:name="_Toc35393626"/>
      <w:r/>
      <w:bookmarkStart w:id="39" w:name="_Toc35393795"/>
      <w:r/>
      <w:bookmarkStart w:id="40" w:name="_Toc38985268"/>
      <w:r>
        <w:rPr>
          <w:rFonts w:hint="eastAsia" w:ascii="宋体" w:hAnsi="宋体" w:cs="宋体"/>
          <w:color w:val="auto"/>
          <w:sz w:val="24"/>
          <w:szCs w:val="24"/>
          <w:highlight w:val="none"/>
        </w:rPr>
        <w:t xml:space="preserve">公告期限为自本公告发布之日起5个工作日。</w:t>
      </w:r>
      <w:r/>
    </w:p>
    <w:p>
      <w:pPr>
        <w:pStyle w:val="660"/>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8"/>
      <w:r/>
      <w:bookmarkEnd w:id="39"/>
      <w:r/>
      <w:bookmarkEnd w:id="40"/>
      <w:r/>
      <w:r/>
    </w:p>
    <w:p>
      <w:pPr>
        <w:ind w:firstLine="480"/>
        <w:spacing w:line="264" w:lineRule="auto"/>
        <w:tabs>
          <w:tab w:val="left" w:pos="900" w:leader="none"/>
        </w:tabs>
        <w:rPr>
          <w:rFonts w:hint="eastAsia" w:asciiTheme="minorEastAsia" w:hAnsiTheme="minorEastAsia" w:eastAsiaTheme="minorEastAsia" w:cstheme="minorEastAsia"/>
          <w:bCs/>
          <w:color w:val="000000"/>
          <w:sz w:val="24"/>
          <w:szCs w:val="24"/>
          <w:highlight w:val="none"/>
        </w:rPr>
      </w:pPr>
      <w:r/>
      <w:bookmarkStart w:id="41" w:name="_Toc35393627"/>
      <w:r/>
      <w:bookmarkStart w:id="42" w:name="_Toc28359085"/>
      <w:r/>
      <w:bookmarkStart w:id="43" w:name="_Toc35393796"/>
      <w:r/>
      <w:bookmarkStart w:id="44" w:name="_Toc38985269"/>
      <w:r/>
      <w:bookmarkStart w:id="45" w:name="_Toc28359008"/>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rPr>
        <w:t xml:space="preserve">本次招标不收取投标保证金。</w:t>
      </w:r>
      <w:r/>
    </w:p>
    <w:p>
      <w:pPr>
        <w:ind w:firstLine="480"/>
        <w:spacing w:line="264" w:lineRule="auto"/>
        <w:tabs>
          <w:tab w:val="left" w:pos="900"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2.本次项目不组织勘察现场。</w:t>
      </w:r>
      <w:r/>
    </w:p>
    <w:p>
      <w:pPr>
        <w:ind w:firstLine="480"/>
        <w:spacing w:line="264"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"http://www.ccgp-jiangsu.gov.cn/jiangsu/zlxz/ee/ee3a4bc5a3454aa2b0d9312230633ce9.html" \o "http://www.ccgp-jiangsu.gov.cn/jiangsu/zlxz/ee/ee3a4bc5a3454aa2b0d9312230633ce9.html" </w:instrText>
      </w:r>
      <w:r>
        <w:rPr>
          <w:rFonts w:hint="eastAsia" w:asciiTheme="minorEastAsia" w:hAnsiTheme="minorEastAsia" w:eastAsiaTheme="minorEastAsia" w:cstheme="minorEastAsia"/>
          <w:highlight w:val="none"/>
        </w:rPr>
        <w:fldChar w:fldCharType="separate"/>
      </w:r>
      <w:r>
        <w:rPr>
          <w:rStyle w:val="912"/>
          <w:rFonts w:hint="eastAsia" w:asciiTheme="minorEastAsia" w:hAnsiTheme="minorEastAsia" w:eastAsiaTheme="minorEastAsia" w:cstheme="minorEastAsia"/>
          <w:color w:val="000000"/>
          <w:sz w:val="24"/>
          <w:szCs w:val="24"/>
          <w:highlight w:val="none"/>
        </w:rPr>
        <w:t xml:space="preserve">下载地址</w:t>
      </w:r>
      <w:r>
        <w:rPr>
          <w:rStyle w:val="912"/>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（CTRL+鼠标左键）。</w:t>
      </w:r>
      <w:r/>
    </w:p>
    <w:p>
      <w:pPr>
        <w:ind w:firstLine="480"/>
        <w:spacing w:line="264"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4.有关本次招标的事项若存在变动或修改，请及时关注“江苏政府采购网”（www.ccgp-jiangsu.gov.cn）更正公告。</w:t>
      </w:r>
      <w:r/>
    </w:p>
    <w:p>
      <w:pPr>
        <w:pStyle w:val="660"/>
        <w:ind w:firstLine="465"/>
        <w:spacing w:before="145" w:after="145" w:line="264"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41"/>
      <w:r/>
      <w:bookmarkEnd w:id="42"/>
      <w:r/>
      <w:bookmarkEnd w:id="43"/>
      <w:r/>
      <w:bookmarkEnd w:id="44"/>
      <w:r/>
      <w:bookmarkEnd w:id="45"/>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1.采购人信息</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称：南京市浦口区教育局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w:t>
      </w:r>
      <w:r>
        <w:rPr>
          <w:rFonts w:hint="eastAsia" w:ascii="宋体" w:hAnsi="宋体"/>
          <w:color w:val="auto"/>
          <w:sz w:val="24"/>
          <w:szCs w:val="24"/>
          <w:highlight w:val="none"/>
          <w:lang w:val="en-US" w:eastAsia="zh-CN"/>
        </w:rPr>
        <w:t xml:space="preserve">浦口区</w:t>
      </w:r>
      <w:r>
        <w:rPr>
          <w:rFonts w:hint="eastAsia" w:ascii="宋体" w:hAnsi="宋体"/>
          <w:color w:val="auto"/>
          <w:sz w:val="24"/>
          <w:szCs w:val="24"/>
          <w:highlight w:val="none"/>
        </w:rPr>
        <w:t xml:space="preserve">行知路5号  </w:t>
      </w:r>
      <w:r/>
    </w:p>
    <w:p>
      <w:pPr>
        <w:ind w:firstLine="480"/>
        <w:spacing w:line="264"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联系人：沈</w:t>
      </w:r>
      <w:r>
        <w:rPr>
          <w:rFonts w:hint="eastAsia" w:ascii="宋体" w:hAnsi="宋体"/>
          <w:color w:val="auto"/>
          <w:sz w:val="24"/>
          <w:szCs w:val="24"/>
          <w:highlight w:val="none"/>
          <w:lang w:eastAsia="zh-CN"/>
        </w:rPr>
        <w:t xml:space="preserve">老师</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联系电话：025-58882126 　　　　　　　　　 </w:t>
      </w:r>
      <w:bookmarkStart w:id="46" w:name="_Toc28359009"/>
      <w:r/>
      <w:bookmarkStart w:id="47" w:name="_Toc28359086"/>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2.南京市公共资源交易中心</w:t>
      </w:r>
      <w:bookmarkEnd w:id="46"/>
      <w:r/>
      <w:bookmarkEnd w:id="47"/>
      <w:r>
        <w:rPr>
          <w:rFonts w:hint="eastAsia" w:ascii="宋体" w:hAnsi="宋体"/>
          <w:color w:val="auto"/>
          <w:sz w:val="24"/>
          <w:szCs w:val="24"/>
          <w:highlight w:val="none"/>
        </w:rPr>
        <w:t xml:space="preserve">浦口分中心信息</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lang w:val="zh-CN"/>
        </w:rPr>
        <w:t xml:space="preserve">南京市浦口区江浦街道象山路4号浦口市民中心B幢五楼受理大厅 </w:t>
      </w:r>
      <w:r/>
    </w:p>
    <w:p>
      <w:pPr>
        <w:ind w:firstLine="480"/>
        <w:spacing w:line="264" w:lineRule="auto"/>
        <w:rPr>
          <w:rFonts w:ascii="宋体" w:hAnsi="宋体"/>
          <w:color w:val="auto"/>
          <w:sz w:val="24"/>
          <w:szCs w:val="24"/>
          <w:highlight w:val="none"/>
          <w:u w:val="singl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戴</w:t>
      </w:r>
      <w:r>
        <w:rPr>
          <w:rFonts w:hint="eastAsia" w:ascii="宋体" w:hAnsi="宋体"/>
          <w:color w:val="auto"/>
          <w:sz w:val="24"/>
          <w:szCs w:val="24"/>
          <w:highlight w:val="none"/>
          <w:u w:val="single"/>
        </w:rPr>
        <w:t xml:space="preserve">工</w:t>
      </w:r>
      <w:r/>
    </w:p>
    <w:p>
      <w:pPr>
        <w:ind w:firstLine="480"/>
        <w:spacing w:line="264" w:lineRule="auto"/>
        <w:rPr>
          <w:color w:val="auto"/>
          <w:highlight w:val="none"/>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u w:val="single"/>
        </w:rPr>
        <w:t xml:space="preserve">025-69659180</w:t>
      </w:r>
      <w:r/>
    </w:p>
    <w:p>
      <w:pPr>
        <w:pStyle w:val="658"/>
        <w:rPr>
          <w:rFonts w:ascii="方正小标宋简体" w:hAnsi="方正小标宋简体" w:eastAsia="方正小标宋简体" w:cs="方正小标宋简体"/>
          <w:color w:val="auto"/>
          <w:sz w:val="36"/>
          <w:szCs w:val="36"/>
          <w:highlight w:val="none"/>
        </w:rPr>
      </w:pPr>
      <w:r>
        <w:rPr>
          <w:rFonts w:ascii="宋体" w:hAnsi="宋体"/>
          <w:color w:val="auto"/>
          <w:sz w:val="24"/>
          <w:szCs w:val="24"/>
          <w:highlight w:val="none"/>
        </w:rPr>
        <w:br w:type="page" w:clear="all"/>
      </w:r>
      <w:bookmarkStart w:id="48" w:name="_Toc120614211"/>
      <w:r/>
      <w:bookmarkStart w:id="49" w:name="_Toc27691"/>
      <w:r/>
      <w:bookmarkStart w:id="50" w:name="_Toc26366"/>
      <w:r>
        <w:rPr>
          <w:rFonts w:hint="eastAsia" w:eastAsia="宋体"/>
          <w:color w:val="auto"/>
          <w:highlight w:val="none"/>
        </w:rPr>
        <w:t xml:space="preserve">第二章  </w:t>
      </w:r>
      <w:bookmarkEnd w:id="5"/>
      <w:r/>
      <w:bookmarkEnd w:id="6"/>
      <w:r/>
      <w:bookmarkEnd w:id="7"/>
      <w:r/>
      <w:bookmarkEnd w:id="8"/>
      <w:r/>
      <w:bookmarkEnd w:id="9"/>
      <w:r/>
      <w:bookmarkEnd w:id="48"/>
      <w:r/>
      <w:bookmarkStart w:id="51" w:name="_Toc120614213"/>
      <w:r/>
      <w:bookmarkStart w:id="52" w:name="_Toc16938518"/>
      <w:r/>
      <w:bookmarkStart w:id="53" w:name="_Toc20823274"/>
      <w:r/>
      <w:bookmarkStart w:id="54" w:name="_Toc513029202"/>
      <w:r>
        <w:rPr>
          <w:rFonts w:hint="eastAsia" w:eastAsia="宋体"/>
          <w:color w:val="auto"/>
          <w:highlight w:val="none"/>
        </w:rPr>
        <w:t xml:space="preserve">投标人须知</w:t>
      </w:r>
      <w:bookmarkEnd w:id="49"/>
      <w:r/>
      <w:bookmarkEnd w:id="50"/>
      <w:r/>
      <w:bookmarkEnd w:id="51"/>
      <w:r/>
      <w:bookmarkEnd w:id="52"/>
      <w:r/>
      <w:bookmarkEnd w:id="53"/>
      <w:r/>
      <w:bookmarkEnd w:id="54"/>
      <w:r/>
      <w:r/>
    </w:p>
    <w:p>
      <w:pPr>
        <w:pStyle w:val="660"/>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55" w:name="_Toc513029203"/>
      <w:r/>
      <w:bookmarkStart w:id="56" w:name="_Toc120614214"/>
      <w:r/>
      <w:bookmarkStart w:id="57" w:name="_Toc16938519"/>
      <w:r/>
      <w:bookmarkStart w:id="58" w:name="_Toc20823275"/>
      <w:r/>
      <w:bookmarkStart w:id="59" w:name="_Toc20823314"/>
      <w:r/>
      <w:bookmarkStart w:id="60" w:name="_Toc513029242"/>
      <w:r/>
      <w:bookmarkStart w:id="61" w:name="_Toc16938558"/>
      <w:r/>
      <w:bookmarkStart w:id="62" w:name="_Toc120614221"/>
      <w:r/>
      <w:bookmarkStart w:id="63" w:name="_Toc479757207"/>
      <w:r>
        <w:rPr>
          <w:rFonts w:hint="eastAsia" w:ascii="方正黑体_GBK" w:hAnsi="方正黑体_GBK" w:eastAsia="方正黑体_GBK" w:cs="方正黑体_GBK"/>
          <w:b w:val="0"/>
          <w:bCs w:val="0"/>
          <w:color w:val="auto"/>
          <w:sz w:val="30"/>
          <w:szCs w:val="30"/>
          <w:highlight w:val="none"/>
        </w:rPr>
        <w:t xml:space="preserve">一、总则</w:t>
      </w:r>
      <w:bookmarkEnd w:id="55"/>
      <w:r/>
      <w:bookmarkEnd w:id="56"/>
      <w:r/>
      <w:bookmarkEnd w:id="57"/>
      <w:r/>
      <w:bookmarkEnd w:id="58"/>
      <w:r/>
      <w:r/>
    </w:p>
    <w:p>
      <w:pPr>
        <w:pStyle w:val="661"/>
        <w:ind w:firstLine="422"/>
        <w:spacing w:before="0" w:after="0" w:line="240" w:lineRule="auto"/>
        <w:rPr>
          <w:rFonts w:ascii="方正楷体_GBK" w:hAnsi="方正楷体_GBK" w:eastAsia="方正楷体_GBK" w:cs="方正楷体_GBK"/>
          <w:color w:val="auto"/>
          <w:highlight w:val="none"/>
        </w:rPr>
      </w:pPr>
      <w:r/>
      <w:bookmarkStart w:id="64" w:name="_Hlt16619475"/>
      <w:r/>
      <w:bookmarkEnd w:id="64"/>
      <w:r/>
      <w:bookmarkStart w:id="65" w:name="_Toc458694821"/>
      <w:r/>
      <w:bookmarkStart w:id="66" w:name="_Toc513029204"/>
      <w:r/>
      <w:bookmarkStart w:id="67" w:name="_Toc16938520"/>
      <w:r/>
      <w:bookmarkStart w:id="68" w:name="_Toc20823276"/>
      <w:r>
        <w:rPr>
          <w:rFonts w:hint="eastAsia" w:ascii="方正楷体_GBK" w:hAnsi="方正楷体_GBK" w:eastAsia="方正楷体_GBK" w:cs="方正楷体_GBK"/>
          <w:color w:val="auto"/>
          <w:highlight w:val="none"/>
        </w:rPr>
        <w:t xml:space="preserve">1</w:t>
      </w:r>
      <w:bookmarkEnd w:id="65"/>
      <w:r>
        <w:rPr>
          <w:rFonts w:hint="eastAsia" w:ascii="方正楷体_GBK" w:hAnsi="方正楷体_GBK" w:eastAsia="方正楷体_GBK" w:cs="方正楷体_GBK"/>
          <w:color w:val="auto"/>
          <w:highlight w:val="none"/>
        </w:rPr>
        <w:t xml:space="preserve">.招标方式</w:t>
      </w:r>
      <w:bookmarkEnd w:id="66"/>
      <w:r/>
      <w:bookmarkEnd w:id="67"/>
      <w:r/>
      <w:bookmarkEnd w:id="68"/>
      <w:r/>
      <w:r/>
    </w:p>
    <w:p>
      <w:pPr>
        <w:ind w:firstLine="420"/>
        <w:rPr>
          <w:rFonts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661"/>
        <w:ind w:firstLine="422"/>
        <w:spacing w:before="0" w:after="0" w:line="240" w:lineRule="auto"/>
        <w:rPr>
          <w:rFonts w:ascii="方正楷体_GBK" w:hAnsi="方正楷体_GBK" w:eastAsia="方正楷体_GBK" w:cs="方正楷体_GBK"/>
          <w:color w:val="auto"/>
          <w:highlight w:val="none"/>
        </w:rPr>
      </w:pPr>
      <w:r/>
      <w:bookmarkStart w:id="69" w:name="_Toc513029205"/>
      <w:r/>
      <w:bookmarkStart w:id="70" w:name="_Toc20823277"/>
      <w:r/>
      <w:bookmarkStart w:id="71" w:name="_Toc16938521"/>
      <w:r>
        <w:rPr>
          <w:rFonts w:hint="eastAsia" w:ascii="方正楷体_GBK" w:hAnsi="方正楷体_GBK" w:eastAsia="方正楷体_GBK" w:cs="方正楷体_GBK"/>
          <w:color w:val="auto"/>
          <w:highlight w:val="none"/>
        </w:rPr>
        <w:t xml:space="preserve">2.合格的投标人</w:t>
      </w:r>
      <w:bookmarkEnd w:id="69"/>
      <w:r/>
      <w:bookmarkEnd w:id="70"/>
      <w:r/>
      <w:bookmarkEnd w:id="71"/>
      <w:r/>
      <w:r/>
    </w:p>
    <w:p>
      <w:pPr>
        <w:ind w:firstLine="420"/>
        <w:rPr>
          <w:rFonts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661"/>
        <w:ind w:firstLine="422"/>
        <w:spacing w:before="0" w:after="0" w:line="240" w:lineRule="auto"/>
        <w:rPr>
          <w:rFonts w:ascii="方正楷体_GBK" w:hAnsi="方正楷体_GBK" w:eastAsia="方正楷体_GBK" w:cs="方正楷体_GBK"/>
          <w:color w:val="auto"/>
          <w:highlight w:val="none"/>
        </w:rPr>
      </w:pPr>
      <w:r/>
      <w:bookmarkStart w:id="72" w:name="_Toc16938522"/>
      <w:r/>
      <w:bookmarkStart w:id="73" w:name="_Toc20823278"/>
      <w:r/>
      <w:bookmarkStart w:id="74" w:name="_Toc513029206"/>
      <w:r>
        <w:rPr>
          <w:rFonts w:hint="eastAsia" w:ascii="方正楷体_GBK" w:hAnsi="方正楷体_GBK" w:eastAsia="方正楷体_GBK" w:cs="方正楷体_GBK"/>
          <w:color w:val="auto"/>
          <w:highlight w:val="none"/>
        </w:rPr>
        <w:t xml:space="preserve">3.适用法律</w:t>
      </w:r>
      <w:bookmarkEnd w:id="72"/>
      <w:r/>
      <w:bookmarkEnd w:id="73"/>
      <w:r/>
      <w:bookmarkEnd w:id="74"/>
      <w:r/>
      <w:r/>
    </w:p>
    <w:p>
      <w:pPr>
        <w:ind w:firstLine="420"/>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661"/>
        <w:ind w:firstLine="422"/>
        <w:spacing w:before="0" w:after="0" w:line="240" w:lineRule="auto"/>
        <w:rPr>
          <w:rFonts w:ascii="方正楷体_GBK" w:hAnsi="方正楷体_GBK" w:eastAsia="方正楷体_GBK" w:cs="方正楷体_GBK"/>
          <w:color w:val="auto"/>
          <w:highlight w:val="none"/>
        </w:rPr>
      </w:pPr>
      <w:r/>
      <w:bookmarkStart w:id="75" w:name="_Toc20823279"/>
      <w:r/>
      <w:bookmarkStart w:id="76" w:name="_Toc513029207"/>
      <w:r/>
      <w:bookmarkStart w:id="77" w:name="_Toc16938523"/>
      <w:r/>
      <w:bookmarkStart w:id="78" w:name="_Toc462564067"/>
      <w:r>
        <w:rPr>
          <w:rFonts w:hint="eastAsia" w:ascii="方正楷体_GBK" w:hAnsi="方正楷体_GBK" w:eastAsia="方正楷体_GBK" w:cs="方正楷体_GBK"/>
          <w:color w:val="auto"/>
          <w:highlight w:val="none"/>
        </w:rPr>
        <w:t xml:space="preserve">4.投标费用</w:t>
      </w:r>
      <w:bookmarkEnd w:id="75"/>
      <w:r/>
      <w:bookmarkEnd w:id="76"/>
      <w:r/>
      <w:bookmarkEnd w:id="77"/>
      <w:r/>
      <w:bookmarkEnd w:id="78"/>
      <w:r/>
      <w:r/>
    </w:p>
    <w:p>
      <w:pPr>
        <w:ind w:firstLine="420"/>
        <w:rPr>
          <w:rFonts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661"/>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p>
    <w:p>
      <w:pPr>
        <w:ind w:firstLine="420"/>
        <w:rPr>
          <w:rFonts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660"/>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79" w:name="_Toc16938525"/>
      <w:r/>
      <w:bookmarkStart w:id="80" w:name="_Toc20823281"/>
      <w:r/>
      <w:bookmarkStart w:id="81" w:name="_Toc120614215"/>
      <w:r/>
      <w:bookmarkStart w:id="82" w:name="_Toc513029209"/>
      <w:r>
        <w:rPr>
          <w:rFonts w:hint="eastAsia" w:ascii="方正黑体_GBK" w:hAnsi="方正黑体_GBK" w:eastAsia="方正黑体_GBK" w:cs="方正黑体_GBK"/>
          <w:b w:val="0"/>
          <w:bCs w:val="0"/>
          <w:color w:val="auto"/>
          <w:sz w:val="30"/>
          <w:szCs w:val="30"/>
          <w:highlight w:val="none"/>
        </w:rPr>
        <w:t xml:space="preserve">二、招标文件</w:t>
      </w:r>
      <w:bookmarkEnd w:id="79"/>
      <w:r/>
      <w:bookmarkEnd w:id="80"/>
      <w:r/>
      <w:bookmarkEnd w:id="81"/>
      <w:r/>
      <w:bookmarkEnd w:id="82"/>
      <w:r/>
      <w:r/>
    </w:p>
    <w:p>
      <w:pPr>
        <w:pStyle w:val="661"/>
        <w:ind w:firstLine="422"/>
        <w:spacing w:before="0" w:after="0" w:line="240" w:lineRule="auto"/>
        <w:rPr>
          <w:rFonts w:ascii="方正楷体_GBK" w:hAnsi="方正楷体_GBK" w:eastAsia="方正楷体_GBK" w:cs="方正楷体_GBK"/>
          <w:color w:val="auto"/>
          <w:highlight w:val="none"/>
        </w:rPr>
      </w:pPr>
      <w:r/>
      <w:bookmarkStart w:id="83" w:name="_Toc20823282"/>
      <w:r/>
      <w:bookmarkStart w:id="84" w:name="_Toc16938526"/>
      <w:r/>
      <w:bookmarkStart w:id="85" w:name="_Toc513029210"/>
      <w:r>
        <w:rPr>
          <w:rFonts w:hint="eastAsia" w:ascii="方正楷体_GBK" w:hAnsi="方正楷体_GBK" w:eastAsia="方正楷体_GBK" w:cs="方正楷体_GBK"/>
          <w:color w:val="auto"/>
          <w:highlight w:val="none"/>
        </w:rPr>
        <w:t xml:space="preserve">6.招标文件构成</w:t>
      </w:r>
      <w:bookmarkEnd w:id="83"/>
      <w:r/>
      <w:bookmarkEnd w:id="84"/>
      <w:r/>
      <w:bookmarkEnd w:id="85"/>
      <w:r/>
      <w:r/>
    </w:p>
    <w:p>
      <w:pPr>
        <w:ind w:firstLine="420"/>
        <w:rPr>
          <w:rFonts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ascii="宋体" w:hAnsi="宋体"/>
          <w:color w:val="auto"/>
          <w:sz w:val="24"/>
          <w:highlight w:val="none"/>
        </w:rPr>
      </w:pPr>
      <w:r>
        <w:rPr>
          <w:rFonts w:hint="eastAsia" w:ascii="宋体" w:hAnsi="宋体"/>
          <w:color w:val="auto"/>
          <w:sz w:val="24"/>
          <w:highlight w:val="none"/>
        </w:rPr>
        <w:t xml:space="preserve">（1）投标邀请</w:t>
      </w:r>
      <w:r/>
    </w:p>
    <w:p>
      <w:pPr>
        <w:ind w:firstLine="420"/>
        <w:rPr>
          <w:rFonts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ascii="宋体" w:hAnsi="宋体"/>
          <w:color w:val="auto"/>
          <w:sz w:val="24"/>
          <w:highlight w:val="none"/>
        </w:rPr>
      </w:pPr>
      <w:r>
        <w:rPr>
          <w:rFonts w:hint="eastAsia" w:ascii="宋体" w:hAnsi="宋体"/>
          <w:color w:val="auto"/>
          <w:sz w:val="24"/>
          <w:highlight w:val="none"/>
        </w:rPr>
        <w:t xml:space="preserve">（3）合同文本</w:t>
      </w:r>
      <w:r/>
    </w:p>
    <w:p>
      <w:pPr>
        <w:ind w:firstLine="420"/>
        <w:rPr>
          <w:rFonts w:ascii="宋体" w:hAnsi="宋体"/>
          <w:color w:val="auto"/>
          <w:sz w:val="24"/>
          <w:highlight w:val="none"/>
        </w:rPr>
      </w:pPr>
      <w:r>
        <w:rPr>
          <w:rFonts w:hint="eastAsia" w:ascii="宋体" w:hAnsi="宋体"/>
          <w:color w:val="auto"/>
          <w:sz w:val="24"/>
          <w:highlight w:val="none"/>
        </w:rPr>
        <w:t xml:space="preserve">（4）采购需求</w:t>
      </w:r>
      <w:r/>
    </w:p>
    <w:p>
      <w:pPr>
        <w:ind w:firstLine="420"/>
        <w:rPr>
          <w:rFonts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投标人应仔细检查招标文件是否齐全，如有缺漏请立即与交易中心联系。</w:t>
      </w:r>
      <w:r/>
    </w:p>
    <w:p>
      <w:pPr>
        <w:ind w:firstLine="420"/>
        <w:rPr>
          <w:rFonts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1"/>
        <w:ind w:firstLine="422"/>
        <w:spacing w:before="0" w:after="0" w:line="240" w:lineRule="auto"/>
        <w:rPr>
          <w:rFonts w:ascii="方正楷体_GBK" w:hAnsi="方正楷体_GBK" w:eastAsia="方正楷体_GBK" w:cs="方正楷体_GBK"/>
          <w:color w:val="auto"/>
          <w:highlight w:val="none"/>
        </w:rPr>
      </w:pPr>
      <w:r/>
      <w:bookmarkStart w:id="86" w:name="_Toc16938527"/>
      <w:r/>
      <w:bookmarkStart w:id="87" w:name="_Toc513029211"/>
      <w:r/>
      <w:bookmarkStart w:id="88" w:name="_Toc462564070"/>
      <w:r/>
      <w:bookmarkStart w:id="89" w:name="_Toc20823283"/>
      <w:r>
        <w:rPr>
          <w:rFonts w:hint="eastAsia" w:ascii="方正楷体_GBK" w:hAnsi="方正楷体_GBK" w:eastAsia="方正楷体_GBK" w:cs="方正楷体_GBK"/>
          <w:color w:val="auto"/>
          <w:highlight w:val="none"/>
        </w:rPr>
        <w:t xml:space="preserve">7.招标文件的澄清</w:t>
      </w:r>
      <w:bookmarkEnd w:id="86"/>
      <w:r/>
      <w:bookmarkEnd w:id="87"/>
      <w:r/>
      <w:bookmarkEnd w:id="88"/>
      <w:r/>
      <w:bookmarkEnd w:id="89"/>
      <w:r/>
      <w:r/>
    </w:p>
    <w:p>
      <w:pPr>
        <w:ind w:firstLine="420"/>
        <w:rPr>
          <w:rFonts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任何要求对招标文件进行澄清的投标人，应在投标截止期十日前按招标公告中的通讯地址，以书面形式通知交易中心。</w:t>
      </w:r>
      <w:r/>
    </w:p>
    <w:p>
      <w:pPr>
        <w:pStyle w:val="661"/>
        <w:ind w:firstLine="422"/>
        <w:spacing w:before="0" w:after="0" w:line="240" w:lineRule="auto"/>
        <w:rPr>
          <w:rFonts w:ascii="方正楷体_GBK" w:hAnsi="方正楷体_GBK" w:eastAsia="方正楷体_GBK" w:cs="方正楷体_GBK"/>
          <w:color w:val="auto"/>
          <w:highlight w:val="none"/>
        </w:rPr>
      </w:pPr>
      <w:r/>
      <w:bookmarkStart w:id="90" w:name="_Toc513029212"/>
      <w:r/>
      <w:bookmarkStart w:id="91" w:name="_Toc16938528"/>
      <w:r/>
      <w:bookmarkStart w:id="92" w:name="_Toc20823284"/>
      <w:r/>
      <w:bookmarkStart w:id="93" w:name="_Toc462564071"/>
      <w:r>
        <w:rPr>
          <w:rFonts w:hint="eastAsia" w:ascii="方正楷体_GBK" w:hAnsi="方正楷体_GBK" w:eastAsia="方正楷体_GBK" w:cs="方正楷体_GBK"/>
          <w:color w:val="auto"/>
          <w:highlight w:val="none"/>
        </w:rPr>
        <w:t xml:space="preserve">8.招标文件的修改</w:t>
      </w:r>
      <w:bookmarkEnd w:id="90"/>
      <w:r/>
      <w:bookmarkEnd w:id="91"/>
      <w:r/>
      <w:bookmarkEnd w:id="92"/>
      <w:r/>
      <w:bookmarkEnd w:id="93"/>
      <w:r/>
      <w:r/>
    </w:p>
    <w:p>
      <w:pPr>
        <w:ind w:firstLine="420"/>
        <w:rPr>
          <w:rFonts w:ascii="宋体" w:hAnsi="宋体"/>
          <w:color w:val="auto"/>
          <w:sz w:val="24"/>
          <w:highlight w:val="none"/>
        </w:rPr>
      </w:pPr>
      <w:r/>
      <w:bookmarkStart w:id="94" w:name="_Toc120614216"/>
      <w:r/>
      <w:bookmarkStart w:id="95" w:name="_Toc462564072"/>
      <w:r/>
      <w:bookmarkStart w:id="96" w:name="_Toc16938529"/>
      <w:r/>
      <w:bookmarkStart w:id="97" w:name="_Toc513029213"/>
      <w:r/>
      <w:bookmarkStart w:id="98" w:name="_Toc20823285"/>
      <w:r>
        <w:rPr>
          <w:rFonts w:hint="eastAsia" w:ascii="宋体" w:hAnsi="宋体"/>
          <w:color w:val="auto"/>
          <w:sz w:val="24"/>
          <w:highlight w:val="none"/>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color w:val="auto"/>
          <w:sz w:val="24"/>
          <w:highlight w:val="none"/>
        </w:rPr>
      </w:pPr>
      <w:r>
        <w:rPr>
          <w:rFonts w:hint="eastAsia" w:ascii="宋体" w:hAnsi="宋体"/>
          <w:color w:val="auto"/>
          <w:sz w:val="24"/>
          <w:highlight w:val="none"/>
        </w:rPr>
        <w:t xml:space="preserve">8.3 交易中心有权按照法定的要求推迟投标截止日期和开标日期，并在原公告媒体发布更正公告。</w:t>
      </w:r>
      <w:r/>
    </w:p>
    <w:p>
      <w:pPr>
        <w:pStyle w:val="660"/>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94"/>
      <w:r/>
      <w:bookmarkEnd w:id="95"/>
      <w:r/>
      <w:bookmarkEnd w:id="96"/>
      <w:r/>
      <w:bookmarkEnd w:id="97"/>
      <w:r/>
      <w:bookmarkEnd w:id="98"/>
      <w:r/>
      <w:r/>
    </w:p>
    <w:p>
      <w:pPr>
        <w:pStyle w:val="661"/>
        <w:ind w:firstLine="422"/>
        <w:spacing w:before="0" w:after="0" w:line="240" w:lineRule="auto"/>
        <w:rPr>
          <w:rFonts w:ascii="方正楷体_GBK" w:hAnsi="方正楷体_GBK" w:eastAsia="方正楷体_GBK" w:cs="方正楷体_GBK"/>
          <w:color w:val="auto"/>
          <w:highlight w:val="none"/>
        </w:rPr>
      </w:pPr>
      <w:r/>
      <w:bookmarkStart w:id="99" w:name="_Toc20823286"/>
      <w:r/>
      <w:bookmarkStart w:id="100" w:name="_Toc462564073"/>
      <w:r/>
      <w:bookmarkStart w:id="101" w:name="_Toc16938530"/>
      <w:r/>
      <w:bookmarkStart w:id="102" w:name="_Toc513029214"/>
      <w:r>
        <w:rPr>
          <w:rFonts w:hint="eastAsia" w:ascii="方正楷体_GBK" w:hAnsi="方正楷体_GBK" w:eastAsia="方正楷体_GBK" w:cs="方正楷体_GBK"/>
          <w:color w:val="auto"/>
          <w:highlight w:val="none"/>
        </w:rPr>
        <w:t xml:space="preserve">9.投标文件的语言及度量衡单位</w:t>
      </w:r>
      <w:bookmarkEnd w:id="99"/>
      <w:r/>
      <w:bookmarkEnd w:id="100"/>
      <w:r/>
      <w:bookmarkEnd w:id="101"/>
      <w:r/>
      <w:bookmarkEnd w:id="102"/>
      <w:r/>
      <w:r/>
    </w:p>
    <w:p>
      <w:pPr>
        <w:ind w:firstLine="420"/>
        <w:rPr>
          <w:rFonts w:ascii="宋体" w:hAnsi="宋体"/>
          <w:color w:val="auto"/>
          <w:sz w:val="24"/>
          <w:highlight w:val="none"/>
        </w:rPr>
      </w:pPr>
      <w:r>
        <w:rPr>
          <w:rFonts w:hint="eastAsia" w:ascii="宋体" w:hAnsi="宋体"/>
          <w:color w:val="auto"/>
          <w:sz w:val="24"/>
          <w:highlight w:val="none"/>
        </w:rPr>
        <w:t xml:space="preserve">9.1 投标人提交的投标文件以及投标人与交易中心就有关投标的所有来往通知、函件和文件均应使用简体中文。</w:t>
      </w:r>
      <w:r/>
    </w:p>
    <w:p>
      <w:pPr>
        <w:ind w:firstLine="420"/>
        <w:rPr>
          <w:rFonts w:ascii="宋体" w:hAnsi="宋体"/>
          <w:color w:val="auto"/>
          <w:sz w:val="24"/>
          <w:highlight w:val="none"/>
        </w:rPr>
      </w:pPr>
      <w:r>
        <w:rPr>
          <w:rFonts w:hint="eastAsia" w:ascii="宋体" w:hAnsi="宋体"/>
          <w:color w:val="auto"/>
          <w:sz w:val="24"/>
          <w:highlight w:val="none"/>
        </w:rPr>
        <w:t xml:space="preserve">9.2 除技术性能另有规定外，投标文件所使用的度量衡单位，均须采用国家法定计量单位。</w:t>
      </w:r>
      <w:r/>
    </w:p>
    <w:p>
      <w:pPr>
        <w:pStyle w:val="661"/>
        <w:ind w:firstLine="422"/>
        <w:spacing w:before="0" w:after="0" w:line="240" w:lineRule="auto"/>
        <w:rPr>
          <w:rFonts w:ascii="方正楷体_GBK" w:hAnsi="方正楷体_GBK" w:eastAsia="方正楷体_GBK" w:cs="方正楷体_GBK"/>
          <w:color w:val="auto"/>
          <w:highlight w:val="none"/>
        </w:rPr>
      </w:pPr>
      <w:r/>
      <w:bookmarkStart w:id="103" w:name="_Toc513029215"/>
      <w:r/>
      <w:bookmarkStart w:id="104" w:name="_Toc16938531"/>
      <w:r/>
      <w:bookmarkStart w:id="105" w:name="_Toc462564074"/>
      <w:r/>
      <w:bookmarkStart w:id="106" w:name="_Toc20823287"/>
      <w:r>
        <w:rPr>
          <w:rFonts w:hint="eastAsia" w:ascii="方正楷体_GBK" w:hAnsi="方正楷体_GBK" w:eastAsia="方正楷体_GBK" w:cs="方正楷体_GBK"/>
          <w:color w:val="auto"/>
          <w:highlight w:val="none"/>
        </w:rPr>
        <w:t xml:space="preserve">10.投标文件构成</w:t>
      </w:r>
      <w:bookmarkEnd w:id="103"/>
      <w:r/>
      <w:bookmarkEnd w:id="104"/>
      <w:r/>
      <w:bookmarkEnd w:id="105"/>
      <w:r/>
      <w:bookmarkEnd w:id="106"/>
      <w:r/>
      <w:r/>
    </w:p>
    <w:p>
      <w:pPr>
        <w:ind w:firstLine="420"/>
        <w:rPr>
          <w:rFonts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661"/>
        <w:ind w:firstLine="422"/>
        <w:spacing w:before="0" w:after="0" w:line="240" w:lineRule="auto"/>
        <w:rPr>
          <w:rFonts w:ascii="方正楷体_GBK" w:hAnsi="方正楷体_GBK" w:eastAsia="方正楷体_GBK" w:cs="方正楷体_GBK"/>
          <w:color w:val="auto"/>
          <w:highlight w:val="none"/>
        </w:rPr>
      </w:pPr>
      <w:r/>
      <w:bookmarkStart w:id="107" w:name="_Hlt26954838"/>
      <w:r/>
      <w:bookmarkEnd w:id="107"/>
      <w:r/>
      <w:bookmarkStart w:id="108" w:name="_Hlt26670360"/>
      <w:r/>
      <w:bookmarkEnd w:id="108"/>
      <w:r/>
      <w:bookmarkStart w:id="109" w:name="_Hlt26668975"/>
      <w:r/>
      <w:bookmarkEnd w:id="109"/>
      <w:r/>
      <w:bookmarkStart w:id="110" w:name="_Toc49090507"/>
      <w:r/>
      <w:bookmarkStart w:id="111" w:name="_Toc49090509"/>
      <w:r/>
      <w:bookmarkStart w:id="112" w:name="_Toc513029216"/>
      <w:r/>
      <w:bookmarkStart w:id="113" w:name="_Toc14577357"/>
      <w:r/>
      <w:bookmarkStart w:id="114" w:name="_Toc513029219"/>
      <w:r/>
      <w:bookmarkStart w:id="115" w:name="_Toc14577354"/>
      <w:r>
        <w:rPr>
          <w:rFonts w:hint="eastAsia" w:ascii="方正楷体_GBK" w:hAnsi="方正楷体_GBK" w:eastAsia="方正楷体_GBK" w:cs="方正楷体_GBK"/>
          <w:color w:val="auto"/>
          <w:highlight w:val="none"/>
        </w:rPr>
        <w:t xml:space="preserve">11.证明投标人及投标标的符合招标文件规定的文件</w:t>
      </w:r>
      <w:bookmarkEnd w:id="110"/>
      <w:r/>
      <w:bookmarkEnd w:id="111"/>
      <w:r/>
      <w:bookmarkEnd w:id="112"/>
      <w:r/>
      <w:bookmarkEnd w:id="113"/>
      <w:r/>
      <w:bookmarkEnd w:id="114"/>
      <w:r/>
      <w:bookmarkEnd w:id="115"/>
      <w:r/>
      <w:r/>
    </w:p>
    <w:p>
      <w:pPr>
        <w:ind w:firstLine="420"/>
        <w:rPr>
          <w:rFonts w:ascii="宋体" w:hAnsi="宋体"/>
          <w:color w:val="auto"/>
          <w:sz w:val="24"/>
          <w:highlight w:val="none"/>
        </w:rPr>
      </w:pPr>
      <w:r/>
      <w:bookmarkStart w:id="116" w:name="_Toc14577355"/>
      <w:r/>
      <w:bookmarkStart w:id="117" w:name="_Toc49090508"/>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rPr>
          <w:rFonts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661"/>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12.投标分项报价</w:t>
      </w:r>
      <w:bookmarkEnd w:id="116"/>
      <w:r/>
      <w:bookmarkStart w:id="118" w:name="_Hlt26670373"/>
      <w:r/>
      <w:bookmarkEnd w:id="118"/>
      <w:r>
        <w:rPr>
          <w:rFonts w:hint="eastAsia" w:ascii="方正楷体_GBK" w:hAnsi="方正楷体_GBK" w:eastAsia="方正楷体_GBK" w:cs="方正楷体_GBK"/>
          <w:color w:val="auto"/>
          <w:highlight w:val="none"/>
        </w:rPr>
        <w:t xml:space="preserve">表</w:t>
      </w:r>
      <w:bookmarkEnd w:id="117"/>
      <w:r>
        <w:rPr>
          <w:rFonts w:hint="eastAsia" w:ascii="方正楷体_GBK" w:hAnsi="方正楷体_GBK" w:eastAsia="方正楷体_GBK" w:cs="方正楷体_GBK"/>
          <w:color w:val="auto"/>
          <w:highlight w:val="none"/>
        </w:rPr>
        <w:t xml:space="preserve">（如有）</w:t>
      </w:r>
      <w:r/>
    </w:p>
    <w:p>
      <w:pPr>
        <w:ind w:firstLine="420"/>
        <w:rPr>
          <w:rFonts w:ascii="宋体" w:hAnsi="宋体"/>
          <w:color w:val="auto"/>
          <w:sz w:val="24"/>
          <w:highlight w:val="none"/>
        </w:rPr>
      </w:pPr>
      <w:r>
        <w:rPr>
          <w:rFonts w:hint="eastAsia" w:ascii="宋体" w:hAnsi="宋体"/>
          <w:color w:val="auto"/>
          <w:sz w:val="24"/>
          <w:highlight w:val="none"/>
        </w:rPr>
        <w:t xml:space="preserve">12.1 投</w:t>
      </w:r>
      <w:bookmarkStart w:id="119" w:name="_Hlt26954840"/>
      <w:r/>
      <w:bookmarkEnd w:id="119"/>
      <w:r>
        <w:rPr>
          <w:rFonts w:hint="eastAsia" w:ascii="宋体" w:hAnsi="宋体"/>
          <w:color w:val="auto"/>
          <w:sz w:val="24"/>
          <w:highlight w:val="none"/>
        </w:rPr>
        <w:t xml:space="preserve">标人应按照招标文件规定格式填报投标分项报价表</w:t>
      </w:r>
      <w:bookmarkStart w:id="120" w:name="_Hlt26670399"/>
      <w:r/>
      <w:bookmarkEnd w:id="120"/>
      <w:r>
        <w:rPr>
          <w:rFonts w:hint="eastAsia" w:ascii="宋体" w:hAnsi="宋体"/>
          <w:color w:val="auto"/>
          <w:sz w:val="24"/>
          <w:highlight w:val="none"/>
        </w:rPr>
        <w:t xml:space="preserve">。</w:t>
      </w:r>
      <w:r/>
    </w:p>
    <w:p>
      <w:pPr>
        <w:ind w:firstLine="420"/>
        <w:rPr>
          <w:rFonts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661"/>
        <w:ind w:firstLine="422"/>
        <w:spacing w:before="0" w:after="0" w:line="240" w:lineRule="auto"/>
        <w:rPr>
          <w:rFonts w:ascii="方正楷体_GBK" w:hAnsi="方正楷体_GBK" w:eastAsia="方正楷体_GBK" w:cs="方正楷体_GBK"/>
          <w:color w:val="auto"/>
          <w:highlight w:val="none"/>
        </w:rPr>
      </w:pPr>
      <w:r/>
      <w:bookmarkStart w:id="121" w:name="_Hlt26670486"/>
      <w:r/>
      <w:bookmarkEnd w:id="121"/>
      <w:r/>
      <w:bookmarkStart w:id="122" w:name="_Hlt26670425"/>
      <w:r/>
      <w:bookmarkEnd w:id="122"/>
      <w:r/>
      <w:bookmarkStart w:id="123" w:name="_Hlt26954848"/>
      <w:r/>
      <w:bookmarkEnd w:id="123"/>
      <w:r/>
      <w:bookmarkStart w:id="124" w:name="_Hlt26670403"/>
      <w:r/>
      <w:bookmarkEnd w:id="124"/>
      <w:r/>
      <w:bookmarkStart w:id="125" w:name="_Hlt26954844"/>
      <w:r/>
      <w:bookmarkEnd w:id="125"/>
      <w:r/>
      <w:bookmarkStart w:id="126" w:name="_Hlt26668983"/>
      <w:r/>
      <w:bookmarkEnd w:id="126"/>
      <w:r/>
      <w:bookmarkStart w:id="127" w:name="_Hlt26954731"/>
      <w:r/>
      <w:bookmarkEnd w:id="127"/>
      <w:r/>
      <w:bookmarkStart w:id="128" w:name="_Hlt26954846"/>
      <w:r/>
      <w:bookmarkEnd w:id="128"/>
      <w:r/>
      <w:bookmarkStart w:id="129" w:name="_Hlt26954842"/>
      <w:r/>
      <w:bookmarkEnd w:id="129"/>
      <w:r/>
      <w:bookmarkStart w:id="130" w:name="_Hlt26670482"/>
      <w:r/>
      <w:bookmarkEnd w:id="130"/>
      <w:r>
        <w:rPr>
          <w:rFonts w:hint="eastAsia" w:ascii="方正楷体_GBK" w:hAnsi="方正楷体_GBK" w:eastAsia="方正楷体_GBK" w:cs="方正楷体_GBK"/>
          <w:color w:val="auto"/>
          <w:highlight w:val="none"/>
        </w:rPr>
        <w:t xml:space="preserve">13.响应及偏离表</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13.1 投标人需对招标文件中的技术要求与商务要求逐项作出响应或偏离说明。</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13.2 投标人可以在投标文件中提供认为需要的其他技术文件或说明。</w:t>
      </w:r>
      <w:r/>
    </w:p>
    <w:p>
      <w:pPr>
        <w:pStyle w:val="661"/>
        <w:ind w:firstLine="422"/>
        <w:spacing w:before="0" w:after="0" w:line="240" w:lineRule="auto"/>
        <w:rPr>
          <w:rFonts w:ascii="方正楷体_GBK" w:hAnsi="方正楷体_GBK" w:eastAsia="方正楷体_GBK" w:cs="方正楷体_GBK"/>
          <w:color w:val="auto"/>
          <w:highlight w:val="none"/>
        </w:rPr>
      </w:pPr>
      <w:r/>
      <w:bookmarkStart w:id="131" w:name="_Toc49090510"/>
      <w:r/>
      <w:bookmarkStart w:id="132" w:name="_Toc14577359"/>
      <w:r>
        <w:rPr>
          <w:rFonts w:hint="eastAsia" w:ascii="方正楷体_GBK" w:hAnsi="方正楷体_GBK" w:eastAsia="方正楷体_GBK" w:cs="方正楷体_GBK"/>
          <w:color w:val="auto"/>
          <w:highlight w:val="none"/>
        </w:rPr>
        <w:t xml:space="preserve">14.投标函和开标一览表及核心产品品牌一览表</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14.1 投标人应按照招标文件规定格式完整、正确填报投标函、开标一览表及核心产品品牌一览表。</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auto"/>
          <w:sz w:val="24"/>
          <w:highlight w:val="none"/>
        </w:rPr>
        <w:t xml:space="preserve">以</w:t>
      </w:r>
      <w:r>
        <w:rPr>
          <w:rFonts w:hint="eastAsia" w:ascii="宋体" w:hAnsi="宋体"/>
          <w:color w:val="auto"/>
          <w:sz w:val="24"/>
          <w:highlight w:val="none"/>
          <w:lang w:val="zh-CN"/>
        </w:rPr>
        <w:t xml:space="preserve">开标一览表中价格为准。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14.3 核心产品品牌一览表中所投核心产品品牌缺项的将视为无效投标。</w:t>
      </w:r>
      <w:bookmarkEnd w:id="131"/>
      <w:r/>
      <w:bookmarkEnd w:id="132"/>
      <w:r/>
      <w:r/>
    </w:p>
    <w:p>
      <w:pPr>
        <w:pStyle w:val="661"/>
        <w:ind w:firstLine="422"/>
        <w:spacing w:before="0" w:after="0" w:line="240" w:lineRule="auto"/>
        <w:rPr>
          <w:rFonts w:ascii="方正楷体_GBK" w:hAnsi="方正楷体_GBK" w:eastAsia="方正楷体_GBK" w:cs="方正楷体_GBK"/>
          <w:color w:val="auto"/>
          <w:highlight w:val="none"/>
        </w:rPr>
      </w:pPr>
      <w:r/>
      <w:bookmarkStart w:id="133" w:name="_Hlt26670489"/>
      <w:r/>
      <w:bookmarkEnd w:id="133"/>
      <w:r/>
      <w:bookmarkStart w:id="134" w:name="_Hlt26954734"/>
      <w:r/>
      <w:bookmarkEnd w:id="134"/>
      <w:r/>
      <w:bookmarkStart w:id="135" w:name="_Hlt26954850"/>
      <w:r/>
      <w:bookmarkEnd w:id="135"/>
      <w:r/>
      <w:bookmarkStart w:id="136" w:name="_Toc49090511"/>
      <w:r/>
      <w:bookmarkStart w:id="137" w:name="_Toc14577360"/>
      <w:r>
        <w:rPr>
          <w:rFonts w:hint="eastAsia" w:ascii="方正楷体_GBK" w:hAnsi="方正楷体_GBK" w:eastAsia="方正楷体_GBK" w:cs="方正楷体_GBK"/>
          <w:color w:val="auto"/>
          <w:highlight w:val="none"/>
        </w:rPr>
        <w:t xml:space="preserve">15.投标有效期</w:t>
      </w:r>
      <w:bookmarkEnd w:id="136"/>
      <w:r/>
      <w:bookmarkEnd w:id="137"/>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15.1 投标有效期为</w:t>
      </w:r>
      <w:r>
        <w:rPr>
          <w:rFonts w:hint="eastAsia" w:ascii="宋体" w:hAnsi="宋体"/>
          <w:color w:val="auto"/>
          <w:sz w:val="24"/>
          <w:highlight w:val="none"/>
        </w:rPr>
        <w:t xml:space="preserve">招标公告</w:t>
      </w:r>
      <w:r>
        <w:rPr>
          <w:rFonts w:hint="eastAsia" w:ascii="宋体" w:hAnsi="宋体"/>
          <w:color w:val="auto"/>
          <w:sz w:val="24"/>
          <w:highlight w:val="none"/>
          <w:lang w:val="zh-CN"/>
        </w:rPr>
        <w:t xml:space="preserve">规定的开标之日</w:t>
      </w:r>
      <w:r>
        <w:rPr>
          <w:rFonts w:hint="eastAsia" w:ascii="宋体" w:hAnsi="宋体"/>
          <w:color w:val="auto"/>
          <w:sz w:val="24"/>
          <w:highlight w:val="none"/>
        </w:rPr>
        <w:t xml:space="preserve">起</w:t>
      </w:r>
      <w:r>
        <w:rPr>
          <w:rFonts w:hint="eastAsia" w:ascii="宋体" w:hAnsi="宋体"/>
          <w:color w:val="auto"/>
          <w:sz w:val="24"/>
          <w:highlight w:val="none"/>
          <w:lang w:val="zh-CN"/>
        </w:rPr>
        <w:t xml:space="preserve">六十天。投标有效期比规定短的将被视为未实质性响应招标文件而</w:t>
      </w:r>
      <w:r>
        <w:rPr>
          <w:rFonts w:hint="eastAsia" w:ascii="宋体" w:hAnsi="宋体"/>
          <w:color w:val="auto"/>
          <w:sz w:val="24"/>
          <w:highlight w:val="none"/>
        </w:rPr>
        <w:t xml:space="preserve">被</w:t>
      </w:r>
      <w:r>
        <w:rPr>
          <w:rFonts w:hint="eastAsia" w:ascii="宋体" w:hAnsi="宋体"/>
          <w:color w:val="auto"/>
          <w:sz w:val="24"/>
          <w:highlight w:val="none"/>
          <w:lang w:val="zh-CN"/>
        </w:rPr>
        <w:t xml:space="preserve">拒绝。</w:t>
      </w:r>
      <w:r/>
    </w:p>
    <w:p>
      <w:pPr>
        <w:pStyle w:val="661"/>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16.投标有效期的延长</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60"/>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138" w:name="_Hlt26954852"/>
      <w:r/>
      <w:bookmarkEnd w:id="138"/>
      <w:r/>
      <w:bookmarkStart w:id="139" w:name="_Hlt26954739"/>
      <w:r/>
      <w:bookmarkEnd w:id="139"/>
      <w:r/>
      <w:bookmarkStart w:id="140" w:name="_Toc120614217"/>
      <w:r/>
      <w:bookmarkStart w:id="141" w:name="_Toc20823296"/>
      <w:r/>
      <w:bookmarkStart w:id="142" w:name="_Toc513029224"/>
      <w:r/>
      <w:bookmarkStart w:id="143" w:name="_Toc16938540"/>
      <w:r>
        <w:rPr>
          <w:rFonts w:hint="eastAsia" w:ascii="方正黑体_GBK" w:hAnsi="方正黑体_GBK" w:eastAsia="方正黑体_GBK" w:cs="方正黑体_GBK"/>
          <w:b w:val="0"/>
          <w:bCs w:val="0"/>
          <w:color w:val="auto"/>
          <w:sz w:val="30"/>
          <w:szCs w:val="30"/>
          <w:highlight w:val="none"/>
        </w:rPr>
        <w:t xml:space="preserve">四、投标文件的递交</w:t>
      </w:r>
      <w:bookmarkEnd w:id="140"/>
      <w:r/>
      <w:bookmarkEnd w:id="141"/>
      <w:r/>
      <w:bookmarkEnd w:id="142"/>
      <w:r/>
      <w:bookmarkEnd w:id="143"/>
      <w:r/>
      <w:r/>
    </w:p>
    <w:p>
      <w:pPr>
        <w:pStyle w:val="661"/>
        <w:ind w:firstLine="422"/>
        <w:spacing w:before="0" w:after="0" w:line="240" w:lineRule="auto"/>
        <w:rPr>
          <w:rFonts w:ascii="方正楷体_GBK" w:hAnsi="方正楷体_GBK" w:eastAsia="方正楷体_GBK" w:cs="方正楷体_GBK"/>
          <w:color w:val="auto"/>
          <w:highlight w:val="none"/>
        </w:rPr>
      </w:pPr>
      <w:r/>
      <w:bookmarkStart w:id="144" w:name="_Toc16938541"/>
      <w:r/>
      <w:bookmarkStart w:id="145" w:name="_Toc20823297"/>
      <w:r/>
      <w:bookmarkStart w:id="146" w:name="_Toc513029225"/>
      <w:r/>
      <w:bookmarkStart w:id="147" w:name="_Toc462564084"/>
      <w:r>
        <w:rPr>
          <w:rFonts w:hint="eastAsia" w:ascii="方正楷体_GBK" w:hAnsi="方正楷体_GBK" w:eastAsia="方正楷体_GBK" w:cs="方正楷体_GBK"/>
          <w:color w:val="auto"/>
          <w:highlight w:val="none"/>
        </w:rPr>
        <w:t xml:space="preserve">17.投标文件</w:t>
      </w:r>
      <w:bookmarkEnd w:id="144"/>
      <w:r/>
      <w:bookmarkEnd w:id="145"/>
      <w:r/>
      <w:bookmarkEnd w:id="146"/>
      <w:r/>
      <w:bookmarkEnd w:id="147"/>
      <w:r>
        <w:rPr>
          <w:rFonts w:hint="eastAsia" w:ascii="方正楷体_GBK" w:hAnsi="方正楷体_GBK" w:eastAsia="方正楷体_GBK" w:cs="方正楷体_GBK"/>
          <w:color w:val="auto"/>
          <w:highlight w:val="none"/>
        </w:rPr>
        <w:t xml:space="preserve">的递交</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48" w:name="_Toc16938542"/>
      <w:r/>
      <w:bookmarkEnd w:id="148"/>
      <w:r/>
      <w:bookmarkStart w:id="149" w:name="_Toc20823298"/>
      <w:r/>
      <w:bookmarkEnd w:id="149"/>
      <w:r/>
      <w:bookmarkStart w:id="150" w:name="_Toc513029226"/>
      <w:r/>
      <w:bookmarkEnd w:id="150"/>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.1条规定作无效投标处理。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661"/>
        <w:ind w:firstLine="422"/>
        <w:spacing w:before="0" w:after="0" w:line="240" w:lineRule="auto"/>
        <w:rPr>
          <w:rFonts w:ascii="方正楷体_GBK" w:hAnsi="方正楷体_GBK" w:eastAsia="方正楷体_GBK" w:cs="方正楷体_GBK"/>
          <w:color w:val="auto"/>
          <w:highlight w:val="none"/>
        </w:rPr>
      </w:pPr>
      <w:r/>
      <w:bookmarkStart w:id="151" w:name="_Toc513029227"/>
      <w:r/>
      <w:bookmarkStart w:id="152" w:name="_Toc20823299"/>
      <w:r/>
      <w:bookmarkStart w:id="153" w:name="_Toc16938543"/>
      <w:r>
        <w:rPr>
          <w:rFonts w:hint="eastAsia" w:ascii="方正楷体_GBK" w:hAnsi="方正楷体_GBK" w:eastAsia="方正楷体_GBK" w:cs="方正楷体_GBK"/>
          <w:color w:val="auto"/>
          <w:highlight w:val="none"/>
        </w:rPr>
        <w:t xml:space="preserve">18.投标文件</w:t>
      </w:r>
      <w:bookmarkEnd w:id="151"/>
      <w:r/>
      <w:bookmarkEnd w:id="152"/>
      <w:r/>
      <w:bookmarkEnd w:id="153"/>
      <w:r>
        <w:rPr>
          <w:rFonts w:hint="eastAsia" w:ascii="方正楷体_GBK" w:hAnsi="方正楷体_GBK" w:eastAsia="方正楷体_GBK" w:cs="方正楷体_GBK"/>
          <w:color w:val="auto"/>
          <w:highlight w:val="none"/>
        </w:rPr>
        <w:t xml:space="preserve">的拒收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.1投标截止时间后上传的任何投标文件将被拒绝。</w:t>
      </w:r>
      <w:r/>
    </w:p>
    <w:p>
      <w:pPr>
        <w:pStyle w:val="661"/>
        <w:ind w:firstLine="422"/>
        <w:spacing w:before="0" w:after="0" w:line="240" w:lineRule="auto"/>
        <w:rPr>
          <w:rFonts w:ascii="方正楷体_GBK" w:hAnsi="方正楷体_GBK" w:eastAsia="方正楷体_GBK" w:cs="方正楷体_GBK"/>
          <w:color w:val="auto"/>
          <w:highlight w:val="none"/>
        </w:rPr>
      </w:pPr>
      <w:r/>
      <w:bookmarkStart w:id="154" w:name="_Toc513029228"/>
      <w:r/>
      <w:bookmarkStart w:id="155" w:name="_Toc20823300"/>
      <w:r/>
      <w:bookmarkStart w:id="156" w:name="_Toc16938544"/>
      <w:r>
        <w:rPr>
          <w:rFonts w:hint="eastAsia" w:ascii="方正楷体_GBK" w:hAnsi="方正楷体_GBK" w:eastAsia="方正楷体_GBK" w:cs="方正楷体_GBK"/>
          <w:color w:val="auto"/>
          <w:highlight w:val="none"/>
        </w:rPr>
        <w:t xml:space="preserve">19.投标文件的撤回和修改</w:t>
      </w:r>
      <w:bookmarkEnd w:id="154"/>
      <w:r/>
      <w:bookmarkEnd w:id="155"/>
      <w:r/>
      <w:bookmarkEnd w:id="156"/>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.1.1投标人可在投标截止时间前撤回其电子投标文件，具体操作方法见《操作手册》。</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.1.2投标人撤回电子投标文件，则认为其不再参与本项目投标活动。</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.2.1投标人可在投标截止时间前对其电子投标文件进行修改，具体操作方法见《操作手册》。</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.2.2投标截止时间之后，投标人不得对其电子投标文件作任何修改。</w:t>
      </w:r>
      <w:r/>
    </w:p>
    <w:p>
      <w:pPr>
        <w:ind w:firstLine="420"/>
        <w:rPr>
          <w:rFonts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57" w:name="_Toc513029229"/>
      <w:r/>
      <w:bookmarkStart w:id="158" w:name="_Toc20823301"/>
      <w:r/>
      <w:bookmarkStart w:id="159" w:name="_Toc120614218"/>
      <w:r/>
      <w:bookmarkStart w:id="160" w:name="_Toc16938545"/>
      <w:r/>
      <w:r/>
    </w:p>
    <w:p>
      <w:pPr>
        <w:pStyle w:val="660"/>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bookmarkEnd w:id="157"/>
      <w:r/>
      <w:bookmarkEnd w:id="158"/>
      <w:r/>
      <w:bookmarkEnd w:id="159"/>
      <w:r/>
      <w:bookmarkEnd w:id="160"/>
      <w:r/>
      <w:r/>
    </w:p>
    <w:p>
      <w:pPr>
        <w:pStyle w:val="661"/>
        <w:ind w:firstLine="422"/>
        <w:spacing w:before="0" w:after="0" w:line="240" w:lineRule="auto"/>
        <w:rPr>
          <w:rFonts w:ascii="方正楷体_GBK" w:hAnsi="方正楷体_GBK" w:eastAsia="方正楷体_GBK" w:cs="方正楷体_GBK"/>
          <w:color w:val="auto"/>
          <w:highlight w:val="none"/>
        </w:rPr>
      </w:pPr>
      <w:r/>
      <w:bookmarkStart w:id="161" w:name="_Toc20823302"/>
      <w:r/>
      <w:bookmarkStart w:id="162" w:name="_Toc16938546"/>
      <w:r/>
      <w:bookmarkStart w:id="163" w:name="_Toc513029230"/>
      <w:r>
        <w:rPr>
          <w:rFonts w:hint="eastAsia" w:ascii="方正楷体_GBK" w:hAnsi="方正楷体_GBK" w:eastAsia="方正楷体_GBK" w:cs="方正楷体_GBK"/>
          <w:color w:val="auto"/>
          <w:highlight w:val="none"/>
        </w:rPr>
        <w:t xml:space="preserve">20.开标</w:t>
      </w:r>
      <w:bookmarkEnd w:id="161"/>
      <w:r/>
      <w:bookmarkEnd w:id="162"/>
      <w:r/>
      <w:bookmarkEnd w:id="163"/>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投标人在开标过程中涉及的投标文件解密、开标结果确认等工作，应按照《操作手册》规定执行。</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w:t>
      </w:r>
      <w:r>
        <w:rPr>
          <w:rFonts w:hint="eastAsia" w:ascii="宋体" w:hAnsi="宋体"/>
          <w:color w:val="auto"/>
          <w:sz w:val="24"/>
          <w:highlight w:val="none"/>
        </w:rPr>
        <w:t xml:space="preserve">结果</w:t>
      </w:r>
      <w:r>
        <w:rPr>
          <w:rFonts w:hint="eastAsia" w:ascii="宋体" w:hAnsi="宋体"/>
          <w:color w:val="auto"/>
          <w:sz w:val="24"/>
          <w:highlight w:val="none"/>
          <w:lang w:val="zh-CN"/>
        </w:rPr>
        <w:t xml:space="preserve">有疑义，应当根据《操作手册》规定提出，苏采云系统中《开标记录表》公布后5分钟内未提出的，视同认可开标结果。</w:t>
      </w:r>
      <w:r/>
    </w:p>
    <w:p>
      <w:pPr>
        <w:pStyle w:val="661"/>
        <w:ind w:firstLine="422"/>
        <w:spacing w:before="0" w:after="0" w:line="240" w:lineRule="auto"/>
        <w:rPr>
          <w:rFonts w:ascii="方正楷体_GBK" w:hAnsi="方正楷体_GBK" w:eastAsia="方正楷体_GBK" w:cs="方正楷体_GBK"/>
          <w:color w:val="auto"/>
          <w:highlight w:val="none"/>
        </w:rPr>
      </w:pPr>
      <w:r/>
      <w:bookmarkStart w:id="164" w:name="_Toc20823303"/>
      <w:r/>
      <w:bookmarkStart w:id="165" w:name="_Toc513029231"/>
      <w:r/>
      <w:bookmarkStart w:id="166" w:name="_Toc16938547"/>
      <w:r>
        <w:rPr>
          <w:rFonts w:hint="eastAsia" w:ascii="方正楷体_GBK" w:hAnsi="方正楷体_GBK" w:eastAsia="方正楷体_GBK" w:cs="方正楷体_GBK"/>
          <w:color w:val="auto"/>
          <w:highlight w:val="none"/>
        </w:rPr>
        <w:t xml:space="preserve">21.评标</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w:t>
      </w:r>
      <w:r>
        <w:rPr>
          <w:rFonts w:hint="eastAsia" w:ascii="宋体" w:hAnsi="宋体"/>
          <w:color w:val="auto"/>
          <w:sz w:val="24"/>
          <w:highlight w:val="none"/>
          <w:lang w:val="zh-CN"/>
        </w:rPr>
        <w:t xml:space="preserve">依法组建的评标委员会（以下简称“评委会”）进行。</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评委会由采购人代表和有关技术、经济或法律等方面的专家组成，且人员构成符合政府采购有关规定。</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661"/>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22.评标过程的保密与公正</w:t>
      </w:r>
      <w:bookmarkEnd w:id="164"/>
      <w:r/>
      <w:bookmarkEnd w:id="165"/>
      <w:r/>
      <w:bookmarkEnd w:id="166"/>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.2投标人不得以任何</w:t>
      </w:r>
      <w:r>
        <w:rPr>
          <w:rFonts w:hint="eastAsia" w:ascii="宋体" w:hAnsi="宋体"/>
          <w:color w:val="auto"/>
          <w:sz w:val="24"/>
          <w:highlight w:val="none"/>
        </w:rPr>
        <w:t xml:space="preserve">方式</w:t>
      </w:r>
      <w:r>
        <w:rPr>
          <w:rFonts w:hint="eastAsia" w:ascii="宋体" w:hAnsi="宋体"/>
          <w:color w:val="auto"/>
          <w:sz w:val="24"/>
          <w:highlight w:val="none"/>
          <w:lang w:val="zh-CN"/>
        </w:rPr>
        <w:t xml:space="preserve">影响评标，否则其投标文件将被作为无效投标文件。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w:t>
      </w:r>
      <w:r>
        <w:rPr>
          <w:rFonts w:hint="eastAsia" w:ascii="宋体" w:hAnsi="宋体"/>
          <w:color w:val="auto"/>
          <w:sz w:val="24"/>
          <w:highlight w:val="none"/>
        </w:rPr>
        <w:t xml:space="preserve">本单位</w:t>
      </w:r>
      <w:r>
        <w:rPr>
          <w:rFonts w:hint="eastAsia" w:ascii="宋体" w:hAnsi="宋体"/>
          <w:color w:val="auto"/>
          <w:sz w:val="24"/>
          <w:highlight w:val="none"/>
          <w:lang w:val="zh-CN"/>
        </w:rPr>
        <w:t xml:space="preserve">的评审得分及排</w:t>
      </w:r>
      <w:r>
        <w:rPr>
          <w:rFonts w:hint="eastAsia" w:ascii="宋体" w:hAnsi="宋体"/>
          <w:color w:val="auto"/>
          <w:sz w:val="24"/>
          <w:highlight w:val="none"/>
        </w:rPr>
        <w:t xml:space="preserve">名</w:t>
      </w:r>
      <w:r>
        <w:rPr>
          <w:rFonts w:hint="eastAsia" w:ascii="宋体" w:hAnsi="宋体"/>
          <w:color w:val="auto"/>
          <w:sz w:val="24"/>
          <w:highlight w:val="none"/>
          <w:lang w:val="zh-CN"/>
        </w:rPr>
        <w:t xml:space="preserve">情况。</w:t>
      </w:r>
      <w:r/>
    </w:p>
    <w:p>
      <w:pPr>
        <w:pStyle w:val="661"/>
        <w:ind w:firstLine="422"/>
        <w:spacing w:before="0" w:after="0" w:line="240" w:lineRule="auto"/>
        <w:rPr>
          <w:rFonts w:ascii="方正楷体_GBK" w:hAnsi="方正楷体_GBK" w:eastAsia="方正楷体_GBK" w:cs="方正楷体_GBK"/>
          <w:color w:val="auto"/>
          <w:highlight w:val="none"/>
        </w:rPr>
      </w:pPr>
      <w:r/>
      <w:bookmarkStart w:id="167" w:name="_Toc20823304"/>
      <w:r/>
      <w:bookmarkStart w:id="168" w:name="_Toc513029232"/>
      <w:r/>
      <w:bookmarkStart w:id="169" w:name="_Toc16938548"/>
      <w:r>
        <w:rPr>
          <w:rFonts w:hint="eastAsia" w:ascii="方正楷体_GBK" w:hAnsi="方正楷体_GBK" w:eastAsia="方正楷体_GBK" w:cs="方正楷体_GBK"/>
          <w:color w:val="auto"/>
          <w:highlight w:val="none"/>
        </w:rPr>
        <w:t xml:space="preserve">23.投标文件的澄清</w:t>
      </w:r>
      <w:bookmarkEnd w:id="167"/>
      <w:r/>
      <w:bookmarkEnd w:id="168"/>
      <w:r/>
      <w:bookmarkEnd w:id="169"/>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出澄清、说明和补正，其风险由投标人自行承担。</w:t>
      </w:r>
      <w:r/>
    </w:p>
    <w:p>
      <w:pPr>
        <w:pStyle w:val="661"/>
        <w:ind w:firstLine="422"/>
        <w:spacing w:before="0" w:after="0" w:line="240" w:lineRule="auto"/>
        <w:rPr>
          <w:rFonts w:ascii="方正楷体_GBK" w:hAnsi="方正楷体_GBK" w:eastAsia="方正楷体_GBK" w:cs="方正楷体_GBK"/>
          <w:color w:val="auto"/>
          <w:highlight w:val="none"/>
        </w:rPr>
      </w:pPr>
      <w:r/>
      <w:bookmarkStart w:id="170" w:name="_Toc16938549"/>
      <w:r/>
      <w:bookmarkStart w:id="171" w:name="_Toc513029233"/>
      <w:r/>
      <w:bookmarkStart w:id="172" w:name="_Toc20823305"/>
      <w:r>
        <w:rPr>
          <w:rFonts w:hint="eastAsia" w:ascii="方正楷体_GBK" w:hAnsi="方正楷体_GBK" w:eastAsia="方正楷体_GBK" w:cs="方正楷体_GBK"/>
          <w:color w:val="auto"/>
          <w:highlight w:val="none"/>
        </w:rPr>
        <w:t xml:space="preserve">24.投标文件的</w:t>
      </w:r>
      <w:bookmarkEnd w:id="170"/>
      <w:r/>
      <w:bookmarkEnd w:id="171"/>
      <w:r/>
      <w:bookmarkEnd w:id="172"/>
      <w:r>
        <w:rPr>
          <w:rFonts w:hint="eastAsia" w:ascii="方正楷体_GBK" w:hAnsi="方正楷体_GBK" w:eastAsia="方正楷体_GBK" w:cs="方正楷体_GBK"/>
          <w:color w:val="auto"/>
          <w:highlight w:val="none"/>
        </w:rPr>
        <w:t xml:space="preserve">审查</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.1投标文件审查分为资格审查和符合性审查。</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.1.1资格审查。依据法律法规和招标文件规定，由采购人对投标文件中的资格证明文件进行审查，</w:t>
      </w:r>
      <w:r>
        <w:rPr>
          <w:rFonts w:hint="eastAsia" w:ascii="宋体" w:hAnsi="宋体"/>
          <w:color w:val="auto"/>
          <w:sz w:val="24"/>
          <w:highlight w:val="none"/>
        </w:rPr>
        <w:t xml:space="preserve">并</w:t>
      </w:r>
      <w:r>
        <w:rPr>
          <w:rFonts w:hint="eastAsia" w:ascii="宋体" w:hAnsi="宋体"/>
          <w:color w:val="auto"/>
          <w:sz w:val="24"/>
          <w:highlight w:val="none"/>
          <w:lang w:val="zh-CN"/>
        </w:rPr>
        <w:t xml:space="preserve">向评委会反馈</w:t>
      </w:r>
      <w:r>
        <w:rPr>
          <w:rFonts w:hint="eastAsia" w:ascii="宋体" w:hAnsi="宋体"/>
          <w:color w:val="auto"/>
          <w:sz w:val="24"/>
          <w:highlight w:val="none"/>
        </w:rPr>
        <w:t xml:space="preserve">审查结论</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接受联合体的项目，联合体成员存在不良信用记录的，视同联合体存在不良</w:t>
      </w:r>
      <w:r>
        <w:rPr>
          <w:rFonts w:hint="eastAsia" w:ascii="宋体" w:hAnsi="宋体"/>
          <w:color w:val="auto"/>
          <w:sz w:val="24"/>
          <w:highlight w:val="none"/>
        </w:rPr>
        <w:t xml:space="preserve">信</w:t>
      </w:r>
      <w:r>
        <w:rPr>
          <w:rFonts w:hint="eastAsia" w:ascii="宋体" w:hAnsi="宋体"/>
          <w:color w:val="auto"/>
          <w:sz w:val="24"/>
          <w:highlight w:val="none"/>
          <w:lang w:val="zh-CN"/>
        </w:rPr>
        <w:t xml:space="preserve">用记录。</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.1.2符合性审查。依据招标文件的规定，由评委会从有效性、完整性和对招标文件的响应程度</w:t>
      </w:r>
      <w:r>
        <w:rPr>
          <w:rFonts w:hint="eastAsia" w:ascii="宋体" w:hAnsi="宋体"/>
          <w:color w:val="auto"/>
          <w:sz w:val="24"/>
          <w:highlight w:val="none"/>
        </w:rPr>
        <w:t xml:space="preserve">等方面对投标文件</w:t>
      </w:r>
      <w:r>
        <w:rPr>
          <w:rFonts w:hint="eastAsia" w:ascii="宋体" w:hAnsi="宋体"/>
          <w:color w:val="auto"/>
          <w:sz w:val="24"/>
          <w:highlight w:val="none"/>
          <w:lang w:val="zh-CN"/>
        </w:rPr>
        <w:t xml:space="preserve">进行审查，以确定是否对招标文件的实质性要求作出响应。</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.1.3未通过资格审查或符合性审查的投标人，交易中心将</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苏采云系统告知</w:t>
      </w:r>
      <w:r>
        <w:rPr>
          <w:rFonts w:hint="eastAsia" w:ascii="宋体" w:hAnsi="宋体"/>
          <w:color w:val="auto"/>
          <w:sz w:val="24"/>
          <w:highlight w:val="none"/>
        </w:rPr>
        <w:t xml:space="preserve">其具体</w:t>
      </w:r>
      <w:r>
        <w:rPr>
          <w:rFonts w:hint="eastAsia" w:ascii="宋体" w:hAnsi="宋体"/>
          <w:color w:val="auto"/>
          <w:sz w:val="24"/>
          <w:highlight w:val="none"/>
          <w:lang w:val="zh-CN"/>
        </w:rPr>
        <w:t xml:space="preserve">原因，评标结束后</w:t>
      </w:r>
      <w:r>
        <w:rPr>
          <w:rFonts w:hint="eastAsia" w:ascii="宋体" w:hAnsi="宋体"/>
          <w:color w:val="auto"/>
          <w:sz w:val="24"/>
          <w:highlight w:val="none"/>
        </w:rPr>
        <w:t xml:space="preserve">不再接受有关询问</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.2评委会</w:t>
      </w:r>
      <w:r>
        <w:rPr>
          <w:rFonts w:hint="eastAsia" w:ascii="宋体" w:hAnsi="宋体"/>
          <w:color w:val="auto"/>
          <w:sz w:val="24"/>
          <w:highlight w:val="none"/>
        </w:rPr>
        <w:t xml:space="preserve">仅对</w:t>
      </w:r>
      <w:r>
        <w:rPr>
          <w:rFonts w:hint="eastAsia" w:ascii="宋体" w:hAnsi="宋体"/>
          <w:color w:val="auto"/>
          <w:sz w:val="24"/>
          <w:highlight w:val="none"/>
          <w:lang w:val="zh-CN"/>
        </w:rPr>
        <w:t xml:space="preserve">实质性响应招标文件要求</w:t>
      </w:r>
      <w:r>
        <w:rPr>
          <w:rFonts w:hint="eastAsia" w:ascii="宋体" w:hAnsi="宋体"/>
          <w:color w:val="auto"/>
          <w:sz w:val="24"/>
          <w:highlight w:val="none"/>
        </w:rPr>
        <w:t xml:space="preserve">的投标文件进行详细评审</w:t>
      </w:r>
      <w:r>
        <w:rPr>
          <w:rFonts w:hint="eastAsia" w:ascii="宋体" w:hAnsi="宋体"/>
          <w:color w:val="auto"/>
          <w:sz w:val="24"/>
          <w:highlight w:val="none"/>
          <w:lang w:val="zh-CN"/>
        </w:rPr>
        <w:t xml:space="preserve">。实质性响应的投标文件应该是与招标文件要求的全部条款、条件和规格相符，没有重大偏离或保留的文件。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auto"/>
          <w:sz w:val="24"/>
          <w:highlight w:val="none"/>
        </w:rPr>
        <w:t xml:space="preserve">采购人</w:t>
      </w:r>
      <w:r>
        <w:rPr>
          <w:rFonts w:hint="eastAsia" w:ascii="宋体" w:hAnsi="宋体"/>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auto"/>
          <w:sz w:val="24"/>
          <w:highlight w:val="none"/>
        </w:rPr>
        <w:t xml:space="preserve">由</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少数服从多数的原则作出结论。评委</w:t>
      </w:r>
      <w:r>
        <w:rPr>
          <w:rFonts w:hint="eastAsia" w:ascii="宋体" w:hAnsi="宋体"/>
          <w:color w:val="auto"/>
          <w:sz w:val="24"/>
          <w:highlight w:val="none"/>
        </w:rPr>
        <w:t xml:space="preserve">会认</w:t>
      </w:r>
      <w:r>
        <w:rPr>
          <w:rFonts w:hint="eastAsia" w:ascii="宋体" w:hAnsi="宋体"/>
          <w:color w:val="auto"/>
          <w:sz w:val="24"/>
          <w:highlight w:val="none"/>
          <w:lang w:val="zh-CN"/>
        </w:rPr>
        <w:t xml:space="preserve">定投标文件的响应性只根据投标文件本身的内容，而不寻求外部的证据。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b/>
          <w:bCs/>
          <w:color w:val="auto"/>
          <w:sz w:val="24"/>
          <w:highlight w:val="none"/>
        </w:rPr>
      </w:pPr>
      <w:r/>
      <w:bookmarkStart w:id="173" w:name="OLE_LINK26"/>
      <w:r>
        <w:rPr>
          <w:rFonts w:hint="eastAsia" w:ascii="宋体" w:hAnsi="宋体"/>
          <w:color w:val="auto"/>
          <w:sz w:val="24"/>
          <w:highlight w:val="none"/>
        </w:rPr>
        <w:t xml:space="preserve">24.3.1评委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w:t>
      </w:r>
      <w:r>
        <w:rPr>
          <w:rFonts w:hint="eastAsia" w:ascii="宋体" w:hAnsi="宋体"/>
          <w:b/>
          <w:bCs/>
          <w:color w:val="auto"/>
          <w:sz w:val="24"/>
          <w:highlight w:val="none"/>
        </w:rPr>
        <w:t xml:space="preserve">评委小组应当将其作为无效响应处理。根据财库〔2026〕2号《关于推动解决政府采购异常低价问题的通知》，政府采购评审中出现下列情形之一的，评审委员会应当启动异常低价投标（响应）审查程序：</w:t>
      </w:r>
      <w:r/>
    </w:p>
    <w:p>
      <w:pPr>
        <w:ind w:firstLine="420"/>
        <w:rPr>
          <w:rFonts w:hint="eastAsia" w:ascii="宋体" w:hAnsi="宋体"/>
          <w:color w:val="auto"/>
          <w:sz w:val="24"/>
          <w:highlight w:val="none"/>
        </w:rPr>
      </w:pPr>
      <w:r>
        <w:rPr>
          <w:rFonts w:hint="eastAsia" w:ascii="宋体" w:hAnsi="宋体"/>
          <w:color w:val="auto"/>
          <w:sz w:val="24"/>
          <w:highlight w:val="none"/>
        </w:rPr>
        <w:t xml:space="preserve">（一）1.投标（响应）报价低于全部通过符合性审查供应商投标（响应）报价平均值50%的，即投标（响应）报价&lt;全部通过符合性审查供应商投标（响应）报价平均值×50%； </w:t>
      </w:r>
      <w:r/>
    </w:p>
    <w:p>
      <w:pPr>
        <w:ind w:firstLine="420"/>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2.投标（响应）报价低于通过符合性审查的次低报价供应商投标（响应）报价50%的，即投标（响应）报价&lt;通过符合性审查的次低报价供应商投标（响应）报价×50%； </w:t>
      </w:r>
      <w:r/>
    </w:p>
    <w:p>
      <w:pPr>
        <w:ind w:firstLine="420"/>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3.投标（响应）报价低于采购项目最高限价45%的，即投标（响应）报价&lt;采购项目最高限价×45%； </w:t>
      </w:r>
      <w:r/>
    </w:p>
    <w:p>
      <w:pPr>
        <w:ind w:firstLine="420"/>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rPr>
          <w:rFonts w:hint="eastAsia" w:ascii="宋体" w:hAnsi="宋体"/>
          <w:color w:val="auto"/>
          <w:sz w:val="24"/>
          <w:highlight w:val="none"/>
        </w:rPr>
      </w:pPr>
      <w:r>
        <w:rPr>
          <w:rFonts w:hint="eastAsia" w:ascii="宋体" w:hAnsi="宋体"/>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rPr>
          <w:rFonts w:hint="eastAsia" w:ascii="宋体" w:hAnsi="宋体"/>
          <w:color w:val="auto"/>
          <w:sz w:val="24"/>
          <w:highlight w:val="none"/>
        </w:rPr>
      </w:pPr>
      <w:r>
        <w:rPr>
          <w:rFonts w:hint="eastAsia" w:ascii="宋体" w:hAnsi="宋体"/>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rPr>
          <w:rFonts w:hint="eastAsia" w:ascii="宋体" w:hAnsi="宋体"/>
          <w:color w:val="auto"/>
          <w:sz w:val="24"/>
          <w:highlight w:val="none"/>
        </w:rPr>
      </w:pPr>
      <w:r>
        <w:rPr>
          <w:rFonts w:hint="eastAsia" w:ascii="宋体" w:hAnsi="宋体"/>
          <w:color w:val="auto"/>
          <w:sz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rPr>
          <w:rFonts w:hint="eastAsia" w:ascii="宋体" w:hAnsi="宋体"/>
          <w:color w:val="auto"/>
          <w:sz w:val="24"/>
          <w:highlight w:val="none"/>
        </w:rPr>
      </w:pPr>
      <w:r>
        <w:rPr>
          <w:rFonts w:hint="eastAsia" w:ascii="宋体" w:hAnsi="宋体"/>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w:t>
      </w:r>
      <w:bookmarkEnd w:id="173"/>
      <w:r/>
    </w:p>
    <w:p>
      <w:pPr>
        <w:rPr>
          <w:rFonts w:hint="eastAsia" w:ascii="宋体" w:hAnsi="宋体"/>
          <w:color w:val="auto"/>
          <w:sz w:val="24"/>
          <w:highlight w:val="none"/>
          <w:lang w:val="zh-CN"/>
        </w:rPr>
      </w:pPr>
      <w:r>
        <w:rPr>
          <w:rFonts w:hint="eastAsia" w:ascii="宋体" w:hAnsi="宋体"/>
          <w:color w:val="auto"/>
          <w:sz w:val="24"/>
          <w:highlight w:val="none"/>
          <w:lang w:val="zh-CN"/>
        </w:rPr>
      </w:r>
      <w:r/>
    </w:p>
    <w:p>
      <w:pPr>
        <w:ind w:firstLine="24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.4评委会将对确定为实质性响应的投标进行进一步审核，确定其是否有计算上或累加上的算术错误。修正错误的原则如下：</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同时出现两种以上错误的，按照前款规定的顺序修正。</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color w:val="auto"/>
          <w:sz w:val="24"/>
          <w:highlight w:val="none"/>
          <w:lang w:val="zh-CN"/>
        </w:rPr>
      </w:pPr>
      <w:r/>
      <w:bookmarkStart w:id="174" w:name="_Toc16938550"/>
      <w:r/>
      <w:bookmarkStart w:id="175" w:name="_Toc20823306"/>
      <w:r/>
      <w:bookmarkStart w:id="176" w:name="_Toc513029234"/>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.6投标人在开、评标全过程中应保持通讯畅通，及时登录苏采云系统查阅、答复相关信息，并安排专人与交易中心及评委会联系。</w:t>
      </w:r>
      <w:r/>
    </w:p>
    <w:p>
      <w:pPr>
        <w:pStyle w:val="661"/>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w:t>
      </w:r>
      <w:bookmarkEnd w:id="174"/>
      <w:r/>
      <w:bookmarkEnd w:id="175"/>
      <w:r/>
      <w:bookmarkEnd w:id="176"/>
      <w:r>
        <w:rPr>
          <w:rFonts w:hint="eastAsia" w:ascii="方正楷体_GBK" w:hAnsi="方正楷体_GBK" w:eastAsia="方正楷体_GBK" w:cs="方正楷体_GBK"/>
          <w:color w:val="auto"/>
          <w:highlight w:val="none"/>
        </w:rPr>
        <w:t xml:space="preserve">5.无效投标和废标</w:t>
      </w:r>
      <w:r/>
    </w:p>
    <w:p>
      <w:pPr>
        <w:ind w:firstLine="420"/>
        <w:rPr>
          <w:rFonts w:ascii="宋体" w:hAnsi="宋体"/>
          <w:color w:val="auto"/>
          <w:sz w:val="24"/>
          <w:highlight w:val="none"/>
          <w:lang w:val="zh-CN"/>
        </w:rPr>
      </w:pPr>
      <w:r/>
      <w:bookmarkStart w:id="177" w:name="_Toc20823307"/>
      <w:r/>
      <w:bookmarkStart w:id="178" w:name="_Toc16938551"/>
      <w:r/>
      <w:bookmarkStart w:id="179" w:name="_Toc513029235"/>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.1无效投标情形</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.1.1投标人在苏采云系统规定的时间内未成功解密电子投标文件。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.1.2投标人未按照招标文件要求上传电子投标文件。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.1.3同一投标人提交两个（含两个）以上不同的投标报价。</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.1.4投标人不具备招标文件规定</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资格要求。</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.1.5投标人的报价超过了采购预算或最高限价。</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.1.6未通过符合性审查。</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.1.7不符合招标文件中实质性要求和条件（</w:t>
      </w:r>
      <w:r>
        <w:rPr>
          <w:rFonts w:hint="eastAsia" w:ascii="宋体" w:hAnsi="宋体"/>
          <w:b/>
          <w:bCs/>
          <w:iCs/>
          <w:color w:val="auto"/>
          <w:sz w:val="24"/>
          <w:highlight w:val="none"/>
          <w:lang w:val="zh-CN"/>
        </w:rPr>
        <w:t xml:space="preserve">本文件中斜体且有下划线部分，</w:t>
      </w:r>
      <w:r>
        <w:rPr>
          <w:rFonts w:hint="eastAsia" w:ascii="宋体" w:hAnsi="宋体"/>
          <w:b/>
          <w:bCs/>
          <w:color w:val="auto"/>
          <w:sz w:val="24"/>
          <w:highlight w:val="none"/>
          <w:lang w:val="zh-CN"/>
        </w:rPr>
        <w:t xml:space="preserve">或者打“</w:t>
      </w:r>
      <w:r>
        <w:rPr>
          <w:rFonts w:hint="eastAsia" w:ascii="宋体" w:hAnsi="宋体"/>
          <w:b/>
          <w:bCs/>
          <w:color w:val="auto"/>
          <w:sz w:val="24"/>
          <w:highlight w:val="none"/>
        </w:rPr>
        <w:t xml:space="preserve">★</w:t>
      </w:r>
      <w:r>
        <w:rPr>
          <w:rFonts w:hint="eastAsia" w:ascii="宋体" w:hAnsi="宋体"/>
          <w:b/>
          <w:bCs/>
          <w:color w:val="auto"/>
          <w:sz w:val="24"/>
          <w:highlight w:val="none"/>
          <w:lang w:val="zh-CN"/>
        </w:rPr>
        <w:t xml:space="preserve">”内容为实质性要求和条件</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.1.9投标文件含有采购人不能接受的附加条件。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rPr>
          <w:rFonts w:ascii="宋体" w:hAnsi="宋体"/>
          <w:b/>
          <w:bCs/>
          <w:color w:val="auto"/>
          <w:sz w:val="24"/>
          <w:szCs w:val="21"/>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.1.11</w:t>
      </w:r>
      <w:r>
        <w:rPr>
          <w:rFonts w:hint="eastAsia" w:ascii="宋体" w:hAnsi="宋体"/>
          <w:color w:val="auto"/>
          <w:sz w:val="24"/>
          <w:szCs w:val="21"/>
          <w:highlight w:val="none"/>
        </w:rPr>
        <w:t xml:space="preserve">采购产品被财政部、国家发改委、生态环境部等列入“节能产品品目清单”强制采购范围，而投标人提供的产品不在强制采购范围内。</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.2废标情形</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.2.1符合</w:t>
      </w:r>
      <w:r>
        <w:rPr>
          <w:rFonts w:hint="eastAsia" w:ascii="宋体" w:hAnsi="宋体"/>
          <w:color w:val="auto"/>
          <w:sz w:val="24"/>
          <w:highlight w:val="none"/>
        </w:rPr>
        <w:t xml:space="preserve">资格</w:t>
      </w:r>
      <w:r>
        <w:rPr>
          <w:rFonts w:hint="eastAsia" w:ascii="宋体" w:hAnsi="宋体"/>
          <w:color w:val="auto"/>
          <w:sz w:val="24"/>
          <w:highlight w:val="none"/>
          <w:lang w:val="zh-CN"/>
        </w:rPr>
        <w:t xml:space="preserve">条件的供应商或者对招标文件作</w:t>
      </w:r>
      <w:r>
        <w:rPr>
          <w:rFonts w:hint="eastAsia" w:ascii="宋体" w:hAnsi="宋体"/>
          <w:color w:val="auto"/>
          <w:sz w:val="24"/>
          <w:highlight w:val="none"/>
        </w:rPr>
        <w:t xml:space="preserve">出</w:t>
      </w:r>
      <w:r>
        <w:rPr>
          <w:rFonts w:hint="eastAsia" w:ascii="宋体" w:hAnsi="宋体"/>
          <w:color w:val="auto"/>
          <w:sz w:val="24"/>
          <w:highlight w:val="none"/>
          <w:lang w:val="zh-CN"/>
        </w:rPr>
        <w:t xml:space="preserve">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.2.2出现影响采购公正的违法、违规行为。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.2.3因重大变故采购任务取消。</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.2.4评委会认定招标文件存在歧义、重大缺陷导致评审工作无法进行。</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.2.5因苏采云系统故障造成开标不成功。</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.3 如出现投标截止时间后参加投标的供应商或者对招标文件</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出实质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情况，按政府采购相关规定执行。</w:t>
      </w:r>
      <w:r/>
    </w:p>
    <w:p>
      <w:pPr>
        <w:pStyle w:val="660"/>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180" w:name="_Toc120614219"/>
      <w:r>
        <w:rPr>
          <w:rFonts w:hint="eastAsia" w:ascii="方正黑体_GBK" w:hAnsi="方正黑体_GBK" w:eastAsia="方正黑体_GBK" w:cs="方正黑体_GBK"/>
          <w:b w:val="0"/>
          <w:bCs w:val="0"/>
          <w:color w:val="auto"/>
          <w:sz w:val="30"/>
          <w:szCs w:val="30"/>
          <w:highlight w:val="none"/>
        </w:rPr>
        <w:t xml:space="preserve">六、</w:t>
      </w:r>
      <w:bookmarkEnd w:id="177"/>
      <w:r/>
      <w:bookmarkEnd w:id="178"/>
      <w:r/>
      <w:bookmarkEnd w:id="179"/>
      <w:r>
        <w:rPr>
          <w:rFonts w:hint="eastAsia" w:ascii="方正黑体_GBK" w:hAnsi="方正黑体_GBK" w:eastAsia="方正黑体_GBK" w:cs="方正黑体_GBK"/>
          <w:b w:val="0"/>
          <w:bCs w:val="0"/>
          <w:color w:val="auto"/>
          <w:sz w:val="30"/>
          <w:szCs w:val="30"/>
          <w:highlight w:val="none"/>
        </w:rPr>
        <w:t xml:space="preserve">定标</w:t>
      </w:r>
      <w:bookmarkEnd w:id="180"/>
      <w:r/>
      <w:r/>
    </w:p>
    <w:p>
      <w:pPr>
        <w:pStyle w:val="661"/>
        <w:ind w:firstLine="422"/>
        <w:spacing w:before="0" w:after="0" w:line="240" w:lineRule="auto"/>
        <w:rPr>
          <w:rFonts w:ascii="方正楷体_GBK" w:hAnsi="方正楷体_GBK" w:eastAsia="方正楷体_GBK" w:cs="方正楷体_GBK"/>
          <w:color w:val="auto"/>
          <w:highlight w:val="none"/>
        </w:rPr>
      </w:pPr>
      <w:r/>
      <w:bookmarkStart w:id="181" w:name="_Toc513029238"/>
      <w:r/>
      <w:bookmarkStart w:id="182" w:name="_Toc16938554"/>
      <w:r/>
      <w:bookmarkStart w:id="183" w:name="_Toc20823310"/>
      <w:r>
        <w:rPr>
          <w:rFonts w:hint="eastAsia" w:ascii="方正楷体_GBK" w:hAnsi="方正楷体_GBK" w:eastAsia="方正楷体_GBK" w:cs="方正楷体_GBK"/>
          <w:color w:val="auto"/>
          <w:highlight w:val="none"/>
        </w:rPr>
        <w:t xml:space="preserve">2</w:t>
      </w:r>
      <w:bookmarkEnd w:id="181"/>
      <w:r>
        <w:rPr>
          <w:rFonts w:hint="eastAsia" w:ascii="方正楷体_GBK" w:hAnsi="方正楷体_GBK" w:eastAsia="方正楷体_GBK" w:cs="方正楷体_GBK"/>
          <w:color w:val="auto"/>
          <w:highlight w:val="none"/>
        </w:rPr>
        <w:t xml:space="preserve">6.确定</w:t>
      </w:r>
      <w:bookmarkEnd w:id="182"/>
      <w:r/>
      <w:bookmarkEnd w:id="183"/>
      <w:r>
        <w:rPr>
          <w:rFonts w:hint="eastAsia" w:ascii="方正楷体_GBK" w:hAnsi="方正楷体_GBK" w:eastAsia="方正楷体_GBK" w:cs="方正楷体_GBK"/>
          <w:color w:val="auto"/>
          <w:highlight w:val="none"/>
        </w:rPr>
        <w:t xml:space="preserve">中标单位</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）种方式确定中标人：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交易中心将在“江苏政府采购网”发布中标公告，公告期限为1个工作日。</w:t>
      </w:r>
      <w:r/>
    </w:p>
    <w:p>
      <w:pPr>
        <w:ind w:firstLine="420"/>
        <w:rPr>
          <w:rFonts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26.4.1 提供虚假材料谋取中标。</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26.4.2 向评审专家、采购人或交易中心工作人员行贿或者提供其他不正当利益。</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26.4.3 与其他供应商、评审专家、采购人或交易中心工作人员恶意串通。</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26.4.4 属于本文件规定的无效投标情形，但在评标过程中未被评委会发现。</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26.4.5 采取不正当手段诋毁、排挤其他供应商。</w:t>
      </w:r>
      <w:r/>
    </w:p>
    <w:p>
      <w:pPr>
        <w:ind w:firstLine="420"/>
        <w:rPr>
          <w:rFonts w:ascii="宋体" w:hAnsi="宋体"/>
          <w:b/>
          <w:bCs/>
          <w:color w:val="auto"/>
          <w:sz w:val="24"/>
          <w:highlight w:val="none"/>
          <w:lang w:val="zh-CN"/>
        </w:rPr>
      </w:pPr>
      <w:r/>
      <w:bookmarkStart w:id="184"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b/>
          <w:bCs/>
          <w:color w:val="auto"/>
          <w:sz w:val="24"/>
          <w:highlight w:val="none"/>
          <w:lang w:val="zh-CN"/>
        </w:rPr>
        <w:t xml:space="preserve">有下列情形之一的视为投标人串通投标，投标无效：</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.5.1不同投标人的投标文件由同一单位或者个人编制。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.5.2不同投标人委托同一单位或者个人办理投标事宜。</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.5.3不同投标人的投标文件载明的项目管理成员或者联系人员为同一人。</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.5.4不同投标人的投标文件异常一致或者投标报价呈规律性差异。</w:t>
      </w:r>
      <w:bookmarkEnd w:id="184"/>
      <w:r/>
      <w:r/>
    </w:p>
    <w:p>
      <w:pPr>
        <w:pStyle w:val="661"/>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27.中标通知书</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60"/>
        <w:ind w:firstLine="465"/>
        <w:spacing w:before="145" w:after="145" w:line="240" w:lineRule="auto"/>
        <w:rPr>
          <w:rFonts w:ascii="方正黑体_GBK" w:hAnsi="方正黑体_GBK" w:eastAsia="方正黑体_GBK" w:cs="方正黑体_GBK"/>
          <w:b w:val="0"/>
          <w:bCs w:val="0"/>
          <w:color w:val="auto"/>
          <w:sz w:val="30"/>
          <w:szCs w:val="30"/>
          <w:highlight w:val="none"/>
        </w:rPr>
      </w:pPr>
      <w:r/>
      <w:bookmarkStart w:id="185" w:name="_Toc20823308"/>
      <w:r/>
      <w:bookmarkStart w:id="186" w:name="_Toc16938552"/>
      <w:r/>
      <w:bookmarkStart w:id="187" w:name="_Toc513029236"/>
      <w:r/>
      <w:bookmarkStart w:id="188" w:name="_Toc120614220"/>
      <w:r>
        <w:rPr>
          <w:rFonts w:hint="eastAsia" w:ascii="方正黑体_GBK" w:hAnsi="方正黑体_GBK" w:eastAsia="方正黑体_GBK" w:cs="方正黑体_GBK"/>
          <w:b w:val="0"/>
          <w:bCs w:val="0"/>
          <w:color w:val="auto"/>
          <w:sz w:val="30"/>
          <w:szCs w:val="30"/>
          <w:highlight w:val="none"/>
        </w:rPr>
        <w:t xml:space="preserve">七、授予合同</w:t>
      </w:r>
      <w:bookmarkEnd w:id="185"/>
      <w:r/>
      <w:bookmarkEnd w:id="186"/>
      <w:r/>
      <w:bookmarkEnd w:id="187"/>
      <w:r/>
      <w:bookmarkEnd w:id="188"/>
      <w:r/>
      <w:r/>
    </w:p>
    <w:p>
      <w:pPr>
        <w:pStyle w:val="661"/>
        <w:ind w:firstLine="422"/>
        <w:spacing w:before="0" w:after="0" w:line="240" w:lineRule="auto"/>
        <w:rPr>
          <w:rFonts w:ascii="方正楷体_GBK" w:hAnsi="方正楷体_GBK" w:eastAsia="方正楷体_GBK" w:cs="方正楷体_GBK"/>
          <w:color w:val="auto"/>
          <w:highlight w:val="none"/>
        </w:rPr>
      </w:pPr>
      <w:r/>
      <w:bookmarkStart w:id="189" w:name="_Toc513029237"/>
      <w:r/>
      <w:bookmarkStart w:id="190" w:name="_Toc16938553"/>
      <w:r/>
      <w:bookmarkStart w:id="191" w:name="_Toc20823309"/>
      <w:r>
        <w:rPr>
          <w:rFonts w:hint="eastAsia" w:ascii="方正楷体_GBK" w:hAnsi="方正楷体_GBK" w:eastAsia="方正楷体_GBK" w:cs="方正楷体_GBK"/>
          <w:color w:val="auto"/>
          <w:highlight w:val="none"/>
        </w:rPr>
        <w:t xml:space="preserve">28.签订合同</w:t>
      </w:r>
      <w:r/>
    </w:p>
    <w:p>
      <w:pPr>
        <w:ind w:firstLine="420"/>
        <w:rPr>
          <w:rFonts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661"/>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29.标的物的追加</w:t>
      </w:r>
      <w:r/>
    </w:p>
    <w:p>
      <w:pPr>
        <w:ind w:firstLine="420"/>
        <w:rPr>
          <w:rFonts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bookmarkEnd w:id="189"/>
      <w:r/>
      <w:bookmarkEnd w:id="190"/>
      <w:r/>
      <w:bookmarkEnd w:id="191"/>
      <w:r/>
      <w:r/>
    </w:p>
    <w:p>
      <w:pPr>
        <w:pStyle w:val="661"/>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30.政府采购履约资金扶持政策</w:t>
      </w:r>
      <w:r/>
    </w:p>
    <w:p>
      <w:pPr>
        <w:ind w:firstLine="420"/>
        <w:rPr>
          <w:rFonts w:ascii="宋体" w:hAnsi="宋体"/>
          <w:color w:val="auto"/>
          <w:sz w:val="24"/>
          <w:highlight w:val="none"/>
          <w:lang w:val="zh-CN"/>
        </w:rPr>
      </w:pPr>
      <w:r>
        <w:rPr>
          <w:rFonts w:hint="eastAsia" w:ascii="宋体" w:hAnsi="宋体"/>
          <w:color w:val="auto"/>
          <w:sz w:val="24"/>
          <w:highlight w:val="none"/>
        </w:rPr>
        <w:t xml:space="preserve">30.1 </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南京市公共资源交易平台网站“小企业融资平台”，</w:t>
      </w:r>
      <w:r>
        <w:rPr>
          <w:rFonts w:hint="eastAsia" w:ascii="宋体" w:hAnsi="宋体"/>
          <w:color w:val="auto"/>
          <w:sz w:val="24"/>
          <w:highlight w:val="none"/>
        </w:rPr>
        <w:t xml:space="preserve">选择相应的金融机构</w:t>
      </w:r>
      <w:r>
        <w:rPr>
          <w:rFonts w:hint="eastAsia" w:ascii="宋体" w:hAnsi="宋体"/>
          <w:color w:val="auto"/>
          <w:sz w:val="24"/>
          <w:highlight w:val="none"/>
          <w:lang w:val="zh-CN"/>
        </w:rPr>
        <w:t xml:space="preserve">办理融资贷款。</w:t>
      </w:r>
      <w:r/>
    </w:p>
    <w:p>
      <w:pPr>
        <w:ind w:firstLine="420"/>
        <w:rPr>
          <w:color w:val="auto"/>
          <w:highlight w:val="none"/>
          <w:lang w:val="zh-CN"/>
        </w:rPr>
      </w:pPr>
      <w:r>
        <w:rPr>
          <w:rFonts w:hint="eastAsia" w:ascii="宋体" w:hAnsi="宋体"/>
          <w:color w:val="auto"/>
          <w:sz w:val="24"/>
          <w:highlight w:val="none"/>
        </w:rPr>
        <w:t xml:space="preserve">30.2 依据《关于在全省政府采购领域推行电子履约保函（保险）的通知》（苏财购</w:t>
      </w:r>
      <w:r>
        <w:rPr>
          <w:rFonts w:hint="eastAsia" w:ascii="宋体" w:hAnsi="宋体" w:cs="宋体"/>
          <w:color w:val="auto"/>
          <w:sz w:val="24"/>
          <w:szCs w:val="24"/>
          <w:highlight w:val="none"/>
        </w:rPr>
        <w:t xml:space="preserve">〔2023〕</w:t>
      </w:r>
      <w:r>
        <w:rPr>
          <w:rFonts w:hint="eastAsia" w:ascii="宋体" w:hAnsi="宋体"/>
          <w:color w:val="auto"/>
          <w:sz w:val="24"/>
          <w:highlight w:val="none"/>
        </w:rPr>
        <w:t xml:space="preserve">150号），需要缴纳履约保证金，</w:t>
      </w:r>
      <w:r>
        <w:rPr>
          <w:rFonts w:hint="eastAsia" w:ascii="宋体" w:hAnsi="宋体"/>
          <w:color w:val="auto"/>
          <w:sz w:val="24"/>
          <w:highlight w:val="none"/>
          <w:lang w:val="zh-CN"/>
        </w:rPr>
        <w:t xml:space="preserve">中标</w:t>
      </w:r>
      <w:r>
        <w:rPr>
          <w:rFonts w:hint="eastAsia" w:ascii="宋体" w:hAnsi="宋体"/>
          <w:color w:val="auto"/>
          <w:sz w:val="24"/>
          <w:highlight w:val="none"/>
        </w:rPr>
        <w:t xml:space="preserve">供应商</w:t>
      </w:r>
      <w:r>
        <w:rPr>
          <w:rFonts w:hint="eastAsia" w:ascii="宋体" w:hAnsi="宋体"/>
          <w:color w:val="auto"/>
          <w:sz w:val="24"/>
          <w:highlight w:val="none"/>
          <w:lang w:val="zh-CN"/>
        </w:rPr>
        <w:t xml:space="preserve">可</w:t>
      </w:r>
      <w:r>
        <w:rPr>
          <w:rFonts w:hint="eastAsia" w:ascii="宋体" w:hAnsi="宋体"/>
          <w:color w:val="auto"/>
          <w:sz w:val="24"/>
          <w:highlight w:val="none"/>
        </w:rPr>
        <w:t xml:space="preserve">通过江苏政府采购网“政府采购电子履约保函（保险）综合服务平台”线上办理履约保函（保险）</w:t>
      </w:r>
      <w:r>
        <w:rPr>
          <w:rFonts w:hint="eastAsia" w:ascii="宋体" w:hAnsi="宋体"/>
          <w:color w:val="auto"/>
          <w:sz w:val="24"/>
          <w:highlight w:val="none"/>
          <w:lang w:val="zh-CN"/>
        </w:rPr>
        <w:t xml:space="preserve">。</w:t>
      </w:r>
      <w:r/>
    </w:p>
    <w:p>
      <w:pPr>
        <w:pStyle w:val="660"/>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32.</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2.1 对采购文件提出质疑的，为收到采购文件之日或者采购文件公告期限届满之日。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2.2 对采购过程提出质疑的，为各采购程序环节结束之日。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2.3 对中标或者成交结果提出质疑的，为中标或者成交结果公告期限届满之日。</w:t>
      </w:r>
      <w:r/>
    </w:p>
    <w:p>
      <w:pPr>
        <w:ind w:firstLine="420"/>
        <w:rPr>
          <w:rFonts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rPr>
          <w:rFonts w:ascii="宋体" w:hAnsi="宋体"/>
          <w:color w:val="auto"/>
          <w:sz w:val="24"/>
          <w:highlight w:val="none"/>
        </w:rPr>
      </w:pPr>
      <w:r>
        <w:rPr>
          <w:rFonts w:hint="eastAsia" w:ascii="宋体" w:hAnsi="宋体"/>
          <w:color w:val="auto"/>
          <w:sz w:val="24"/>
          <w:highlight w:val="none"/>
        </w:rPr>
        <w:t xml:space="preserve">35. 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20"/>
        <w:rPr>
          <w:rFonts w:ascii="宋体" w:hAnsi="宋体"/>
          <w:color w:val="auto"/>
          <w:sz w:val="24"/>
          <w:highlight w:val="none"/>
        </w:rPr>
      </w:pPr>
      <w:r>
        <w:rPr>
          <w:rFonts w:hint="eastAsia" w:ascii="宋体" w:hAnsi="宋体"/>
          <w:color w:val="auto"/>
          <w:sz w:val="24"/>
          <w:highlight w:val="none"/>
        </w:rPr>
        <w:t xml:space="preserve">交易中心和采购人只接收以纸质原件形式送达的质疑,建议供应商尽量通过邮寄方式提交质疑（交易中心和采购人不接受未填写快递运单的快件）。</w:t>
      </w:r>
      <w:r/>
    </w:p>
    <w:p>
      <w:pPr>
        <w:ind w:firstLine="420"/>
        <w:rPr>
          <w:rFonts w:ascii="宋体" w:hAnsi="宋体"/>
          <w:b/>
          <w:bCs/>
          <w:color w:val="auto"/>
          <w:sz w:val="24"/>
          <w:highlight w:val="none"/>
        </w:rPr>
      </w:pPr>
      <w:r>
        <w:rPr>
          <w:rFonts w:hint="eastAsia" w:ascii="宋体" w:hAnsi="宋体"/>
          <w:b/>
          <w:bCs/>
          <w:color w:val="auto"/>
          <w:sz w:val="24"/>
          <w:highlight w:val="none"/>
        </w:rPr>
        <w:t xml:space="preserve">采购人质疑接收人及联系方式为南京市浦口区教育局，联系地址：浦口区行知路5号，联系人：</w:t>
      </w:r>
      <w:r>
        <w:rPr>
          <w:rFonts w:hint="eastAsia" w:ascii="宋体" w:hAnsi="宋体" w:cs="宋体"/>
          <w:b/>
          <w:bCs/>
          <w:color w:val="auto"/>
          <w:sz w:val="24"/>
          <w:szCs w:val="24"/>
          <w:highlight w:val="none"/>
          <w:u w:val="single"/>
        </w:rPr>
        <w:t xml:space="preserve">沈老师</w:t>
      </w:r>
      <w:r>
        <w:rPr>
          <w:rFonts w:hint="eastAsia" w:ascii="宋体" w:hAnsi="宋体" w:cs="宋体"/>
          <w:b/>
          <w:bCs/>
          <w:color w:val="auto"/>
          <w:sz w:val="24"/>
          <w:szCs w:val="24"/>
          <w:highlight w:val="none"/>
          <w:u w:val="single"/>
          <w:lang w:val="zh-CN"/>
        </w:rPr>
        <w:t xml:space="preserve">，联系电话：025-58882126 </w:t>
      </w:r>
      <w:r>
        <w:rPr>
          <w:rFonts w:hint="eastAsia" w:ascii="宋体" w:hAnsi="宋体"/>
          <w:b/>
          <w:bCs/>
          <w:color w:val="auto"/>
          <w:sz w:val="24"/>
          <w:highlight w:val="none"/>
        </w:rPr>
        <w:t xml:space="preserve"> 。</w:t>
      </w:r>
      <w:r/>
    </w:p>
    <w:p>
      <w:pPr>
        <w:ind w:firstLine="420"/>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交易中心质疑接收部门为业务受理窗口（快递运单上的收件人填写“业务受理窗口”即可），联系地址：南京市浦口区江浦街道象山路4号浦口市民中心B幢五楼受理大厅，联系</w:t>
      </w:r>
      <w:r>
        <w:rPr>
          <w:rFonts w:hint="eastAsia" w:ascii="宋体" w:hAnsi="宋体"/>
          <w:color w:val="auto"/>
          <w:sz w:val="24"/>
          <w:highlight w:val="none"/>
          <w:lang w:val="zh-CN"/>
        </w:rPr>
        <w:t xml:space="preserve">电话：025-69659</w:t>
      </w:r>
      <w:r>
        <w:rPr>
          <w:rFonts w:hint="eastAsia" w:ascii="宋体" w:hAnsi="宋体"/>
          <w:color w:val="auto"/>
          <w:sz w:val="24"/>
          <w:highlight w:val="none"/>
          <w:lang w:val="en-US" w:eastAsia="zh-CN"/>
        </w:rPr>
        <w:t xml:space="preserve">050</w:t>
      </w:r>
      <w:r/>
    </w:p>
    <w:p>
      <w:pPr>
        <w:ind w:firstLine="422"/>
        <w:rPr>
          <w:rFonts w:ascii="宋体" w:hAnsi="宋体"/>
          <w:b/>
          <w:bCs/>
          <w:color w:val="auto"/>
          <w:sz w:val="24"/>
          <w:highlight w:val="none"/>
          <w:lang w:val="zh-CN"/>
        </w:rPr>
      </w:pPr>
      <w:r>
        <w:rPr>
          <w:rFonts w:hint="eastAsia" w:ascii="宋体" w:hAnsi="宋体"/>
          <w:b/>
          <w:bCs/>
          <w:color w:val="auto"/>
          <w:sz w:val="24"/>
          <w:highlight w:val="none"/>
          <w:lang w:val="zh-CN"/>
        </w:rPr>
        <w:t xml:space="preserve">由采购人负责答复的质疑，采购人将《质疑答复函》抄送交易中心。 </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6.1 内容不符合《政府采购质疑和投诉办法》第十二条规定的质疑。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6.2 超出政府采购法定期限的质疑。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6.3 以传真、电子邮件等方式递交的非原件形式的质疑。</w:t>
      </w:r>
      <w:r/>
    </w:p>
    <w:p>
      <w:pPr>
        <w:ind w:firstLine="420"/>
        <w:rPr>
          <w:rFonts w:ascii="宋体" w:hAnsi="宋体"/>
          <w:color w:val="auto"/>
          <w:sz w:val="24"/>
          <w:highlight w:val="none"/>
          <w:lang w:val="zh-CN"/>
        </w:rPr>
      </w:pPr>
      <w:r>
        <w:rPr>
          <w:rFonts w:hint="eastAsia" w:ascii="宋体" w:hAnsi="宋体"/>
          <w:color w:val="auto"/>
          <w:sz w:val="24"/>
          <w:highlight w:val="none"/>
        </w:rPr>
        <w:t xml:space="preserve">3</w:t>
      </w:r>
      <w:r>
        <w:rPr>
          <w:rFonts w:hint="eastAsia" w:ascii="宋体" w:hAnsi="宋体"/>
          <w:color w:val="auto"/>
          <w:sz w:val="24"/>
          <w:highlight w:val="none"/>
          <w:lang w:val="zh-CN"/>
        </w:rPr>
        <w:t xml:space="preserve">6.4 未参加采购活动或在采购活动中自身权益未受到损害的供应商所提出的质疑。</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36.5 供应商组成联合体参加采购活动，联合体中任何一方或多方未按要求签字或签章、加盖公章的质疑。</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36.6 法律法规规定的其他不予受理情形。</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60"/>
        <w:ind w:firstLine="465"/>
        <w:spacing w:before="145" w:after="145"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661"/>
        <w:ind w:firstLine="422"/>
        <w:spacing w:before="0" w:after="0" w:line="240" w:lineRule="auto"/>
        <w:rPr>
          <w:rFonts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38.促进中小企业发展</w:t>
      </w:r>
      <w:r/>
    </w:p>
    <w:p>
      <w:pPr>
        <w:ind w:firstLine="420"/>
        <w:rPr>
          <w:rFonts w:ascii="宋体" w:hAnsi="宋体"/>
          <w:color w:val="auto"/>
          <w:sz w:val="24"/>
          <w:highlight w:val="none"/>
          <w:lang w:val="zh-CN"/>
        </w:rPr>
      </w:pPr>
      <w:r>
        <w:rPr>
          <w:rFonts w:hint="eastAsia" w:ascii="宋体" w:hAnsi="宋体"/>
          <w:color w:val="auto"/>
          <w:sz w:val="24"/>
          <w:highlight w:val="none"/>
        </w:rPr>
        <w:t xml:space="preserve">38.1 </w:t>
      </w:r>
      <w:r>
        <w:rPr>
          <w:rFonts w:hint="eastAsia" w:ascii="宋体" w:hAnsi="宋体"/>
          <w:color w:val="auto"/>
          <w:sz w:val="24"/>
          <w:highlight w:val="none"/>
          <w:lang w:val="zh-CN"/>
        </w:rPr>
        <w:t xml:space="preserve">本项目中的货物全部由中小企业制造的，投标供应商享受中小企业扶持政策。</w:t>
      </w:r>
      <w:r/>
    </w:p>
    <w:p>
      <w:pPr>
        <w:ind w:firstLine="420"/>
        <w:rPr>
          <w:rFonts w:ascii="宋体" w:hAnsi="宋体"/>
          <w:color w:val="auto"/>
          <w:sz w:val="24"/>
          <w:highlight w:val="none"/>
          <w:lang w:val="zh-CN"/>
        </w:rPr>
      </w:pPr>
      <w:r>
        <w:rPr>
          <w:rFonts w:hint="eastAsia" w:ascii="宋体" w:hAnsi="宋体"/>
          <w:color w:val="auto"/>
          <w:sz w:val="24"/>
          <w:highlight w:val="none"/>
        </w:rPr>
        <w:t xml:space="preserve">38.2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olor w:val="auto"/>
          <w:sz w:val="24"/>
          <w:highlight w:val="none"/>
          <w:lang w:val="zh-CN"/>
        </w:rPr>
      </w:pPr>
      <w:r>
        <w:rPr>
          <w:rFonts w:hint="eastAsia" w:ascii="宋体" w:hAnsi="宋体"/>
          <w:color w:val="auto"/>
          <w:sz w:val="24"/>
          <w:highlight w:val="none"/>
        </w:rPr>
        <w:t xml:space="preserve">38.3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w:t>
      </w:r>
      <w:r/>
    </w:p>
    <w:p>
      <w:pPr>
        <w:ind w:firstLine="420"/>
        <w:rPr>
          <w:rFonts w:ascii="宋体" w:hAnsi="宋体"/>
          <w:color w:val="auto"/>
          <w:sz w:val="24"/>
          <w:highlight w:val="none"/>
          <w:lang w:val="zh-CN"/>
        </w:rPr>
      </w:pPr>
      <w:r>
        <w:rPr>
          <w:rFonts w:hint="eastAsia" w:ascii="宋体" w:hAnsi="宋体"/>
          <w:color w:val="auto"/>
          <w:sz w:val="24"/>
          <w:highlight w:val="none"/>
        </w:rPr>
        <w:t xml:space="preserve">38.4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3</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661"/>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9</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节能环保产品</w:t>
      </w:r>
      <w:r/>
    </w:p>
    <w:p>
      <w:pPr>
        <w:ind w:firstLine="420"/>
        <w:rPr>
          <w:rFonts w:ascii="宋体" w:hAnsi="宋体"/>
          <w:color w:val="auto"/>
          <w:sz w:val="24"/>
          <w:highlight w:val="none"/>
          <w:lang w:val="zh-CN"/>
        </w:rPr>
      </w:pPr>
      <w:r>
        <w:rPr>
          <w:rFonts w:hint="eastAsia" w:ascii="宋体" w:hAnsi="宋体"/>
          <w:color w:val="auto"/>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auto"/>
          <w:sz w:val="24"/>
          <w:highlight w:val="none"/>
          <w:lang w:val="zh-CN"/>
        </w:rPr>
      </w:pPr>
      <w:r>
        <w:rPr>
          <w:rFonts w:hint="eastAsia" w:ascii="宋体" w:hAnsi="宋体"/>
          <w:color w:val="auto"/>
          <w:sz w:val="24"/>
          <w:highlight w:val="none"/>
        </w:rPr>
        <w:t xml:space="preserve">39.2 采购产品</w:t>
      </w:r>
      <w:r>
        <w:rPr>
          <w:rFonts w:hint="eastAsia" w:ascii="宋体" w:hAnsi="宋体"/>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color w:val="auto"/>
          <w:sz w:val="24"/>
          <w:highlight w:val="none"/>
          <w:lang w:val="zh-CN"/>
        </w:rPr>
      </w:pPr>
      <w:r>
        <w:rPr>
          <w:rFonts w:hint="eastAsia" w:ascii="宋体" w:hAnsi="宋体"/>
          <w:color w:val="auto"/>
          <w:sz w:val="24"/>
          <w:highlight w:val="none"/>
        </w:rPr>
        <w:t xml:space="preserve">39.3 采购产品</w:t>
      </w:r>
      <w:r>
        <w:rPr>
          <w:rFonts w:hint="eastAsia" w:ascii="宋体" w:hAnsi="宋体"/>
          <w:color w:val="auto"/>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第五章评标方法与评标标准</w:t>
      </w:r>
      <w:r>
        <w:rPr>
          <w:rFonts w:hint="eastAsia" w:ascii="宋体" w:hAnsi="宋体"/>
          <w:color w:val="auto"/>
          <w:sz w:val="24"/>
          <w:highlight w:val="none"/>
          <w:lang w:val="zh-CN"/>
        </w:rPr>
        <w:t xml:space="preserve">）。</w:t>
      </w:r>
      <w:r/>
    </w:p>
    <w:p>
      <w:pPr>
        <w:pStyle w:val="661"/>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40</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rPr>
          <w:rFonts w:ascii="宋体" w:hAnsi="宋体"/>
          <w:color w:val="auto"/>
          <w:sz w:val="24"/>
          <w:highlight w:val="none"/>
        </w:rPr>
      </w:pPr>
      <w:r>
        <w:rPr>
          <w:rFonts w:hint="eastAsia" w:ascii="宋体" w:hAnsi="宋体"/>
          <w:color w:val="auto"/>
          <w:sz w:val="24"/>
          <w:highlight w:val="none"/>
        </w:rPr>
        <w:t xml:space="preserve">40.1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highlight w:val="none"/>
        </w:rPr>
        <w:t xml:space="preserve">《商品包装政府采购需求标准（试行）》《快递包装政府采购需求标准（试行）》（财办库〔2020〕123号）、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文件执行。采购文件对</w:t>
      </w:r>
      <w:r>
        <w:rPr>
          <w:rFonts w:hint="eastAsia" w:ascii="宋体"/>
          <w:bCs/>
          <w:color w:val="auto"/>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auto"/>
          <w:sz w:val="24"/>
          <w:highlight w:val="none"/>
        </w:rPr>
      </w:pPr>
      <w:r>
        <w:rPr>
          <w:rFonts w:hint="eastAsia" w:ascii="宋体" w:hAnsi="宋体"/>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auto"/>
          <w:sz w:val="24"/>
          <w:highlight w:val="none"/>
        </w:rPr>
      </w:pPr>
      <w:r>
        <w:rPr>
          <w:rFonts w:hint="eastAsia" w:ascii="宋体" w:hAnsi="宋体"/>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auto"/>
          <w:sz w:val="24"/>
          <w:highlight w:val="none"/>
        </w:rPr>
      </w:pPr>
      <w:r>
        <w:rPr>
          <w:rFonts w:hint="eastAsia" w:ascii="宋体" w:hAnsi="宋体"/>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61"/>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41</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widowControl/>
        <w:rPr>
          <w:rFonts w:ascii="宋体" w:hAnsi="宋体"/>
          <w:color w:val="auto"/>
          <w:sz w:val="24"/>
          <w:highlight w:val="none"/>
          <w:lang w:val="zh-CN"/>
        </w:rPr>
      </w:pPr>
      <w:r>
        <w:rPr>
          <w:rFonts w:hint="eastAsia" w:ascii="宋体" w:hAnsi="宋体"/>
          <w:color w:val="auto"/>
          <w:sz w:val="24"/>
          <w:highlight w:val="none"/>
        </w:rPr>
        <w:t xml:space="preserve">41.1 优先采购各级政府部门公开发布的有效期内的创新产品、首台套等《目录》内的创新产品。创新产品自进入《目录》起2年内视同具备相应销售业绩。</w:t>
      </w:r>
      <w:r/>
    </w:p>
    <w:p>
      <w:pPr>
        <w:pStyle w:val="661"/>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42.</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rPr>
          <w:rFonts w:ascii="宋体" w:hAnsi="宋体"/>
          <w:color w:val="auto"/>
          <w:sz w:val="24"/>
          <w:highlight w:val="none"/>
          <w:lang w:val="zh-CN"/>
        </w:rPr>
      </w:pPr>
      <w:r>
        <w:rPr>
          <w:rFonts w:hint="eastAsia" w:ascii="宋体" w:hAnsi="宋体"/>
          <w:color w:val="auto"/>
          <w:sz w:val="24"/>
          <w:highlight w:val="none"/>
        </w:rPr>
        <w:t xml:space="preserve">42.1 </w:t>
      </w:r>
      <w:r>
        <w:rPr>
          <w:rFonts w:hint="eastAsia" w:ascii="宋体" w:hAnsi="宋体"/>
          <w:color w:val="auto"/>
          <w:sz w:val="24"/>
          <w:highlight w:val="none"/>
          <w:lang w:val="zh-CN"/>
        </w:rPr>
        <w:t xml:space="preserve">本</w:t>
      </w:r>
      <w:r>
        <w:rPr>
          <w:rFonts w:hint="eastAsia" w:ascii="宋体" w:hAnsi="宋体"/>
          <w:color w:val="auto"/>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color w:val="auto"/>
          <w:sz w:val="24"/>
          <w:highlight w:val="none"/>
          <w:lang w:val="zh-CN"/>
        </w:rPr>
      </w:pPr>
      <w:r>
        <w:rPr>
          <w:rFonts w:hint="eastAsia" w:ascii="宋体" w:hAnsi="宋体"/>
          <w:color w:val="auto"/>
          <w:sz w:val="24"/>
          <w:highlight w:val="none"/>
        </w:rPr>
        <w:t xml:space="preserve">42.2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58"/>
        <w:rPr>
          <w:rFonts w:ascii="黑体" w:eastAsia="黑体"/>
          <w:color w:val="auto"/>
          <w:sz w:val="44"/>
          <w:szCs w:val="44"/>
          <w:highlight w:val="none"/>
        </w:rPr>
      </w:pPr>
      <w:r>
        <w:rPr>
          <w:rFonts w:hint="eastAsia" w:ascii="宋体" w:hAnsi="宋体"/>
          <w:color w:val="auto"/>
          <w:sz w:val="24"/>
          <w:highlight w:val="none"/>
          <w:lang w:val="zh-CN"/>
        </w:rPr>
        <w:br w:type="page" w:clear="all"/>
      </w:r>
      <w:bookmarkStart w:id="192" w:name="_Toc21952"/>
      <w:r/>
      <w:bookmarkStart w:id="193" w:name="_Toc11304"/>
      <w:r>
        <w:rPr>
          <w:rFonts w:hint="eastAsia" w:eastAsia="宋体"/>
          <w:color w:val="auto"/>
          <w:highlight w:val="none"/>
        </w:rPr>
        <w:t xml:space="preserve">第三章  合同</w:t>
      </w:r>
      <w:bookmarkEnd w:id="59"/>
      <w:r/>
      <w:bookmarkEnd w:id="60"/>
      <w:r/>
      <w:bookmarkEnd w:id="61"/>
      <w:r/>
      <w:bookmarkEnd w:id="62"/>
      <w:r/>
      <w:bookmarkEnd w:id="63"/>
      <w:r>
        <w:rPr>
          <w:rFonts w:hint="eastAsia" w:eastAsia="宋体"/>
          <w:color w:val="auto"/>
          <w:highlight w:val="none"/>
        </w:rPr>
        <w:t xml:space="preserve">文本</w:t>
      </w:r>
      <w:bookmarkEnd w:id="192"/>
      <w:r/>
      <w:bookmarkEnd w:id="193"/>
      <w:r/>
      <w:r/>
    </w:p>
    <w:p>
      <w:pPr>
        <w:ind w:firstLine="480"/>
        <w:spacing w:line="264" w:lineRule="auto"/>
        <w:rPr>
          <w:rFonts w:ascii="宋体" w:hAnsi="宋体"/>
          <w:bCs/>
          <w:color w:val="auto"/>
          <w:sz w:val="24"/>
          <w:szCs w:val="21"/>
          <w:highlight w:val="none"/>
        </w:rPr>
      </w:pPr>
      <w:r/>
      <w:bookmarkStart w:id="194" w:name="_Toc20823315"/>
      <w:r/>
      <w:bookmarkStart w:id="195" w:name="_Toc513029243"/>
      <w:r/>
      <w:bookmarkStart w:id="196" w:name="_Toc16938559"/>
      <w:r>
        <w:rPr>
          <w:rFonts w:hint="eastAsia" w:ascii="宋体" w:hAnsi="宋体"/>
          <w:bCs/>
          <w:color w:val="auto"/>
          <w:sz w:val="24"/>
          <w:szCs w:val="21"/>
          <w:highlight w:val="none"/>
        </w:rPr>
        <w:t xml:space="preserve">以下为本项目的合同条款，合同双方不得对招标、投标文件内容作实质性修改。</w:t>
      </w:r>
      <w:r/>
    </w:p>
    <w:p>
      <w:pPr>
        <w:rPr>
          <w:highlight w:val="none"/>
        </w:rPr>
      </w:pPr>
      <w:r>
        <w:rPr>
          <w:highlight w:val="none"/>
        </w:rPr>
      </w:r>
      <w:r/>
    </w:p>
    <w:p>
      <w:pPr>
        <w:jc w:val="center"/>
        <w:spacing w:before="145" w:after="145" w:line="264" w:lineRule="auto"/>
        <w:rPr>
          <w:rFonts w:ascii="方正小标宋简体" w:hAnsi="方正小标宋简体" w:eastAsia="方正小标宋简体" w:cs="方正小标宋简体"/>
          <w:bCs/>
          <w:color w:val="auto"/>
          <w:sz w:val="32"/>
          <w:szCs w:val="32"/>
          <w:highlight w:val="none"/>
        </w:rPr>
        <w:outlineLvl w:val="0"/>
      </w:pPr>
      <w:r/>
      <w:bookmarkStart w:id="197" w:name="_Toc12525"/>
      <w:r/>
      <w:bookmarkStart w:id="198" w:name="_Toc6616"/>
      <w:r>
        <w:rPr>
          <w:rFonts w:hint="eastAsia" w:ascii="方正小标宋简体" w:hAnsi="方正小标宋简体" w:eastAsia="方正小标宋简体" w:cs="方正小标宋简体"/>
          <w:bCs/>
          <w:color w:val="auto"/>
          <w:sz w:val="32"/>
          <w:szCs w:val="32"/>
          <w:highlight w:val="none"/>
        </w:rPr>
        <w:t xml:space="preserve">政府采购合同（货物）</w:t>
      </w:r>
      <w:bookmarkEnd w:id="197"/>
      <w:r/>
      <w:bookmarkEnd w:id="198"/>
      <w:r/>
      <w:r/>
    </w:p>
    <w:p>
      <w:pPr>
        <w:jc w:val="left"/>
        <w:spacing w:before="145" w:after="145" w:line="264" w:lineRule="auto"/>
        <w:rPr>
          <w:rFonts w:ascii="宋体" w:hAnsi="宋体" w:cs="Courier New"/>
          <w:color w:val="auto"/>
          <w:sz w:val="24"/>
          <w:szCs w:val="24"/>
          <w:highlight w:val="none"/>
        </w:rPr>
        <w:outlineLvl w:val="0"/>
      </w:pPr>
      <w:r/>
      <w:bookmarkStart w:id="199" w:name="_Toc27906"/>
      <w:r/>
      <w:bookmarkStart w:id="200" w:name="_Toc1535"/>
      <w:r>
        <w:rPr>
          <w:rFonts w:ascii="宋体" w:hAnsi="宋体" w:cs="Courier New"/>
          <w:color w:val="auto"/>
          <w:sz w:val="24"/>
          <w:szCs w:val="24"/>
          <w:highlight w:val="none"/>
        </w:rPr>
        <w:t xml:space="preserve">合同编号：</w:t>
      </w:r>
      <w:bookmarkEnd w:id="199"/>
      <w:r/>
      <w:bookmarkEnd w:id="200"/>
      <w:r/>
      <w:r/>
    </w:p>
    <w:p>
      <w:pPr>
        <w:spacing w:before="145" w:after="145" w:line="264" w:lineRule="auto"/>
        <w:rPr>
          <w:rFonts w:ascii="宋体" w:hAnsi="宋体" w:cs="Courier New"/>
          <w:color w:val="auto"/>
          <w:sz w:val="24"/>
          <w:szCs w:val="24"/>
          <w:highlight w:val="none"/>
        </w:rPr>
        <w:outlineLvl w:val="0"/>
      </w:pPr>
      <w:r/>
      <w:bookmarkStart w:id="201" w:name="_Toc31791"/>
      <w:r/>
      <w:bookmarkStart w:id="202" w:name="_Toc28487"/>
      <w:r>
        <w:rPr>
          <w:rFonts w:ascii="宋体" w:hAnsi="宋体" w:cs="Courier New"/>
          <w:color w:val="auto"/>
          <w:sz w:val="24"/>
          <w:szCs w:val="24"/>
          <w:highlight w:val="none"/>
        </w:rPr>
        <w:t xml:space="preserve">项目名称：                                       项目编号：</w:t>
      </w:r>
      <w:bookmarkEnd w:id="201"/>
      <w:r/>
      <w:bookmarkEnd w:id="202"/>
      <w:r/>
      <w:r/>
    </w:p>
    <w:p>
      <w:pPr>
        <w:jc w:val="left"/>
        <w:spacing w:before="145" w:after="145" w:line="264" w:lineRule="auto"/>
        <w:rPr>
          <w:rFonts w:ascii="宋体" w:hAnsi="宋体" w:cs="Courier New"/>
          <w:color w:val="auto"/>
          <w:sz w:val="24"/>
          <w:szCs w:val="24"/>
          <w:highlight w:val="none"/>
        </w:rPr>
        <w:outlineLvl w:val="0"/>
      </w:pPr>
      <w:r/>
      <w:bookmarkStart w:id="203" w:name="_Toc17373"/>
      <w:r/>
      <w:bookmarkStart w:id="204" w:name="_Toc32219"/>
      <w:r>
        <w:rPr>
          <w:rFonts w:ascii="宋体" w:hAnsi="宋体" w:cs="Courier New"/>
          <w:color w:val="auto"/>
          <w:sz w:val="24"/>
          <w:szCs w:val="24"/>
          <w:highlight w:val="none"/>
        </w:rPr>
        <w:t xml:space="preserve">甲方：（买方）</w:t>
      </w:r>
      <w:bookmarkEnd w:id="203"/>
      <w:r/>
      <w:bookmarkEnd w:id="204"/>
      <w:r/>
      <w:r/>
    </w:p>
    <w:p>
      <w:pPr>
        <w:jc w:val="left"/>
        <w:spacing w:before="145" w:after="145" w:line="264" w:lineRule="auto"/>
        <w:rPr>
          <w:rFonts w:ascii="宋体" w:hAnsi="宋体" w:cs="Courier New"/>
          <w:color w:val="auto"/>
          <w:sz w:val="24"/>
          <w:szCs w:val="24"/>
          <w:highlight w:val="none"/>
        </w:rPr>
        <w:outlineLvl w:val="0"/>
      </w:pPr>
      <w:r/>
      <w:bookmarkStart w:id="205" w:name="_Toc16079"/>
      <w:r/>
      <w:bookmarkStart w:id="206" w:name="_Toc2014"/>
      <w:r>
        <w:rPr>
          <w:rFonts w:ascii="宋体" w:hAnsi="宋体" w:cs="Courier New"/>
          <w:color w:val="auto"/>
          <w:sz w:val="24"/>
          <w:szCs w:val="24"/>
          <w:highlight w:val="none"/>
        </w:rPr>
        <w:t xml:space="preserve">乙方：（卖方）</w:t>
      </w:r>
      <w:bookmarkEnd w:id="205"/>
      <w:r/>
      <w:bookmarkEnd w:id="206"/>
      <w:r/>
      <w:r/>
    </w:p>
    <w:p>
      <w:pPr>
        <w:spacing w:line="264" w:lineRule="auto"/>
        <w:rPr>
          <w:rFonts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南京市公共资源交易中心浦口分中心组织的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项目公开招标结果，签署本合同。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688"/>
        <w:spacing w:line="264" w:lineRule="auto"/>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本合同金额为（大写）：____________________圆（____________________元）人民币。</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 签订合同时，乙方按照合同金额</w:t>
      </w:r>
      <w:r>
        <w:rPr>
          <w:rFonts w:hint="eastAsia" w:ascii="宋体" w:hAnsi="宋体" w:cs="Courier New"/>
          <w:b w:val="0"/>
          <w:bCs w:val="0"/>
          <w:color w:val="auto"/>
          <w:sz w:val="24"/>
          <w:szCs w:val="24"/>
          <w:highlight w:val="none"/>
          <w:lang w:val="en-US" w:eastAsia="zh-CN"/>
        </w:rPr>
        <w:t xml:space="preserve">3</w:t>
      </w:r>
      <w:r>
        <w:rPr>
          <w:rFonts w:hint="eastAsia" w:ascii="宋体" w:hAnsi="宋体" w:cs="Courier New"/>
          <w:b w:val="0"/>
          <w:bCs w:val="0"/>
          <w:color w:val="auto"/>
          <w:sz w:val="24"/>
          <w:szCs w:val="24"/>
          <w:highlight w:val="none"/>
        </w:rPr>
        <w:t xml:space="preserve">%</w:t>
      </w:r>
      <w:r>
        <w:rPr>
          <w:rFonts w:hint="eastAsia" w:ascii="宋体" w:hAnsi="宋体" w:cs="Courier New"/>
          <w:color w:val="auto"/>
          <w:sz w:val="24"/>
          <w:szCs w:val="24"/>
          <w:highlight w:val="none"/>
        </w:rPr>
        <w:t xml:space="preserve">缴纳履约保证金。合同履行结束后，甲方按以下约定退还：</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6.1.1 退还时间及条件：验收合格且合同履行期结束后5个工作日内。</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6.1.2 退还方式：扣除违约费用后一次性无息退还。</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6.1.3 不予退还的情形：合同约定的交付期内未履约完成、验收不合格、整改不到位等情形。</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955"/>
        <w:spacing w:line="264" w:lineRule="auto"/>
        <w:rPr>
          <w:rFonts w:hAnsi="宋体"/>
          <w:color w:val="auto"/>
          <w:sz w:val="24"/>
          <w:szCs w:val="24"/>
          <w:highlight w:val="none"/>
        </w:rPr>
      </w:pPr>
      <w:r>
        <w:rPr>
          <w:rFonts w:hint="eastAsia" w:hAnsi="宋体"/>
          <w:color w:val="auto"/>
          <w:sz w:val="24"/>
          <w:szCs w:val="24"/>
          <w:highlight w:val="none"/>
        </w:rPr>
        <w:t xml:space="preserve">8.1合同签订并提供进场施工证明材料后，支付合同总额的30%作为预付款；项目竣工后，经使用学校</w:t>
      </w:r>
      <w:r>
        <w:rPr>
          <w:rFonts w:hint="eastAsia" w:hAnsi="宋体"/>
          <w:color w:val="auto"/>
          <w:sz w:val="24"/>
          <w:szCs w:val="24"/>
          <w:highlight w:val="none"/>
        </w:rPr>
        <w:t xml:space="preserve">对标</w:t>
      </w:r>
      <w:r>
        <w:rPr>
          <w:rFonts w:hint="eastAsia" w:hAnsi="宋体"/>
          <w:color w:val="auto"/>
          <w:sz w:val="24"/>
          <w:szCs w:val="24"/>
          <w:highlight w:val="none"/>
        </w:rPr>
        <w:t xml:space="preserve">功能评估合格、在专家验收考评合格后，支付至合同结算款的100%。</w:t>
      </w:r>
      <w:r/>
    </w:p>
    <w:p>
      <w:pPr>
        <w:pStyle w:val="955"/>
        <w:spacing w:before="120" w:after="120" w:line="288" w:lineRule="auto"/>
        <w:rPr>
          <w:rFonts w:hAnsi="宋体"/>
          <w:color w:val="auto"/>
          <w:sz w:val="24"/>
          <w:szCs w:val="24"/>
          <w:highlight w:val="none"/>
        </w:rPr>
      </w:pPr>
      <w:r>
        <w:rPr>
          <w:rFonts w:hint="eastAsia" w:hAnsi="宋体"/>
          <w:color w:val="auto"/>
          <w:sz w:val="24"/>
          <w:szCs w:val="24"/>
          <w:highlight w:val="none"/>
        </w:rPr>
        <w:t xml:space="preserve">注：满足合同约定支付条件的，采购人收到中标（成交）供应商发票后30日内，将资金支付到合同约定的中标（成交）供应商账户。</w:t>
      </w:r>
      <w:r/>
    </w:p>
    <w:p>
      <w:pPr>
        <w:pStyle w:val="688"/>
        <w:spacing w:line="264" w:lineRule="auto"/>
        <w:rPr>
          <w:rFonts w:hAnsi="宋体"/>
          <w:color w:val="auto"/>
          <w:sz w:val="24"/>
          <w:szCs w:val="24"/>
          <w:highlight w:val="none"/>
        </w:rPr>
      </w:pPr>
      <w:r>
        <w:rPr>
          <w:rFonts w:hint="eastAsia" w:hAnsi="宋体"/>
          <w:color w:val="auto"/>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p>
    <w:p>
      <w:pPr>
        <w:pStyle w:val="688"/>
        <w:spacing w:line="264" w:lineRule="auto"/>
        <w:rPr>
          <w:rFonts w:hAnsi="宋体"/>
          <w:color w:val="auto"/>
          <w:sz w:val="24"/>
          <w:szCs w:val="24"/>
          <w:highlight w:val="none"/>
        </w:rPr>
      </w:pPr>
      <w:r>
        <w:rPr>
          <w:rFonts w:hint="eastAsia" w:hAnsi="宋体"/>
          <w:color w:val="auto"/>
          <w:sz w:val="24"/>
          <w:szCs w:val="24"/>
          <w:highlight w:val="none"/>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乙方提供的货物在质保期内因货物本身的质量问题发生故障，乙方应负责更换。对达不到技术要求者，根据实际情况，经双方协商可按以下方式处理：</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如在使用过程中发生质量问题，乙方应在接到甲方通知后小时内到达甲方现场。</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质保期为自交货验收合格之日起年，因人为因素出现的故障不在质保范围内。超过质保期的乙方负责</w:t>
      </w:r>
      <w:r>
        <w:rPr>
          <w:rFonts w:hint="eastAsia" w:ascii="宋体" w:hAnsi="宋体" w:cs="Courier New"/>
          <w:color w:val="auto"/>
          <w:sz w:val="24"/>
          <w:szCs w:val="24"/>
          <w:highlight w:val="none"/>
          <w:lang w:eastAsia="zh-CN"/>
        </w:rPr>
        <w:t xml:space="preserve">终身</w:t>
      </w:r>
      <w:r>
        <w:rPr>
          <w:rFonts w:hint="eastAsia" w:ascii="宋体" w:hAnsi="宋体" w:cs="Courier New"/>
          <w:color w:val="auto"/>
          <w:sz w:val="24"/>
          <w:szCs w:val="24"/>
          <w:highlight w:val="none"/>
        </w:rPr>
        <w:t xml:space="preserve">维修，维修时只收取部件成本费。</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spacing w:line="264" w:lineRule="auto"/>
        <w:rPr>
          <w:rFonts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乙方在货物发运手续办理完毕后24小时内或货到甲方48小时前通知甲方，以准备接货。</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货物在交付甲方前发生的风险均由乙方负责。</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十三、违约责任</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.1 甲方无正当理由拒绝接受乙方提供服务的，应向乙方偿付拒绝接受服务合同总额</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5%</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的违约金。</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.2 甲方无故逾期验收和办理支付手续的，应按逾期付款总额每日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5</w:t>
      </w:r>
      <w:r>
        <w:rPr>
          <w:rFonts w:hint="default" w:ascii="Arial" w:hAnsi="Arial" w:cs="Arial"/>
          <w:sz w:val="24"/>
          <w:szCs w:val="24"/>
          <w:highlight w:val="none"/>
          <w:u w:val="single"/>
          <w:lang w:val="en-US" w:eastAsia="zh-CN"/>
        </w:rPr>
        <w:t xml:space="preserve">‰</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5</w:t>
      </w:r>
      <w:r>
        <w:rPr>
          <w:rFonts w:hint="eastAsia" w:ascii="宋体" w:hAnsi="宋体" w:cs="Courier New"/>
          <w:sz w:val="24"/>
          <w:szCs w:val="24"/>
          <w:highlight w:val="none"/>
          <w:u w:val="single"/>
        </w:rPr>
        <w:t xml:space="preserve">  </w:t>
      </w:r>
      <w:r>
        <w:rPr>
          <w:rFonts w:ascii="宋体" w:hAnsi="宋体" w:cs="宋体"/>
          <w:sz w:val="24"/>
          <w:szCs w:val="24"/>
          <w:highlight w:val="none"/>
        </w:rPr>
        <w:t xml:space="preserve">%。</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.3 乙方逾期提供服务的，应按逾期提供服务合同总额每日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5</w:t>
      </w:r>
      <w:r>
        <w:rPr>
          <w:rFonts w:hint="default" w:ascii="Arial" w:hAnsi="Arial" w:cs="Arial"/>
          <w:sz w:val="24"/>
          <w:szCs w:val="24"/>
          <w:highlight w:val="none"/>
          <w:u w:val="single"/>
          <w:lang w:val="en-US" w:eastAsia="zh-CN"/>
        </w:rPr>
        <w:t xml:space="preserve">‰</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5%</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的违约金。</w:t>
      </w:r>
      <w:r/>
    </w:p>
    <w:p>
      <w:pPr>
        <w:spacing w:line="264" w:lineRule="auto"/>
        <w:rPr>
          <w:rFonts w:hint="eastAsia" w:ascii="宋体" w:hAnsi="宋体" w:cs="Courier New"/>
          <w:sz w:val="24"/>
          <w:szCs w:val="24"/>
          <w:highlight w:val="none"/>
        </w:rPr>
      </w:pPr>
      <w:r>
        <w:rPr>
          <w:rFonts w:hint="eastAsia" w:ascii="宋体" w:hAnsi="宋体" w:cs="Courier New"/>
          <w:sz w:val="24"/>
          <w:szCs w:val="24"/>
          <w:highlight w:val="none"/>
        </w:rPr>
        <w:t xml:space="preserve">1</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.4 乙方所提供服务的标准不符合合同规定及招标文件规定标准的，甲方有权拒绝接受服务，并可单方面解除合同。</w:t>
      </w:r>
      <w:r/>
    </w:p>
    <w:p>
      <w:pPr>
        <w:spacing w:line="264" w:lineRule="auto"/>
        <w:rPr>
          <w:highlight w:val="none"/>
        </w:rPr>
      </w:pPr>
      <w:r>
        <w:rPr>
          <w:rFonts w:hint="eastAsia" w:ascii="宋体" w:hAnsi="宋体" w:cs="Courier New"/>
          <w:sz w:val="24"/>
          <w:szCs w:val="24"/>
          <w:highlight w:val="none"/>
        </w:rPr>
        <w:t xml:space="preserve">1</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十四、不可抗力事件处理</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14.2 不可抗力事件发生后，应立即通知对方并寄送有关权威机构出具的证明。</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十五、解决争议的方法</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十六、合同生效及其它</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16.1 本合同经双方加盖单位公章后生效。</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16.2 本合同未尽事宜，遵照《中华人民共和国民法典》《中华人民共和国政府采购法</w:t>
      </w:r>
      <w:r>
        <w:rPr>
          <w:rFonts w:hint="eastAsia" w:ascii="宋体" w:hAnsi="宋体" w:cs="Courier New"/>
          <w:color w:val="auto"/>
          <w:sz w:val="24"/>
          <w:szCs w:val="24"/>
          <w:highlight w:val="none"/>
          <w:lang w:eastAsia="zh-CN"/>
        </w:rPr>
        <w:t xml:space="preserve">》等</w:t>
      </w:r>
      <w:r>
        <w:rPr>
          <w:rFonts w:hint="eastAsia" w:ascii="宋体" w:hAnsi="宋体" w:cs="Courier New"/>
          <w:color w:val="auto"/>
          <w:sz w:val="24"/>
          <w:szCs w:val="24"/>
          <w:highlight w:val="none"/>
        </w:rPr>
        <w:t xml:space="preserve">有关条文执行。</w:t>
      </w:r>
      <w:r/>
    </w:p>
    <w:p>
      <w:pPr>
        <w:spacing w:line="264" w:lineRule="auto"/>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16.3 本合同正本一式两份，具有同等法律效力，甲方、乙方各执一份。</w:t>
      </w:r>
      <w:bookmarkEnd w:id="194"/>
      <w:r/>
      <w:bookmarkEnd w:id="195"/>
      <w:r/>
      <w:bookmarkEnd w:id="196"/>
      <w:r/>
      <w:r/>
    </w:p>
    <w:p>
      <w:pPr>
        <w:pStyle w:val="688"/>
        <w:spacing w:before="120" w:after="120" w:line="264" w:lineRule="auto"/>
        <w:rPr>
          <w:rFonts w:hAnsi="宋体"/>
          <w:color w:val="auto"/>
          <w:sz w:val="24"/>
          <w:szCs w:val="24"/>
          <w:highlight w:val="none"/>
        </w:rPr>
      </w:pPr>
      <w:r/>
      <w:bookmarkStart w:id="207" w:name="_Hlt16619369"/>
      <w:r/>
      <w:bookmarkEnd w:id="207"/>
      <w:r/>
      <w:bookmarkStart w:id="208" w:name="_Hlt16619350"/>
      <w:r/>
      <w:bookmarkStart w:id="209" w:name="_Toc120614244"/>
      <w:r/>
      <w:bookmarkStart w:id="210" w:name="_Toc20823346"/>
      <w:r/>
      <w:bookmarkStart w:id="211" w:name="_Toc16938590"/>
      <w:r/>
      <w:bookmarkStart w:id="212" w:name="_Toc479757211"/>
      <w:r/>
      <w:bookmarkStart w:id="213" w:name="_Toc462564139"/>
      <w:r/>
      <w:r/>
    </w:p>
    <w:p>
      <w:pPr>
        <w:pStyle w:val="688"/>
        <w:spacing w:before="120" w:after="120" w:line="264" w:lineRule="auto"/>
        <w:rPr>
          <w:rFonts w:hAnsi="宋体"/>
          <w:color w:val="auto"/>
          <w:sz w:val="24"/>
          <w:szCs w:val="24"/>
          <w:highlight w:val="none"/>
        </w:rPr>
      </w:pPr>
      <w:r>
        <w:rPr>
          <w:rFonts w:hint="eastAsia" w:hAnsi="宋体"/>
          <w:color w:val="auto"/>
          <w:sz w:val="24"/>
          <w:szCs w:val="24"/>
          <w:highlight w:val="none"/>
        </w:rPr>
        <w:t xml:space="preserve">甲  方：（公章）                       乙  方：（公章） </w:t>
      </w:r>
      <w:r/>
    </w:p>
    <w:p>
      <w:pPr>
        <w:pStyle w:val="688"/>
        <w:spacing w:before="120" w:after="120" w:line="264" w:lineRule="auto"/>
        <w:rPr>
          <w:rFonts w:hAnsi="宋体"/>
          <w:color w:val="auto"/>
          <w:sz w:val="24"/>
          <w:szCs w:val="24"/>
          <w:highlight w:val="none"/>
        </w:rPr>
      </w:pPr>
      <w:r>
        <w:rPr>
          <w:rFonts w:hint="eastAsia" w:hAnsi="宋体"/>
          <w:color w:val="auto"/>
          <w:sz w:val="24"/>
          <w:szCs w:val="24"/>
          <w:highlight w:val="none"/>
        </w:rPr>
        <w:t xml:space="preserve">地  址：                               地  址： </w:t>
      </w:r>
      <w:r/>
    </w:p>
    <w:p>
      <w:pPr>
        <w:pStyle w:val="688"/>
        <w:spacing w:before="120" w:after="120" w:line="264" w:lineRule="auto"/>
        <w:rPr>
          <w:rFonts w:hAnsi="宋体"/>
          <w:color w:val="auto"/>
          <w:sz w:val="24"/>
          <w:szCs w:val="24"/>
          <w:highlight w:val="none"/>
        </w:rPr>
      </w:pPr>
      <w:r>
        <w:rPr>
          <w:rFonts w:hint="eastAsia" w:hAnsi="宋体"/>
          <w:color w:val="auto"/>
          <w:sz w:val="24"/>
          <w:szCs w:val="24"/>
          <w:highlight w:val="none"/>
        </w:rPr>
        <w:t xml:space="preserve">法定代表人或授权代表：                 法定代表人或授权代表：</w:t>
      </w:r>
      <w:r/>
    </w:p>
    <w:p>
      <w:pPr>
        <w:pStyle w:val="688"/>
        <w:spacing w:before="120" w:after="120" w:line="264" w:lineRule="auto"/>
        <w:rPr>
          <w:rFonts w:hAnsi="宋体"/>
          <w:color w:val="auto"/>
          <w:sz w:val="24"/>
          <w:szCs w:val="24"/>
          <w:highlight w:val="none"/>
        </w:rPr>
      </w:pPr>
      <w:r>
        <w:rPr>
          <w:rFonts w:hint="eastAsia" w:hAnsi="宋体"/>
          <w:color w:val="auto"/>
          <w:sz w:val="24"/>
          <w:szCs w:val="24"/>
          <w:highlight w:val="none"/>
        </w:rPr>
        <w:t xml:space="preserve">联系电话：                             联系电话：          </w:t>
      </w:r>
      <w:r/>
    </w:p>
    <w:p>
      <w:pPr>
        <w:pStyle w:val="688"/>
        <w:spacing w:before="120" w:after="120" w:line="264" w:lineRule="auto"/>
        <w:rPr>
          <w:rFonts w:hAnsi="宋体"/>
          <w:color w:val="auto"/>
          <w:sz w:val="24"/>
          <w:szCs w:val="24"/>
          <w:highlight w:val="none"/>
        </w:rPr>
      </w:pPr>
      <w:r>
        <w:rPr>
          <w:rFonts w:hAnsi="宋体"/>
          <w:color w:val="auto"/>
          <w:sz w:val="24"/>
          <w:szCs w:val="24"/>
          <w:highlight w:val="none"/>
        </w:rPr>
      </w:r>
      <w:r/>
    </w:p>
    <w:p>
      <w:pPr>
        <w:pStyle w:val="688"/>
        <w:ind w:firstLine="4800"/>
        <w:spacing w:before="120" w:after="120" w:line="264" w:lineRule="auto"/>
        <w:rPr>
          <w:rFonts w:hAnsi="宋体"/>
          <w:color w:val="auto"/>
          <w:sz w:val="24"/>
          <w:szCs w:val="24"/>
          <w:highlight w:val="none"/>
        </w:rPr>
      </w:pPr>
      <w:r>
        <w:rPr>
          <w:rFonts w:hint="eastAsia" w:hAnsi="宋体"/>
          <w:color w:val="auto"/>
          <w:sz w:val="24"/>
          <w:szCs w:val="24"/>
          <w:highlight w:val="none"/>
        </w:rPr>
        <w:t xml:space="preserve">签订日期：      </w:t>
      </w:r>
      <w:r/>
    </w:p>
    <w:p>
      <w:pPr>
        <w:rPr>
          <w:highlight w:val="none"/>
        </w:rPr>
      </w:pPr>
      <w:r>
        <w:rPr>
          <w:highlight w:val="none"/>
        </w:rPr>
      </w:r>
      <w:r/>
    </w:p>
    <w:p>
      <w:pPr>
        <w:pStyle w:val="669"/>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rPr>
          <w:highlight w:val="none"/>
        </w:rPr>
      </w:pPr>
      <w:r>
        <w:rPr>
          <w:highlight w:val="none"/>
        </w:rPr>
      </w:r>
      <w:r/>
    </w:p>
    <w:p>
      <w:pPr>
        <w:jc w:val="center"/>
        <w:keepLines w:val="0"/>
        <w:keepNext w:val="0"/>
        <w:pageBreakBefore/>
        <w:spacing w:before="145" w:after="145" w:line="264" w:lineRule="auto"/>
        <w:widowControl w:val="off"/>
        <w:rPr>
          <w:rFonts w:ascii="方正小标宋简体" w:hAnsi="方正小标宋简体" w:eastAsia="方正小标宋简体" w:cs="方正小标宋简体"/>
          <w:bCs/>
          <w:color w:val="auto"/>
          <w:sz w:val="32"/>
          <w:szCs w:val="32"/>
          <w:highlight w:val="none"/>
        </w:rPr>
        <w:outlineLvl w:val="0"/>
      </w:pPr>
      <w:r/>
      <w:bookmarkStart w:id="214" w:name="_Toc15041"/>
      <w:r/>
      <w:bookmarkStart w:id="215" w:name="_Toc4599"/>
      <w:r>
        <w:rPr>
          <w:rFonts w:hint="eastAsia" w:ascii="方正小标宋简体" w:hAnsi="方正小标宋简体" w:eastAsia="方正小标宋简体" w:cs="方正小标宋简体"/>
          <w:bCs/>
          <w:color w:val="auto"/>
          <w:sz w:val="32"/>
          <w:szCs w:val="32"/>
          <w:highlight w:val="none"/>
        </w:rPr>
        <w:t xml:space="preserve">《*******合同》补充协议（合同附件）</w:t>
      </w:r>
      <w:bookmarkEnd w:id="214"/>
      <w:r/>
      <w:bookmarkEnd w:id="215"/>
      <w:r/>
      <w:r/>
    </w:p>
    <w:p>
      <w:pPr>
        <w:pStyle w:val="688"/>
        <w:ind w:firstLine="480"/>
        <w:jc w:val="left"/>
        <w:spacing w:before="120" w:after="120" w:line="264" w:lineRule="auto"/>
        <w:rPr>
          <w:rFonts w:hAnsi="宋体"/>
          <w:color w:val="auto"/>
          <w:sz w:val="24"/>
          <w:szCs w:val="24"/>
          <w:highlight w:val="none"/>
        </w:rPr>
      </w:pPr>
      <w:r>
        <w:rPr>
          <w:rFonts w:hint="eastAsia" w:hAnsi="宋体"/>
          <w:color w:val="auto"/>
          <w:sz w:val="24"/>
          <w:szCs w:val="24"/>
          <w:highlight w:val="none"/>
        </w:rPr>
        <w:t xml:space="preserve">招标文件及合同未约定事项，双方可友好协商签订补充协议。</w:t>
      </w:r>
      <w:r/>
    </w:p>
    <w:p>
      <w:pPr>
        <w:pStyle w:val="658"/>
        <w:rPr>
          <w:rFonts w:ascii="方正小标宋简体" w:hAnsi="方正小标宋简体" w:eastAsia="方正小标宋简体" w:cs="方正小标宋简体"/>
          <w:color w:val="auto"/>
          <w:sz w:val="36"/>
          <w:szCs w:val="36"/>
          <w:highlight w:val="none"/>
        </w:rPr>
      </w:pPr>
      <w:r>
        <w:rPr>
          <w:rFonts w:ascii="黑体" w:hAnsi="Courier New" w:eastAsia="黑体" w:cs="Courier New"/>
          <w:bCs/>
          <w:color w:val="auto"/>
          <w:sz w:val="44"/>
          <w:szCs w:val="21"/>
          <w:highlight w:val="none"/>
        </w:rPr>
        <w:br w:type="page" w:clear="all"/>
      </w:r>
      <w:bookmarkStart w:id="216" w:name="_Toc6357"/>
      <w:r/>
      <w:bookmarkStart w:id="217" w:name="_Toc24227"/>
      <w:r>
        <w:rPr>
          <w:rFonts w:hint="eastAsia" w:eastAsia="宋体"/>
          <w:color w:val="auto"/>
          <w:highlight w:val="none"/>
        </w:rPr>
        <w:t xml:space="preserve">第</w:t>
      </w:r>
      <w:bookmarkEnd w:id="208"/>
      <w:r>
        <w:rPr>
          <w:rFonts w:hint="eastAsia" w:eastAsia="宋体"/>
          <w:color w:val="auto"/>
          <w:highlight w:val="none"/>
        </w:rPr>
        <w:t xml:space="preserve">四章  采购需求</w:t>
      </w:r>
      <w:bookmarkEnd w:id="209"/>
      <w:r/>
      <w:bookmarkEnd w:id="210"/>
      <w:r/>
      <w:bookmarkEnd w:id="211"/>
      <w:r/>
      <w:bookmarkEnd w:id="216"/>
      <w:r/>
      <w:bookmarkEnd w:id="217"/>
      <w:r/>
      <w:r/>
    </w:p>
    <w:p>
      <w:pPr>
        <w:ind w:firstLine="480"/>
        <w:spacing w:line="264" w:lineRule="auto"/>
        <w:rPr>
          <w:rFonts w:hint="eastAsia" w:ascii="宋体" w:hAnsi="宋体" w:cs="宋体"/>
          <w:bCs/>
          <w:color w:val="auto"/>
          <w:sz w:val="24"/>
          <w:szCs w:val="24"/>
          <w:highlight w:val="none"/>
        </w:rPr>
      </w:pPr>
      <w:r/>
      <w:bookmarkStart w:id="218" w:name="_Toc49090575"/>
      <w:r/>
      <w:bookmarkStart w:id="219" w:name="_Toc26554093"/>
      <w:r>
        <w:rPr>
          <w:rFonts w:hint="eastAsia" w:ascii="黑体" w:hAnsi="黑体" w:eastAsia="黑体" w:cs="黑体"/>
          <w:color w:val="auto"/>
          <w:sz w:val="24"/>
          <w:szCs w:val="24"/>
          <w:highlight w:val="none"/>
        </w:rPr>
        <w:t xml:space="preserve">一、项目属性：</w:t>
      </w:r>
      <w:r>
        <w:rPr>
          <w:rFonts w:hint="eastAsia" w:ascii="宋体" w:hAnsi="宋体" w:cs="宋体"/>
          <w:bCs/>
          <w:color w:val="auto"/>
          <w:sz w:val="24"/>
          <w:szCs w:val="24"/>
          <w:highlight w:val="none"/>
        </w:rPr>
        <w:t xml:space="preserve">货物类项目。</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本项目主要为满足行知中学教学、办公木器及后勤等装备需求，采购教学、办公及后勤设备等。</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（二）项目建设遵循标准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招标文件涉及标准中未标年号的一律采用最新的标准；随着标准的修订，以修订后的最新标准为依据。除上述规范标准以外，须遵循国家、行业及地方现行的规范和标准要求。（三）资产配置标准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符合《市政府办公厅关于印发&lt;南京市市级行政事业单位资产配置标准》、《南京市市级行政事业单位资产使用年限标准》（2016年修订版）的通知》及《关于印发南京市中小学通用资产配置标准的通知》（2023年）、《浦教发〔2023〕34号关于转发南京市中小学通用资产配置标准的通知( 联合发文) 》、《浦政办发2018-110号关于印发浦口区区级行政事业单位资产配置标准》等。</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numPr>
          <w:ilvl w:val="0"/>
          <w:numId w:val="4"/>
        </w:numPr>
        <w:ind w:firstLine="480"/>
        <w:spacing w:line="264" w:lineRule="auto"/>
        <w:rPr>
          <w:rFonts w:hint="eastAsia" w:ascii="黑体" w:hAnsi="黑体" w:eastAsia="黑体" w:cs="黑体"/>
          <w:color w:val="auto"/>
          <w:sz w:val="24"/>
          <w:szCs w:val="24"/>
          <w:highlight w:val="none"/>
        </w:rPr>
        <w:outlineLvl w:val="1"/>
      </w:pPr>
      <w:r>
        <w:rPr>
          <w:rFonts w:hint="eastAsia" w:ascii="黑体" w:hAnsi="黑体" w:eastAsia="黑体" w:cs="黑体"/>
          <w:color w:val="auto"/>
          <w:sz w:val="24"/>
          <w:szCs w:val="24"/>
          <w:highlight w:val="none"/>
        </w:rPr>
        <w:t xml:space="preserve">项目清单</w:t>
      </w:r>
      <w:r/>
    </w:p>
    <w:tbl>
      <w:tblPr>
        <w:tblStyle w:val="6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025"/>
        <w:gridCol w:w="705"/>
        <w:gridCol w:w="750"/>
        <w:gridCol w:w="975"/>
        <w:gridCol w:w="1020"/>
        <w:gridCol w:w="1044"/>
        <w:gridCol w:w="1044"/>
        <w:gridCol w:w="1282"/>
      </w:tblGrid>
      <w:tr>
        <w:trPr>
          <w:trHeight w:val="638"/>
        </w:trPr>
        <w:tc>
          <w:tcPr>
            <w:tcW w:w="78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202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0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75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97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最高限价</w:t>
            </w:r>
            <w:r/>
          </w:p>
        </w:tc>
        <w:tc>
          <w:tcPr>
            <w:tcW w:w="102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是否接受进口</w:t>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所属行业类型</w:t>
            </w:r>
            <w:r/>
          </w:p>
        </w:tc>
        <w:tc>
          <w:tcPr>
            <w:tcW w:w="1282"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产品属性</w:t>
            </w:r>
            <w:r/>
          </w:p>
        </w:tc>
      </w:tr>
      <w:tr>
        <w:trPr>
          <w:trHeight w:val="1031"/>
        </w:trPr>
        <w:tc>
          <w:tcPr>
            <w:tcW w:w="78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2025" w:type="dxa"/>
            <w:vAlign w:val="center"/>
            <w:textDirection w:val="lrTb"/>
            <w:noWrap/>
          </w:tcPr>
          <w:p>
            <w:pPr>
              <w:rPr>
                <w:rFonts w:ascii="宋体" w:hAnsi="宋体" w:cs="宋体"/>
                <w:bCs/>
                <w:color w:val="auto"/>
                <w:sz w:val="24"/>
                <w:szCs w:val="24"/>
                <w:highlight w:val="none"/>
              </w:rPr>
            </w:pPr>
            <w:r>
              <w:rPr>
                <w:rFonts w:hint="eastAsia" w:ascii="宋体" w:hAnsi="宋体" w:cs="Times New Roman"/>
                <w:color w:val="auto"/>
                <w:sz w:val="24"/>
                <w:szCs w:val="24"/>
                <w:highlight w:val="none"/>
                <w:lang w:val="en-US" w:eastAsia="zh-CN"/>
              </w:rPr>
              <w:t xml:space="preserve">行知中学教学、办公木器及后勤等设备采购项目</w:t>
            </w:r>
            <w:r/>
          </w:p>
        </w:tc>
        <w:tc>
          <w:tcPr>
            <w:tcW w:w="70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75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批</w:t>
            </w:r>
            <w:r/>
          </w:p>
        </w:tc>
        <w:tc>
          <w:tcPr>
            <w:tcW w:w="975" w:type="dxa"/>
            <w:vAlign w:val="center"/>
            <w:textDirection w:val="lrTb"/>
            <w:noWrap/>
          </w:tcPr>
          <w:p>
            <w:pPr>
              <w:jc w:val="center"/>
              <w:rPr>
                <w:rFonts w:ascii="宋体" w:hAnsi="宋体" w:cs="宋体"/>
                <w:bCs/>
                <w:color w:val="auto"/>
                <w:sz w:val="24"/>
                <w:szCs w:val="24"/>
                <w:highlight w:val="none"/>
              </w:rPr>
            </w:pPr>
            <w:r>
              <w:rPr>
                <w:rFonts w:hint="eastAsia" w:ascii="宋体" w:hAnsi="宋体"/>
                <w:color w:val="auto"/>
                <w:sz w:val="24"/>
                <w:szCs w:val="24"/>
                <w:highlight w:val="none"/>
                <w:lang w:val="en-US" w:eastAsia="zh-CN"/>
              </w:rPr>
              <w:t xml:space="preserve">270</w:t>
            </w:r>
            <w:r>
              <w:rPr>
                <w:rFonts w:hint="eastAsia" w:ascii="宋体" w:hAnsi="宋体"/>
                <w:color w:val="auto"/>
                <w:sz w:val="24"/>
                <w:szCs w:val="24"/>
                <w:highlight w:val="none"/>
              </w:rPr>
              <w:t xml:space="preserve">万</w:t>
            </w:r>
            <w:r/>
          </w:p>
        </w:tc>
        <w:tc>
          <w:tcPr>
            <w:tcW w:w="102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否</w:t>
            </w:r>
            <w:r/>
          </w:p>
        </w:tc>
        <w:tc>
          <w:tcPr>
            <w:tcW w:w="1044" w:type="dxa"/>
            <w:vAlign w:val="center"/>
            <w:textDirection w:val="lrTb"/>
            <w:noWrap/>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044"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工业</w:t>
            </w:r>
            <w:r/>
          </w:p>
        </w:tc>
        <w:tc>
          <w:tcPr>
            <w:tcW w:w="1282"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货物</w:t>
            </w:r>
            <w:r/>
          </w:p>
        </w:tc>
      </w:tr>
    </w:tbl>
    <w:p>
      <w:pPr>
        <w:rPr>
          <w:rFonts w:hint="eastAsia"/>
          <w:highlight w:val="none"/>
        </w:rPr>
      </w:pPr>
      <w:r>
        <w:rPr>
          <w:rFonts w:hint="eastAsia"/>
          <w:highlight w:val="none"/>
        </w:rPr>
      </w:r>
      <w:r/>
    </w:p>
    <w:p>
      <w:pPr>
        <w:ind w:firstLine="480"/>
        <w:spacing w:line="264" w:lineRule="auto"/>
        <w:rPr>
          <w:rFonts w:hint="eastAsia" w:ascii="宋体" w:hAnsi="宋体" w:cs="宋体"/>
          <w:b/>
          <w:color w:val="auto"/>
          <w:sz w:val="24"/>
          <w:szCs w:val="24"/>
          <w:highlight w:val="none"/>
        </w:rPr>
        <w:outlineLvl w:val="1"/>
      </w:pPr>
      <w:r>
        <w:rPr>
          <w:rFonts w:hint="eastAsia" w:ascii="黑体" w:hAnsi="黑体" w:eastAsia="黑体" w:cs="黑体"/>
          <w:color w:val="auto"/>
          <w:sz w:val="24"/>
          <w:szCs w:val="24"/>
          <w:highlight w:val="none"/>
        </w:rPr>
        <w:t xml:space="preserve">四、拟采购产品需要满足的技术、商务要求</w:t>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s="宋体"/>
          <w:bCs/>
          <w:color w:val="auto"/>
          <w:sz w:val="24"/>
          <w:szCs w:val="24"/>
          <w:highlight w:val="none"/>
        </w:rPr>
        <w:t xml:space="preserve">（一）技术要求</w:t>
      </w:r>
      <w:r/>
    </w:p>
    <w:p>
      <w:pPr>
        <w:ind w:firstLine="480"/>
        <w:spacing w:line="264" w:lineRule="auto"/>
        <w:rPr>
          <w:rFonts w:hint="eastAsia" w:eastAsia="宋体"/>
          <w:color w:val="auto"/>
          <w:highlight w:val="none"/>
          <w:lang w:eastAsia="zh-CN"/>
        </w:rPr>
      </w:pPr>
      <w:r>
        <w:rPr>
          <w:rFonts w:hint="eastAsia" w:ascii="宋体" w:hAnsi="宋体" w:cs="宋体"/>
          <w:bCs/>
          <w:color w:val="auto"/>
          <w:sz w:val="24"/>
          <w:szCs w:val="24"/>
          <w:highlight w:val="none"/>
        </w:rPr>
        <w:t xml:space="preserve">1.产品技术</w:t>
      </w:r>
      <w:r>
        <w:rPr>
          <w:rFonts w:hint="eastAsia" w:ascii="宋体" w:hAnsi="宋体" w:cs="宋体"/>
          <w:bCs/>
          <w:color w:val="auto"/>
          <w:sz w:val="24"/>
          <w:szCs w:val="24"/>
          <w:highlight w:val="none"/>
          <w:lang w:eastAsia="zh-CN"/>
        </w:rPr>
        <w:t xml:space="preserve">要求</w:t>
      </w:r>
      <w:r/>
    </w:p>
    <w:tbl>
      <w:tblPr>
        <w:tblStyle w:val="6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710"/>
        <w:gridCol w:w="7195"/>
      </w:tblGrid>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71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7195"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功能、性能、配置要求</w:t>
            </w:r>
            <w:r/>
          </w:p>
        </w:tc>
      </w:tr>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710" w:type="dxa"/>
            <w:vAlign w:val="center"/>
            <w:textDirection w:val="lrTb"/>
            <w:noWrap/>
          </w:tcPr>
          <w:p>
            <w:pPr>
              <w:jc w:val="center"/>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★实质性要求</w:t>
            </w:r>
            <w:r/>
          </w:p>
        </w:tc>
        <w:tc>
          <w:tcPr>
            <w:tcW w:w="7195" w:type="dxa"/>
            <w:textDirection w:val="lrTb"/>
            <w:noWrap/>
          </w:tcPr>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1.产品技术参数详见附件清单，产品名称、数量及规格为实质性要求。</w:t>
            </w:r>
            <w:r/>
          </w:p>
          <w:p>
            <w:pPr>
              <w:jc w:val="left"/>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2.供应商在投标时应上传加盖公章的分项报价清单扫描件（清单内容应包含：名称，品牌、规格或型号，数量，单价，</w:t>
            </w:r>
            <w:r>
              <w:rPr>
                <w:rFonts w:hint="eastAsia" w:ascii="宋体" w:hAnsi="宋体" w:cs="宋体"/>
                <w:bCs/>
                <w:color w:val="auto"/>
                <w:sz w:val="24"/>
                <w:szCs w:val="24"/>
                <w:highlight w:val="none"/>
                <w:lang w:eastAsia="zh-CN"/>
              </w:rPr>
              <w:t xml:space="preserve">总价</w:t>
            </w:r>
            <w:r>
              <w:rPr>
                <w:rFonts w:hint="eastAsia" w:ascii="宋体" w:hAnsi="宋体" w:cs="宋体"/>
                <w:bCs/>
                <w:color w:val="auto"/>
                <w:sz w:val="24"/>
                <w:szCs w:val="24"/>
                <w:highlight w:val="none"/>
              </w:rPr>
              <w:t xml:space="preserve">等）清单总价不得超过最高限价，否则为无效标。</w:t>
            </w:r>
            <w:r/>
          </w:p>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3.投标人提供家具类免费上门质保六年（含）以上质保服务承诺函（电器质保不低于三年）。招标文件中对质保期有特殊要求的，应按照特殊要求承诺。自验收报告</w:t>
            </w:r>
            <w:r>
              <w:rPr>
                <w:rFonts w:hint="eastAsia" w:ascii="宋体" w:hAnsi="宋体" w:cs="宋体"/>
                <w:bCs/>
                <w:color w:val="auto"/>
                <w:sz w:val="24"/>
                <w:szCs w:val="24"/>
                <w:highlight w:val="none"/>
              </w:rPr>
              <w:t xml:space="preserve">签</w:t>
            </w:r>
            <w:r>
              <w:rPr>
                <w:rFonts w:hint="eastAsia" w:ascii="宋体" w:hAnsi="宋体" w:cs="宋体"/>
                <w:bCs/>
                <w:color w:val="auto"/>
                <w:sz w:val="24"/>
                <w:szCs w:val="24"/>
                <w:highlight w:val="none"/>
                <w:lang w:val="en-US" w:eastAsia="zh-CN"/>
              </w:rPr>
              <w:t xml:space="preserve">字</w:t>
            </w:r>
            <w:r>
              <w:rPr>
                <w:rFonts w:hint="eastAsia" w:ascii="宋体" w:hAnsi="宋体" w:cs="宋体"/>
                <w:bCs/>
                <w:color w:val="auto"/>
                <w:sz w:val="24"/>
                <w:szCs w:val="24"/>
                <w:highlight w:val="none"/>
              </w:rPr>
              <w:t xml:space="preserve">确</w:t>
            </w:r>
            <w:r>
              <w:rPr>
                <w:rFonts w:hint="eastAsia" w:ascii="宋体" w:hAnsi="宋体" w:cs="宋体"/>
                <w:bCs/>
                <w:color w:val="auto"/>
                <w:sz w:val="24"/>
                <w:szCs w:val="24"/>
                <w:highlight w:val="none"/>
                <w:lang w:eastAsia="zh-CN"/>
              </w:rPr>
              <w:t xml:space="preserve">认之</w:t>
            </w:r>
            <w:r>
              <w:rPr>
                <w:rFonts w:hint="eastAsia" w:ascii="宋体" w:hAnsi="宋体" w:cs="宋体"/>
                <w:bCs/>
                <w:color w:val="auto"/>
                <w:sz w:val="24"/>
                <w:szCs w:val="24"/>
                <w:highlight w:val="none"/>
              </w:rPr>
              <w:t xml:space="preserve">日起，开始进入质保期。</w:t>
            </w:r>
            <w:r/>
          </w:p>
          <w:p>
            <w:pPr>
              <w:jc w:val="left"/>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4.中标供应商在生产前应与校方确认好颜色、样式等方可生产。</w:t>
            </w:r>
            <w:r/>
          </w:p>
        </w:tc>
      </w:tr>
      <w:tr>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1710"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非实质性要求</w:t>
            </w:r>
            <w:r/>
          </w:p>
        </w:tc>
        <w:tc>
          <w:tcPr>
            <w:tcW w:w="7195" w:type="dxa"/>
            <w:vAlign w:val="center"/>
            <w:textDirection w:val="lrTb"/>
            <w:noWrap/>
          </w:tcPr>
          <w:p>
            <w:pP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产品材质技术参数详见附件清单，除实质性要求外，其余均属于非实质性要求。</w:t>
            </w:r>
            <w:r/>
          </w:p>
        </w:tc>
      </w:tr>
      <w:tr>
        <w:trPr>
          <w:trHeight w:val="611"/>
        </w:trPr>
        <w:tc>
          <w:tcPr>
            <w:tcW w:w="729" w:type="dxa"/>
            <w:vAlign w:val="center"/>
            <w:textDirection w:val="lrTb"/>
            <w:noWrap/>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1710" w:type="dxa"/>
            <w:vAlign w:val="center"/>
            <w:textDirection w:val="lrTb"/>
            <w:noWrap/>
          </w:tcPr>
          <w:p>
            <w:p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参考图片</w:t>
            </w:r>
            <w:r/>
          </w:p>
        </w:tc>
        <w:tc>
          <w:tcPr>
            <w:tcW w:w="7195" w:type="dxa"/>
            <w:vAlign w:val="center"/>
            <w:textDirection w:val="lrTb"/>
            <w:noWrap/>
          </w:tcPr>
          <w:p>
            <w:pPr>
              <w:spacing w:line="288"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参考图片详见附件清单。</w:t>
            </w:r>
            <w:r/>
          </w:p>
        </w:tc>
      </w:tr>
    </w:tbl>
    <w:p>
      <w:pPr>
        <w:pStyle w:val="669"/>
        <w:ind w:left="0" w:firstLine="0"/>
        <w:rPr>
          <w:color w:val="auto"/>
          <w:highlight w:val="none"/>
        </w:rPr>
      </w:pPr>
      <w:r>
        <w:rPr>
          <w:color w:val="auto"/>
          <w:highlight w:val="none"/>
        </w:rPr>
      </w:r>
      <w:r/>
    </w:p>
    <w:p>
      <w:pPr>
        <w:pStyle w:val="963"/>
        <w:rPr>
          <w:rFonts w:hint="eastAsia" w:cs="宋体"/>
          <w:color w:val="auto"/>
          <w:sz w:val="24"/>
          <w:szCs w:val="24"/>
          <w:highlight w:val="none"/>
        </w:rPr>
      </w:pPr>
      <w:r/>
      <w:bookmarkStart w:id="220" w:name="OLE_LINK4"/>
      <w:r>
        <w:rPr>
          <w:rFonts w:hint="eastAsia" w:cs="宋体"/>
          <w:color w:val="auto"/>
          <w:sz w:val="24"/>
          <w:szCs w:val="24"/>
          <w:highlight w:val="none"/>
          <w:lang w:val="en-US" w:eastAsia="zh-CN"/>
        </w:rPr>
        <w:t xml:space="preserve">2</w:t>
      </w:r>
      <w:r>
        <w:rPr>
          <w:rFonts w:hint="eastAsia" w:cs="宋体"/>
          <w:color w:val="auto"/>
          <w:sz w:val="24"/>
          <w:szCs w:val="24"/>
          <w:highlight w:val="none"/>
        </w:rPr>
        <w:t xml:space="preserve">.其他要求</w:t>
      </w:r>
      <w:r/>
    </w:p>
    <w:p>
      <w:pPr>
        <w:pStyle w:val="963"/>
        <w:ind w:firstLine="480"/>
        <w:rPr>
          <w:rFonts w:hint="eastAsia" w:cs="宋体"/>
          <w:color w:val="auto"/>
          <w:sz w:val="24"/>
          <w:szCs w:val="24"/>
          <w:highlight w:val="none"/>
        </w:rPr>
      </w:pPr>
      <w:r>
        <w:rPr>
          <w:rFonts w:hint="eastAsia" w:cs="宋体"/>
          <w:color w:val="auto"/>
          <w:sz w:val="24"/>
          <w:szCs w:val="24"/>
          <w:highlight w:val="none"/>
          <w:lang w:val="en-US" w:eastAsia="zh-CN"/>
        </w:rPr>
        <w:t xml:space="preserve">中标</w:t>
      </w:r>
      <w:r>
        <w:rPr>
          <w:rFonts w:hint="eastAsia" w:cs="宋体"/>
          <w:color w:val="auto"/>
          <w:sz w:val="24"/>
          <w:szCs w:val="24"/>
          <w:highlight w:val="none"/>
        </w:rPr>
        <w:t xml:space="preserve">供应商在生产前应与校方确认好颜色、样式等方可生产。</w:t>
      </w:r>
      <w:r/>
    </w:p>
    <w:p>
      <w:pPr>
        <w:ind w:firstLine="480"/>
        <w:spacing w:line="264" w:lineRule="auto"/>
        <w:rPr>
          <w:rFonts w:hint="eastAsia" w:ascii="宋体" w:hAnsi="宋体" w:cs="宋体"/>
          <w:bCs/>
          <w:color w:val="auto"/>
          <w:sz w:val="24"/>
          <w:szCs w:val="24"/>
          <w:highlight w:val="none"/>
        </w:rPr>
        <w:outlineLvl w:val="2"/>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1.报价要求</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（1）供应商在投标时应上传加盖公章的分项报价清单扫描件（清单内容应包含：名称，品牌、规格或型号，数量，单价，质保年限等）各分项报价单价不得超过</w:t>
      </w:r>
      <w:r>
        <w:rPr>
          <w:rFonts w:hint="eastAsia" w:cs="黑体" w:asciiTheme="minorEastAsia" w:hAnsiTheme="minorEastAsia" w:eastAsiaTheme="minorEastAsia"/>
          <w:sz w:val="24"/>
          <w:szCs w:val="24"/>
          <w:highlight w:val="none"/>
        </w:rPr>
        <w:t xml:space="preserve">资产配置标准</w:t>
      </w:r>
      <w:r>
        <w:rPr>
          <w:rFonts w:hint="eastAsia" w:ascii="宋体" w:hAnsi="宋体" w:cs="宋体"/>
          <w:color w:val="000000"/>
          <w:sz w:val="24"/>
          <w:szCs w:val="24"/>
          <w:highlight w:val="none"/>
        </w:rPr>
        <w:t xml:space="preserve">最高限价，否则为无效标。</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（3）供应商的任何错漏、优惠、竞争性报价不得作为减轻责任、减少服务、增加收费、降低服务质量的理由。</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（4）供应商报价除包含招标文件中列明的项目外，还应包括保障产品正常使用应当具有的物资和服务，对产品正常使用应当具有的物资和服务理解不一致的以采购单位理解为准。</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原材料及辅材应符合国家规定的强制性环保指标。油漆采用“</w:t>
      </w:r>
      <w:r>
        <w:rPr>
          <w:rFonts w:hint="eastAsia" w:ascii="宋体" w:hAnsi="宋体" w:cs="宋体"/>
          <w:color w:val="auto"/>
          <w:sz w:val="24"/>
          <w:szCs w:val="24"/>
          <w:highlight w:val="none"/>
          <w:lang w:val="en-US" w:eastAsia="zh-CN"/>
        </w:rPr>
        <w:t xml:space="preserve">五底三面</w:t>
      </w:r>
      <w:r>
        <w:rPr>
          <w:rFonts w:hint="eastAsia" w:ascii="宋体" w:hAnsi="宋体" w:cs="宋体"/>
          <w:color w:val="auto"/>
          <w:sz w:val="24"/>
          <w:szCs w:val="24"/>
          <w:highlight w:val="none"/>
        </w:rPr>
        <w:t xml:space="preserve">”工艺。所有家具需进行圆边圆角设计，外表面和内表面以及手指可触及的隐蔽处，均不得有锐利的棱角、毛刺。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pStyle w:val="720"/>
        <w:rPr>
          <w:color w:val="auto"/>
          <w:highlight w:val="none"/>
        </w:rPr>
      </w:pPr>
      <w:r>
        <w:rPr>
          <w:rFonts w:hint="eastAsia" w:ascii="宋体" w:hAnsi="宋体" w:cs="宋体"/>
          <w:color w:val="auto"/>
          <w:sz w:val="24"/>
          <w:szCs w:val="24"/>
          <w:highlight w:val="none"/>
        </w:rPr>
        <w:t xml:space="preserve">④供应商所提供的产品，应在验收小组验收之前，向采购人提交响应产品的合格证或产品合格证明等支撑产品质量的资料。</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供应商应采取安全措施，确保实施安全。因本项目实施产生的实施人员和学校师生人身安全问题由供应商承担全部责任。</w:t>
      </w:r>
      <w:r/>
    </w:p>
    <w:p>
      <w:pPr>
        <w:ind w:firstLine="480"/>
        <w:rPr>
          <w:color w:val="auto"/>
          <w:highlight w:val="none"/>
        </w:rPr>
      </w:pPr>
      <w:r>
        <w:rPr>
          <w:rFonts w:hint="eastAsia" w:ascii="宋体" w:hAnsi="宋体" w:cs="宋体"/>
          <w:color w:val="auto"/>
          <w:sz w:val="24"/>
          <w:szCs w:val="24"/>
          <w:highlight w:val="none"/>
        </w:rPr>
        <w:t xml:space="preserve">（3）交货要求：</w:t>
      </w:r>
      <w:r>
        <w:rPr>
          <w:rFonts w:hint="eastAsia" w:ascii="宋体" w:hAnsi="宋体" w:cs="宋体"/>
          <w:b/>
          <w:bCs/>
          <w:color w:val="auto"/>
          <w:sz w:val="24"/>
          <w:szCs w:val="24"/>
          <w:highlight w:val="none"/>
        </w:rPr>
        <w:t xml:space="preserve">签订合同后</w:t>
      </w:r>
      <w:r>
        <w:rPr>
          <w:rFonts w:hint="eastAsia" w:ascii="宋体" w:hAnsi="宋体" w:cs="宋体"/>
          <w:b/>
          <w:bCs/>
          <w:color w:val="auto"/>
          <w:sz w:val="24"/>
          <w:szCs w:val="24"/>
          <w:highlight w:val="none"/>
          <w:lang w:val="en-US" w:eastAsia="zh-CN"/>
        </w:rPr>
        <w:t xml:space="preserve">45</w:t>
      </w:r>
      <w:r>
        <w:rPr>
          <w:rFonts w:hint="eastAsia" w:ascii="宋体" w:hAnsi="宋体" w:cs="宋体"/>
          <w:b/>
          <w:bCs/>
          <w:color w:val="auto"/>
          <w:sz w:val="24"/>
          <w:szCs w:val="24"/>
          <w:highlight w:val="none"/>
        </w:rPr>
        <w:t xml:space="preserve">天内</w:t>
      </w:r>
      <w:r>
        <w:rPr>
          <w:rFonts w:hint="eastAsia" w:ascii="宋体" w:hAnsi="宋体" w:cs="宋体"/>
          <w:color w:val="auto"/>
          <w:sz w:val="24"/>
          <w:szCs w:val="24"/>
          <w:highlight w:val="none"/>
        </w:rPr>
        <w:t xml:space="preserve">完成送货安装调试等相关工作，保障开学需要，不得影响开学使用。</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①施工过程管理与记录：</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施工前、中、后须分别拍摄水印照片并放入竣工文档；施工资料及竣工文档将作为最终验收与决算依据。</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②变更处理机制：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所有变更须由供应商提交书面申请，经学校与区装备中心联合审批后执行。变更流程必须符合招标采购的有关制度。</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4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④</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家具安装完毕后，采购人将对供应商正式供货产品随机抽取2件进行破坏性检测，被抽样检测产品中环保质量要求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fldChar w:fldCharType="begin"/>
      </w:r>
      <w:r>
        <w:rPr>
          <w:rFonts w:hint="eastAsia" w:ascii="宋体" w:hAnsi="宋体" w:cs="宋体"/>
          <w:bCs/>
          <w:color w:val="auto"/>
          <w:sz w:val="24"/>
          <w:szCs w:val="24"/>
          <w:highlight w:val="none"/>
        </w:rPr>
        <w:instrText xml:space="preserve"> = 5 \* GB3 </w:instrText>
      </w:r>
      <w:r>
        <w:rPr>
          <w:rFonts w:hint="eastAsia" w:ascii="宋体" w:hAnsi="宋体" w:cs="宋体"/>
          <w:bCs/>
          <w:color w:val="auto"/>
          <w:sz w:val="24"/>
          <w:szCs w:val="24"/>
          <w:highlight w:val="none"/>
        </w:rPr>
        <w:fldChar w:fldCharType="separate"/>
      </w:r>
      <w:r>
        <w:rPr>
          <w:rFonts w:hint="eastAsia" w:ascii="宋体" w:hAnsi="宋体" w:cs="宋体"/>
          <w:bCs/>
          <w:color w:val="auto"/>
          <w:sz w:val="24"/>
          <w:szCs w:val="24"/>
          <w:highlight w:val="none"/>
        </w:rPr>
        <w:t xml:space="preserve">⑤</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项目全部完毕后，室内空气质量达到国家环保标准；本</w:t>
      </w:r>
      <w:r>
        <w:rPr>
          <w:rFonts w:hint="eastAsia" w:ascii="宋体" w:hAnsi="宋体" w:cs="宋体"/>
          <w:bCs/>
          <w:color w:val="auto"/>
          <w:sz w:val="24"/>
          <w:szCs w:val="24"/>
          <w:highlight w:val="none"/>
          <w:lang w:eastAsia="zh-CN"/>
        </w:rPr>
        <w:t xml:space="preserve">项目</w:t>
      </w:r>
      <w:r>
        <w:rPr>
          <w:rFonts w:hint="eastAsia" w:ascii="宋体" w:hAnsi="宋体" w:cs="宋体"/>
          <w:bCs/>
          <w:color w:val="auto"/>
          <w:sz w:val="24"/>
          <w:szCs w:val="24"/>
          <w:highlight w:val="none"/>
        </w:rPr>
        <w:t xml:space="preserve">自</w:t>
      </w:r>
      <w:r>
        <w:rPr>
          <w:rFonts w:hint="eastAsia" w:ascii="宋体" w:hAnsi="宋体" w:cs="宋体"/>
          <w:bCs/>
          <w:color w:val="auto"/>
          <w:sz w:val="24"/>
          <w:szCs w:val="24"/>
          <w:highlight w:val="none"/>
        </w:rPr>
        <w:t xml:space="preserve">预验收后5天内，委托具有相应资质的第三方检测机构进行室内环境空气质量检测，采购人随机抽取检测2个不同的室，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如检测不合格，供应商对相关的项目无条件进行整改，直至再次检测合格为止，由此造成一切损失均由供应商承担。不满足以上要求的检测报告或报告不全，项目不得竣工验收。</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①本项目所有电器设备质保期不得低于三年、木器类设备不低于六年（自验收报告签字确认日起开始进入质保期）。质保期内，每年暑假免费维护保养1次，维护保养及更换损坏件的费用包含在投标总价中。</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②质保期内，一旦产品发生质量问题，供应商接到报修请求，在2小时内响应，</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③质保期外，供应商提供</w:t>
      </w:r>
      <w:r>
        <w:rPr>
          <w:rFonts w:hint="eastAsia" w:ascii="宋体" w:hAnsi="宋体" w:cs="宋体"/>
          <w:color w:val="auto"/>
          <w:sz w:val="24"/>
          <w:szCs w:val="24"/>
          <w:highlight w:val="none"/>
          <w:lang w:eastAsia="zh-CN"/>
        </w:rPr>
        <w:t xml:space="preserve">终身</w:t>
      </w:r>
      <w:r>
        <w:rPr>
          <w:rFonts w:hint="eastAsia" w:ascii="宋体" w:hAnsi="宋体" w:cs="宋体"/>
          <w:color w:val="auto"/>
          <w:sz w:val="24"/>
          <w:szCs w:val="24"/>
          <w:highlight w:val="none"/>
        </w:rPr>
        <w:t xml:space="preserve">服务，在货物的设计使用寿命周期内，供应商能保证采购人更换到原厂正宗的备件材料，确保产品的正常使用。 </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④质保期内维修（人为因素除外）费用包含在投标总价中，质保期外提供不高于市场价格的终身维护。中标后提供质保期外配件价格明细表。</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签订并提供进场施工证明材料后，支付合同总额的30%作为预付款；项目竣工后，经使用学校对标功能评估合格、在专家验收考评合格后，支付至合同结算款的100%。注：满足合同约定支付条件的，采购人收到中标（成交）供应商发票后30日内，将资金支付到合同约定的中标（成交）供应商账户。</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（1）交付时间：合同签订后45天内交付并完成安装调试及验收等相关工作。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（2）交付地点：采购人指定地点，由供应商负责办理运输和装卸等，费用由供应商负责，由采购人组织验收，检验不合格或不符合质量要求，供应商除无条件退货、返工外，还应承担采购人的一切损失。</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5.履约保证金</w:t>
      </w:r>
      <w:r/>
    </w:p>
    <w:p>
      <w:pPr>
        <w:ind w:firstLine="480"/>
        <w:rPr>
          <w:rFonts w:ascii="宋体" w:hAnsi="宋体" w:cs="宋体"/>
          <w:bCs/>
          <w:color w:val="auto"/>
          <w:sz w:val="24"/>
          <w:szCs w:val="24"/>
          <w:highlight w:val="none"/>
        </w:rPr>
      </w:pPr>
      <w:r>
        <w:rPr>
          <w:rFonts w:ascii="宋体" w:hAnsi="宋体" w:cs="宋体"/>
          <w:bCs/>
          <w:color w:val="auto"/>
          <w:sz w:val="24"/>
          <w:szCs w:val="24"/>
          <w:highlight w:val="none"/>
        </w:rPr>
        <w:t xml:space="preserve">以第三章合同文本</w:t>
      </w:r>
      <w:r>
        <w:rPr>
          <w:rFonts w:hint="eastAsia" w:ascii="宋体" w:hAnsi="宋体" w:cs="宋体"/>
          <w:bCs/>
          <w:color w:val="auto"/>
          <w:sz w:val="24"/>
          <w:szCs w:val="24"/>
          <w:highlight w:val="none"/>
        </w:rPr>
        <w:t xml:space="preserve">内容</w:t>
      </w:r>
      <w:r>
        <w:rPr>
          <w:rFonts w:ascii="宋体" w:hAnsi="宋体" w:cs="宋体"/>
          <w:bCs/>
          <w:color w:val="auto"/>
          <w:sz w:val="24"/>
          <w:szCs w:val="24"/>
          <w:highlight w:val="none"/>
        </w:rPr>
        <w:t xml:space="preserve">为准。</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6.其他要求</w:t>
      </w:r>
      <w:bookmarkEnd w:id="220"/>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中若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招标文件评标方法与评标标准中涉及的相关证明材料，应在投标文件中提供，并由评审委员会在评审现场予以确认，否则无法得到相应分值。</w:t>
      </w:r>
      <w:r/>
    </w:p>
    <w:p>
      <w:pPr>
        <w:ind w:firstLine="480"/>
        <w:rPr>
          <w:rFonts w:hint="eastAsia" w:ascii="方正小标宋简体" w:hAnsi="方正小标宋简体" w:eastAsia="方正小标宋简体" w:cs="方正小标宋简体"/>
          <w:color w:val="auto"/>
          <w:sz w:val="36"/>
          <w:szCs w:val="36"/>
          <w:highlight w:val="none"/>
        </w:rPr>
      </w:pPr>
      <w:r>
        <w:rPr>
          <w:rFonts w:hint="eastAsia" w:ascii="宋体" w:hAnsi="宋体" w:cs="宋体"/>
          <w:bCs/>
          <w:color w:val="auto"/>
          <w:sz w:val="24"/>
          <w:szCs w:val="24"/>
          <w:highlight w:val="none"/>
        </w:rPr>
        <w:t xml:space="preserve">备注：供应商承诺中标后提供的检测报告为实验室真实出具，必须支持采购人通过扫描报告二维码查询、检测机构官网查询、去函查询或上门查询等方式查询检测报告的真实性。</w:t>
      </w:r>
      <w:r/>
    </w:p>
    <w:p>
      <w:pPr>
        <w:pStyle w:val="669"/>
        <w:rPr>
          <w:color w:val="auto"/>
          <w:highlight w:val="none"/>
        </w:rPr>
      </w:pPr>
      <w:r>
        <w:rPr>
          <w:color w:val="auto"/>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（三）样品要求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1、请供应商按照招标文件要求提供以下样品：①普通教室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课桌椅</w:t>
      </w:r>
      <w:r>
        <w:rPr>
          <w:rFonts w:hint="eastAsia" w:ascii="宋体" w:hAnsi="宋体" w:cs="宋体"/>
          <w:bCs/>
          <w:color w:val="auto"/>
          <w:sz w:val="24"/>
          <w:szCs w:val="24"/>
          <w:highlight w:val="none"/>
          <w:lang w:eastAsia="zh-CN"/>
        </w:rPr>
        <w:t xml:space="preserve">一</w:t>
      </w:r>
      <w:r>
        <w:rPr>
          <w:rFonts w:hint="eastAsia" w:ascii="宋体" w:hAnsi="宋体" w:cs="宋体"/>
          <w:bCs/>
          <w:color w:val="auto"/>
          <w:sz w:val="24"/>
          <w:szCs w:val="24"/>
          <w:highlight w:val="none"/>
        </w:rPr>
        <w:t xml:space="preserve">套、②合班礼堂</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礼堂椅2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eastAsia="zh-CN"/>
        </w:rPr>
        <w:t xml:space="preserve">一位</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须</w:t>
      </w:r>
      <w:r>
        <w:rPr>
          <w:rFonts w:hint="eastAsia" w:ascii="宋体" w:hAnsi="宋体" w:cs="宋体"/>
          <w:bCs/>
          <w:color w:val="auto"/>
          <w:sz w:val="24"/>
          <w:szCs w:val="24"/>
          <w:highlight w:val="none"/>
        </w:rPr>
        <w:t xml:space="preserve">按照清单中参数要求</w:t>
      </w:r>
      <w:r>
        <w:rPr>
          <w:rFonts w:hint="eastAsia" w:ascii="宋体" w:hAnsi="宋体" w:cs="宋体"/>
          <w:bCs/>
          <w:color w:val="auto"/>
          <w:sz w:val="24"/>
          <w:szCs w:val="24"/>
          <w:highlight w:val="none"/>
          <w:lang w:eastAsia="zh-CN"/>
        </w:rPr>
        <w:t xml:space="preserve">制作</w:t>
      </w:r>
      <w:r>
        <w:rPr>
          <w:rFonts w:hint="eastAsia" w:ascii="宋体" w:hAnsi="宋体" w:cs="宋体"/>
          <w:bCs/>
          <w:color w:val="auto"/>
          <w:sz w:val="24"/>
          <w:szCs w:val="24"/>
          <w:highlight w:val="none"/>
        </w:rPr>
        <w:t xml:space="preserve">，每家单位样品集中摆放，所提供样品上和投标供应商名称有关的信息，应提前覆盖或处理，样品所有费用由投标人自行承担，评委根据投标人提供的样品进行评分。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2、样品递交要求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样品递交时间、地点：投标供应商请于开标当日投标截止时间前，将实物样品送至南京市浦口区象山路4号B座，南京市公共资源交易中心浦口分中心五楼受理大厅等候，并登记送达信息（登记时间：投标截止时间前）在此期间样品由投标人自行保管。采购人及采购中心不接收在样品递交截止时间后递交的样品，未在规定截止时间前送达样品并登记或样品不全的，样品评审分为零。</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58"/>
        <w:rPr>
          <w:rFonts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br w:type="page" w:clear="all"/>
      </w:r>
      <w:bookmarkStart w:id="221" w:name="_Toc19877"/>
      <w:r/>
      <w:bookmarkStart w:id="222" w:name="_Toc17"/>
      <w:r/>
      <w:bookmarkStart w:id="223" w:name="_Toc120614281"/>
      <w:r>
        <w:rPr>
          <w:rFonts w:hint="eastAsia" w:eastAsia="宋体"/>
          <w:color w:val="auto"/>
          <w:highlight w:val="none"/>
        </w:rPr>
        <w:t xml:space="preserve">第五章  评标方法与评标标准</w:t>
      </w:r>
      <w:bookmarkEnd w:id="221"/>
      <w:r/>
      <w:bookmarkEnd w:id="222"/>
      <w:r/>
      <w:r/>
    </w:p>
    <w:p>
      <w:pPr>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一、评标方法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1.采用综合评分法，评标结果按评审后得分由高到低顺序排列。得分相同的，按投标报价由低到高顺序排列。得分且投标报价相同的，按“二、评标标准中2.1-2.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项”得分由高到低顺序排列。在投标文件满足招标文件全部实质性要求的供应商中，按照评审得分由高到低推荐</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名中标候选人。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2.核心产品评审。多家供应商提供的核心产品品牌相同的，按一家供应商计算，评审后得分最高的同品牌供应商获得中标人推荐资格。</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二、小微企业价格扣除</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1.本项目全部货物制造商为小微企业的，对报价给予1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%的扣除，用扣除后的价格参与评审。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rPr>
          <w:rFonts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三</w:t>
      </w:r>
      <w:r>
        <w:rPr>
          <w:rFonts w:hint="eastAsia" w:ascii="黑体" w:hAnsi="黑体" w:eastAsia="黑体" w:cs="黑体"/>
          <w:color w:val="auto"/>
          <w:sz w:val="24"/>
          <w:szCs w:val="24"/>
          <w:highlight w:val="none"/>
        </w:rPr>
        <w:t xml:space="preserve">、评标标准</w:t>
      </w:r>
      <w:r/>
    </w:p>
    <w:tbl>
      <w:tblPr>
        <w:tblStyle w:val="7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1283"/>
        <w:gridCol w:w="5602"/>
        <w:gridCol w:w="975"/>
        <w:gridCol w:w="1048"/>
      </w:tblGrid>
      <w:tr>
        <w:trPr>
          <w:trHeight w:val="496"/>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评审因素</w:t>
            </w:r>
            <w:r/>
          </w:p>
        </w:tc>
        <w:tc>
          <w:tcPr>
            <w:shd w:val="clear" w:color="auto" w:fill="auto"/>
            <w:tcW w:w="560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评审细则</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分值</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类型</w:t>
            </w:r>
            <w:r/>
          </w:p>
        </w:tc>
      </w:tr>
      <w:tr>
        <w:trPr/>
        <w:tc>
          <w:tcPr>
            <w:gridSpan w:val="5"/>
            <w:shd w:val="clear" w:color="auto" w:fill="auto"/>
            <w:tcW w:w="9854"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1.价格</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1.1</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价格分</w:t>
            </w:r>
            <w:r/>
          </w:p>
        </w:tc>
        <w:tc>
          <w:tcPr>
            <w:shd w:val="clear" w:color="auto" w:fill="auto"/>
            <w:tcW w:w="560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30</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价格分</w:t>
            </w:r>
            <w:r/>
          </w:p>
        </w:tc>
      </w:tr>
      <w:tr>
        <w:trPr/>
        <w:tc>
          <w:tcPr>
            <w:gridSpan w:val="5"/>
            <w:shd w:val="clear" w:color="auto" w:fill="auto"/>
            <w:tcW w:w="9854"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2.技术</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产品技术参数</w:t>
            </w:r>
            <w:r/>
          </w:p>
        </w:tc>
        <w:tc>
          <w:tcPr>
            <w:shd w:val="clear" w:color="auto" w:fill="auto"/>
            <w:tcW w:w="560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产品技术参数全部满足招标要求的得满分</w:t>
            </w:r>
            <w:r>
              <w:rPr>
                <w:rFonts w:hint="eastAsia" w:ascii="宋体" w:hAnsi="宋体" w:cs="宋体"/>
                <w:color w:val="auto"/>
                <w:sz w:val="24"/>
                <w:szCs w:val="24"/>
                <w:highlight w:val="none"/>
                <w:lang w:val="en-US" w:eastAsia="zh-CN" w:bidi="ar"/>
              </w:rPr>
              <w:t xml:space="preserve">22</w:t>
            </w:r>
            <w:r>
              <w:rPr>
                <w:rFonts w:hint="eastAsia" w:ascii="宋体" w:hAnsi="宋体" w:cs="宋体"/>
                <w:color w:val="auto"/>
                <w:sz w:val="24"/>
                <w:szCs w:val="24"/>
                <w:highlight w:val="none"/>
                <w:lang w:bidi="ar"/>
              </w:rPr>
              <w:t xml:space="preserve">分，打★指标为必须满足项，如有负偏离将作为无效投标，打▲指标为重要指标，有1项负偏离扣2分，其余指标有1项负偏离扣1分，扣完为止。</w:t>
            </w:r>
            <w:r/>
          </w:p>
        </w:tc>
        <w:tc>
          <w:tcPr>
            <w:shd w:val="clear" w:color="auto" w:fill="auto"/>
            <w:tcW w:w="97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22</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客观分</w:t>
            </w:r>
            <w:r/>
          </w:p>
        </w:tc>
      </w:tr>
      <w:tr>
        <w:trPr>
          <w:trHeight w:val="1872"/>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深化设计</w:t>
            </w:r>
            <w:r/>
          </w:p>
        </w:tc>
        <w:tc>
          <w:tcPr>
            <w:shd w:val="clear" w:color="auto" w:fill="auto"/>
            <w:tcW w:w="5602" w:type="dxa"/>
            <w:vAlign w:val="center"/>
            <w:textDirection w:val="lrTb"/>
            <w:noWrap w:val="false"/>
          </w:tcPr>
          <w:p>
            <w:pPr>
              <w:pStyle w:val="952"/>
              <w:rPr>
                <w:rFonts w:hint="eastAsia"/>
                <w:color w:val="auto"/>
                <w:sz w:val="24"/>
                <w:szCs w:val="24"/>
                <w:highlight w:val="none"/>
                <w:lang w:val="en-US" w:bidi="ar"/>
              </w:rPr>
            </w:pPr>
            <w:r>
              <w:rPr>
                <w:rFonts w:hint="eastAsia"/>
                <w:color w:val="auto"/>
                <w:sz w:val="24"/>
                <w:szCs w:val="24"/>
                <w:highlight w:val="none"/>
                <w:lang w:val="en-US" w:bidi="ar"/>
              </w:rPr>
              <w:t xml:space="preserve">评委根据投标人提供的以下区域的布局图和效果图进行综合评分：（至少包含招标清单内所对应区域设备明细）</w:t>
            </w:r>
            <w:r/>
          </w:p>
          <w:p>
            <w:pPr>
              <w:pStyle w:val="952"/>
              <w:rPr>
                <w:rFonts w:hint="eastAsia"/>
                <w:color w:val="auto"/>
                <w:sz w:val="24"/>
                <w:szCs w:val="24"/>
                <w:highlight w:val="none"/>
                <w:lang w:val="en-US" w:bidi="ar"/>
              </w:rPr>
            </w:pPr>
            <w:r>
              <w:rPr>
                <w:rFonts w:hint="eastAsia"/>
                <w:color w:val="auto"/>
                <w:sz w:val="24"/>
                <w:szCs w:val="24"/>
                <w:highlight w:val="none"/>
                <w:lang w:val="en-US" w:bidi="ar"/>
              </w:rPr>
              <w:t xml:space="preserve">1.普通教室的布局图及效果图（布局图及效果图各1份且效果图需至少包含3个角度：前视图、后视图、俯视图）；</w:t>
            </w:r>
            <w:r/>
          </w:p>
          <w:p>
            <w:pPr>
              <w:pStyle w:val="952"/>
              <w:rPr>
                <w:rFonts w:hint="eastAsia"/>
                <w:color w:val="auto"/>
                <w:sz w:val="24"/>
                <w:szCs w:val="24"/>
                <w:highlight w:val="none"/>
                <w:lang w:val="en-US" w:bidi="ar"/>
              </w:rPr>
            </w:pPr>
            <w:r>
              <w:rPr>
                <w:rFonts w:hint="eastAsia"/>
                <w:color w:val="auto"/>
                <w:sz w:val="24"/>
                <w:szCs w:val="24"/>
                <w:highlight w:val="none"/>
                <w:lang w:val="en-US" w:bidi="ar"/>
              </w:rPr>
              <w:t xml:space="preserve">2.合班礼堂的布局图及效果图（布局图及效果图各1份且效果图需至少包含3个角度：前视图、后视图、俯视图）；</w:t>
            </w:r>
            <w:r/>
          </w:p>
          <w:p>
            <w:pPr>
              <w:pStyle w:val="952"/>
              <w:rPr>
                <w:rFonts w:hint="eastAsia"/>
                <w:color w:val="auto"/>
                <w:sz w:val="24"/>
                <w:szCs w:val="24"/>
                <w:highlight w:val="none"/>
                <w:lang w:val="en-US" w:bidi="ar"/>
              </w:rPr>
            </w:pPr>
            <w:r>
              <w:rPr>
                <w:rFonts w:hint="eastAsia"/>
                <w:color w:val="auto"/>
                <w:sz w:val="24"/>
                <w:szCs w:val="24"/>
                <w:highlight w:val="none"/>
                <w:lang w:val="en-US" w:bidi="ar"/>
              </w:rPr>
              <w:t xml:space="preserve">以上两个区域的内容逐条阐述。</w:t>
            </w:r>
            <w:r/>
          </w:p>
          <w:p>
            <w:pPr>
              <w:pStyle w:val="952"/>
              <w:rPr>
                <w:rFonts w:hint="eastAsia"/>
                <w:color w:val="auto"/>
                <w:sz w:val="24"/>
                <w:szCs w:val="24"/>
                <w:highlight w:val="none"/>
                <w:lang w:val="en-US" w:bidi="ar"/>
              </w:rPr>
            </w:pPr>
            <w:r>
              <w:rPr>
                <w:rFonts w:hint="eastAsia"/>
                <w:color w:val="auto"/>
                <w:sz w:val="24"/>
                <w:szCs w:val="24"/>
                <w:highlight w:val="none"/>
                <w:lang w:val="en-US" w:bidi="ar"/>
              </w:rPr>
              <w:t xml:space="preserve">（1）上述每个区域深化设计内容中产品布局合理，效果图与布局图相互对应度高，整体设计与实际需求契合度高，得3分；</w:t>
            </w:r>
            <w:r/>
          </w:p>
          <w:p>
            <w:pPr>
              <w:pStyle w:val="952"/>
              <w:rPr>
                <w:rFonts w:hint="eastAsia"/>
                <w:color w:val="auto"/>
                <w:sz w:val="24"/>
                <w:szCs w:val="24"/>
                <w:highlight w:val="none"/>
                <w:lang w:val="en-US" w:bidi="ar"/>
              </w:rPr>
            </w:pPr>
            <w:r>
              <w:rPr>
                <w:rFonts w:hint="eastAsia"/>
                <w:color w:val="auto"/>
                <w:sz w:val="24"/>
                <w:szCs w:val="24"/>
                <w:highlight w:val="none"/>
                <w:lang w:val="en-US" w:bidi="ar"/>
              </w:rPr>
              <w:t xml:space="preserve">（2）上述每个区域深化设计内容中产品布局较合理，效果图与布局图相互对应度较高，整体设计与实际需求较符合；得2分；</w:t>
            </w:r>
            <w:r/>
          </w:p>
          <w:p>
            <w:pPr>
              <w:pStyle w:val="952"/>
              <w:rPr>
                <w:color w:val="auto"/>
                <w:sz w:val="24"/>
                <w:szCs w:val="24"/>
                <w:highlight w:val="none"/>
                <w:lang w:val="en-US" w:bidi="ar"/>
              </w:rPr>
            </w:pPr>
            <w:r>
              <w:rPr>
                <w:rFonts w:hint="eastAsia"/>
                <w:color w:val="auto"/>
                <w:sz w:val="24"/>
                <w:szCs w:val="24"/>
                <w:highlight w:val="none"/>
                <w:lang w:val="en-US" w:bidi="ar"/>
              </w:rPr>
              <w:t xml:space="preserve">（3）上述每个区域深化设计内容中产品布局基本合理，效果图与布局图基本对应，整体设计与实际需求有欠缺；得1分；</w:t>
            </w:r>
            <w:r/>
          </w:p>
          <w:p>
            <w:pPr>
              <w:pStyle w:val="952"/>
              <w:rPr>
                <w:rFonts w:hint="eastAsia"/>
                <w:color w:val="auto"/>
                <w:sz w:val="24"/>
                <w:szCs w:val="24"/>
                <w:highlight w:val="none"/>
                <w:lang w:val="en-US" w:bidi="ar"/>
              </w:rPr>
            </w:pPr>
            <w:r>
              <w:rPr>
                <w:rFonts w:hint="eastAsia"/>
                <w:color w:val="auto"/>
                <w:sz w:val="24"/>
                <w:szCs w:val="24"/>
                <w:highlight w:val="none"/>
                <w:lang w:val="en-US" w:bidi="ar"/>
              </w:rPr>
              <w:t xml:space="preserve">（4）</w:t>
            </w:r>
            <w:bookmarkStart w:id="224" w:name="OLE_LINK1"/>
            <w:r>
              <w:rPr>
                <w:rFonts w:hint="eastAsia"/>
                <w:color w:val="auto"/>
                <w:sz w:val="24"/>
                <w:szCs w:val="24"/>
                <w:highlight w:val="none"/>
                <w:lang w:val="en-US" w:bidi="ar"/>
              </w:rPr>
              <w:t xml:space="preserve">上述每个区域深化设计内容中产品布局不合理，效果图与布局图不对应，图纸不全或未进行设计、未提供图纸的，不得分。</w:t>
            </w:r>
            <w:bookmarkEnd w:id="224"/>
            <w:r/>
            <w:r/>
          </w:p>
          <w:p>
            <w:pPr>
              <w:pStyle w:val="719"/>
              <w:ind w:firstLine="0"/>
              <w:rPr>
                <w:rFonts w:hint="eastAsia" w:cs="宋体"/>
                <w:color w:val="auto"/>
                <w:sz w:val="24"/>
                <w:szCs w:val="24"/>
                <w:highlight w:val="none"/>
              </w:rPr>
            </w:pPr>
            <w:r>
              <w:rPr>
                <w:rFonts w:hint="eastAsia" w:cs="宋体"/>
                <w:color w:val="auto"/>
                <w:sz w:val="24"/>
                <w:szCs w:val="24"/>
                <w:highlight w:val="none"/>
                <w:lang w:bidi="ar"/>
              </w:rPr>
              <w:t xml:space="preserve">本项最多得6分。</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主观分</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原材料检测报告</w:t>
            </w:r>
            <w:r/>
          </w:p>
        </w:tc>
        <w:tc>
          <w:tcPr>
            <w:shd w:val="clear" w:color="auto" w:fill="auto"/>
            <w:tcW w:w="5602"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投标人提供2023年1月1日（以报告签发日期为准）以来，具有CMA标识的检验机构出具的所投产品原材料抽样检测报告：</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1、实木多层板</w:t>
            </w:r>
            <w:r/>
          </w:p>
          <w:p>
            <w:pPr>
              <w:pStyle w:val="669"/>
              <w:ind w:left="0" w:firstLine="240"/>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检验检测依据至少符合GB/T 39600-2021 《人造板及其制品甲醛释放量分级》、GB/T 35601-2024《绿色产品评价 人造板和木质地板》、QB/T4371-2012《家具抗菌性能的评价》、LY/T2230-2013《人造板防霉性能评价》；</w:t>
            </w:r>
            <w:r/>
          </w:p>
          <w:p>
            <w:pPr>
              <w:ind w:firstLine="240"/>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检测内容至少包含：①苯、甲苯、二甲苯、总挥发性有机化合物(TV0C)均未检出；②甲醛释放量≤0.025mg/m³；③抗菌性能≥99%；④防霉菌性能0级；</w:t>
            </w:r>
            <w:r/>
          </w:p>
          <w:p>
            <w:pPr>
              <w:numPr>
                <w:ilvl w:val="0"/>
                <w:numId w:val="5"/>
              </w:num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ABS塑料</w:t>
            </w:r>
            <w:r/>
          </w:p>
          <w:p>
            <w:pPr>
              <w:ind w:firstLine="240"/>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检验检测依据至少符合</w:t>
            </w:r>
            <w:r>
              <w:rPr>
                <w:rFonts w:hint="eastAsia" w:ascii="宋体" w:hAnsi="宋体" w:cs="宋体"/>
                <w:color w:val="auto"/>
                <w:spacing w:val="1"/>
                <w:sz w:val="24"/>
                <w:szCs w:val="24"/>
                <w:highlight w:val="none"/>
              </w:rPr>
              <w:t xml:space="preserve">GB/T32487-2016</w:t>
            </w:r>
            <w:r>
              <w:rPr>
                <w:rFonts w:hint="eastAsia" w:ascii="宋体" w:hAnsi="宋体" w:cs="宋体"/>
                <w:color w:val="auto"/>
                <w:sz w:val="24"/>
                <w:szCs w:val="24"/>
                <w:highlight w:val="none"/>
                <w:lang w:bidi="ar"/>
              </w:rPr>
              <w:t xml:space="preserve">《塑料家具通用技术条件》</w:t>
            </w:r>
            <w:r>
              <w:rPr>
                <w:rFonts w:hint="eastAsia" w:ascii="宋体" w:hAnsi="宋体" w:cs="宋体"/>
                <w:color w:val="auto"/>
                <w:spacing w:val="1"/>
                <w:sz w:val="24"/>
                <w:szCs w:val="24"/>
                <w:highlight w:val="none"/>
              </w:rPr>
              <w:t xml:space="preserve">、QB/T4371-2012</w:t>
            </w:r>
            <w:r>
              <w:rPr>
                <w:rFonts w:hint="eastAsia" w:ascii="宋体" w:hAnsi="宋体" w:cs="宋体"/>
                <w:color w:val="auto"/>
                <w:sz w:val="24"/>
                <w:szCs w:val="24"/>
                <w:highlight w:val="none"/>
                <w:lang w:bidi="ar"/>
              </w:rPr>
              <w:t xml:space="preserve">《家具抗菌性能的评价》</w:t>
            </w:r>
            <w:r>
              <w:rPr>
                <w:rFonts w:hint="eastAsia" w:ascii="宋体" w:hAnsi="宋体" w:cs="宋体"/>
                <w:color w:val="auto"/>
                <w:spacing w:val="1"/>
                <w:sz w:val="24"/>
                <w:szCs w:val="24"/>
                <w:highlight w:val="none"/>
              </w:rPr>
              <w:t xml:space="preserve">、GB/T24128-2018</w:t>
            </w:r>
            <w:r>
              <w:rPr>
                <w:rFonts w:hint="eastAsia" w:ascii="宋体" w:hAnsi="宋体" w:cs="宋体"/>
                <w:color w:val="auto"/>
                <w:sz w:val="24"/>
                <w:szCs w:val="24"/>
                <w:highlight w:val="none"/>
                <w:lang w:bidi="ar"/>
              </w:rPr>
              <w:t xml:space="preserve">《塑料塑料防霉剂的防霉效果评估》；</w:t>
            </w:r>
            <w:r/>
          </w:p>
          <w:p>
            <w:pPr>
              <w:ind w:firstLine="240"/>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检测内容至少包含：①冲击强度的保持率≥60%、外观颜色变色评级≥3级；②冲击强度≥10J/㎡；③邻苯二甲酸酯未检出；④抗菌性能≥99%</w:t>
            </w:r>
            <w:r>
              <w:rPr>
                <w:rFonts w:hint="eastAsia" w:ascii="宋体" w:hAnsi="宋体" w:cs="宋体"/>
                <w:b/>
                <w:bCs/>
                <w:color w:val="auto"/>
                <w:sz w:val="24"/>
                <w:szCs w:val="24"/>
                <w:highlight w:val="none"/>
                <w:lang w:bidi="ar"/>
              </w:rPr>
              <w:t xml:space="preserve">；</w:t>
            </w:r>
            <w:r>
              <w:rPr>
                <w:rFonts w:hint="eastAsia" w:ascii="宋体" w:hAnsi="宋体" w:cs="宋体"/>
                <w:color w:val="auto"/>
                <w:sz w:val="24"/>
                <w:szCs w:val="24"/>
                <w:highlight w:val="none"/>
                <w:lang w:bidi="ar"/>
              </w:rPr>
              <w:t xml:space="preserve">⑤耐霉菌性能0级；</w:t>
            </w:r>
            <w:r>
              <w:rPr>
                <w:rFonts w:hint="eastAsia" w:ascii="宋体" w:hAnsi="宋体" w:cs="宋体"/>
                <w:b/>
                <w:bCs/>
                <w:color w:val="auto"/>
                <w:sz w:val="24"/>
                <w:szCs w:val="24"/>
                <w:highlight w:val="none"/>
                <w:lang w:bidi="ar"/>
              </w:rPr>
              <w:br/>
            </w:r>
            <w:r>
              <w:rPr>
                <w:rFonts w:hint="eastAsia" w:ascii="宋体" w:hAnsi="宋体" w:cs="宋体"/>
                <w:color w:val="auto"/>
                <w:sz w:val="24"/>
                <w:szCs w:val="24"/>
                <w:highlight w:val="none"/>
                <w:lang w:bidi="ar"/>
              </w:rPr>
              <w:t xml:space="preserve">3、水性油漆</w:t>
            </w:r>
            <w:r/>
          </w:p>
          <w:p>
            <w:pPr>
              <w:ind w:firstLine="240"/>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检验检测依据至少符合GB/T 23999-2009《室内装饰装修用水性木器涂料》、HJ 2537-2014《环境标志产品技术要求水性涂料》、JC/T 1074-2021《室内空气净化功能涂覆材料净化性能》；</w:t>
            </w:r>
            <w:r/>
          </w:p>
          <w:p>
            <w:pPr>
              <w:ind w:firstLine="240"/>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检测内容至少包含：①VOC含量、总铅含量(限色漆、腻子和醇酸清漆)、甲醛含量、苯系物总和含量、可溶性重金属、乙二醇醚及醚脂总和含量未检出、烷基酚聚氧乙烯醚总和含量均未检出；②硬度（擦伤）4H；③室内空气净化功能涂覆材料净化性能≥90%；</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4、钢管</w:t>
            </w:r>
            <w:r/>
          </w:p>
          <w:p>
            <w:pPr>
              <w:ind w:firstLine="240"/>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检验检测依据至少符合</w:t>
            </w:r>
            <w:r>
              <w:rPr>
                <w:rFonts w:hint="eastAsia" w:ascii="宋体" w:hAnsi="宋体" w:cs="宋体"/>
                <w:color w:val="auto"/>
                <w:spacing w:val="-2"/>
                <w:sz w:val="24"/>
                <w:szCs w:val="24"/>
                <w:highlight w:val="none"/>
              </w:rPr>
              <w:t xml:space="preserve">GB/T3325-2024《金属家具通用技术条件》、QB/T3827-1999《轻工产品金属镀层和化学处理层的耐腐蚀试验方法乙酸盐雾试验（ASS）法》</w:t>
            </w:r>
            <w:r>
              <w:rPr>
                <w:rFonts w:hint="eastAsia" w:ascii="宋体" w:hAnsi="宋体" w:cs="宋体"/>
                <w:color w:val="auto"/>
                <w:sz w:val="24"/>
                <w:szCs w:val="24"/>
                <w:highlight w:val="none"/>
                <w:lang w:bidi="ar"/>
              </w:rPr>
              <w:t xml:space="preserve">；</w:t>
            </w:r>
            <w:r/>
          </w:p>
          <w:p>
            <w:pPr>
              <w:pStyle w:val="964"/>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lang w:val="en-US" w:bidi="ar"/>
              </w:rPr>
              <w:t xml:space="preserve">检测内容至少包含：①</w:t>
            </w:r>
            <w:r>
              <w:rPr>
                <w:rFonts w:hint="eastAsia" w:ascii="宋体" w:hAnsi="宋体" w:cs="宋体"/>
                <w:color w:val="auto"/>
                <w:sz w:val="24"/>
                <w:szCs w:val="24"/>
                <w:highlight w:val="none"/>
              </w:rPr>
              <w:t xml:space="preserve">金属件外观喷涂层（应光滑均匀，色泽一致，无流挂、疙瘩、皱皮、飞漆等缺陷）</w:t>
            </w:r>
            <w:r>
              <w:rPr>
                <w:rFonts w:hint="eastAsia" w:ascii="宋体" w:hAnsi="宋体" w:cs="宋体"/>
                <w:color w:val="auto"/>
                <w:sz w:val="24"/>
                <w:szCs w:val="24"/>
                <w:highlight w:val="none"/>
                <w:lang w:val="en-US" w:bidi="ar"/>
              </w:rPr>
              <w:t xml:space="preserve">；②</w:t>
            </w:r>
            <w:r>
              <w:rPr>
                <w:rFonts w:hint="eastAsia" w:ascii="宋体" w:hAnsi="宋体" w:cs="宋体"/>
                <w:color w:val="auto"/>
                <w:sz w:val="24"/>
                <w:szCs w:val="24"/>
                <w:highlight w:val="none"/>
              </w:rPr>
              <w:t xml:space="preserve">金属喷漆（塑）涂层理化性能（硬度≥4H；冲击强度冲击高度400mm，应无剥落、裂纹、皱纹；耐腐蚀要求100h后，检查划道两侧3mm以外，应无生锈、剥落、起皱、变色和失色等现象</w:t>
            </w:r>
            <w:r>
              <w:rPr>
                <w:rFonts w:hint="eastAsia" w:ascii="宋体" w:hAnsi="宋体" w:cs="宋体"/>
                <w:color w:val="auto"/>
                <w:sz w:val="24"/>
                <w:szCs w:val="24"/>
                <w:highlight w:val="none"/>
                <w:lang w:val="en-US" w:bidi="ar"/>
              </w:rPr>
              <w:t xml:space="preserve">；③</w:t>
            </w:r>
            <w:r>
              <w:rPr>
                <w:rFonts w:hint="eastAsia" w:ascii="宋体" w:hAnsi="宋体" w:cs="宋体"/>
                <w:color w:val="auto"/>
                <w:sz w:val="24"/>
                <w:szCs w:val="24"/>
                <w:highlight w:val="none"/>
              </w:rPr>
              <w:t xml:space="preserve">附着力应不低于2级</w:t>
            </w:r>
            <w:r>
              <w:rPr>
                <w:rFonts w:hint="eastAsia" w:ascii="宋体" w:hAnsi="宋体" w:cs="宋体"/>
                <w:color w:val="auto"/>
                <w:sz w:val="24"/>
                <w:szCs w:val="24"/>
                <w:highlight w:val="none"/>
                <w:lang w:val="en-US" w:bidi="ar"/>
              </w:rPr>
              <w:t xml:space="preserve">；④</w:t>
            </w:r>
            <w:r>
              <w:rPr>
                <w:rFonts w:hint="eastAsia" w:ascii="宋体" w:hAnsi="宋体" w:cs="宋体"/>
                <w:color w:val="auto"/>
                <w:sz w:val="24"/>
                <w:szCs w:val="24"/>
                <w:highlight w:val="none"/>
              </w:rPr>
              <w:t xml:space="preserve">乙酸盐雾试验不低于</w:t>
            </w:r>
            <w:r>
              <w:rPr>
                <w:rFonts w:hint="eastAsia" w:ascii="宋体" w:hAnsi="宋体" w:cs="宋体"/>
                <w:color w:val="auto"/>
                <w:sz w:val="24"/>
                <w:szCs w:val="24"/>
                <w:highlight w:val="none"/>
                <w:lang w:val="en-US"/>
              </w:rPr>
              <w:t xml:space="preserve">300</w:t>
            </w:r>
            <w:r>
              <w:rPr>
                <w:rFonts w:hint="eastAsia" w:ascii="宋体" w:hAnsi="宋体" w:cs="宋体"/>
                <w:color w:val="auto"/>
                <w:sz w:val="24"/>
                <w:szCs w:val="24"/>
                <w:highlight w:val="none"/>
              </w:rPr>
              <w:t xml:space="preserve">h，镀（涂）层本身的耐腐蚀等级、镀（涂）层对基体的保护等级均达到10级</w:t>
            </w:r>
            <w:r>
              <w:rPr>
                <w:rFonts w:hint="eastAsia" w:ascii="宋体" w:hAnsi="宋体" w:cs="宋体"/>
                <w:color w:val="auto"/>
                <w:sz w:val="24"/>
                <w:szCs w:val="24"/>
                <w:highlight w:val="none"/>
                <w:lang w:val="en-US" w:bidi="ar"/>
              </w:rPr>
              <w:t xml:space="preserve">。</w:t>
            </w:r>
            <w:r>
              <w:rPr>
                <w:rFonts w:hint="eastAsia" w:ascii="宋体" w:hAnsi="宋体" w:cs="宋体"/>
                <w:color w:val="auto"/>
                <w:sz w:val="24"/>
                <w:szCs w:val="24"/>
                <w:highlight w:val="none"/>
                <w:lang w:val="en-US" w:bidi="ar"/>
              </w:rPr>
              <w:br/>
            </w:r>
            <w:r>
              <w:rPr>
                <w:rFonts w:hint="eastAsia" w:ascii="宋体" w:hAnsi="宋体" w:cs="宋体"/>
                <w:color w:val="auto"/>
                <w:sz w:val="24"/>
                <w:szCs w:val="24"/>
                <w:highlight w:val="none"/>
                <w:lang w:val="en-US" w:bidi="ar"/>
              </w:rPr>
              <w:t xml:space="preserve">以上每个检测报告内容提供齐全的得1分，本项最高得4分，其他不得分。（上传报告扫描件至投标系统）</w:t>
            </w:r>
            <w:r>
              <w:rPr>
                <w:rFonts w:hint="eastAsia" w:ascii="宋体" w:hAnsi="宋体" w:cs="宋体"/>
                <w:color w:val="auto"/>
                <w:sz w:val="24"/>
                <w:szCs w:val="24"/>
                <w:highlight w:val="none"/>
                <w:lang w:val="en-US" w:bidi="ar"/>
              </w:rPr>
              <w:br/>
            </w:r>
            <w:r>
              <w:rPr>
                <w:rFonts w:hint="eastAsia" w:ascii="宋体" w:hAnsi="宋体" w:cs="宋体"/>
                <w:color w:val="auto"/>
                <w:sz w:val="24"/>
                <w:szCs w:val="24"/>
                <w:highlight w:val="none"/>
                <w:lang w:val="en-US" w:bidi="ar"/>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客观分</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成品检测报告</w:t>
            </w:r>
            <w:r/>
          </w:p>
        </w:tc>
        <w:tc>
          <w:tcPr>
            <w:shd w:val="clear" w:color="auto" w:fill="auto"/>
            <w:tcW w:w="5602"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投标人提供2023年01月01日（以报告签发日期为准）以来，具有CMA标识的所投课桌椅、礼堂椅、办公桌、办公椅成品抽样检测报告：</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1、课桌椅</w:t>
            </w:r>
            <w:r/>
          </w:p>
          <w:p>
            <w:pPr>
              <w:ind w:firstLine="21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 xml:space="preserve">检验检测依据至少符合QB/T 4071-2021《课桌椅》、GB/T 35607-2024《绿色产品评价家具》、GB/T 3325-2024《金属家具通用技术条件》、GB/T 24128-2018《塑料 塑料防霉剂的防霉效果评估》、QB/T 4371-2012《家具抗菌性能的评价》；</w:t>
            </w:r>
            <w:r/>
          </w:p>
          <w:p>
            <w:pPr>
              <w:ind w:firstLine="240"/>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检测内容至少包含：①金属件喷涂层表面理化性能（抗盐雾不低于300h、抗冲击、附着力），判定结果为符合或合格；②塑料桌/椅面理化性能（耐污染、耐老化性），判定结果为符合或合格；③安全要求，判定结果为符合或合格；④课桌力学性能，判定结果为符合或合格；⑤课椅力学性能，判定结果为符合或合格；⑥产品有害物质限量（甲醛释放量、家具涂层可迁移元素）未检出；⑦塑料件有害物质限量（邻苯二甲酸酯）未检出；⑧抗菌性能＞99%；⑨耐霉菌性能0级。</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2、礼堂椅</w:t>
            </w:r>
            <w:r/>
          </w:p>
          <w:p>
            <w:pPr>
              <w:pStyle w:val="669"/>
              <w:ind w:left="0" w:firstLine="240"/>
              <w:rPr>
                <w:rFonts w:hint="eastAsia" w:ascii="宋体" w:hAnsi="宋体" w:cs="宋体"/>
                <w:color w:val="auto"/>
                <w:sz w:val="24"/>
                <w:highlight w:val="none"/>
              </w:rPr>
            </w:pPr>
            <w:r>
              <w:rPr>
                <w:rFonts w:hint="eastAsia" w:ascii="宋体" w:hAnsi="宋体" w:cs="宋体"/>
                <w:color w:val="auto"/>
                <w:sz w:val="24"/>
                <w:highlight w:val="none"/>
              </w:rPr>
              <w:t xml:space="preserve">检验检测依据至少符合QB/T 2602-2013《影剧院公共座椅》、GB/T 35607-2024《绿色产品评价家具》；</w:t>
            </w:r>
            <w:r/>
          </w:p>
          <w:p>
            <w:pPr>
              <w:ind w:firstLine="240"/>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检测内容至少包含：①消音装置≤35dB；②力学性能（座面、椅背耐久性联合试验，座面翻转耐久性实验，写字板耐久性实验），判定结果为符合或合格；③产品有害物质限量（甲醛释放量、苯、甲苯、二甲苯、总挥发性有机化合物）均未检出；④家具涂层可迁移元素均未检出；⑤产品寿命（椅座椅背耐久性≥12万次、扶手耐久性≥6万次）；⑥燃烧性能（阻燃1级）。</w:t>
            </w:r>
            <w:r/>
          </w:p>
          <w:p>
            <w:pPr>
              <w:numPr>
                <w:ilvl w:val="0"/>
                <w:numId w:val="5"/>
              </w:num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办公桌</w:t>
            </w:r>
            <w:r/>
          </w:p>
          <w:p>
            <w:pPr>
              <w:pStyle w:val="711"/>
              <w:ind w:firstLine="240"/>
              <w:spacing w:line="240" w:lineRule="auto"/>
              <w:rPr>
                <w:rFonts w:hint="eastAsia" w:cs="宋体"/>
                <w:color w:val="auto"/>
                <w:sz w:val="24"/>
                <w:szCs w:val="24"/>
                <w:highlight w:val="none"/>
                <w:lang w:eastAsia="zh-CN"/>
              </w:rPr>
            </w:pPr>
            <w:r>
              <w:rPr>
                <w:rFonts w:hint="eastAsia" w:cs="宋体"/>
                <w:color w:val="auto"/>
                <w:sz w:val="24"/>
                <w:szCs w:val="24"/>
                <w:highlight w:val="none"/>
                <w:lang w:eastAsia="zh-CN"/>
              </w:rPr>
              <w:t xml:space="preserve">检验检测依据至少符合GB/T3325-2024《金属家具通用技术条件》、GB/T 35607-2024《绿色产品评价家具》、QB/T 4371-2012《家具抗菌性能的评价》；</w:t>
            </w:r>
            <w:r/>
          </w:p>
          <w:p>
            <w:pPr>
              <w:ind w:firstLine="24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检测内容至少包含：①</w:t>
            </w:r>
            <w:r>
              <w:rPr>
                <w:rFonts w:hint="eastAsia" w:ascii="宋体" w:hAnsi="宋体" w:cs="宋体"/>
                <w:color w:val="auto"/>
                <w:sz w:val="24"/>
                <w:szCs w:val="24"/>
                <w:highlight w:val="none"/>
              </w:rPr>
              <w:t xml:space="preserve">安全性:通用结构安全,</w:t>
            </w:r>
            <w:r>
              <w:rPr>
                <w:rFonts w:hint="eastAsia" w:ascii="宋体" w:hAnsi="宋体" w:cs="宋体"/>
                <w:color w:val="auto"/>
                <w:sz w:val="24"/>
                <w:szCs w:val="24"/>
                <w:highlight w:val="none"/>
                <w:lang w:bidi="ar"/>
              </w:rPr>
              <w:t xml:space="preserve">判定结果为符合或合格；②</w:t>
            </w:r>
            <w:r>
              <w:rPr>
                <w:rFonts w:hint="eastAsia" w:ascii="宋体" w:hAnsi="宋体" w:cs="宋体"/>
                <w:color w:val="auto"/>
                <w:sz w:val="24"/>
                <w:szCs w:val="24"/>
                <w:highlight w:val="none"/>
              </w:rPr>
              <w:t xml:space="preserve">产品寿命:</w:t>
            </w:r>
            <w:r>
              <w:rPr>
                <w:rFonts w:hint="eastAsia" w:ascii="宋体" w:hAnsi="宋体" w:cs="宋体"/>
                <w:color w:val="auto"/>
                <w:sz w:val="24"/>
                <w:szCs w:val="24"/>
                <w:highlight w:val="none"/>
                <w:lang w:bidi="ar"/>
              </w:rPr>
              <w:t xml:space="preserve">桌面水平耐久性≥6万次</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bidi="ar"/>
              </w:rPr>
              <w:t xml:space="preserve">③</w:t>
            </w:r>
            <w:r>
              <w:rPr>
                <w:rFonts w:hint="eastAsia" w:ascii="宋体" w:hAnsi="宋体" w:cs="宋体"/>
                <w:color w:val="auto"/>
                <w:sz w:val="24"/>
                <w:szCs w:val="24"/>
                <w:highlight w:val="none"/>
              </w:rPr>
              <w:t xml:space="preserve">有害物质（甲醛释放量、苯、甲苯、二甲苯、总挥发性有机化合物、家具涂层可迁移元素）未检出；</w:t>
            </w:r>
            <w:r>
              <w:rPr>
                <w:rFonts w:hint="eastAsia" w:ascii="宋体" w:hAnsi="宋体" w:cs="宋体"/>
                <w:color w:val="auto"/>
                <w:sz w:val="24"/>
                <w:szCs w:val="24"/>
                <w:highlight w:val="none"/>
                <w:lang w:bidi="ar"/>
              </w:rPr>
              <w:t xml:space="preserve">④</w:t>
            </w:r>
            <w:r>
              <w:rPr>
                <w:rFonts w:hint="eastAsia" w:ascii="宋体" w:hAnsi="宋体" w:cs="宋体"/>
                <w:color w:val="auto"/>
                <w:sz w:val="24"/>
                <w:szCs w:val="24"/>
                <w:highlight w:val="none"/>
              </w:rPr>
              <w:t xml:space="preserve">表面理化性能-木制件表面装饰层(软硬质覆面层)（耐冷热循环、耐干热、耐湿热、耐污染性能、表面耐磨性、抗冲击）；表面理化性能-金属喷漆（塑）涂层（硬度、冲击强度、耐盐浴、附着力）</w:t>
            </w:r>
            <w:r>
              <w:rPr>
                <w:rFonts w:hint="eastAsia" w:ascii="宋体" w:hAnsi="宋体" w:cs="宋体"/>
                <w:color w:val="auto"/>
                <w:spacing w:val="-2"/>
                <w:sz w:val="24"/>
                <w:szCs w:val="24"/>
                <w:highlight w:val="none"/>
              </w:rPr>
              <w:t xml:space="preserve">检测结果为符</w:t>
            </w:r>
            <w:r>
              <w:rPr>
                <w:rFonts w:hint="eastAsia" w:ascii="宋体" w:hAnsi="宋体" w:cs="宋体"/>
                <w:color w:val="auto"/>
                <w:sz w:val="24"/>
                <w:szCs w:val="24"/>
                <w:highlight w:val="none"/>
              </w:rPr>
              <w:t xml:space="preserve">合或合格；</w:t>
            </w:r>
            <w:r>
              <w:rPr>
                <w:rFonts w:hint="eastAsia" w:ascii="宋体" w:hAnsi="宋体" w:cs="宋体"/>
                <w:color w:val="auto"/>
                <w:sz w:val="24"/>
                <w:szCs w:val="24"/>
                <w:highlight w:val="none"/>
                <w:lang w:bidi="ar"/>
              </w:rPr>
              <w:t xml:space="preserve">⑤</w:t>
            </w:r>
            <w:r>
              <w:rPr>
                <w:rFonts w:hint="eastAsia" w:ascii="宋体" w:hAnsi="宋体" w:cs="宋体"/>
                <w:color w:val="auto"/>
                <w:sz w:val="24"/>
                <w:szCs w:val="24"/>
                <w:highlight w:val="none"/>
              </w:rPr>
              <w:t xml:space="preserve">力学性能（桌几类强度和耐久性、桌类稳定性）</w:t>
            </w:r>
            <w:r>
              <w:rPr>
                <w:rFonts w:hint="eastAsia" w:ascii="宋体" w:hAnsi="宋体" w:cs="宋体"/>
                <w:color w:val="auto"/>
                <w:spacing w:val="-2"/>
                <w:sz w:val="24"/>
                <w:szCs w:val="24"/>
                <w:highlight w:val="none"/>
              </w:rPr>
              <w:t xml:space="preserve">检测结果为符</w:t>
            </w:r>
            <w:r>
              <w:rPr>
                <w:rFonts w:hint="eastAsia" w:ascii="宋体" w:hAnsi="宋体" w:cs="宋体"/>
                <w:color w:val="auto"/>
                <w:sz w:val="24"/>
                <w:szCs w:val="24"/>
                <w:highlight w:val="none"/>
              </w:rPr>
              <w:t xml:space="preserve">合或合格；</w:t>
            </w:r>
            <w:r>
              <w:rPr>
                <w:rFonts w:hint="eastAsia" w:ascii="宋体" w:hAnsi="宋体" w:cs="宋体"/>
                <w:color w:val="auto"/>
                <w:sz w:val="24"/>
                <w:szCs w:val="24"/>
                <w:highlight w:val="none"/>
                <w:lang w:bidi="ar"/>
              </w:rPr>
              <w:t xml:space="preserve">⑥</w:t>
            </w:r>
            <w:r>
              <w:rPr>
                <w:rFonts w:hint="eastAsia" w:ascii="宋体" w:hAnsi="宋体" w:cs="宋体"/>
                <w:color w:val="auto"/>
                <w:sz w:val="24"/>
                <w:szCs w:val="24"/>
                <w:highlight w:val="none"/>
              </w:rPr>
              <w:t xml:space="preserve">抗菌性能≥99%。</w:t>
            </w:r>
            <w:r/>
          </w:p>
          <w:p>
            <w:pPr>
              <w:numPr>
                <w:ilvl w:val="0"/>
                <w:numId w:val="5"/>
              </w:num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办公椅</w:t>
            </w:r>
            <w:r/>
          </w:p>
          <w:p>
            <w:pPr>
              <w:ind w:firstLine="24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检验检测依据至少符合QB/T 2280-2016《办公家具 办公椅》、GB/T 35607-2024《绿色产品评价家具》、QB/T 4371-2012《家具抗菌性能的评价》；</w:t>
            </w:r>
            <w:r/>
          </w:p>
          <w:p>
            <w:pPr>
              <w:ind w:firstLine="24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检测内容至少包含：①</w:t>
            </w:r>
            <w:r>
              <w:rPr>
                <w:rFonts w:hint="eastAsia" w:ascii="宋体" w:hAnsi="宋体" w:cs="宋体"/>
                <w:color w:val="auto"/>
                <w:sz w:val="24"/>
                <w:szCs w:val="24"/>
                <w:highlight w:val="none"/>
              </w:rPr>
              <w:t xml:space="preserve">力学性能（座面冲击、座面、椅背静载荷、扶手垂直向下静载荷、扶手水平静载荷、座面、椅背耐久性、椅背往复耐久性）</w:t>
            </w:r>
            <w:r>
              <w:rPr>
                <w:rFonts w:hint="eastAsia" w:ascii="宋体" w:hAnsi="宋体" w:cs="宋体"/>
                <w:color w:val="auto"/>
                <w:spacing w:val="-2"/>
                <w:sz w:val="24"/>
                <w:szCs w:val="24"/>
                <w:highlight w:val="none"/>
              </w:rPr>
              <w:t xml:space="preserve">检测结果为符合或合格</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bidi="ar"/>
              </w:rPr>
              <w:t xml:space="preserve">②安全性，</w:t>
            </w:r>
            <w:r>
              <w:rPr>
                <w:rFonts w:hint="eastAsia" w:ascii="宋体" w:hAnsi="宋体" w:cs="宋体"/>
                <w:color w:val="auto"/>
                <w:spacing w:val="-2"/>
                <w:sz w:val="24"/>
                <w:szCs w:val="24"/>
                <w:highlight w:val="none"/>
              </w:rPr>
              <w:t xml:space="preserve">检测结果为符合或合格</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bidi="ar"/>
              </w:rPr>
              <w:t xml:space="preserve">③</w:t>
            </w:r>
            <w:r>
              <w:rPr>
                <w:rFonts w:hint="eastAsia" w:ascii="宋体" w:hAnsi="宋体" w:cs="宋体"/>
                <w:color w:val="auto"/>
                <w:sz w:val="24"/>
                <w:szCs w:val="24"/>
                <w:highlight w:val="none"/>
              </w:rPr>
              <w:t xml:space="preserve">有害物质（甲醛释放量、苯、甲苯、二甲苯、总挥发性有机化合物、家具涂层可迁移元素）未检出；</w:t>
            </w:r>
            <w:r>
              <w:rPr>
                <w:rFonts w:hint="eastAsia" w:ascii="宋体" w:hAnsi="宋体" w:cs="宋体"/>
                <w:color w:val="auto"/>
                <w:sz w:val="24"/>
                <w:szCs w:val="24"/>
                <w:highlight w:val="none"/>
                <w:lang w:bidi="ar"/>
              </w:rPr>
              <w:t xml:space="preserve">④</w:t>
            </w:r>
            <w:r>
              <w:rPr>
                <w:rFonts w:hint="eastAsia" w:ascii="宋体" w:hAnsi="宋体" w:cs="宋体"/>
                <w:color w:val="auto"/>
                <w:sz w:val="24"/>
                <w:szCs w:val="24"/>
                <w:highlight w:val="none"/>
              </w:rPr>
              <w:t xml:space="preserve">抗菌性能≥99%。</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以上每个检测报告内容提供齐全的得1分，本项最高得4分，其他不得分。（上传报告扫描件至投标系统）</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客观分</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样品1</w:t>
            </w:r>
            <w:r/>
          </w:p>
        </w:tc>
        <w:tc>
          <w:tcPr>
            <w:shd w:val="clear" w:color="auto" w:fill="auto"/>
            <w:tcW w:w="5602"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评委根据投标人提供的样品（课桌椅一套）从整体外观工艺、材质质感、制作工艺、安全细节及整体完成度综合评分：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样品塑料件平整度、光泽度优良，边缘处理精细，无色差、无杂质、无异味；金属件漆膜平整顺滑，连接、焊接工艺精致无瑕疵；产品无锐利棱角，部件配合严密、结构稳定、功能齐全，整体工艺质感优异；得3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样品整体结构、安全性能、使用功能符合采购基本要求，无结构性、安全性及功能性缺陷；仅塑料件存在轻微划痕、细微污渍、边角打磨一般，或金属件存在漆面轻微质感不均、焊接连接处细微瑕疵等轻微工艺问题，整体质量合格；得1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样品塑料件存在工艺粗糙、明显色差、杂质、刺鼻异味、边角处理恶劣等缺陷；金属件存在漆面破损、漆膜脱落、焊接粗糙、连接松动等明显问题；或产品存在锐利棱角未处理、结构松动、功能缺失、样品不全等情况的；得0分。</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主观分</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2.6</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样品2</w:t>
            </w:r>
            <w:r/>
          </w:p>
        </w:tc>
        <w:tc>
          <w:tcPr>
            <w:shd w:val="clear" w:color="auto" w:fill="auto"/>
            <w:tcW w:w="5602"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评委根据投标人提供的样品（礼堂椅2一位）从整体外观工艺、强度、舒适性综合评审综合评分：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1、样品表面光滑，螺丝连接紧密，工艺精湛；结构稳固、承重性强；样品坐感舒适、椅背贴合人体曲线、各调节部位灵活无卡顿；得3分。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2、样品表面较光滑，螺丝连接较紧密，工艺较精湛；结构较稳固、承重较强；样品坐感较舒适、椅背较贴合人体曲线、各调节部位较灵活且无卡顿；得1分。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3、样品表面不光滑，螺丝连接不紧密、工艺处理欠缺；结构稳固差、承重差；坐感不舒适、椅背不贴合人体曲线、各调节部位不灵活有卡顿；样品不全等情况的；得0分。</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主观分</w:t>
            </w:r>
            <w:r/>
          </w:p>
        </w:tc>
      </w:tr>
      <w:tr>
        <w:trPr/>
        <w:tc>
          <w:tcPr>
            <w:gridSpan w:val="5"/>
            <w:shd w:val="clear" w:color="auto" w:fill="auto"/>
            <w:tcW w:w="9854"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3.服务</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3.1</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实施方案</w:t>
            </w:r>
            <w:r/>
          </w:p>
        </w:tc>
        <w:tc>
          <w:tcPr>
            <w:shd w:val="clear" w:color="auto" w:fill="auto"/>
            <w:tcW w:w="5602"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评委根据投标人提供的项目实施方案综合评分，</w:t>
            </w:r>
            <w:r>
              <w:rPr>
                <w:rFonts w:hint="eastAsia" w:ascii="宋体" w:hAnsi="宋体" w:cs="宋体"/>
                <w:color w:val="auto"/>
                <w:sz w:val="24"/>
                <w:szCs w:val="24"/>
                <w:highlight w:val="none"/>
                <w:lang w:val="zh-CN"/>
              </w:rPr>
              <w:t xml:space="preserve">包括</w:t>
            </w:r>
            <w:r>
              <w:rPr>
                <w:rFonts w:hint="eastAsia" w:ascii="宋体" w:hAnsi="宋体" w:cs="宋体"/>
                <w:color w:val="auto"/>
                <w:sz w:val="24"/>
                <w:szCs w:val="24"/>
                <w:highlight w:val="none"/>
              </w:rPr>
              <w:t xml:space="preserve">但不限于：1.实施目标及实施组织架构；2.供货进度保证措施；3.协调配合措施；4.文明施工及应急措施。（每项内容逐条阐述）</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(1)上述每项内容完整、科学性、合理性、操作性强的，得1分；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(2)上述每项内容基本完整、基本科学合理，有可操作性的，得0.5分；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(3)上述每项内容不完整、不科学合理、不具可操作性或未提供的不得分。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本项最多得4分，未提供不得分。</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主观分</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3.2</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售后服务方案</w:t>
            </w:r>
            <w:r/>
          </w:p>
        </w:tc>
        <w:tc>
          <w:tcPr>
            <w:shd w:val="clear" w:color="auto" w:fill="auto"/>
            <w:tcW w:w="5602"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评委根据投标人提供的项目售后服务方案综合评分，</w:t>
            </w:r>
            <w:r>
              <w:rPr>
                <w:rFonts w:hint="eastAsia" w:ascii="宋体" w:hAnsi="宋体" w:cs="宋体"/>
                <w:color w:val="auto"/>
                <w:sz w:val="24"/>
                <w:szCs w:val="24"/>
                <w:highlight w:val="none"/>
                <w:lang w:val="zh-CN"/>
              </w:rPr>
              <w:t xml:space="preserve">包括</w:t>
            </w:r>
            <w:r>
              <w:rPr>
                <w:rFonts w:hint="eastAsia" w:ascii="宋体" w:hAnsi="宋体" w:cs="宋体"/>
                <w:color w:val="auto"/>
                <w:sz w:val="24"/>
                <w:szCs w:val="24"/>
                <w:highlight w:val="none"/>
              </w:rPr>
              <w:t xml:space="preserve">但不限于：1.服务内容；2.故障解决方案；3.日常维护保障及培训方案；4.技术人员保障服务电话。（每项内容逐条阐述）</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(1)上述每项内容完整、科学性、合理性、操作性强的，得1分；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(2)上述每项内容基本完整、基本科学合理，有可操作性的，得0.5分；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(3)上述每项内容不完整、不科学合理、不具可操作性或未提供的不得分。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本项最多得4分，未提供不得分。</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主观分</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3.3</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质量控制方案</w:t>
            </w:r>
            <w:r/>
          </w:p>
        </w:tc>
        <w:tc>
          <w:tcPr>
            <w:shd w:val="clear" w:color="auto" w:fill="auto"/>
            <w:tcW w:w="5602"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评委根据投标人提供的质量控制方案综合评分，</w:t>
            </w:r>
            <w:r>
              <w:rPr>
                <w:rFonts w:hint="eastAsia" w:ascii="宋体" w:hAnsi="宋体" w:cs="宋体"/>
                <w:color w:val="auto"/>
                <w:sz w:val="24"/>
                <w:szCs w:val="24"/>
                <w:highlight w:val="none"/>
                <w:lang w:val="zh-CN"/>
              </w:rPr>
              <w:t xml:space="preserve">包括</w:t>
            </w:r>
            <w:r>
              <w:rPr>
                <w:rFonts w:hint="eastAsia" w:ascii="宋体" w:hAnsi="宋体" w:cs="宋体"/>
                <w:color w:val="auto"/>
                <w:sz w:val="24"/>
                <w:szCs w:val="24"/>
                <w:highlight w:val="none"/>
              </w:rPr>
              <w:t xml:space="preserve">但不限于：1.生产工艺；2.生产流程；3.质量检测；4.验收方案。（每项内容逐条阐述）</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(1)上述每项内容完整、科学性、合理性、操作性强的，得1分；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(2)上述每项内容基本完整、基本科学合理，有可操作性的，得0.5分；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(3)上述每项内容不完整、不科学合理、不具可操作性或未提供的不得分。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 xml:space="preserve">本项最多得4分，未提供不得分。</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主观分</w:t>
            </w:r>
            <w:r/>
          </w:p>
        </w:tc>
      </w:tr>
      <w:tr>
        <w:trPr/>
        <w:tc>
          <w:tcPr>
            <w:gridSpan w:val="5"/>
            <w:shd w:val="clear" w:color="auto" w:fill="auto"/>
            <w:tcW w:w="9854"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4.业绩</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4.1</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投标人业绩</w:t>
            </w:r>
            <w:r/>
          </w:p>
        </w:tc>
        <w:tc>
          <w:tcPr>
            <w:shd w:val="clear" w:color="auto" w:fill="auto"/>
            <w:tcW w:w="5602"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投标人提供2023年1月1日（含）以来（时间以合同签订时间为准）类似项目业绩（合同清单至少包含核心产品和主要产品），每提供1个得2分，最多得6分。（提供加盖采购人公章的有效合同、验收材料，合同页须清晰可见相应内容）。</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注:(1)以上合同清单产品名称应进行明显标注，采用如箭头、标红或下划线等标注方式，方便评委查看。(2)允许提供的产品名称与评分标准给定名称有差别，但不能改变产品实质性内容(功能)，如提供的产品名称不一致，须提供产品内容(功能)说明及包含的关键信息，相应内容(功能)应符合采购需求，否则不得分。</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客观分</w:t>
            </w:r>
            <w:r/>
          </w:p>
        </w:tc>
      </w:tr>
      <w:tr>
        <w:trPr/>
        <w:tc>
          <w:tcPr>
            <w:gridSpan w:val="5"/>
            <w:shd w:val="clear" w:color="auto" w:fill="auto"/>
            <w:tcW w:w="9854" w:type="dxa"/>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5.履约能力</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5.1</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履约能力1</w:t>
            </w:r>
            <w:r/>
          </w:p>
        </w:tc>
        <w:tc>
          <w:tcPr>
            <w:shd w:val="clear" w:color="auto" w:fill="auto"/>
            <w:tcW w:w="560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投标人或所投产品制造商具有有效期内的绿色供应链认证证书，（认证范围包含核心产品和主要产品），提供齐全的得2分。</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备注：所提供证书“认证范围”与评标标准给定名称不同时，应提供符合上述要求的内容（功能）说明及关键信息，否则不予认可。</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客观分</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5.2</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履约能力2</w:t>
            </w:r>
            <w:r/>
          </w:p>
        </w:tc>
        <w:tc>
          <w:tcPr>
            <w:shd w:val="clear" w:color="auto" w:fill="auto"/>
            <w:tcW w:w="560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投标人或所投产品制造商具有有效期内的家具产品总挥发性有机化合物限量产品认证证书，（认证范围包含核心产品和主要产品），提供齐全的得2分。</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备注：所提供证书“认证范围”与评标标准给定名称不同时，应提供符合上述要求的内容（功能）说明及关键信息，否则不予认可。</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客观分</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5.3</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履约能力3</w:t>
            </w:r>
            <w:r/>
          </w:p>
        </w:tc>
        <w:tc>
          <w:tcPr>
            <w:shd w:val="clear" w:color="auto" w:fill="auto"/>
            <w:tcW w:w="560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投标人或所投产品制造商具有有效期内的家具防火阻燃产品认证证书，（认证范围包含核心产品和主要产品），提供齐全的得2分。</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备注：所提供证书“认证范围”与评标标准给定名称不同时，应提供符合上述要求的内容（功能）说明及关键信息，否则不予认可。</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客观分</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5.4</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履约能力4</w:t>
            </w:r>
            <w:r/>
          </w:p>
        </w:tc>
        <w:tc>
          <w:tcPr>
            <w:shd w:val="clear" w:color="auto" w:fill="auto"/>
            <w:tcW w:w="560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投标人或所投产品制造商具有有效期内的家具中有害物质限量认证证书（认证范围包含核心产品和主要产品），提供齐全的得2分。</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备注：所提供证书“认证范围”与评标标准给定名称不同时，应提供符合上述要求的内容（功能）说明及关键信息，否则不予认可。</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客观分</w:t>
            </w:r>
            <w:r/>
          </w:p>
        </w:tc>
      </w:tr>
      <w:tr>
        <w:trPr/>
        <w:tc>
          <w:tcPr>
            <w:gridSpan w:val="5"/>
            <w:shd w:val="clear" w:color="auto" w:fill="auto"/>
            <w:tcW w:w="9854"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6.节能环保</w:t>
            </w:r>
            <w:r/>
          </w:p>
        </w:tc>
      </w:tr>
      <w:tr>
        <w:trPr/>
        <w:tc>
          <w:tcPr>
            <w:shd w:val="clear" w:color="auto" w:fill="auto"/>
            <w:tcW w:w="94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6.1</w:t>
            </w:r>
            <w:r/>
          </w:p>
        </w:tc>
        <w:tc>
          <w:tcPr>
            <w:shd w:val="clear" w:color="auto" w:fill="auto"/>
            <w:tcW w:w="128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节能环保</w:t>
            </w:r>
            <w:r/>
          </w:p>
        </w:tc>
        <w:tc>
          <w:tcPr>
            <w:shd w:val="clear" w:color="auto" w:fill="auto"/>
            <w:tcW w:w="5602"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1.投标产品属于财政部、国家发改委公布的“节能产品品目清单”范围内的，投标人提供国家确定的认证机构出具的、处于有效期之内的该节能产品认证证书的，有1个得0.5分，最多得1分。</w:t>
            </w:r>
            <w:r>
              <w:rPr>
                <w:rFonts w:hint="eastAsia" w:ascii="宋体" w:hAnsi="宋体" w:cs="宋体"/>
                <w:color w:val="auto"/>
                <w:sz w:val="24"/>
                <w:szCs w:val="24"/>
                <w:highlight w:val="none"/>
                <w:lang w:bidi="ar"/>
              </w:rPr>
              <w:br/>
            </w:r>
            <w:r>
              <w:rPr>
                <w:rFonts w:hint="eastAsia" w:ascii="宋体" w:hAnsi="宋体" w:cs="宋体"/>
                <w:color w:val="auto"/>
                <w:sz w:val="24"/>
                <w:szCs w:val="24"/>
                <w:highlight w:val="none"/>
                <w:lang w:bidi="ar"/>
              </w:rPr>
              <w:t xml:space="preserve">2.投标产品属于财政部、生态环境部公布的“环境标志产品品目清单”范围内的，投标人提供国家确定的认证机构出具的、处于有效期内的该环保产品认证证书的，有1个得0.5分，最多得1分。</w:t>
            </w:r>
            <w:r/>
          </w:p>
        </w:tc>
        <w:tc>
          <w:tcPr>
            <w:shd w:val="clear" w:color="auto" w:fill="auto"/>
            <w:tcW w:w="97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shd w:val="clear" w:color="auto" w:fill="auto"/>
            <w:tcW w:w="104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客观分</w:t>
            </w:r>
            <w:r/>
          </w:p>
        </w:tc>
      </w:tr>
      <w:tr>
        <w:trPr/>
        <w:tc>
          <w:tcPr>
            <w:shd w:val="clear" w:color="auto" w:fill="auto"/>
            <w:tcW w:w="946"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合计</w:t>
            </w:r>
            <w:r/>
          </w:p>
        </w:tc>
        <w:tc>
          <w:tcPr>
            <w:shd w:val="clear" w:color="auto" w:fill="auto"/>
            <w:tcW w:w="1283"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5602"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auto" w:fill="auto"/>
            <w:tcW w:w="975"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100分</w:t>
            </w:r>
            <w:r/>
          </w:p>
        </w:tc>
        <w:tc>
          <w:tcPr>
            <w:shd w:val="clear" w:color="auto" w:fill="auto"/>
            <w:tcW w:w="1048"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line="288"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附件：</w:t>
      </w:r>
      <w:r/>
    </w:p>
    <w:p>
      <w:pPr>
        <w:numPr>
          <w:ilvl w:val="0"/>
          <w:numId w:val="6"/>
        </w:num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现场图纸及参考图片见附件（图片款式仅</w:t>
      </w:r>
      <w:r>
        <w:rPr>
          <w:rFonts w:hint="eastAsia" w:ascii="宋体" w:hAnsi="宋体" w:cs="宋体"/>
          <w:color w:val="auto"/>
          <w:sz w:val="24"/>
          <w:szCs w:val="24"/>
          <w:highlight w:val="none"/>
          <w:lang w:eastAsia="zh-CN"/>
        </w:rPr>
        <w:t xml:space="preserve">做</w:t>
      </w:r>
      <w:r>
        <w:rPr>
          <w:rFonts w:hint="eastAsia" w:ascii="宋体" w:hAnsi="宋体" w:cs="宋体"/>
          <w:color w:val="auto"/>
          <w:sz w:val="24"/>
          <w:szCs w:val="24"/>
          <w:highlight w:val="none"/>
        </w:rPr>
        <w:t xml:space="preserve">参考，供应商应按照产品技术要求中的规格、材质和工艺生产，定制家具需按照采购人实际场地尺寸或确定的方案进行加工，供应商在投标时要考虑这一因素）</w:t>
      </w:r>
      <w:r/>
    </w:p>
    <w:p>
      <w:pPr>
        <w:pStyle w:val="669"/>
        <w:rPr>
          <w:color w:val="auto"/>
          <w:highlight w:val="none"/>
        </w:rPr>
      </w:pPr>
      <w:r>
        <w:rPr>
          <w:color w:val="auto"/>
          <w:highlight w:val="none"/>
        </w:rPr>
      </w:r>
      <w:r/>
    </w:p>
    <w:p>
      <w:pPr>
        <w:pStyle w:val="669"/>
        <w:ind w:left="0"/>
        <w:rPr>
          <w:color w:val="auto"/>
          <w:highlight w:val="none"/>
        </w:rPr>
      </w:pPr>
      <w:r>
        <w:rPr>
          <w:color w:val="auto"/>
          <w:highlight w:val="none"/>
        </w:rPr>
      </w:r>
      <w:r/>
    </w:p>
    <w:p>
      <w:pPr>
        <w:pStyle w:val="669"/>
        <w:ind w:left="0"/>
        <w:rPr>
          <w:rFonts w:hint="eastAsia" w:eastAsia="宋体"/>
          <w:color w:val="auto"/>
          <w:highlight w:val="none"/>
          <w:lang w:eastAsia="zh-CN"/>
        </w:rPr>
      </w:pPr>
      <w:r>
        <w:rPr>
          <w:rFonts w:hint="eastAsia" w:eastAsia="宋体"/>
          <w:color w:val="auto"/>
          <w:highlight w:val="none"/>
          <w:lang w:eastAsia="zh-CN"/>
        </w:rPr>
      </w:r>
      <w:r/>
    </w:p>
    <w:p>
      <w:pPr>
        <w:pStyle w:val="658"/>
        <w:rPr>
          <w:rFonts w:hint="eastAsia" w:eastAsia="宋体"/>
          <w:color w:val="auto"/>
          <w:highlight w:val="none"/>
        </w:rPr>
      </w:pPr>
      <w:r/>
      <w:bookmarkStart w:id="225" w:name="_Toc21735"/>
      <w:r/>
      <w:bookmarkStart w:id="226" w:name="_Toc19260"/>
      <w:r>
        <w:rPr>
          <w:rFonts w:hint="eastAsia" w:eastAsia="宋体"/>
          <w:color w:val="auto"/>
          <w:highlight w:val="none"/>
        </w:rPr>
        <w:t xml:space="preserve">第六章  投标</w:t>
      </w:r>
      <w:bookmarkEnd w:id="218"/>
      <w:r/>
      <w:bookmarkEnd w:id="219"/>
      <w:r/>
      <w:bookmarkEnd w:id="223"/>
      <w:r>
        <w:rPr>
          <w:rFonts w:hint="eastAsia" w:eastAsia="宋体"/>
          <w:color w:val="auto"/>
          <w:highlight w:val="none"/>
        </w:rPr>
        <w:t xml:space="preserve">文件格式</w:t>
      </w:r>
      <w:bookmarkEnd w:id="225"/>
      <w:r/>
      <w:bookmarkEnd w:id="226"/>
      <w:r>
        <w:rPr>
          <w:rFonts w:hint="eastAsia" w:eastAsia="宋体"/>
          <w:color w:val="auto"/>
          <w:highlight w:val="none"/>
        </w:rPr>
        <w:t xml:space="preserve"> </w:t>
      </w:r>
      <w:r/>
    </w:p>
    <w:p>
      <w:pPr>
        <w:jc w:val="center"/>
        <w:rPr>
          <w:rFonts w:ascii="宋体" w:hAnsi="宋体"/>
          <w:b/>
          <w:color w:val="auto"/>
          <w:sz w:val="72"/>
          <w:szCs w:val="21"/>
          <w:highlight w:val="none"/>
        </w:rPr>
      </w:pPr>
      <w:r/>
      <w:bookmarkStart w:id="227" w:name="_Hlt26671244"/>
      <w:r/>
      <w:bookmarkEnd w:id="227"/>
      <w:r/>
      <w:bookmarkStart w:id="228" w:name="_Hlt26955039"/>
      <w:r/>
      <w:bookmarkEnd w:id="228"/>
      <w:r/>
      <w:bookmarkStart w:id="229" w:name="_Toc26554094"/>
      <w:r/>
      <w:bookmarkStart w:id="230" w:name="_Toc120614282"/>
      <w:r/>
      <w:bookmarkStart w:id="231" w:name="_Toc49090576"/>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4"/>
        <w:rPr>
          <w:rFonts w:ascii="宋体" w:hAnsi="宋体"/>
          <w:b/>
          <w:color w:val="auto"/>
          <w:sz w:val="36"/>
          <w:szCs w:val="21"/>
          <w:highlight w:val="none"/>
        </w:rPr>
      </w:pPr>
      <w:r>
        <w:rPr>
          <w:rFonts w:hint="eastAsia" w:ascii="宋体" w:hAnsi="宋体"/>
          <w:b/>
          <w:color w:val="auto"/>
          <w:sz w:val="36"/>
          <w:szCs w:val="21"/>
          <w:highlight w:val="none"/>
        </w:rPr>
        <w:t xml:space="preserve">项 目 名 称：</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（加盖电子公章）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ascii="方正黑体_GBK" w:hAnsi="方正黑体_GBK" w:eastAsia="方正黑体_GBK" w:cs="方正黑体_GBK"/>
          <w:color w:val="auto"/>
          <w:sz w:val="32"/>
          <w:szCs w:val="32"/>
          <w:highlight w:val="none"/>
        </w:rPr>
      </w:pPr>
      <w:r>
        <w:rPr>
          <w:rFonts w:ascii="宋体" w:hAnsi="宋体"/>
          <w:b/>
          <w:color w:val="auto"/>
          <w:sz w:val="36"/>
          <w:szCs w:val="21"/>
          <w:highlight w:val="none"/>
          <w:u w:val="single"/>
        </w:rPr>
        <w:br w:type="page" w:clear="all"/>
      </w:r>
      <w:r>
        <w:rPr>
          <w:rFonts w:hint="eastAsia" w:ascii="方正黑体_GBK" w:hAnsi="方正黑体_GBK" w:eastAsia="方正黑体_GBK" w:cs="方正黑体_GBK"/>
          <w:color w:val="auto"/>
          <w:sz w:val="32"/>
          <w:szCs w:val="32"/>
          <w:highlight w:val="none"/>
        </w:rPr>
        <w:t xml:space="preserve">投标文件目录</w:t>
      </w:r>
      <w:bookmarkEnd w:id="229"/>
      <w:r/>
      <w:bookmarkEnd w:id="230"/>
      <w:r/>
      <w:bookmarkEnd w:id="231"/>
      <w:r/>
      <w:r/>
    </w:p>
    <w:p>
      <w:pPr>
        <w:ind w:firstLine="560"/>
        <w:spacing w:line="600" w:lineRule="exact"/>
        <w:rPr>
          <w:rFonts w:ascii="宋体" w:hAnsi="宋体" w:cs="宋体"/>
          <w:color w:val="auto"/>
          <w:sz w:val="28"/>
          <w:szCs w:val="28"/>
          <w:highlight w:val="none"/>
        </w:rPr>
      </w:pPr>
      <w:r/>
      <w:bookmarkStart w:id="232" w:name="_Toc120614284"/>
      <w:r>
        <w:rPr>
          <w:rFonts w:hint="eastAsia" w:ascii="宋体" w:hAnsi="宋体" w:cs="宋体"/>
          <w:color w:val="auto"/>
          <w:sz w:val="28"/>
          <w:szCs w:val="28"/>
          <w:highlight w:val="none"/>
        </w:rPr>
        <w:t xml:space="preserve">一、供应商信用承诺函</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四、投标函</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六、核心产品品牌一览表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七、投标分项报价表（如有）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九、商务要求响应及偏离表</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十、中小企业声明函（如有）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十一、残疾人福利性单位声明函（如有）</w:t>
      </w:r>
      <w:r/>
    </w:p>
    <w:p>
      <w:pPr>
        <w:ind w:firstLine="560"/>
        <w:spacing w:line="6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十二、联合体协议（如有）</w:t>
      </w:r>
      <w:r/>
    </w:p>
    <w:p>
      <w:pPr>
        <w:ind w:firstLine="560"/>
        <w:spacing w:line="6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669"/>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950"/>
        <w:rPr>
          <w:color w:val="auto"/>
          <w:sz w:val="24"/>
          <w:highlight w:val="none"/>
        </w:rPr>
      </w:pPr>
      <w:r>
        <w:rPr>
          <w:color w:val="auto"/>
          <w:sz w:val="24"/>
          <w:highlight w:val="none"/>
        </w:rPr>
      </w:r>
      <w:r/>
    </w:p>
    <w:p>
      <w:pPr>
        <w:pStyle w:val="950"/>
        <w:rPr>
          <w:color w:val="auto"/>
          <w:sz w:val="24"/>
          <w:highlight w:val="none"/>
        </w:rPr>
      </w:pPr>
      <w:r>
        <w:rPr>
          <w:color w:val="auto"/>
          <w:sz w:val="24"/>
          <w:highlight w:val="none"/>
        </w:rPr>
      </w:r>
      <w:r/>
    </w:p>
    <w:p>
      <w:pPr>
        <w:pStyle w:val="950"/>
        <w:rPr>
          <w:color w:val="auto"/>
          <w:sz w:val="24"/>
          <w:highlight w:val="none"/>
        </w:rPr>
      </w:pPr>
      <w:r>
        <w:rPr>
          <w:color w:val="auto"/>
          <w:sz w:val="24"/>
          <w:highlight w:val="none"/>
        </w:rPr>
      </w:r>
      <w:r/>
    </w:p>
    <w:p>
      <w:pPr>
        <w:pStyle w:val="950"/>
        <w:rPr>
          <w:color w:val="auto"/>
          <w:sz w:val="24"/>
          <w:highlight w:val="none"/>
        </w:rPr>
      </w:pPr>
      <w:r>
        <w:rPr>
          <w:color w:val="auto"/>
          <w:sz w:val="24"/>
          <w:highlight w:val="non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spacing w:line="360" w:lineRule="auto"/>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一、供应商信用承诺函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bookmarkStart w:id="233" w:name="_Toc21907"/>
      <w:r/>
      <w:bookmarkStart w:id="234" w:name="_Toc18931"/>
      <w:r>
        <w:rPr>
          <w:rFonts w:hint="eastAsia" w:ascii="方正小标宋简体" w:hAnsi="方正小标宋简体" w:eastAsia="方正小标宋简体" w:cs="方正小标宋简体"/>
          <w:color w:val="auto"/>
          <w:sz w:val="32"/>
          <w:szCs w:val="32"/>
          <w:highlight w:val="none"/>
        </w:rPr>
        <w:t xml:space="preserve">供应商信用承诺函</w:t>
      </w:r>
      <w:bookmarkEnd w:id="233"/>
      <w:r/>
      <w:bookmarkEnd w:id="234"/>
      <w:r/>
      <w:r/>
    </w:p>
    <w:p>
      <w:pPr>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南京市公共资源交易中心浦口分中心：</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我公司（供应商名称）郑重承诺：</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我公司符合下列要求：</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如果我公司中标，将在中标结果公示后七个工作日内向采购人提供下列材料核验：</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color w:val="auto"/>
          <w:sz w:val="24"/>
          <w:szCs w:val="24"/>
          <w:highlight w:val="none"/>
        </w:rPr>
      </w:pPr>
      <w:r>
        <w:rPr>
          <w:rFonts w:hint="eastAsia"/>
          <w:color w:val="auto"/>
          <w:sz w:val="24"/>
          <w:szCs w:val="24"/>
          <w:highlight w:val="none"/>
        </w:rPr>
        <w:t xml:space="preserve">本公司对上述承诺内容的真实性、合法性、有效性负责，如有虚假，将依法承担相应责任。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51"/>
        <w:rPr>
          <w:color w:val="auto"/>
          <w:sz w:val="24"/>
          <w:szCs w:val="24"/>
          <w:highlight w:val="none"/>
        </w:rPr>
      </w:pPr>
      <w:r>
        <w:rPr>
          <w:color w:val="auto"/>
          <w:sz w:val="24"/>
          <w:szCs w:val="24"/>
          <w:highlight w:val="none"/>
        </w:rPr>
      </w:r>
      <w:r/>
    </w:p>
    <w:p>
      <w:pPr>
        <w:ind w:right="180" w:firstLine="360"/>
        <w:jc w:val="right"/>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p>
    <w:p>
      <w:pPr>
        <w:ind w:firstLine="6240"/>
        <w:spacing w:line="560" w:lineRule="exact"/>
        <w:rPr>
          <w:rFonts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913"/>
        <w:rPr>
          <w:color w:val="auto"/>
          <w:highlight w:val="none"/>
        </w:rPr>
      </w:pPr>
      <w:r>
        <w:rPr>
          <w:color w:val="auto"/>
          <w:highlight w:val="none"/>
        </w:rPr>
      </w:r>
      <w:r/>
    </w:p>
    <w:p>
      <w:pPr>
        <w:rPr>
          <w:color w:val="auto"/>
          <w:highlight w:val="none"/>
        </w:rPr>
      </w:pPr>
      <w:r>
        <w:rPr>
          <w:color w:val="auto"/>
          <w:highlight w:val="none"/>
        </w:rPr>
      </w:r>
      <w:r/>
    </w:p>
    <w:p>
      <w:pPr>
        <w:rPr>
          <w:rFonts w:ascii="黑体" w:hAnsi="黑体" w:eastAsia="黑体"/>
          <w:color w:val="auto"/>
          <w:sz w:val="32"/>
          <w:szCs w:val="32"/>
          <w:highlight w:val="none"/>
        </w:rPr>
      </w:pPr>
      <w:r>
        <w:rPr>
          <w:rFonts w:ascii="黑体" w:hAnsi="黑体" w:eastAsia="黑体"/>
          <w:color w:val="auto"/>
          <w:sz w:val="32"/>
          <w:szCs w:val="32"/>
          <w:highlight w:val="none"/>
        </w:rPr>
      </w:r>
      <w:r/>
    </w:p>
    <w:p>
      <w:pPr>
        <w:rPr>
          <w:rFonts w:ascii="黑体" w:hAnsi="黑体" w:eastAsia="黑体"/>
          <w:i/>
          <w:color w:val="auto"/>
          <w:sz w:val="32"/>
          <w:szCs w:val="32"/>
          <w:highlight w:val="none"/>
          <w:u w:val="single"/>
        </w:rPr>
      </w:pPr>
      <w:r>
        <w:rPr>
          <w:rFonts w:hint="eastAsia" w:ascii="黑体" w:hAnsi="黑体" w:eastAsia="黑体"/>
          <w:color w:val="auto"/>
          <w:sz w:val="32"/>
          <w:szCs w:val="32"/>
          <w:highlight w:val="none"/>
        </w:rPr>
        <w:t xml:space="preserve">二、满足特定资格要求的证明文件</w:t>
      </w:r>
      <w:r/>
    </w:p>
    <w:p>
      <w:pPr>
        <w:pStyle w:val="922"/>
        <w:ind w:firstLine="480"/>
        <w:rPr>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672"/>
        <w:rPr>
          <w:color w:val="auto"/>
          <w:highlight w:val="none"/>
          <w:lang w:eastAsia="zh-CN"/>
        </w:rPr>
      </w:pPr>
      <w:r>
        <w:rPr>
          <w:color w:val="auto"/>
          <w:highlight w:val="none"/>
          <w:lang w:eastAsia="zh-CN"/>
        </w:rPr>
      </w:r>
      <w:r/>
    </w:p>
    <w:p>
      <w:pPr>
        <w:rPr>
          <w:color w:val="auto"/>
          <w:highlight w:val="none"/>
        </w:rPr>
      </w:pPr>
      <w:r>
        <w:rPr>
          <w:color w:val="auto"/>
          <w:highlight w:val="non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keepLines w:val="0"/>
        <w:keepNext w:val="0"/>
        <w:pageBreakBefore/>
        <w:spacing w:line="360" w:lineRule="auto"/>
        <w:widowControl w:val="off"/>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420" w:lineRule="exact"/>
        <w:rPr>
          <w:rFonts w:ascii="方正小标宋简体" w:hAnsi="方正小标宋简体" w:eastAsia="方正小标宋简体" w:cs="方正小标宋简体"/>
          <w:color w:val="auto"/>
          <w:sz w:val="32"/>
          <w:szCs w:val="32"/>
          <w:highlight w:val="none"/>
        </w:rPr>
        <w:outlineLvl w:val="0"/>
      </w:pPr>
      <w:r/>
      <w:bookmarkStart w:id="235" w:name="_Toc17515"/>
      <w:r/>
      <w:bookmarkStart w:id="236" w:name="_Toc5780"/>
      <w:r>
        <w:rPr>
          <w:rFonts w:hint="eastAsia" w:ascii="方正小标宋简体" w:hAnsi="方正小标宋简体" w:eastAsia="方正小标宋简体" w:cs="方正小标宋简体"/>
          <w:color w:val="auto"/>
          <w:sz w:val="32"/>
          <w:szCs w:val="32"/>
          <w:highlight w:val="none"/>
        </w:rPr>
        <w:t xml:space="preserve">法人授权书</w:t>
      </w:r>
      <w:bookmarkEnd w:id="235"/>
      <w:r/>
      <w:bookmarkEnd w:id="236"/>
      <w:r/>
      <w:r/>
    </w:p>
    <w:p>
      <w:pPr>
        <w:pStyle w:val="922"/>
        <w:ind w:firstLine="480"/>
        <w:spacing w:line="420" w:lineRule="exact"/>
        <w:rPr>
          <w:color w:val="auto"/>
          <w:sz w:val="24"/>
          <w:szCs w:val="24"/>
          <w:highlight w:val="none"/>
        </w:rPr>
      </w:pPr>
      <w:r>
        <w:rPr>
          <w:color w:val="auto"/>
          <w:sz w:val="24"/>
          <w:szCs w:val="24"/>
          <w:highlight w:val="none"/>
        </w:rPr>
      </w:r>
      <w:r/>
    </w:p>
    <w:p>
      <w:pPr>
        <w:pStyle w:val="922"/>
        <w:ind w:firstLine="480"/>
        <w:spacing w:line="480" w:lineRule="exact"/>
        <w:rPr>
          <w:color w:val="auto"/>
          <w:sz w:val="24"/>
          <w:szCs w:val="24"/>
          <w:highlight w:val="none"/>
        </w:rPr>
      </w:pPr>
      <w:r>
        <w:rPr>
          <w:rFonts w:hint="eastAsia"/>
          <w:color w:val="auto"/>
          <w:sz w:val="24"/>
          <w:szCs w:val="24"/>
          <w:highlight w:val="none"/>
        </w:rPr>
        <w:t xml:space="preserve">本授权书声明：（投标人名称）授权（被授权人姓名）作为我方参加编号为项目采购活动的合法代理人，以本单位名义全权处理一切与该项目采购有关的事务。</w:t>
      </w:r>
      <w:r/>
    </w:p>
    <w:p>
      <w:pPr>
        <w:pStyle w:val="922"/>
        <w:ind w:firstLine="480"/>
        <w:spacing w:line="480" w:lineRule="exact"/>
        <w:rPr>
          <w:color w:val="auto"/>
          <w:sz w:val="24"/>
          <w:szCs w:val="24"/>
          <w:highlight w:val="none"/>
        </w:rPr>
      </w:pPr>
      <w:r>
        <w:rPr>
          <w:rFonts w:hint="eastAsia"/>
          <w:color w:val="auto"/>
          <w:sz w:val="24"/>
          <w:szCs w:val="24"/>
          <w:highlight w:val="none"/>
        </w:rPr>
        <w:t xml:space="preserve">本授权书自______年____月____日起生效，特此声明。</w:t>
      </w:r>
      <w:r/>
    </w:p>
    <w:p>
      <w:pPr>
        <w:pStyle w:val="922"/>
        <w:ind w:firstLine="480"/>
        <w:spacing w:line="480" w:lineRule="exact"/>
        <w:rPr>
          <w:color w:val="auto"/>
          <w:sz w:val="24"/>
          <w:szCs w:val="24"/>
          <w:highlight w:val="none"/>
        </w:rPr>
      </w:pPr>
      <w:r>
        <w:rPr>
          <w:rFonts w:hint="eastAsia"/>
          <w:color w:val="auto"/>
          <w:sz w:val="24"/>
          <w:szCs w:val="24"/>
          <w:highlight w:val="none"/>
        </w:rPr>
        <w:t xml:space="preserve">被授权人身份证号码：</w:t>
      </w:r>
      <w:r/>
    </w:p>
    <w:p>
      <w:pPr>
        <w:pStyle w:val="922"/>
        <w:ind w:firstLine="480"/>
        <w:spacing w:line="480" w:lineRule="exact"/>
        <w:rPr>
          <w:color w:val="auto"/>
          <w:sz w:val="24"/>
          <w:szCs w:val="24"/>
          <w:highlight w:val="none"/>
          <w:u w:val="single"/>
        </w:rPr>
      </w:pPr>
      <w:r>
        <w:rPr>
          <w:rFonts w:hint="eastAsia"/>
          <w:color w:val="auto"/>
          <w:sz w:val="24"/>
          <w:szCs w:val="24"/>
          <w:highlight w:val="none"/>
        </w:rPr>
        <w:t xml:space="preserve">被授权人联系电话：（手机）</w:t>
      </w:r>
      <w:r/>
    </w:p>
    <w:p>
      <w:pPr>
        <w:pStyle w:val="922"/>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922"/>
        <w:ind w:firstLine="480"/>
        <w:spacing w:line="480" w:lineRule="exact"/>
        <w:rPr>
          <w:color w:val="auto"/>
          <w:sz w:val="24"/>
          <w:szCs w:val="24"/>
          <w:highlight w:val="none"/>
          <w:u w:val="single"/>
        </w:rPr>
      </w:pPr>
      <w:r>
        <w:rPr>
          <w:rFonts w:hint="eastAsia"/>
          <w:color w:val="auto"/>
          <w:sz w:val="24"/>
          <w:szCs w:val="24"/>
          <w:highlight w:val="none"/>
        </w:rPr>
        <w:t xml:space="preserve">单位地址：</w:t>
      </w:r>
      <w:r/>
    </w:p>
    <w:p>
      <w:pPr>
        <w:pStyle w:val="922"/>
        <w:ind w:firstLine="480"/>
        <w:spacing w:line="480" w:lineRule="exact"/>
        <w:rPr>
          <w:color w:val="auto"/>
          <w:sz w:val="24"/>
          <w:szCs w:val="24"/>
          <w:highlight w:val="none"/>
        </w:rPr>
      </w:pPr>
      <w:r>
        <w:rPr>
          <w:rFonts w:hint="eastAsia"/>
          <w:color w:val="auto"/>
          <w:sz w:val="24"/>
          <w:szCs w:val="24"/>
          <w:highlight w:val="none"/>
        </w:rPr>
        <w:t xml:space="preserve">日    期：</w:t>
      </w:r>
      <w:bookmarkStart w:id="237" w:name="_Hlt26955070"/>
      <w:r/>
      <w:bookmarkEnd w:id="237"/>
      <w:r/>
      <w:bookmarkStart w:id="238" w:name="_Hlt26671380"/>
      <w:r/>
      <w:bookmarkEnd w:id="238"/>
      <w:r/>
      <w:bookmarkStart w:id="239" w:name="_格式3__银行出具的资信证明"/>
      <w:r/>
      <w:bookmarkEnd w:id="239"/>
      <w:r/>
      <w:r/>
    </w:p>
    <w:p>
      <w:pPr>
        <w:pStyle w:val="675"/>
        <w:rPr>
          <w:i/>
          <w:color w:val="auto"/>
          <w:sz w:val="24"/>
          <w:szCs w:val="24"/>
          <w:highlight w:val="none"/>
          <w:u w:val="single"/>
        </w:rPr>
      </w:pPr>
      <w:r>
        <w:rPr>
          <w:i/>
          <w:color w:val="auto"/>
          <w:sz w:val="24"/>
          <w:szCs w:val="24"/>
          <w:highlight w:val="none"/>
          <w:u w:val="single"/>
        </w:rPr>
      </w:r>
      <w:r/>
    </w:p>
    <w:p>
      <w:pPr>
        <w:pStyle w:val="675"/>
        <w:ind w:firstLine="0"/>
        <w:rPr>
          <w:color w:val="auto"/>
          <w:highlight w:val="none"/>
        </w:rPr>
      </w:pPr>
      <w:r>
        <w:rPr>
          <w:color w:val="auto"/>
          <w:highlight w:val="none"/>
        </w:rPr>
      </w:r>
      <w:r/>
    </w:p>
    <w:p>
      <w:pPr>
        <w:spacing w:line="460" w:lineRule="exact"/>
        <w:rPr>
          <w:rFonts w:ascii="楷体" w:hAnsi="楷体" w:eastAsia="楷体"/>
          <w:bCs/>
          <w:color w:val="auto"/>
          <w:sz w:val="24"/>
          <w:szCs w:val="24"/>
          <w:highlight w:val="none"/>
        </w:rPr>
      </w:pPr>
      <w:r>
        <w:rPr>
          <w:rFonts w:ascii="楷体" w:hAnsi="楷体" w:eastAsia="楷体"/>
          <w:bCs/>
          <w:color w:val="auto"/>
          <w:sz w:val="24"/>
          <w:szCs w:val="24"/>
          <w:highlight w:val="none"/>
        </w:rPr>
      </w:r>
      <w:r/>
    </w:p>
    <w:p>
      <w:pPr>
        <w:pStyle w:val="669"/>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jc w:val="left"/>
        <w:keepLines w:val="0"/>
        <w:keepNext w:val="0"/>
        <w:pageBreakBefore/>
        <w:spacing w:line="360" w:lineRule="auto"/>
        <w:widowControl w:val="off"/>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四、投标函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bookmarkStart w:id="240" w:name="_Toc18623"/>
      <w:r/>
      <w:bookmarkStart w:id="241" w:name="_Toc23062"/>
      <w:r>
        <w:rPr>
          <w:rFonts w:hint="eastAsia" w:ascii="方正小标宋简体" w:hAnsi="方正小标宋简体" w:eastAsia="方正小标宋简体" w:cs="方正小标宋简体"/>
          <w:color w:val="auto"/>
          <w:sz w:val="32"/>
          <w:szCs w:val="32"/>
          <w:highlight w:val="none"/>
        </w:rPr>
        <w:t xml:space="preserve">投标函</w:t>
      </w:r>
      <w:bookmarkEnd w:id="240"/>
      <w:r/>
      <w:bookmarkEnd w:id="241"/>
      <w:r/>
      <w:r/>
    </w:p>
    <w:p>
      <w:pPr>
        <w:pStyle w:val="924"/>
        <w:spacing w:before="0" w:after="0" w:line="420" w:lineRule="exact"/>
        <w:rPr>
          <w:rFonts w:ascii="宋体" w:hAnsi="宋体"/>
          <w:color w:val="auto"/>
          <w:szCs w:val="21"/>
          <w:highlight w:val="none"/>
        </w:rPr>
      </w:pPr>
      <w:r>
        <w:rPr>
          <w:rFonts w:hint="eastAsia" w:ascii="宋体" w:hAnsi="宋体"/>
          <w:color w:val="auto"/>
          <w:szCs w:val="21"/>
          <w:highlight w:val="none"/>
        </w:rPr>
        <w:t xml:space="preserve">致：南京市公共资源交易中心浦口分中心</w:t>
      </w:r>
      <w:r/>
    </w:p>
    <w:p>
      <w:pPr>
        <w:pStyle w:val="924"/>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rPr>
        <w:t xml:space="preserve">的</w:t>
      </w:r>
      <w:r>
        <w:rPr>
          <w:rFonts w:hint="eastAsia" w:ascii="宋体" w:hAnsi="宋体"/>
          <w:color w:val="auto"/>
          <w:szCs w:val="21"/>
          <w:highlight w:val="none"/>
        </w:rPr>
        <w:t xml:space="preserve">项目招标文件，我方正式提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924"/>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1.按招标文件规定的各项要求，向买方提供所需货物（包含与货物相关的服务）。</w:t>
      </w:r>
      <w:r/>
    </w:p>
    <w:p>
      <w:pPr>
        <w:pStyle w:val="924"/>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24"/>
        <w:spacing w:before="0" w:after="0"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24"/>
        <w:spacing w:before="0" w:after="0"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24"/>
        <w:spacing w:before="0" w:after="0" w:line="42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24"/>
        <w:spacing w:before="0" w:after="0" w:line="42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924"/>
        <w:spacing w:before="0" w:after="0" w:line="420" w:lineRule="exact"/>
        <w:rPr>
          <w:rFonts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924"/>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924"/>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924"/>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电  话：</w:t>
      </w:r>
      <w:r/>
    </w:p>
    <w:p>
      <w:pPr>
        <w:pStyle w:val="924"/>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传  真：</w:t>
      </w:r>
      <w:r/>
    </w:p>
    <w:p>
      <w:pPr>
        <w:pStyle w:val="924"/>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开户行：</w:t>
      </w:r>
      <w:r/>
    </w:p>
    <w:p>
      <w:pPr>
        <w:pStyle w:val="924"/>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924"/>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ind w:firstLine="240"/>
        <w:jc w:val="center"/>
        <w:spacing w:line="560" w:lineRule="exact"/>
        <w:rPr>
          <w:rFonts w:ascii="宋体" w:hAnsi="宋体"/>
          <w:bCs/>
          <w:color w:val="auto"/>
          <w:sz w:val="24"/>
          <w:highlight w:val="none"/>
        </w:rPr>
      </w:pPr>
      <w:r>
        <w:rPr>
          <w:rFonts w:ascii="宋体" w:hAnsi="宋体"/>
          <w:bCs/>
          <w:color w:val="auto"/>
          <w:sz w:val="24"/>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keepLines w:val="0"/>
        <w:keepNext w:val="0"/>
        <w:pageBreakBefore/>
        <w:spacing w:line="360" w:lineRule="auto"/>
        <w:widowControl w:val="off"/>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五、开标一览表</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bookmarkStart w:id="242" w:name="_Toc6619"/>
      <w:r/>
      <w:bookmarkStart w:id="243" w:name="_Toc19791"/>
      <w:r>
        <w:rPr>
          <w:rFonts w:hint="eastAsia" w:ascii="方正小标宋简体" w:hAnsi="方正小标宋简体" w:eastAsia="方正小标宋简体" w:cs="方正小标宋简体"/>
          <w:color w:val="auto"/>
          <w:sz w:val="32"/>
          <w:szCs w:val="32"/>
          <w:highlight w:val="none"/>
        </w:rPr>
        <w:t xml:space="preserve">开标一览表</w:t>
      </w:r>
      <w:bookmarkEnd w:id="242"/>
      <w:r/>
      <w:bookmarkEnd w:id="243"/>
      <w:r/>
      <w:r/>
    </w:p>
    <w:p>
      <w:pPr>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ascii="宋体" w:hAnsi="宋体"/>
          <w:color w:val="auto"/>
          <w:sz w:val="24"/>
          <w:szCs w:val="24"/>
          <w:highlight w:val="none"/>
        </w:rPr>
      </w:pPr>
      <w:r>
        <w:rPr>
          <w:rFonts w:hint="eastAsia" w:ascii="宋体" w:hAnsi="宋体"/>
          <w:color w:val="auto"/>
          <w:sz w:val="24"/>
          <w:szCs w:val="24"/>
          <w:highlight w:val="none"/>
        </w:rPr>
        <w:t xml:space="preserve">项目编号：                                   分包号：</w:t>
      </w:r>
      <w:r/>
    </w:p>
    <w:tbl>
      <w:tblPr>
        <w:tblStyle w:val="668"/>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20"/>
        </w:trPr>
        <w:tc>
          <w:tcPr>
            <w:tcW w:w="9450" w:type="dxa"/>
            <w:vAlign w:val="center"/>
            <w:textDirection w:val="lrTb"/>
            <w:noWrap w:val="false"/>
          </w:tcPr>
          <w:p>
            <w:pPr>
              <w:pStyle w:val="924"/>
              <w:ind w:firstLine="0"/>
              <w:spacing w:before="0" w:after="0" w:line="500" w:lineRule="exact"/>
              <w:rPr>
                <w:rFonts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480"/>
        <w:rPr>
          <w:rFonts w:ascii="黑体" w:hAnsi="黑体" w:eastAsia="黑体"/>
          <w:b/>
          <w:i/>
          <w:color w:val="auto"/>
          <w:sz w:val="32"/>
          <w:szCs w:val="32"/>
          <w:highlight w:val="none"/>
          <w:u w:val="single"/>
        </w:rPr>
      </w:pPr>
      <w:r>
        <w:rPr>
          <w:rFonts w:ascii="黑体" w:hAnsi="黑体" w:eastAsia="黑体"/>
          <w:b/>
          <w:i/>
          <w:color w:val="auto"/>
          <w:sz w:val="32"/>
          <w:szCs w:val="32"/>
          <w:highlight w:val="none"/>
          <w:u w:val="single"/>
        </w:rPr>
      </w:r>
      <w:r/>
    </w:p>
    <w:p>
      <w:pPr>
        <w:rPr>
          <w:highlight w:val="none"/>
        </w:rPr>
      </w:pPr>
      <w:r>
        <w:rPr>
          <w:highlight w:val="none"/>
        </w:rPr>
      </w:r>
      <w:r/>
    </w:p>
    <w:p>
      <w:pPr>
        <w:rPr>
          <w:highlight w:val="none"/>
        </w:rPr>
      </w:pPr>
      <w:r>
        <w:rPr>
          <w:highlight w:val="none"/>
        </w:rPr>
      </w:r>
      <w:r/>
    </w:p>
    <w:p>
      <w:pPr>
        <w:jc w:val="left"/>
        <w:keepLines w:val="0"/>
        <w:keepNext w:val="0"/>
        <w:pageBreakBefore/>
        <w:spacing w:line="360" w:lineRule="auto"/>
        <w:widowControl w:val="off"/>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六、核心产品品牌一览表</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bookmarkStart w:id="244" w:name="_Toc19607"/>
      <w:r/>
      <w:bookmarkStart w:id="245" w:name="_Toc23079"/>
      <w:r>
        <w:rPr>
          <w:rFonts w:hint="eastAsia" w:ascii="方正小标宋简体" w:hAnsi="方正小标宋简体" w:eastAsia="方正小标宋简体" w:cs="方正小标宋简体"/>
          <w:color w:val="auto"/>
          <w:sz w:val="32"/>
          <w:szCs w:val="32"/>
          <w:highlight w:val="none"/>
        </w:rPr>
        <w:t xml:space="preserve">核心产品品牌一览表</w:t>
      </w:r>
      <w:bookmarkEnd w:id="244"/>
      <w:r/>
      <w:bookmarkEnd w:id="245"/>
      <w:r/>
      <w:r/>
    </w:p>
    <w:tbl>
      <w:tblPr>
        <w:tblStyle w:val="668"/>
        <w:tblpPr w:horzAnchor="margin" w:tblpXSpec="center" w:vertAnchor="text" w:tblpY="133" w:leftFromText="180" w:topFromText="0" w:rightFromText="180" w:bottomFromText="0"/>
        <w:tblW w:w="111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4156"/>
      </w:tblGrid>
      <w:tr>
        <w:trPr>
          <w:jc w:val="center"/>
          <w:trHeight w:val="723"/>
        </w:trPr>
        <w:tc>
          <w:tcPr>
            <w:tcW w:w="1044"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75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产品</w:t>
            </w:r>
            <w:r>
              <w:rPr>
                <w:rFonts w:hint="eastAsia" w:ascii="宋体" w:hAnsi="宋体" w:cs="宋体"/>
                <w:color w:val="auto"/>
                <w:szCs w:val="21"/>
                <w:highlight w:val="none"/>
                <w:lang w:val="zh-CN"/>
              </w:rPr>
              <w:t xml:space="preserve">名称</w:t>
            </w:r>
            <w:r/>
          </w:p>
        </w:tc>
        <w:tc>
          <w:tcPr>
            <w:tcW w:w="215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rPr>
              <w:t xml:space="preserve">产品</w:t>
            </w:r>
            <w:r>
              <w:rPr>
                <w:rFonts w:hint="eastAsia" w:ascii="宋体" w:hAnsi="宋体" w:cs="宋体"/>
                <w:color w:val="auto"/>
                <w:szCs w:val="21"/>
                <w:highlight w:val="none"/>
                <w:lang w:val="zh-CN"/>
              </w:rPr>
              <w:t xml:space="preserve">品牌</w:t>
            </w:r>
            <w:r/>
          </w:p>
        </w:tc>
        <w:tc>
          <w:tcPr>
            <w:tcW w:w="4156"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W w:w="3753"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2158" w:type="dxa"/>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W w:w="4156"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bl>
    <w:p>
      <w:pPr>
        <w:ind w:firstLine="480"/>
        <w:jc w:val="left"/>
        <w:spacing w:line="360" w:lineRule="auto"/>
        <w:widowControl/>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widowControl/>
        <w:rPr>
          <w:rFonts w:ascii="宋体" w:cs="宋体"/>
          <w:color w:val="auto"/>
          <w:szCs w:val="21"/>
          <w:highlight w:val="none"/>
          <w:lang w:val="zh-CN"/>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val="zh-CN"/>
        </w:rPr>
        <w:t xml:space="preserve">名称</w:t>
      </w:r>
      <w:r>
        <w:rPr>
          <w:rFonts w:hint="eastAsia" w:ascii="宋体" w:hAnsi="宋体" w:cs="宋体"/>
          <w:color w:val="auto"/>
          <w:szCs w:val="21"/>
          <w:highlight w:val="none"/>
          <w:lang w:val="zh-CN"/>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加盖电子公章</w:t>
      </w:r>
      <w:r>
        <w:rPr>
          <w:rFonts w:hint="eastAsia" w:ascii="宋体" w:hAnsi="宋体" w:cs="宋体"/>
          <w:color w:val="auto"/>
          <w:szCs w:val="21"/>
          <w:highlight w:val="none"/>
          <w:lang w:val="zh-CN"/>
        </w:rPr>
        <w:t xml:space="preserve">）</w:t>
      </w:r>
      <w:r/>
    </w:p>
    <w:p>
      <w:pPr>
        <w:ind w:firstLine="482"/>
        <w:spacing w:line="48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482"/>
        <w:spacing w:line="48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备注：供应商须按照表格要求明确填写所投“核心产品”的品牌，不得填报“/”“无”等内容，否则视为无效投标。</w:t>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669"/>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jc w:val="left"/>
        <w:keepLines w:val="0"/>
        <w:keepNext w:val="0"/>
        <w:pageBreakBefore/>
        <w:spacing w:line="360" w:lineRule="auto"/>
        <w:widowControl w:val="off"/>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七、投标分项报价表</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bookmarkStart w:id="246" w:name="_Toc19795"/>
      <w:r/>
      <w:bookmarkStart w:id="247" w:name="_Toc21652"/>
      <w:r>
        <w:rPr>
          <w:rFonts w:hint="eastAsia" w:ascii="方正小标宋简体" w:hAnsi="方正小标宋简体" w:eastAsia="方正小标宋简体" w:cs="方正小标宋简体"/>
          <w:color w:val="auto"/>
          <w:sz w:val="32"/>
          <w:szCs w:val="32"/>
          <w:highlight w:val="none"/>
        </w:rPr>
        <w:t xml:space="preserve">投标分项报价表</w:t>
      </w:r>
      <w:bookmarkEnd w:id="246"/>
      <w:r/>
      <w:bookmarkEnd w:id="247"/>
      <w:r/>
      <w:r/>
    </w:p>
    <w:tbl>
      <w:tblPr>
        <w:tblStyle w:val="668"/>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47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80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46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trHeight w:val="294"/>
        </w:trPr>
        <w:tc>
          <w:tcPr>
            <w:tcW w:w="581" w:type="dxa"/>
            <w:vAlign w:val="center"/>
            <w:vMerge w:val="continue"/>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产品名称</w:t>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47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W w:w="80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146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79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0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6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79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0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6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79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7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3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2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0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6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581"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gridSpan w:val="8"/>
            <w:tcW w:w="9380" w:type="dxa"/>
            <w:vAlign w:val="center"/>
            <w:textDirection w:val="lrTb"/>
            <w:noWrap w:val="false"/>
          </w:tcPr>
          <w:p>
            <w:pP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投标总价（元）：</w:t>
            </w:r>
            <w:r/>
          </w:p>
        </w:tc>
      </w:tr>
    </w:tbl>
    <w:p>
      <w:pPr>
        <w:ind w:firstLine="480"/>
        <w:rPr>
          <w:rFonts w:ascii="宋体" w:hAnsi="宋体"/>
          <w:color w:val="auto"/>
          <w:sz w:val="24"/>
          <w:szCs w:val="24"/>
          <w:highlight w:val="none"/>
        </w:rPr>
      </w:pPr>
      <w:r>
        <w:rPr>
          <w:rFonts w:ascii="宋体" w:hAnsi="宋体"/>
          <w:color w:val="auto"/>
          <w:sz w:val="24"/>
          <w:szCs w:val="24"/>
          <w:highlight w:val="none"/>
        </w:rPr>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ascii="宋体" w:hAnsi="宋体"/>
          <w:color w:val="auto"/>
          <w:sz w:val="24"/>
          <w:szCs w:val="24"/>
          <w:highlight w:val="none"/>
        </w:rPr>
      </w:pPr>
      <w:r>
        <w:rPr>
          <w:rFonts w:ascii="宋体" w:hAnsi="宋体"/>
          <w:color w:val="auto"/>
          <w:sz w:val="24"/>
          <w:szCs w:val="24"/>
          <w:highlight w:val="none"/>
        </w:rPr>
      </w:r>
      <w:r/>
    </w:p>
    <w:p>
      <w:pPr>
        <w:pStyle w:val="707"/>
        <w:ind w:firstLine="480"/>
        <w:jc w:val="both"/>
        <w:spacing w:before="0" w:beforeAutospacing="0" w:after="0" w:afterAutospacing="0" w:line="360" w:lineRule="auto"/>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t xml:space="preserve">备注： </w:t>
      </w:r>
      <w:r/>
    </w:p>
    <w:p>
      <w:pPr>
        <w:pStyle w:val="707"/>
        <w:ind w:firstLine="480"/>
        <w:jc w:val="both"/>
        <w:spacing w:before="0" w:beforeAutospacing="0" w:after="0" w:afterAutospacing="0" w:line="360" w:lineRule="auto"/>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1.“投标报价”应包括为完成整个项目所产生的所有费用，招标文件另有规定的除外。</w:t>
      </w:r>
      <w:r/>
    </w:p>
    <w:p>
      <w:pPr>
        <w:pStyle w:val="707"/>
        <w:ind w:firstLine="480"/>
        <w:jc w:val="both"/>
        <w:spacing w:before="0" w:beforeAutospacing="0" w:after="0" w:afterAutospacing="0" w:line="360" w:lineRule="auto"/>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2.《投标分项报价表》中“投标总价”应当与《开标一览表》中“投标总报价”一致。</w:t>
      </w:r>
      <w:r/>
    </w:p>
    <w:p>
      <w:pPr>
        <w:pStyle w:val="707"/>
        <w:ind w:firstLine="480"/>
        <w:jc w:val="both"/>
        <w:spacing w:before="0" w:beforeAutospacing="0" w:after="0" w:afterAutospacing="0" w:line="360" w:lineRule="auto"/>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3.供应商所投产品须与“第四章-项目清单”中的产品一一对应，如有缺项、漏项或者超出</w:t>
      </w:r>
      <w:r>
        <w:rPr>
          <w:rFonts w:hint="eastAsia"/>
          <w:color w:val="auto"/>
          <w:highlight w:val="none"/>
          <w:lang w:eastAsia="zh-CN"/>
        </w:rPr>
        <w:t xml:space="preserve">最高限价</w:t>
      </w:r>
      <w:r>
        <w:rPr>
          <w:rFonts w:hint="eastAsia"/>
          <w:color w:val="auto"/>
          <w:highlight w:val="none"/>
        </w:rPr>
        <w:t xml:space="preserve">，视为无效投标。“项目清单”中分项仅为一项的，此表无需提供。</w:t>
      </w:r>
      <w:r/>
    </w:p>
    <w:p>
      <w:pPr>
        <w:pStyle w:val="707"/>
        <w:ind w:firstLine="480"/>
        <w:jc w:val="both"/>
        <w:spacing w:before="0" w:beforeAutospacing="0" w:after="0" w:afterAutospacing="0" w:line="360" w:lineRule="auto"/>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4.行数不够，可自行添加。</w:t>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669"/>
        <w:rPr>
          <w:color w:val="auto"/>
          <w:highlight w:val="none"/>
        </w:rPr>
      </w:pPr>
      <w:r>
        <w:rPr>
          <w:color w:val="auto"/>
          <w:highlight w:val="none"/>
        </w:rPr>
      </w:r>
      <w:r/>
    </w:p>
    <w:p>
      <w:pPr>
        <w:jc w:val="left"/>
        <w:keepLines w:val="0"/>
        <w:keepNext w:val="0"/>
        <w:pageBreakBefore/>
        <w:spacing w:line="360" w:lineRule="auto"/>
        <w:widowControl w:val="off"/>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八、技术要求响应及偏离表</w:t>
      </w:r>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技术要求响应及偏离表</w:t>
      </w:r>
      <w:r/>
    </w:p>
    <w:tbl>
      <w:tblPr>
        <w:tblStyle w:val="6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textDirection w:val="lrTb"/>
            <w:noWrap w:val="false"/>
          </w:tcPr>
          <w:p>
            <w:pPr>
              <w:jc w:val="center"/>
              <w:rPr>
                <w:color w:val="auto"/>
                <w:highlight w:val="none"/>
              </w:rPr>
            </w:pPr>
            <w:r>
              <w:rPr>
                <w:color w:val="auto"/>
                <w:highlight w:val="none"/>
              </w:rPr>
            </w:r>
            <w:r/>
          </w:p>
          <w:p>
            <w:pPr>
              <w:pStyle w:val="913"/>
              <w:rPr>
                <w:color w:val="auto"/>
                <w:highlight w:val="none"/>
              </w:rPr>
            </w:pPr>
            <w:r>
              <w:rPr>
                <w:color w:val="auto"/>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right="180" w:firstLine="480"/>
        <w:spacing w:line="560" w:lineRule="exact"/>
        <w:rPr>
          <w:rFonts w:ascii="宋体" w:hAnsi="宋体"/>
          <w:color w:val="auto"/>
          <w:sz w:val="24"/>
          <w:szCs w:val="24"/>
          <w:highlight w:val="none"/>
        </w:rPr>
      </w:pPr>
      <w:r>
        <w:rPr>
          <w:rFonts w:ascii="宋体" w:hAnsi="宋体"/>
          <w:color w:val="auto"/>
          <w:sz w:val="24"/>
          <w:szCs w:val="24"/>
          <w:highlight w:val="none"/>
        </w:rPr>
      </w:r>
      <w:r/>
    </w:p>
    <w:p>
      <w:pPr>
        <w:ind w:right="180"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707"/>
        <w:ind w:firstLine="480"/>
        <w:jc w:val="both"/>
        <w:spacing w:before="0" w:beforeAutospacing="0" w:after="0" w:afterAutospacing="0"/>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rPr>
      </w:r>
      <w:r/>
    </w:p>
    <w:p>
      <w:pPr>
        <w:pStyle w:val="707"/>
        <w:ind w:firstLine="480"/>
        <w:jc w:val="both"/>
        <w:spacing w:before="0" w:beforeAutospacing="0" w:after="0" w:afterAutospacing="0" w:line="360" w:lineRule="auto"/>
        <w:rPr>
          <w:color w:val="auto"/>
          <w:highlight w:val="none"/>
        </w:rPr>
      </w:pPr>
      <w:r>
        <w:rPr>
          <w:color w:val="auto"/>
          <w:highlight w:val="none"/>
        </w:rPr>
        <w:t xml:space="preserve">备注： </w:t>
      </w:r>
      <w:r/>
    </w:p>
    <w:p>
      <w:pPr>
        <w:pStyle w:val="707"/>
        <w:ind w:firstLine="480"/>
        <w:jc w:val="both"/>
        <w:spacing w:before="0" w:beforeAutospacing="0" w:after="0" w:afterAutospacing="0" w:line="360" w:lineRule="auto"/>
        <w:rPr>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p>
    <w:p>
      <w:pPr>
        <w:pStyle w:val="707"/>
        <w:ind w:firstLine="480"/>
        <w:jc w:val="both"/>
        <w:spacing w:before="0" w:beforeAutospacing="0" w:after="0" w:afterAutospacing="0" w:line="360" w:lineRule="auto"/>
        <w:rPr>
          <w:color w:val="auto"/>
          <w:highlight w:val="none"/>
        </w:rPr>
      </w:pPr>
      <w:r>
        <w:rPr>
          <w:rFonts w:hint="eastAsia"/>
          <w:color w:val="auto"/>
          <w:highlight w:val="none"/>
        </w:rPr>
        <w:t xml:space="preserve">2.技术要求中的实质性要求及其他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07"/>
        <w:ind w:firstLine="480"/>
        <w:jc w:val="both"/>
        <w:spacing w:before="0" w:beforeAutospacing="0" w:after="0" w:afterAutospacing="0" w:line="360" w:lineRule="auto"/>
        <w:rPr>
          <w:color w:val="auto"/>
          <w:highlight w:val="none"/>
        </w:rPr>
      </w:pPr>
      <w:r>
        <w:rPr>
          <w:rFonts w:hint="eastAsia"/>
          <w:color w:val="auto"/>
          <w:highlight w:val="none"/>
        </w:rPr>
        <w:t xml:space="preserve">3.行数不够，可自行添加。</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669"/>
        <w:rPr>
          <w:color w:val="auto"/>
          <w:highlight w:val="none"/>
        </w:rPr>
      </w:pPr>
      <w:r>
        <w:rPr>
          <w:color w:val="auto"/>
          <w:highlight w:val="none"/>
        </w:rPr>
      </w:r>
      <w:r/>
    </w:p>
    <w:p>
      <w:pPr>
        <w:jc w:val="left"/>
        <w:keepLines w:val="0"/>
        <w:keepNext w:val="0"/>
        <w:pageBreakBefore/>
        <w:spacing w:line="360" w:lineRule="auto"/>
        <w:widowControl w:val="off"/>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九、商务要求响应及偏离表</w:t>
      </w:r>
      <w:r/>
    </w:p>
    <w:p>
      <w:pPr>
        <w:jc w:val="center"/>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6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1" w:type="dxa"/>
            <w:vAlign w:val="center"/>
            <w:textDirection w:val="lrTb"/>
            <w:noWrap w:val="false"/>
          </w:tcPr>
          <w:p>
            <w:pPr>
              <w:jc w:val="center"/>
              <w:spacing w:line="480" w:lineRule="exact"/>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textDirection w:val="lrTb"/>
            <w:noWrap w:val="false"/>
          </w:tcPr>
          <w:p>
            <w:pPr>
              <w:jc w:val="center"/>
              <w:rPr>
                <w:color w:val="auto"/>
                <w:highlight w:val="none"/>
              </w:rPr>
            </w:pPr>
            <w:r>
              <w:rPr>
                <w:color w:val="auto"/>
                <w:highlight w:val="none"/>
              </w:rPr>
            </w:r>
            <w:r/>
          </w:p>
          <w:p>
            <w:pPr>
              <w:pStyle w:val="913"/>
              <w:rPr>
                <w:color w:val="auto"/>
                <w:highlight w:val="none"/>
              </w:rPr>
            </w:pPr>
            <w:r>
              <w:rPr>
                <w:color w:val="auto"/>
                <w:highlight w:val="none"/>
              </w:rPr>
            </w:r>
            <w:r/>
          </w:p>
        </w:tc>
        <w:tc>
          <w:tcPr>
            <w:tcW w:w="283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41"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right="180" w:firstLine="480"/>
        <w:spacing w:line="560" w:lineRule="exact"/>
        <w:rPr>
          <w:rFonts w:ascii="宋体" w:hAnsi="宋体"/>
          <w:color w:val="auto"/>
          <w:sz w:val="24"/>
          <w:szCs w:val="24"/>
          <w:highlight w:val="none"/>
        </w:rPr>
      </w:pPr>
      <w:r>
        <w:rPr>
          <w:rFonts w:ascii="宋体" w:hAnsi="宋体"/>
          <w:color w:val="auto"/>
          <w:sz w:val="24"/>
          <w:szCs w:val="24"/>
          <w:highlight w:val="none"/>
        </w:rPr>
      </w:r>
      <w:r/>
    </w:p>
    <w:p>
      <w:pPr>
        <w:ind w:right="180"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ascii="宋体" w:hAnsi="宋体"/>
          <w:color w:val="auto"/>
          <w:sz w:val="24"/>
          <w:szCs w:val="24"/>
          <w:highlight w:val="none"/>
        </w:rPr>
      </w:pPr>
      <w:r>
        <w:rPr>
          <w:rFonts w:ascii="宋体" w:hAnsi="宋体"/>
          <w:color w:val="auto"/>
          <w:sz w:val="24"/>
          <w:szCs w:val="24"/>
          <w:highlight w:val="none"/>
        </w:rPr>
      </w:r>
      <w:r/>
    </w:p>
    <w:p>
      <w:pPr>
        <w:pStyle w:val="707"/>
        <w:ind w:firstLine="480"/>
        <w:jc w:val="both"/>
        <w:spacing w:before="0" w:beforeAutospacing="0" w:after="0" w:afterAutospacing="0" w:line="360" w:lineRule="auto"/>
        <w:rPr>
          <w:color w:val="auto"/>
          <w:highlight w:val="none"/>
        </w:rPr>
      </w:pPr>
      <w:r>
        <w:rPr>
          <w:rFonts w:hint="eastAsia"/>
          <w:color w:val="auto"/>
          <w:highlight w:val="none"/>
        </w:rPr>
        <w:t xml:space="preserve">备注： </w:t>
      </w:r>
      <w:r/>
    </w:p>
    <w:p>
      <w:pPr>
        <w:pStyle w:val="707"/>
        <w:ind w:firstLine="480"/>
        <w:jc w:val="both"/>
        <w:spacing w:before="0" w:beforeAutospacing="0" w:after="0" w:afterAutospacing="0" w:line="360" w:lineRule="auto"/>
        <w:rPr>
          <w:color w:val="auto"/>
          <w:highlight w:val="none"/>
        </w:rPr>
      </w:pPr>
      <w:r>
        <w:rPr>
          <w:rFonts w:hint="eastAsia"/>
          <w:color w:val="auto"/>
          <w:highlight w:val="none"/>
        </w:rPr>
        <w:t xml:space="preserve">1.供应商须对采购文件商务要求中的实质性要求（斜体下划线内容或打“★”内容）做出明确响应，否则视为无效投标。</w:t>
      </w:r>
      <w:r/>
    </w:p>
    <w:p>
      <w:pPr>
        <w:pStyle w:val="707"/>
        <w:ind w:firstLine="480"/>
        <w:jc w:val="both"/>
        <w:spacing w:before="0" w:beforeAutospacing="0" w:after="0" w:afterAutospacing="0" w:line="360" w:lineRule="auto"/>
        <w:rPr>
          <w:color w:val="auto"/>
          <w:highlight w:val="none"/>
        </w:rPr>
      </w:pPr>
      <w:r>
        <w:rPr>
          <w:rFonts w:hint="eastAsia"/>
          <w:color w:val="auto"/>
          <w:highlight w:val="none"/>
        </w:rPr>
        <w:t xml:space="preserve">2.行数不够，可自行添加。</w:t>
      </w:r>
      <w:r/>
    </w:p>
    <w:p>
      <w:pPr>
        <w:spacing w:line="480" w:lineRule="auto"/>
        <w:rPr>
          <w:rFonts w:ascii="宋体" w:hAnsi="宋体"/>
          <w:color w:val="auto"/>
          <w:sz w:val="24"/>
          <w:szCs w:val="21"/>
          <w:highlight w:val="none"/>
        </w:rPr>
      </w:pPr>
      <w:r>
        <w:rPr>
          <w:rFonts w:ascii="宋体" w:hAnsi="宋体"/>
          <w:color w:val="auto"/>
          <w:sz w:val="24"/>
          <w:szCs w:val="21"/>
          <w:highlight w:val="none"/>
        </w:rPr>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669"/>
        <w:rPr>
          <w:color w:val="auto"/>
          <w:highlight w:val="none"/>
        </w:rPr>
      </w:pPr>
      <w:r>
        <w:rPr>
          <w:color w:val="auto"/>
          <w:highlight w:val="none"/>
        </w:rPr>
      </w:r>
      <w:r/>
    </w:p>
    <w:p>
      <w:pPr>
        <w:jc w:val="left"/>
        <w:keepLines w:val="0"/>
        <w:keepNext w:val="0"/>
        <w:pageBreakBefore/>
        <w:spacing w:line="360" w:lineRule="auto"/>
        <w:widowControl w:val="off"/>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十、中小企业声明函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bookmarkStart w:id="248" w:name="_Toc28876"/>
      <w:r/>
      <w:bookmarkStart w:id="249" w:name="_Toc29456"/>
      <w:r>
        <w:rPr>
          <w:rFonts w:hint="eastAsia" w:ascii="方正小标宋简体" w:hAnsi="方正小标宋简体" w:eastAsia="方正小标宋简体" w:cs="方正小标宋简体"/>
          <w:color w:val="auto"/>
          <w:sz w:val="32"/>
          <w:szCs w:val="32"/>
          <w:highlight w:val="none"/>
        </w:rPr>
        <w:t xml:space="preserve">中小企业声明函（货物）</w:t>
      </w:r>
      <w:bookmarkEnd w:id="248"/>
      <w:r/>
      <w:bookmarkEnd w:id="249"/>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300号)的规定，相关企业（含联合体中的小微企业、签订分包意向协议的小微企业）的具体情况如下：</w:t>
      </w:r>
      <w:r/>
    </w:p>
    <w:p>
      <w:pPr>
        <w:ind w:firstLine="360"/>
        <w:spacing w:line="360" w:lineRule="auto"/>
        <w:rPr>
          <w:rFonts w:ascii="宋体" w:hAnsi="宋体"/>
          <w:i/>
          <w:color w:val="auto"/>
          <w:sz w:val="24"/>
          <w:szCs w:val="24"/>
          <w:highlight w:val="none"/>
          <w:u w:val="single"/>
        </w:rPr>
      </w:pPr>
      <w:r>
        <w:rPr>
          <w:rFonts w:hint="eastAsia" w:ascii="宋体" w:hAnsi="宋体"/>
          <w:color w:val="auto"/>
          <w:sz w:val="24"/>
          <w:szCs w:val="24"/>
          <w:highlight w:val="none"/>
        </w:rPr>
        <w:t xml:space="preserve">1.（标的名称）属于行业（采购文件中明确的所属行业）；制造商为（企业名称），从业人员人，营业收入为万元，资产总额为万元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ascii="宋体" w:hAnsi="宋体"/>
          <w:i/>
          <w:color w:val="auto"/>
          <w:sz w:val="24"/>
          <w:szCs w:val="24"/>
          <w:highlight w:val="none"/>
        </w:rPr>
      </w:pPr>
      <w:r>
        <w:rPr>
          <w:rFonts w:hint="eastAsia" w:ascii="宋体" w:hAnsi="宋体"/>
          <w:color w:val="auto"/>
          <w:sz w:val="24"/>
          <w:szCs w:val="24"/>
          <w:highlight w:val="none"/>
        </w:rPr>
        <w:t xml:space="preserve">2.（标的名称）属于行业（采购文件中明确的所属行业）；制造商为（企业名称），从业人员人，营业收入为万元，资产总额为万元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913"/>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ind w:right="180" w:firstLine="360"/>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560" w:lineRule="exact"/>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336" w:lineRule="auto"/>
        <w:widowControl/>
        <w:rPr>
          <w:rFonts w:ascii="宋体" w:hAnsi="宋体"/>
          <w:color w:val="auto"/>
          <w:sz w:val="24"/>
          <w:szCs w:val="24"/>
          <w:highlight w:val="none"/>
        </w:rPr>
      </w:pPr>
      <w:r>
        <w:rPr>
          <w:rFonts w:ascii="宋体" w:hAnsi="宋体"/>
          <w:color w:val="auto"/>
          <w:sz w:val="24"/>
          <w:szCs w:val="24"/>
          <w:highlight w:val="none"/>
        </w:rPr>
      </w:r>
      <w:r/>
    </w:p>
    <w:p>
      <w:pPr>
        <w:ind w:firstLine="480"/>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keepLines w:val="0"/>
        <w:keepNext w:val="0"/>
        <w:pageBreakBefore/>
        <w:spacing w:line="360" w:lineRule="auto"/>
        <w:widowControl w:val="off"/>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十一、残疾人福利性单位声明函</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bookmarkStart w:id="250" w:name="_Toc24312"/>
      <w:r/>
      <w:bookmarkStart w:id="251" w:name="_Toc345"/>
      <w:r>
        <w:rPr>
          <w:rFonts w:hint="eastAsia" w:ascii="方正小标宋简体" w:hAnsi="方正小标宋简体" w:eastAsia="方正小标宋简体" w:cs="方正小标宋简体"/>
          <w:color w:val="auto"/>
          <w:sz w:val="32"/>
          <w:szCs w:val="32"/>
          <w:highlight w:val="none"/>
        </w:rPr>
        <w:t xml:space="preserve">残疾人福利性单位声明函</w:t>
      </w:r>
      <w:bookmarkEnd w:id="250"/>
      <w:r/>
      <w:bookmarkEnd w:id="251"/>
      <w:r/>
      <w:r/>
    </w:p>
    <w:p>
      <w:pPr>
        <w:ind w:firstLine="480"/>
        <w:spacing w:line="360" w:lineRule="auto"/>
        <w:rPr>
          <w:rFonts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913"/>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ind w:right="180" w:firstLine="360"/>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560" w:lineRule="exact"/>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950"/>
        <w:rPr>
          <w:color w:val="auto"/>
          <w:highlight w:val="none"/>
        </w:rPr>
      </w:pPr>
      <w:r>
        <w:rPr>
          <w:color w:val="auto"/>
          <w:highlight w:val="none"/>
        </w:rPr>
      </w:r>
      <w:r/>
    </w:p>
    <w:p>
      <w:pPr>
        <w:ind w:firstLine="5760"/>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jc w:val="left"/>
        <w:spacing w:line="360" w:lineRule="auto"/>
        <w:rPr>
          <w:rFonts w:ascii="黑体" w:hAnsi="黑体" w:eastAsia="黑体"/>
          <w:color w:val="auto"/>
          <w:sz w:val="32"/>
          <w:szCs w:val="32"/>
          <w:highlight w:val="none"/>
        </w:rPr>
      </w:pPr>
      <w:r>
        <w:rPr>
          <w:rFonts w:ascii="黑体" w:hAnsi="黑体" w:eastAsia="黑体"/>
          <w:color w:val="auto"/>
          <w:sz w:val="32"/>
          <w:szCs w:val="32"/>
          <w:highlight w:val="none"/>
        </w:rPr>
      </w:r>
      <w:r/>
    </w:p>
    <w:p>
      <w:pPr>
        <w:pStyle w:val="669"/>
        <w:rPr>
          <w:color w:val="auto"/>
          <w:highlight w:val="none"/>
        </w:rPr>
      </w:pPr>
      <w:r>
        <w:rPr>
          <w:color w:val="auto"/>
          <w:highlight w:val="none"/>
        </w:rPr>
      </w:r>
      <w:r/>
    </w:p>
    <w:p>
      <w:pPr>
        <w:jc w:val="left"/>
        <w:keepLines w:val="0"/>
        <w:keepNext w:val="0"/>
        <w:pageBreakBefore/>
        <w:spacing w:line="360" w:lineRule="auto"/>
        <w:widowControl w:val="off"/>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十二、联合体协议</w:t>
      </w:r>
      <w:r/>
    </w:p>
    <w:p>
      <w:pPr>
        <w:jc w:val="center"/>
        <w:spacing w:line="360" w:lineRule="auto"/>
        <w:rPr>
          <w:rFonts w:ascii="方正小标宋简体" w:hAnsi="方正小标宋简体" w:eastAsia="方正小标宋简体" w:cs="方正小标宋简体"/>
          <w:color w:val="auto"/>
          <w:sz w:val="32"/>
          <w:szCs w:val="32"/>
          <w:highlight w:val="none"/>
        </w:rPr>
        <w:outlineLvl w:val="0"/>
      </w:pPr>
      <w:r/>
      <w:bookmarkStart w:id="252" w:name="_Toc18692"/>
      <w:r/>
      <w:bookmarkStart w:id="253" w:name="_Toc17684"/>
      <w:r>
        <w:rPr>
          <w:rFonts w:hint="eastAsia" w:ascii="方正小标宋简体" w:hAnsi="方正小标宋简体" w:eastAsia="方正小标宋简体" w:cs="方正小标宋简体"/>
          <w:color w:val="auto"/>
          <w:sz w:val="32"/>
          <w:szCs w:val="32"/>
          <w:highlight w:val="none"/>
        </w:rPr>
        <w:t xml:space="preserve">联合体协议</w:t>
      </w:r>
      <w:bookmarkEnd w:id="252"/>
      <w:r/>
      <w:bookmarkEnd w:id="253"/>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（供应商名称）实施项目中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jc w:val="right"/>
        <w:spacing w:line="560" w:lineRule="exact"/>
        <w:rPr>
          <w:rFonts w:ascii="宋体" w:hAnsi="宋体"/>
          <w:color w:val="auto"/>
          <w:sz w:val="24"/>
          <w:highlight w:val="none"/>
        </w:rPr>
      </w:pPr>
      <w:r>
        <w:rPr>
          <w:rFonts w:hint="eastAsia" w:ascii="宋体" w:hAnsi="宋体"/>
          <w:color w:val="auto"/>
          <w:sz w:val="24"/>
          <w:highlight w:val="none"/>
        </w:rPr>
        <w:t xml:space="preserve">联合体中各供应商全称：</w:t>
      </w:r>
      <w:r>
        <w:rPr>
          <w:rFonts w:hint="eastAsia" w:ascii="宋体" w:hAnsi="宋体"/>
          <w:color w:val="auto"/>
          <w:sz w:val="24"/>
          <w:szCs w:val="24"/>
          <w:highlight w:val="none"/>
        </w:rPr>
        <w:t xml:space="preserve">（加盖电子公章）</w:t>
      </w:r>
      <w:r/>
    </w:p>
    <w:p>
      <w:pPr>
        <w:ind w:firstLine="5280"/>
        <w:spacing w:line="560" w:lineRule="exact"/>
        <w:rPr>
          <w:rFonts w:ascii="宋体" w:hAnsi="宋体"/>
          <w:color w:val="auto"/>
          <w:sz w:val="24"/>
          <w:szCs w:val="24"/>
          <w:highlight w:val="none"/>
        </w:rPr>
      </w:pPr>
      <w:r>
        <w:rPr>
          <w:rFonts w:hint="eastAsia"/>
          <w:color w:val="auto"/>
          <w:sz w:val="24"/>
          <w:szCs w:val="24"/>
          <w:highlight w:val="none"/>
        </w:rPr>
        <w:t xml:space="preserve">日   期：</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3.除另有说明外，本招标文件要求加盖电子公章之处，加盖牵头单位的电子公章即可。</w:t>
      </w:r>
      <w:r/>
    </w:p>
    <w:p>
      <w:pPr>
        <w:pStyle w:val="913"/>
        <w:rPr>
          <w:rFonts w:ascii="宋体" w:hAnsi="宋体" w:eastAsia="宋体" w:cs="Times New Roman"/>
          <w:color w:val="auto"/>
          <w:sz w:val="24"/>
          <w:highlight w:val="none"/>
        </w:rPr>
      </w:pPr>
      <w:r>
        <w:rPr>
          <w:rFonts w:ascii="宋体" w:hAnsi="宋体" w:eastAsia="宋体" w:cs="Times New Roman"/>
          <w:color w:val="auto"/>
          <w:sz w:val="24"/>
          <w:highlight w:val="none"/>
        </w:rPr>
      </w:r>
      <w:r/>
    </w:p>
    <w:p>
      <w:pPr>
        <w:rPr>
          <w:color w:val="auto"/>
          <w:highlight w:val="none"/>
        </w:rPr>
      </w:pPr>
      <w:r>
        <w:rPr>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pStyle w:val="669"/>
        <w:rPr>
          <w:color w:val="auto"/>
          <w:highlight w:val="none"/>
        </w:rPr>
      </w:pPr>
      <w:r>
        <w:rPr>
          <w:color w:val="auto"/>
          <w:highlight w:val="none"/>
        </w:rPr>
      </w:r>
      <w:r/>
    </w:p>
    <w:p>
      <w:pPr>
        <w:pStyle w:val="674"/>
        <w:rPr>
          <w:color w:val="auto"/>
          <w:highlight w:val="none"/>
        </w:rPr>
      </w:pPr>
      <w:r>
        <w:rPr>
          <w:color w:val="auto"/>
          <w:highlight w:val="none"/>
        </w:rPr>
      </w:r>
      <w:bookmarkEnd w:id="212"/>
      <w:bookmarkEnd w:id="213"/>
      <w:bookmarkEnd w:id="232"/>
      <w:r/>
    </w:p>
    <w:p>
      <w:pPr>
        <w:pStyle w:val="674"/>
        <w:rPr>
          <w:color w:val="auto"/>
          <w:highlight w:val="none"/>
        </w:rPr>
      </w:pPr>
      <w:r>
        <w:rPr>
          <w:color w:val="auto"/>
          <w:highlight w:val="none"/>
        </w:rPr>
      </w:r>
      <w:r/>
    </w:p>
    <w:p>
      <w:pPr>
        <w:pStyle w:val="674"/>
        <w:rPr>
          <w:color w:val="auto"/>
          <w:highlight w:val="none"/>
        </w:rPr>
      </w:pPr>
      <w:r>
        <w:rPr>
          <w:color w:val="auto"/>
          <w:highlight w:val="none"/>
        </w:rPr>
      </w:r>
      <w:r/>
    </w:p>
    <w:p>
      <w:pPr>
        <w:jc w:val="center"/>
        <w:keepLines w:val="0"/>
        <w:keepNext w:val="0"/>
        <w:pageBreakBefore/>
        <w:widowControl w:val="off"/>
        <w:rPr>
          <w:rFonts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质疑函范本</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授权代表：联系电话：</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项目编号：分包号：</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360" w:lineRule="auto"/>
        <w:rPr>
          <w:rFonts w:ascii="宋体" w:hAnsi="宋体" w:cs="仿宋"/>
          <w:color w:val="auto"/>
          <w:sz w:val="24"/>
          <w:szCs w:val="24"/>
          <w:highlight w:val="none"/>
        </w:rPr>
      </w:pPr>
      <w:r>
        <w:rPr>
          <w:rFonts w:ascii="宋体" w:hAnsi="宋体" w:cs="仿宋"/>
          <w:color w:val="auto"/>
          <w:sz w:val="24"/>
          <w:szCs w:val="24"/>
          <w:highlight w:val="non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360" w:lineRule="auto"/>
        <w:rPr>
          <w:rFonts w:ascii="宋体" w:hAnsi="宋体" w:cs="仿宋"/>
          <w:color w:val="auto"/>
          <w:sz w:val="24"/>
          <w:szCs w:val="24"/>
          <w:highlight w:val="none"/>
          <w:u w:val="single"/>
        </w:rPr>
      </w:pPr>
      <w:r>
        <w:rPr>
          <w:rFonts w:ascii="宋体" w:hAnsi="宋体" w:cs="仿宋"/>
          <w:color w:val="auto"/>
          <w:sz w:val="24"/>
          <w:szCs w:val="24"/>
          <w:highlight w:val="none"/>
          <w:u w:val="single"/>
        </w:rPr>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rPr>
          <w:rFonts w:ascii="宋体" w:hAnsi="宋体"/>
          <w:color w:val="auto"/>
          <w:sz w:val="24"/>
          <w:szCs w:val="24"/>
          <w:highlight w:val="none"/>
        </w:rPr>
      </w:pPr>
      <w:r>
        <w:rPr>
          <w:rFonts w:hint="eastAsia" w:ascii="宋体" w:hAnsi="宋体"/>
          <w:color w:val="auto"/>
          <w:sz w:val="24"/>
          <w:szCs w:val="24"/>
          <w:highlight w:val="none"/>
        </w:rPr>
        <w:t xml:space="preserve">日  期：    </w:t>
      </w:r>
      <w:r/>
    </w:p>
    <w:p>
      <w:pPr>
        <w:spacing w:line="4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ascii="宋体" w:hAnsi="宋体"/>
          <w:bCs/>
          <w:color w:val="auto"/>
          <w:sz w:val="24"/>
          <w:szCs w:val="24"/>
          <w:highlight w:val="none"/>
        </w:rPr>
      </w:r>
      <w:r/>
    </w:p>
    <w:p>
      <w:pPr>
        <w:pStyle w:val="669"/>
        <w:rPr>
          <w:color w:val="auto"/>
          <w:highlight w:val="none"/>
        </w:rPr>
      </w:pPr>
      <w:r>
        <w:rPr>
          <w:color w:val="auto"/>
          <w:highlight w:val="none"/>
        </w:rPr>
      </w:r>
      <w:r/>
    </w:p>
    <w:p>
      <w:pPr>
        <w:pStyle w:val="674"/>
        <w:rPr>
          <w:color w:val="auto"/>
          <w:highlight w:val="none"/>
        </w:rPr>
      </w:pPr>
      <w:r>
        <w:rPr>
          <w:color w:val="auto"/>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2.由授权代表负责质疑事宜的，《质疑函》附件中应提交由质疑供应商法定代表人签署的《授权委托书》。</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3.质疑供应商针对项目的某一分包进行质疑的，《质疑函》中应明确分包号。</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auto"/>
          <w:sz w:val="24"/>
          <w:szCs w:val="24"/>
          <w:highlight w:val="none"/>
          <w:lang w:val="zh-CN"/>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5"/>
        <w:rFonts w:hint="default" w:ascii="宋体" w:hAnsi="宋体" w:eastAsia="宋体"/>
        <w:lang w:val="en-US" w:eastAsia="zh-CN"/>
      </w:rPr>
      <w:framePr w:wrap="around" w:vAnchor="text" w:hAnchor="margin" w:xAlign="center" w:y="1"/>
    </w:pPr>
    <w:r>
      <w:rPr>
        <w:rFonts w:ascii="宋体" w:hAnsi="宋体"/>
      </w:rPr>
      <w:fldChar w:fldCharType="begin"/>
    </w:r>
    <w:r>
      <w:rPr>
        <w:rStyle w:val="715"/>
        <w:rFonts w:ascii="宋体" w:hAnsi="宋体"/>
      </w:rPr>
      <w:instrText xml:space="preserve">PAGE  </w:instrText>
    </w:r>
    <w:r>
      <w:rPr>
        <w:rFonts w:ascii="宋体" w:hAnsi="宋体"/>
      </w:rPr>
      <w:fldChar w:fldCharType="separate"/>
    </w:r>
    <w:r>
      <w:rPr>
        <w:rStyle w:val="715"/>
        <w:rFonts w:ascii="宋体" w:hAnsi="宋体"/>
      </w:rPr>
      <w:t xml:space="preserve">24</w:t>
    </w:r>
    <w:r>
      <w:rPr>
        <w:rFonts w:ascii="宋体" w:hAnsi="宋体"/>
      </w:rPr>
      <w:fldChar w:fldCharType="end"/>
    </w:r>
    <w:r>
      <w:rPr>
        <w:rFonts w:hint="eastAsia" w:ascii="宋体" w:hAnsi="宋体"/>
        <w:lang w:val="en-US" w:eastAsia="zh-CN"/>
      </w:rPr>
      <w:t xml:space="preserve">  </w:t>
    </w:r>
    <w:r/>
  </w:p>
  <w:p>
    <w:pPr>
      <w:pStyle w:val="69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15"/>
      </w:rPr>
      <w:framePr w:wrap="around" w:vAnchor="text" w:hAnchor="margin" w:xAlign="center" w:y="1"/>
    </w:pPr>
    <w:r>
      <w:fldChar w:fldCharType="begin"/>
    </w:r>
    <w:r>
      <w:rPr>
        <w:rStyle w:val="715"/>
      </w:rPr>
      <w:instrText xml:space="preserve">PAGE  </w:instrText>
    </w:r>
    <w:r>
      <w:fldChar w:fldCharType="separate"/>
    </w:r>
    <w:r>
      <w:rPr>
        <w:rStyle w:val="715"/>
      </w:rPr>
      <w:t xml:space="preserve">1</w:t>
    </w:r>
    <w:r>
      <w:fldChar w:fldCharType="end"/>
    </w:r>
    <w:r/>
  </w:p>
  <w:p>
    <w:pPr>
      <w:pStyle w:val="6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1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3"/>
      <w:isLgl w:val="false"/>
      <w:suff w:val="nothing"/>
      <w:lvlText w:val=""/>
      <w:lvlJc w:val="left"/>
      <w:pPr>
        <w:ind w:left="0" w:firstLine="0"/>
      </w:pPr>
      <w:rPr>
        <w:rFonts w:hint="eastAsia"/>
      </w:rPr>
    </w:lvl>
    <w:lvl w:ilvl="6">
      <w:start w:val="1"/>
      <w:numFmt w:val="decimal"/>
      <w:pStyle w:val="664"/>
      <w:isLgl w:val="false"/>
      <w:suff w:val="nothing"/>
      <w:lvlText w:val=""/>
      <w:lvlJc w:val="left"/>
      <w:pPr>
        <w:ind w:left="0" w:firstLine="0"/>
      </w:pPr>
      <w:rPr>
        <w:rFonts w:hint="eastAsia"/>
      </w:rPr>
    </w:lvl>
    <w:lvl w:ilvl="7">
      <w:start w:val="1"/>
      <w:numFmt w:val="decimal"/>
      <w:pStyle w:val="665"/>
      <w:isLgl w:val="false"/>
      <w:suff w:val="nothing"/>
      <w:lvlText w:val=""/>
      <w:lvlJc w:val="left"/>
      <w:pPr>
        <w:ind w:left="0" w:firstLine="0"/>
      </w:pPr>
      <w:rPr>
        <w:rFonts w:hint="eastAsia"/>
      </w:rPr>
    </w:lvl>
    <w:lvl w:ilvl="8">
      <w:start w:val="1"/>
      <w:numFmt w:val="decimal"/>
      <w:pStyle w:val="666"/>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7" w:default="1">
    <w:name w:val="Normal"/>
    <w:next w:val="669"/>
    <w:link w:val="962"/>
    <w:uiPriority w:val="0"/>
    <w:qFormat/>
    <w:pPr>
      <w:jc w:val="both"/>
      <w:widowControl w:val="off"/>
    </w:pPr>
    <w:rPr>
      <w:rFonts w:hint="default" w:ascii="Times New Roman" w:hAnsi="Times New Roman" w:eastAsia="宋体" w:cs="Times New Roman"/>
      <w:sz w:val="21"/>
      <w:szCs w:val="22"/>
    </w:rPr>
  </w:style>
  <w:style w:type="paragraph" w:styleId="658">
    <w:name w:val="Heading 1"/>
    <w:basedOn w:val="657"/>
    <w:next w:val="657"/>
    <w:link w:val="876"/>
    <w:uiPriority w:val="0"/>
    <w:qFormat/>
    <w:pPr>
      <w:jc w:val="center"/>
      <w:keepNext/>
      <w:outlineLvl w:val="0"/>
    </w:pPr>
    <w:rPr>
      <w:rFonts w:ascii="楷体_GB2312" w:hAnsi="楷体_GB2312" w:eastAsia="宋体"/>
      <w:b/>
      <w:sz w:val="48"/>
      <w:szCs w:val="28"/>
    </w:rPr>
  </w:style>
  <w:style w:type="paragraph" w:styleId="659">
    <w:name w:val="Heading 2"/>
    <w:basedOn w:val="657"/>
    <w:next w:val="675"/>
    <w:link w:val="8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0">
    <w:name w:val="Heading 3"/>
    <w:basedOn w:val="657"/>
    <w:next w:val="675"/>
    <w:link w:val="879"/>
    <w:uiPriority w:val="0"/>
    <w:qFormat/>
    <w:pPr>
      <w:keepLines/>
      <w:keepNext/>
      <w:spacing w:before="260" w:after="260" w:line="416" w:lineRule="auto"/>
      <w:outlineLvl w:val="2"/>
    </w:pPr>
    <w:rPr>
      <w:b/>
      <w:bCs/>
      <w:sz w:val="32"/>
      <w:szCs w:val="32"/>
    </w:rPr>
  </w:style>
  <w:style w:type="paragraph" w:styleId="661">
    <w:name w:val="Heading 4"/>
    <w:basedOn w:val="657"/>
    <w:next w:val="675"/>
    <w:link w:val="880"/>
    <w:uiPriority w:val="0"/>
    <w:qFormat/>
    <w:pPr>
      <w:keepLines/>
      <w:keepNext/>
      <w:spacing w:before="280" w:after="290" w:line="376" w:lineRule="auto"/>
      <w:outlineLvl w:val="3"/>
    </w:pPr>
    <w:rPr>
      <w:rFonts w:ascii="Arial" w:hAnsi="Arial" w:eastAsia="黑体" w:cs="Arial"/>
      <w:b/>
      <w:bCs/>
      <w:sz w:val="28"/>
      <w:szCs w:val="28"/>
    </w:rPr>
  </w:style>
  <w:style w:type="paragraph" w:styleId="662">
    <w:name w:val="Heading 5"/>
    <w:basedOn w:val="657"/>
    <w:next w:val="675"/>
    <w:link w:val="881"/>
    <w:uiPriority w:val="0"/>
    <w:qFormat/>
    <w:pPr>
      <w:keepNext/>
      <w:outlineLvl w:val="4"/>
    </w:pPr>
    <w:rPr>
      <w:rFonts w:ascii="宋体"/>
      <w:color w:val="000000"/>
      <w:sz w:val="28"/>
      <w:szCs w:val="28"/>
    </w:rPr>
  </w:style>
  <w:style w:type="paragraph" w:styleId="663">
    <w:name w:val="Heading 6"/>
    <w:basedOn w:val="657"/>
    <w:next w:val="657"/>
    <w:link w:val="88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4">
    <w:name w:val="Heading 7"/>
    <w:basedOn w:val="657"/>
    <w:next w:val="657"/>
    <w:link w:val="883"/>
    <w:uiPriority w:val="0"/>
    <w:qFormat/>
    <w:pPr>
      <w:numPr>
        <w:ilvl w:val="6"/>
        <w:numId w:val="1"/>
      </w:numPr>
      <w:keepLines/>
      <w:keepNext/>
      <w:spacing w:before="240" w:after="64" w:line="320" w:lineRule="auto"/>
      <w:outlineLvl w:val="6"/>
    </w:pPr>
    <w:rPr>
      <w:b/>
      <w:bCs/>
      <w:sz w:val="24"/>
      <w:szCs w:val="24"/>
    </w:rPr>
  </w:style>
  <w:style w:type="paragraph" w:styleId="665">
    <w:name w:val="Heading 8"/>
    <w:basedOn w:val="657"/>
    <w:next w:val="657"/>
    <w:link w:val="88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6">
    <w:name w:val="Heading 9"/>
    <w:basedOn w:val="657"/>
    <w:next w:val="657"/>
    <w:link w:val="885"/>
    <w:uiPriority w:val="0"/>
    <w:qFormat/>
    <w:pPr>
      <w:numPr>
        <w:ilvl w:val="8"/>
        <w:numId w:val="1"/>
      </w:numPr>
      <w:keepLines/>
      <w:keepNext/>
      <w:spacing w:before="240" w:after="64" w:line="320" w:lineRule="auto"/>
      <w:outlineLvl w:val="8"/>
    </w:pPr>
    <w:rPr>
      <w:rFonts w:ascii="Arial" w:hAnsi="Arial" w:eastAsia="黑体"/>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customStyle="1">
    <w:name w:val="正文文本缩进11"/>
    <w:basedOn w:val="670"/>
    <w:next w:val="674"/>
    <w:uiPriority w:val="0"/>
    <w:unhideWhenUsed/>
    <w:qFormat/>
    <w:pPr>
      <w:ind w:left="420"/>
      <w:spacing w:after="120"/>
    </w:pPr>
  </w:style>
  <w:style w:type="paragraph" w:styleId="670" w:customStyle="1">
    <w:name w:val="正文112"/>
    <w:next w:val="671"/>
    <w:uiPriority w:val="0"/>
    <w:qFormat/>
    <w:pPr>
      <w:jc w:val="both"/>
      <w:widowControl w:val="off"/>
    </w:pPr>
    <w:rPr>
      <w:rFonts w:hint="default" w:ascii="Times New Roman" w:hAnsi="Times New Roman" w:eastAsia="宋体" w:cs="Times New Roman"/>
      <w:sz w:val="21"/>
      <w:szCs w:val="24"/>
    </w:rPr>
  </w:style>
  <w:style w:type="paragraph" w:styleId="671" w:customStyle="1">
    <w:name w:val="正文首行缩进1"/>
    <w:basedOn w:val="672"/>
    <w:uiPriority w:val="0"/>
    <w:qFormat/>
    <w:pPr>
      <w:ind w:firstLine="200"/>
      <w:spacing w:line="360" w:lineRule="auto"/>
    </w:pPr>
    <w:rPr>
      <w:rFonts w:ascii="仿宋_GB2312" w:hAnsi="Times New Roman" w:eastAsia="仿宋_GB2312"/>
      <w:sz w:val="30"/>
      <w:szCs w:val="30"/>
    </w:rPr>
  </w:style>
  <w:style w:type="paragraph" w:styleId="672" w:customStyle="1">
    <w:name w:val="正文文本1"/>
    <w:basedOn w:val="673"/>
    <w:next w:val="657"/>
    <w:uiPriority w:val="0"/>
    <w:semiHidden/>
    <w:qFormat/>
    <w:rPr>
      <w:rFonts w:ascii="Arial" w:hAnsi="Arial" w:eastAsia="Arial" w:cs="Arial"/>
      <w:szCs w:val="21"/>
      <w:lang w:eastAsia="en-US"/>
    </w:rPr>
  </w:style>
  <w:style w:type="paragraph" w:styleId="673" w:customStyle="1">
    <w:name w:val="正文1"/>
    <w:basedOn w:val="657"/>
    <w:next w:val="672"/>
    <w:uiPriority w:val="0"/>
    <w:qFormat/>
    <w:pPr>
      <w:jc w:val="left"/>
      <w:spacing w:line="360" w:lineRule="atLeast"/>
    </w:pPr>
    <w:rPr>
      <w:rFonts w:ascii="宋体" w:hAnsiTheme="minorHAnsi" w:eastAsiaTheme="minorEastAsia" w:cstheme="minorBidi"/>
      <w:sz w:val="24"/>
      <w:szCs w:val="20"/>
    </w:rPr>
  </w:style>
  <w:style w:type="paragraph" w:styleId="674" w:customStyle="1">
    <w:name w:val="寄信人地址1"/>
    <w:basedOn w:val="657"/>
    <w:uiPriority w:val="0"/>
    <w:qFormat/>
    <w:rPr>
      <w:rFonts w:ascii="Arial" w:hAnsi="Arial" w:cs="宋体"/>
      <w:szCs w:val="24"/>
    </w:rPr>
  </w:style>
  <w:style w:type="paragraph" w:styleId="675">
    <w:name w:val="Normal Indent"/>
    <w:basedOn w:val="657"/>
    <w:link w:val="878"/>
    <w:uiPriority w:val="0"/>
    <w:qFormat/>
    <w:pPr>
      <w:ind w:firstLine="420"/>
    </w:pPr>
    <w:rPr>
      <w:szCs w:val="21"/>
    </w:rPr>
  </w:style>
  <w:style w:type="paragraph" w:styleId="676">
    <w:name w:val="List 3"/>
    <w:basedOn w:val="657"/>
    <w:uiPriority w:val="0"/>
    <w:qFormat/>
    <w:pPr>
      <w:ind w:left="100" w:hanging="200"/>
    </w:pPr>
    <w:rPr>
      <w:szCs w:val="21"/>
    </w:rPr>
  </w:style>
  <w:style w:type="paragraph" w:styleId="677">
    <w:name w:val="toc 7"/>
    <w:basedOn w:val="657"/>
    <w:next w:val="657"/>
    <w:uiPriority w:val="39"/>
    <w:unhideWhenUsed/>
    <w:qFormat/>
    <w:pPr>
      <w:ind w:left="1701"/>
      <w:spacing w:after="57"/>
    </w:pPr>
  </w:style>
  <w:style w:type="paragraph" w:styleId="678">
    <w:name w:val="Caption"/>
    <w:basedOn w:val="657"/>
    <w:next w:val="6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9">
    <w:name w:val="Document Map"/>
    <w:basedOn w:val="657"/>
    <w:link w:val="887"/>
    <w:uiPriority w:val="0"/>
    <w:semiHidden/>
    <w:qFormat/>
    <w:pPr>
      <w:shd w:val="clear" w:color="auto" w:fill="000080"/>
    </w:pPr>
    <w:rPr>
      <w:szCs w:val="21"/>
    </w:rPr>
  </w:style>
  <w:style w:type="paragraph" w:styleId="680">
    <w:name w:val="annotation text"/>
    <w:basedOn w:val="657"/>
    <w:link w:val="888"/>
    <w:uiPriority w:val="0"/>
    <w:unhideWhenUsed/>
    <w:qFormat/>
    <w:pPr>
      <w:jc w:val="left"/>
    </w:pPr>
  </w:style>
  <w:style w:type="paragraph" w:styleId="681">
    <w:name w:val="Body Text 3"/>
    <w:basedOn w:val="657"/>
    <w:link w:val="889"/>
    <w:uiPriority w:val="0"/>
    <w:qFormat/>
    <w:rPr>
      <w:rFonts w:ascii="仿宋_GB2312" w:hAnsi="Arial" w:eastAsia="仿宋_GB2312"/>
      <w:sz w:val="32"/>
      <w:szCs w:val="32"/>
    </w:rPr>
  </w:style>
  <w:style w:type="paragraph" w:styleId="682">
    <w:name w:val="Body Text"/>
    <w:basedOn w:val="657"/>
    <w:link w:val="890"/>
    <w:uiPriority w:val="0"/>
    <w:qFormat/>
    <w:rPr>
      <w:rFonts w:ascii="楷体_GB2312" w:hAnsi="Arial" w:eastAsia="楷体_GB2312"/>
      <w:sz w:val="28"/>
      <w:szCs w:val="28"/>
    </w:rPr>
  </w:style>
  <w:style w:type="paragraph" w:styleId="683">
    <w:name w:val="Body Text Indent"/>
    <w:basedOn w:val="657"/>
    <w:next w:val="684"/>
    <w:link w:val="891"/>
    <w:uiPriority w:val="0"/>
    <w:unhideWhenUsed/>
    <w:qFormat/>
    <w:pPr>
      <w:ind w:left="420"/>
      <w:spacing w:after="120"/>
    </w:pPr>
  </w:style>
  <w:style w:type="paragraph" w:styleId="684">
    <w:name w:val="envelope return"/>
    <w:basedOn w:val="657"/>
    <w:uiPriority w:val="0"/>
    <w:qFormat/>
    <w:rPr>
      <w:rFonts w:ascii="Arial" w:hAnsi="Arial" w:cs="宋体"/>
    </w:rPr>
  </w:style>
  <w:style w:type="paragraph" w:styleId="685">
    <w:name w:val="List 2"/>
    <w:basedOn w:val="657"/>
    <w:uiPriority w:val="0"/>
    <w:qFormat/>
    <w:pPr>
      <w:ind w:left="100" w:hanging="200"/>
    </w:pPr>
    <w:rPr>
      <w:szCs w:val="21"/>
    </w:rPr>
  </w:style>
  <w:style w:type="paragraph" w:styleId="686">
    <w:name w:val="toc 5"/>
    <w:basedOn w:val="657"/>
    <w:next w:val="657"/>
    <w:uiPriority w:val="39"/>
    <w:unhideWhenUsed/>
    <w:qFormat/>
    <w:pPr>
      <w:ind w:left="1134"/>
      <w:spacing w:after="57"/>
    </w:pPr>
  </w:style>
  <w:style w:type="paragraph" w:styleId="687">
    <w:name w:val="toc 3"/>
    <w:basedOn w:val="657"/>
    <w:next w:val="657"/>
    <w:uiPriority w:val="39"/>
    <w:unhideWhenUsed/>
    <w:qFormat/>
    <w:pPr>
      <w:ind w:left="567"/>
      <w:spacing w:after="57"/>
    </w:pPr>
  </w:style>
  <w:style w:type="paragraph" w:styleId="688">
    <w:name w:val="Plain Text"/>
    <w:basedOn w:val="657"/>
    <w:link w:val="895"/>
    <w:uiPriority w:val="0"/>
    <w:qFormat/>
    <w:rPr>
      <w:rFonts w:ascii="宋体" w:hAnsi="Courier New" w:cs="Courier New"/>
      <w:szCs w:val="21"/>
    </w:rPr>
  </w:style>
  <w:style w:type="paragraph" w:styleId="689">
    <w:name w:val="toc 8"/>
    <w:basedOn w:val="657"/>
    <w:next w:val="657"/>
    <w:uiPriority w:val="39"/>
    <w:unhideWhenUsed/>
    <w:qFormat/>
    <w:pPr>
      <w:ind w:left="1984"/>
      <w:spacing w:after="57"/>
    </w:pPr>
  </w:style>
  <w:style w:type="paragraph" w:styleId="690">
    <w:name w:val="Date"/>
    <w:basedOn w:val="657"/>
    <w:next w:val="657"/>
    <w:link w:val="897"/>
    <w:uiPriority w:val="0"/>
    <w:qFormat/>
    <w:rPr>
      <w:sz w:val="24"/>
      <w:szCs w:val="24"/>
    </w:rPr>
  </w:style>
  <w:style w:type="paragraph" w:styleId="691">
    <w:name w:val="Body Text Indent 2"/>
    <w:basedOn w:val="657"/>
    <w:link w:val="898"/>
    <w:uiPriority w:val="0"/>
    <w:qFormat/>
    <w:pPr>
      <w:ind w:left="630" w:firstLine="645"/>
    </w:pPr>
    <w:rPr>
      <w:rFonts w:ascii="Arial" w:hAnsi="Arial" w:eastAsia="仿宋_GB2312" w:cs="Arial"/>
      <w:sz w:val="32"/>
      <w:szCs w:val="32"/>
    </w:rPr>
  </w:style>
  <w:style w:type="paragraph" w:styleId="692">
    <w:name w:val="endnote text"/>
    <w:basedOn w:val="657"/>
    <w:link w:val="874"/>
    <w:uiPriority w:val="99"/>
    <w:semiHidden/>
    <w:unhideWhenUsed/>
    <w:qFormat/>
    <w:rPr>
      <w:sz w:val="20"/>
    </w:rPr>
  </w:style>
  <w:style w:type="paragraph" w:styleId="693">
    <w:name w:val="Balloon Text"/>
    <w:basedOn w:val="657"/>
    <w:link w:val="899"/>
    <w:uiPriority w:val="0"/>
    <w:semiHidden/>
    <w:qFormat/>
    <w:rPr>
      <w:sz w:val="18"/>
      <w:szCs w:val="18"/>
    </w:rPr>
  </w:style>
  <w:style w:type="paragraph" w:styleId="694">
    <w:name w:val="Footer"/>
    <w:basedOn w:val="657"/>
    <w:link w:val="900"/>
    <w:uiPriority w:val="0"/>
    <w:qFormat/>
    <w:pPr>
      <w:jc w:val="left"/>
      <w:tabs>
        <w:tab w:val="center" w:pos="4153" w:leader="none"/>
        <w:tab w:val="right" w:pos="8306" w:leader="none"/>
      </w:tabs>
    </w:pPr>
    <w:rPr>
      <w:sz w:val="18"/>
      <w:szCs w:val="18"/>
    </w:rPr>
  </w:style>
  <w:style w:type="paragraph" w:styleId="695">
    <w:name w:val="Header"/>
    <w:basedOn w:val="657"/>
    <w:link w:val="901"/>
    <w:uiPriority w:val="0"/>
    <w:qFormat/>
    <w:pPr>
      <w:jc w:val="center"/>
      <w:tabs>
        <w:tab w:val="center" w:pos="4153" w:leader="none"/>
        <w:tab w:val="right" w:pos="8306" w:leader="none"/>
      </w:tabs>
      <w:pBdr>
        <w:bottom w:val="single" w:color="000000" w:sz="6" w:space="1"/>
      </w:pBdr>
    </w:pPr>
    <w:rPr>
      <w:sz w:val="18"/>
      <w:szCs w:val="18"/>
    </w:rPr>
  </w:style>
  <w:style w:type="paragraph" w:styleId="696">
    <w:name w:val="toc 1"/>
    <w:basedOn w:val="657"/>
    <w:next w:val="657"/>
    <w:uiPriority w:val="39"/>
    <w:unhideWhenUsed/>
    <w:qFormat/>
    <w:pPr>
      <w:spacing w:after="57"/>
    </w:pPr>
  </w:style>
  <w:style w:type="paragraph" w:styleId="697">
    <w:name w:val="toc 4"/>
    <w:basedOn w:val="657"/>
    <w:next w:val="657"/>
    <w:uiPriority w:val="39"/>
    <w:unhideWhenUsed/>
    <w:qFormat/>
    <w:pPr>
      <w:ind w:left="850"/>
      <w:spacing w:after="57"/>
    </w:pPr>
  </w:style>
  <w:style w:type="paragraph" w:styleId="698">
    <w:name w:val="Subtitle"/>
    <w:basedOn w:val="657"/>
    <w:next w:val="657"/>
    <w:link w:val="740"/>
    <w:uiPriority w:val="11"/>
    <w:qFormat/>
    <w:pPr>
      <w:spacing w:before="200" w:after="200"/>
    </w:pPr>
    <w:rPr>
      <w:sz w:val="24"/>
      <w:szCs w:val="24"/>
    </w:rPr>
  </w:style>
  <w:style w:type="paragraph" w:styleId="699">
    <w:name w:val="List"/>
    <w:basedOn w:val="657"/>
    <w:uiPriority w:val="0"/>
    <w:qFormat/>
    <w:pPr>
      <w:ind w:left="200" w:hanging="200"/>
    </w:pPr>
    <w:rPr>
      <w:szCs w:val="21"/>
    </w:rPr>
  </w:style>
  <w:style w:type="paragraph" w:styleId="700">
    <w:name w:val="footnote text"/>
    <w:basedOn w:val="657"/>
    <w:link w:val="873"/>
    <w:uiPriority w:val="99"/>
    <w:semiHidden/>
    <w:unhideWhenUsed/>
    <w:qFormat/>
    <w:pPr>
      <w:spacing w:after="40"/>
    </w:pPr>
    <w:rPr>
      <w:sz w:val="18"/>
    </w:rPr>
  </w:style>
  <w:style w:type="paragraph" w:styleId="701">
    <w:name w:val="toc 6"/>
    <w:basedOn w:val="657"/>
    <w:next w:val="657"/>
    <w:uiPriority w:val="39"/>
    <w:unhideWhenUsed/>
    <w:qFormat/>
    <w:pPr>
      <w:ind w:left="1417"/>
      <w:spacing w:after="57"/>
    </w:pPr>
  </w:style>
  <w:style w:type="paragraph" w:styleId="702">
    <w:name w:val="Body Text Indent 3"/>
    <w:basedOn w:val="657"/>
    <w:link w:val="905"/>
    <w:uiPriority w:val="0"/>
    <w:qFormat/>
    <w:pPr>
      <w:ind w:left="645" w:firstLine="645"/>
    </w:pPr>
    <w:rPr>
      <w:rFonts w:ascii="Arial" w:hAnsi="Arial" w:eastAsia="仿宋_GB2312" w:cs="Arial"/>
      <w:color w:val="ffff00"/>
      <w:sz w:val="32"/>
      <w:szCs w:val="32"/>
    </w:rPr>
  </w:style>
  <w:style w:type="paragraph" w:styleId="703">
    <w:name w:val="table of figures"/>
    <w:basedOn w:val="657"/>
    <w:next w:val="657"/>
    <w:uiPriority w:val="0"/>
    <w:semiHidden/>
    <w:qFormat/>
    <w:pPr>
      <w:ind w:left="840" w:hanging="420"/>
    </w:pPr>
    <w:rPr>
      <w:szCs w:val="21"/>
    </w:rPr>
  </w:style>
  <w:style w:type="paragraph" w:styleId="704">
    <w:name w:val="toc 2"/>
    <w:basedOn w:val="657"/>
    <w:next w:val="657"/>
    <w:uiPriority w:val="39"/>
    <w:unhideWhenUsed/>
    <w:qFormat/>
    <w:pPr>
      <w:ind w:left="283"/>
      <w:spacing w:after="57"/>
    </w:pPr>
  </w:style>
  <w:style w:type="paragraph" w:styleId="705">
    <w:name w:val="toc 9"/>
    <w:basedOn w:val="657"/>
    <w:next w:val="657"/>
    <w:uiPriority w:val="39"/>
    <w:unhideWhenUsed/>
    <w:qFormat/>
    <w:pPr>
      <w:ind w:left="2268"/>
      <w:spacing w:after="57"/>
    </w:pPr>
  </w:style>
  <w:style w:type="paragraph" w:styleId="706">
    <w:name w:val="Body Text 2"/>
    <w:basedOn w:val="657"/>
    <w:link w:val="908"/>
    <w:uiPriority w:val="0"/>
    <w:qFormat/>
    <w:pPr>
      <w:jc w:val="center"/>
      <w:widowControl/>
    </w:pPr>
    <w:rPr>
      <w:rFonts w:ascii="楷体_GB2312" w:eastAsia="楷体_GB2312"/>
      <w:sz w:val="28"/>
      <w:szCs w:val="28"/>
    </w:rPr>
  </w:style>
  <w:style w:type="paragraph" w:styleId="707">
    <w:name w:val="Normal (Web)"/>
    <w:basedOn w:val="657"/>
    <w:uiPriority w:val="99"/>
    <w:qFormat/>
    <w:pPr>
      <w:jc w:val="left"/>
      <w:spacing w:before="100" w:beforeAutospacing="1" w:after="100" w:afterAutospacing="1"/>
      <w:widowControl/>
    </w:pPr>
    <w:rPr>
      <w:rFonts w:ascii="宋体" w:hAnsi="宋体" w:cs="宋体"/>
      <w:sz w:val="24"/>
      <w:szCs w:val="24"/>
    </w:rPr>
  </w:style>
  <w:style w:type="paragraph" w:styleId="708">
    <w:name w:val="index 1"/>
    <w:basedOn w:val="657"/>
    <w:next w:val="657"/>
    <w:uiPriority w:val="0"/>
    <w:semiHidden/>
    <w:qFormat/>
    <w:pPr>
      <w:spacing w:line="240" w:lineRule="atLeast"/>
    </w:pPr>
    <w:rPr>
      <w:b/>
      <w:bCs/>
      <w:szCs w:val="21"/>
    </w:rPr>
  </w:style>
  <w:style w:type="paragraph" w:styleId="709">
    <w:name w:val="Title"/>
    <w:basedOn w:val="657"/>
    <w:next w:val="657"/>
    <w:link w:val="739"/>
    <w:uiPriority w:val="10"/>
    <w:qFormat/>
    <w:pPr>
      <w:contextualSpacing/>
      <w:spacing w:before="300" w:after="200"/>
    </w:pPr>
    <w:rPr>
      <w:sz w:val="48"/>
      <w:szCs w:val="48"/>
    </w:rPr>
  </w:style>
  <w:style w:type="paragraph" w:styleId="710">
    <w:name w:val="annotation subject"/>
    <w:basedOn w:val="680"/>
    <w:next w:val="680"/>
    <w:link w:val="909"/>
    <w:uiPriority w:val="0"/>
    <w:semiHidden/>
    <w:qFormat/>
    <w:rPr>
      <w:b/>
      <w:bCs/>
      <w:szCs w:val="21"/>
    </w:rPr>
  </w:style>
  <w:style w:type="paragraph" w:styleId="711">
    <w:name w:val="Body Text First Indent 2"/>
    <w:basedOn w:val="683"/>
    <w:next w:val="657"/>
    <w:uiPriority w:val="0"/>
    <w:qFormat/>
    <w:pPr>
      <w:ind w:left="0" w:firstLine="420"/>
      <w:spacing w:after="0" w:line="360" w:lineRule="auto"/>
    </w:pPr>
    <w:rPr>
      <w:rFonts w:ascii="宋体" w:hAnsi="宋体"/>
      <w:sz w:val="20"/>
      <w:szCs w:val="20"/>
      <w:lang w:eastAsia="en-US"/>
    </w:rPr>
  </w:style>
  <w:style w:type="table" w:styleId="712">
    <w:name w:val="Table Grid"/>
    <w:basedOn w:val="6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Strong"/>
    <w:uiPriority w:val="0"/>
    <w:qFormat/>
    <w:rPr>
      <w:b/>
      <w:bCs/>
    </w:rPr>
  </w:style>
  <w:style w:type="character" w:styleId="714">
    <w:name w:val="endnote reference"/>
    <w:uiPriority w:val="99"/>
    <w:semiHidden/>
    <w:unhideWhenUsed/>
    <w:qFormat/>
    <w:rPr>
      <w:vertAlign w:val="superscript"/>
    </w:rPr>
  </w:style>
  <w:style w:type="character" w:styleId="715">
    <w:name w:val="page number"/>
    <w:uiPriority w:val="0"/>
    <w:qFormat/>
  </w:style>
  <w:style w:type="character" w:styleId="716">
    <w:name w:val="Hyperlink"/>
    <w:uiPriority w:val="0"/>
    <w:qFormat/>
    <w:rPr>
      <w:color w:val="0000ff"/>
      <w:u w:val="single"/>
    </w:rPr>
  </w:style>
  <w:style w:type="character" w:styleId="717">
    <w:name w:val="annotation reference"/>
    <w:uiPriority w:val="0"/>
    <w:semiHidden/>
    <w:qFormat/>
    <w:rPr>
      <w:sz w:val="21"/>
      <w:szCs w:val="21"/>
    </w:rPr>
  </w:style>
  <w:style w:type="character" w:styleId="718">
    <w:name w:val="footnote reference"/>
    <w:uiPriority w:val="99"/>
    <w:unhideWhenUsed/>
    <w:qFormat/>
    <w:rPr>
      <w:vertAlign w:val="superscript"/>
    </w:rPr>
  </w:style>
  <w:style w:type="paragraph" w:styleId="719" w:customStyle="1">
    <w:name w:val="正文首行缩进 21"/>
    <w:basedOn w:val="669"/>
    <w:next w:val="657"/>
    <w:link w:val="892"/>
    <w:uiPriority w:val="0"/>
    <w:qFormat/>
    <w:pPr>
      <w:ind w:left="0" w:firstLine="420"/>
      <w:spacing w:after="0" w:line="360" w:lineRule="auto"/>
    </w:pPr>
    <w:rPr>
      <w:rFonts w:ascii="宋体" w:hAnsi="宋体"/>
      <w:szCs w:val="20"/>
    </w:rPr>
  </w:style>
  <w:style w:type="paragraph" w:styleId="720" w:customStyle="1">
    <w:name w:val="正文文本缩进1"/>
    <w:basedOn w:val="657"/>
    <w:next w:val="719"/>
    <w:uiPriority w:val="0"/>
    <w:unhideWhenUsed/>
    <w:qFormat/>
    <w:pPr>
      <w:ind w:left="420"/>
      <w:spacing w:after="120"/>
    </w:pPr>
  </w:style>
  <w:style w:type="character" w:styleId="721" w:customStyle="1">
    <w:name w:val="Title Char"/>
    <w:basedOn w:val="667"/>
    <w:uiPriority w:val="10"/>
    <w:qFormat/>
    <w:rPr>
      <w:sz w:val="48"/>
      <w:szCs w:val="48"/>
    </w:rPr>
  </w:style>
  <w:style w:type="character" w:styleId="722" w:customStyle="1">
    <w:name w:val="Subtitle Char"/>
    <w:basedOn w:val="667"/>
    <w:uiPriority w:val="11"/>
    <w:qFormat/>
    <w:rPr>
      <w:sz w:val="24"/>
      <w:szCs w:val="24"/>
    </w:rPr>
  </w:style>
  <w:style w:type="character" w:styleId="723" w:customStyle="1">
    <w:name w:val="Quote Char"/>
    <w:uiPriority w:val="29"/>
    <w:qFormat/>
    <w:rPr>
      <w:i/>
    </w:rPr>
  </w:style>
  <w:style w:type="character" w:styleId="724" w:customStyle="1">
    <w:name w:val="Intense Quote Char"/>
    <w:uiPriority w:val="30"/>
    <w:qFormat/>
    <w:rPr>
      <w:i/>
    </w:rPr>
  </w:style>
  <w:style w:type="character" w:styleId="725" w:customStyle="1">
    <w:name w:val="Footnote Text Char"/>
    <w:uiPriority w:val="99"/>
    <w:qFormat/>
    <w:rPr>
      <w:sz w:val="18"/>
    </w:rPr>
  </w:style>
  <w:style w:type="character" w:styleId="726" w:customStyle="1">
    <w:name w:val="Endnote Text Char"/>
    <w:uiPriority w:val="99"/>
    <w:qFormat/>
    <w:rPr>
      <w:sz w:val="20"/>
    </w:rPr>
  </w:style>
  <w:style w:type="paragraph" w:styleId="727" w:customStyle="1">
    <w:name w:val="TOC Heading"/>
    <w:uiPriority w:val="39"/>
    <w:unhideWhenUsed/>
    <w:qFormat/>
    <w:rPr>
      <w:rFonts w:hint="default" w:ascii="Times New Roman" w:hAnsi="Times New Roman" w:eastAsia="宋体" w:cs="Times New Roman"/>
    </w:rPr>
  </w:style>
  <w:style w:type="character" w:styleId="728" w:customStyle="1">
    <w:name w:val="Heading 1 Char"/>
    <w:uiPriority w:val="9"/>
    <w:qFormat/>
    <w:rPr>
      <w:rFonts w:ascii="Arial" w:hAnsi="Arial" w:eastAsia="Arial" w:cs="Arial"/>
      <w:sz w:val="40"/>
      <w:szCs w:val="40"/>
    </w:rPr>
  </w:style>
  <w:style w:type="character" w:styleId="729" w:customStyle="1">
    <w:name w:val="Heading 2 Char"/>
    <w:uiPriority w:val="9"/>
    <w:qFormat/>
    <w:rPr>
      <w:rFonts w:ascii="Arial" w:hAnsi="Arial" w:eastAsia="Arial" w:cs="Arial"/>
      <w:sz w:val="34"/>
    </w:rPr>
  </w:style>
  <w:style w:type="character" w:styleId="730" w:customStyle="1">
    <w:name w:val="Heading 3 Char"/>
    <w:uiPriority w:val="9"/>
    <w:qFormat/>
    <w:rPr>
      <w:rFonts w:ascii="Arial" w:hAnsi="Arial" w:eastAsia="Arial" w:cs="Arial"/>
      <w:sz w:val="30"/>
      <w:szCs w:val="30"/>
    </w:rPr>
  </w:style>
  <w:style w:type="character" w:styleId="731" w:customStyle="1">
    <w:name w:val="Heading 4 Char"/>
    <w:uiPriority w:val="9"/>
    <w:qFormat/>
    <w:rPr>
      <w:rFonts w:ascii="Arial" w:hAnsi="Arial" w:eastAsia="Arial" w:cs="Arial"/>
      <w:b/>
      <w:bCs/>
      <w:sz w:val="26"/>
      <w:szCs w:val="26"/>
    </w:rPr>
  </w:style>
  <w:style w:type="character" w:styleId="732" w:customStyle="1">
    <w:name w:val="Heading 5 Char"/>
    <w:uiPriority w:val="9"/>
    <w:qFormat/>
    <w:rPr>
      <w:rFonts w:ascii="Arial" w:hAnsi="Arial" w:eastAsia="Arial" w:cs="Arial"/>
      <w:b/>
      <w:bCs/>
      <w:sz w:val="24"/>
      <w:szCs w:val="24"/>
    </w:rPr>
  </w:style>
  <w:style w:type="character" w:styleId="733" w:customStyle="1">
    <w:name w:val="Heading 6 Char"/>
    <w:uiPriority w:val="9"/>
    <w:qFormat/>
    <w:rPr>
      <w:rFonts w:ascii="Arial" w:hAnsi="Arial" w:eastAsia="Arial" w:cs="Arial"/>
      <w:b/>
      <w:bCs/>
      <w:sz w:val="22"/>
      <w:szCs w:val="22"/>
    </w:rPr>
  </w:style>
  <w:style w:type="character" w:styleId="734" w:customStyle="1">
    <w:name w:val="Heading 7 Char"/>
    <w:uiPriority w:val="9"/>
    <w:qFormat/>
    <w:rPr>
      <w:rFonts w:ascii="Arial" w:hAnsi="Arial" w:eastAsia="Arial" w:cs="Arial"/>
      <w:b/>
      <w:bCs/>
      <w:i/>
      <w:iCs/>
      <w:sz w:val="22"/>
      <w:szCs w:val="22"/>
    </w:rPr>
  </w:style>
  <w:style w:type="character" w:styleId="735" w:customStyle="1">
    <w:name w:val="Heading 8 Char"/>
    <w:uiPriority w:val="9"/>
    <w:qFormat/>
    <w:rPr>
      <w:rFonts w:ascii="Arial" w:hAnsi="Arial" w:eastAsia="Arial" w:cs="Arial"/>
      <w:i/>
      <w:iCs/>
      <w:sz w:val="22"/>
      <w:szCs w:val="22"/>
    </w:rPr>
  </w:style>
  <w:style w:type="character" w:styleId="736" w:customStyle="1">
    <w:name w:val="Heading 9 Char"/>
    <w:uiPriority w:val="9"/>
    <w:qFormat/>
    <w:rPr>
      <w:rFonts w:ascii="Arial" w:hAnsi="Arial" w:eastAsia="Arial" w:cs="Arial"/>
      <w:i/>
      <w:iCs/>
      <w:sz w:val="21"/>
      <w:szCs w:val="21"/>
    </w:rPr>
  </w:style>
  <w:style w:type="paragraph" w:styleId="737">
    <w:name w:val="List Paragraph"/>
    <w:basedOn w:val="657"/>
    <w:uiPriority w:val="34"/>
    <w:qFormat/>
    <w:pPr>
      <w:contextualSpacing/>
      <w:ind w:left="720"/>
    </w:pPr>
  </w:style>
  <w:style w:type="paragraph" w:styleId="738">
    <w:name w:val="No Spacing"/>
    <w:uiPriority w:val="99"/>
    <w:qFormat/>
    <w:pPr>
      <w:jc w:val="both"/>
      <w:widowControl w:val="off"/>
    </w:pPr>
    <w:rPr>
      <w:rFonts w:hint="default" w:ascii="Times New Roman" w:hAnsi="Times New Roman" w:eastAsia="宋体" w:cs="Times New Roman"/>
      <w:sz w:val="21"/>
      <w:szCs w:val="21"/>
    </w:rPr>
  </w:style>
  <w:style w:type="character" w:styleId="739" w:customStyle="1">
    <w:name w:val="标题 Char"/>
    <w:link w:val="709"/>
    <w:uiPriority w:val="10"/>
    <w:qFormat/>
    <w:rPr>
      <w:sz w:val="48"/>
      <w:szCs w:val="48"/>
    </w:rPr>
  </w:style>
  <w:style w:type="character" w:styleId="740" w:customStyle="1">
    <w:name w:val="副标题 Char"/>
    <w:link w:val="698"/>
    <w:uiPriority w:val="11"/>
    <w:qFormat/>
    <w:rPr>
      <w:sz w:val="24"/>
      <w:szCs w:val="24"/>
    </w:rPr>
  </w:style>
  <w:style w:type="paragraph" w:styleId="741">
    <w:name w:val="Quote"/>
    <w:basedOn w:val="657"/>
    <w:next w:val="657"/>
    <w:link w:val="742"/>
    <w:uiPriority w:val="29"/>
    <w:qFormat/>
    <w:pPr>
      <w:ind w:left="720" w:right="720"/>
    </w:pPr>
    <w:rPr>
      <w:i/>
    </w:rPr>
  </w:style>
  <w:style w:type="character" w:styleId="742" w:customStyle="1">
    <w:name w:val="引用 Char"/>
    <w:link w:val="741"/>
    <w:uiPriority w:val="29"/>
    <w:qFormat/>
    <w:rPr>
      <w:i/>
    </w:rPr>
  </w:style>
  <w:style w:type="paragraph" w:styleId="743">
    <w:name w:val="Intense Quote"/>
    <w:basedOn w:val="657"/>
    <w:next w:val="657"/>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明显引用 Char"/>
    <w:link w:val="743"/>
    <w:uiPriority w:val="30"/>
    <w:qFormat/>
    <w:rPr>
      <w:i/>
    </w:rPr>
  </w:style>
  <w:style w:type="character" w:styleId="745" w:customStyle="1">
    <w:name w:val="Header Char"/>
    <w:uiPriority w:val="99"/>
    <w:qFormat/>
  </w:style>
  <w:style w:type="character" w:styleId="746" w:customStyle="1">
    <w:name w:val="Footer Char"/>
    <w:uiPriority w:val="99"/>
    <w:qFormat/>
  </w:style>
  <w:style w:type="character" w:styleId="747" w:customStyle="1">
    <w:name w:val="Caption Char"/>
    <w:uiPriority w:val="99"/>
    <w:qFormat/>
  </w:style>
  <w:style w:type="table" w:styleId="7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脚注文本 Char"/>
    <w:link w:val="700"/>
    <w:uiPriority w:val="99"/>
    <w:qFormat/>
    <w:rPr>
      <w:sz w:val="18"/>
    </w:rPr>
  </w:style>
  <w:style w:type="character" w:styleId="874" w:customStyle="1">
    <w:name w:val="尾注文本 Char"/>
    <w:link w:val="692"/>
    <w:uiPriority w:val="99"/>
    <w:qFormat/>
    <w:rPr>
      <w:sz w:val="20"/>
    </w:rPr>
  </w:style>
  <w:style w:type="paragraph" w:styleId="875" w:customStyle="1">
    <w:name w:val="TOC 标题1"/>
    <w:uiPriority w:val="39"/>
    <w:unhideWhenUsed/>
    <w:qFormat/>
    <w:rPr>
      <w:rFonts w:hint="default" w:ascii="Times New Roman" w:hAnsi="Times New Roman" w:eastAsia="宋体" w:cs="Times New Roman"/>
    </w:rPr>
  </w:style>
  <w:style w:type="character" w:styleId="876" w:customStyle="1">
    <w:name w:val="标题 1 Char"/>
    <w:link w:val="658"/>
    <w:uiPriority w:val="0"/>
    <w:qFormat/>
    <w:rPr>
      <w:rFonts w:ascii="楷体_GB2312" w:hAnsi="楷体_GB2312" w:eastAsia="宋体" w:cs="Times New Roman"/>
      <w:b/>
      <w:sz w:val="48"/>
      <w:szCs w:val="28"/>
    </w:rPr>
  </w:style>
  <w:style w:type="character" w:styleId="877" w:customStyle="1">
    <w:name w:val="标题 2 Char"/>
    <w:link w:val="659"/>
    <w:uiPriority w:val="0"/>
    <w:qFormat/>
    <w:rPr>
      <w:rFonts w:ascii="Arial" w:hAnsi="Arial" w:eastAsia="幼圆" w:cs="Arial"/>
      <w:b/>
      <w:bCs/>
      <w:sz w:val="44"/>
      <w:szCs w:val="44"/>
    </w:rPr>
  </w:style>
  <w:style w:type="character" w:styleId="878" w:customStyle="1">
    <w:name w:val="正文缩进 Char"/>
    <w:link w:val="675"/>
    <w:uiPriority w:val="0"/>
    <w:qFormat/>
    <w:rPr>
      <w:szCs w:val="21"/>
    </w:rPr>
  </w:style>
  <w:style w:type="character" w:styleId="879" w:customStyle="1">
    <w:name w:val="标题 3 Char"/>
    <w:link w:val="660"/>
    <w:uiPriority w:val="0"/>
    <w:qFormat/>
    <w:rPr>
      <w:rFonts w:ascii="Times New Roman" w:hAnsi="Times New Roman" w:eastAsia="宋体" w:cs="Times New Roman"/>
      <w:b/>
      <w:bCs/>
      <w:sz w:val="32"/>
      <w:szCs w:val="32"/>
    </w:rPr>
  </w:style>
  <w:style w:type="character" w:styleId="880" w:customStyle="1">
    <w:name w:val="标题 4 Char"/>
    <w:link w:val="661"/>
    <w:uiPriority w:val="0"/>
    <w:qFormat/>
    <w:rPr>
      <w:rFonts w:ascii="Arial" w:hAnsi="Arial" w:eastAsia="黑体" w:cs="Arial"/>
      <w:b/>
      <w:bCs/>
      <w:sz w:val="28"/>
      <w:szCs w:val="28"/>
    </w:rPr>
  </w:style>
  <w:style w:type="character" w:styleId="881" w:customStyle="1">
    <w:name w:val="标题 5 Char"/>
    <w:link w:val="662"/>
    <w:uiPriority w:val="0"/>
    <w:qFormat/>
    <w:rPr>
      <w:rFonts w:ascii="宋体" w:hAnsi="Times New Roman" w:eastAsia="宋体" w:cs="Times New Roman"/>
      <w:color w:val="000000"/>
      <w:sz w:val="28"/>
      <w:szCs w:val="28"/>
    </w:rPr>
  </w:style>
  <w:style w:type="character" w:styleId="882" w:customStyle="1">
    <w:name w:val="标题 6 Char"/>
    <w:link w:val="663"/>
    <w:uiPriority w:val="0"/>
    <w:qFormat/>
    <w:rPr>
      <w:rFonts w:ascii="Arial" w:hAnsi="Arial" w:eastAsia="黑体" w:cs="Times New Roman"/>
      <w:b/>
      <w:bCs/>
      <w:sz w:val="24"/>
      <w:szCs w:val="24"/>
    </w:rPr>
  </w:style>
  <w:style w:type="character" w:styleId="883" w:customStyle="1">
    <w:name w:val="标题 7 Char"/>
    <w:link w:val="664"/>
    <w:uiPriority w:val="0"/>
    <w:qFormat/>
    <w:rPr>
      <w:rFonts w:ascii="Times New Roman" w:hAnsi="Times New Roman" w:eastAsia="宋体" w:cs="Times New Roman"/>
      <w:b/>
      <w:bCs/>
      <w:sz w:val="24"/>
      <w:szCs w:val="24"/>
    </w:rPr>
  </w:style>
  <w:style w:type="character" w:styleId="884" w:customStyle="1">
    <w:name w:val="标题 8 Char"/>
    <w:link w:val="665"/>
    <w:uiPriority w:val="0"/>
    <w:qFormat/>
    <w:rPr>
      <w:rFonts w:ascii="Arial" w:hAnsi="Arial" w:eastAsia="黑体" w:cs="Times New Roman"/>
      <w:sz w:val="24"/>
      <w:szCs w:val="24"/>
    </w:rPr>
  </w:style>
  <w:style w:type="character" w:styleId="885" w:customStyle="1">
    <w:name w:val="标题 9 Char"/>
    <w:link w:val="666"/>
    <w:uiPriority w:val="0"/>
    <w:qFormat/>
    <w:rPr>
      <w:rFonts w:ascii="Arial" w:hAnsi="Arial" w:eastAsia="黑体" w:cs="Times New Roman"/>
      <w:szCs w:val="21"/>
    </w:rPr>
  </w:style>
  <w:style w:type="paragraph" w:styleId="886" w:customStyle="1">
    <w:name w:val="目录 71"/>
    <w:basedOn w:val="657"/>
    <w:next w:val="657"/>
    <w:uiPriority w:val="0"/>
    <w:semiHidden/>
    <w:qFormat/>
    <w:pPr>
      <w:ind w:left="1260"/>
      <w:jc w:val="left"/>
    </w:pPr>
    <w:rPr>
      <w:szCs w:val="21"/>
    </w:rPr>
  </w:style>
  <w:style w:type="character" w:styleId="887" w:customStyle="1">
    <w:name w:val="文档结构图 Char"/>
    <w:link w:val="679"/>
    <w:uiPriority w:val="0"/>
    <w:semiHidden/>
    <w:qFormat/>
    <w:rPr>
      <w:rFonts w:ascii="Times New Roman" w:hAnsi="Times New Roman" w:eastAsia="宋体" w:cs="Times New Roman"/>
      <w:szCs w:val="21"/>
      <w:shd w:val="clear" w:color="auto" w:fill="000080"/>
    </w:rPr>
  </w:style>
  <w:style w:type="character" w:styleId="888" w:customStyle="1">
    <w:name w:val="批注文字 Char"/>
    <w:basedOn w:val="667"/>
    <w:link w:val="680"/>
    <w:uiPriority w:val="99"/>
    <w:semiHidden/>
    <w:qFormat/>
  </w:style>
  <w:style w:type="character" w:styleId="889" w:customStyle="1">
    <w:name w:val="正文文本 3 Char"/>
    <w:link w:val="681"/>
    <w:uiPriority w:val="0"/>
    <w:qFormat/>
    <w:rPr>
      <w:rFonts w:ascii="仿宋_GB2312" w:hAnsi="Arial" w:eastAsia="仿宋_GB2312" w:cs="Times New Roman"/>
      <w:sz w:val="32"/>
      <w:szCs w:val="32"/>
    </w:rPr>
  </w:style>
  <w:style w:type="character" w:styleId="890" w:customStyle="1">
    <w:name w:val="正文文本 Char"/>
    <w:link w:val="682"/>
    <w:uiPriority w:val="0"/>
    <w:qFormat/>
    <w:rPr>
      <w:rFonts w:ascii="楷体_GB2312" w:hAnsi="Arial" w:eastAsia="楷体_GB2312" w:cs="Times New Roman"/>
      <w:sz w:val="28"/>
      <w:szCs w:val="28"/>
    </w:rPr>
  </w:style>
  <w:style w:type="character" w:styleId="891" w:customStyle="1">
    <w:name w:val="正文文本缩进 Char"/>
    <w:basedOn w:val="667"/>
    <w:link w:val="683"/>
    <w:uiPriority w:val="99"/>
    <w:semiHidden/>
    <w:qFormat/>
  </w:style>
  <w:style w:type="character" w:styleId="892" w:customStyle="1">
    <w:name w:val="正文首行缩进 2 Char"/>
    <w:link w:val="719"/>
    <w:uiPriority w:val="0"/>
    <w:qFormat/>
    <w:rPr>
      <w:rFonts w:ascii="宋体" w:hAnsi="宋体" w:eastAsia="宋体" w:cs="Times New Roman"/>
      <w:szCs w:val="20"/>
    </w:rPr>
  </w:style>
  <w:style w:type="paragraph" w:styleId="893" w:customStyle="1">
    <w:name w:val="目录 51"/>
    <w:basedOn w:val="657"/>
    <w:next w:val="657"/>
    <w:uiPriority w:val="0"/>
    <w:semiHidden/>
    <w:qFormat/>
    <w:pPr>
      <w:ind w:left="840"/>
      <w:jc w:val="left"/>
    </w:pPr>
    <w:rPr>
      <w:szCs w:val="21"/>
    </w:rPr>
  </w:style>
  <w:style w:type="paragraph" w:styleId="894" w:customStyle="1">
    <w:name w:val="目录 31"/>
    <w:basedOn w:val="657"/>
    <w:next w:val="657"/>
    <w:uiPriority w:val="0"/>
    <w:semiHidden/>
    <w:qFormat/>
    <w:pPr>
      <w:ind w:left="420"/>
      <w:jc w:val="left"/>
    </w:pPr>
    <w:rPr>
      <w:i/>
      <w:iCs/>
      <w:szCs w:val="24"/>
    </w:rPr>
  </w:style>
  <w:style w:type="character" w:styleId="895" w:customStyle="1">
    <w:name w:val="纯文本 Char"/>
    <w:link w:val="688"/>
    <w:uiPriority w:val="0"/>
    <w:qFormat/>
    <w:rPr>
      <w:rFonts w:ascii="宋体" w:hAnsi="Courier New" w:eastAsia="宋体" w:cs="Courier New"/>
      <w:szCs w:val="21"/>
    </w:rPr>
  </w:style>
  <w:style w:type="paragraph" w:styleId="896" w:customStyle="1">
    <w:name w:val="目录 81"/>
    <w:basedOn w:val="657"/>
    <w:next w:val="657"/>
    <w:uiPriority w:val="0"/>
    <w:semiHidden/>
    <w:qFormat/>
    <w:pPr>
      <w:ind w:left="1470"/>
      <w:jc w:val="left"/>
    </w:pPr>
    <w:rPr>
      <w:szCs w:val="21"/>
    </w:rPr>
  </w:style>
  <w:style w:type="character" w:styleId="897" w:customStyle="1">
    <w:name w:val="日期 Char"/>
    <w:link w:val="690"/>
    <w:uiPriority w:val="0"/>
    <w:qFormat/>
    <w:rPr>
      <w:rFonts w:ascii="Times New Roman" w:hAnsi="Times New Roman" w:eastAsia="宋体" w:cs="Times New Roman"/>
      <w:sz w:val="24"/>
      <w:szCs w:val="24"/>
    </w:rPr>
  </w:style>
  <w:style w:type="character" w:styleId="898" w:customStyle="1">
    <w:name w:val="正文文本缩进 2 Char"/>
    <w:link w:val="691"/>
    <w:uiPriority w:val="0"/>
    <w:qFormat/>
    <w:rPr>
      <w:rFonts w:ascii="Arial" w:hAnsi="Arial" w:eastAsia="仿宋_GB2312" w:cs="Arial"/>
      <w:sz w:val="32"/>
      <w:szCs w:val="32"/>
    </w:rPr>
  </w:style>
  <w:style w:type="character" w:styleId="899" w:customStyle="1">
    <w:name w:val="批注框文本 Char"/>
    <w:link w:val="693"/>
    <w:uiPriority w:val="0"/>
    <w:semiHidden/>
    <w:qFormat/>
    <w:rPr>
      <w:rFonts w:ascii="Times New Roman" w:hAnsi="Times New Roman" w:eastAsia="宋体" w:cs="Times New Roman"/>
      <w:sz w:val="18"/>
      <w:szCs w:val="18"/>
    </w:rPr>
  </w:style>
  <w:style w:type="character" w:styleId="900" w:customStyle="1">
    <w:name w:val="页脚 Char"/>
    <w:link w:val="694"/>
    <w:uiPriority w:val="0"/>
    <w:qFormat/>
    <w:rPr>
      <w:rFonts w:ascii="Times New Roman" w:hAnsi="Times New Roman" w:eastAsia="宋体" w:cs="Times New Roman"/>
      <w:sz w:val="18"/>
      <w:szCs w:val="18"/>
    </w:rPr>
  </w:style>
  <w:style w:type="character" w:styleId="901" w:customStyle="1">
    <w:name w:val="页眉 Char"/>
    <w:link w:val="695"/>
    <w:uiPriority w:val="0"/>
    <w:qFormat/>
    <w:rPr>
      <w:rFonts w:ascii="Times New Roman" w:hAnsi="Times New Roman" w:eastAsia="宋体" w:cs="Times New Roman"/>
      <w:sz w:val="18"/>
      <w:szCs w:val="18"/>
    </w:rPr>
  </w:style>
  <w:style w:type="paragraph" w:styleId="902" w:customStyle="1">
    <w:name w:val="目录 11"/>
    <w:basedOn w:val="657"/>
    <w:next w:val="657"/>
    <w:uiPriority w:val="0"/>
    <w:semiHidden/>
    <w:qFormat/>
    <w:pPr>
      <w:jc w:val="left"/>
      <w:spacing w:before="120" w:after="120" w:line="400" w:lineRule="exact"/>
      <w:tabs>
        <w:tab w:val="right" w:pos="8720" w:leader="dot"/>
      </w:tabs>
    </w:pPr>
    <w:rPr>
      <w:rFonts w:ascii="宋体" w:hAnsi="宋体"/>
      <w:caps/>
      <w:sz w:val="24"/>
      <w:szCs w:val="24"/>
    </w:rPr>
  </w:style>
  <w:style w:type="paragraph" w:styleId="903" w:customStyle="1">
    <w:name w:val="目录 41"/>
    <w:basedOn w:val="657"/>
    <w:next w:val="657"/>
    <w:uiPriority w:val="0"/>
    <w:semiHidden/>
    <w:qFormat/>
    <w:pPr>
      <w:ind w:left="630"/>
      <w:jc w:val="left"/>
    </w:pPr>
    <w:rPr>
      <w:szCs w:val="21"/>
    </w:rPr>
  </w:style>
  <w:style w:type="paragraph" w:styleId="904" w:customStyle="1">
    <w:name w:val="目录 61"/>
    <w:basedOn w:val="657"/>
    <w:next w:val="657"/>
    <w:uiPriority w:val="0"/>
    <w:semiHidden/>
    <w:qFormat/>
    <w:pPr>
      <w:ind w:left="1050"/>
      <w:jc w:val="left"/>
    </w:pPr>
    <w:rPr>
      <w:szCs w:val="21"/>
    </w:rPr>
  </w:style>
  <w:style w:type="character" w:styleId="905" w:customStyle="1">
    <w:name w:val="正文文本缩进 3 Char"/>
    <w:link w:val="702"/>
    <w:uiPriority w:val="0"/>
    <w:qFormat/>
    <w:rPr>
      <w:rFonts w:ascii="Arial" w:hAnsi="Arial" w:eastAsia="仿宋_GB2312" w:cs="Arial"/>
      <w:color w:val="ffff00"/>
      <w:sz w:val="32"/>
      <w:szCs w:val="32"/>
    </w:rPr>
  </w:style>
  <w:style w:type="paragraph" w:styleId="906" w:customStyle="1">
    <w:name w:val="目录 21"/>
    <w:basedOn w:val="657"/>
    <w:next w:val="657"/>
    <w:uiPriority w:val="0"/>
    <w:semiHidden/>
    <w:qFormat/>
    <w:pPr>
      <w:ind w:left="210"/>
      <w:jc w:val="left"/>
    </w:pPr>
    <w:rPr>
      <w:smallCaps/>
      <w:szCs w:val="24"/>
    </w:rPr>
  </w:style>
  <w:style w:type="paragraph" w:styleId="907" w:customStyle="1">
    <w:name w:val="目录 91"/>
    <w:basedOn w:val="657"/>
    <w:next w:val="657"/>
    <w:uiPriority w:val="0"/>
    <w:semiHidden/>
    <w:qFormat/>
    <w:pPr>
      <w:ind w:left="1680"/>
      <w:jc w:val="left"/>
    </w:pPr>
    <w:rPr>
      <w:szCs w:val="21"/>
    </w:rPr>
  </w:style>
  <w:style w:type="character" w:styleId="908" w:customStyle="1">
    <w:name w:val="正文文本 2 Char"/>
    <w:link w:val="706"/>
    <w:uiPriority w:val="0"/>
    <w:qFormat/>
    <w:rPr>
      <w:rFonts w:ascii="楷体_GB2312" w:hAnsi="Times New Roman" w:eastAsia="楷体_GB2312" w:cs="Times New Roman"/>
      <w:sz w:val="28"/>
      <w:szCs w:val="28"/>
    </w:rPr>
  </w:style>
  <w:style w:type="character" w:styleId="909" w:customStyle="1">
    <w:name w:val="批注主题 Char"/>
    <w:link w:val="710"/>
    <w:uiPriority w:val="0"/>
    <w:semiHidden/>
    <w:qFormat/>
    <w:rPr>
      <w:rFonts w:ascii="Times New Roman" w:hAnsi="Times New Roman" w:eastAsia="宋体" w:cs="Times New Roman"/>
      <w:b/>
      <w:bCs/>
      <w:szCs w:val="21"/>
    </w:rPr>
  </w:style>
  <w:style w:type="paragraph" w:styleId="910" w:customStyle="1">
    <w:name w:val="正文首行缩进2"/>
    <w:basedOn w:val="657"/>
    <w:link w:val="911"/>
    <w:uiPriority w:val="0"/>
    <w:qFormat/>
    <w:pPr>
      <w:ind w:firstLine="200"/>
      <w:spacing w:line="360" w:lineRule="auto"/>
    </w:pPr>
    <w:rPr>
      <w:rFonts w:ascii="仿宋_GB2312" w:eastAsia="仿宋_GB2312"/>
      <w:sz w:val="30"/>
      <w:szCs w:val="30"/>
    </w:rPr>
  </w:style>
  <w:style w:type="character" w:styleId="911" w:customStyle="1">
    <w:name w:val="正文首行缩进 Char"/>
    <w:link w:val="910"/>
    <w:uiPriority w:val="0"/>
    <w:qFormat/>
    <w:rPr>
      <w:rFonts w:ascii="仿宋_GB2312" w:hAnsi="Times New Roman" w:eastAsia="仿宋_GB2312" w:cs="Times New Roman"/>
      <w:sz w:val="30"/>
      <w:szCs w:val="30"/>
    </w:rPr>
  </w:style>
  <w:style w:type="character" w:styleId="912" w:customStyle="1">
    <w:name w:val="已访问的超链接1"/>
    <w:uiPriority w:val="0"/>
    <w:qFormat/>
    <w:rPr>
      <w:color w:val="800080"/>
      <w:u w:val="single"/>
    </w:rPr>
  </w:style>
  <w:style w:type="paragraph" w:styleId="913" w:customStyle="1">
    <w:name w:val="索引 41"/>
    <w:basedOn w:val="657"/>
    <w:next w:val="657"/>
    <w:uiPriority w:val="0"/>
    <w:semiHidden/>
    <w:qFormat/>
    <w:pPr>
      <w:ind w:left="1260"/>
    </w:pPr>
    <w:rPr>
      <w:rFonts w:ascii="Calibri" w:hAnsi="Calibri" w:eastAsia="Calibri" w:cs="宋体"/>
      <w:sz w:val="20"/>
      <w:lang w:val="zh-CN"/>
    </w:rPr>
  </w:style>
  <w:style w:type="paragraph" w:styleId="914" w:customStyle="1">
    <w:name w:val="列出段落1"/>
    <w:basedOn w:val="657"/>
    <w:link w:val="915"/>
    <w:uiPriority w:val="0"/>
    <w:qFormat/>
    <w:pPr>
      <w:contextualSpacing/>
      <w:ind w:left="720"/>
      <w:jc w:val="left"/>
      <w:widowControl/>
    </w:pPr>
    <w:rPr>
      <w:rFonts w:ascii="Calibri" w:hAnsi="Calibri"/>
      <w:sz w:val="24"/>
      <w:szCs w:val="24"/>
      <w:lang w:eastAsia="en-US" w:bidi="en-US"/>
    </w:rPr>
  </w:style>
  <w:style w:type="character" w:styleId="915" w:customStyle="1">
    <w:name w:val="列出段落 Char"/>
    <w:link w:val="914"/>
    <w:uiPriority w:val="0"/>
    <w:qFormat/>
    <w:rPr>
      <w:rFonts w:ascii="Calibri" w:hAnsi="Calibri"/>
      <w:sz w:val="24"/>
      <w:szCs w:val="24"/>
      <w:lang w:eastAsia="en-US" w:bidi="en-US"/>
    </w:rPr>
  </w:style>
  <w:style w:type="character" w:styleId="916" w:customStyle="1">
    <w:name w:val="font5 Char"/>
    <w:uiPriority w:val="0"/>
    <w:qFormat/>
    <w:rPr>
      <w:rFonts w:ascii="宋体" w:hAnsi="宋体" w:eastAsia="宋体"/>
      <w:sz w:val="28"/>
      <w:szCs w:val="28"/>
      <w:lang w:val="en-US" w:eastAsia="zh-CN" w:bidi="ar-SA"/>
    </w:rPr>
  </w:style>
  <w:style w:type="character" w:styleId="917" w:customStyle="1">
    <w:name w:val="二级目录 Char"/>
    <w:link w:val="918"/>
    <w:uiPriority w:val="0"/>
    <w:qFormat/>
    <w:rPr>
      <w:b/>
      <w:sz w:val="30"/>
      <w:szCs w:val="28"/>
    </w:rPr>
  </w:style>
  <w:style w:type="paragraph" w:styleId="918" w:customStyle="1">
    <w:name w:val="二级目录"/>
    <w:next w:val="657"/>
    <w:link w:val="917"/>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paragraph" w:styleId="919" w:customStyle="1">
    <w:name w:val="Body Text(ch)"/>
    <w:basedOn w:val="657"/>
    <w:next w:val="682"/>
    <w:uiPriority w:val="0"/>
    <w:qFormat/>
    <w:pPr>
      <w:spacing w:after="120"/>
    </w:pPr>
    <w:rPr>
      <w:rFonts w:ascii="宋体" w:hAnsi="Arial"/>
      <w:bCs/>
      <w:iCs/>
      <w:szCs w:val="24"/>
    </w:rPr>
  </w:style>
  <w:style w:type="paragraph" w:styleId="920" w:customStyle="1">
    <w:name w:val="xl27"/>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1" w:customStyle="1">
    <w:name w:val="xl26"/>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2" w:customStyle="1">
    <w:name w:val="Char"/>
    <w:basedOn w:val="657"/>
    <w:uiPriority w:val="0"/>
    <w:qFormat/>
    <w:pPr>
      <w:ind w:firstLine="200"/>
      <w:tabs>
        <w:tab w:val="left" w:pos="360" w:leader="none"/>
      </w:tabs>
    </w:pPr>
    <w:rPr>
      <w:sz w:val="28"/>
      <w:szCs w:val="30"/>
    </w:rPr>
  </w:style>
  <w:style w:type="paragraph" w:styleId="923" w:customStyle="1">
    <w:name w:val="Char1"/>
    <w:basedOn w:val="679"/>
    <w:uiPriority w:val="0"/>
    <w:qFormat/>
    <w:rPr>
      <w:rFonts w:ascii="Tahoma" w:hAnsi="Tahoma"/>
      <w:sz w:val="24"/>
      <w:szCs w:val="24"/>
    </w:rPr>
  </w:style>
  <w:style w:type="paragraph" w:styleId="924" w:customStyle="1">
    <w:name w:val="普通正文"/>
    <w:basedOn w:val="657"/>
    <w:uiPriority w:val="0"/>
    <w:qFormat/>
    <w:pPr>
      <w:ind w:firstLine="480"/>
      <w:jc w:val="left"/>
      <w:spacing w:before="120" w:after="120" w:line="360" w:lineRule="auto"/>
    </w:pPr>
    <w:rPr>
      <w:rFonts w:ascii="Arial" w:hAnsi="Arial"/>
      <w:sz w:val="24"/>
      <w:szCs w:val="24"/>
    </w:rPr>
  </w:style>
  <w:style w:type="paragraph" w:styleId="925" w:customStyle="1">
    <w:name w:val="table_lines"/>
    <w:basedOn w:val="657"/>
    <w:uiPriority w:val="0"/>
    <w:qFormat/>
    <w:pPr>
      <w:jc w:val="left"/>
      <w:widowControl/>
    </w:pPr>
    <w:rPr>
      <w:sz w:val="20"/>
      <w:szCs w:val="20"/>
      <w:lang w:val="de-DE" w:eastAsia="de-DE"/>
    </w:rPr>
  </w:style>
  <w:style w:type="paragraph" w:styleId="92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27" w:customStyle="1">
    <w:name w:val="font7"/>
    <w:basedOn w:val="657"/>
    <w:uiPriority w:val="0"/>
    <w:qFormat/>
    <w:pPr>
      <w:jc w:val="left"/>
      <w:spacing w:before="100" w:beforeAutospacing="1" w:after="100" w:afterAutospacing="1"/>
      <w:widowControl/>
    </w:pPr>
    <w:rPr>
      <w:rFonts w:hint="eastAsia" w:ascii="宋体" w:hAnsi="宋体"/>
      <w:sz w:val="18"/>
      <w:szCs w:val="18"/>
    </w:rPr>
  </w:style>
  <w:style w:type="paragraph" w:styleId="928" w:customStyle="1">
    <w:name w:val="Char Char Char Char"/>
    <w:basedOn w:val="679"/>
    <w:uiPriority w:val="0"/>
    <w:qFormat/>
    <w:pPr>
      <w:spacing w:line="360" w:lineRule="auto"/>
    </w:pPr>
    <w:rPr>
      <w:rFonts w:ascii="Tahoma" w:hAnsi="Tahoma"/>
      <w:sz w:val="24"/>
      <w:szCs w:val="24"/>
    </w:rPr>
  </w:style>
  <w:style w:type="paragraph" w:styleId="929" w:customStyle="1">
    <w:name w:val="列出段落2"/>
    <w:basedOn w:val="657"/>
    <w:uiPriority w:val="0"/>
    <w:qFormat/>
    <w:pPr>
      <w:contextualSpacing/>
      <w:ind w:left="720"/>
      <w:jc w:val="left"/>
      <w:widowControl/>
    </w:pPr>
    <w:rPr>
      <w:rFonts w:ascii="Calibri" w:hAnsi="Calibri"/>
      <w:sz w:val="24"/>
      <w:szCs w:val="24"/>
      <w:lang w:eastAsia="en-US" w:bidi="en-US"/>
    </w:rPr>
  </w:style>
  <w:style w:type="paragraph" w:styleId="930" w:customStyle="1">
    <w:name w:val="4"/>
    <w:basedOn w:val="657"/>
    <w:next w:val="702"/>
    <w:uiPriority w:val="0"/>
    <w:qFormat/>
    <w:pPr>
      <w:ind w:firstLine="420"/>
      <w:spacing w:line="360" w:lineRule="auto"/>
    </w:pPr>
    <w:rPr>
      <w:color w:val="ff0000"/>
      <w:sz w:val="24"/>
      <w:szCs w:val="24"/>
    </w:rPr>
  </w:style>
  <w:style w:type="paragraph" w:styleId="931" w:customStyle="1">
    <w:name w:val="普通 (Web)"/>
    <w:basedOn w:val="657"/>
    <w:uiPriority w:val="0"/>
    <w:qFormat/>
    <w:pPr>
      <w:jc w:val="left"/>
      <w:spacing w:before="100" w:beforeAutospacing="1" w:after="100" w:afterAutospacing="1"/>
      <w:widowControl/>
    </w:pPr>
    <w:rPr>
      <w:rFonts w:ascii="宋体" w:hAnsi="宋体"/>
      <w:sz w:val="24"/>
      <w:szCs w:val="24"/>
    </w:rPr>
  </w:style>
  <w:style w:type="paragraph" w:styleId="932" w:customStyle="1">
    <w:name w:val="Char Char Char Char Char Char Char Char Char Char"/>
    <w:basedOn w:val="657"/>
    <w:uiPriority w:val="0"/>
    <w:qFormat/>
    <w:pPr>
      <w:spacing w:line="360" w:lineRule="auto"/>
    </w:pPr>
    <w:rPr>
      <w:sz w:val="24"/>
      <w:szCs w:val="20"/>
    </w:rPr>
  </w:style>
  <w:style w:type="paragraph" w:styleId="933" w:customStyle="1">
    <w:name w:val="样式1"/>
    <w:basedOn w:val="657"/>
    <w:uiPriority w:val="0"/>
    <w:qFormat/>
    <w:pPr>
      <w:numPr>
        <w:ilvl w:val="0"/>
        <w:numId w:val="3"/>
      </w:numPr>
    </w:pPr>
    <w:rPr>
      <w:rFonts w:ascii="宋体" w:hAnsi="宋体"/>
      <w:szCs w:val="21"/>
    </w:rPr>
  </w:style>
  <w:style w:type="paragraph" w:styleId="934" w:customStyle="1">
    <w:name w:val="font6"/>
    <w:basedOn w:val="657"/>
    <w:uiPriority w:val="0"/>
    <w:qFormat/>
    <w:pPr>
      <w:jc w:val="left"/>
      <w:spacing w:before="100" w:beforeAutospacing="1" w:after="100" w:afterAutospacing="1"/>
      <w:widowControl/>
    </w:pPr>
    <w:rPr>
      <w:rFonts w:hint="eastAsia" w:ascii="宋体" w:hAnsi="宋体"/>
      <w:sz w:val="28"/>
      <w:szCs w:val="28"/>
      <w:u w:val="single"/>
    </w:rPr>
  </w:style>
  <w:style w:type="paragraph" w:styleId="935" w:customStyle="1">
    <w:name w:val="xl25"/>
    <w:basedOn w:val="65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6" w:customStyle="1">
    <w:name w:val="图标"/>
    <w:basedOn w:val="657"/>
    <w:next w:val="65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7" w:customStyle="1">
    <w:name w:val="标题3"/>
    <w:basedOn w:val="657"/>
    <w:next w:val="657"/>
    <w:uiPriority w:val="0"/>
    <w:qFormat/>
    <w:pPr>
      <w:ind w:firstLine="624"/>
      <w:spacing w:line="590" w:lineRule="atLeast"/>
    </w:pPr>
    <w:rPr>
      <w:rFonts w:ascii="方正黑体_GBK" w:eastAsia="方正黑体_GBK"/>
      <w:sz w:val="32"/>
      <w:szCs w:val="32"/>
    </w:rPr>
  </w:style>
  <w:style w:type="paragraph" w:styleId="938" w:customStyle="1">
    <w:name w:val="xl24"/>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9" w:customStyle="1">
    <w:name w:val="xl29"/>
    <w:basedOn w:val="65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0" w:customStyle="1">
    <w:name w:val="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41" w:customStyle="1">
    <w:name w:val="xl28"/>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2" w:customStyle="1">
    <w:name w:val="Char Char Char Char Char Char Char Char1"/>
    <w:basedOn w:val="657"/>
    <w:uiPriority w:val="0"/>
    <w:qFormat/>
    <w:pPr>
      <w:jc w:val="left"/>
      <w:spacing w:after="160" w:line="240" w:lineRule="exact"/>
      <w:widowControl/>
    </w:pPr>
    <w:rPr>
      <w:rFonts w:ascii="Verdana" w:hAnsi="Verdana"/>
      <w:sz w:val="20"/>
      <w:szCs w:val="20"/>
      <w:lang w:eastAsia="en-US"/>
    </w:rPr>
  </w:style>
  <w:style w:type="paragraph" w:styleId="943" w:customStyle="1">
    <w:name w:val="xl30"/>
    <w:basedOn w:val="657"/>
    <w:uiPriority w:val="0"/>
    <w:qFormat/>
    <w:pPr>
      <w:jc w:val="center"/>
      <w:spacing w:before="100" w:beforeAutospacing="1" w:after="100" w:afterAutospacing="1"/>
      <w:widowControl/>
    </w:pPr>
    <w:rPr>
      <w:rFonts w:ascii="宋体" w:hAnsi="宋体"/>
      <w:b/>
      <w:bCs/>
      <w:sz w:val="36"/>
      <w:szCs w:val="36"/>
    </w:rPr>
  </w:style>
  <w:style w:type="paragraph" w:styleId="944" w:customStyle="1">
    <w:name w:val="Char Char Char Char1"/>
    <w:basedOn w:val="679"/>
    <w:uiPriority w:val="0"/>
    <w:qFormat/>
    <w:pPr>
      <w:spacing w:line="360" w:lineRule="auto"/>
    </w:pPr>
    <w:rPr>
      <w:rFonts w:ascii="Tahoma" w:hAnsi="Tahoma"/>
      <w:sz w:val="24"/>
      <w:szCs w:val="24"/>
    </w:rPr>
  </w:style>
  <w:style w:type="paragraph" w:styleId="945" w:customStyle="1">
    <w:name w:val="table_1stline"/>
    <w:basedOn w:val="657"/>
    <w:uiPriority w:val="0"/>
    <w:qFormat/>
    <w:pPr>
      <w:jc w:val="left"/>
      <w:spacing w:before="120"/>
      <w:widowControl/>
    </w:pPr>
    <w:rPr>
      <w:bCs/>
      <w:sz w:val="20"/>
      <w:szCs w:val="20"/>
      <w:lang w:val="de-DE" w:eastAsia="de-DE"/>
    </w:rPr>
  </w:style>
  <w:style w:type="paragraph" w:styleId="946" w:customStyle="1">
    <w:name w:val="font5"/>
    <w:basedOn w:val="657"/>
    <w:uiPriority w:val="0"/>
    <w:qFormat/>
    <w:pPr>
      <w:jc w:val="left"/>
      <w:spacing w:before="100" w:beforeAutospacing="1" w:after="100" w:afterAutospacing="1"/>
      <w:widowControl/>
    </w:pPr>
    <w:rPr>
      <w:rFonts w:hint="eastAsia" w:ascii="宋体" w:hAnsi="宋体"/>
      <w:sz w:val="28"/>
      <w:szCs w:val="28"/>
    </w:rPr>
  </w:style>
  <w:style w:type="paragraph" w:styleId="947" w:customStyle="1">
    <w:name w:val="标题1"/>
    <w:basedOn w:val="657"/>
    <w:next w:val="65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8" w:customStyle="1">
    <w:name w:val="修订1"/>
    <w:uiPriority w:val="99"/>
    <w:semiHidden/>
    <w:qFormat/>
    <w:rPr>
      <w:rFonts w:hint="default" w:ascii="Times New Roman" w:hAnsi="Times New Roman" w:eastAsia="宋体" w:cs="Times New Roman"/>
      <w:sz w:val="21"/>
      <w:szCs w:val="21"/>
    </w:rPr>
  </w:style>
  <w:style w:type="table" w:styleId="949" w:customStyle="1">
    <w:name w:val="Table Normal"/>
    <w:uiPriority w:val="0"/>
    <w:qFormat/>
    <w:tblPr>
      <w:tblCellMar>
        <w:left w:w="0" w:type="dxa"/>
        <w:top w:w="0" w:type="dxa"/>
        <w:right w:w="0" w:type="dxa"/>
        <w:bottom w:w="0" w:type="dxa"/>
      </w:tblCellMar>
    </w:tblPr>
  </w:style>
  <w:style w:type="paragraph" w:styleId="950" w:customStyle="1">
    <w:name w:val="正文文本12"/>
    <w:basedOn w:val="657"/>
    <w:uiPriority w:val="1"/>
    <w:qFormat/>
    <w:pPr>
      <w:ind w:left="120"/>
    </w:pPr>
    <w:rPr>
      <w:rFonts w:ascii="宋体" w:hAnsi="宋体" w:cs="宋体"/>
      <w:szCs w:val="21"/>
      <w:lang w:val="zh-CN" w:bidi="zh-CN"/>
    </w:rPr>
  </w:style>
  <w:style w:type="paragraph" w:styleId="951" w:customStyle="1">
    <w:name w:val="正文文本 211"/>
    <w:basedOn w:val="657"/>
    <w:uiPriority w:val="99"/>
    <w:qFormat/>
    <w:pPr>
      <w:jc w:val="center"/>
    </w:pPr>
    <w:rPr>
      <w:b/>
      <w:bCs/>
      <w:sz w:val="20"/>
      <w:szCs w:val="20"/>
    </w:rPr>
  </w:style>
  <w:style w:type="paragraph" w:styleId="952" w:customStyle="1">
    <w:name w:val="Table Paragraph"/>
    <w:basedOn w:val="657"/>
    <w:uiPriority w:val="1"/>
    <w:qFormat/>
    <w:pPr>
      <w:jc w:val="left"/>
    </w:pPr>
    <w:rPr>
      <w:rFonts w:ascii="宋体" w:hAnsi="宋体" w:cs="宋体"/>
      <w:sz w:val="22"/>
      <w:lang w:val="zh-CN" w:bidi="zh-CN"/>
    </w:rPr>
  </w:style>
  <w:style w:type="table" w:styleId="953" w:customStyle="1">
    <w:name w:val="网格型1"/>
    <w:basedOn w:val="954"/>
    <w:uiPriority w:val="0"/>
    <w:qFormat/>
    <w:pPr>
      <w:jc w:val="both"/>
      <w:widowControl w:val="off"/>
    </w:pPr>
    <w:tblPr>
      <w:tblCellMar>
        <w:left w:w="0" w:type="dxa"/>
        <w:top w:w="0" w:type="dxa"/>
        <w:right w:w="0" w:type="dxa"/>
        <w:bottom w:w="0" w:type="dxa"/>
      </w:tblCellMar>
    </w:tblPr>
  </w:style>
  <w:style w:type="table" w:styleId="954" w:customStyle="1">
    <w:name w:val="普通表格1"/>
    <w:uiPriority w:val="99"/>
    <w:unhideWhenUsed/>
    <w:qFormat/>
    <w:tblPr>
      <w:tblCellMar>
        <w:left w:w="0" w:type="dxa"/>
        <w:top w:w="0" w:type="dxa"/>
        <w:right w:w="0" w:type="dxa"/>
        <w:bottom w:w="0" w:type="dxa"/>
      </w:tblCellMar>
    </w:tblPr>
  </w:style>
  <w:style w:type="paragraph" w:styleId="955" w:customStyle="1">
    <w:name w:val="纯文本1"/>
    <w:basedOn w:val="657"/>
    <w:uiPriority w:val="0"/>
    <w:qFormat/>
    <w:rPr>
      <w:rFonts w:ascii="宋体" w:hAnsi="Courier New" w:cs="Courier New"/>
      <w:szCs w:val="21"/>
    </w:rPr>
  </w:style>
  <w:style w:type="paragraph" w:styleId="956" w:customStyle="1">
    <w:name w:val="标题 41"/>
    <w:basedOn w:val="657"/>
    <w:next w:val="657"/>
    <w:uiPriority w:val="99"/>
    <w:qFormat/>
    <w:pPr>
      <w:keepLines/>
      <w:keepNext/>
      <w:spacing w:line="360" w:lineRule="exact"/>
      <w:outlineLvl w:val="3"/>
    </w:pPr>
    <w:rPr>
      <w:rFonts w:ascii="宋体" w:hAnsi="宋体"/>
      <w:b/>
      <w:szCs w:val="21"/>
    </w:rPr>
  </w:style>
  <w:style w:type="character" w:styleId="957" w:customStyle="1">
    <w:name w:val="font01"/>
    <w:basedOn w:val="958"/>
    <w:uiPriority w:val="0"/>
    <w:qFormat/>
    <w:rPr>
      <w:rFonts w:ascii="Times New Roman" w:hAnsi="Times New Roman" w:eastAsia="宋体" w:cs="Times New Roman"/>
      <w:sz w:val="21"/>
      <w:szCs w:val="22"/>
      <w:lang w:val="en-US" w:eastAsia="zh-CN" w:bidi="ar-SA"/>
    </w:rPr>
  </w:style>
  <w:style w:type="character" w:styleId="958" w:customStyle="1">
    <w:name w:val="默认段落字体1"/>
    <w:link w:val="657"/>
    <w:uiPriority w:val="1"/>
    <w:unhideWhenUsed/>
    <w:qFormat/>
  </w:style>
  <w:style w:type="paragraph" w:styleId="959" w:customStyle="1">
    <w:name w:val="Default"/>
    <w:uiPriority w:val="0"/>
    <w:qFormat/>
    <w:pPr>
      <w:jc w:val="both"/>
      <w:widowControl w:val="off"/>
    </w:pPr>
    <w:rPr>
      <w:rFonts w:hint="eastAsia" w:ascii="Arial Unicode MS" w:hAnsi="Arial Unicode MS" w:eastAsia="Arial Unicode MS" w:cs="Arial Unicode MS"/>
      <w:color w:val="000000"/>
      <w:sz w:val="24"/>
      <w:szCs w:val="24"/>
    </w:rPr>
  </w:style>
  <w:style w:type="character" w:styleId="960" w:customStyle="1">
    <w:name w:val="font41"/>
    <w:basedOn w:val="958"/>
    <w:link w:val="657"/>
    <w:uiPriority w:val="0"/>
    <w:qFormat/>
    <w:rPr>
      <w:rFonts w:hint="default" w:ascii="Times New Roman" w:hAnsi="Times New Roman" w:eastAsia="宋体" w:cs="Times New Roman"/>
      <w:sz w:val="21"/>
      <w:szCs w:val="22"/>
    </w:rPr>
  </w:style>
  <w:style w:type="character" w:styleId="961" w:customStyle="1">
    <w:name w:val="font141"/>
    <w:basedOn w:val="958"/>
    <w:link w:val="657"/>
    <w:uiPriority w:val="0"/>
    <w:qFormat/>
    <w:rPr>
      <w:rFonts w:hint="eastAsia" w:ascii="宋体" w:hAnsi="宋体" w:eastAsia="宋体" w:cs="宋体"/>
      <w:b/>
      <w:bCs/>
      <w:color w:val="000000"/>
      <w:sz w:val="20"/>
      <w:szCs w:val="20"/>
      <w:u w:val="none"/>
    </w:rPr>
  </w:style>
  <w:style w:type="character" w:styleId="962" w:customStyle="1">
    <w:name w:val="font51"/>
    <w:basedOn w:val="958"/>
    <w:link w:val="657"/>
    <w:uiPriority w:val="0"/>
    <w:qFormat/>
    <w:rPr>
      <w:rFonts w:hint="eastAsia" w:ascii="宋体" w:hAnsi="宋体" w:eastAsia="宋体" w:cs="宋体"/>
      <w:color w:val="000000"/>
      <w:sz w:val="20"/>
      <w:szCs w:val="20"/>
      <w:u w:val="none"/>
    </w:rPr>
  </w:style>
  <w:style w:type="paragraph" w:styleId="963" w:customStyle="1">
    <w:name w:val="HTML 预设格式1"/>
    <w:basedOn w:val="657"/>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 w:type="paragraph" w:styleId="964" w:customStyle="1">
    <w:name w:val="首行缩进"/>
    <w:basedOn w:val="657"/>
    <w:uiPriority w:val="0"/>
    <w:qFormat/>
    <w:pPr>
      <w:ind w:firstLine="480"/>
    </w:pPr>
    <w:rPr>
      <w:lang w:val="zh-CN"/>
    </w:rPr>
  </w:style>
  <w:style w:type="numbering" w:styleId="86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4ee2ee20-6dab-4516-9356-6b8a2f1a8fdc</errorID>
      <errorWord>(</errorWord>
      <group>L1_Format</group>
      <groupName>格式问题</groupName>
      <ability>L2_HalfPunc</ability>
      <abilityName>全半角检查</abilityName>
      <candidateList>
        <item>（</item>
      </candidateList>
      <explain>文本全半角错误。</explain>
      <paraID>4A2B7948</paraID>
      <start>101</start>
      <end>102</end>
      <status>unmodified</status>
      <modifiedWord/>
      <trackRevisions>false</trackRevisions>
    </reviewItem>
    <reviewItem>
      <errorID>e4005b27-0201-49c6-84d8-7e171ace4f08</errorID>
      <errorWord>)</errorWord>
      <group>L1_Format</group>
      <groupName>格式问题</groupName>
      <ability>L2_HalfPunc</ability>
      <abilityName>全半角检查</abilityName>
      <candidateList>
        <item>）</item>
      </candidateList>
      <explain>文本全半角错误。</explain>
      <paraID>4A2B7948</paraID>
      <start>111</start>
      <end>112</end>
      <status>unmodified</status>
      <modifiedWord/>
      <trackRevisions>false</trackRevisions>
    </reviewItem>
    <reviewItem>
      <errorID>285149d6-3d79-4f76-9e15-b9d456bb5eda</errorID>
      <errorWord>间</errorWord>
      <group>L1_Word</group>
      <groupName>字词问题</groupName>
      <ability>L2_Typo</ability>
      <abilityName>字词错误</abilityName>
      <candidateList>
        <item>间之</item>
      </candidateList>
      <explain/>
      <paraID>5748B44E</paraID>
      <start>10</start>
      <end>11</end>
      <status>unmodified</status>
      <modifiedWord/>
      <trackRevisions>false</trackRevisions>
    </reviewItem>
    <reviewItem>
      <errorID>ab78d3c9-214b-4e3e-b92e-57ebc7f9bc8f</errorID>
      <errorWord>法律、法规</errorWord>
      <group>L1_Word</group>
      <groupName>字词问题</groupName>
      <ability>L2_Typo</ability>
      <abilityName>字词错误</abilityName>
      <candidateList>
        <item>法律法规</item>
      </candidateList>
      <explain/>
      <paraID>184C1738</paraID>
      <start>11</start>
      <end>16</end>
      <status>unmodified</status>
      <modifiedWord/>
      <trackRevisions>false</trackRevisions>
    </reviewItem>
    <reviewItem>
      <errorID>6ca7ba16-5752-4fd3-8a96-b346f6c9148d</errorID>
      <errorWord>做无效投标</errorWord>
      <group>L1_Word</group>
      <groupName>字词问题</groupName>
      <ability>L2_Typo</ability>
      <abilityName>字词错误</abilityName>
      <candidateList>
        <item>作无效投标</item>
      </candidateList>
      <explain/>
      <paraID>694CB0FC</paraID>
      <start>79</start>
      <end>84</end>
      <status>modified</status>
      <modifiedWord>作无效投标</modifiedWord>
      <trackRevisions>false</trackRevisions>
    </reviewItem>
    <reviewItem>
      <errorID>a07dd9e7-4825-4152-90c9-867add1ea207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2D444CA2</paraID>
      <start>14</start>
      <end>16</end>
      <status>modified</status>
      <modifiedWord>涉及</modifiedWord>
      <trackRevisions>false</trackRevisions>
    </reviewItem>
    <reviewItem>
      <errorID>e10850e3-4020-4235-aca2-88ee16742af7</errorID>
      <errorWord>不</errorWord>
      <group>L1_Word</group>
      <groupName>字词问题</groupName>
      <ability>L2_Typo</ability>
      <abilityName>字词错误</abilityName>
      <candidateList>
        <item>不符</item>
      </candidateList>
      <explain/>
      <paraID>5DE7E2DE</paraID>
      <start>46</start>
      <end>48</end>
      <status>modified</status>
      <modifiedWord>不符</modifiedWord>
      <trackRevisions>false</trackRevisions>
    </reviewItem>
    <reviewItem>
      <errorID>d78f2379-6c67-42ab-a73d-ebbd5e4bd9a4</errorID>
      <errorWord>&lt;</errorWord>
      <group>L1_Format</group>
      <groupName>格式问题</groupName>
      <ability>L2_HalfPunc</ability>
      <abilityName>全半角检查</abilityName>
      <candidateList>
        <item>〈</item>
      </candidateList>
      <explain>文本全半角错误。</explain>
      <paraID>573E9F9E</paraID>
      <start>52</start>
      <end>53</end>
      <status>unmodified</status>
      <modifiedWord/>
      <trackRevisions>false</trackRevisions>
    </reviewItem>
    <reviewItem>
      <errorID>3dbba7ae-f0c9-437e-b2c3-14316ffd1a16</errorID>
      <errorWord>&lt;</errorWord>
      <group>L1_Format</group>
      <groupName>格式问题</groupName>
      <ability>L2_HalfPunc</ability>
      <abilityName>全半角检查</abilityName>
      <candidateList>
        <item>〈</item>
      </candidateList>
      <explain>文本全半角错误。</explain>
      <paraID>187E43F2</paraID>
      <start>49</start>
      <end>50</end>
      <status>unmodified</status>
      <modifiedWord/>
      <trackRevisions>false</trackRevisions>
    </reviewItem>
    <reviewItem>
      <errorID>7d3c8a2a-8cf7-4e64-9cb5-434c98f35ad0</errorID>
      <errorWord>&lt;</errorWord>
      <group>L1_Format</group>
      <groupName>格式问题</groupName>
      <ability>L2_HalfPunc</ability>
      <abilityName>全半角检查</abilityName>
      <candidateList>
        <item>〈</item>
      </candidateList>
      <explain>文本全半角错误。</explain>
      <paraID>3F0162B2</paraID>
      <start>34</start>
      <end>35</end>
      <status>unmodified</status>
      <modifiedWord/>
      <trackRevisions>false</trackRevisions>
    </reviewItem>
    <reviewItem>
      <errorID>e4b107e9-8160-4f28-9b37-cc554d5456f4</errorID>
      <errorWord>保持通讯畅通</errorWord>
      <group>L1_Word</group>
      <groupName>字词问题</groupName>
      <ability>L2_Typo</ability>
      <abilityName>字词错误</abilityName>
      <candidateList>
        <item>保持通信畅通</item>
      </candidateList>
      <explain/>
      <paraID> FD89492</paraID>
      <start>17</start>
      <end>23</end>
      <status>unmodified</status>
      <modifiedWord/>
      <trackRevisions>false</trackRevisions>
    </reviewItem>
    <reviewItem>
      <errorID>f2a6499b-a08a-4eff-b8ee-222c71723715</errorID>
      <errorWord>国家发改委</errorWord>
      <group>L1_Knowledge</group>
      <groupName>知识性问题</groupName>
      <ability>L2_Knowledge</ability>
      <abilityName>其他知识</abilityName>
      <candidateList>
        <item>国家发展改革委</item>
      </candidateList>
      <explain/>
      <paraID> 2CE6339</paraID>
      <start>16</start>
      <end>21</end>
      <status>unmodified</status>
      <modifiedWord/>
      <trackRevisions>false</trackRevisions>
    </reviewItem>
    <reviewItem>
      <errorID>04f81cb9-82ae-4b20-afb8-8be6ea236905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459D12C8</paraID>
      <start>87</start>
      <end>91</end>
      <status>unmodified</status>
      <modifiedWord/>
      <trackRevisions>false</trackRevisions>
    </reviewItem>
    <reviewItem>
      <errorID>a566d5ec-a876-48ba-b2b7-3fc453c18529</errorID>
      <errorWord>,</errorWord>
      <group>L1_Format</group>
      <groupName>格式问题</groupName>
      <ability>L2_HalfPunc</ability>
      <abilityName>全半角检查</abilityName>
      <candidateList>
        <item>，</item>
      </candidateList>
      <explain>文本全半角错误。</explain>
      <paraID>2100C2C6</paraID>
      <start>23</start>
      <end>24</end>
      <status>unmodified</status>
      <modifiedWord/>
      <trackRevisions>false</trackRevisions>
    </reviewItem>
    <reviewItem>
      <errorID>3711c580-04e9-4196-87bb-9c16619dbd9c</errorID>
      <errorWord>答复的</errorWord>
      <group>L1_Word</group>
      <groupName>字词问题</groupName>
      <ability>L2_Typo</ability>
      <abilityName>字词错误</abilityName>
      <candidateList>
        <item>答复</item>
      </candidateList>
      <explain/>
      <paraID>1BA4B02F</paraID>
      <start>6</start>
      <end>9</end>
      <status>unmodified</status>
      <modifiedWord/>
      <trackRevisions>false</trackRevisions>
    </reviewItem>
    <reviewItem>
      <errorID>a415ec4b-5a7e-40d1-81e9-77fb9d118f04</errorID>
      <errorWord>（</errorWord>
      <group>L1_Punc</group>
      <groupName>标点问题</groupName>
      <ability>L2_Punc</ability>
      <abilityName>标点符号检查</abilityName>
      <candidateList/>
      <explain>同一形式括号套用。</explain>
      <paraID>259BC155</paraID>
      <start>64</start>
      <end>65</end>
      <status>unmodified</status>
      <modifiedWord/>
      <trackRevisions>false</trackRevisions>
    </reviewItem>
    <reviewItem>
      <errorID>cbdf0ef2-1d97-4e7f-bf32-a4667f627cf2</errorID>
      <errorWord>）</errorWord>
      <group>L1_Punc</group>
      <groupName>标点问题</groupName>
      <ability>L2_Punc</ability>
      <abilityName>标点符号检查</abilityName>
      <candidateList/>
      <explain>同一形式括号套用。</explain>
      <paraID>259BC155</paraID>
      <start>81</start>
      <end>82</end>
      <status>unmodified</status>
      <modifiedWord/>
      <trackRevisions>false</trackRevisions>
    </reviewItem>
    <reviewItem>
      <errorID>65ee8d4a-df0a-40bd-a1ae-ab94147d1800</errorID>
      <errorWord>（</errorWord>
      <group>L1_Punc</group>
      <groupName>标点问题</groupName>
      <ability>L2_Punc</ability>
      <abilityName>标点符号检查</abilityName>
      <candidateList/>
      <explain>同一形式括号套用。</explain>
      <paraID>259BC155</paraID>
      <start>108</start>
      <end>109</end>
      <status>unmodified</status>
      <modifiedWord/>
      <trackRevisions>false</trackRevisions>
    </reviewItem>
    <reviewItem>
      <errorID>3bd36ccc-702b-4169-8acc-692de163c8f6</errorID>
      <errorWord>）</errorWord>
      <group>L1_Punc</group>
      <groupName>标点问题</groupName>
      <ability>L2_Punc</ability>
      <abilityName>标点符号检查</abilityName>
      <candidateList/>
      <explain>同一形式括号套用。</explain>
      <paraID>259BC155</paraID>
      <start>113</start>
      <end>114</end>
      <status>unmodified</status>
      <modifiedWord/>
      <trackRevisions>false</trackRevisions>
    </reviewItem>
    <reviewItem>
      <errorID>8b082132-81f9-4da2-8a13-e808d5098d6f</errorID>
      <errorWord>（</errorWord>
      <group>L1_Punc</group>
      <groupName>标点问题</groupName>
      <ability>L2_Punc</ability>
      <abilityName>标点符号检查</abilityName>
      <candidateList/>
      <explain>同一形式括号套用。</explain>
      <paraID>259BC155</paraID>
      <start>119</start>
      <end>120</end>
      <status>unmodified</status>
      <modifiedWord/>
      <trackRevisions>false</trackRevisions>
    </reviewItem>
    <reviewItem>
      <errorID>c1b82a86-97f2-46d9-a628-0da7c8fef210</errorID>
      <errorWord>）</errorWord>
      <group>L1_Punc</group>
      <groupName>标点问题</groupName>
      <ability>L2_Punc</ability>
      <abilityName>标点符号检查</abilityName>
      <candidateList/>
      <explain>同一形式括号套用。</explain>
      <paraID>259BC155</paraID>
      <start>133</start>
      <end>134</end>
      <status>unmodified</status>
      <modifiedWord/>
      <trackRevisions>false</trackRevisions>
    </reviewItem>
    <reviewItem>
      <errorID>317f2f79-549e-4992-8517-0963437e6ceb</errorID>
      <errorWord>(</errorWord>
      <group>L1_Format</group>
      <groupName>格式问题</groupName>
      <ability>L2_HalfPunc</ability>
      <abilityName>全半角检查</abilityName>
      <candidateList>
        <item>（</item>
      </candidateList>
      <explain>文本全半角错误。</explain>
      <paraID>5977BB19</paraID>
      <start>93</start>
      <end>94</end>
      <status>unmodified</status>
      <modifiedWord/>
      <trackRevisions>false</trackRevisions>
    </reviewItem>
    <reviewItem>
      <errorID>d51cdfcd-7a29-4e38-a4f0-0fb48ef16685</errorID>
      <errorWord>)</errorWord>
      <group>L1_Format</group>
      <groupName>格式问题</groupName>
      <ability>L2_HalfPunc</ability>
      <abilityName>全半角检查</abilityName>
      <candidateList>
        <item>）</item>
      </candidateList>
      <explain>文本全半角错误。</explain>
      <paraID>5977BB19</paraID>
      <start>103</start>
      <end>104</end>
      <status>unmodified</status>
      <modifiedWord/>
      <trackRevisions>false</trackRevisions>
    </reviewItem>
    <reviewItem>
      <errorID>979dd962-a12a-498e-b531-3be5c3a66140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1182F91E</paraID>
      <start>35</start>
      <end>36</end>
      <status>unmodified</status>
      <modifiedWord/>
      <trackRevisions>false</trackRevisions>
    </reviewItem>
    <reviewItem>
      <errorID>5b958c6c-ec0e-403e-8278-c1a4eabd08d1</errorID>
      <errorWord>&lt;</errorWord>
      <group>L1_Format</group>
      <groupName>格式问题</groupName>
      <ability>L2_HalfPunc</ability>
      <abilityName>全半角检查</abilityName>
      <candidateList>
        <item>〈</item>
      </candidateList>
      <explain>文本全半角错误。</explain>
      <paraID> 7C7EEF2</paraID>
      <start>122</start>
      <end>123</end>
      <status>unmodified</status>
      <modifiedWord/>
      <trackRevisions>false</trackRevisions>
    </reviewItem>
    <reviewItem>
      <errorID>53151152-14df-4c37-943a-8259489040f4</errorID>
      <errorWord>&gt;</errorWord>
      <group>L1_Format</group>
      <groupName>格式问题</groupName>
      <ability>L2_HalfPunc</ability>
      <abilityName>全半角检查</abilityName>
      <candidateList>
        <item>〉</item>
      </candidateList>
      <explain>文本全半角错误。</explain>
      <paraID> 7C7EEF2</paraID>
      <start>140</start>
      <end>141</end>
      <status>unmodified</status>
      <modifiedWord/>
      <trackRevisions>false</trackRevisions>
    </reviewItem>
    <reviewItem>
      <errorID>86c26f40-179a-48a6-a900-f341db5e1a1f</errorID>
      <errorWord>(</errorWord>
      <group>L1_Format</group>
      <groupName>格式问题</groupName>
      <ability>L2_HalfPunc</ability>
      <abilityName>全半角检查</abilityName>
      <candidateList>
        <item>（</item>
      </candidateList>
      <explain>文本全半角错误。</explain>
      <paraID>636A76B3</paraID>
      <start>24</start>
      <end>25</end>
      <status>unmodified</status>
      <modifiedWord/>
      <trackRevisions>false</trackRevisions>
    </reviewItem>
    <reviewItem>
      <errorID>128b88d6-856c-42a1-937a-b91832a0d775</errorID>
      <errorWord>)</errorWord>
      <group>L1_Format</group>
      <groupName>格式问题</groupName>
      <ability>L2_HalfPunc</ability>
      <abilityName>全半角检查</abilityName>
      <candidateList>
        <item>）</item>
      </candidateList>
      <explain>文本全半角错误。</explain>
      <paraID>636A76B3</paraID>
      <start>35</start>
      <end>36</end>
      <status>unmodified</status>
      <modifiedWord/>
      <trackRevisions>false</trackRevisions>
    </reviewItem>
    <reviewItem>
      <errorID>7263e011-0a49-4cd7-8ab4-7017d282b2bf</errorID>
      <errorWord>终生</errorWord>
      <group>L1_Word</group>
      <groupName>字词问题</groupName>
      <ability>L2_Typo</ability>
      <abilityName>字词错误</abilityName>
      <candidateList>
        <item>终身</item>
      </candidateList>
      <explain/>
      <paraID> 757C0AE</paraID>
      <start>49</start>
      <end>51</end>
      <status>modified</status>
      <modifiedWord>终身</modifiedWord>
      <trackRevisions>false</trackRevisions>
    </reviewItem>
    <reviewItem>
      <errorID>93059034-c7ae-4644-837c-fbe2dc8016e1</errorID>
      <errorWord>》</errorWord>
      <group>L1_Word</group>
      <groupName>字词问题</groupName>
      <ability>L2_Typo</ability>
      <abilityName>字词错误</abilityName>
      <candidateList>
        <item>》等</item>
      </candidateList>
      <explain/>
      <paraID>7EB91F22</paraID>
      <start>40</start>
      <end>42</end>
      <status>modified</status>
      <modifiedWord>》等</modifiedWord>
      <trackRevisions>false</trackRevisions>
    </reviewItem>
    <reviewItem>
      <errorID>3409f8e3-dff0-4232-a9b9-7173d78a3673</errorID>
      <errorWord>&lt;</errorWord>
      <group>L1_Format</group>
      <groupName>格式问题</groupName>
      <ability>L2_HalfPunc</ability>
      <abilityName>全半角检查</abilityName>
      <candidateList>
        <item>〈</item>
      </candidateList>
      <explain>文本全半角错误。</explain>
      <paraID>5CA4B991</paraID>
      <start>13</start>
      <end>14</end>
      <status>unmodified</status>
      <modifiedWord/>
      <trackRevisions>false</trackRevisions>
    </reviewItem>
    <reviewItem>
      <errorID>d3e6e5f1-bfce-4987-8bd9-ff4ce792030b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5CA4B991</paraID>
      <start>31</start>
      <end>34</end>
      <status>unmodified</status>
      <modifiedWord/>
      <trackRevisions>false</trackRevisions>
    </reviewItem>
    <reviewItem>
      <errorID>1f458af7-9f10-49cc-99a6-847d7ed84ecc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5CA4B991</paraID>
      <start>67</start>
      <end>68</end>
      <status>unmodified</status>
      <modifiedWord/>
      <trackRevisions>false</trackRevisions>
    </reviewItem>
    <reviewItem>
      <errorID>10b7e2fc-f021-440d-8f27-bccd92f616d2</errorID>
      <errorWord>(</errorWord>
      <group>L1_Format</group>
      <groupName>格式问题</groupName>
      <ability>L2_HalfPunc</ability>
      <abilityName>全半角检查</abilityName>
      <candidateList>
        <item>（</item>
      </candidateList>
      <explain>文本全半角错误。</explain>
      <paraID>5CA4B991</paraID>
      <start>134</start>
      <end>135</end>
      <status>unmodified</status>
      <modifiedWord/>
      <trackRevisions>false</trackRevisions>
    </reviewItem>
    <reviewItem>
      <errorID>4d4dd342-d370-412f-bd69-05b7ff5076d0</errorID>
      <errorWord>)</errorWord>
      <group>L1_Format</group>
      <groupName>格式问题</groupName>
      <ability>L2_HalfPunc</ability>
      <abilityName>全半角检查</abilityName>
      <candidateList>
        <item>）</item>
      </candidateList>
      <explain>文本全半角错误。</explain>
      <paraID>5CA4B991</paraID>
      <start>140</start>
      <end>141</end>
      <status>unmodified</status>
      <modifiedWord/>
      <trackRevisions>false</trackRevisions>
    </reviewItem>
    <reviewItem>
      <errorID>cc6d5b17-bf46-47e9-b9ad-891b2b3d4df5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5CA4B991</paraID>
      <start>142</start>
      <end>145</end>
      <status>unmodified</status>
      <modifiedWord/>
      <trackRevisions>false</trackRevisions>
    </reviewItem>
    <reviewItem>
      <errorID>16c0e24f-375c-427e-ae4e-36ccf4eb350d</errorID>
      <errorWord>认</errorWord>
      <group>L1_Word</group>
      <groupName>字词问题</groupName>
      <ability>L2_Typo</ability>
      <abilityName>字词错误</abilityName>
      <candidateList>
        <item>认之</item>
      </candidateList>
      <explain/>
      <paraID>1A120E87</paraID>
      <start>76</start>
      <end>78</end>
      <status>modified</status>
      <modifiedWord>认之</modifiedWord>
      <trackRevisions>false</trackRevisions>
    </reviewItem>
    <reviewItem>
      <errorID>54297ef2-abc4-4379-a62c-bb4f31c6708f</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1B950708</paraID>
      <start>31</start>
      <end>33</end>
      <status>unmodified</status>
      <modifiedWord/>
      <trackRevisions>false</trackRevisions>
    </reviewItem>
    <reviewItem>
      <errorID>d3a00728-63b2-43bb-a25f-fd94c2ed9040</errorID>
      <errorWord>项</errorWord>
      <group>L1_Word</group>
      <groupName>字词问题</groupName>
      <ability>L2_Typo</ability>
      <abilityName>字词错误</abilityName>
      <candidateList>
        <item>项目</item>
      </candidateList>
      <explain>〈名〉事物分成的门类：服务～｜体育～｜建设～。</explain>
      <paraID>73A853EE</paraID>
      <start>40</start>
      <end>42</end>
      <status>modified</status>
      <modifiedWord>项目</modifiedWord>
      <trackRevisions>false</trackRevisions>
    </reviewItem>
    <reviewItem>
      <errorID>02fa50e2-39ec-4ab0-9759-8749c04db017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73A853EE</paraID>
      <start>105</start>
      <end>108</end>
      <status>unmodified</status>
      <modifiedWord/>
      <trackRevisions>false</trackRevisions>
    </reviewItem>
    <reviewItem>
      <errorID>25bc4252-10f1-4f97-8e33-7b962c567a4f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73A853EE</paraID>
      <start>110</start>
      <end>113</end>
      <status>unmodified</status>
      <modifiedWord/>
      <trackRevisions>false</trackRevisions>
    </reviewItem>
    <reviewItem>
      <errorID>34361fbe-f0b5-424a-aa3c-2840f7c52d57</errorID>
      <errorWord>所有电器设备</errorWord>
      <group>L1_Word</group>
      <groupName>字词问题</groupName>
      <ability>L2_Typo</ability>
      <abilityName>字词错误</abilityName>
      <candidateList>
        <item>所有电气设备</item>
      </candidateList>
      <explain/>
      <paraID>3675567F</paraID>
      <start>4</start>
      <end>10</end>
      <status>unmodified</status>
      <modifiedWord/>
      <trackRevisions>false</trackRevisions>
    </reviewItem>
    <reviewItem>
      <errorID>53f7f225-7b26-486f-80af-7a2c62c83f39</errorID>
      <errorWord>终生</errorWord>
      <group>L1_Word</group>
      <groupName>字词问题</groupName>
      <ability>L2_Typo</ability>
      <abilityName>字词错误</abilityName>
      <candidateList>
        <item>终身</item>
      </candidateList>
      <explain/>
      <paraID>7F8658B3</paraID>
      <start>11</start>
      <end>13</end>
      <status>modified</status>
      <modifiedWord>终身</modifiedWord>
      <trackRevisions>false</trackRevisions>
    </reviewItem>
    <reviewItem>
      <errorID>16338f37-7668-401e-a39c-084f75b88055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8E6C477</paraID>
      <start>0</start>
      <end>2</end>
      <status>unmodified</status>
      <modifiedWord/>
      <trackRevisions>false</trackRevisions>
    </reviewItem>
    <reviewItem>
      <errorID>0766b45e-b3df-4a88-95c4-6c3846291632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685498C2</paraID>
      <start>0</start>
      <end>2</end>
      <status>unmodified</status>
      <modifiedWord/>
      <trackRevisions>false</trackRevisions>
    </reviewItem>
    <reviewItem>
      <errorID>f384bc31-e8aa-4c93-9212-bdc7772fcc65</errorID>
      <errorWord>，</errorWord>
      <group>L1_Word</group>
      <groupName>字词问题</groupName>
      <ability>L2_Typo</ability>
      <abilityName>字词错误</abilityName>
      <candidateList>
        <item>，在</item>
      </candidateList>
      <explain/>
      <paraID> A93FC2C</paraID>
      <start>52</start>
      <end>53</end>
      <status>unmodified</status>
      <modifiedWord/>
      <trackRevisions>false</trackRevisions>
    </reviewItem>
    <reviewItem>
      <errorID>da9a44ec-e59c-4e29-91ae-7397d8d846a3</errorID>
      <errorWord>(</errorWord>
      <group>L1_Format</group>
      <groupName>格式问题</groupName>
      <ability>L2_HalfPunc</ability>
      <abilityName>全半角检查</abilityName>
      <candidateList>
        <item>（</item>
      </candidateList>
      <explain>文本全半角错误。</explain>
      <paraID>3FB641D0</paraID>
      <start>73</start>
      <end>74</end>
      <status>unmodified</status>
      <modifiedWord/>
      <trackRevisions>false</trackRevisions>
    </reviewItem>
    <reviewItem>
      <errorID>10d5dac1-a55b-427e-a869-637899865184</errorID>
      <errorWord>)</errorWord>
      <group>L1_Format</group>
      <groupName>格式问题</groupName>
      <ability>L2_HalfPunc</ability>
      <abilityName>全半角检查</abilityName>
      <candidateList>
        <item>）</item>
      </candidateList>
      <explain>文本全半角错误。</explain>
      <paraID>3FB641D0</paraID>
      <start>84</start>
      <end>85</end>
      <status>unmodified</status>
      <modifiedWord/>
      <trackRevisions>false</trackRevisions>
    </reviewItem>
    <reviewItem>
      <errorID>54f1a9d5-632f-4de0-8273-bdbe71af3c0a</errorID>
      <errorWord>(</errorWord>
      <group>L1_Format</group>
      <groupName>格式问题</groupName>
      <ability>L2_HalfPunc</ability>
      <abilityName>全半角检查</abilityName>
      <candidateList>
        <item>（</item>
      </candidateList>
      <explain>文本全半角错误。</explain>
      <paraID>612FDC1C</paraID>
      <start>28</start>
      <end>29</end>
      <status>unmodified</status>
      <modifiedWord/>
      <trackRevisions>false</trackRevisions>
    </reviewItem>
    <reviewItem>
      <errorID>6e026679-3899-42e8-af4b-95dfc3efe0e5</errorID>
      <errorWord>)</errorWord>
      <group>L1_Format</group>
      <groupName>格式问题</groupName>
      <ability>L2_HalfPunc</ability>
      <abilityName>全半角检查</abilityName>
      <candidateList>
        <item>）</item>
      </candidateList>
      <explain>文本全半角错误。</explain>
      <paraID>612FDC1C</paraID>
      <start>33</start>
      <end>34</end>
      <status>unmodified</status>
      <modifiedWord/>
      <trackRevisions>false</trackRevisions>
    </reviewItem>
    <reviewItem>
      <errorID>d8127ce5-0084-4079-84a6-1aae723bd783</errorID>
      <errorWord>(</errorWord>
      <group>L1_Format</group>
      <groupName>格式问题</groupName>
      <ability>L2_HalfPunc</ability>
      <abilityName>全半角检查</abilityName>
      <candidateList>
        <item>（</item>
      </candidateList>
      <explain>文本全半角错误。</explain>
      <paraID>178A105B</paraID>
      <start>20</start>
      <end>21</end>
      <status>unmodified</status>
      <modifiedWord/>
      <trackRevisions>false</trackRevisions>
    </reviewItem>
    <reviewItem>
      <errorID>59ae666e-1198-49d0-a139-ca201bd80de0</errorID>
      <errorWord>)</errorWord>
      <group>L1_Format</group>
      <groupName>格式问题</groupName>
      <ability>L2_HalfPunc</ability>
      <abilityName>全半角检查</abilityName>
      <candidateList>
        <item>）</item>
      </candidateList>
      <explain>文本全半角错误。</explain>
      <paraID>178A105B</paraID>
      <start>32</start>
      <end>33</end>
      <status>unmodified</status>
      <modifiedWord/>
      <trackRevisions>false</trackRevisions>
    </reviewItem>
    <reviewItem>
      <errorID>ee095321-ae9a-4b4a-878e-e0aaad19e781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73C7C68B</paraID>
      <start>0</start>
      <end>2</end>
      <status>unmodified</status>
      <modifiedWord/>
      <trackRevisions>false</trackRevisions>
    </reviewItem>
    <reviewItem>
      <errorID>b231d100-1fab-4548-8e8e-5e54a8d46a36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729F06D3</paraID>
      <start>61</start>
      <end>62</end>
      <status>unmodified</status>
      <modifiedWord/>
      <trackRevisions>false</trackRevisions>
    </reviewItem>
    <reviewItem>
      <errorID>264202a8-8f70-4cec-96ac-96cfebab4d00</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2B51112A</paraID>
      <start>5</start>
      <end>14</end>
      <status>modified</status>
      <modifiedWord>2023年1月1日</modifiedWord>
      <trackRevisions>false</trackRevisions>
    </reviewItem>
    <reviewItem>
      <errorID>0d0781ed-56e7-4b39-9d45-85e44abd1cfa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1B0C97D4</paraID>
      <start>0</start>
      <end>2</end>
      <status>unmodified</status>
      <modifiedWord/>
      <trackRevisions>false</trackRevisions>
    </reviewItem>
    <reviewItem>
      <errorID>ddf43e79-5ea6-4255-a381-f6dc79317f34</errorID>
      <errorWord>、）</errorWord>
      <group>L1_Punc</group>
      <groupName>标点问题</groupName>
      <ability>L2_Punc</ability>
      <abilityName>标点符号检查</abilityName>
      <candidateList>
        <item>）</item>
      </candidateList>
      <explain/>
      <paraID>6C735EEA</paraID>
      <start>212</start>
      <end>214</end>
      <status>unmodified</status>
      <modifiedWord/>
      <trackRevisions>false</trackRevisions>
    </reviewItem>
    <reviewItem>
      <errorID>d1b6f802-a3da-4802-8bdf-defc220bf643</errorID>
      <errorWord>:</errorWord>
      <group>L1_Format</group>
      <groupName>格式问题</groupName>
      <ability>L2_HalfPunc</ability>
      <abilityName>全半角检查</abilityName>
      <candidateList>
        <item>：</item>
      </candidateList>
      <explain>文本全半角错误。</explain>
      <paraID>36E77112</paraID>
      <start>13</start>
      <end>14</end>
      <status>unmodified</status>
      <modifiedWord/>
      <trackRevisions>false</trackRevisions>
    </reviewItem>
    <reviewItem>
      <errorID>da074a6c-ddc8-4dc6-b3db-0f4efc36ea51</errorID>
      <errorWord>,</errorWord>
      <group>L1_Format</group>
      <groupName>格式问题</groupName>
      <ability>L2_HalfPunc</ability>
      <abilityName>全半角检查</abilityName>
      <candidateList>
        <item>，</item>
      </candidateList>
      <explain>文本全半角错误。</explain>
      <paraID>36E77112</paraID>
      <start>20</start>
      <end>21</end>
      <status>unmodified</status>
      <modifiedWord/>
      <trackRevisions>false</trackRevisions>
    </reviewItem>
    <reviewItem>
      <errorID>12e373ce-686c-4b4b-98c6-a8fe975019c7</errorID>
      <errorWord>:</errorWord>
      <group>L1_Format</group>
      <groupName>格式问题</groupName>
      <ability>L2_HalfPunc</ability>
      <abilityName>全半角检查</abilityName>
      <candidateList>
        <item>：</item>
      </candidateList>
      <explain>文本全半角错误。</explain>
      <paraID>36E77112</paraID>
      <start>37</start>
      <end>38</end>
      <status>unmodified</status>
      <modifiedWord/>
      <trackRevisions>false</trackRevisions>
    </reviewItem>
    <reviewItem>
      <errorID>296cd9f0-0d15-43ff-afe1-1b303220b980</errorID>
      <errorWord>(</errorWord>
      <group>L1_Format</group>
      <groupName>格式问题</groupName>
      <ability>L2_HalfPunc</ability>
      <abilityName>全半角检查</abilityName>
      <candidateList>
        <item>（</item>
      </candidateList>
      <explain>文本全半角错误。</explain>
      <paraID>36E77112</paraID>
      <start>111</start>
      <end>112</end>
      <status>unmodified</status>
      <modifiedWord/>
      <trackRevisions>false</trackRevisions>
    </reviewItem>
    <reviewItem>
      <errorID>e7e2aa8a-a395-4e5b-b899-8c493663888c</errorID>
      <errorWord>)</errorWord>
      <group>L1_Format</group>
      <groupName>格式问题</groupName>
      <ability>L2_HalfPunc</ability>
      <abilityName>全半角检查</abilityName>
      <candidateList>
        <item>）</item>
      </candidateList>
      <explain>文本全半角错误。</explain>
      <paraID>36E77112</paraID>
      <start>118</start>
      <end>119</end>
      <status>unmodified</status>
      <modifiedWord/>
      <trackRevisions>false</trackRevisions>
    </reviewItem>
    <reviewItem>
      <errorID>b82443c8-fe12-4315-b7d1-59adb7a6fc15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3A24EA7A</paraID>
      <start>0</start>
      <end>2</end>
      <status>unmodified</status>
      <modifiedWord/>
      <trackRevisions>false</trackRevisions>
    </reviewItem>
    <reviewItem>
      <errorID>603766e3-0bd6-4417-8981-2f47216ff0f9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638033CC</paraID>
      <start>0</start>
      <end>2</end>
      <status>unmodified</status>
      <modifiedWord/>
      <trackRevisions>false</trackRevisions>
    </reviewItem>
    <reviewItem>
      <errorID>7451b8b9-909d-4cae-86eb-255ef7660965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129B8E8C</paraID>
      <start>0</start>
      <end>2</end>
      <status>unmodified</status>
      <modifiedWord/>
      <trackRevisions>false</trackRevisions>
    </reviewItem>
    <reviewItem>
      <errorID>3c41f2f1-7484-46a5-8e40-a5b321a1ebd6</errorID>
      <errorWord>一位</errorWord>
      <group>L1_Word</group>
      <groupName>字词问题</groupName>
      <ability>L2_Typo</ability>
      <abilityName>字词错误</abilityName>
      <candidateList>
        <item>位</item>
      </candidateList>
      <explain/>
      <paraID>64412CA6</paraID>
      <start>17</start>
      <end>19</end>
      <status>unmodified</status>
      <modifiedWord/>
      <trackRevisions>false</trackRevisions>
    </reviewItem>
    <reviewItem>
      <errorID>64ca24f7-4ba5-42eb-b05c-1edeedf9beed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776E282</paraID>
      <start>0</start>
      <end>2</end>
      <status>unmodified</status>
      <modifiedWord/>
      <trackRevisions>false</trackRevisions>
    </reviewItem>
    <reviewItem>
      <errorID>95911fe1-4190-43c0-a2bc-54afdac55f61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4B7F2E31</paraID>
      <start>0</start>
      <end>2</end>
      <status>unmodified</status>
      <modifiedWord/>
      <trackRevisions>false</trackRevisions>
    </reviewItem>
    <reviewItem>
      <errorID>f32cc7e8-d8d7-47ac-b888-6a25d20b52eb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4BF1740B</paraID>
      <start>0</start>
      <end>2</end>
      <status>unmodified</status>
      <modifiedWord/>
      <trackRevisions>false</trackRevisions>
    </reviewItem>
    <reviewItem>
      <errorID>53b5285f-f56a-4b3a-b74a-7f891b68fa46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18C106FA</paraID>
      <start>0</start>
      <end>3</end>
      <status>unmodified</status>
      <modifiedWord/>
      <trackRevisions>false</trackRevisions>
    </reviewItem>
    <reviewItem>
      <errorID>26725cf8-cce1-4472-981b-08edb138d044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4FF8EB93</paraID>
      <start>0</start>
      <end>3</end>
      <status>unmodified</status>
      <modifiedWord/>
      <trackRevisions>false</trackRevisions>
    </reviewItem>
    <reviewItem>
      <errorID>2e54e049-f623-40c0-aa12-7c2c67127ade</errorID>
      <errorWord>，</errorWord>
      <group>L1_Word</group>
      <groupName>字词问题</groupName>
      <ability>L2_Typo</ability>
      <abilityName>字词错误</abilityName>
      <candidateList>
        <item>，具</item>
      </candidateList>
      <explain/>
      <paraID>4FF8EB93</paraID>
      <start>20</start>
      <end>22</end>
      <status>modified</status>
      <modifiedWord>，具</modifiedWord>
      <trackRevisions>false</trackRevisions>
    </reviewItem>
    <reviewItem>
      <errorID>0c696239-b8fc-4b08-8155-3c6e7a519b6e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58830973</paraID>
      <start>0</start>
      <end>3</end>
      <status>unmodified</status>
      <modifiedWord/>
      <trackRevisions>false</trackRevisions>
    </reviewItem>
    <reviewItem>
      <errorID>38c4fd0b-d426-4750-afb5-bf2bb4e1a33a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64F76BBD</paraID>
      <start>0</start>
      <end>3</end>
      <status>unmodified</status>
      <modifiedWord/>
      <trackRevisions>false</trackRevisions>
    </reviewItem>
    <reviewItem>
      <errorID>84e5bafc-5ab4-4cbc-98a9-634592fe4db3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7F711D52</paraID>
      <start>0</start>
      <end>3</end>
      <status>unmodified</status>
      <modifiedWord/>
      <trackRevisions>false</trackRevisions>
    </reviewItem>
    <reviewItem>
      <errorID>3149eaac-6eef-4813-8528-0199af468c70</errorID>
      <errorWord>，</errorWord>
      <group>L1_Word</group>
      <groupName>字词问题</groupName>
      <ability>L2_Typo</ability>
      <abilityName>字词错误</abilityName>
      <candidateList>
        <item>，具</item>
      </candidateList>
      <explain/>
      <paraID>7F711D52</paraID>
      <start>20</start>
      <end>21</end>
      <status>unmodified</status>
      <modifiedWord/>
      <trackRevisions>false</trackRevisions>
    </reviewItem>
    <reviewItem>
      <errorID>4e167ad1-5261-49ce-a4ce-161786e60dfb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6FC0BF2F</paraID>
      <start>0</start>
      <end>3</end>
      <status>unmodified</status>
      <modifiedWord/>
      <trackRevisions>false</trackRevisions>
    </reviewItem>
    <reviewItem>
      <errorID>2cd2ecf8-d92d-4fe6-8745-d7400cd338c2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6CD0110E</paraID>
      <start>0</start>
      <end>3</end>
      <status>unmodified</status>
      <modifiedWord/>
      <trackRevisions>false</trackRevisions>
    </reviewItem>
    <reviewItem>
      <errorID>f446e6a0-f8bb-4159-b79a-1078ff9790d3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6D67F5AE</paraID>
      <start>0</start>
      <end>3</end>
      <status>unmodified</status>
      <modifiedWord/>
      <trackRevisions>false</trackRevisions>
    </reviewItem>
    <reviewItem>
      <errorID>39fb7330-fae4-42e3-b0d3-756d54aa5571</errorID>
      <errorWord>，</errorWord>
      <group>L1_Word</group>
      <groupName>字词问题</groupName>
      <ability>L2_Typo</ability>
      <abilityName>字词错误</abilityName>
      <candidateList>
        <item>，具</item>
      </candidateList>
      <explain/>
      <paraID>6D67F5AE</paraID>
      <start>20</start>
      <end>22</end>
      <status>modified</status>
      <modifiedWord>，具</modifiedWord>
      <trackRevisions>false</trackRevisions>
    </reviewItem>
    <reviewItem>
      <errorID>676ed705-347b-46e8-9fe1-20308ef4f53f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6B1E11DD</paraID>
      <start>0</start>
      <end>3</end>
      <status>unmodified</status>
      <modifiedWord/>
      <trackRevisions>false</trackRevisions>
    </reviewItem>
    <reviewItem>
      <errorID>e5a0d8c5-4b14-4a09-98b0-e64008018c77</errorID>
      <errorWord>:</errorWord>
      <group>L1_Format</group>
      <groupName>格式问题</groupName>
      <ability>L2_HalfPunc</ability>
      <abilityName>全半角检查</abilityName>
      <candidateList>
        <item>：</item>
      </candidateList>
      <explain>文本全半角错误。</explain>
      <paraID>2E9C7913</paraID>
      <start>1</start>
      <end>2</end>
      <status>unmodified</status>
      <modifiedWord/>
      <trackRevisions>false</trackRevisions>
    </reviewItem>
    <reviewItem>
      <errorID>5301dc96-a632-45f2-82f2-0a63cf595d1b</errorID>
      <errorWord>)</errorWord>
      <group>L1_Format</group>
      <groupName>格式问题</groupName>
      <ability>L2_HalfPunc</ability>
      <abilityName>全半角检查</abilityName>
      <candidateList>
        <item>）</item>
      </candidateList>
      <explain>文本全半角错误。</explain>
      <paraID>2E9C7913</paraID>
      <start>4</start>
      <end>5</end>
      <status>unmodified</status>
      <modifiedWord/>
      <trackRevisions>false</trackRevisions>
    </reviewItem>
    <reviewItem>
      <errorID>e463c50e-7cf1-406f-bc2c-ac9ca6ee3248</errorID>
      <errorWord>(</errorWord>
      <group>L1_Format</group>
      <groupName>格式问题</groupName>
      <ability>L2_HalfPunc</ability>
      <abilityName>全半角检查</abilityName>
      <candidateList>
        <item>（</item>
      </candidateList>
      <explain>文本全半角错误。</explain>
      <paraID>2E9C7913</paraID>
      <start>48</start>
      <end>49</end>
      <status>unmodified</status>
      <modifiedWord/>
      <trackRevisions>false</trackRevisions>
    </reviewItem>
    <reviewItem>
      <errorID>f31bba62-b03b-4288-86e8-34535dc7f14c</errorID>
      <errorWord>)</errorWord>
      <group>L1_Format</group>
      <groupName>格式问题</groupName>
      <ability>L2_HalfPunc</ability>
      <abilityName>全半角检查</abilityName>
      <candidateList>
        <item>）</item>
      </candidateList>
      <explain>文本全半角错误。</explain>
      <paraID>2E9C7913</paraID>
      <start>50</start>
      <end>51</end>
      <status>unmodified</status>
      <modifiedWord/>
      <trackRevisions>false</trackRevisions>
    </reviewItem>
    <reviewItem>
      <errorID>e511e942-7888-49f5-b4d3-8dba06949c97</errorID>
      <errorWord>(</errorWord>
      <group>L1_Format</group>
      <groupName>格式问题</groupName>
      <ability>L2_HalfPunc</ability>
      <abilityName>全半角检查</abilityName>
      <candidateList>
        <item>（</item>
      </candidateList>
      <explain>文本全半角错误。</explain>
      <paraID>2E9C7913</paraID>
      <start>85</start>
      <end>86</end>
      <status>unmodified</status>
      <modifiedWord/>
      <trackRevisions>false</trackRevisions>
    </reviewItem>
    <reviewItem>
      <errorID>4897a2fd-0946-411b-b6e1-2813c9e3cf96</errorID>
      <errorWord>)</errorWord>
      <group>L1_Format</group>
      <groupName>格式问题</groupName>
      <ability>L2_HalfPunc</ability>
      <abilityName>全半角检查</abilityName>
      <candidateList>
        <item>）</item>
      </candidateList>
      <explain>文本全半角错误。</explain>
      <paraID>2E9C7913</paraID>
      <start>88</start>
      <end>89</end>
      <status>unmodified</status>
      <modifiedWord/>
      <trackRevisions>false</trackRevisions>
    </reviewItem>
    <reviewItem>
      <errorID>db778c67-ef0c-4ca1-9355-308b2f105825</errorID>
      <errorWord>(</errorWord>
      <group>L1_Format</group>
      <groupName>格式问题</groupName>
      <ability>L2_HalfPunc</ability>
      <abilityName>全半角检查</abilityName>
      <candidateList>
        <item>（</item>
      </candidateList>
      <explain>文本全半角错误。</explain>
      <paraID>2E9C7913</paraID>
      <start>109</start>
      <end>110</end>
      <status>unmodified</status>
      <modifiedWord/>
      <trackRevisions>false</trackRevisions>
    </reviewItem>
    <reviewItem>
      <errorID>60ae820d-2871-4fcf-92db-4df6831259b1</errorID>
      <errorWord>)</errorWord>
      <group>L1_Format</group>
      <groupName>格式问题</groupName>
      <ability>L2_HalfPunc</ability>
      <abilityName>全半角检查</abilityName>
      <candidateList>
        <item>）</item>
      </candidateList>
      <explain>文本全半角错误。</explain>
      <paraID>2E9C7913</paraID>
      <start>112</start>
      <end>113</end>
      <status>unmodified</status>
      <modifiedWord/>
      <trackRevisions>false</trackRevisions>
    </reviewItem>
    <reviewItem>
      <errorID>255c2dbf-5577-4c9e-8c58-9ab358d04053</errorID>
      <errorWord>(</errorWord>
      <group>L1_Format</group>
      <groupName>格式问题</groupName>
      <ability>L2_HalfPunc</ability>
      <abilityName>全半角检查</abilityName>
      <candidateList>
        <item>（</item>
      </candidateList>
      <explain>文本全半角错误。</explain>
      <paraID>2E9C7913</paraID>
      <start>128</start>
      <end>129</end>
      <status>unmodified</status>
      <modifiedWord/>
      <trackRevisions>false</trackRevisions>
    </reviewItem>
    <reviewItem>
      <errorID>c933b3e1-268c-40c6-b364-b1bee4a4f222</errorID>
      <errorWord>)</errorWord>
      <group>L1_Format</group>
      <groupName>格式问题</groupName>
      <ability>L2_HalfPunc</ability>
      <abilityName>全半角检查</abilityName>
      <candidateList>
        <item>）</item>
      </candidateList>
      <explain>文本全半角错误。</explain>
      <paraID>2E9C7913</paraID>
      <start>131</start>
      <end>132</end>
      <status>unmodified</status>
      <modifiedWord/>
      <trackRevisions>false</trackRevisions>
    </reviewItem>
    <reviewItem>
      <errorID>a9623dae-6204-4db3-9b11-e30f26def36d</errorID>
      <errorWord>国家发改委</errorWord>
      <group>L1_Knowledge</group>
      <groupName>知识性问题</groupName>
      <ability>L2_Knowledge</ability>
      <abilityName>其他知识</abilityName>
      <candidateList>
        <item>国家发展改革委</item>
      </candidateList>
      <explain/>
      <paraID>1AE21AB5</paraID>
      <start>12</start>
      <end>17</end>
      <status>unmodified</status>
      <modifiedWord/>
      <trackRevisions>false</trackRevisions>
    </reviewItem>
    <reviewItem>
      <errorID>013ae0ed-8521-406b-9399-01eb6abe5462</errorID>
      <errorWord>作</errorWord>
      <group>L1_Word</group>
      <groupName>字词问题</groupName>
      <ability>L2_Typo</ability>
      <abilityName>字词错误</abilityName>
      <candidateList>
        <item>做</item>
      </candidateList>
      <explain>存在发音相同字词的误用。</explain>
      <paraID>47ECEFE7</paraID>
      <start>18</start>
      <end>19</end>
      <status>modified</status>
      <modifiedWord>做</modifiedWord>
      <trackRevisions>false</trackRevisions>
    </reviewItem>
    <reviewItem>
      <errorID>d95d6c77-a376-4c4a-9e80-5d17759638b0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301B404</paraID>
      <start>0</start>
      <end>3</end>
      <status>unmodified</status>
      <modifiedWord/>
      <trackRevisions>false</trackRevisions>
    </reviewItem>
    <reviewItem>
      <errorID>adc96746-6b64-4dff-a9ee-f970de6bb6c9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3FFD638D</paraID>
      <start>0</start>
      <end>3</end>
      <status>unmodified</status>
      <modifiedWord/>
      <trackRevisions>false</trackRevisions>
    </reviewItem>
    <reviewItem>
      <errorID>680ff92b-83dc-460a-92d9-506bdef043fa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49D47849</paraID>
      <start>0</start>
      <end>3</end>
      <status>unmodified</status>
      <modifiedWord/>
      <trackRevisions>false</trackRevisions>
    </reviewItem>
    <reviewItem>
      <errorID>624b90cb-a563-4c4c-bfc5-7ce70db0a78f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3A7E4A97</paraID>
      <start>0</start>
      <end>3</end>
      <status>unmodified</status>
      <modifiedWord/>
      <trackRevisions>false</trackRevisions>
    </reviewItem>
    <reviewItem>
      <errorID>d8768a7e-efad-4087-a904-d66229e9300b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1A0EF5A4</paraID>
      <start>0</start>
      <end>3</end>
      <status>unmodified</status>
      <modifiedWord/>
      <trackRevisions>false</trackRevisions>
    </reviewItem>
    <reviewItem>
      <errorID>4c7139ca-ad3f-4da4-a869-222cb425c5f1</errorID>
      <errorWord>间</errorWord>
      <group>L1_Word</group>
      <groupName>字词问题</groupName>
      <ability>L2_Typo</ability>
      <abilityName>字词错误</abilityName>
      <candidateList>
        <item>间内</item>
      </candidateList>
      <explain/>
      <paraID>57D04A20</paraID>
      <start>47</start>
      <end>48</end>
      <status>unmodified</status>
      <modifiedWord/>
      <trackRevisions>false</trackRevisions>
    </reviewItem>
    <reviewItem>
      <errorID>e72b677e-e975-4649-bf60-7e3627fc6be7</errorID>
      <errorWord>“/</errorWord>
      <group>L1_Punc</group>
      <groupName>标点问题</groupName>
      <ability>L2_Punc</ability>
      <abilityName>标点符号检查</abilityName>
      <candidateList>
        <item>“</item>
      </candidateList>
      <explain/>
      <paraID> 1CB30F4</paraID>
      <start>33</start>
      <end>35</end>
      <status>unmodified</status>
      <modifiedWord/>
      <trackRevisions>false</trackRevisions>
    </reviewItem>
    <reviewItem>
      <errorID>f2a7bc65-ccef-4346-a791-c288926cbf09</errorID>
      <errorWord>(</errorWord>
      <group>L1_Format</group>
      <groupName>格式问题</groupName>
      <ability>L2_HalfPunc</ability>
      <abilityName>全半角检查</abilityName>
      <candidateList>
        <item>（</item>
      </candidateList>
      <explain>文本全半角错误。</explain>
      <paraID>6A5065BB</paraID>
      <start>33</start>
      <end>34</end>
      <status>unmodified</status>
      <modifiedWord/>
      <trackRevisions>false</trackRevisions>
    </reviewItem>
    <reviewItem>
      <errorID>16218106-19e8-40e1-8950-5905d3e75c30</errorID>
      <errorWord>)</errorWord>
      <group>L1_Format</group>
      <groupName>格式问题</groupName>
      <ability>L2_HalfPunc</ability>
      <abilityName>全半角检查</abilityName>
      <candidateList>
        <item>）</item>
      </candidateList>
      <explain>文本全半角错误。</explain>
      <paraID>6A5065BB</paraID>
      <start>45</start>
      <end>46</end>
      <status>unmodified</status>
      <modifiedWord/>
      <trackRevisions>false</trackRevisions>
    </reviewItem>
    <reviewItem>
      <errorID>fff5e237-edff-4d73-b740-3b83780c3a77</errorID>
      <errorWord>(</errorWord>
      <group>L1_Format</group>
      <groupName>格式问题</groupName>
      <ability>L2_HalfPunc</ability>
      <abilityName>全半角检查</abilityName>
      <candidateList>
        <item>（</item>
      </candidateList>
      <explain>文本全半角错误。</explain>
      <paraID>6A5065BB</paraID>
      <start>209</start>
      <end>210</end>
      <status>unmodified</status>
      <modifiedWord/>
      <trackRevisions>false</trackRevisions>
    </reviewItem>
    <reviewItem>
      <errorID>138a748b-c2ad-4801-a5db-1ad855801957</errorID>
      <errorWord>)</errorWord>
      <group>L1_Format</group>
      <groupName>格式问题</groupName>
      <ability>L2_HalfPunc</ability>
      <abilityName>全半角检查</abilityName>
      <candidateList>
        <item>）</item>
      </candidateList>
      <explain>文本全半角错误。</explain>
      <paraID>6A5065BB</paraID>
      <start>226</start>
      <end>227</end>
      <status>unmodified</status>
      <modifiedWord/>
      <trackRevisions>false</trackRevisions>
    </reviewItem>
    <reviewItem>
      <errorID>3937f66f-4b8f-4ce0-af41-4ab1003e82c8</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59F49838</paraID>
      <start>55</start>
      <end>57</end>
      <status>unmodified</status>
      <modifiedWord/>
      <trackRevisions>false</trackRevisions>
    </reviewItem>
    <reviewItem>
      <errorID>a153c845-69ce-492e-a016-614cc83521b7</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168875D6</paraID>
      <start>9</start>
      <end>11</end>
      <status>unmodified</status>
      <modifiedWord/>
      <trackRevisions>false</trackRevisions>
    </reviewItem>
    <reviewItem>
      <errorID>4da349ca-5d15-4ca4-9823-9cca318d4942</errorID>
      <errorWord>(</errorWord>
      <group>L1_Format</group>
      <groupName>格式问题</groupName>
      <ability>L2_HalfPunc</ability>
      <abilityName>全半角检查</abilityName>
      <candidateList>
        <item>（</item>
      </candidateList>
      <explain>文本全半角错误。</explain>
      <paraID>2E1E7575</paraID>
      <start>4</start>
      <end>5</end>
      <status>unmodified</status>
      <modifiedWord/>
      <trackRevisions>false</trackRevisions>
    </reviewItem>
    <reviewItem>
      <errorID>a78e4dd6-ff5d-44a5-8c38-53df27f68f72</errorID>
      <errorWord>)</errorWord>
      <group>L1_Format</group>
      <groupName>格式问题</groupName>
      <ability>L2_HalfPunc</ability>
      <abilityName>全半角检查</abilityName>
      <candidateList>
        <item>）</item>
      </candidateList>
      <explain>文本全半角错误。</explain>
      <paraID>2E1E7575</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A030B691-9859-4A1A-A85D-3FBD62A74F55}"/>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戴霜霜</cp:lastModifiedBy>
  <cp:revision>6</cp:revision>
  <dcterms:created xsi:type="dcterms:W3CDTF">2025-06-04T08:32:00Z</dcterms:created>
  <dcterms:modified xsi:type="dcterms:W3CDTF">2026-06-10T07:31:10Z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eyJoZGlkIjoiMzA3ZGNkMzFhMjE4ODMxMzBjOTMyNmUxZjc0NTE3MzgiLCJ1c2VySWQiOiI1NTM4NTc4NDYifQ==</vt:lpwstr>
  </property>
  <property fmtid="{D5CDD505-2E9C-101B-9397-08002B2CF9AE}" pid="3" name="KSOProductBuildVer">
    <vt:lpwstr>2052-12.1.0.25865</vt:lpwstr>
  </property>
  <property fmtid="{D5CDD505-2E9C-101B-9397-08002B2CF9AE}" pid="4" name="ICV">
    <vt:lpwstr>E18941A934C340F69C0F6D6868E803E4_13</vt:lpwstr>
  </property>
</Properties>
</file>