
<file path=[Content_Types].xml><?xml version="1.0" encoding="utf-8"?>
<Types xmlns="http://schemas.openxmlformats.org/package/2006/content-types">
  <Default Extension="wmf" ContentType="image/x-wmf"/>
  <Default Extension="png" ContentType="image/png"/>
  <Default Extension="jpeg" ContentType="image/jpeg"/>
  <Default Extension="xml" ContentType="application/xml"/>
  <Default Extension="rels" ContentType="application/vnd.openxmlformats-package.relationships+xml"/>
  <Default Extension="bin" ContentType="application/vnd.openxmlformats-officedocument.oleObject"/>
  <Override PartName="/docProps/core.xml" ContentType="application/vnd.openxmlformats-package.core-properties+xml"/>
  <Override PartName="/docProps/app.xml" ContentType="application/vnd.openxmlformats-officedocument.extended-properties+xml"/>
  <Override PartName="/word/footer3.xml" ContentType="application/vnd.openxmlformats-officedocument.wordprocessingml.footer+xml"/>
  <Override PartName="/word/footer2.xml" ContentType="application/vnd.openxmlformats-officedocument.wordprocessingml.footer+xml"/>
  <Override PartName="/word/numbering.xml" ContentType="application/vnd.openxmlformats-officedocument.wordprocessingml.numbering+xml"/>
  <Override PartName="/docProps/custom.xml" ContentType="application/vnd.openxmlformats-officedocument.custom-properties+xml"/>
  <Override PartName="/word/header1.xml" ContentType="application/vnd.openxmlformats-officedocument.wordprocessingml.header+xml"/>
  <Override PartName="/word/header2.xml" ContentType="application/vnd.openxmlformats-officedocument.wordprocessingml.header+xml"/>
  <Override PartName="/word/theme/theme1.xml" ContentType="application/vnd.openxmlformats-officedocument.theme+xml"/>
  <Override PartName="/word/endnotes.xml" ContentType="application/vnd.openxmlformats-officedocument.wordprocessingml.endnotes+xml"/>
  <Override PartName="/word/fontTable.xml" ContentType="application/vnd.openxmlformats-officedocument.wordprocessingml.fontTable+xml"/>
  <Override PartName="/word/webSettings.xml" ContentType="application/vnd.openxmlformats-officedocument.wordprocessingml.webSettings+xml"/>
  <Override PartName="/word/settings.xml" ContentType="application/vnd.openxmlformats-officedocument.wordprocessingml.settings+xml"/>
  <Override PartName="/word/document.xml" ContentType="application/vnd.openxmlformats-officedocument.wordprocessingml.document.main+xml"/>
  <Override PartName="/word/footer1.xml" ContentType="application/vnd.openxmlformats-officedocument.wordprocessingml.footer+xml"/>
  <Override PartName="/customXml/itemProps2.xml" ContentType="application/vnd.openxmlformats-officedocument.customXmlProperties+xml"/>
  <Override PartName="/customXml/itemProps1.xml" ContentType="application/vnd.openxmlformats-officedocument.customXmlProperties+xml"/>
  <Override PartName="/word/footnotes.xml" ContentType="application/vnd.openxmlformats-officedocument.wordprocessingml.footnotes+xml"/>
  <Override PartName="/word/styles.xml" ContentType="application/vnd.openxmlformats-officedocument.wordprocessingml.styles+xml"/>
</Types>
</file>

<file path=_rels/.rels><?xml version="1.0" encoding="UTF-8" standalone="yes"?> <Relationships xmlns="http://schemas.openxmlformats.org/package/2006/relationships"> <Relationship Id="rId1" Type="http://schemas.openxmlformats.org/officeDocument/2006/relationships/officeDocument" Target="word/document.xml"/> <Relationship Id="rId2" Type="http://schemas.openxmlformats.org/package/2006/relationships/metadata/core-properties" Target="docProps/core.xml"/> <Relationship Id="rId3" Type="http://schemas.openxmlformats.org/officeDocument/2006/relationships/extended-properties" Target="docProps/app.xml"/><Relationship Id="rId4"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a="http://schemas.openxmlformats.org/drawingml/2006/main" xmlns:wne="http://schemas.microsoft.com/office/word/2006/wordml" xmlns:wps="http://schemas.microsoft.com/office/word/2010/wordprocessingShape" mc:Ignorable="w14 w15 wp14">
  <w:body>
    <w:p>
      <w:pPr>
        <w:ind w:right="-313"/>
        <w:jc w:val="center"/>
        <w:rPr>
          <w:rFonts w:hint="eastAsia" w:ascii="宋体" w:hAnsi="宋体"/>
          <w:b/>
          <w:bCs/>
          <w:color w:val="auto"/>
          <w:sz w:val="56"/>
          <w:szCs w:val="56"/>
          <w:highlight w:val="none"/>
        </w:rPr>
      </w:pPr>
      <w:r>
        <w:rPr>
          <w:rFonts w:hint="eastAsia" w:ascii="宋体" w:hAnsi="宋体"/>
          <w:b/>
          <w:bCs/>
          <w:color w:val="auto"/>
          <w:sz w:val="56"/>
          <w:szCs w:val="56"/>
          <w:highlight w:val="none"/>
        </w:rPr>
      </w:r>
      <w:r/>
    </w:p>
    <w:p>
      <w:pPr>
        <w:ind w:right="-313"/>
        <w:jc w:val="center"/>
        <w:rPr>
          <w:rFonts w:ascii="宋体" w:hAnsi="宋体"/>
          <w:b/>
          <w:bCs/>
          <w:color w:val="auto"/>
          <w:sz w:val="84"/>
          <w:szCs w:val="84"/>
          <w:highlight w:val="none"/>
        </w:rPr>
      </w:pPr>
      <w:r>
        <w:rPr>
          <w:rFonts w:hint="eastAsia" w:ascii="宋体" w:hAnsi="宋体"/>
          <w:b/>
          <w:bCs/>
          <w:color w:val="auto"/>
          <w:sz w:val="84"/>
          <w:szCs w:val="84"/>
          <w:highlight w:val="none"/>
        </w:rPr>
        <w:t xml:space="preserve">苏 州 市 政 府 采 购</w:t>
      </w:r>
      <w:r/>
    </w:p>
    <w:p>
      <w:pPr>
        <w:jc w:val="center"/>
        <w:rPr>
          <w:rFonts w:hint="eastAsia" w:ascii="宋体" w:hAnsi="宋体"/>
          <w:b/>
          <w:bCs/>
          <w:color w:val="auto"/>
          <w:sz w:val="84"/>
          <w:szCs w:val="84"/>
          <w:highlight w:val="none"/>
        </w:rPr>
      </w:pPr>
      <w:r>
        <w:rPr>
          <w:rFonts w:hint="eastAsia" w:ascii="宋体" w:hAnsi="宋体"/>
          <w:b/>
          <w:bCs/>
          <w:color w:val="auto"/>
          <w:sz w:val="84"/>
          <w:szCs w:val="84"/>
          <w:highlight w:val="none"/>
        </w:rPr>
        <w:t xml:space="preserve">招 标 文 件</w:t>
      </w:r>
      <w:r/>
    </w:p>
    <w:p>
      <w:pPr>
        <w:rPr>
          <w:rFonts w:hint="eastAsia" w:ascii="宋体" w:hAnsi="宋体"/>
          <w:color w:val="auto"/>
          <w:szCs w:val="21"/>
          <w:highlight w:val="none"/>
        </w:rPr>
      </w:pPr>
      <w:r>
        <w:rPr>
          <w:rFonts w:hint="eastAsia" w:ascii="宋体" w:hAnsi="宋体"/>
          <w:color w:val="auto"/>
          <w:highlight w:val="none"/>
        </w:rPr>
        <w:t xml:space="preserve"> </w:t>
      </w:r>
      <w:r/>
    </w:p>
    <w:p>
      <w:pP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pStyle w:val="799"/>
        <w:rPr>
          <w:rFonts w:hint="eastAsia"/>
          <w:color w:val="auto"/>
          <w:highlight w:val="none"/>
        </w:rPr>
      </w:pPr>
      <w:r>
        <w:rPr>
          <w:rFonts w:hint="eastAsia"/>
          <w:color w:val="auto"/>
          <w:highlight w:val="none"/>
        </w:rPr>
      </w:r>
      <w:r/>
    </w:p>
    <w:p>
      <w:pPr>
        <w:rPr>
          <w:rFonts w:hint="eastAsia"/>
          <w:color w:val="auto"/>
          <w:highlight w:val="none"/>
        </w:rPr>
      </w:pPr>
      <w:r>
        <w:rPr>
          <w:rFonts w:hint="eastAsia"/>
          <w:color w:val="auto"/>
          <w:highlight w:val="none"/>
        </w:rPr>
      </w:r>
      <w:r/>
    </w:p>
    <w:p>
      <w:pPr>
        <w:ind w:firstLine="1134"/>
        <w:jc w:val="left"/>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lang w:val="en-US" w:eastAsia="zh-CN"/>
        </w:rPr>
        <w:t xml:space="preserve">采购编号</w:t>
      </w:r>
      <w:r>
        <w:rPr>
          <w:rFonts w:hint="eastAsia" w:ascii="宋体" w:hAnsi="宋体"/>
          <w:color w:val="auto"/>
          <w:sz w:val="32"/>
          <w:szCs w:val="32"/>
          <w:highlight w:val="none"/>
        </w:rPr>
        <w:t xml:space="preserve">：</w:t>
      </w:r>
      <w:r>
        <w:rPr>
          <w:rFonts w:hint="eastAsia" w:ascii="宋体" w:hAnsi="宋体"/>
          <w:color w:val="auto"/>
          <w:sz w:val="32"/>
          <w:szCs w:val="32"/>
          <w:highlight w:val="none"/>
          <w:lang w:eastAsia="zh-CN"/>
        </w:rPr>
        <w:t xml:space="preserve">JSZC-320505-HDPY-G2026-0006</w:t>
      </w:r>
      <w:r/>
    </w:p>
    <w:p>
      <w:pPr>
        <w:ind w:firstLine="1134"/>
        <w:jc w:val="left"/>
        <w:keepLines w:val="0"/>
        <w:keepNext w:val="0"/>
        <w:pageBreakBefore w:val="0"/>
        <w:spacing w:line="360" w:lineRule="auto"/>
        <w:widowControl w:val="off"/>
        <w:rPr>
          <w:rFonts w:hint="eastAsia" w:ascii="宋体" w:hAnsi="宋体"/>
          <w:color w:val="auto"/>
          <w:sz w:val="32"/>
          <w:szCs w:val="32"/>
          <w:highlight w:val="none"/>
          <w:lang w:eastAsia="zh-CN"/>
        </w:rPr>
      </w:pPr>
      <w:r>
        <w:rPr>
          <w:rFonts w:hint="eastAsia" w:ascii="宋体" w:hAnsi="宋体"/>
          <w:color w:val="auto"/>
          <w:sz w:val="32"/>
          <w:szCs w:val="32"/>
          <w:highlight w:val="none"/>
        </w:rPr>
        <w:t xml:space="preserve">采购单位：</w:t>
      </w:r>
      <w:r>
        <w:rPr>
          <w:rFonts w:hint="eastAsia" w:ascii="宋体" w:hAnsi="宋体"/>
          <w:color w:val="auto"/>
          <w:sz w:val="32"/>
          <w:szCs w:val="32"/>
          <w:highlight w:val="none"/>
          <w:lang w:eastAsia="zh-CN"/>
        </w:rPr>
        <w:t xml:space="preserve">苏州高新区（虎丘区）城市管理局</w:t>
      </w:r>
      <w:r/>
    </w:p>
    <w:p>
      <w:pPr>
        <w:ind w:firstLine="2684"/>
        <w:jc w:val="left"/>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lang w:eastAsia="zh-CN"/>
        </w:rPr>
        <w:t xml:space="preserve">（综合行政执法局）</w:t>
      </w:r>
      <w:r/>
    </w:p>
    <w:p>
      <w:pPr>
        <w:ind w:firstLine="1134"/>
        <w:keepLines w:val="0"/>
        <w:keepNext w:val="0"/>
        <w:pageBreakBefore w:val="0"/>
        <w:spacing w:line="360" w:lineRule="auto"/>
        <w:widowControl w:val="off"/>
        <w:rPr>
          <w:rFonts w:hint="eastAsia" w:ascii="宋体" w:hAnsi="宋体" w:eastAsia="宋体"/>
          <w:color w:val="auto"/>
          <w:sz w:val="32"/>
          <w:szCs w:val="32"/>
          <w:highlight w:val="none"/>
          <w:lang w:eastAsia="zh-CN"/>
        </w:rPr>
      </w:pPr>
      <w:r>
        <w:rPr>
          <w:rFonts w:hint="eastAsia" w:ascii="宋体" w:hAnsi="宋体"/>
          <w:color w:val="auto"/>
          <w:sz w:val="32"/>
          <w:szCs w:val="32"/>
          <w:highlight w:val="none"/>
        </w:rPr>
        <w:t xml:space="preserve">采购内容：</w:t>
      </w:r>
      <w:r>
        <w:rPr>
          <w:rFonts w:hint="eastAsia" w:ascii="宋体" w:hAnsi="宋体"/>
          <w:color w:val="auto"/>
          <w:sz w:val="32"/>
          <w:szCs w:val="32"/>
          <w:highlight w:val="none"/>
          <w:lang w:eastAsia="zh-CN"/>
        </w:rPr>
        <w:t xml:space="preserve">2026年度苏州高新区草花种植项目</w:t>
      </w:r>
      <w:r/>
    </w:p>
    <w:p>
      <w:pPr>
        <w:ind w:firstLine="1134"/>
        <w:keepLines w:val="0"/>
        <w:keepNext w:val="0"/>
        <w:pageBreakBefore w:val="0"/>
        <w:spacing w:line="360" w:lineRule="auto"/>
        <w:widowControl w:val="off"/>
        <w:rPr>
          <w:rFonts w:hint="eastAsia" w:ascii="宋体" w:hAnsi="宋体"/>
          <w:color w:val="auto"/>
          <w:sz w:val="32"/>
          <w:szCs w:val="32"/>
          <w:highlight w:val="none"/>
        </w:rPr>
      </w:pPr>
      <w:r>
        <w:rPr>
          <w:rFonts w:hint="eastAsia" w:ascii="宋体" w:hAnsi="宋体"/>
          <w:color w:val="auto"/>
          <w:sz w:val="32"/>
          <w:szCs w:val="32"/>
          <w:highlight w:val="none"/>
        </w:rPr>
        <w:t xml:space="preserve">项目类别：服务类</w:t>
      </w:r>
      <w:r/>
    </w:p>
    <w:p>
      <w:pPr>
        <w:jc w:val="center"/>
        <w:rPr>
          <w:rFonts w:hint="eastAsia" w:ascii="宋体" w:hAnsi="宋体"/>
          <w:color w:val="auto"/>
          <w:sz w:val="32"/>
          <w:szCs w:val="32"/>
          <w:highlight w:val="none"/>
        </w:rPr>
      </w:pPr>
      <w:r>
        <w:rPr>
          <w:rFonts w:hint="eastAsia" w:ascii="宋体" w:hAnsi="宋体"/>
          <w:color w:val="auto"/>
          <w:sz w:val="32"/>
          <w:szCs w:val="32"/>
          <w:highlight w:val="none"/>
        </w:rPr>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jc w:val="center"/>
        <w:rPr>
          <w:rFonts w:hint="eastAsia"/>
          <w:color w:val="auto"/>
          <w:highlight w:val="none"/>
        </w:rPr>
      </w:pPr>
      <w:r>
        <w:rPr>
          <w:rFonts w:hint="eastAsia" w:ascii="宋体" w:hAnsi="宋体"/>
          <w:color w:val="auto"/>
          <w:sz w:val="32"/>
          <w:szCs w:val="32"/>
          <w:highlight w:val="none"/>
        </w:rPr>
        <w:t xml:space="preserve"> </w:t>
      </w:r>
      <w:r>
        <w:rPr>
          <w:color w:val="auto"/>
          <w:highlight w:val="none"/>
        </w:rPr>
        <mc:AlternateContent>
          <mc:Choice Requires="wpg">
            <w:drawing>
              <wp:inline xmlns:wp="http://schemas.openxmlformats.org/drawingml/2006/wordprocessingDrawing" distT="0" distB="0" distL="0" distR="0">
                <wp:extent cx="1447800" cy="1760220"/>
                <wp:effectExtent l="0" t="0" r="0" b="0"/>
                <wp:docPr id="4" name="图片 4"/>
                <wp:cNvGraphicFramePr/>
                <a:graphic xmlns:a="http://schemas.openxmlformats.org/drawingml/2006/main">
                  <a:graphicData uri="http://schemas.openxmlformats.org/drawingml/2006/picture">
                    <pic:pic xmlns:pic="http://schemas.openxmlformats.org/drawingml/2006/picture">
                      <pic:nvPicPr>
                        <pic:cNvPr id="4" name="图片 4"/>
                        <pic:cNvPicPr/>
                        <pic:nvPr/>
                      </pic:nvPicPr>
                      <pic:blipFill>
                        <a:blip r:embed="rId16"/>
                        <a:stretch/>
                      </pic:blipFill>
                      <pic:spPr bwMode="auto">
                        <a:xfrm>
                          <a:off x="0" y="0"/>
                          <a:ext cx="1447800" cy="1760360"/>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3" o:spid="_x0000_s3" type="#_x0000_t75" style="width:114.0pt;height:138.6pt;mso-wrap-distance-left:0.0pt;mso-wrap-distance-top:0.0pt;mso-wrap-distance-right:0.0pt;mso-wrap-distance-bottom:0.0pt;" stroked="f">
                <v:path textboxrect="0,0,0,0"/>
                <v:imagedata r:id="rId16" o:title=""/>
              </v:shape>
            </w:pict>
          </mc:Fallback>
        </mc:AlternateContent>
      </w:r>
      <w:r/>
    </w:p>
    <w:p>
      <w:pPr>
        <w:jc w:val="center"/>
        <w:rPr>
          <w:rFonts w:hint="eastAsia" w:ascii="宋体" w:hAnsi="宋体"/>
          <w:color w:val="auto"/>
          <w:sz w:val="32"/>
          <w:szCs w:val="32"/>
          <w:highlight w:val="none"/>
        </w:rPr>
      </w:pPr>
      <w:r>
        <w:rPr>
          <w:rFonts w:hint="eastAsia" w:ascii="宋体" w:hAnsi="宋体"/>
          <w:color w:val="auto"/>
          <w:sz w:val="32"/>
          <w:szCs w:val="32"/>
          <w:highlight w:val="none"/>
        </w:rPr>
        <w:t xml:space="preserve"> </w:t>
      </w:r>
      <w:r/>
    </w:p>
    <w:p>
      <w:pPr>
        <w:rPr>
          <w:rFonts w:hint="eastAsia" w:ascii="宋体" w:hAnsi="宋体"/>
          <w:color w:val="auto"/>
          <w:sz w:val="36"/>
          <w:szCs w:val="36"/>
          <w:highlight w:val="none"/>
        </w:rPr>
      </w:pPr>
      <w:r>
        <w:rPr>
          <w:rFonts w:hint="eastAsia" w:ascii="宋体" w:hAnsi="宋体"/>
          <w:color w:val="auto"/>
          <w:sz w:val="36"/>
          <w:szCs w:val="36"/>
          <w:highlight w:val="none"/>
        </w:rPr>
        <w:t xml:space="preserve"> </w:t>
      </w:r>
      <w:r/>
    </w:p>
    <w:p>
      <w:pPr>
        <w:pStyle w:val="799"/>
        <w:rPr>
          <w:rFonts w:hint="eastAsia"/>
          <w:color w:val="auto"/>
          <w:highlight w:val="none"/>
        </w:rPr>
      </w:pPr>
      <w:r>
        <w:rPr>
          <w:rFonts w:hint="eastAsia"/>
          <w:color w:val="auto"/>
          <w:highlight w:val="none"/>
        </w:rPr>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苏州惠德普源企业咨询有限公司</w:t>
      </w:r>
      <w:r/>
    </w:p>
    <w:p>
      <w:pPr>
        <w:jc w:val="center"/>
        <w:spacing w:line="360" w:lineRule="auto"/>
        <w:rPr>
          <w:rFonts w:hint="eastAsia" w:ascii="宋体" w:hAnsi="宋体"/>
          <w:color w:val="auto"/>
          <w:sz w:val="32"/>
          <w:szCs w:val="32"/>
          <w:highlight w:val="none"/>
        </w:rPr>
      </w:pPr>
      <w:r>
        <w:rPr>
          <w:rFonts w:hint="eastAsia" w:ascii="宋体" w:hAnsi="宋体"/>
          <w:color w:val="auto"/>
          <w:sz w:val="32"/>
          <w:szCs w:val="32"/>
          <w:highlight w:val="none"/>
        </w:rPr>
        <w:t xml:space="preserve">二〇二</w:t>
      </w:r>
      <w:r>
        <w:rPr>
          <w:rFonts w:hint="eastAsia" w:ascii="宋体" w:hAnsi="宋体"/>
          <w:color w:val="auto"/>
          <w:sz w:val="32"/>
          <w:szCs w:val="32"/>
          <w:highlight w:val="none"/>
          <w:lang w:val="en-US" w:eastAsia="zh-CN"/>
        </w:rPr>
        <w:t xml:space="preserve">六</w:t>
      </w:r>
      <w:r>
        <w:rPr>
          <w:rFonts w:hint="eastAsia" w:ascii="宋体" w:hAnsi="宋体"/>
          <w:color w:val="auto"/>
          <w:sz w:val="32"/>
          <w:szCs w:val="32"/>
          <w:highlight w:val="none"/>
        </w:rPr>
        <w:t xml:space="preserve">年</w:t>
      </w:r>
      <w:r>
        <w:rPr>
          <w:rFonts w:hint="eastAsia" w:ascii="宋体" w:hAnsi="宋体"/>
          <w:color w:val="auto"/>
          <w:sz w:val="32"/>
          <w:szCs w:val="32"/>
          <w:highlight w:val="none"/>
          <w:lang w:val="en-US" w:eastAsia="zh-CN"/>
        </w:rPr>
        <w:t xml:space="preserve">五</w:t>
      </w:r>
      <w:r>
        <w:rPr>
          <w:rFonts w:hint="eastAsia" w:ascii="宋体" w:hAnsi="宋体"/>
          <w:color w:val="auto"/>
          <w:sz w:val="32"/>
          <w:szCs w:val="32"/>
          <w:highlight w:val="none"/>
        </w:rPr>
        <w:t xml:space="preserve">月</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ascii="宋体" w:hAnsi="宋体"/>
          <w:color w:val="auto"/>
          <w:sz w:val="44"/>
          <w:szCs w:val="44"/>
          <w:highlight w:val="none"/>
        </w:rPr>
      </w:pPr>
      <w:r>
        <w:rPr>
          <w:rFonts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t xml:space="preserve">总目录</w:t>
      </w:r>
      <w:r/>
    </w:p>
    <w:p>
      <w:pPr>
        <w:pStyle w:val="984"/>
        <w:ind w:firstLine="0"/>
        <w:jc w:val="center"/>
        <w:rPr>
          <w:rFonts w:hint="eastAsia" w:ascii="宋体" w:hAnsi="宋体" w:eastAsia="宋体"/>
          <w:color w:val="auto"/>
          <w:sz w:val="30"/>
          <w:szCs w:val="30"/>
          <w:highlight w:val="none"/>
        </w:rPr>
      </w:pPr>
      <w:r>
        <w:rPr>
          <w:rFonts w:hint="eastAsia" w:ascii="宋体" w:hAnsi="宋体" w:eastAsia="宋体"/>
          <w:color w:val="auto"/>
          <w:sz w:val="30"/>
          <w:szCs w:val="30"/>
          <w:highlight w:val="none"/>
        </w:rPr>
        <w:t xml:space="preserve"> </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第一章 投标邀请函……………………………………………</w:t>
      </w:r>
      <w:r>
        <w:rPr>
          <w:rFonts w:hint="eastAsia" w:ascii="宋体" w:hAnsi="宋体"/>
          <w:color w:val="auto"/>
          <w:sz w:val="28"/>
          <w:szCs w:val="28"/>
          <w:highlight w:val="none"/>
          <w:lang w:val="en-US" w:eastAsia="zh-CN"/>
        </w:rPr>
        <w:t xml:space="preserve"> 5</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第二章 投标人须知……………………………………………</w:t>
      </w:r>
      <w:r>
        <w:rPr>
          <w:rFonts w:hint="eastAsia" w:ascii="宋体" w:hAnsi="宋体"/>
          <w:color w:val="auto"/>
          <w:sz w:val="28"/>
          <w:szCs w:val="28"/>
          <w:highlight w:val="none"/>
          <w:lang w:val="en-US" w:eastAsia="zh-CN"/>
        </w:rPr>
        <w:t xml:space="preserve">10</w:t>
      </w:r>
      <w:r/>
    </w:p>
    <w:p>
      <w:pPr>
        <w:ind w:firstLine="560"/>
        <w:spacing w:line="480" w:lineRule="auto"/>
        <w:rPr>
          <w:rFonts w:hint="eastAsia" w:ascii="宋体" w:hAnsi="宋体" w:eastAsia="宋体"/>
          <w:color w:val="auto"/>
          <w:sz w:val="28"/>
          <w:szCs w:val="28"/>
          <w:highlight w:val="none"/>
          <w:lang w:eastAsia="zh-CN"/>
        </w:rPr>
      </w:pPr>
      <w:r>
        <w:rPr>
          <w:rFonts w:hint="eastAsia" w:ascii="宋体" w:hAnsi="宋体"/>
          <w:color w:val="auto"/>
          <w:sz w:val="28"/>
          <w:szCs w:val="28"/>
          <w:highlight w:val="none"/>
        </w:rPr>
        <w:t xml:space="preserve">第三章 投标文件格式…………………………………………27</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第四章 招标书…………………………………………………</w:t>
      </w:r>
      <w:r>
        <w:rPr>
          <w:rFonts w:hint="eastAsia" w:ascii="宋体" w:hAnsi="宋体"/>
          <w:color w:val="auto"/>
          <w:sz w:val="28"/>
          <w:szCs w:val="28"/>
          <w:highlight w:val="none"/>
          <w:lang w:val="en-US" w:eastAsia="zh-CN"/>
        </w:rPr>
        <w:t xml:space="preserve">77</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第五章 合同主要条款…………………………………………</w:t>
      </w:r>
      <w:r>
        <w:rPr>
          <w:rFonts w:hint="eastAsia" w:ascii="宋体" w:hAnsi="宋体"/>
          <w:color w:val="auto"/>
          <w:sz w:val="28"/>
          <w:szCs w:val="28"/>
          <w:highlight w:val="none"/>
          <w:lang w:val="en-US" w:eastAsia="zh-CN"/>
        </w:rPr>
        <w:t xml:space="preserve">84</w:t>
      </w:r>
      <w:r/>
    </w:p>
    <w:p>
      <w:pPr>
        <w:ind w:firstLine="560"/>
        <w:spacing w:line="480" w:lineRule="auto"/>
        <w:rPr>
          <w:rFonts w:hint="default" w:ascii="宋体" w:hAnsi="宋体" w:eastAsia="宋体"/>
          <w:color w:val="auto"/>
          <w:sz w:val="28"/>
          <w:szCs w:val="28"/>
          <w:highlight w:val="none"/>
          <w:lang w:val="en-US" w:eastAsia="zh-CN"/>
        </w:rPr>
      </w:pPr>
      <w:r>
        <w:rPr>
          <w:rFonts w:hint="eastAsia" w:ascii="宋体" w:hAnsi="宋体"/>
          <w:color w:val="auto"/>
          <w:sz w:val="28"/>
          <w:szCs w:val="28"/>
          <w:highlight w:val="none"/>
        </w:rPr>
        <w:t xml:space="preserve">第六章 评标方法、评分标准…………………………………</w:t>
      </w:r>
      <w:r>
        <w:rPr>
          <w:rFonts w:hint="eastAsia" w:ascii="宋体" w:hAnsi="宋体"/>
          <w:color w:val="auto"/>
          <w:sz w:val="28"/>
          <w:szCs w:val="28"/>
          <w:highlight w:val="none"/>
          <w:lang w:val="en-US" w:eastAsia="zh-CN"/>
        </w:rPr>
        <w:t xml:space="preserve">95</w:t>
      </w:r>
      <w:r/>
    </w:p>
    <w:p>
      <w:pPr>
        <w:rPr>
          <w:rFonts w:hint="eastAsia" w:ascii="宋体" w:hAnsi="宋体"/>
          <w:color w:val="auto"/>
          <w:sz w:val="28"/>
          <w:szCs w:val="28"/>
          <w:highlight w:val="none"/>
        </w:rPr>
      </w:pPr>
      <w:r>
        <w:rPr>
          <w:rFonts w:hint="eastAsia" w:ascii="宋体" w:hAnsi="宋体"/>
          <w:color w:val="auto"/>
          <w:sz w:val="28"/>
          <w:szCs w:val="28"/>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rFonts w:hint="eastAsia" w:ascii="宋体" w:hAnsi="宋体"/>
          <w:color w:val="auto"/>
          <w:szCs w:val="21"/>
          <w:highlight w:val="none"/>
        </w:rPr>
      </w:pPr>
      <w:r>
        <w:rPr>
          <w:rFonts w:hint="eastAsia" w:ascii="宋体" w:hAnsi="宋体"/>
          <w:color w:val="auto"/>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t xml:space="preserve"> </w:t>
      </w:r>
      <w:r/>
    </w:p>
    <w:p>
      <w:pPr>
        <w:rPr>
          <w:color w:val="auto"/>
          <w:highlight w:val="none"/>
        </w:rPr>
      </w:pPr>
      <w:r>
        <w:rPr>
          <w:color w:val="auto"/>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hint="eastAsia" w:ascii="宋体" w:hAnsi="宋体"/>
          <w:color w:val="auto"/>
          <w:spacing w:val="20"/>
          <w:sz w:val="36"/>
          <w:szCs w:val="36"/>
          <w:highlight w:val="none"/>
        </w:rPr>
      </w:pPr>
      <w:r>
        <w:rPr>
          <w:rFonts w:hint="eastAsia" w:ascii="宋体" w:hAnsi="宋体"/>
          <w:color w:val="auto"/>
          <w:spacing w:val="20"/>
          <w:sz w:val="36"/>
          <w:szCs w:val="36"/>
          <w:highlight w:val="none"/>
        </w:rPr>
      </w:r>
      <w:r/>
    </w:p>
    <w:p>
      <w:pPr>
        <w:jc w:val="center"/>
        <w:rPr>
          <w:rFonts w:ascii="宋体" w:hAnsi="宋体"/>
          <w:color w:val="auto"/>
          <w:spacing w:val="20"/>
          <w:sz w:val="36"/>
          <w:szCs w:val="36"/>
          <w:highlight w:val="none"/>
        </w:rPr>
      </w:pPr>
      <w:r>
        <w:rPr>
          <w:rFonts w:hint="eastAsia" w:ascii="宋体" w:hAnsi="宋体"/>
          <w:color w:val="auto"/>
          <w:spacing w:val="20"/>
          <w:sz w:val="36"/>
          <w:szCs w:val="36"/>
          <w:highlight w:val="none"/>
        </w:rPr>
        <w:br w:type="page" w:clear="all"/>
      </w:r>
      <w:r>
        <w:rPr>
          <w:rFonts w:hint="eastAsia" w:ascii="宋体" w:hAnsi="宋体"/>
          <w:color w:val="auto"/>
          <w:spacing w:val="20"/>
          <w:sz w:val="36"/>
          <w:szCs w:val="36"/>
          <w:highlight w:val="none"/>
        </w:rPr>
        <w:t xml:space="preserve">前附表</w:t>
      </w:r>
      <w:r/>
    </w:p>
    <w:p>
      <w:pPr>
        <w:ind w:right="88" w:firstLine="480"/>
        <w:spacing w:line="300" w:lineRule="auto"/>
        <w:rPr>
          <w:rFonts w:hint="eastAsia" w:ascii="宋体" w:hAnsi="宋体"/>
          <w:color w:val="auto"/>
          <w:szCs w:val="21"/>
          <w:highlight w:val="none"/>
        </w:rPr>
      </w:pPr>
      <w:r>
        <w:rPr>
          <w:rFonts w:hint="eastAsia" w:ascii="宋体" w:hAnsi="宋体"/>
          <w:color w:val="auto"/>
          <w:sz w:val="24"/>
          <w:highlight w:val="none"/>
        </w:rPr>
        <w:t xml:space="preserve">下述关于要采购的项目具体资料是对招标文件第一部分投标人须知的具体补充和修改，如果有矛盾的话，应以本附表为准。</w:t>
      </w:r>
      <w:r/>
    </w:p>
    <w:tbl>
      <w:tblPr>
        <w:tblStyle w:val="794"/>
        <w:tblW w:w="9277" w:type="dxa"/>
        <w:tblInd w:w="-159"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976"/>
        <w:gridCol w:w="1752"/>
        <w:gridCol w:w="6549"/>
      </w:tblGrid>
      <w:tr>
        <w:trPr>
          <w:trHeight w:val="420"/>
        </w:trPr>
        <w:tc>
          <w:tcPr>
            <w:tcW w:w="976"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条款号</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   目</w:t>
            </w:r>
            <w:r/>
          </w:p>
        </w:tc>
        <w:tc>
          <w:tcPr>
            <w:tcW w:w="6549"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内               容</w:t>
            </w:r>
            <w:r/>
          </w:p>
        </w:tc>
      </w:tr>
      <w:tr>
        <w:trPr>
          <w:trHeight w:val="420"/>
        </w:trPr>
        <w:tc>
          <w:tcPr>
            <w:tcW w:w="976"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1</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项目编号</w:t>
            </w:r>
            <w:r/>
          </w:p>
        </w:tc>
        <w:tc>
          <w:tcPr>
            <w:tcW w:w="6549" w:type="dxa"/>
            <w:vAlign w:val="center"/>
            <w:textDirection w:val="lrTb"/>
            <w:noWrap w:val="false"/>
          </w:tcPr>
          <w:p>
            <w:pPr>
              <w:pStyle w:val="998"/>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JSZC-320505-HDPY-G2026-0006</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项目名称</w:t>
            </w:r>
            <w:r/>
          </w:p>
        </w:tc>
        <w:tc>
          <w:tcPr>
            <w:tcW w:w="6549" w:type="dxa"/>
            <w:vAlign w:val="center"/>
            <w:textDirection w:val="lrTb"/>
            <w:noWrap w:val="false"/>
          </w:tcPr>
          <w:p>
            <w:pPr>
              <w:pStyle w:val="998"/>
              <w:ind w:left="0"/>
              <w:jc w:val="left"/>
              <w:spacing w:line="420" w:lineRule="exact"/>
              <w:rPr>
                <w:rFonts w:hint="default"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2026年度苏州高新区草花种植项目</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招标代理机构名称及地址</w:t>
            </w:r>
            <w:r/>
          </w:p>
        </w:tc>
        <w:tc>
          <w:tcPr>
            <w:tcW w:w="6549" w:type="dxa"/>
            <w:vAlign w:val="center"/>
            <w:textDirection w:val="lrTb"/>
            <w:noWrap w:val="false"/>
          </w:tcPr>
          <w:p>
            <w:pPr>
              <w:spacing w:line="400" w:lineRule="exact"/>
              <w:rPr>
                <w:rFonts w:hint="eastAsia" w:ascii="宋体" w:hAnsi="宋体" w:cs="宋体"/>
                <w:color w:val="auto"/>
                <w:sz w:val="24"/>
                <w:highlight w:val="none"/>
                <w:shd w:val="clear" w:color="auto" w:fill="ffffff"/>
              </w:rPr>
            </w:pPr>
            <w:r>
              <w:rPr>
                <w:rFonts w:hint="eastAsia" w:ascii="宋体" w:hAnsi="宋体"/>
                <w:color w:val="auto"/>
                <w:sz w:val="24"/>
                <w:highlight w:val="none"/>
                <w:shd w:val="clear" w:color="auto" w:fill="ffffff"/>
              </w:rPr>
              <w:t xml:space="preserve">名称：苏州惠德普源企业咨询有限公司</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地址：苏州市滨河路锦和越界X2创意街区3B 512室</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邮编：215000</w:t>
            </w:r>
            <w:r/>
          </w:p>
          <w:p>
            <w:pPr>
              <w:spacing w:line="400" w:lineRule="exact"/>
              <w:rPr>
                <w:rFonts w:hint="eastAsia" w:ascii="宋体" w:hAnsi="宋体"/>
                <w:color w:val="auto"/>
                <w:sz w:val="24"/>
                <w:highlight w:val="none"/>
                <w:shd w:val="clear" w:color="auto" w:fill="ffffff"/>
              </w:rPr>
            </w:pPr>
            <w:r>
              <w:rPr>
                <w:rFonts w:hint="eastAsia" w:ascii="宋体" w:hAnsi="宋体"/>
                <w:color w:val="auto"/>
                <w:sz w:val="24"/>
                <w:highlight w:val="none"/>
                <w:shd w:val="clear" w:color="auto" w:fill="ffffff"/>
              </w:rPr>
              <w:t xml:space="preserve">电话/传真：0512-65274327</w:t>
            </w:r>
            <w:r/>
          </w:p>
          <w:p>
            <w:pPr>
              <w:spacing w:line="400" w:lineRule="exact"/>
              <w:rPr>
                <w:rFonts w:hint="eastAsia" w:ascii="宋体" w:hAnsi="宋体" w:eastAsia="宋体" w:cs="宋体"/>
                <w:color w:val="auto"/>
                <w:sz w:val="24"/>
                <w:highlight w:val="none"/>
                <w:shd w:val="clear" w:color="auto" w:fill="ffffff"/>
                <w:lang w:eastAsia="zh-CN"/>
              </w:rPr>
            </w:pPr>
            <w:r>
              <w:rPr>
                <w:rFonts w:hint="eastAsia" w:ascii="宋体" w:hAnsi="宋体"/>
                <w:color w:val="auto"/>
                <w:sz w:val="24"/>
                <w:highlight w:val="none"/>
                <w:shd w:val="clear" w:color="auto" w:fill="ffffff"/>
              </w:rPr>
              <w:t xml:space="preserve">联系人</w:t>
            </w:r>
            <w:r>
              <w:rPr>
                <w:rFonts w:hint="eastAsia" w:ascii="宋体" w:hAnsi="宋体"/>
                <w:color w:val="auto"/>
                <w:sz w:val="24"/>
                <w:highlight w:val="none"/>
                <w:shd w:val="clear" w:color="auto" w:fill="ffffff"/>
                <w:lang w:eastAsia="zh-CN"/>
              </w:rPr>
              <w:t xml:space="preserve">：姚佳雯、储竹秀</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4</w:t>
            </w:r>
            <w:r/>
          </w:p>
        </w:tc>
        <w:tc>
          <w:tcPr>
            <w:tcW w:w="1752"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采购</w:t>
            </w:r>
            <w:r>
              <w:rPr>
                <w:rFonts w:hint="eastAsia" w:ascii="宋体" w:hAnsi="宋体"/>
                <w:color w:val="auto"/>
                <w:sz w:val="24"/>
                <w:szCs w:val="24"/>
                <w:highlight w:val="none"/>
                <w:lang w:eastAsia="zh-CN"/>
              </w:rPr>
              <w:t xml:space="preserve">单位</w:t>
            </w:r>
            <w:r/>
          </w:p>
        </w:tc>
        <w:tc>
          <w:tcPr>
            <w:tcW w:w="6549" w:type="dxa"/>
            <w:vAlign w:val="center"/>
            <w:textDirection w:val="lrTb"/>
            <w:noWrap w:val="false"/>
          </w:tcPr>
          <w:p>
            <w:pPr>
              <w:keepLines w:val="0"/>
              <w:keepNext w:val="0"/>
              <w:pageBreakBefore w:val="0"/>
              <w:spacing w:beforeAutospacing="0" w:afterAutospacing="0" w:line="380" w:lineRule="exact"/>
              <w:widowControl w:val="off"/>
              <w:rPr>
                <w:rFonts w:hint="eastAsia" w:ascii="宋体" w:hAnsi="宋体" w:eastAsia="宋体" w:cs="宋体"/>
                <w:color w:val="auto"/>
                <w:sz w:val="24"/>
                <w:szCs w:val="24"/>
                <w:highlight w:val="none"/>
                <w:shd w:val="clear" w:color="auto" w:fill="ffffff"/>
                <w:lang w:eastAsia="zh-CN"/>
              </w:rPr>
            </w:pPr>
            <w:r>
              <w:rPr>
                <w:rFonts w:hint="eastAsia" w:ascii="宋体" w:hAnsi="宋体" w:cs="宋体"/>
                <w:color w:val="auto"/>
                <w:sz w:val="24"/>
                <w:szCs w:val="24"/>
                <w:highlight w:val="none"/>
                <w:shd w:val="clear" w:color="auto" w:fill="ffffff"/>
                <w:lang w:eastAsia="zh-CN"/>
              </w:rPr>
              <w:t xml:space="preserve">苏州高新区（虎丘区）城市管理局（综合行政执法局）</w:t>
            </w:r>
            <w:r/>
          </w:p>
          <w:p>
            <w:pPr>
              <w:spacing w:line="400" w:lineRule="exact"/>
              <w:rPr>
                <w:rFonts w:hint="eastAsia" w:ascii="宋体" w:hAnsi="宋体" w:eastAsia="宋体" w:cs="宋体"/>
                <w:color w:val="auto"/>
                <w:sz w:val="24"/>
                <w:highlight w:val="none"/>
                <w:shd w:val="clear" w:color="auto" w:fill="ffffff"/>
                <w:lang w:val="en-US" w:eastAsia="zh-CN"/>
              </w:rPr>
            </w:pPr>
            <w:r>
              <w:rPr>
                <w:rFonts w:hint="eastAsia" w:ascii="宋体" w:hAnsi="宋体" w:eastAsia="宋体" w:cs="宋体"/>
                <w:color w:val="auto"/>
                <w:sz w:val="24"/>
                <w:szCs w:val="24"/>
                <w:highlight w:val="none"/>
                <w:shd w:val="clear" w:color="auto" w:fill="ffffff"/>
              </w:rPr>
              <w:t xml:space="preserve">联系人：</w:t>
            </w:r>
            <w:r>
              <w:rPr>
                <w:rFonts w:hint="eastAsia" w:ascii="宋体" w:hAnsi="宋体" w:cs="宋体"/>
                <w:color w:val="auto"/>
                <w:sz w:val="24"/>
                <w:szCs w:val="24"/>
                <w:highlight w:val="none"/>
                <w:shd w:val="clear" w:color="auto" w:fill="ffffff"/>
                <w:lang w:eastAsia="zh-CN"/>
              </w:rPr>
              <w:t xml:space="preserve">莫懿杰</w:t>
            </w:r>
            <w:r>
              <w:rPr>
                <w:rFonts w:hint="eastAsia" w:ascii="宋体" w:hAnsi="宋体" w:eastAsia="宋体" w:cs="宋体"/>
                <w:color w:val="auto"/>
                <w:sz w:val="24"/>
                <w:szCs w:val="24"/>
                <w:highlight w:val="none"/>
                <w:shd w:val="clear" w:color="auto" w:fill="ffffff"/>
              </w:rPr>
              <w:t xml:space="preserve">            </w:t>
            </w:r>
            <w:r>
              <w:rPr>
                <w:rFonts w:hint="eastAsia" w:ascii="宋体" w:hAnsi="宋体" w:cs="宋体"/>
                <w:color w:val="auto"/>
                <w:sz w:val="24"/>
                <w:szCs w:val="24"/>
                <w:highlight w:val="none"/>
                <w:shd w:val="clear" w:color="auto" w:fill="ffffff"/>
                <w:lang w:val="en-US" w:eastAsia="zh-CN"/>
              </w:rPr>
              <w:t xml:space="preserve">   </w:t>
            </w:r>
            <w:r>
              <w:rPr>
                <w:rFonts w:hint="eastAsia" w:ascii="宋体" w:hAnsi="宋体" w:eastAsia="宋体" w:cs="宋体"/>
                <w:color w:val="auto"/>
                <w:sz w:val="24"/>
                <w:szCs w:val="24"/>
                <w:highlight w:val="none"/>
                <w:shd w:val="clear" w:color="auto" w:fill="ffffff"/>
              </w:rPr>
              <w:t xml:space="preserve">联系电话：</w:t>
            </w:r>
            <w:r>
              <w:rPr>
                <w:rFonts w:hint="eastAsia" w:ascii="宋体" w:hAnsi="宋体" w:cs="宋体"/>
                <w:color w:val="auto"/>
                <w:sz w:val="24"/>
                <w:szCs w:val="24"/>
                <w:highlight w:val="none"/>
                <w:shd w:val="clear" w:color="auto" w:fill="ffffff"/>
                <w:lang w:eastAsia="zh-CN"/>
              </w:rPr>
              <w:t xml:space="preserve">0512-68089702</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5</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标书组成</w:t>
            </w:r>
            <w:r/>
          </w:p>
        </w:tc>
        <w:tc>
          <w:tcPr>
            <w:tcW w:w="6549" w:type="dxa"/>
            <w:vAlign w:val="center"/>
            <w:textDirection w:val="lrTb"/>
            <w:noWrap w:val="false"/>
          </w:tcPr>
          <w:p>
            <w:pPr>
              <w:pStyle w:val="998"/>
              <w:ind w:left="0"/>
              <w:jc w:val="left"/>
              <w:spacing w:line="360" w:lineRule="exact"/>
              <w:rPr>
                <w:rFonts w:ascii="宋体" w:hAnsi="宋体" w:cs="宋体"/>
                <w:color w:val="auto"/>
                <w:sz w:val="24"/>
                <w:highlight w:val="none"/>
                <w:shd w:val="clear" w:color="auto" w:fill="ffffff"/>
              </w:rPr>
            </w:pPr>
            <w:r>
              <w:rPr>
                <w:rFonts w:hint="eastAsia" w:ascii="宋体" w:hAnsi="宋体" w:cs="宋体"/>
                <w:color w:val="auto"/>
                <w:sz w:val="24"/>
                <w:szCs w:val="24"/>
                <w:highlight w:val="none"/>
              </w:rPr>
              <w:t xml:space="preserve">详见招标文件第二章</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6</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投标保证金</w:t>
            </w:r>
            <w:r/>
          </w:p>
        </w:tc>
        <w:tc>
          <w:tcPr>
            <w:tcW w:w="6549" w:type="dxa"/>
            <w:vAlign w:val="center"/>
            <w:textDirection w:val="lrTb"/>
            <w:noWrap w:val="false"/>
          </w:tcPr>
          <w:p>
            <w:pPr>
              <w:pStyle w:val="998"/>
              <w:ind w:left="0"/>
              <w:jc w:val="left"/>
              <w:spacing w:line="420" w:lineRule="exact"/>
              <w:rPr>
                <w:rFonts w:ascii="宋体" w:hAnsi="宋体"/>
                <w:color w:val="auto"/>
                <w:highlight w:val="none"/>
              </w:rPr>
            </w:pPr>
            <w:r>
              <w:rPr>
                <w:rFonts w:hint="eastAsia" w:ascii="宋体" w:hAnsi="宋体"/>
                <w:color w:val="auto"/>
                <w:sz w:val="24"/>
                <w:szCs w:val="24"/>
                <w:highlight w:val="none"/>
              </w:rPr>
              <w:t xml:space="preserve">本项目免收投标保证金</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7</w:t>
            </w:r>
            <w:r/>
          </w:p>
        </w:tc>
        <w:tc>
          <w:tcPr>
            <w:tcW w:w="1752" w:type="dxa"/>
            <w:vAlign w:val="center"/>
            <w:textDirection w:val="lrTb"/>
            <w:noWrap w:val="false"/>
          </w:tcPr>
          <w:p>
            <w:pPr>
              <w:pStyle w:val="998"/>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履约保证金</w:t>
            </w:r>
            <w:r/>
          </w:p>
        </w:tc>
        <w:tc>
          <w:tcPr>
            <w:tcW w:w="6549" w:type="dxa"/>
            <w:vAlign w:val="center"/>
            <w:textDirection w:val="lrTb"/>
            <w:noWrap w:val="false"/>
          </w:tcPr>
          <w:p>
            <w:pPr>
              <w:pStyle w:val="998"/>
              <w:ind w:left="0"/>
              <w:jc w:val="left"/>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中标金额的5%</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8</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投标有效期</w:t>
            </w:r>
            <w:r/>
          </w:p>
        </w:tc>
        <w:tc>
          <w:tcPr>
            <w:tcW w:w="6549" w:type="dxa"/>
            <w:vAlign w:val="center"/>
            <w:textDirection w:val="lrTb"/>
            <w:noWrap w:val="false"/>
          </w:tcPr>
          <w:p>
            <w:pPr>
              <w:pStyle w:val="998"/>
              <w:ind w:left="0"/>
              <w:jc w:val="left"/>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eastAsia="zh-CN"/>
              </w:rPr>
              <w:t xml:space="preserve">九十天（日历日）</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9</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投标文件</w:t>
            </w:r>
            <w:r/>
          </w:p>
        </w:tc>
        <w:tc>
          <w:tcPr>
            <w:tcW w:w="6549" w:type="dxa"/>
            <w:vAlign w:val="center"/>
            <w:textDirection w:val="lrTb"/>
            <w:noWrap w:val="false"/>
          </w:tcPr>
          <w:p>
            <w:pPr>
              <w:jc w:val="left"/>
              <w:spacing w:line="440" w:lineRule="exact"/>
              <w:rPr>
                <w:rFonts w:ascii="宋体" w:hAnsi="宋体"/>
                <w:color w:val="auto"/>
                <w:sz w:val="24"/>
                <w:szCs w:val="24"/>
                <w:highlight w:val="none"/>
              </w:rPr>
            </w:pPr>
            <w:r>
              <w:rPr>
                <w:rFonts w:hint="eastAsia" w:ascii="宋体" w:hAnsi="宋体" w:cs="Arial"/>
                <w:color w:val="auto"/>
                <w:sz w:val="24"/>
                <w:szCs w:val="24"/>
                <w:highlight w:val="none"/>
              </w:rPr>
              <w:t xml:space="preserve">本项目采用电子投标文件，投标人按照招标文件要求制作上传电子投标文件，无需提供纸质投标文件。</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10</w:t>
            </w:r>
            <w:r/>
          </w:p>
        </w:tc>
        <w:tc>
          <w:tcPr>
            <w:tcW w:w="1752" w:type="dxa"/>
            <w:vAlign w:val="center"/>
            <w:textDirection w:val="lrTb"/>
            <w:noWrap w:val="false"/>
          </w:tcPr>
          <w:p>
            <w:pPr>
              <w:pStyle w:val="998"/>
              <w:ind w:left="0"/>
              <w:jc w:val="center"/>
              <w:spacing w:line="360" w:lineRule="exact"/>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lang w:eastAsia="zh-CN"/>
              </w:rPr>
              <w:t xml:space="preserve">获取招标文件时间</w:t>
            </w:r>
            <w:r/>
          </w:p>
        </w:tc>
        <w:tc>
          <w:tcPr>
            <w:tcW w:w="6549" w:type="dxa"/>
            <w:vAlign w:val="center"/>
            <w:textDirection w:val="lrTb"/>
            <w:noWrap w:val="false"/>
          </w:tcPr>
          <w:p>
            <w:pPr>
              <w:pStyle w:val="998"/>
              <w:ind w:left="0"/>
              <w:jc w:val="left"/>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自公告发布之日起5个工作日</w:t>
            </w:r>
            <w:r/>
          </w:p>
        </w:tc>
      </w:tr>
      <w:tr>
        <w:trPr>
          <w:trHeight w:val="420"/>
        </w:trPr>
        <w:tc>
          <w:tcPr>
            <w:tcW w:w="976" w:type="dxa"/>
            <w:vAlign w:val="center"/>
            <w:textDirection w:val="lrTb"/>
            <w:noWrap w:val="false"/>
          </w:tcPr>
          <w:p>
            <w:pPr>
              <w:pStyle w:val="998"/>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1</w:t>
            </w:r>
            <w:r/>
          </w:p>
        </w:tc>
        <w:tc>
          <w:tcPr>
            <w:tcW w:w="1752" w:type="dxa"/>
            <w:vAlign w:val="center"/>
            <w:textDirection w:val="lrTb"/>
            <w:noWrap w:val="false"/>
          </w:tcPr>
          <w:p>
            <w:pPr>
              <w:pStyle w:val="998"/>
              <w:ind w:left="0"/>
              <w:jc w:val="center"/>
              <w:spacing w:line="360" w:lineRule="exact"/>
              <w:rPr>
                <w:rFonts w:ascii="宋体" w:hAnsi="宋体" w:cs="宋体"/>
                <w:color w:val="auto"/>
                <w:sz w:val="24"/>
                <w:highlight w:val="none"/>
              </w:rPr>
            </w:pPr>
            <w:r>
              <w:rPr>
                <w:rFonts w:hint="eastAsia" w:ascii="宋体" w:hAnsi="宋体" w:cs="宋体"/>
                <w:color w:val="auto"/>
                <w:sz w:val="24"/>
                <w:szCs w:val="24"/>
                <w:highlight w:val="none"/>
              </w:rPr>
              <w:t xml:space="preserve">投标截止时间</w:t>
            </w:r>
            <w:r/>
          </w:p>
        </w:tc>
        <w:tc>
          <w:tcPr>
            <w:tcW w:w="6549" w:type="dxa"/>
            <w:vAlign w:val="center"/>
            <w:textDirection w:val="lrTb"/>
            <w:noWrap w:val="false"/>
          </w:tcPr>
          <w:p>
            <w:pPr>
              <w:jc w:val="left"/>
              <w:keepLines w:val="0"/>
              <w:keepNext w:val="0"/>
              <w:pageBreakBefore w:val="0"/>
              <w:spacing w:line="380" w:lineRule="exact"/>
              <w:widowControl w:val="off"/>
              <w:rPr>
                <w:color w:val="auto"/>
                <w:highlight w:val="none"/>
              </w:rPr>
              <w:pBdr>
                <w:top w:val="none" w:color="000000" w:sz="0" w:space="0"/>
                <w:left w:val="none" w:color="000000" w:sz="0" w:space="0"/>
                <w:bottom w:val="none" w:color="000000" w:sz="0" w:space="0"/>
                <w:right w:val="none" w:color="000000" w:sz="0" w:space="0"/>
              </w:pBdr>
            </w:pPr>
            <w:r>
              <w:rPr>
                <w:rFonts w:hint="eastAsia" w:ascii="宋体" w:hAnsi="宋体" w:cs="宋体"/>
                <w:color w:val="auto"/>
                <w:sz w:val="24"/>
                <w:szCs w:val="24"/>
                <w:highlight w:val="none"/>
                <w:lang w:eastAsia="zh-CN"/>
              </w:rPr>
              <w:t xml:space="preserve">2026年6月10日09:30</w:t>
            </w:r>
            <w:r>
              <w:rPr>
                <w:rFonts w:hint="eastAsia" w:ascii="宋体" w:hAnsi="宋体"/>
                <w:color w:val="auto"/>
                <w:sz w:val="24"/>
                <w:szCs w:val="24"/>
                <w:highlight w:val="none"/>
              </w:rPr>
              <w:t xml:space="preserve">（北京时间）</w:t>
            </w:r>
            <w:r/>
          </w:p>
          <w:p>
            <w:pPr>
              <w:pStyle w:val="998"/>
              <w:ind w:left="0"/>
              <w:jc w:val="left"/>
              <w:keepLines w:val="0"/>
              <w:keepNext w:val="0"/>
              <w:pageBreakBefore w:val="0"/>
              <w:spacing w:before="0" w:beforeAutospacing="0" w:after="0" w:afterAutospacing="0" w:line="380" w:lineRule="exact"/>
              <w:widowControl w:val="off"/>
              <w:rPr>
                <w:rFonts w:ascii="宋体" w:hAnsi="宋体" w:cs="宋体"/>
                <w:color w:val="auto"/>
                <w:sz w:val="24"/>
                <w:highlight w:val="none"/>
                <w:shd w:val="clear" w:color="auto" w:fill="ffffff"/>
              </w:rPr>
            </w:pPr>
            <w:r>
              <w:rPr>
                <w:rFonts w:hint="eastAsia" w:ascii="宋体" w:hAnsi="宋体"/>
                <w:b/>
                <w:bCs/>
                <w:color w:val="auto"/>
                <w:sz w:val="24"/>
                <w:szCs w:val="24"/>
                <w:highlight w:val="none"/>
              </w:rPr>
              <w:t xml:space="preserve">投标文件必须在截止时间前完成提交（上传），逾期提交（上传）的投标文件恕不接受。</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2</w:t>
            </w:r>
            <w:r/>
          </w:p>
        </w:tc>
        <w:tc>
          <w:tcPr>
            <w:tcW w:w="1752" w:type="dxa"/>
            <w:vAlign w:val="center"/>
            <w:textDirection w:val="lrTb"/>
            <w:noWrap w:val="false"/>
          </w:tcPr>
          <w:p>
            <w:pPr>
              <w:pStyle w:val="998"/>
              <w:ind w:left="0"/>
              <w:jc w:val="center"/>
              <w:spacing w:line="360" w:lineRule="exact"/>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开标时间及</w:t>
            </w:r>
            <w:r/>
          </w:p>
          <w:p>
            <w:pPr>
              <w:pStyle w:val="998"/>
              <w:ind w:left="0"/>
              <w:jc w:val="center"/>
              <w:spacing w:line="360" w:lineRule="exact"/>
              <w:rPr>
                <w:rFonts w:hint="eastAsia" w:ascii="宋体" w:hAnsi="宋体"/>
                <w:color w:val="auto"/>
                <w:sz w:val="24"/>
                <w:szCs w:val="24"/>
                <w:highlight w:val="none"/>
              </w:rPr>
            </w:pPr>
            <w:r>
              <w:rPr>
                <w:rFonts w:hint="eastAsia" w:ascii="宋体" w:hAnsi="宋体" w:cs="宋体"/>
                <w:color w:val="auto"/>
                <w:sz w:val="24"/>
                <w:szCs w:val="24"/>
                <w:highlight w:val="none"/>
              </w:rPr>
              <w:t xml:space="preserve">开标地点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2026年6月10日09:30</w:t>
            </w:r>
            <w:r>
              <w:rPr>
                <w:rFonts w:hint="eastAsia" w:ascii="宋体" w:hAnsi="宋体"/>
                <w:color w:val="auto"/>
                <w:sz w:val="24"/>
                <w:szCs w:val="24"/>
                <w:highlight w:val="none"/>
              </w:rPr>
              <w:t xml:space="preserve">（北京时间）</w:t>
            </w:r>
            <w:r/>
          </w:p>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“苏采云”系统（网址：</w:t>
            </w:r>
            <w:r>
              <w:rPr>
                <w:rFonts w:ascii="宋体" w:hAnsi="宋体" w:eastAsia="宋体" w:cs="宋体"/>
                <w:color w:val="auto"/>
                <w:sz w:val="24"/>
                <w:szCs w:val="24"/>
                <w:highlight w:val="none"/>
              </w:rPr>
              <w:t xml:space="preserve">http://jszfcg.jsczt.cn/</w:t>
            </w:r>
            <w:r>
              <w:rPr>
                <w:rFonts w:hint="eastAsia" w:ascii="宋体" w:hAnsi="宋体"/>
                <w:color w:val="auto"/>
                <w:sz w:val="24"/>
                <w:szCs w:val="24"/>
                <w:highlight w:val="none"/>
              </w:rPr>
              <w:t xml:space="preserve">）</w:t>
            </w:r>
            <w:r/>
          </w:p>
          <w:p>
            <w:pPr>
              <w:pStyle w:val="998"/>
              <w:ind w:left="0"/>
              <w:jc w:val="left"/>
              <w:keepLines w:val="0"/>
              <w:keepNext w:val="0"/>
              <w:pageBreakBefore w:val="0"/>
              <w:spacing w:before="0" w:beforeAutospacing="0" w:after="0" w:afterAutospacing="0" w:line="380" w:lineRule="exact"/>
              <w:widowControl w:val="off"/>
              <w:rPr>
                <w:rFonts w:hint="eastAsia" w:ascii="宋体" w:hAnsi="宋体"/>
                <w:color w:val="auto"/>
                <w:sz w:val="24"/>
                <w:szCs w:val="24"/>
                <w:highlight w:val="none"/>
              </w:rPr>
            </w:pPr>
            <w:r>
              <w:rPr>
                <w:rFonts w:hint="eastAsia" w:ascii="宋体" w:hAnsi="宋体"/>
                <w:b/>
                <w:color w:val="auto"/>
                <w:sz w:val="24"/>
                <w:szCs w:val="24"/>
                <w:highlight w:val="none"/>
              </w:rPr>
              <w:t xml:space="preserve">本项目为线上不见面开标项目，开标阶段供应商在【供应商解密】环节必须使用 CA证书解密电子投标文件，如在系统规定的解密时间（投标文件提交截止时间后30分钟）内未能完成解密的视为放弃投标。</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3</w:t>
            </w:r>
            <w:r/>
          </w:p>
        </w:tc>
        <w:tc>
          <w:tcPr>
            <w:tcW w:w="1752" w:type="dxa"/>
            <w:vAlign w:val="center"/>
            <w:textDirection w:val="lrTb"/>
            <w:noWrap w:val="false"/>
          </w:tcPr>
          <w:p>
            <w:pPr>
              <w:jc w:val="center"/>
              <w:spacing w:line="312" w:lineRule="auto"/>
              <w:rPr>
                <w:rFonts w:hint="eastAsia" w:ascii="宋体" w:hAnsi="宋体"/>
                <w:color w:val="auto"/>
                <w:sz w:val="24"/>
                <w:szCs w:val="24"/>
                <w:highlight w:val="none"/>
              </w:rPr>
            </w:pPr>
            <w:r>
              <w:rPr>
                <w:rFonts w:hint="eastAsia" w:ascii="宋体" w:hAnsi="宋体"/>
                <w:color w:val="auto"/>
                <w:sz w:val="24"/>
                <w:szCs w:val="24"/>
                <w:highlight w:val="none"/>
              </w:rPr>
              <w:t xml:space="preserve">评标时间及</w:t>
            </w:r>
            <w:r/>
          </w:p>
          <w:p>
            <w:pPr>
              <w:jc w:val="center"/>
              <w:spacing w:line="312" w:lineRule="auto"/>
              <w:rPr>
                <w:rFonts w:ascii="宋体" w:hAnsi="宋体" w:cs="宋体"/>
                <w:color w:val="auto"/>
                <w:sz w:val="24"/>
                <w:highlight w:val="none"/>
              </w:rPr>
            </w:pPr>
            <w:r>
              <w:rPr>
                <w:rFonts w:hint="eastAsia" w:ascii="宋体" w:hAnsi="宋体"/>
                <w:color w:val="auto"/>
                <w:sz w:val="24"/>
                <w:szCs w:val="24"/>
                <w:highlight w:val="none"/>
              </w:rPr>
              <w:t xml:space="preserve">评标地点</w:t>
            </w:r>
            <w:r/>
          </w:p>
        </w:tc>
        <w:tc>
          <w:tcPr>
            <w:tcW w:w="6549" w:type="dxa"/>
            <w:vAlign w:val="center"/>
            <w:textDirection w:val="lrTb"/>
            <w:noWrap w:val="false"/>
          </w:tcPr>
          <w:p>
            <w:pPr>
              <w:jc w:val="left"/>
              <w:keepLines w:val="0"/>
              <w:keepNext w:val="0"/>
              <w:pageBreakBefore w:val="0"/>
              <w:spacing w:line="380" w:lineRule="exact"/>
              <w:widowControl w:val="off"/>
              <w:rPr>
                <w:rFonts w:ascii="宋体" w:hAnsi="宋体"/>
                <w:color w:val="auto"/>
                <w:sz w:val="24"/>
                <w:szCs w:val="24"/>
                <w:highlight w:val="none"/>
              </w:rPr>
            </w:pPr>
            <w:r>
              <w:rPr>
                <w:rFonts w:hint="eastAsia" w:ascii="宋体" w:hAnsi="宋体" w:cs="宋体"/>
                <w:color w:val="auto"/>
                <w:sz w:val="24"/>
                <w:szCs w:val="24"/>
                <w:highlight w:val="none"/>
                <w:lang w:eastAsia="zh-CN"/>
              </w:rPr>
            </w:r>
            <w:r>
              <w:rPr>
                <w:rFonts w:hint="eastAsia" w:ascii="宋体" w:hAnsi="宋体" w:cs="宋体"/>
                <w:color w:val="auto"/>
                <w:sz w:val="24"/>
                <w:szCs w:val="24"/>
                <w:highlight w:val="none"/>
                <w:lang w:eastAsia="zh-CN"/>
              </w:rPr>
              <w:t xml:space="preserve">2026年6月10日09:30</w:t>
            </w:r>
            <w:r>
              <w:rPr>
                <w:rFonts w:hint="eastAsia" w:ascii="宋体" w:hAnsi="宋体"/>
                <w:color w:val="auto"/>
                <w:sz w:val="24"/>
                <w:szCs w:val="24"/>
                <w:highlight w:val="none"/>
              </w:rPr>
              <w:t xml:space="preserve">（北京时间）</w:t>
            </w:r>
            <w:r/>
          </w:p>
          <w:p>
            <w:pPr>
              <w:jc w:val="left"/>
              <w:spacing w:line="312" w:lineRule="auto"/>
              <w:rPr>
                <w:rFonts w:ascii="宋体" w:hAnsi="宋体" w:cs="宋体"/>
                <w:color w:val="auto"/>
                <w:sz w:val="24"/>
                <w:highlight w:val="none"/>
                <w:shd w:val="clear" w:color="auto" w:fill="ffffff"/>
              </w:rPr>
            </w:pPr>
            <w:r>
              <w:rPr>
                <w:rFonts w:hint="eastAsia" w:ascii="宋体" w:hAnsi="宋体" w:cs="宋体"/>
                <w:color w:val="auto"/>
                <w:sz w:val="24"/>
                <w:szCs w:val="24"/>
                <w:highlight w:val="none"/>
                <w:lang w:eastAsia="zh-CN"/>
              </w:rPr>
              <w:t xml:space="preserve">苏州市高新区邓尉路105号狮山科技馆8楼</w:t>
            </w:r>
            <w:r>
              <w:rPr>
                <w:rFonts w:hint="eastAsia" w:ascii="宋体" w:hAnsi="宋体" w:eastAsia="宋体" w:cs="宋体"/>
                <w:color w:val="auto"/>
                <w:sz w:val="24"/>
                <w:szCs w:val="24"/>
                <w:highlight w:val="none"/>
              </w:rPr>
              <w:t xml:space="preserve">（投标人无需到场）</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val="en-US" w:eastAsia="zh-CN"/>
              </w:rPr>
            </w:pPr>
            <w:r>
              <w:rPr>
                <w:rFonts w:hint="eastAsia" w:ascii="宋体" w:hAnsi="宋体"/>
                <w:color w:val="auto"/>
                <w:sz w:val="24"/>
                <w:szCs w:val="24"/>
                <w:highlight w:val="none"/>
              </w:rPr>
              <w:t xml:space="preserve">14</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投标报价</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本位币</w:t>
            </w:r>
            <w:r/>
          </w:p>
        </w:tc>
        <w:tc>
          <w:tcPr>
            <w:tcW w:w="6549" w:type="dxa"/>
            <w:vAlign w:val="center"/>
            <w:textDirection w:val="lrTb"/>
            <w:noWrap w:val="false"/>
          </w:tcPr>
          <w:p>
            <w:pPr>
              <w:pStyle w:val="998"/>
              <w:ind w:left="0"/>
              <w:jc w:val="left"/>
              <w:spacing w:line="420" w:lineRule="exact"/>
              <w:rPr>
                <w:rFonts w:ascii="宋体" w:hAnsi="宋体"/>
                <w:color w:val="auto"/>
                <w:sz w:val="24"/>
                <w:szCs w:val="24"/>
                <w:highlight w:val="none"/>
              </w:rPr>
            </w:pPr>
            <w:r>
              <w:rPr>
                <w:rFonts w:hint="eastAsia" w:ascii="宋体" w:hAnsi="宋体"/>
                <w:color w:val="auto"/>
                <w:sz w:val="24"/>
                <w:szCs w:val="24"/>
                <w:highlight w:val="none"/>
              </w:rPr>
              <w:t xml:space="preserve">人民币</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color w:val="auto"/>
                <w:sz w:val="24"/>
                <w:szCs w:val="24"/>
                <w:highlight w:val="none"/>
              </w:rPr>
            </w:pPr>
            <w:r>
              <w:rPr>
                <w:rFonts w:hint="eastAsia" w:ascii="宋体" w:hAnsi="宋体"/>
                <w:color w:val="auto"/>
                <w:sz w:val="24"/>
                <w:szCs w:val="24"/>
                <w:highlight w:val="none"/>
              </w:rPr>
              <w:t xml:space="preserve">15</w:t>
            </w:r>
            <w:r/>
          </w:p>
        </w:tc>
        <w:tc>
          <w:tcPr>
            <w:tcW w:w="1752" w:type="dxa"/>
            <w:vAlign w:val="center"/>
            <w:textDirection w:val="lrTb"/>
            <w:noWrap w:val="false"/>
          </w:tcPr>
          <w:p>
            <w:pPr>
              <w:pStyle w:val="998"/>
              <w:ind w:left="0"/>
              <w:jc w:val="center"/>
              <w:spacing w:line="420" w:lineRule="exact"/>
              <w:rPr>
                <w:rFonts w:ascii="宋体" w:hAnsi="宋体"/>
                <w:color w:val="auto"/>
                <w:sz w:val="24"/>
                <w:szCs w:val="24"/>
                <w:highlight w:val="none"/>
              </w:rPr>
            </w:pPr>
            <w:r>
              <w:rPr>
                <w:rFonts w:hint="eastAsia" w:ascii="宋体" w:hAnsi="宋体"/>
                <w:color w:val="auto"/>
                <w:sz w:val="24"/>
                <w:szCs w:val="24"/>
                <w:highlight w:val="none"/>
                <w:lang w:val="en-US" w:eastAsia="zh-CN"/>
              </w:rPr>
              <w:t xml:space="preserve">代理</w:t>
            </w:r>
            <w:r>
              <w:rPr>
                <w:rFonts w:hint="eastAsia" w:ascii="宋体" w:hAnsi="宋体"/>
                <w:color w:val="auto"/>
                <w:sz w:val="24"/>
                <w:szCs w:val="24"/>
                <w:highlight w:val="none"/>
              </w:rPr>
              <w:t xml:space="preserve">服务费</w:t>
            </w:r>
            <w:r/>
          </w:p>
        </w:tc>
        <w:tc>
          <w:tcPr>
            <w:tcW w:w="6549" w:type="dxa"/>
            <w:vAlign w:val="center"/>
            <w:textDirection w:val="lrTb"/>
            <w:noWrap w:val="false"/>
          </w:tcPr>
          <w:p>
            <w:pPr>
              <w:spacing w:line="400" w:lineRule="exact"/>
              <w:rPr>
                <w:rFonts w:ascii="宋体" w:hAnsi="宋体"/>
                <w:color w:val="auto"/>
                <w:sz w:val="24"/>
                <w:highlight w:val="none"/>
              </w:rPr>
            </w:pPr>
            <w:r>
              <w:rPr>
                <w:rFonts w:hint="eastAsia" w:ascii="宋体" w:hAnsi="宋体"/>
                <w:color w:val="auto"/>
                <w:sz w:val="24"/>
                <w:highlight w:val="none"/>
              </w:rPr>
              <w:t xml:space="preserve">代理服务费收费标准：预算金额100万元以下部分，费率为该部分预算金额的1.5%；预算金额100万元（含）－500万元部分，费率为该部分预算金额的1.1%；预算金额500万元（含）-1000万元部分，费率为该部分预算金额的0.8%；预算金额1000万元（含）-5000万元部分，费率为该部分预算金额的0.5%；预算金额5000万元以上部分，费率为该部分预算金额的0.25%。</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说明：代理服务费以采购预算金额为基数依据，按以上规定的标准和差额定率累进法</w:t>
            </w:r>
            <w:r>
              <w:rPr>
                <w:rFonts w:hint="eastAsia" w:ascii="宋体" w:hAnsi="宋体"/>
                <w:color w:val="auto"/>
                <w:sz w:val="24"/>
                <w:highlight w:val="none"/>
                <w:lang w:val="en-US" w:eastAsia="zh-CN"/>
              </w:rPr>
              <w:t xml:space="preserve">的95%</w:t>
            </w:r>
            <w:r>
              <w:rPr>
                <w:rFonts w:hint="eastAsia" w:ascii="宋体" w:hAnsi="宋体"/>
                <w:color w:val="auto"/>
                <w:sz w:val="24"/>
                <w:highlight w:val="none"/>
              </w:rPr>
              <w:t xml:space="preserve">进行计算收取。例：如预算金额为150万元，则代理服务费＝</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100万元以下部分×1.5%＋（150万元－100万元以下部分）×1.1%</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0.95</w:t>
            </w:r>
            <w:r>
              <w:rPr>
                <w:rFonts w:hint="eastAsia" w:ascii="宋体" w:hAnsi="宋体"/>
                <w:color w:val="auto"/>
                <w:sz w:val="24"/>
                <w:highlight w:val="none"/>
              </w:rPr>
              <w:t xml:space="preserve">。</w:t>
            </w:r>
            <w:r/>
          </w:p>
          <w:p>
            <w:pPr>
              <w:ind w:firstLine="480"/>
              <w:keepLines w:val="0"/>
              <w:keepNext w:val="0"/>
              <w:pageBreakBefore w:val="0"/>
              <w:spacing w:line="380" w:lineRule="exact"/>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本项目采购预算已包含代理服务费</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代理服务费</w:t>
            </w:r>
            <w:r>
              <w:rPr>
                <w:rFonts w:hint="eastAsia" w:ascii="宋体" w:hAnsi="宋体" w:cs="宋体"/>
                <w:color w:val="auto"/>
                <w:sz w:val="24"/>
                <w:szCs w:val="24"/>
                <w:highlight w:val="none"/>
                <w:lang w:val="en-US" w:eastAsia="zh-CN"/>
              </w:rPr>
              <w:t xml:space="preserve">为</w:t>
            </w:r>
            <w:r>
              <w:rPr>
                <w:rFonts w:hint="eastAsia" w:ascii="宋体" w:hAnsi="宋体" w:cs="宋体"/>
                <w:color w:val="auto"/>
                <w:sz w:val="24"/>
                <w:szCs w:val="24"/>
                <w:highlight w:val="none"/>
              </w:rPr>
              <w:t xml:space="preserve">（人民币）：</w:t>
            </w:r>
            <w:r>
              <w:rPr>
                <w:rFonts w:hint="eastAsia" w:ascii="宋体" w:hAnsi="宋体" w:cs="宋体"/>
                <w:color w:val="auto"/>
                <w:sz w:val="24"/>
                <w:szCs w:val="24"/>
                <w:highlight w:val="none"/>
                <w:lang w:val="en-US" w:eastAsia="zh-CN"/>
              </w:rPr>
              <w:t xml:space="preserve">采购包1：</w:t>
            </w:r>
            <w:r>
              <w:rPr>
                <w:rFonts w:hint="eastAsia" w:ascii="宋体" w:hAnsi="宋体" w:cs="宋体"/>
                <w:color w:val="auto"/>
                <w:sz w:val="24"/>
                <w:szCs w:val="24"/>
                <w:highlight w:val="none"/>
              </w:rPr>
              <w:t xml:space="preserve">￥23</w:t>
            </w:r>
            <w:r>
              <w:rPr>
                <w:rFonts w:hint="eastAsia" w:ascii="宋体" w:hAnsi="宋体" w:cs="宋体"/>
                <w:color w:val="auto"/>
                <w:sz w:val="24"/>
                <w:szCs w:val="24"/>
                <w:highlight w:val="none"/>
                <w:lang w:val="en-US" w:eastAsia="zh-CN"/>
              </w:rPr>
              <w:t xml:space="preserve">655.00；采购包2：</w:t>
            </w:r>
            <w:r>
              <w:rPr>
                <w:rFonts w:hint="eastAsia" w:ascii="宋体" w:hAnsi="宋体" w:cs="宋体"/>
                <w:color w:val="auto"/>
                <w:sz w:val="24"/>
                <w:szCs w:val="24"/>
                <w:highlight w:val="none"/>
              </w:rPr>
              <w:t xml:space="preserve">￥165</w:t>
            </w:r>
            <w:r>
              <w:rPr>
                <w:rFonts w:hint="eastAsia" w:ascii="宋体" w:hAnsi="宋体" w:cs="宋体"/>
                <w:color w:val="auto"/>
                <w:sz w:val="24"/>
                <w:szCs w:val="24"/>
                <w:highlight w:val="none"/>
                <w:lang w:val="en-US" w:eastAsia="zh-CN"/>
              </w:rPr>
              <w:t xml:space="preserve">49.00；采购包3：</w:t>
            </w:r>
            <w:r>
              <w:rPr>
                <w:rFonts w:hint="eastAsia" w:ascii="宋体" w:hAnsi="宋体" w:cs="宋体"/>
                <w:color w:val="auto"/>
                <w:sz w:val="24"/>
                <w:szCs w:val="24"/>
                <w:highlight w:val="none"/>
              </w:rPr>
              <w:t xml:space="preserve">￥173</w:t>
            </w:r>
            <w:r>
              <w:rPr>
                <w:rFonts w:hint="eastAsia" w:ascii="宋体" w:hAnsi="宋体" w:cs="宋体"/>
                <w:color w:val="auto"/>
                <w:sz w:val="24"/>
                <w:szCs w:val="24"/>
                <w:highlight w:val="none"/>
                <w:lang w:val="en-US" w:eastAsia="zh-CN"/>
              </w:rPr>
              <w:t xml:space="preserve">85.00；采购包4：</w:t>
            </w:r>
            <w:r>
              <w:rPr>
                <w:rFonts w:hint="eastAsia" w:ascii="宋体" w:hAnsi="宋体" w:cs="宋体"/>
                <w:color w:val="auto"/>
                <w:sz w:val="24"/>
                <w:szCs w:val="24"/>
                <w:highlight w:val="none"/>
              </w:rPr>
              <w:t xml:space="preserve">￥212</w:t>
            </w:r>
            <w:r>
              <w:rPr>
                <w:rFonts w:hint="eastAsia" w:ascii="宋体" w:hAnsi="宋体" w:cs="宋体"/>
                <w:color w:val="auto"/>
                <w:sz w:val="24"/>
                <w:szCs w:val="24"/>
                <w:highlight w:val="none"/>
                <w:lang w:val="en-US" w:eastAsia="zh-CN"/>
              </w:rPr>
              <w:t xml:space="preserve">51.00</w:t>
            </w:r>
            <w:r>
              <w:rPr>
                <w:rFonts w:hint="eastAsia" w:ascii="宋体" w:hAnsi="宋体" w:cs="宋体"/>
                <w:color w:val="auto"/>
                <w:sz w:val="24"/>
                <w:szCs w:val="24"/>
                <w:highlight w:val="none"/>
              </w:rPr>
              <w:t xml:space="preserve">。由中标</w:t>
            </w:r>
            <w:r>
              <w:rPr>
                <w:rFonts w:hint="eastAsia" w:ascii="宋体" w:hAnsi="宋体" w:cs="宋体"/>
                <w:color w:val="auto"/>
                <w:sz w:val="24"/>
                <w:szCs w:val="24"/>
                <w:highlight w:val="none"/>
                <w:lang w:val="en-US" w:eastAsia="zh-CN"/>
              </w:rPr>
              <w:t xml:space="preserve">人</w:t>
            </w:r>
            <w:r>
              <w:rPr>
                <w:rFonts w:hint="eastAsia" w:ascii="宋体" w:hAnsi="宋体" w:cs="宋体"/>
                <w:color w:val="auto"/>
                <w:sz w:val="24"/>
                <w:szCs w:val="24"/>
                <w:highlight w:val="none"/>
              </w:rPr>
              <w:t xml:space="preserve">在领取中标通知书时向招标代理机构一次性付清。</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服务费交纳账户：苏州惠德普源企业咨询有限公司</w:t>
            </w:r>
            <w:r/>
          </w:p>
          <w:p>
            <w:pPr>
              <w:ind w:firstLine="960"/>
              <w:spacing w:line="400" w:lineRule="exact"/>
              <w:rPr>
                <w:rFonts w:ascii="宋体" w:hAnsi="宋体"/>
                <w:color w:val="auto"/>
                <w:sz w:val="24"/>
                <w:highlight w:val="none"/>
              </w:rPr>
            </w:pPr>
            <w:r>
              <w:rPr>
                <w:rFonts w:hint="eastAsia" w:ascii="宋体" w:hAnsi="宋体"/>
                <w:color w:val="auto"/>
                <w:sz w:val="24"/>
                <w:highlight w:val="none"/>
              </w:rPr>
              <w:t xml:space="preserve">账  号：32250198864100000050</w:t>
            </w:r>
            <w:r/>
          </w:p>
          <w:p>
            <w:pPr>
              <w:ind w:firstLine="960"/>
              <w:spacing w:line="360" w:lineRule="exact"/>
              <w:rPr>
                <w:rFonts w:ascii="宋体" w:hAnsi="宋体"/>
                <w:color w:val="auto"/>
                <w:sz w:val="24"/>
                <w:highlight w:val="none"/>
              </w:rPr>
            </w:pPr>
            <w:r>
              <w:rPr>
                <w:rFonts w:hint="eastAsia" w:ascii="宋体" w:hAnsi="宋体"/>
                <w:color w:val="auto"/>
                <w:sz w:val="24"/>
                <w:highlight w:val="none"/>
              </w:rPr>
              <w:t xml:space="preserve">开户行：建行苏州何山分理处</w:t>
            </w:r>
            <w:r/>
          </w:p>
        </w:tc>
      </w:tr>
      <w:tr>
        <w:trPr>
          <w:trHeight w:val="420"/>
        </w:trPr>
        <w:tc>
          <w:tcPr>
            <w:tcW w:w="976" w:type="dxa"/>
            <w:vAlign w:val="center"/>
            <w:textDirection w:val="lrTb"/>
            <w:noWrap w:val="false"/>
          </w:tcPr>
          <w:p>
            <w:pPr>
              <w:pStyle w:val="998"/>
              <w:ind w:left="0"/>
              <w:jc w:val="center"/>
              <w:spacing w:line="420" w:lineRule="exact"/>
              <w:rPr>
                <w:rFonts w:hint="default" w:ascii="宋体" w:hAnsi="宋体" w:eastAsia="宋体"/>
                <w:color w:val="auto"/>
                <w:sz w:val="24"/>
                <w:szCs w:val="24"/>
                <w:highlight w:val="none"/>
                <w:lang w:val="en-US" w:eastAsia="zh-CN"/>
              </w:rPr>
            </w:pPr>
            <w:r>
              <w:rPr>
                <w:rFonts w:hint="eastAsia" w:ascii="宋体" w:hAnsi="宋体"/>
                <w:color w:val="auto"/>
                <w:sz w:val="24"/>
                <w:szCs w:val="24"/>
                <w:highlight w:val="none"/>
                <w:lang w:val="en-US" w:eastAsia="zh-CN"/>
              </w:rPr>
              <w:t xml:space="preserve">16</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导致废标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549"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出现下列情形之一的，为废标：</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（一）符合专业条件的投标人或者对招标文件作实质响应的投标人不足三家的；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（二）出现影响采购公正的违法、违规行为的；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（三）投标人报价均超过采购预算</w:t>
            </w:r>
            <w:r>
              <w:rPr>
                <w:rFonts w:hint="eastAsia" w:ascii="宋体" w:hAnsi="宋体"/>
                <w:color w:val="auto"/>
                <w:sz w:val="24"/>
                <w:highlight w:val="none"/>
                <w:lang w:eastAsia="zh-CN"/>
              </w:rPr>
              <w:t xml:space="preserve">或最高限价</w:t>
            </w:r>
            <w:r>
              <w:rPr>
                <w:rFonts w:hint="eastAsia" w:ascii="宋体" w:hAnsi="宋体"/>
                <w:color w:val="auto"/>
                <w:sz w:val="24"/>
                <w:highlight w:val="none"/>
              </w:rPr>
              <w:t xml:space="preserve">，采购人不能支付的；</w:t>
            </w:r>
            <w:r/>
          </w:p>
          <w:p>
            <w:pPr>
              <w:spacing w:line="360" w:lineRule="exact"/>
              <w:rPr>
                <w:rFonts w:ascii="宋体" w:hAnsi="宋体" w:cs="宋体"/>
                <w:color w:val="auto"/>
                <w:sz w:val="24"/>
                <w:highlight w:val="none"/>
              </w:rPr>
            </w:pPr>
            <w:r>
              <w:rPr>
                <w:rFonts w:hint="eastAsia" w:ascii="宋体" w:hAnsi="宋体"/>
                <w:color w:val="auto"/>
                <w:sz w:val="24"/>
                <w:highlight w:val="none"/>
              </w:rPr>
              <w:t xml:space="preserve">（四）因重大变故，采购任务取消的。</w:t>
            </w:r>
            <w:r/>
          </w:p>
        </w:tc>
      </w:tr>
      <w:tr>
        <w:trPr>
          <w:trHeight w:val="420"/>
        </w:trPr>
        <w:tc>
          <w:tcPr>
            <w:tcW w:w="976" w:type="dxa"/>
            <w:vAlign w:val="center"/>
            <w:textDirection w:val="lrTb"/>
            <w:noWrap w:val="false"/>
          </w:tcPr>
          <w:p>
            <w:pPr>
              <w:pStyle w:val="998"/>
              <w:ind w:left="0"/>
              <w:jc w:val="center"/>
              <w:spacing w:line="420" w:lineRule="exact"/>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1</w:t>
            </w:r>
            <w:r>
              <w:rPr>
                <w:rFonts w:hint="eastAsia" w:ascii="宋体" w:hAnsi="宋体"/>
                <w:color w:val="auto"/>
                <w:sz w:val="24"/>
                <w:szCs w:val="24"/>
                <w:highlight w:val="none"/>
                <w:lang w:val="en-US" w:eastAsia="zh-CN"/>
              </w:rPr>
              <w:t xml:space="preserve">7</w:t>
            </w:r>
            <w:r/>
          </w:p>
        </w:tc>
        <w:tc>
          <w:tcPr>
            <w:tcW w:w="1752" w:type="dxa"/>
            <w:vAlign w:val="center"/>
            <w:textDirection w:val="lrTb"/>
            <w:noWrap w:val="false"/>
          </w:tcPr>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导致无效标</w:t>
            </w:r>
            <w:r/>
          </w:p>
          <w:p>
            <w:pPr>
              <w:jc w:val="center"/>
              <w:spacing w:line="400" w:lineRule="exact"/>
              <w:rPr>
                <w:rFonts w:ascii="宋体" w:hAnsi="宋体" w:cs="宋体"/>
                <w:color w:val="auto"/>
                <w:sz w:val="24"/>
                <w:highlight w:val="none"/>
              </w:rPr>
            </w:pPr>
            <w:r>
              <w:rPr>
                <w:rFonts w:hint="eastAsia" w:ascii="宋体" w:hAnsi="宋体"/>
                <w:color w:val="auto"/>
                <w:sz w:val="24"/>
                <w:highlight w:val="none"/>
              </w:rPr>
              <w:t xml:space="preserve">因素</w:t>
            </w:r>
            <w:r/>
          </w:p>
        </w:tc>
        <w:tc>
          <w:tcPr>
            <w:tcW w:w="6549" w:type="dxa"/>
            <w:vAlign w:val="center"/>
            <w:textDirection w:val="lrTb"/>
            <w:noWrap w:val="false"/>
          </w:tcPr>
          <w:p>
            <w:pPr>
              <w:spacing w:line="360" w:lineRule="exact"/>
              <w:rPr>
                <w:rFonts w:ascii="宋体" w:hAnsi="宋体" w:cs="宋体"/>
                <w:color w:val="auto"/>
                <w:sz w:val="24"/>
                <w:highlight w:val="none"/>
              </w:rPr>
            </w:pPr>
            <w:r>
              <w:rPr>
                <w:rFonts w:hint="eastAsia" w:ascii="宋体" w:hAnsi="宋体"/>
                <w:color w:val="auto"/>
                <w:sz w:val="24"/>
                <w:highlight w:val="none"/>
              </w:rPr>
              <w:t xml:space="preserve">投标文件属下列情况之一的，在资格性、符合性检查时按照无效投标处理：</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（一）未按采购文件规定要求签署、盖章的；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（二）不具备采购文件中规定资格要求的；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（三）</w:t>
            </w:r>
            <w:r>
              <w:rPr>
                <w:rFonts w:hint="eastAsia" w:ascii="宋体" w:hAnsi="宋体" w:cs="宋体"/>
                <w:color w:val="auto"/>
                <w:sz w:val="24"/>
                <w:szCs w:val="24"/>
                <w:highlight w:val="none"/>
              </w:rPr>
              <w:t xml:space="preserve">投标书技术部分和资格证明文件中出现总报价的</w:t>
            </w:r>
            <w:r>
              <w:rPr>
                <w:rFonts w:hint="eastAsia" w:ascii="宋体" w:hAnsi="宋体"/>
                <w:color w:val="auto"/>
                <w:sz w:val="24"/>
                <w:highlight w:val="none"/>
              </w:rPr>
              <w:t xml:space="preserve">；</w:t>
            </w:r>
            <w:r/>
          </w:p>
          <w:p>
            <w:pPr>
              <w:spacing w:line="360" w:lineRule="exact"/>
              <w:rPr>
                <w:rFonts w:ascii="宋体" w:hAnsi="宋体"/>
                <w:color w:val="auto"/>
                <w:sz w:val="24"/>
                <w:highlight w:val="none"/>
              </w:rPr>
            </w:pPr>
            <w:r>
              <w:rPr>
                <w:rFonts w:hint="eastAsia" w:ascii="宋体" w:hAnsi="宋体"/>
                <w:color w:val="auto"/>
                <w:sz w:val="24"/>
                <w:highlight w:val="none"/>
              </w:rPr>
              <w:t xml:space="preserve">（四）投标文件含有采购人不能接受的附加条件的；</w:t>
            </w:r>
            <w:r/>
          </w:p>
          <w:p>
            <w:pPr>
              <w:spacing w:line="360" w:lineRule="exact"/>
              <w:rPr>
                <w:rFonts w:hint="eastAsia" w:ascii="宋体" w:hAnsi="宋体"/>
                <w:color w:val="auto"/>
                <w:sz w:val="24"/>
                <w:highlight w:val="none"/>
              </w:rPr>
            </w:pPr>
            <w:r>
              <w:rPr>
                <w:rFonts w:hint="eastAsia" w:ascii="宋体" w:hAnsi="宋体"/>
                <w:color w:val="auto"/>
                <w:sz w:val="24"/>
                <w:highlight w:val="none"/>
              </w:rPr>
              <w:t xml:space="preserve">（五）</w:t>
            </w:r>
            <w:r>
              <w:rPr>
                <w:rFonts w:hint="eastAsia" w:ascii="宋体" w:hAnsi="宋体"/>
                <w:color w:val="auto"/>
                <w:sz w:val="24"/>
                <w:highlight w:val="none"/>
                <w:lang w:eastAsia="zh-CN"/>
              </w:rPr>
              <w:t xml:space="preserve">机</w:t>
            </w:r>
            <w:r>
              <w:rPr>
                <w:rFonts w:hint="eastAsia" w:ascii="宋体" w:hAnsi="宋体"/>
                <w:color w:val="auto"/>
                <w:sz w:val="24"/>
                <w:highlight w:val="none"/>
              </w:rPr>
              <w:t xml:space="preserve">器码检查中，出现不同投标人投标文件机器码一致情形的；</w:t>
            </w:r>
            <w:r/>
          </w:p>
          <w:p>
            <w:pPr>
              <w:spacing w:line="360" w:lineRule="exact"/>
              <w:rPr>
                <w:rFonts w:ascii="宋体" w:hAnsi="宋体" w:cs="宋体"/>
                <w:color w:val="auto"/>
                <w:sz w:val="24"/>
                <w:highlight w:val="none"/>
              </w:rPr>
            </w:pPr>
            <w:r>
              <w:rPr>
                <w:rFonts w:hint="eastAsia" w:ascii="宋体" w:hAnsi="宋体"/>
                <w:color w:val="auto"/>
                <w:sz w:val="24"/>
                <w:szCs w:val="24"/>
                <w:highlight w:val="none"/>
              </w:rPr>
              <w:t xml:space="preserve">（六）法律、法规和采购文件规定的其他无效情形</w:t>
            </w:r>
            <w:r>
              <w:rPr>
                <w:rFonts w:hint="eastAsia" w:ascii="宋体" w:hAnsi="宋体" w:cs="宋体"/>
                <w:color w:val="auto"/>
                <w:sz w:val="24"/>
                <w:szCs w:val="24"/>
                <w:highlight w:val="none"/>
              </w:rPr>
              <w:t xml:space="preserve">。</w:t>
            </w:r>
            <w:r/>
          </w:p>
        </w:tc>
      </w:tr>
    </w:tbl>
    <w:p>
      <w:pPr>
        <w:jc w:val="center"/>
        <w:keepLines w:val="0"/>
        <w:keepNext w:val="0"/>
        <w:pageBreakBefore w:val="0"/>
        <w:spacing w:line="360" w:lineRule="auto"/>
        <w:widowControl w:val="off"/>
        <w:rPr>
          <w:rFonts w:ascii="宋体" w:hAnsi="宋体"/>
          <w:b/>
          <w:bCs/>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第一章 投标邀请函</w:t>
      </w:r>
      <w:r/>
    </w:p>
    <w:tbl>
      <w:tblPr>
        <w:tblStyle w:val="794"/>
        <w:tblW w:w="8573" w:type="dxa"/>
        <w:tblInd w:w="52"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573"/>
      </w:tblGrid>
      <w:tr>
        <w:trPr/>
        <w:tc>
          <w:tcPr>
            <w:tcW w:w="8573" w:type="dxa"/>
            <w:textDirection w:val="lrTb"/>
            <w:noWrap w:val="false"/>
          </w:tcPr>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项目概况</w:t>
            </w:r>
            <w:r/>
          </w:p>
          <w:p>
            <w:pPr>
              <w:pStyle w:val="985"/>
              <w:ind w:firstLine="480"/>
              <w:jc w:val="both"/>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eastAsia="zh-CN"/>
              </w:rPr>
              <w:t xml:space="preserve">2026年度苏州高新区草花种植</w:t>
            </w:r>
            <w:r>
              <w:rPr>
                <w:rFonts w:hint="eastAsia" w:ascii="宋体" w:hAnsi="宋体" w:cs="宋体"/>
                <w:color w:val="auto"/>
                <w:sz w:val="24"/>
                <w:szCs w:val="24"/>
                <w:highlight w:val="none"/>
              </w:rPr>
              <w:t xml:space="preserve">招标项目</w:t>
            </w:r>
            <w:r>
              <w:rPr>
                <w:rFonts w:hint="eastAsia" w:ascii="宋体" w:hAnsi="宋体" w:cs="宋体"/>
                <w:color w:val="auto"/>
                <w:sz w:val="24"/>
                <w:szCs w:val="24"/>
                <w:highlight w:val="none"/>
                <w:lang w:eastAsia="zh-CN"/>
              </w:rPr>
              <w:t xml:space="preserve">JSZC-320505-HDPY-G2026-0006</w:t>
            </w:r>
            <w:r>
              <w:rPr>
                <w:rFonts w:hint="eastAsia" w:ascii="宋体" w:hAnsi="宋体" w:cs="宋体"/>
                <w:color w:val="auto"/>
                <w:sz w:val="24"/>
                <w:szCs w:val="24"/>
                <w:highlight w:val="none"/>
              </w:rPr>
              <w:t xml:space="preserve">的潜在投标人应在“苏采云”系统获取招标文件，并于</w:t>
            </w:r>
            <w:r>
              <w:rPr>
                <w:rFonts w:hint="eastAsia" w:ascii="宋体" w:hAnsi="宋体" w:cs="宋体"/>
                <w:color w:val="auto"/>
                <w:sz w:val="24"/>
                <w:szCs w:val="24"/>
                <w:highlight w:val="none"/>
                <w:lang w:eastAsia="zh-CN"/>
              </w:rPr>
              <w:t xml:space="preserve">2026年</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lang w:eastAsia="zh-CN"/>
              </w:rPr>
              <w:t xml:space="preserve">月10日</w:t>
            </w:r>
            <w:r>
              <w:rPr>
                <w:rFonts w:hint="eastAsia" w:ascii="宋体" w:hAnsi="宋体" w:cs="宋体"/>
                <w:color w:val="auto"/>
                <w:sz w:val="24"/>
                <w:szCs w:val="24"/>
                <w:highlight w:val="none"/>
                <w:lang w:val="en-US" w:eastAsia="zh-CN"/>
              </w:rPr>
              <w:t xml:space="preserve">09</w:t>
            </w:r>
            <w:r>
              <w:rPr>
                <w:rFonts w:hint="eastAsia" w:ascii="宋体" w:hAnsi="宋体" w:cs="宋体"/>
                <w:color w:val="auto"/>
                <w:sz w:val="24"/>
                <w:szCs w:val="24"/>
                <w:highlight w:val="none"/>
              </w:rPr>
              <w:t xml:space="preserve">点30分（北京时间）前</w:t>
            </w:r>
            <w:r>
              <w:rPr>
                <w:rFonts w:hint="eastAsia" w:ascii="宋体" w:hAnsi="宋体" w:cs="宋体"/>
                <w:color w:val="auto"/>
                <w:sz w:val="24"/>
                <w:szCs w:val="24"/>
                <w:highlight w:val="none"/>
                <w:lang w:val="en-US" w:eastAsia="zh-CN"/>
              </w:rPr>
              <w:t xml:space="preserve">提</w:t>
            </w:r>
            <w:r>
              <w:rPr>
                <w:rFonts w:hint="eastAsia" w:ascii="宋体" w:hAnsi="宋体" w:cs="宋体"/>
                <w:color w:val="auto"/>
                <w:sz w:val="24"/>
                <w:szCs w:val="24"/>
                <w:highlight w:val="none"/>
              </w:rPr>
              <w:t xml:space="preserve">交投标文件。</w:t>
            </w:r>
            <w:r/>
          </w:p>
        </w:tc>
      </w:tr>
    </w:tbl>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一、项目基本情况：</w:t>
      </w:r>
      <w:r/>
    </w:p>
    <w:p>
      <w:pPr>
        <w:ind w:firstLine="480"/>
        <w:jc w:val="left"/>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1、项目编号：</w:t>
      </w:r>
      <w:r>
        <w:rPr>
          <w:rFonts w:hint="eastAsia" w:ascii="宋体" w:hAnsi="宋体" w:cs="宋体"/>
          <w:color w:val="auto"/>
          <w:sz w:val="24"/>
          <w:szCs w:val="24"/>
          <w:highlight w:val="none"/>
          <w:lang w:eastAsia="zh-CN"/>
        </w:rPr>
        <w:t xml:space="preserve">JSZC-320505-HDPY-G2026-0006</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项目名称：</w:t>
      </w:r>
      <w:r>
        <w:rPr>
          <w:rFonts w:hint="eastAsia" w:ascii="宋体" w:hAnsi="宋体" w:cs="宋体"/>
          <w:color w:val="auto"/>
          <w:sz w:val="24"/>
          <w:szCs w:val="24"/>
          <w:highlight w:val="none"/>
          <w:lang w:eastAsia="zh-CN"/>
        </w:rPr>
        <w:t xml:space="preserve">2026年度苏州高新区草花种植项目</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3、预算金额：</w:t>
      </w:r>
      <w:r>
        <w:rPr>
          <w:rFonts w:hint="eastAsia" w:ascii="宋体" w:hAnsi="宋体" w:cs="宋体"/>
          <w:color w:val="auto"/>
          <w:sz w:val="24"/>
          <w:szCs w:val="24"/>
          <w:highlight w:val="none"/>
          <w:lang w:eastAsia="zh-CN"/>
        </w:rPr>
        <w:t xml:space="preserve">陆佰零玖万元整（￥6090000.00）</w:t>
      </w:r>
      <w:r/>
    </w:p>
    <w:p>
      <w:pPr>
        <w:ind w:firstLine="840"/>
        <w:jc w:val="left"/>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陆佰零玖万元整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6090000.00</w:t>
      </w:r>
      <w:r>
        <w:rPr>
          <w:rFonts w:hint="eastAsia" w:ascii="宋体" w:hAnsi="宋体" w:cs="宋体"/>
          <w:color w:val="auto"/>
          <w:sz w:val="24"/>
          <w:szCs w:val="24"/>
          <w:highlight w:val="none"/>
          <w:lang w:eastAsia="zh-CN"/>
        </w:rPr>
        <w:t xml:space="preserve">）</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51"/>
        <w:gridCol w:w="1521"/>
        <w:gridCol w:w="2044"/>
        <w:gridCol w:w="1410"/>
        <w:gridCol w:w="1538"/>
        <w:gridCol w:w="1569"/>
      </w:tblGrid>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包号</w:t>
            </w:r>
            <w:r>
              <w:rPr>
                <w:rFonts w:hint="eastAsia" w:ascii="宋体" w:hAnsi="宋体" w:eastAsia="宋体" w:cs="宋体"/>
                <w:color w:val="auto"/>
                <w:sz w:val="24"/>
                <w:szCs w:val="24"/>
                <w:highlight w:val="none"/>
              </w:rPr>
              <w:t xml:space="preserve">名称</w:t>
            </w:r>
            <w:r/>
          </w:p>
        </w:tc>
        <w:tc>
          <w:tcPr>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53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56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草花一标</w:t>
            </w:r>
            <w:r/>
          </w:p>
        </w:tc>
        <w:tc>
          <w:tcPr>
            <w:shd w:val="clear" w:color="auto" w:fill="auto"/>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53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190</w:t>
            </w:r>
            <w:r>
              <w:rPr>
                <w:rFonts w:hint="eastAsia" w:ascii="宋体" w:hAnsi="宋体" w:cs="宋体"/>
                <w:color w:val="auto"/>
                <w:sz w:val="24"/>
                <w:szCs w:val="24"/>
                <w:highlight w:val="none"/>
                <w:lang w:val="en-US" w:eastAsia="zh-CN"/>
              </w:rPr>
              <w:t xml:space="preserve">0000.00</w:t>
            </w:r>
            <w:r/>
          </w:p>
        </w:tc>
        <w:tc>
          <w:tcPr>
            <w:tcW w:w="1569" w:type="dxa"/>
            <w:vAlign w:val="center"/>
            <w:textDirection w:val="lrTb"/>
            <w:noWrap w:val="false"/>
          </w:tcPr>
          <w:p>
            <w:pPr>
              <w:jc w:val="right"/>
              <w:spacing w:after="0" w:line="24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 xml:space="preserve">190</w:t>
            </w:r>
            <w:r>
              <w:rPr>
                <w:rFonts w:hint="eastAsia" w:ascii="宋体" w:hAnsi="宋体" w:cs="宋体"/>
                <w:color w:val="auto"/>
                <w:sz w:val="24"/>
                <w:szCs w:val="24"/>
                <w:highlight w:val="none"/>
                <w:lang w:val="en-US" w:eastAsia="zh-CN"/>
              </w:rPr>
              <w:t xml:space="preserve">0000.00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草花</w:t>
            </w:r>
            <w:r>
              <w:rPr>
                <w:rFonts w:hint="eastAsia" w:ascii="宋体" w:hAnsi="宋体" w:cs="宋体"/>
                <w:color w:val="auto"/>
                <w:sz w:val="24"/>
                <w:szCs w:val="24"/>
                <w:highlight w:val="none"/>
                <w:lang w:val="en-US" w:eastAsia="zh-CN"/>
              </w:rPr>
              <w:t xml:space="preserve">二</w:t>
            </w:r>
            <w:r>
              <w:rPr>
                <w:rFonts w:hint="default" w:ascii="宋体" w:hAnsi="宋体" w:eastAsia="宋体" w:cs="宋体"/>
                <w:color w:val="auto"/>
                <w:sz w:val="24"/>
                <w:szCs w:val="24"/>
                <w:highlight w:val="none"/>
                <w:lang w:val="en-US" w:eastAsia="zh-CN"/>
              </w:rPr>
              <w:t xml:space="preserve">标</w:t>
            </w:r>
            <w:r/>
          </w:p>
        </w:tc>
        <w:tc>
          <w:tcPr>
            <w:shd w:val="clear" w:color="auto" w:fill="auto"/>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53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1220000.00</w:t>
            </w:r>
            <w:r/>
          </w:p>
        </w:tc>
        <w:tc>
          <w:tcPr>
            <w:tcW w:w="156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1220000.00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采购包3</w:t>
            </w:r>
            <w:r/>
          </w:p>
        </w:tc>
        <w:tc>
          <w:tcPr>
            <w:tcW w:w="2044"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草花</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lang w:val="en-US" w:eastAsia="zh-CN"/>
              </w:rPr>
              <w:t xml:space="preserve">标</w:t>
            </w:r>
            <w:r/>
          </w:p>
        </w:tc>
        <w:tc>
          <w:tcPr>
            <w:shd w:val="clear" w:color="auto" w:fill="auto"/>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53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1300000.00</w:t>
            </w:r>
            <w:r/>
          </w:p>
        </w:tc>
        <w:tc>
          <w:tcPr>
            <w:tcW w:w="156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1300000.00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521"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采购包4</w:t>
            </w:r>
            <w:r/>
          </w:p>
        </w:tc>
        <w:tc>
          <w:tcPr>
            <w:tcW w:w="2044" w:type="dxa"/>
            <w:vAlign w:val="center"/>
            <w:textDirection w:val="lrTb"/>
            <w:noWrap w:val="false"/>
          </w:tcPr>
          <w:p>
            <w:pPr>
              <w:jc w:val="center"/>
              <w:spacing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草花</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标</w:t>
            </w:r>
            <w:r/>
          </w:p>
        </w:tc>
        <w:tc>
          <w:tcPr>
            <w:shd w:val="clear" w:color="auto" w:fill="auto"/>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53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1670000.00</w:t>
            </w:r>
            <w:r/>
          </w:p>
        </w:tc>
        <w:tc>
          <w:tcPr>
            <w:tcW w:w="156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1670000.00</w:t>
            </w:r>
            <w:r/>
          </w:p>
        </w:tc>
      </w:tr>
      <w:tr>
        <w:trPr>
          <w:jc w:val="center"/>
          <w:trHeight w:val="397"/>
        </w:trPr>
        <w:tc>
          <w:tcPr>
            <w:tcW w:w="75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521"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p>
        </w:tc>
        <w:tc>
          <w:tcPr>
            <w:tcW w:w="2044"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W w:w="1410"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3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6090000.00</w:t>
            </w:r>
            <w:r/>
          </w:p>
        </w:tc>
        <w:tc>
          <w:tcPr>
            <w:tcW w:w="156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6090000.00</w:t>
            </w:r>
            <w:r/>
          </w:p>
        </w:tc>
      </w:tr>
    </w:tbl>
    <w:p>
      <w:pPr>
        <w:ind w:firstLine="480"/>
        <w:spacing w:line="360" w:lineRule="auto"/>
        <w:rPr>
          <w:rFonts w:hint="eastAsia" w:ascii="宋体" w:hAnsi="宋体" w:cs="宋体"/>
          <w:color w:val="auto"/>
          <w:sz w:val="24"/>
          <w:szCs w:val="24"/>
          <w:highlight w:val="none"/>
        </w:rPr>
      </w:pPr>
      <w:r>
        <w:rPr>
          <w:rFonts w:hint="eastAsia" w:ascii="宋体" w:hAnsi="宋体"/>
          <w:color w:val="auto"/>
          <w:sz w:val="24"/>
          <w:highlight w:val="none"/>
          <w:lang w:val="en-US" w:eastAsia="zh-CN"/>
        </w:rPr>
        <w:t xml:space="preserve">注：</w:t>
      </w:r>
      <w:r>
        <w:rPr>
          <w:rFonts w:hint="default" w:ascii="宋体" w:hAnsi="宋体" w:eastAsia="宋体" w:cs="宋体"/>
          <w:color w:val="auto"/>
          <w:sz w:val="24"/>
          <w:highlight w:val="none"/>
          <w:lang w:val="en-US" w:eastAsia="zh-CN"/>
        </w:rPr>
        <w:t xml:space="preserve">本项目共划分 4 个采购包。投</w:t>
      </w:r>
      <w:r>
        <w:rPr>
          <w:rFonts w:hint="default" w:ascii="宋体" w:hAnsi="宋体" w:eastAsia="宋体" w:cs="宋体"/>
          <w:color w:val="auto"/>
          <w:sz w:val="24"/>
          <w:highlight w:val="none"/>
          <w:lang w:val="en-US" w:eastAsia="zh-CN"/>
        </w:rPr>
        <w:t xml:space="preserve">标人可根据招标文件要求，自主选择对其中一个、多个或全部采购包进行投标。各采购包按照采购包号自然顺序依次开标。本项目设定中标上限：每家投标人累计中标采购包数量最多为 1 个。评标定标按照先开先中原则执行，投标人一旦在任一采购包中确定中标资格，其参与投标的其余所有采购包自动丧失中标资格。已在本项目前期采购包评标中达到中标数量上限的供应商，不再具备后续其余采购包的中标资格，且不计入对应采购包有效实质性响应供应商数量。若因质疑、投诉等情形造成单个采购包中标结果变更、调整的，不影响本项目其他所有采购包已确定的中标结果</w:t>
      </w:r>
      <w:r>
        <w:rPr>
          <w:rFonts w:hint="eastAsia" w:ascii="宋体" w:hAnsi="宋体" w:cs="宋体"/>
          <w:color w:val="auto"/>
          <w:sz w:val="24"/>
          <w:szCs w:val="24"/>
          <w:highlight w:val="none"/>
        </w:rPr>
        <w:t xml:space="preserve">。</w:t>
      </w:r>
      <w:r/>
    </w:p>
    <w:p>
      <w:pPr>
        <w:ind w:firstLine="48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4、采购需求：</w:t>
      </w:r>
      <w:r>
        <w:rPr>
          <w:rFonts w:ascii="宋体" w:hAnsi="宋体" w:eastAsia="宋体" w:cs="宋体"/>
          <w:color w:val="auto"/>
          <w:sz w:val="24"/>
          <w:szCs w:val="24"/>
          <w:highlight w:val="none"/>
        </w:rPr>
        <w:t xml:space="preserve">对狮山路（含中央分隔带、桥梁区域）、竹园路（金枫路 — 索山桥段）、金山路（长江路 — 塔园路段）、太湖大道、长江路（马运河北 — 竹园路段）、塔园路（马运路 — 狮山路段）、滨河路（金山路 — 苏福快速路段）、普陀山路及狮山国际会议中心匝</w:t>
      </w:r>
      <w:r>
        <w:rPr>
          <w:rFonts w:ascii="宋体" w:hAnsi="宋体" w:eastAsia="宋体" w:cs="宋体"/>
          <w:b w:val="0"/>
          <w:bCs w:val="0"/>
          <w:color w:val="auto"/>
          <w:sz w:val="24"/>
          <w:szCs w:val="24"/>
          <w:highlight w:val="none"/>
        </w:rPr>
        <w:t xml:space="preserve">道</w:t>
      </w:r>
      <w:r>
        <w:rPr>
          <w:rStyle w:val="824"/>
          <w:rFonts w:ascii="宋体" w:hAnsi="宋体" w:eastAsia="宋体" w:cs="宋体"/>
          <w:b w:val="0"/>
          <w:bCs w:val="0"/>
          <w:color w:val="auto"/>
          <w:sz w:val="24"/>
          <w:szCs w:val="24"/>
          <w:highlight w:val="none"/>
        </w:rPr>
        <w:t xml:space="preserve">中央隔离栏花箱</w:t>
      </w:r>
      <w:r>
        <w:rPr>
          <w:rFonts w:ascii="宋体" w:hAnsi="宋体" w:eastAsia="宋体" w:cs="宋体"/>
          <w:color w:val="auto"/>
          <w:sz w:val="24"/>
          <w:szCs w:val="24"/>
          <w:highlight w:val="none"/>
        </w:rPr>
        <w:t xml:space="preserve">，开展草花栽种、日常养护及换季更换作业；对太湖大道、马涧路、狮山路、长江路、竹园路、普陀山路等沿线部分地块，实施地栽草花栽植、养护、更换及常绿色块景观提升改造，保障全域全年景观风貌整洁优美、效果稳定达标</w:t>
      </w:r>
      <w:r>
        <w:rPr>
          <w:rFonts w:hint="eastAsia" w:ascii="宋体" w:hAnsi="宋体" w:cs="宋体"/>
          <w:color w:val="auto"/>
          <w:sz w:val="24"/>
          <w:szCs w:val="24"/>
          <w:highlight w:val="none"/>
        </w:rPr>
        <w:t xml:space="preserve">（具体内容详见招标文件</w:t>
      </w:r>
      <w:r>
        <w:rPr>
          <w:rFonts w:hint="eastAsia" w:ascii="宋体" w:hAnsi="宋体" w:cs="宋体"/>
          <w:color w:val="auto"/>
          <w:sz w:val="24"/>
          <w:szCs w:val="24"/>
          <w:highlight w:val="none"/>
          <w:lang w:val="en-US" w:eastAsia="zh-CN"/>
        </w:rPr>
        <w:t xml:space="preserve">第四章招标书</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5、合同履行期限：</w:t>
      </w:r>
      <w:r>
        <w:rPr>
          <w:rFonts w:hint="eastAsia" w:ascii="宋体" w:hAnsi="宋体" w:cs="宋体"/>
          <w:color w:val="auto"/>
          <w:sz w:val="24"/>
          <w:szCs w:val="24"/>
          <w:highlight w:val="none"/>
          <w:lang w:eastAsia="zh-CN"/>
        </w:rPr>
        <w:t xml:space="preserve">一年（具体以采购单位通知为准）</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二、申请人的资格要求：</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s="宋体"/>
          <w:color w:val="auto"/>
          <w:sz w:val="24"/>
          <w:szCs w:val="24"/>
          <w:highlight w:val="none"/>
        </w:rPr>
        <w:t xml:space="preserve">满足《中华人民共和国政府采购法》第二十二条规定，投标人应当具备下列条件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1具有独立承担民事责任的能力；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1.2</w:t>
      </w:r>
      <w:r>
        <w:rPr>
          <w:rFonts w:hint="eastAsia" w:ascii="宋体" w:hAnsi="宋体"/>
          <w:color w:val="auto"/>
          <w:sz w:val="24"/>
          <w:szCs w:val="24"/>
          <w:highlight w:val="none"/>
        </w:rPr>
        <w:t xml:space="preserve">具有良好的商业信誉和健全的财务会计制度；</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1.3</w:t>
      </w:r>
      <w:r>
        <w:rPr>
          <w:rFonts w:hint="eastAsia" w:ascii="宋体" w:hAnsi="宋体"/>
          <w:color w:val="auto"/>
          <w:sz w:val="24"/>
          <w:szCs w:val="24"/>
          <w:highlight w:val="none"/>
        </w:rPr>
        <w:t xml:space="preserve">具有履行合同所必</w:t>
      </w:r>
      <w:r>
        <w:rPr>
          <w:rFonts w:hint="eastAsia" w:ascii="宋体" w:hAnsi="宋体"/>
          <w:color w:val="auto"/>
          <w:sz w:val="24"/>
          <w:szCs w:val="24"/>
          <w:highlight w:val="none"/>
          <w:lang w:eastAsia="zh-CN"/>
        </w:rPr>
        <w:t xml:space="preserve">需</w:t>
      </w:r>
      <w:r>
        <w:rPr>
          <w:rFonts w:hint="eastAsia" w:ascii="宋体" w:hAnsi="宋体"/>
          <w:color w:val="auto"/>
          <w:sz w:val="24"/>
          <w:szCs w:val="24"/>
          <w:highlight w:val="none"/>
        </w:rPr>
        <w:t xml:space="preserve">的设备和专业技术能力；</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1.4</w:t>
      </w:r>
      <w:r>
        <w:rPr>
          <w:rFonts w:hint="eastAsia" w:ascii="宋体" w:hAnsi="宋体"/>
          <w:color w:val="auto"/>
          <w:sz w:val="24"/>
          <w:szCs w:val="24"/>
          <w:highlight w:val="none"/>
        </w:rPr>
        <w:t xml:space="preserve">有依法缴纳税收和社会保障基金的良好记录；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1.5</w:t>
      </w:r>
      <w:r>
        <w:rPr>
          <w:rFonts w:hint="eastAsia" w:ascii="宋体" w:hAnsi="宋体"/>
          <w:color w:val="auto"/>
          <w:sz w:val="24"/>
          <w:szCs w:val="24"/>
          <w:highlight w:val="none"/>
        </w:rPr>
        <w:t xml:space="preserve">参加政府采购活动前三年内，在经营活动中没有重大违法记录；</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1.6</w:t>
      </w:r>
      <w:r>
        <w:rPr>
          <w:rFonts w:hint="eastAsia" w:ascii="宋体" w:hAnsi="宋体"/>
          <w:color w:val="auto"/>
          <w:sz w:val="24"/>
          <w:szCs w:val="24"/>
          <w:highlight w:val="none"/>
        </w:rPr>
        <w:t xml:space="preserve">法律、行政法规规定的其他条件。</w:t>
      </w:r>
      <w:r/>
    </w:p>
    <w:p>
      <w:pPr>
        <w:numPr>
          <w:ilvl w:val="0"/>
          <w:numId w:val="1"/>
        </w:num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落实政府采购政策需满足的资格要求：根据《关于印发〈苏州市政府采购促进中小企业发展实施意见〉的通知》的相关规定，本项目专门面向中小企业采购</w:t>
      </w:r>
      <w:r>
        <w:rPr>
          <w:rFonts w:hint="eastAsia" w:ascii="宋体" w:hAnsi="宋体" w:cs="宋体"/>
          <w:color w:val="auto"/>
          <w:sz w:val="24"/>
          <w:szCs w:val="24"/>
          <w:highlight w:val="none"/>
          <w:lang w:eastAsia="zh-CN"/>
        </w:rPr>
        <w:t xml:space="preserve">，所属行业为其他未列明行业；</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3、本项目的特定资格要求：</w:t>
      </w:r>
      <w:r/>
    </w:p>
    <w:p>
      <w:pPr>
        <w:ind w:firstLine="480"/>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ind w:firstLine="480"/>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ind w:firstLine="480"/>
        <w:jc w:val="left"/>
        <w:spacing w:line="360" w:lineRule="auto"/>
        <w:rPr>
          <w:rFonts w:hint="eastAsia" w:ascii="宋体" w:hAnsi="宋体"/>
          <w:color w:val="auto"/>
          <w:sz w:val="24"/>
          <w:szCs w:val="24"/>
          <w:highlight w:val="none"/>
        </w:rPr>
      </w:pPr>
      <w:r>
        <w:rPr>
          <w:rFonts w:hint="eastAsia" w:ascii="宋体" w:hAnsi="宋体" w:cs="宋体"/>
          <w:color w:val="auto"/>
          <w:sz w:val="24"/>
          <w:szCs w:val="24"/>
          <w:highlight w:val="none"/>
        </w:rPr>
        <w:t xml:space="preserve">4、联合体及转包、分包：本项目不接受联合体，不得转包、分包本项目</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三、获取</w:t>
      </w:r>
      <w:r>
        <w:rPr>
          <w:rFonts w:hint="eastAsia" w:ascii="宋体" w:hAnsi="宋体"/>
          <w:color w:val="auto"/>
          <w:sz w:val="24"/>
          <w:szCs w:val="24"/>
          <w:highlight w:val="none"/>
          <w:lang w:eastAsia="zh-CN"/>
        </w:rPr>
        <w:t xml:space="preserve">招标文件</w:t>
      </w:r>
      <w:r>
        <w:rPr>
          <w:rFonts w:hint="eastAsia" w:ascii="宋体" w:hAnsi="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1、时间：自招标文件公告发布之日起5个工作日，每天上午00:00-12:00，下午12:00-23:59（北京时间，法定节假日除外）</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地点：苏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 </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方式：苏</w:t>
      </w:r>
      <w:r>
        <w:rPr>
          <w:rFonts w:hint="eastAsia" w:ascii="宋体" w:hAnsi="宋体"/>
          <w:color w:val="auto"/>
          <w:sz w:val="24"/>
          <w:highlight w:val="none"/>
          <w:lang w:eastAsia="zh-CN"/>
        </w:rPr>
        <w:t xml:space="preserve">采</w:t>
      </w:r>
      <w:r>
        <w:rPr>
          <w:rFonts w:hint="eastAsia" w:ascii="宋体" w:hAnsi="宋体"/>
          <w:color w:val="auto"/>
          <w:sz w:val="24"/>
          <w:highlight w:val="none"/>
        </w:rPr>
        <w:t xml:space="preserve">云系统报名后自行下载 </w:t>
      </w:r>
      <w:r/>
    </w:p>
    <w:p>
      <w:pPr>
        <w:ind w:firstLine="480"/>
        <w:jc w:val="left"/>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售价：0.00元</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四、提交投标文件截止时间、开标时间和地点</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1、提交投标文件截止时间：</w:t>
      </w:r>
      <w:r>
        <w:rPr>
          <w:rFonts w:hint="eastAsia" w:ascii="宋体" w:hAnsi="宋体" w:cs="宋体"/>
          <w:color w:val="auto"/>
          <w:sz w:val="24"/>
          <w:szCs w:val="24"/>
          <w:highlight w:val="none"/>
          <w:lang w:eastAsia="zh-CN"/>
        </w:rPr>
        <w:t xml:space="preserve">2026年6月10日09:30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2、开标时间：</w:t>
      </w:r>
      <w:r>
        <w:rPr>
          <w:rFonts w:hint="eastAsia" w:ascii="宋体" w:hAnsi="宋体" w:cs="宋体"/>
          <w:color w:val="auto"/>
          <w:sz w:val="24"/>
          <w:szCs w:val="24"/>
          <w:highlight w:val="none"/>
          <w:lang w:eastAsia="zh-CN"/>
        </w:rPr>
        <w:t xml:space="preserve">2026年6月10日09:30</w:t>
      </w:r>
      <w:r>
        <w:rPr>
          <w:rFonts w:hint="eastAsia" w:ascii="宋体" w:hAnsi="宋体" w:cs="宋体"/>
          <w:color w:val="auto"/>
          <w:sz w:val="24"/>
          <w:szCs w:val="24"/>
          <w:highlight w:val="none"/>
        </w:rPr>
        <w:t xml:space="preserve">（北京时间）</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开标地点：“苏采云”系统（网址：</w:t>
      </w:r>
      <w:r>
        <w:rPr>
          <w:rFonts w:ascii="宋体" w:hAnsi="宋体" w:eastAsia="宋体" w:cs="宋体"/>
          <w:color w:val="auto"/>
          <w:sz w:val="24"/>
          <w:szCs w:val="24"/>
          <w:highlight w:val="none"/>
        </w:rPr>
        <w:t xml:space="preserve">http://jszfcg.jsczt.cn/</w:t>
      </w:r>
      <w:r>
        <w:rPr>
          <w:rFonts w:hint="eastAsia" w:ascii="宋体" w:hAnsi="宋体" w:cs="宋体"/>
          <w:color w:val="auto"/>
          <w:sz w:val="24"/>
          <w:szCs w:val="24"/>
          <w:highlight w:val="none"/>
        </w:rPr>
        <w:t xml:space="preserve">）</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五、公告期限</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自本公告发布之日起5个工作日。</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六、其他补充事宜</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1.本次采购的有关信息将在苏州市政府采购网、江苏政府采购网</w:t>
      </w:r>
      <w:r>
        <w:rPr>
          <w:rFonts w:hint="eastAsia" w:ascii="宋体" w:hAnsi="宋体" w:cs="宋体"/>
          <w:color w:val="auto"/>
          <w:sz w:val="24"/>
          <w:szCs w:val="24"/>
          <w:highlight w:val="none"/>
          <w:lang w:eastAsia="zh-CN"/>
        </w:rPr>
        <w:t xml:space="preserve">、中国政府采购网</w:t>
      </w:r>
      <w:r>
        <w:rPr>
          <w:rFonts w:hint="eastAsia" w:ascii="宋体" w:hAnsi="宋体" w:cs="宋体"/>
          <w:color w:val="auto"/>
          <w:sz w:val="24"/>
          <w:highlight w:val="none"/>
          <w:lang w:eastAsia="zh-CN"/>
        </w:rPr>
        <w:t xml:space="preserve">上</w:t>
      </w:r>
      <w:r>
        <w:rPr>
          <w:rFonts w:hint="eastAsia" w:ascii="宋体" w:hAnsi="宋体" w:cs="宋体"/>
          <w:color w:val="auto"/>
          <w:sz w:val="24"/>
          <w:szCs w:val="24"/>
          <w:highlight w:val="none"/>
        </w:rPr>
        <w:t xml:space="preserve">发布；有关该采购项目的澄清、修正及中标等信息亦在以上网站发布，敬请留意。</w:t>
      </w:r>
      <w:r/>
    </w:p>
    <w:p>
      <w:pPr>
        <w:ind w:firstLine="480"/>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2.政府采购监督电话：</w:t>
      </w:r>
      <w:r>
        <w:rPr>
          <w:rFonts w:hint="eastAsia" w:ascii="宋体" w:hAnsi="宋体" w:cs="宋体"/>
          <w:color w:val="auto"/>
          <w:sz w:val="24"/>
          <w:highlight w:val="none"/>
        </w:rPr>
        <w:t xml:space="preserve">0512-68751331、0512-68751335</w:t>
      </w:r>
      <w:r>
        <w:rPr>
          <w:rFonts w:hint="eastAsia" w:ascii="宋体" w:hAnsi="宋体" w:cs="宋体"/>
          <w:color w:val="auto"/>
          <w:sz w:val="24"/>
          <w:szCs w:val="24"/>
          <w:highlight w:val="none"/>
        </w:rPr>
        <w:t xml:space="preserve">。</w:t>
      </w:r>
      <w:r/>
    </w:p>
    <w:p>
      <w:pPr>
        <w:ind w:firstLine="480"/>
        <w:jc w:val="left"/>
        <w:spacing w:line="360" w:lineRule="auto"/>
        <w:tabs>
          <w:tab w:val="left" w:pos="6090" w:leader="none"/>
        </w:tabs>
        <w:rPr>
          <w:rFonts w:hint="eastAsia" w:ascii="宋体" w:hAnsi="宋体" w:cs="宋体"/>
          <w:color w:val="auto"/>
          <w:sz w:val="24"/>
          <w:szCs w:val="24"/>
          <w:highlight w:val="none"/>
          <w:lang w:val="zh-TW"/>
        </w:rPr>
      </w:pPr>
      <w:r>
        <w:rPr>
          <w:rFonts w:hint="eastAsia" w:ascii="宋体" w:hAnsi="宋体" w:cs="宋体"/>
          <w:color w:val="auto"/>
          <w:sz w:val="24"/>
          <w:szCs w:val="24"/>
          <w:highlight w:val="none"/>
        </w:rPr>
        <w:t xml:space="preserve">3.</w:t>
      </w:r>
      <w:r>
        <w:rPr>
          <w:rFonts w:hint="eastAsia" w:ascii="宋体" w:hAnsi="宋体" w:cs="宋体"/>
          <w:color w:val="auto"/>
          <w:sz w:val="24"/>
          <w:szCs w:val="24"/>
          <w:highlight w:val="none"/>
          <w:lang w:val="zh-TW" w:eastAsia="zh-TW"/>
        </w:rPr>
        <w:t xml:space="preserve">供应商在</w:t>
      </w:r>
      <w:r>
        <w:rPr>
          <w:rFonts w:hint="eastAsia" w:ascii="宋体" w:hAnsi="宋体" w:cs="宋体"/>
          <w:color w:val="auto"/>
          <w:sz w:val="24"/>
          <w:szCs w:val="24"/>
          <w:highlight w:val="none"/>
          <w:lang w:val="zh-TW"/>
        </w:rPr>
        <w:t xml:space="preserve">报名、下载、制作采购文件</w:t>
      </w:r>
      <w:r>
        <w:rPr>
          <w:rFonts w:hint="eastAsia" w:ascii="宋体" w:hAnsi="宋体" w:cs="宋体"/>
          <w:color w:val="auto"/>
          <w:sz w:val="24"/>
          <w:szCs w:val="24"/>
          <w:highlight w:val="none"/>
          <w:lang w:val="zh-TW" w:eastAsia="zh-TW"/>
        </w:rPr>
        <w:t xml:space="preserve">过程中如有</w:t>
      </w:r>
      <w:r>
        <w:rPr>
          <w:rFonts w:hint="eastAsia" w:ascii="宋体" w:hAnsi="宋体" w:cs="宋体"/>
          <w:color w:val="auto"/>
          <w:sz w:val="24"/>
          <w:szCs w:val="24"/>
          <w:highlight w:val="none"/>
          <w:lang w:val="zh-TW"/>
        </w:rPr>
        <w:t xml:space="preserve">软件操作方面</w:t>
      </w:r>
      <w:r>
        <w:rPr>
          <w:rFonts w:hint="eastAsia" w:ascii="宋体" w:hAnsi="宋体" w:cs="宋体"/>
          <w:color w:val="auto"/>
          <w:sz w:val="24"/>
          <w:szCs w:val="24"/>
          <w:highlight w:val="none"/>
          <w:lang w:val="zh-TW" w:eastAsia="zh-TW"/>
        </w:rPr>
        <w:t xml:space="preserve">疑问</w:t>
      </w:r>
      <w:r>
        <w:rPr>
          <w:rFonts w:hint="eastAsia" w:ascii="宋体" w:hAnsi="宋体" w:cs="宋体"/>
          <w:color w:val="auto"/>
          <w:sz w:val="24"/>
          <w:szCs w:val="24"/>
          <w:highlight w:val="none"/>
          <w:lang w:val="zh-TW"/>
        </w:rPr>
        <w:t xml:space="preserve">，</w:t>
      </w:r>
      <w:r>
        <w:rPr>
          <w:rFonts w:hint="eastAsia" w:ascii="宋体" w:hAnsi="宋体" w:cs="宋体"/>
          <w:color w:val="auto"/>
          <w:sz w:val="24"/>
          <w:szCs w:val="24"/>
          <w:highlight w:val="none"/>
          <w:lang w:val="zh-TW" w:eastAsia="zh-TW"/>
        </w:rPr>
        <w:t xml:space="preserve">请拨打</w:t>
      </w:r>
      <w:r>
        <w:rPr>
          <w:rFonts w:hint="eastAsia" w:ascii="宋体" w:hAnsi="宋体" w:cs="宋体"/>
          <w:color w:val="auto"/>
          <w:sz w:val="24"/>
          <w:szCs w:val="24"/>
          <w:highlight w:val="none"/>
          <w:lang w:val="zh-TW"/>
        </w:rPr>
        <w:t xml:space="preserve">（1）注册</w:t>
      </w:r>
      <w:r>
        <w:rPr>
          <w:rFonts w:hint="eastAsia" w:ascii="宋体" w:hAnsi="宋体" w:cs="宋体"/>
          <w:color w:val="auto"/>
          <w:sz w:val="24"/>
          <w:szCs w:val="24"/>
          <w:highlight w:val="none"/>
          <w:lang w:val="zh-TW" w:eastAsia="zh-TW"/>
        </w:rPr>
        <w:t xml:space="preserve">咨询：18261002</w:t>
      </w:r>
      <w:r>
        <w:rPr>
          <w:rFonts w:hint="eastAsia" w:ascii="宋体" w:hAnsi="宋体" w:cs="宋体"/>
          <w:color w:val="auto"/>
          <w:sz w:val="24"/>
          <w:szCs w:val="24"/>
          <w:highlight w:val="none"/>
          <w:lang w:val="zh-TW"/>
        </w:rPr>
        <w:t xml:space="preserve">950；（2）CA技术咨询电话：400-608-6099；（3）签章使用问题：025-83633811、025-83633812、15380932027、</w:t>
      </w:r>
      <w:r>
        <w:rPr>
          <w:rFonts w:hint="eastAsia" w:ascii="宋体" w:hAnsi="宋体" w:cs="宋体"/>
          <w:color w:val="auto"/>
          <w:sz w:val="24"/>
          <w:highlight w:val="none"/>
        </w:rPr>
        <w:t xml:space="preserve">13675197356</w:t>
      </w:r>
      <w:r>
        <w:rPr>
          <w:rFonts w:hint="eastAsia" w:ascii="宋体" w:hAnsi="宋体" w:cs="宋体"/>
          <w:color w:val="auto"/>
          <w:sz w:val="24"/>
          <w:szCs w:val="24"/>
          <w:highlight w:val="none"/>
          <w:lang w:val="zh-TW"/>
        </w:rPr>
        <w:t xml:space="preserve">；（4）系统使用指导与咨询：联系电话：</w:t>
      </w:r>
      <w:r>
        <w:rPr>
          <w:rFonts w:hint="eastAsia" w:ascii="宋体" w:hAnsi="宋体" w:cs="宋体"/>
          <w:color w:val="auto"/>
          <w:sz w:val="24"/>
          <w:highlight w:val="none"/>
        </w:rPr>
        <w:t xml:space="preserve">13914088964</w:t>
      </w:r>
      <w:r>
        <w:rPr>
          <w:rFonts w:hint="eastAsia" w:ascii="宋体" w:hAnsi="宋体" w:cs="宋体"/>
          <w:color w:val="auto"/>
          <w:sz w:val="24"/>
          <w:highlight w:val="none"/>
          <w:lang w:eastAsia="zh-CN"/>
        </w:rPr>
        <w:t xml:space="preserve">、</w:t>
      </w:r>
      <w:r>
        <w:rPr>
          <w:rFonts w:hint="eastAsia" w:ascii="宋体" w:hAnsi="宋体" w:cs="宋体"/>
          <w:color w:val="auto"/>
          <w:sz w:val="24"/>
          <w:szCs w:val="24"/>
          <w:highlight w:val="none"/>
          <w:lang w:val="zh-TW"/>
        </w:rPr>
        <w:t xml:space="preserve">18261002950</w:t>
      </w:r>
      <w:r>
        <w:rPr>
          <w:rFonts w:hint="eastAsia" w:ascii="宋体" w:hAnsi="宋体" w:cs="宋体"/>
          <w:color w:val="auto"/>
          <w:sz w:val="24"/>
          <w:highlight w:val="none"/>
          <w:lang w:val="zh-TW" w:eastAsia="zh-CN"/>
        </w:rPr>
        <w:t xml:space="preserve">、</w:t>
      </w:r>
      <w:r>
        <w:rPr>
          <w:rFonts w:hint="eastAsia" w:ascii="宋体" w:hAnsi="宋体" w:cs="宋体"/>
          <w:color w:val="auto"/>
          <w:sz w:val="24"/>
          <w:highlight w:val="none"/>
        </w:rPr>
        <w:t xml:space="preserve">0512-</w:t>
      </w:r>
      <w:r>
        <w:rPr>
          <w:rFonts w:hint="eastAsia" w:ascii="宋体" w:hAnsi="宋体" w:cs="宋体"/>
          <w:color w:val="auto"/>
          <w:sz w:val="24"/>
          <w:highlight w:val="none"/>
          <w:lang w:val="en-US" w:eastAsia="zh-CN"/>
        </w:rPr>
        <w:t xml:space="preserve">86722802</w:t>
      </w:r>
      <w:r>
        <w:rPr>
          <w:rFonts w:hint="eastAsia" w:ascii="宋体" w:hAnsi="宋体" w:cs="宋体"/>
          <w:color w:val="auto"/>
          <w:sz w:val="24"/>
          <w:szCs w:val="24"/>
          <w:highlight w:val="none"/>
          <w:lang w:val="zh-TW"/>
        </w:rPr>
        <w:t xml:space="preserve">；QQ：1315179389、895706745。</w:t>
      </w:r>
      <w:r>
        <w:rPr>
          <w:rFonts w:hint="eastAsia" w:ascii="宋体" w:hAnsi="宋体" w:eastAsia="宋体" w:cs="宋体"/>
          <w:color w:val="auto"/>
          <w:sz w:val="24"/>
          <w:szCs w:val="24"/>
          <w:highlight w:val="none"/>
          <w:lang w:val="zh-TW"/>
        </w:rPr>
        <w:t xml:space="preserve">智能客服：登录苏采云系统后，联系系统右下方智能客服图标进行咨询</w:t>
      </w:r>
      <w:r>
        <w:rPr>
          <w:rFonts w:hint="eastAsia" w:ascii="宋体" w:hAnsi="宋体" w:cs="宋体"/>
          <w:color w:val="auto"/>
          <w:sz w:val="24"/>
          <w:szCs w:val="24"/>
          <w:highlight w:val="none"/>
          <w:lang w:val="zh-TW"/>
        </w:rPr>
        <w:t xml:space="preserve">。</w:t>
      </w:r>
      <w:r/>
    </w:p>
    <w:p>
      <w:pPr>
        <w:ind w:firstLine="480"/>
        <w:jc w:val="left"/>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报名方式（网上报名）</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1申领CA证书：供应商参与政府采购活动需办理江苏省电子政务证书认证中心CA证书和方正国际软件（北京）有限公司电子签章。CA证书及电子签章的办理方法详见苏州市政府采购网―法规政策--《转发省财政厅关于更换全省政府采购交易系统CA数字证书和电子签章的通知》或者“苏采云”系统登录界面中的“新CA办理指南”。“苏采云”系统目前仅支持“苏采云”系统下的政务CA证书，江苏省内各地区办理的“苏采云”系统下的政务CA证书全省通用。苏州现场办理地址：</w:t>
      </w:r>
      <w:r>
        <w:rPr>
          <w:rFonts w:hint="eastAsia" w:ascii="宋体" w:hAnsi="宋体" w:cs="宋体"/>
          <w:color w:val="auto"/>
          <w:sz w:val="24"/>
          <w:highlight w:val="none"/>
          <w:lang w:val="en-US" w:eastAsia="zh-CN"/>
        </w:rPr>
        <w:t xml:space="preserve">苏州高新区邓尉路105号狮山科技馆1楼服务大厅</w:t>
      </w:r>
      <w:r>
        <w:rPr>
          <w:rFonts w:hint="eastAsia" w:ascii="宋体" w:hAnsi="宋体" w:cs="宋体"/>
          <w:color w:val="auto"/>
          <w:sz w:val="24"/>
          <w:highlight w:val="none"/>
        </w:rPr>
        <w:t xml:space="preserve">，咨询电话：0512-69820834。</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4</w:t>
      </w:r>
      <w:r>
        <w:rPr>
          <w:rFonts w:hint="eastAsia" w:ascii="宋体" w:hAnsi="宋体" w:cs="宋体"/>
          <w:color w:val="auto"/>
          <w:sz w:val="24"/>
          <w:highlight w:val="none"/>
        </w:rPr>
        <w:t xml:space="preserve">.2登录报名：供应商插入CA证书</w:t>
      </w:r>
      <w:r>
        <w:rPr>
          <w:rFonts w:hint="eastAsia" w:ascii="宋体" w:hAnsi="宋体" w:cs="宋体"/>
          <w:color w:val="auto"/>
          <w:sz w:val="24"/>
          <w:highlight w:val="none"/>
          <w:lang w:eastAsia="zh-CN"/>
        </w:rPr>
        <w:t xml:space="preserve">登录</w:t>
      </w:r>
      <w:r>
        <w:rPr>
          <w:rFonts w:hint="eastAsia" w:ascii="宋体" w:hAnsi="宋体" w:cs="宋体"/>
          <w:color w:val="auto"/>
          <w:sz w:val="24"/>
          <w:highlight w:val="none"/>
        </w:rPr>
        <w:t xml:space="preserve">“苏采云”系统后选择具体项目，点击“我要参与”并签章提交《投标供应商确认函》，提交《投标供应商确认函》日期视同为依法获取招标文件日期。供应商须打印、保留《投标供应商确认函》，质疑时《投标供应商确认函》与质疑函一并提交；未依照招标公告要求提交《投标供应商确认函》的供应商，视为未参与该项政府采购活动，不具备对该政府采购项目提出质疑的法定权利，但因供应商资格条件或获取招标文件时间设定不符合有关法律法规规定等原因使供应商权益受损的除外。</w:t>
      </w:r>
      <w:r/>
    </w:p>
    <w:p>
      <w:pPr>
        <w:ind w:firstLine="480"/>
        <w:jc w:val="left"/>
        <w:spacing w:line="360" w:lineRule="auto"/>
        <w:rPr>
          <w:rFonts w:ascii="宋体" w:hAnsi="宋体" w:cs="宋体"/>
          <w:color w:val="auto"/>
          <w:sz w:val="24"/>
          <w:highlight w:val="none"/>
        </w:rPr>
      </w:pPr>
      <w:r>
        <w:rPr>
          <w:rFonts w:hint="eastAsia" w:ascii="宋体" w:hAnsi="宋体" w:cs="宋体"/>
          <w:color w:val="auto"/>
          <w:sz w:val="24"/>
          <w:highlight w:val="none"/>
        </w:rPr>
        <w:t xml:space="preserve">5</w:t>
      </w:r>
      <w:r>
        <w:rPr>
          <w:rFonts w:hint="eastAsia" w:ascii="宋体" w:hAnsi="宋体" w:cs="宋体"/>
          <w:color w:val="auto"/>
          <w:sz w:val="24"/>
          <w:highlight w:val="none"/>
          <w:lang w:val="en-US" w:eastAsia="zh-CN"/>
        </w:rPr>
        <w:t xml:space="preserve">.</w:t>
      </w:r>
      <w:r>
        <w:rPr>
          <w:rFonts w:hint="eastAsia" w:ascii="宋体" w:hAnsi="宋体" w:cs="宋体"/>
          <w:color w:val="auto"/>
          <w:sz w:val="24"/>
          <w:highlight w:val="none"/>
        </w:rPr>
        <w:t xml:space="preserve">制作、提交电子投标文件：</w:t>
      </w:r>
      <w:r/>
    </w:p>
    <w:p>
      <w:pPr>
        <w:ind w:firstLine="480"/>
        <w:jc w:val="left"/>
        <w:spacing w:line="360" w:lineRule="auto"/>
        <w:rPr>
          <w:rFonts w:ascii="宋体" w:hAnsi="宋体" w:cs="宋体"/>
          <w:color w:val="auto"/>
          <w:sz w:val="24"/>
          <w:highlight w:val="none"/>
        </w:rPr>
      </w:pPr>
      <w:r>
        <w:rPr>
          <w:rFonts w:ascii="宋体" w:hAnsi="宋体" w:cs="宋体"/>
          <w:color w:val="auto"/>
          <w:sz w:val="24"/>
          <w:highlight w:val="none"/>
        </w:rPr>
        <w:t xml:space="preserve">5.1</w:t>
      </w:r>
      <w:r>
        <w:rPr>
          <w:rFonts w:hint="eastAsia" w:ascii="宋体" w:hAnsi="宋体" w:cs="宋体"/>
          <w:color w:val="auto"/>
          <w:sz w:val="24"/>
          <w:highlight w:val="none"/>
        </w:rPr>
        <w:t xml:space="preserve">本项目采用电子招投标方式，供应商在“苏采云”系统中操作成功参与项目后，必须在“已参与项目”界面中下载电子招标文件（后缀名为“.kedt”）并导入政府采购客户端工具后方可进行投标文件制作和提交（具体详见《苏采云系统供应商操作手册》，网址链接</w:t>
      </w:r>
      <w:r>
        <w:rPr>
          <w:rFonts w:ascii="宋体" w:hAnsi="宋体" w:cs="宋体"/>
          <w:color w:val="auto"/>
          <w:sz w:val="24"/>
          <w:highlight w:val="none"/>
        </w:rPr>
        <w:fldChar w:fldCharType="begin"/>
      </w:r>
      <w:r>
        <w:rPr>
          <w:rFonts w:ascii="宋体" w:hAnsi="宋体" w:cs="宋体"/>
          <w:color w:val="auto"/>
          <w:sz w:val="24"/>
          <w:highlight w:val="none"/>
        </w:rPr>
        <w:instrText xml:space="preserve"> HYPERLINK "</w:instrText>
      </w:r>
      <w:r>
        <w:rPr>
          <w:rFonts w:hint="eastAsia" w:ascii="宋体" w:hAnsi="宋体" w:cs="宋体"/>
          <w:color w:val="auto"/>
          <w:sz w:val="24"/>
          <w:highlight w:val="none"/>
        </w:rPr>
        <w:instrText xml:space="preserve">https://czju.suzhou.gov.cn/zfcg/html/content/20231220161910031.shtml</w:instrText>
      </w:r>
      <w:r>
        <w:rPr>
          <w:rFonts w:ascii="宋体" w:hAnsi="宋体" w:cs="宋体"/>
          <w:color w:val="auto"/>
          <w:sz w:val="24"/>
          <w:highlight w:val="none"/>
        </w:rPr>
        <w:instrText xml:space="preserve">" </w:instrText>
      </w:r>
      <w:r>
        <w:rPr>
          <w:rFonts w:ascii="宋体" w:hAnsi="宋体" w:cs="宋体"/>
          <w:color w:val="auto"/>
          <w:sz w:val="24"/>
          <w:highlight w:val="none"/>
        </w:rPr>
        <w:fldChar w:fldCharType="separate"/>
      </w:r>
      <w:r>
        <w:rPr>
          <w:rStyle w:val="826"/>
          <w:rFonts w:hint="eastAsia" w:ascii="宋体" w:hAnsi="宋体" w:cs="宋体"/>
          <w:color w:val="auto"/>
          <w:sz w:val="24"/>
          <w:highlight w:val="none"/>
        </w:rPr>
        <w:t xml:space="preserve">https://czju.suzhou.gov.cn/zfcg/html/content/20231220161910031.shtml</w:t>
      </w:r>
      <w:r>
        <w:rPr>
          <w:rFonts w:ascii="宋体" w:hAnsi="宋体" w:cs="宋体"/>
          <w:color w:val="auto"/>
          <w:sz w:val="24"/>
          <w:highlight w:val="none"/>
        </w:rPr>
        <w:fldChar w:fldCharType="end"/>
      </w:r>
      <w:r>
        <w:rPr>
          <w:rFonts w:hint="eastAsia" w:ascii="宋体" w:hAnsi="宋体" w:cs="宋体"/>
          <w:color w:val="auto"/>
          <w:sz w:val="24"/>
          <w:highlight w:val="none"/>
        </w:rPr>
        <w:t xml:space="preserve">）。</w:t>
      </w:r>
      <w:r/>
    </w:p>
    <w:p>
      <w:pPr>
        <w:ind w:firstLine="480"/>
        <w:jc w:val="left"/>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5.2补充通知（如有）：成功获取招标文件的供应商应及时关注政府采购信息发布媒体上发布的更正（补充）公告，同时在“苏采云”系统中下载更正（补充）资料，如有遗漏（包括但不限于文件未下载或下载不完整），可能无法解密投标（响应）文件，由此所造成的响应失败或损失由供应商自行负责。</w:t>
      </w:r>
      <w:r/>
    </w:p>
    <w:p>
      <w:pPr>
        <w:ind w:firstLine="480"/>
        <w:jc w:val="left"/>
        <w:spacing w:line="360" w:lineRule="auto"/>
        <w:rPr>
          <w:rFonts w:hint="eastAsia" w:ascii="宋体" w:hAnsi="宋体"/>
          <w:color w:val="auto"/>
          <w:sz w:val="24"/>
          <w:highlight w:val="none"/>
        </w:rPr>
      </w:pPr>
      <w:r>
        <w:rPr>
          <w:rFonts w:hint="eastAsia" w:ascii="宋体" w:hAnsi="宋体" w:cs="宋体"/>
          <w:color w:val="auto"/>
          <w:sz w:val="24"/>
          <w:highlight w:val="none"/>
        </w:rPr>
        <w:t xml:space="preserve">5.3本项目采用电子投标形式，请供应商按照《苏采云系统供应商操作手册》、招标文件要求进行制作、上传电子投标文件；电子投标文件制作完成后请于投标文件提交截止时间前成功上传至“苏采云”系统，否则视为放弃参加该采购项目；供应商应</w:t>
      </w:r>
      <w:r>
        <w:rPr>
          <w:rFonts w:hint="eastAsia" w:ascii="宋体" w:hAnsi="宋体" w:cs="宋体"/>
          <w:color w:val="auto"/>
          <w:sz w:val="24"/>
          <w:highlight w:val="none"/>
          <w:lang w:eastAsia="zh-CN"/>
        </w:rPr>
        <w:t xml:space="preserve">充分考虑</w:t>
      </w:r>
      <w:r>
        <w:rPr>
          <w:rFonts w:hint="eastAsia" w:ascii="宋体" w:hAnsi="宋体" w:cs="宋体"/>
          <w:color w:val="auto"/>
          <w:sz w:val="24"/>
          <w:highlight w:val="none"/>
        </w:rPr>
        <w:t xml:space="preserve">网络环境、网络带宽等风险因素，如因供应商自身原因造成的电子投标文件上传不成功由供应商自行承担全部责任</w:t>
      </w:r>
      <w:r>
        <w:rPr>
          <w:rFonts w:hint="eastAsia" w:ascii="宋体" w:hAnsi="宋体"/>
          <w:color w:val="auto"/>
          <w:sz w:val="24"/>
          <w:highlight w:val="none"/>
        </w:rPr>
        <w:t xml:space="preserve">。</w:t>
      </w:r>
      <w:r/>
    </w:p>
    <w:p>
      <w:pPr>
        <w:numPr>
          <w:ilvl w:val="0"/>
          <w:numId w:val="0"/>
        </w:numPr>
        <w:ind w:firstLine="480"/>
        <w:jc w:val="left"/>
        <w:keepLines w:val="0"/>
        <w:keepNext w:val="0"/>
        <w:pageBreakBefore w:val="0"/>
        <w:spacing w:line="360" w:lineRule="auto"/>
        <w:widowControl w:val="off"/>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6.</w:t>
      </w:r>
      <w:r>
        <w:rPr>
          <w:rFonts w:hint="eastAsia" w:ascii="宋体" w:hAnsi="宋体" w:cs="宋体"/>
          <w:color w:val="auto"/>
          <w:sz w:val="24"/>
          <w:highlight w:val="none"/>
        </w:rPr>
        <w:t xml:space="preserve">开标方式：线上不见面开标，供应商登录“苏采云”系统在平台首页点击“开标大厅”，进入江苏省政府采购一体化不见面开标（采购）大厅，在今日项目列表，点击项目，进入不见面开标系统。</w:t>
      </w:r>
      <w:r>
        <w:rPr>
          <w:rFonts w:hint="eastAsia" w:ascii="宋体" w:hAnsi="宋体" w:cs="宋体"/>
          <w:b/>
          <w:color w:val="auto"/>
          <w:sz w:val="24"/>
          <w:highlight w:val="none"/>
        </w:rPr>
        <w:t xml:space="preserve">开标阶段供应商在【供应商解密】环节必须使用CA证书解密电子投标文件，如在系统规定的解密时间内</w:t>
      </w:r>
      <w:r>
        <w:rPr>
          <w:rFonts w:hint="eastAsia" w:ascii="宋体" w:hAnsi="宋体"/>
          <w:b/>
          <w:color w:val="auto"/>
          <w:sz w:val="24"/>
          <w:szCs w:val="24"/>
          <w:highlight w:val="none"/>
        </w:rPr>
        <w:t xml:space="preserve">（投标文件提交截止时间后30分钟）</w:t>
      </w:r>
      <w:r>
        <w:rPr>
          <w:rFonts w:hint="eastAsia" w:ascii="宋体" w:hAnsi="宋体" w:cs="宋体"/>
          <w:b/>
          <w:color w:val="auto"/>
          <w:sz w:val="24"/>
          <w:highlight w:val="none"/>
        </w:rPr>
        <w:t xml:space="preserve">未能完成解密的视为放弃投标。</w:t>
      </w:r>
      <w:r>
        <w:rPr>
          <w:rFonts w:hint="eastAsia" w:ascii="宋体" w:hAnsi="宋体" w:cs="宋体"/>
          <w:color w:val="auto"/>
          <w:sz w:val="24"/>
          <w:highlight w:val="none"/>
        </w:rPr>
        <w:t xml:space="preserve">请供应商确保电脑、系统及其他设备（视频输入输出设备等）无误，且开标直至项目结束始终保持系统在线状态。</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七、对本次招标提出询问，请按以下方式联系：</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1、采购人信息</w:t>
      </w:r>
      <w:r/>
    </w:p>
    <w:p>
      <w:pPr>
        <w:ind w:firstLine="480"/>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名 称：</w:t>
      </w:r>
      <w:r>
        <w:rPr>
          <w:rFonts w:hint="eastAsia" w:ascii="宋体" w:hAnsi="宋体"/>
          <w:color w:val="auto"/>
          <w:sz w:val="24"/>
          <w:highlight w:val="none"/>
          <w:lang w:eastAsia="zh-CN"/>
        </w:rPr>
        <w:t xml:space="preserve">苏州高新区（虎丘区）城市管理局（综合行政执法局）</w:t>
      </w:r>
      <w:r/>
    </w:p>
    <w:p>
      <w:pPr>
        <w:ind w:firstLine="480"/>
        <w:jc w:val="left"/>
        <w:spacing w:line="360" w:lineRule="auto"/>
        <w:rPr>
          <w:rFonts w:hint="default" w:ascii="宋体" w:hAnsi="宋体" w:eastAsia="宋体"/>
          <w:color w:val="auto"/>
          <w:sz w:val="24"/>
          <w:highlight w:val="none"/>
          <w:lang w:val="en-US" w:eastAsia="zh-CN"/>
        </w:rPr>
      </w:pPr>
      <w:r>
        <w:rPr>
          <w:rFonts w:hint="eastAsia" w:ascii="宋体" w:hAnsi="宋体" w:cs="宋体"/>
          <w:color w:val="auto"/>
          <w:sz w:val="24"/>
          <w:szCs w:val="24"/>
          <w:highlight w:val="none"/>
        </w:rPr>
        <w:t xml:space="preserve">地 址：</w:t>
      </w:r>
      <w:r>
        <w:rPr>
          <w:rFonts w:hint="eastAsia" w:ascii="宋体" w:hAnsi="宋体"/>
          <w:color w:val="auto"/>
          <w:sz w:val="24"/>
          <w:highlight w:val="none"/>
        </w:rPr>
        <w:t xml:space="preserve">苏州市</w:t>
      </w:r>
      <w:r>
        <w:rPr>
          <w:rFonts w:hint="eastAsia" w:ascii="宋体" w:hAnsi="宋体"/>
          <w:color w:val="auto"/>
          <w:sz w:val="24"/>
          <w:highlight w:val="none"/>
          <w:lang w:val="en-US" w:eastAsia="zh-CN"/>
        </w:rPr>
        <w:t xml:space="preserve">虎丘区科普路科技大厦6楼</w:t>
      </w:r>
      <w:r/>
    </w:p>
    <w:p>
      <w:pPr>
        <w:ind w:firstLine="480"/>
        <w:jc w:val="left"/>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rPr>
        <w:t xml:space="preserve">联系方式：</w:t>
      </w:r>
      <w:r>
        <w:rPr>
          <w:rFonts w:hint="eastAsia" w:ascii="宋体" w:hAnsi="宋体"/>
          <w:color w:val="auto"/>
          <w:sz w:val="24"/>
          <w:highlight w:val="none"/>
          <w:lang w:eastAsia="zh-CN"/>
        </w:rPr>
        <w:t xml:space="preserve">莫懿杰</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eastAsia="zh-CN"/>
        </w:rPr>
        <w:t xml:space="preserve">0512-68089702</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2、采购代理机构信息</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名 称：苏州惠德普源企业咨询有限公司</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地 址：苏州市滨河路锦和越界X2创意街区3B 512室</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联系方式：</w:t>
      </w:r>
      <w:r>
        <w:rPr>
          <w:rFonts w:hint="eastAsia" w:ascii="宋体" w:hAnsi="宋体"/>
          <w:color w:val="auto"/>
          <w:sz w:val="24"/>
          <w:szCs w:val="24"/>
          <w:highlight w:val="none"/>
          <w:lang w:eastAsia="zh-CN"/>
        </w:rPr>
        <w:t xml:space="preserve">姚佳雯</w:t>
      </w:r>
      <w:r>
        <w:rPr>
          <w:rFonts w:hint="eastAsia" w:ascii="宋体" w:hAnsi="宋体"/>
          <w:color w:val="auto"/>
          <w:sz w:val="24"/>
          <w:szCs w:val="24"/>
          <w:highlight w:val="none"/>
        </w:rPr>
        <w:t xml:space="preserve">/0512-65274327</w:t>
      </w:r>
      <w:r/>
    </w:p>
    <w:p>
      <w:pPr>
        <w:ind w:firstLine="480"/>
        <w:jc w:val="left"/>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3、项目联系方式</w:t>
      </w:r>
      <w:r/>
    </w:p>
    <w:p>
      <w:pPr>
        <w:ind w:firstLine="480"/>
        <w:jc w:val="left"/>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rPr>
        <w:t xml:space="preserve">项目联系人：</w:t>
      </w:r>
      <w:r>
        <w:rPr>
          <w:rFonts w:hint="eastAsia" w:ascii="宋体" w:hAnsi="宋体"/>
          <w:color w:val="auto"/>
          <w:sz w:val="24"/>
          <w:szCs w:val="24"/>
          <w:highlight w:val="none"/>
          <w:lang w:eastAsia="zh-CN"/>
        </w:rPr>
        <w:t xml:space="preserve">姚佳雯、储竹秀</w:t>
      </w:r>
      <w:r/>
    </w:p>
    <w:p>
      <w:pPr>
        <w:ind w:firstLine="480"/>
        <w:jc w:val="left"/>
        <w:spacing w:line="360" w:lineRule="auto"/>
        <w:rPr>
          <w:rFonts w:hint="eastAsia" w:ascii="宋体" w:hAnsi="宋体"/>
          <w:color w:val="auto"/>
          <w:sz w:val="24"/>
          <w:highlight w:val="none"/>
        </w:rPr>
      </w:pPr>
      <w:r>
        <w:rPr>
          <w:rFonts w:hint="eastAsia" w:ascii="宋体" w:hAnsi="宋体"/>
          <w:color w:val="auto"/>
          <w:sz w:val="24"/>
          <w:szCs w:val="24"/>
          <w:highlight w:val="none"/>
        </w:rPr>
        <w:t xml:space="preserve">电 话：0512-65274327</w:t>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hint="eastAsia" w:ascii="宋体" w:hAnsi="宋体"/>
          <w:color w:val="auto"/>
          <w:sz w:val="44"/>
          <w:szCs w:val="44"/>
          <w:highlight w:val="none"/>
        </w:rPr>
      </w:pPr>
      <w:r>
        <w:rPr>
          <w:rFonts w:hint="eastAsia" w:ascii="宋体" w:hAnsi="宋体"/>
          <w:color w:val="auto"/>
          <w:sz w:val="44"/>
          <w:szCs w:val="44"/>
          <w:highlight w:val="none"/>
        </w:rPr>
      </w:r>
      <w:r/>
    </w:p>
    <w:p>
      <w:pPr>
        <w:jc w:val="center"/>
        <w:rPr>
          <w:rFonts w:ascii="宋体" w:hAnsi="宋体"/>
          <w:color w:val="auto"/>
          <w:sz w:val="44"/>
          <w:szCs w:val="44"/>
          <w:highlight w:val="none"/>
        </w:rPr>
      </w:pPr>
      <w:r>
        <w:rPr>
          <w:rFonts w:hint="eastAsia" w:ascii="宋体" w:hAnsi="宋体"/>
          <w:color w:val="auto"/>
          <w:sz w:val="44"/>
          <w:szCs w:val="44"/>
          <w:highlight w:val="none"/>
        </w:rPr>
        <w:br w:type="page" w:clear="all"/>
      </w:r>
      <w:r>
        <w:rPr>
          <w:rFonts w:hint="eastAsia" w:ascii="宋体" w:hAnsi="宋体"/>
          <w:color w:val="auto"/>
          <w:sz w:val="44"/>
          <w:szCs w:val="44"/>
          <w:highlight w:val="none"/>
        </w:rPr>
        <w:t xml:space="preserve">第二章 投标人须知</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一、说明和释义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1.1本招标文件仅适用于苏州惠德普源企业咨询有限公司组织的采购活动。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1.2本次采购活动及因本次采购产生的合同受中国法律制约和保护。</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1.3本招标文件的解释权属于苏州惠德普源企业咨询有限公司。</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2.词语释义</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2.1采购人：指依法进行政府采购的国家机关、事业单位、团体组织。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2.2采购代理机构：指依法接受采购人委托，从事政府采购代理业务的社会中介机构。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2.3投标人（供应商）：经认定有资格响应采购，参加投标竞争的法人、其他组织或者自然人。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2.4</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：投标人根据采购人或采购代理机构发布的招标文件，编制投标文件并按规定投标行为。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2.5合同：采供双方根据招标文件和中标的投标文件及中标通知书规定的内容签署的以书面形式所达成的协议，包括所有的附件、附录和构成协议的所有文件。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2.6甲方（采购人）：指招标文件中载明的，依法进行政府采购的国家机关、事业单位、团体组织。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2.7乙方（</w:t>
      </w:r>
      <w:r>
        <w:rPr>
          <w:rFonts w:hint="eastAsia" w:ascii="宋体" w:hAnsi="宋体"/>
          <w:color w:val="auto"/>
          <w:sz w:val="24"/>
          <w:highlight w:val="none"/>
          <w:lang w:eastAsia="zh-CN"/>
        </w:rPr>
        <w:t xml:space="preserve">中标</w:t>
      </w:r>
      <w:r>
        <w:rPr>
          <w:rFonts w:hint="eastAsia" w:ascii="宋体" w:hAnsi="宋体"/>
          <w:color w:val="auto"/>
          <w:sz w:val="24"/>
          <w:highlight w:val="none"/>
        </w:rPr>
        <w:t xml:space="preserve">供应商）：合同中规定的向采购人提供货物和服务的法人或其他组织和自然人。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2.8货物：系指乙方按招标文件规定，应向甲方提供的一切设备、备品、备件、工具、手册</w:t>
      </w:r>
      <w:r>
        <w:rPr>
          <w:rFonts w:hint="eastAsia" w:ascii="宋体" w:hAnsi="宋体"/>
          <w:color w:val="auto"/>
          <w:sz w:val="24"/>
          <w:highlight w:val="none"/>
          <w:lang w:eastAsia="zh-CN"/>
        </w:rPr>
        <w:t xml:space="preserve">及其他有关</w:t>
      </w:r>
      <w:r>
        <w:rPr>
          <w:rFonts w:hint="eastAsia" w:ascii="宋体" w:hAnsi="宋体"/>
          <w:color w:val="auto"/>
          <w:sz w:val="24"/>
          <w:highlight w:val="none"/>
        </w:rPr>
        <w:t xml:space="preserve">技术资料和材料。</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2.9服务：系指本次招标文件规定乙方应承担的与提供货物和服务有关的辅助服务，比如运输、保险、安装、调试、提供技术援助、培训、配合措施、维修响应及合同中规定乙方应承担的</w:t>
      </w:r>
      <w:r>
        <w:rPr>
          <w:rFonts w:hint="eastAsia" w:ascii="宋体" w:hAnsi="宋体"/>
          <w:color w:val="auto"/>
          <w:sz w:val="24"/>
          <w:highlight w:val="none"/>
          <w:lang w:eastAsia="zh-CN"/>
        </w:rPr>
        <w:t xml:space="preserve">其他义务</w:t>
      </w:r>
      <w:r>
        <w:rPr>
          <w:rFonts w:hint="eastAsia" w:ascii="宋体" w:hAnsi="宋体"/>
          <w:color w:val="auto"/>
          <w:sz w:val="24"/>
          <w:highlight w:val="none"/>
        </w:rPr>
        <w:t xml:space="preserve">。</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2.10知识产权：指专利权、商标权、著作权等无形财产专有权的统称。</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2.11天：日历日；时间：除特别说明，均指北京时间。</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2.12地点：合同中明确约定的乙方提交的货物和履行服务最终地点。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2.13合同价款：根据合同规定，乙方在正确地履行合同义务后甲方应支付乙方的价款。</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2.14不可抗力：不能预见、不能避免并且不能克服的客观情况。</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2.15实质性响应：满足有关本次采购标的、数量、质量、价款或者报酬、履行期限、履行地点和方式、违约责任和解决争议方法等要求。</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2.16书面形式：指书面文字、合同书、信件和传真等可以有形地表现所载内容的形式。</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2.17进口产品：</w:t>
      </w:r>
      <w:r>
        <w:rPr>
          <w:rFonts w:hint="eastAsia" w:ascii="宋体" w:hAnsi="宋体"/>
          <w:color w:val="auto"/>
          <w:sz w:val="24"/>
          <w:highlight w:val="none"/>
          <w:lang w:eastAsia="zh-CN"/>
        </w:rPr>
        <w:t xml:space="preserve">指</w:t>
      </w:r>
      <w:r>
        <w:rPr>
          <w:rFonts w:hint="eastAsia" w:ascii="宋体" w:hAnsi="宋体"/>
          <w:color w:val="auto"/>
          <w:sz w:val="24"/>
          <w:highlight w:val="none"/>
        </w:rPr>
        <w:t xml:space="preserve">通过中国海关报关验放进入中国境内且产自关境外的产品。</w:t>
      </w:r>
      <w:r/>
    </w:p>
    <w:p>
      <w:pPr>
        <w:ind w:left="307" w:hanging="307"/>
        <w:spacing w:line="360" w:lineRule="auto"/>
        <w:rPr>
          <w:rFonts w:hint="eastAsia" w:ascii="宋体" w:hAnsi="宋体"/>
          <w:color w:val="auto"/>
          <w:sz w:val="24"/>
          <w:highlight w:val="none"/>
        </w:rPr>
      </w:pPr>
      <w:r>
        <w:rPr>
          <w:rFonts w:hint="eastAsia" w:ascii="宋体" w:hAnsi="宋体"/>
          <w:color w:val="auto"/>
          <w:sz w:val="24"/>
          <w:highlight w:val="none"/>
        </w:rPr>
        <w:t xml:space="preserve">二、投标人</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3.合格投标人的资格条件：</w:t>
      </w:r>
      <w:r/>
    </w:p>
    <w:p>
      <w:pPr>
        <w:pStyle w:val="820"/>
        <w:ind w:left="0" w:firstLine="0"/>
        <w:spacing w:before="0" w:after="0" w:line="360" w:lineRule="auto"/>
        <w:rPr>
          <w:rFonts w:hint="eastAsia" w:ascii="宋体" w:hAnsi="宋体" w:eastAsia="宋体" w:cs="Times New Roman"/>
          <w:color w:val="auto"/>
          <w:sz w:val="24"/>
          <w:szCs w:val="22"/>
          <w:highlight w:val="none"/>
          <w:lang w:val="en-US" w:eastAsia="zh-CN" w:bidi="ar-SA"/>
        </w:rPr>
      </w:pPr>
      <w:r>
        <w:rPr>
          <w:rFonts w:hint="eastAsia" w:ascii="宋体" w:hAnsi="宋体"/>
          <w:color w:val="auto"/>
          <w:sz w:val="24"/>
          <w:highlight w:val="none"/>
        </w:rPr>
        <w:t xml:space="preserve">3.1</w:t>
      </w:r>
      <w:r>
        <w:rPr>
          <w:rFonts w:hint="eastAsia" w:ascii="宋体" w:hAnsi="宋体" w:eastAsia="宋体" w:cs="Times New Roman"/>
          <w:color w:val="auto"/>
          <w:sz w:val="24"/>
          <w:szCs w:val="22"/>
          <w:highlight w:val="none"/>
          <w:lang w:val="en-US" w:eastAsia="zh-CN" w:bidi="ar-SA"/>
        </w:rPr>
        <w:t xml:space="preserve">满足《中华人民共和国政府采购法》第二十二条规定，投标人应当具备下列条件：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3.1.1</w:t>
      </w:r>
      <w:r>
        <w:rPr>
          <w:rFonts w:hint="eastAsia" w:ascii="宋体" w:hAnsi="宋体"/>
          <w:color w:val="auto"/>
          <w:sz w:val="24"/>
          <w:highlight w:val="none"/>
        </w:rPr>
        <w:t xml:space="preserve">具有独立承担民事责任的能力。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2具有良好的商业信誉和健全的财务会计制度。</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3具有履行合同所必需的设备和专业技术能力。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4有依法缴纳税收和社会保障资金的良好记录。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5参加政府采购活动前三年内，在经营活动中没有重大违法记录。</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6法律、行政法规规定的其他条件。</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3.2</w:t>
      </w:r>
      <w:r>
        <w:rPr>
          <w:rFonts w:hint="eastAsia" w:ascii="宋体" w:hAnsi="宋体"/>
          <w:color w:val="auto"/>
          <w:sz w:val="24"/>
          <w:highlight w:val="none"/>
        </w:rPr>
        <w:t xml:space="preserve">落实政府采购政策需满足的资格要求：</w:t>
      </w:r>
      <w:r>
        <w:rPr>
          <w:rFonts w:hint="eastAsia" w:ascii="宋体" w:hAnsi="宋体" w:cs="宋体"/>
          <w:color w:val="auto"/>
          <w:sz w:val="24"/>
          <w:szCs w:val="24"/>
          <w:highlight w:val="none"/>
        </w:rPr>
        <w:t xml:space="preserve">根据《关于印发〈苏州市政府采购促进中小企业发展实施意见〉的通知》的相关规定，本项目专门面向中小企业采购</w:t>
      </w:r>
      <w:r>
        <w:rPr>
          <w:rFonts w:hint="eastAsia" w:ascii="宋体" w:hAnsi="宋体" w:cs="宋体"/>
          <w:color w:val="auto"/>
          <w:sz w:val="24"/>
          <w:szCs w:val="24"/>
          <w:highlight w:val="none"/>
          <w:lang w:eastAsia="zh-CN"/>
        </w:rPr>
        <w:t xml:space="preserve">，所属行业为其他未列明行业；</w:t>
      </w:r>
      <w:r>
        <w:rPr>
          <w:rFonts w:hint="eastAsia" w:ascii="宋体" w:hAnsi="宋体" w:cs="宋体"/>
          <w:color w:val="auto"/>
          <w:sz w:val="24"/>
          <w:szCs w:val="24"/>
          <w:highlight w:val="none"/>
        </w:rPr>
        <w:t xml:space="preserve">投标人必须提供《中小企业声明函》或《残疾人福利性单位声明函》或由省级以上监狱管理局、戒毒管理局（含新疆生产建设兵团）出具的属于监狱企业的证明文件</w:t>
      </w:r>
      <w:r>
        <w:rPr>
          <w:rFonts w:hint="eastAsia" w:ascii="宋体" w:hAnsi="宋体"/>
          <w:color w:val="auto"/>
          <w:sz w:val="24"/>
          <w:highlight w:val="none"/>
        </w:rPr>
        <w:t xml:space="preserve">。</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3.3本项目的特定资格要求：</w:t>
      </w:r>
      <w:r/>
    </w:p>
    <w:p>
      <w:pPr>
        <w:jc w:val="left"/>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3.3.1</w:t>
      </w:r>
      <w:r>
        <w:rPr>
          <w:rFonts w:ascii="宋体" w:hAnsi="宋体" w:cs="宋体"/>
          <w:color w:val="auto"/>
          <w:sz w:val="24"/>
          <w:szCs w:val="24"/>
          <w:highlight w:val="none"/>
        </w:rPr>
        <w:t xml:space="preserve">未被“信用中国”网站（www.creditchina.gov.cn）列入失信被执行人、重大税收违法案件当事人名单、政府采购严重失信行为记录名单。</w:t>
      </w:r>
      <w:r/>
    </w:p>
    <w:p>
      <w:pPr>
        <w:jc w:val="left"/>
        <w:spacing w:line="360" w:lineRule="auto"/>
        <w:rPr>
          <w:rFonts w:hint="eastAsia"/>
          <w:color w:val="auto"/>
          <w:highlight w:val="none"/>
          <w:lang w:eastAsia="zh-CN"/>
        </w:rPr>
      </w:pPr>
      <w:r>
        <w:rPr>
          <w:rFonts w:hint="eastAsia" w:ascii="宋体" w:hAnsi="宋体" w:cs="宋体"/>
          <w:color w:val="auto"/>
          <w:sz w:val="24"/>
          <w:szCs w:val="24"/>
          <w:highlight w:val="none"/>
          <w:lang w:val="en-US" w:eastAsia="zh-CN"/>
        </w:rPr>
        <w:t xml:space="preserve">3.3.2</w:t>
      </w:r>
      <w:r>
        <w:rPr>
          <w:rFonts w:hint="eastAsia" w:ascii="宋体" w:hAnsi="宋体" w:cs="宋体"/>
          <w:color w:val="auto"/>
          <w:sz w:val="24"/>
          <w:highlight w:val="none"/>
        </w:rPr>
        <w:t xml:space="preserve">单位负责人为同一人或者存在直接控股、管理关系的不同供应商（包含法定代表人为同一个人的两个及两个以上法人，母公司、全资子公司及其控股公司），不得参加同一合同项下的政府采购活动。</w:t>
      </w:r>
      <w:r/>
    </w:p>
    <w:p>
      <w:pPr>
        <w:spacing w:line="360" w:lineRule="auto"/>
        <w:rPr>
          <w:rFonts w:hint="eastAsia" w:ascii="宋体" w:hAnsi="宋体"/>
          <w:color w:val="auto"/>
          <w:sz w:val="24"/>
          <w:highlight w:val="none"/>
        </w:rPr>
      </w:pPr>
      <w:r>
        <w:rPr>
          <w:rFonts w:hint="eastAsia" w:ascii="宋体" w:hAnsi="宋体"/>
          <w:color w:val="auto"/>
          <w:sz w:val="24"/>
          <w:szCs w:val="24"/>
          <w:highlight w:val="none"/>
          <w:lang w:val="en-US" w:eastAsia="zh-CN"/>
        </w:rPr>
        <w:t xml:space="preserve">4.</w:t>
      </w:r>
      <w:r>
        <w:rPr>
          <w:rFonts w:hint="eastAsia" w:ascii="宋体" w:hAnsi="宋体"/>
          <w:color w:val="auto"/>
          <w:sz w:val="24"/>
          <w:highlight w:val="none"/>
        </w:rPr>
        <w:t xml:space="preserve">投标人必须通过网上报名系统进行本项目的网上电子报名，否则不能参加本次招标活动。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5.投标人代表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5.1指授权全权代表投标人参加投标活动并签署投标文件的人，如果投标人代表不是法定代表人，须持有《法人授权委托书》（详见统一格式）。</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6.投标费用</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无论投标过程的做法和结果如何，投标人自行承担所有与参加投标有关的全部费用。</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7.</w:t>
      </w:r>
      <w:r>
        <w:rPr>
          <w:rFonts w:hint="eastAsia" w:ascii="宋体" w:hAnsi="宋体" w:cs="宋体"/>
          <w:color w:val="auto"/>
          <w:sz w:val="24"/>
          <w:szCs w:val="24"/>
          <w:highlight w:val="none"/>
        </w:rPr>
        <w:t xml:space="preserve">联合、进口投标及转包、分包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.1本项目不接受联合体投标。</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.2本项目不接受转包、分包。</w:t>
      </w:r>
      <w:r/>
    </w:p>
    <w:p>
      <w:pPr>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.3本项目不接受进口产品。</w:t>
      </w:r>
      <w:r/>
    </w:p>
    <w:p>
      <w:pPr>
        <w:spacing w:line="360" w:lineRule="auto"/>
        <w:rPr>
          <w:rFonts w:hint="eastAsia" w:ascii="宋体" w:hAnsi="宋体"/>
          <w:color w:val="auto"/>
          <w:sz w:val="24"/>
          <w:highlight w:val="none"/>
        </w:rPr>
        <w:outlineLvl w:val="0"/>
      </w:pPr>
      <w:r>
        <w:rPr>
          <w:rFonts w:hint="eastAsia" w:ascii="宋体" w:hAnsi="宋体"/>
          <w:color w:val="auto"/>
          <w:sz w:val="24"/>
          <w:highlight w:val="none"/>
        </w:rPr>
        <w:t xml:space="preserve">三、招标文件的说明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8.招标文件</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8.1招标文件由招标文件目录所列内容组成，投标人获取招标文件后，应仔细检查招标文件的所有内容。投标人同时应认真审阅招标文件中所有的事项、格式、条款和规范要求等，若投标人的投标文件没有按招标文件要求提交全部资料，或投标文件没有对招标文件做出实质性响应，其风险由投标人自行承担，并根据有关条款规定，该投标有可能被拒绝。</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8.2招标文件及其补充通知（包括更正公告）不是直接从指定的政府采购信息发布媒体上下载获得的，采购人或采购代理机构对招标文件及其补遗的真实性、完整性不承担任何责任。</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9.采购文件的澄清、修改</w:t>
      </w:r>
      <w:r/>
    </w:p>
    <w:p>
      <w:pPr>
        <w:pStyle w:val="796"/>
        <w:ind w:left="0" w:firstLine="0"/>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9.1采购人或采购代理机构无论出于自己的考虑，还是出于对投标人提问的澄清，均可对已发出的采购文件进行必要澄清或者修改，并发布澄清（修改）公告。</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9.2为使投标人有足够的时间按采购文件的修改要求考虑修正投标文件，或出于其他原因，采购代理机构有权推迟投标截止日期和开标日期。</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9.3采购代理机构对采购文件的澄清或者修改，将以补充通知的形式在网上发布公告；供应商应及时关注政府采购信息发布媒体上发布的更正（补充）公告，同时在“苏采云”系统中下载更正（补充）资料，如有遗漏（包括但不限于文件未下载或下载不完整），可能无法解密投标文件，由此所造成的投标失败或损失由供应商自行负责</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补充通知（包括更正公告）将作为招标文件的组成部分，对所有投标人有约束力。</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10.勘察现场</w:t>
      </w:r>
      <w:r>
        <w:rPr>
          <w:rFonts w:hint="eastAsia" w:ascii="宋体" w:hAnsi="宋体" w:cs="宋体"/>
          <w:bCs/>
          <w:color w:val="auto"/>
          <w:sz w:val="24"/>
          <w:highlight w:val="none"/>
        </w:rPr>
        <w:t xml:space="preserve">（不涉及此条的忽略）</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10.1根据自身投标需要，投标人可对有关现场和周围环境进行勘察，以获取编制投标文件和签署合同所需的信息。勘察现场所发生的费用由投标人自己承担。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10.2采购人或采购代理机构向投标人提供的有关现场的资料和数据，是采购人或采购代理机构现有的并认为能使投标人可利用的资料。采购人或采购代理机构对投标人由此而做出的推论、理解和结论概不负责。</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10.3经采购人允许，投标人可为勘察目的进入采购人的项目现场，但投标人不得因此使采购人承担有关的责任和蒙受损失。投标人应承担勘察现场的责任和风险。</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10.4投标人应在现场勘察时，熟悉现场及周围交通道路等情况，以获得一切可能影响其投标的直接资料。投标人中标后，不得以不完全了解现场情况为理由而向采购人或采购代理机构提出任何索赔的要求，对此采购人或采购代理机构不承担任何责任并将不作任何答复与考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11.质疑</w:t>
      </w:r>
      <w:r/>
    </w:p>
    <w:p>
      <w:pPr>
        <w:spacing w:line="360" w:lineRule="auto"/>
        <w:rPr>
          <w:rFonts w:hint="eastAsia" w:ascii="宋体" w:hAnsi="宋体" w:cs="宋体"/>
          <w:bCs/>
          <w:color w:val="auto"/>
          <w:sz w:val="24"/>
          <w:szCs w:val="24"/>
          <w:highlight w:val="none"/>
        </w:rPr>
      </w:pPr>
      <w:r>
        <w:rPr>
          <w:rFonts w:hint="eastAsia" w:ascii="宋体" w:hAnsi="宋体" w:cs="宋体"/>
          <w:color w:val="auto"/>
          <w:sz w:val="24"/>
          <w:szCs w:val="24"/>
          <w:highlight w:val="none"/>
        </w:rPr>
        <w:t xml:space="preserve">11.1供应商认为招标文件、采购过程、中标结果使自己的权益受到损害的，可以在知道或者应知其权益受到损害之日起7个工作日内，以书面形式向采购人、采购代理机构提出质</w:t>
      </w:r>
      <w:r>
        <w:rPr>
          <w:rFonts w:hint="eastAsia" w:ascii="宋体" w:hAnsi="宋体" w:cs="宋体"/>
          <w:bCs/>
          <w:color w:val="auto"/>
          <w:sz w:val="24"/>
          <w:szCs w:val="24"/>
          <w:highlight w:val="none"/>
        </w:rPr>
        <w:t xml:space="preserve">疑。招标代理机构应当在收到投标人书面质疑后七个工作日内作出答复。</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11.2根据《政府采购质疑和投诉办法》财政部第94号令第十一条规定，提出质疑的供应商应当是参与所质疑项目采购活动的供应商。因此凡是对采购文件提出质疑的供应商，</w:t>
      </w:r>
      <w:r>
        <w:rPr>
          <w:rFonts w:hint="eastAsia" w:ascii="宋体" w:hAnsi="宋体" w:cs="宋体"/>
          <w:bCs/>
          <w:color w:val="auto"/>
          <w:sz w:val="24"/>
          <w:szCs w:val="24"/>
          <w:highlight w:val="none"/>
          <w:lang w:eastAsia="zh-CN"/>
        </w:rPr>
        <w:t xml:space="preserve">必须</w:t>
      </w:r>
      <w:r>
        <w:rPr>
          <w:rFonts w:hint="eastAsia" w:ascii="宋体" w:hAnsi="宋体" w:cs="宋体"/>
          <w:bCs/>
          <w:color w:val="auto"/>
          <w:sz w:val="24"/>
          <w:szCs w:val="24"/>
          <w:highlight w:val="none"/>
        </w:rPr>
        <w:t xml:space="preserve">依法获取采购文件，并请将符合资格条件的证明材料及网上报名的报名页面材料与质疑函一起递交，否则不予受理。</w:t>
      </w:r>
      <w:r/>
    </w:p>
    <w:p>
      <w:pPr>
        <w:spacing w:line="360" w:lineRule="auto"/>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11.3本次招标文件要求供应商在法定质疑期内一次性提出针对同一采购程序环节的质疑。</w:t>
      </w:r>
      <w:r/>
    </w:p>
    <w:p>
      <w:pPr>
        <w:spacing w:line="360" w:lineRule="auto"/>
        <w:rPr>
          <w:rFonts w:hint="eastAsia" w:ascii="宋体" w:hAnsi="宋体" w:cs="宋体"/>
          <w:color w:val="auto"/>
          <w:sz w:val="24"/>
          <w:szCs w:val="24"/>
          <w:highlight w:val="none"/>
        </w:rPr>
      </w:pPr>
      <w:r>
        <w:rPr>
          <w:rFonts w:hint="eastAsia" w:ascii="宋体" w:hAnsi="宋体" w:cs="宋体"/>
          <w:bCs/>
          <w:color w:val="auto"/>
          <w:sz w:val="24"/>
          <w:szCs w:val="24"/>
          <w:highlight w:val="none"/>
        </w:rPr>
        <w:t xml:space="preserve">11.4</w:t>
      </w:r>
      <w:r>
        <w:rPr>
          <w:rFonts w:hint="eastAsia" w:ascii="宋体" w:hAnsi="宋体" w:cs="宋体"/>
          <w:color w:val="auto"/>
          <w:sz w:val="24"/>
          <w:szCs w:val="24"/>
          <w:highlight w:val="none"/>
        </w:rPr>
        <w:t xml:space="preserve">供应商提出质疑应当提交质疑函和必要的证明材料。质疑函应当包括下列内容：</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11.4.1供应商的姓名或者名称（以</w:t>
      </w:r>
      <w:r>
        <w:rPr>
          <w:rFonts w:hint="eastAsia" w:ascii="宋体" w:hAnsi="宋体" w:cs="宋体"/>
          <w:color w:val="auto"/>
          <w:sz w:val="24"/>
          <w:szCs w:val="24"/>
          <w:highlight w:val="none"/>
          <w:lang w:eastAsia="zh-CN"/>
        </w:rPr>
        <w:t xml:space="preserve">提供的</w:t>
      </w:r>
      <w:r>
        <w:rPr>
          <w:rFonts w:hint="eastAsia" w:ascii="宋体" w:hAnsi="宋体" w:cs="宋体"/>
          <w:color w:val="auto"/>
          <w:sz w:val="24"/>
          <w:szCs w:val="24"/>
          <w:highlight w:val="none"/>
        </w:rPr>
        <w:t xml:space="preserve">营业执照副本复印件为准）、地址、邮编、联系人及联系电话；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11.4.2质疑项目的名称、编号；</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11.4.3具体、明确的质疑事项和与质疑事项相关的请求；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11.4.4事实依据；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11.4.5必要的法律依据；</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11.4.6提出质疑的日期。</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11.5相关说明</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lang w:val="en-US" w:eastAsia="zh-CN"/>
        </w:rPr>
        <w:t xml:space="preserve">11.5.1</w:t>
      </w:r>
      <w:r>
        <w:rPr>
          <w:rFonts w:hint="eastAsia" w:ascii="宋体" w:hAnsi="宋体" w:cs="宋体"/>
          <w:color w:val="auto"/>
          <w:sz w:val="24"/>
          <w:szCs w:val="24"/>
          <w:highlight w:val="none"/>
        </w:rPr>
        <w:t xml:space="preserve">供应商为自然人的，应当由本人签字；供应商为法人或者其他组织的，应当由法定代表人、主要负责人，或者其授权代表签字或者盖章，并加盖公章。供应商委托代理</w:t>
      </w:r>
      <w:r>
        <w:rPr>
          <w:rFonts w:hint="eastAsia" w:ascii="宋体" w:hAnsi="宋体" w:cs="宋体"/>
          <w:color w:val="auto"/>
          <w:sz w:val="24"/>
          <w:szCs w:val="24"/>
          <w:highlight w:val="none"/>
          <w:lang w:eastAsia="zh-CN"/>
        </w:rPr>
        <w:t xml:space="preserve">人</w:t>
      </w:r>
      <w:r>
        <w:rPr>
          <w:rFonts w:hint="eastAsia" w:ascii="宋体" w:hAnsi="宋体" w:cs="宋体"/>
          <w:color w:val="auto"/>
          <w:sz w:val="24"/>
          <w:szCs w:val="24"/>
          <w:highlight w:val="none"/>
        </w:rPr>
        <w:t xml:space="preserve">进行质疑的，其授权委托书上应当载明代理人的姓名或者名称、代理事项、具体权限、期限和相关事项</w:t>
      </w:r>
      <w:r>
        <w:rPr>
          <w:rFonts w:hint="eastAsia" w:ascii="宋体" w:hAnsi="宋体"/>
          <w:color w:val="auto"/>
          <w:sz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11.5.2</w:t>
      </w:r>
      <w:r>
        <w:rPr>
          <w:rFonts w:hint="eastAsia" w:ascii="宋体" w:hAnsi="宋体" w:cs="宋体"/>
          <w:color w:val="auto"/>
          <w:sz w:val="24"/>
          <w:szCs w:val="24"/>
          <w:highlight w:val="none"/>
        </w:rPr>
        <w:t xml:space="preserve">供应商提交的质疑函必须按照《政府采购供应商质疑函范本》要求的格式和内容进行填写，质疑函范本下载网址详见链接：https://czju.suzhou.gov.cn/zfcg/html/content/20180305093615738.shtml。</w:t>
      </w:r>
      <w:r/>
    </w:p>
    <w:p>
      <w:pPr>
        <w:spacing w:line="360" w:lineRule="auto"/>
        <w:rPr>
          <w:rFonts w:hint="eastAsia" w:ascii="宋体" w:hAnsi="宋体"/>
          <w:color w:val="auto"/>
          <w:sz w:val="24"/>
          <w:highlight w:val="none"/>
          <w:lang w:val="en-US" w:eastAsia="zh-CN"/>
        </w:rPr>
      </w:pPr>
      <w:r>
        <w:rPr>
          <w:rFonts w:hint="eastAsia" w:ascii="宋体" w:hAnsi="宋体"/>
          <w:color w:val="auto"/>
          <w:sz w:val="24"/>
          <w:highlight w:val="none"/>
          <w:lang w:val="en-US" w:eastAsia="zh-CN"/>
        </w:rPr>
        <w:t xml:space="preserve">11.5.3接收质疑函方式：书面形式（现场送达或邮寄）</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地</w:t>
      </w:r>
      <w:r>
        <w:rPr>
          <w:rFonts w:hint="eastAsia" w:ascii="宋体" w:hAnsi="宋体"/>
          <w:color w:val="auto"/>
          <w:sz w:val="24"/>
          <w:highlight w:val="none"/>
          <w:lang w:eastAsia="zh-CN"/>
        </w:rPr>
        <w:t xml:space="preserve">址（现场递交、邮寄收取）</w:t>
      </w:r>
      <w:r>
        <w:rPr>
          <w:rFonts w:hint="eastAsia" w:ascii="宋体" w:hAnsi="宋体"/>
          <w:color w:val="auto"/>
          <w:sz w:val="24"/>
          <w:highlight w:val="none"/>
        </w:rPr>
        <w:t xml:space="preserve">：苏州市滨河路锦和越界X2创意街区3B 512室；</w:t>
      </w:r>
      <w:r/>
    </w:p>
    <w:p>
      <w:pPr>
        <w:spacing w:line="360" w:lineRule="auto"/>
        <w:rPr>
          <w:rFonts w:hint="eastAsia" w:ascii="宋体" w:hAnsi="宋体"/>
          <w:color w:val="auto"/>
          <w:sz w:val="24"/>
          <w:highlight w:val="none"/>
        </w:rPr>
      </w:pPr>
      <w:r>
        <w:rPr>
          <w:rFonts w:hint="eastAsia" w:ascii="宋体" w:hAnsi="宋体"/>
          <w:color w:val="auto"/>
          <w:sz w:val="24"/>
          <w:highlight w:val="none"/>
          <w:lang w:eastAsia="zh-CN"/>
        </w:rPr>
        <w:t xml:space="preserve">联系人</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电话：</w:t>
      </w:r>
      <w:r>
        <w:rPr>
          <w:rFonts w:hint="eastAsia" w:ascii="宋体" w:hAnsi="宋体"/>
          <w:color w:val="auto"/>
          <w:sz w:val="24"/>
          <w:szCs w:val="24"/>
          <w:highlight w:val="none"/>
          <w:lang w:eastAsia="zh-CN"/>
        </w:rPr>
        <w:t xml:space="preserve">姚佳雯</w:t>
      </w:r>
      <w:r>
        <w:rPr>
          <w:rFonts w:hint="eastAsia" w:ascii="宋体" w:hAnsi="宋体"/>
          <w:color w:val="auto"/>
          <w:sz w:val="24"/>
          <w:highlight w:val="none"/>
          <w:lang w:val="en-US" w:eastAsia="zh-CN"/>
        </w:rPr>
        <w:t xml:space="preserve">/</w:t>
      </w:r>
      <w:r>
        <w:rPr>
          <w:rFonts w:hint="eastAsia" w:ascii="宋体" w:hAnsi="宋体"/>
          <w:color w:val="auto"/>
          <w:sz w:val="24"/>
          <w:highlight w:val="none"/>
        </w:rPr>
        <w:t xml:space="preserve">0512-65274327</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四、投标文件说明</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12.提示与要求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12.1投标人应仔细阅读招标文件的所有内容，</w:t>
      </w:r>
      <w:r>
        <w:rPr>
          <w:rFonts w:hint="eastAsia" w:ascii="宋体" w:hAnsi="宋体" w:cs="宋体"/>
          <w:color w:val="auto"/>
          <w:sz w:val="24"/>
          <w:szCs w:val="24"/>
          <w:highlight w:val="none"/>
          <w:lang w:eastAsia="zh-CN"/>
        </w:rPr>
        <w:t xml:space="preserve">应当</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lang w:eastAsia="zh-CN"/>
        </w:rPr>
        <w:t xml:space="preserve">照</w:t>
      </w:r>
      <w:r>
        <w:rPr>
          <w:rFonts w:hint="eastAsia" w:ascii="宋体" w:hAnsi="宋体" w:cs="宋体"/>
          <w:color w:val="auto"/>
          <w:sz w:val="24"/>
          <w:szCs w:val="24"/>
          <w:highlight w:val="none"/>
        </w:rPr>
        <w:t xml:space="preserve">招标文件的要求</w:t>
      </w:r>
      <w:r>
        <w:rPr>
          <w:rFonts w:hint="eastAsia" w:ascii="宋体" w:hAnsi="宋体" w:cs="宋体"/>
          <w:color w:val="auto"/>
          <w:sz w:val="24"/>
          <w:szCs w:val="24"/>
          <w:highlight w:val="none"/>
          <w:lang w:eastAsia="zh-CN"/>
        </w:rPr>
        <w:t xml:space="preserve">编制</w:t>
      </w:r>
      <w:r>
        <w:rPr>
          <w:rFonts w:hint="eastAsia" w:ascii="宋体" w:hAnsi="宋体" w:cs="宋体"/>
          <w:color w:val="auto"/>
          <w:sz w:val="24"/>
          <w:szCs w:val="24"/>
          <w:highlight w:val="none"/>
        </w:rPr>
        <w:t xml:space="preserve">投标文件，并保证所提供的全部资料的真实性，以使其投标对招标文件作出实质性响应，否则，其投标可能被拒绝。</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12.2无论是否提交并递交投标文件，投标人都应将招标文件及以后的所有通知、文件等视为保密文件。</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12.3投标文件中所使用的计量单位，除招标文件中有特殊要求外，应采用中华人民共和国法定计量单位。</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12.4投标文件应使用中文编制，投标文件中必须使用其他文字的，必须附有中文译本。对于未附有中文译本和中文译本不准确的投标文件，由此引起的对投标人不利后果的，招标代理机构概不负责。</w:t>
      </w:r>
      <w:r/>
    </w:p>
    <w:p>
      <w:pPr>
        <w:numPr>
          <w:ilvl w:val="0"/>
          <w:numId w:val="0"/>
        </w:numPr>
        <w:spacing w:line="360" w:lineRule="auto"/>
        <w:rPr>
          <w:rFonts w:hint="eastAsia" w:ascii="宋体" w:hAnsi="宋体" w:cs="宋体"/>
          <w:b/>
          <w:bCs/>
          <w:color w:val="auto"/>
          <w:sz w:val="24"/>
          <w:szCs w:val="20"/>
          <w:highlight w:val="none"/>
        </w:rPr>
      </w:pPr>
      <w:r>
        <w:rPr>
          <w:rFonts w:hint="eastAsia" w:ascii="宋体" w:hAnsi="宋体"/>
          <w:b/>
          <w:bCs/>
          <w:color w:val="auto"/>
          <w:sz w:val="24"/>
          <w:highlight w:val="none"/>
          <w:lang w:val="en-US" w:eastAsia="zh-CN"/>
        </w:rPr>
        <w:t xml:space="preserve">13.</w:t>
      </w:r>
      <w:r>
        <w:rPr>
          <w:rFonts w:hint="eastAsia" w:ascii="宋体" w:hAnsi="宋体"/>
          <w:b/>
          <w:bCs/>
          <w:color w:val="auto"/>
          <w:sz w:val="24"/>
          <w:highlight w:val="none"/>
        </w:rPr>
        <w:t xml:space="preserve">投标文件的组成（部分格式见第三章）</w:t>
      </w:r>
      <w:r>
        <w:rPr>
          <w:rFonts w:hint="eastAsia" w:ascii="宋体" w:hAnsi="宋体" w:cs="宋体"/>
          <w:b/>
          <w:bCs/>
          <w:color w:val="auto"/>
          <w:sz w:val="24"/>
          <w:szCs w:val="20"/>
          <w:highlight w:val="none"/>
        </w:rPr>
        <w:t xml:space="preserve">【所提交资料包含但不限于下列内容；排序按照苏采云系统顺序】</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13</w:t>
      </w:r>
      <w:r>
        <w:rPr>
          <w:rFonts w:hint="eastAsia" w:ascii="宋体" w:hAnsi="宋体" w:cs="宋体"/>
          <w:color w:val="auto"/>
          <w:sz w:val="24"/>
          <w:highlight w:val="none"/>
        </w:rPr>
        <w:t xml:space="preserve">.</w:t>
      </w:r>
      <w:r>
        <w:rPr>
          <w:rFonts w:hint="eastAsia" w:ascii="宋体" w:hAnsi="宋体" w:cs="宋体"/>
          <w:color w:val="auto"/>
          <w:sz w:val="24"/>
          <w:highlight w:val="none"/>
          <w:lang w:val="en-US" w:eastAsia="zh-CN"/>
        </w:rPr>
        <w:t xml:space="preserve">1</w:t>
      </w:r>
      <w:r>
        <w:rPr>
          <w:rFonts w:hint="eastAsia" w:ascii="宋体" w:hAnsi="宋体" w:cs="宋体"/>
          <w:color w:val="auto"/>
          <w:sz w:val="24"/>
          <w:highlight w:val="none"/>
        </w:rPr>
        <w:t xml:space="preserve">封面；</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开标一览表（按投标系统内统一格式）；</w:t>
      </w:r>
      <w:r/>
    </w:p>
    <w:p>
      <w:pPr>
        <w:spacing w:line="360" w:lineRule="auto"/>
        <w:rPr>
          <w:rFonts w:hint="eastAsia" w:ascii="宋体" w:hAnsi="宋体" w:eastAsia="宋体"/>
          <w:color w:val="auto"/>
          <w:sz w:val="24"/>
          <w:highlight w:val="none"/>
          <w:lang w:eastAsia="zh-CN"/>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3</w:t>
      </w:r>
      <w:r>
        <w:rPr>
          <w:rFonts w:hint="eastAsia" w:ascii="宋体" w:hAnsi="宋体"/>
          <w:color w:val="auto"/>
          <w:sz w:val="24"/>
          <w:highlight w:val="none"/>
          <w:lang w:eastAsia="zh-CN"/>
        </w:rPr>
        <w:t xml:space="preserve">公开分项报价</w:t>
      </w:r>
      <w:r>
        <w:rPr>
          <w:rFonts w:hint="eastAsia" w:ascii="宋体" w:hAnsi="宋体"/>
          <w:color w:val="auto"/>
          <w:sz w:val="24"/>
          <w:highlight w:val="none"/>
        </w:rPr>
        <w:t xml:space="preserve">表</w:t>
      </w:r>
      <w:r>
        <w:rPr>
          <w:rFonts w:hint="eastAsia" w:ascii="宋体" w:hAnsi="宋体"/>
          <w:color w:val="auto"/>
          <w:sz w:val="24"/>
          <w:highlight w:val="none"/>
          <w:lang w:eastAsia="zh-CN"/>
        </w:rPr>
        <w:t xml:space="preserve">。</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4</w:t>
      </w:r>
      <w:r>
        <w:rPr>
          <w:rFonts w:hint="eastAsia" w:ascii="宋体" w:hAnsi="宋体" w:cs="宋体"/>
          <w:b/>
          <w:bCs/>
          <w:color w:val="auto"/>
          <w:sz w:val="24"/>
          <w:szCs w:val="24"/>
          <w:highlight w:val="none"/>
        </w:rPr>
        <w:t xml:space="preserve">资格</w:t>
      </w:r>
      <w:r>
        <w:rPr>
          <w:rFonts w:hint="eastAsia" w:ascii="宋体" w:hAnsi="宋体" w:cs="宋体"/>
          <w:b/>
          <w:bCs/>
          <w:color w:val="auto"/>
          <w:sz w:val="24"/>
          <w:szCs w:val="24"/>
          <w:highlight w:val="none"/>
          <w:lang w:eastAsia="zh-CN"/>
        </w:rPr>
        <w:t xml:space="preserve">审查文件</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关于资格文件的声明函（格式见第三章）；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s="宋体"/>
          <w:color w:val="auto"/>
          <w:sz w:val="24"/>
          <w:szCs w:val="24"/>
          <w:highlight w:val="none"/>
          <w:lang w:val="en-US" w:eastAsia="zh-CN"/>
        </w:rPr>
        <w:t xml:space="preserve">2</w:t>
      </w:r>
      <w:r>
        <w:rPr>
          <w:rFonts w:hint="eastAsia" w:ascii="宋体" w:hAnsi="宋体" w:cs="宋体"/>
          <w:color w:val="auto"/>
          <w:sz w:val="24"/>
          <w:szCs w:val="24"/>
          <w:highlight w:val="none"/>
        </w:rPr>
        <w:t xml:space="preserve">投标单位情况表；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3</w:t>
      </w:r>
      <w:r>
        <w:rPr>
          <w:rFonts w:hint="eastAsia" w:ascii="宋体" w:hAnsi="宋体" w:cs="宋体"/>
          <w:color w:val="auto"/>
          <w:sz w:val="24"/>
          <w:szCs w:val="24"/>
          <w:highlight w:val="none"/>
        </w:rPr>
        <w:t xml:space="preserve">投标人法定代表人身份证复印件；</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olor w:val="auto"/>
          <w:sz w:val="24"/>
          <w:highlight w:val="none"/>
        </w:rPr>
        <w:t xml:space="preserve">13.</w:t>
      </w:r>
      <w:r>
        <w:rPr>
          <w:rFonts w:hint="eastAsia" w:ascii="宋体" w:hAnsi="宋体"/>
          <w:color w:val="auto"/>
          <w:sz w:val="24"/>
          <w:highlight w:val="none"/>
          <w:lang w:val="en-US" w:eastAsia="zh-CN"/>
        </w:rPr>
        <w:t xml:space="preserve">4</w:t>
      </w:r>
      <w:r>
        <w:rPr>
          <w:rFonts w:hint="eastAsia" w:ascii="宋体" w:hAnsi="宋体"/>
          <w:color w:val="auto"/>
          <w:sz w:val="24"/>
          <w:highlight w:val="none"/>
        </w:rPr>
        <w:t xml:space="preserve">.</w:t>
      </w:r>
      <w:r>
        <w:rPr>
          <w:rFonts w:hint="eastAsia" w:ascii="宋体" w:hAnsi="宋体"/>
          <w:color w:val="auto"/>
          <w:sz w:val="24"/>
          <w:highlight w:val="none"/>
          <w:lang w:val="en-US" w:eastAsia="zh-CN"/>
        </w:rPr>
        <w:t xml:space="preserve">4</w:t>
      </w:r>
      <w:r>
        <w:rPr>
          <w:rFonts w:hint="eastAsia" w:ascii="宋体" w:hAnsi="宋体" w:cs="宋体"/>
          <w:color w:val="auto"/>
          <w:sz w:val="24"/>
          <w:szCs w:val="24"/>
          <w:highlight w:val="none"/>
        </w:rPr>
        <w:t xml:space="preserve">投标人法人授权委托书及委托代理人身份证复印件（如有授权）；</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具有独立承担民事责任的能力证明（包括法人或者其他组织的营业执照等证明文件，自然人的身份证明）；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具有良好的商业信誉和健全的财务会计制度证明（提供最近一期财务报表或银行出具的资信证明）；</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依法缴纳税收和社会保障资金的良好记录证明（提供投标文件截止时间前一年内至少一个月依法缴纳税收及缴纳社会保障资金的证明材料，如相关主管部门证明或银行代扣证明；投标人如依法享受缓缴、免缴税收、社会保障资金的应提供相关主管部门出具的证明材料）；</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具备履行合同所必需的设备和专业技术能力的证明材料</w:t>
      </w:r>
      <w:r>
        <w:rPr>
          <w:rFonts w:hint="eastAsia" w:ascii="宋体" w:hAnsi="宋体" w:cs="宋体"/>
          <w:color w:val="auto"/>
          <w:sz w:val="24"/>
          <w:szCs w:val="24"/>
          <w:highlight w:val="none"/>
          <w:lang w:eastAsia="zh-CN"/>
        </w:rPr>
        <w:t xml:space="preserve">或承诺</w:t>
      </w:r>
      <w:r>
        <w:rPr>
          <w:rFonts w:hint="eastAsia" w:ascii="宋体" w:hAnsi="宋体" w:cs="宋体"/>
          <w:color w:val="auto"/>
          <w:sz w:val="24"/>
          <w:szCs w:val="24"/>
          <w:highlight w:val="none"/>
        </w:rPr>
        <w:t xml:space="preserve">；</w:t>
      </w:r>
      <w:r/>
    </w:p>
    <w:p>
      <w:pPr>
        <w:spacing w:line="360" w:lineRule="auto"/>
        <w:tabs>
          <w:tab w:val="left" w:pos="851" w:leader="none"/>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9</w:t>
      </w:r>
      <w:r>
        <w:rPr>
          <w:rFonts w:hint="eastAsia" w:ascii="宋体" w:hAnsi="宋体" w:cs="宋体"/>
          <w:color w:val="auto"/>
          <w:sz w:val="24"/>
          <w:szCs w:val="24"/>
          <w:highlight w:val="none"/>
        </w:rPr>
        <w:t xml:space="preserve">参加政府采购活动前三年内，在经营活动中没有重大违法记录的书面声明；</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10法律、行政法规规定的其他条件；</w:t>
      </w:r>
      <w:r/>
    </w:p>
    <w:p>
      <w:p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13.4.11落实政府采购政策需满足的资格要求：提供</w:t>
      </w:r>
      <w:r>
        <w:rPr>
          <w:rFonts w:hint="eastAsia" w:ascii="宋体" w:hAnsi="宋体" w:cs="宋体"/>
          <w:color w:val="auto"/>
          <w:sz w:val="24"/>
          <w:szCs w:val="24"/>
          <w:highlight w:val="none"/>
        </w:rPr>
        <w:t xml:space="preserve">《中小企业声明函》或《残疾人福利性单位声明函》或省级以上监狱管理局、戒毒管理局（含新疆生产建设兵团）出具的属于监狱企业的证明文件（如有）</w:t>
      </w:r>
      <w:r>
        <w:rPr>
          <w:rFonts w:hint="eastAsia" w:ascii="宋体" w:hAnsi="宋体" w:cs="宋体"/>
          <w:color w:val="auto"/>
          <w:sz w:val="24"/>
          <w:szCs w:val="24"/>
          <w:highlight w:val="none"/>
          <w:lang w:eastAsia="zh-CN"/>
        </w:rPr>
        <w:t xml:space="preserve">；</w:t>
      </w:r>
      <w:r/>
    </w:p>
    <w:p>
      <w:pPr>
        <w:spacing w:line="360" w:lineRule="auto"/>
        <w:rPr>
          <w:rFonts w:hint="eastAsia" w:ascii="宋体" w:hAnsi="宋体" w:cs="黑体"/>
          <w:bCs/>
          <w:color w:val="auto"/>
          <w:sz w:val="24"/>
          <w:highlight w:val="none"/>
          <w:shd w:val="clear" w:color="auto" w:fill="ffffff"/>
          <w:lang w:eastAsia="zh-CN"/>
        </w:rPr>
      </w:pPr>
      <w:r>
        <w:rPr>
          <w:rFonts w:hint="eastAsia" w:ascii="宋体" w:hAnsi="宋体" w:eastAsia="宋体" w:cs="宋体"/>
          <w:color w:val="auto"/>
          <w:sz w:val="24"/>
          <w:szCs w:val="24"/>
          <w:highlight w:val="none"/>
        </w:rPr>
        <w:t xml:space="preserve">1</w:t>
      </w:r>
      <w:r>
        <w:rPr>
          <w:rFonts w:hint="eastAsia" w:ascii="宋体" w:hAnsi="宋体" w:eastAsia="宋体" w:cs="宋体"/>
          <w:color w:val="auto"/>
          <w:sz w:val="24"/>
          <w:szCs w:val="24"/>
          <w:highlight w:val="none"/>
          <w:lang w:val="en-US" w:eastAsia="zh-CN"/>
        </w:rPr>
        <w:t xml:space="preserve">3</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4</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szCs w:val="24"/>
          <w:highlight w:val="none"/>
          <w:lang w:val="en-US" w:eastAsia="zh-CN"/>
        </w:rPr>
        <w:t xml:space="preserve">12未被“</w:t>
      </w:r>
      <w:r>
        <w:rPr>
          <w:rFonts w:hint="eastAsia" w:ascii="宋体" w:hAnsi="宋体" w:cs="黑体"/>
          <w:bCs/>
          <w:color w:val="auto"/>
          <w:sz w:val="24"/>
          <w:highlight w:val="none"/>
          <w:shd w:val="clear" w:color="auto" w:fill="ffffff"/>
        </w:rPr>
        <w:t xml:space="preserve">信用中国</w:t>
      </w:r>
      <w:r>
        <w:rPr>
          <w:rFonts w:hint="eastAsia" w:ascii="宋体" w:hAnsi="宋体" w:cs="黑体"/>
          <w:bCs/>
          <w:color w:val="auto"/>
          <w:sz w:val="24"/>
          <w:highlight w:val="none"/>
          <w:shd w:val="clear" w:color="auto" w:fill="ffffff"/>
          <w:lang w:eastAsia="zh-CN"/>
        </w:rPr>
        <w:t xml:space="preserve">”</w:t>
      </w:r>
      <w:r>
        <w:rPr>
          <w:rFonts w:hint="eastAsia" w:ascii="宋体" w:hAnsi="宋体" w:cs="黑体"/>
          <w:bCs/>
          <w:color w:val="auto"/>
          <w:sz w:val="24"/>
          <w:highlight w:val="none"/>
          <w:shd w:val="clear" w:color="auto" w:fill="ffffff"/>
        </w:rPr>
        <w:t xml:space="preserve">网站（www.creditchina.gov.cn/）</w:t>
      </w:r>
      <w:r>
        <w:rPr>
          <w:rFonts w:hint="eastAsia" w:ascii="宋体" w:hAnsi="宋体" w:cs="黑体"/>
          <w:bCs/>
          <w:color w:val="auto"/>
          <w:sz w:val="24"/>
          <w:highlight w:val="none"/>
          <w:shd w:val="clear" w:color="auto" w:fill="ffffff"/>
          <w:lang w:eastAsia="zh-CN"/>
        </w:rPr>
        <w:t xml:space="preserve">列入失信被执行人、重大税收违法；</w:t>
      </w:r>
      <w:r/>
    </w:p>
    <w:p>
      <w:pPr>
        <w:spacing w:line="360" w:lineRule="auto"/>
        <w:rPr>
          <w:rFonts w:hint="default" w:ascii="宋体" w:hAnsi="宋体" w:cs="黑体"/>
          <w:bCs/>
          <w:color w:val="auto"/>
          <w:sz w:val="24"/>
          <w:highlight w:val="none"/>
          <w:shd w:val="clear" w:color="auto" w:fill="ffffff"/>
          <w:lang w:val="en-US" w:eastAsia="zh-CN"/>
        </w:rPr>
      </w:pPr>
      <w:r>
        <w:rPr>
          <w:rFonts w:hint="eastAsia" w:ascii="宋体" w:hAnsi="宋体" w:cs="黑体"/>
          <w:bCs/>
          <w:color w:val="auto"/>
          <w:sz w:val="24"/>
          <w:highlight w:val="none"/>
          <w:shd w:val="clear" w:color="auto" w:fill="ffffff"/>
          <w:lang w:val="en-US" w:eastAsia="zh-CN"/>
        </w:rPr>
        <w:t xml:space="preserve">13.4.13其他有关资格证明文件。</w:t>
      </w:r>
      <w:r/>
    </w:p>
    <w:p>
      <w:pPr>
        <w:spacing w:line="360" w:lineRule="auto"/>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1</w:t>
      </w:r>
      <w:r>
        <w:rPr>
          <w:rFonts w:hint="eastAsia" w:ascii="宋体" w:hAnsi="宋体" w:cs="宋体"/>
          <w:b/>
          <w:bCs/>
          <w:color w:val="auto"/>
          <w:sz w:val="24"/>
          <w:szCs w:val="24"/>
          <w:highlight w:val="none"/>
          <w:lang w:val="en-US" w:eastAsia="zh-CN"/>
        </w:rPr>
        <w:t xml:space="preserve">3</w:t>
      </w:r>
      <w:r>
        <w:rPr>
          <w:rFonts w:hint="eastAsia" w:ascii="宋体" w:hAnsi="宋体" w:cs="宋体"/>
          <w:b/>
          <w:bCs/>
          <w:color w:val="auto"/>
          <w:sz w:val="24"/>
          <w:szCs w:val="24"/>
          <w:highlight w:val="none"/>
        </w:rPr>
        <w:t xml:space="preserve">.</w:t>
      </w:r>
      <w:r>
        <w:rPr>
          <w:rFonts w:hint="eastAsia" w:ascii="宋体" w:hAnsi="宋体" w:cs="宋体"/>
          <w:b/>
          <w:bCs/>
          <w:color w:val="auto"/>
          <w:sz w:val="24"/>
          <w:szCs w:val="24"/>
          <w:highlight w:val="none"/>
          <w:lang w:val="en-US" w:eastAsia="zh-CN"/>
        </w:rPr>
        <w:t xml:space="preserve">5</w:t>
      </w:r>
      <w:r>
        <w:rPr>
          <w:rFonts w:hint="eastAsia" w:ascii="宋体" w:hAnsi="宋体" w:cs="宋体"/>
          <w:b/>
          <w:bCs/>
          <w:color w:val="auto"/>
          <w:sz w:val="24"/>
          <w:szCs w:val="24"/>
          <w:highlight w:val="none"/>
        </w:rPr>
        <w:t xml:space="preserve">符合性审查文件</w:t>
      </w:r>
      <w:r/>
    </w:p>
    <w:p>
      <w:pPr>
        <w:pStyle w:val="102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.1投标函（格式见第三章）；</w:t>
      </w:r>
      <w:r/>
    </w:p>
    <w:p>
      <w:pPr>
        <w:pStyle w:val="102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.2偏离表（格式见第三章）；</w:t>
      </w:r>
      <w:r/>
    </w:p>
    <w:p>
      <w:pPr>
        <w:pStyle w:val="1027"/>
        <w:ind w:left="0"/>
        <w:spacing w:after="0" w:line="360" w:lineRule="auto"/>
        <w:rPr>
          <w:rFonts w:hint="default" w:ascii="宋体" w:hAnsi="宋体" w:cs="宋体"/>
          <w:color w:val="auto"/>
          <w:sz w:val="24"/>
          <w:highlight w:val="none"/>
          <w:lang w:val="en-US"/>
        </w:rPr>
      </w:pPr>
      <w:r>
        <w:rPr>
          <w:rFonts w:hint="eastAsia" w:ascii="宋体" w:hAnsi="宋体" w:cs="宋体"/>
          <w:color w:val="auto"/>
          <w:sz w:val="24"/>
          <w:highlight w:val="none"/>
        </w:rPr>
        <w:t xml:space="preserve">13.</w:t>
      </w:r>
      <w:r>
        <w:rPr>
          <w:rFonts w:hint="eastAsia" w:ascii="宋体" w:hAnsi="宋体" w:cs="宋体"/>
          <w:color w:val="auto"/>
          <w:sz w:val="24"/>
          <w:highlight w:val="none"/>
          <w:lang w:val="en-US" w:eastAsia="zh-CN"/>
        </w:rPr>
        <w:t xml:space="preserve">5</w:t>
      </w:r>
      <w:r>
        <w:rPr>
          <w:rFonts w:hint="eastAsia" w:ascii="宋体" w:hAnsi="宋体" w:cs="宋体"/>
          <w:color w:val="auto"/>
          <w:sz w:val="24"/>
          <w:highlight w:val="none"/>
        </w:rPr>
        <w:t xml:space="preserve">.3</w:t>
      </w:r>
      <w:r>
        <w:rPr>
          <w:rFonts w:hint="default" w:ascii="宋体" w:hAnsi="宋体" w:eastAsia="宋体" w:cs="Times New Roman"/>
          <w:color w:val="auto"/>
          <w:sz w:val="24"/>
          <w:szCs w:val="24"/>
          <w:highlight w:val="none"/>
          <w:lang w:val="en-US" w:eastAsia="zh-CN"/>
        </w:rPr>
        <w:t xml:space="preserve">拟投入本项目的负责人，从业经历中无任何因违法、违规被查处的不良记录</w:t>
      </w:r>
      <w:r>
        <w:rPr>
          <w:rFonts w:hint="eastAsia" w:ascii="宋体" w:hAnsi="宋体" w:cs="Times New Roman"/>
          <w:color w:val="auto"/>
          <w:sz w:val="24"/>
          <w:szCs w:val="24"/>
          <w:highlight w:val="none"/>
          <w:lang w:val="en-US" w:eastAsia="zh-CN"/>
        </w:rPr>
        <w:t xml:space="preserve">承诺函；</w:t>
      </w:r>
      <w:r/>
    </w:p>
    <w:p>
      <w:pPr>
        <w:pStyle w:val="1027"/>
        <w:ind w:left="0"/>
        <w:spacing w:after="0"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13.5.4</w:t>
      </w:r>
      <w:r>
        <w:rPr>
          <w:rFonts w:hint="eastAsia" w:ascii="宋体" w:hAnsi="宋体" w:cs="宋体"/>
          <w:color w:val="auto"/>
          <w:sz w:val="24"/>
          <w:highlight w:val="none"/>
        </w:rPr>
        <w:t xml:space="preserve">其他有关符合性证明的文件。</w:t>
      </w:r>
      <w:r/>
    </w:p>
    <w:p>
      <w:pPr>
        <w:spacing w:line="360" w:lineRule="auto"/>
        <w:rPr>
          <w:rFonts w:hint="eastAsia" w:ascii="宋体" w:hAnsi="宋体" w:eastAsia="宋体" w:cs="宋体"/>
          <w:b/>
          <w:bCs/>
          <w:color w:val="auto"/>
          <w:sz w:val="24"/>
          <w:szCs w:val="24"/>
          <w:highlight w:val="none"/>
          <w:lang w:eastAsia="zh-CN"/>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6</w:t>
      </w:r>
      <w:r>
        <w:rPr>
          <w:rFonts w:hint="eastAsia" w:ascii="宋体" w:hAnsi="宋体" w:cs="宋体"/>
          <w:b/>
          <w:bCs/>
          <w:color w:val="auto"/>
          <w:sz w:val="24"/>
          <w:szCs w:val="24"/>
          <w:highlight w:val="none"/>
          <w:lang w:eastAsia="zh-CN"/>
        </w:rPr>
        <w:t xml:space="preserve">综合评审文件</w:t>
      </w:r>
      <w:r/>
    </w:p>
    <w:p>
      <w:pPr>
        <w:spacing w:line="360" w:lineRule="auto"/>
        <w:rPr>
          <w:rFonts w:hint="eastAsia" w:ascii="宋体" w:hAnsi="宋体" w:cs="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.1</w:t>
      </w:r>
      <w:r>
        <w:rPr>
          <w:rFonts w:hint="eastAsia" w:ascii="宋体" w:hAnsi="宋体" w:cs="宋体"/>
          <w:color w:val="auto"/>
          <w:sz w:val="24"/>
          <w:highlight w:val="none"/>
        </w:rPr>
        <w:t xml:space="preserve">服务方案；</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highlight w:val="none"/>
          <w:lang w:val="en-US" w:eastAsia="zh-CN"/>
        </w:rPr>
        <w:t xml:space="preserve">13.6.2</w:t>
      </w:r>
      <w:r>
        <w:rPr>
          <w:rFonts w:hint="eastAsia" w:ascii="宋体" w:hAnsi="宋体" w:cs="宋体"/>
          <w:color w:val="auto"/>
          <w:sz w:val="24"/>
          <w:highlight w:val="none"/>
          <w:lang w:eastAsia="zh-CN"/>
        </w:rPr>
        <w:t xml:space="preserve">配备人员；</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lang w:val="en-US" w:eastAsia="zh-CN"/>
        </w:rPr>
        <w:t xml:space="preserve">13.6.3投标</w:t>
      </w:r>
      <w:r>
        <w:rPr>
          <w:rFonts w:hint="eastAsia" w:ascii="宋体" w:hAnsi="宋体" w:cs="宋体"/>
          <w:color w:val="auto"/>
          <w:sz w:val="24"/>
          <w:highlight w:val="none"/>
          <w:lang w:eastAsia="zh-CN"/>
        </w:rPr>
        <w:t xml:space="preserve">单位综合履约能力</w:t>
      </w:r>
      <w:r>
        <w:rPr>
          <w:rFonts w:hint="eastAsia" w:ascii="宋体" w:hAnsi="宋体" w:cs="宋体"/>
          <w:color w:val="auto"/>
          <w:sz w:val="24"/>
          <w:highlight w:val="none"/>
        </w:rPr>
        <w:t xml:space="preserve">；</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13.6.4对属于《节能产品政府采购品目清单》政府强制采购产品的，需提供该产品有效期内的认证等相关证明材料（如有）；</w:t>
      </w:r>
      <w:r/>
    </w:p>
    <w:p>
      <w:pPr>
        <w:spacing w:line="360" w:lineRule="auto"/>
        <w:rPr>
          <w:rFonts w:ascii="宋体" w:hAnsi="宋体" w:cs="宋体"/>
          <w:color w:val="auto"/>
          <w:sz w:val="24"/>
          <w:szCs w:val="24"/>
          <w:highlight w:val="none"/>
        </w:rPr>
      </w:pPr>
      <w:r>
        <w:rPr>
          <w:rFonts w:hint="eastAsia" w:ascii="宋体" w:hAnsi="宋体" w:cs="宋体"/>
          <w:color w:val="auto"/>
          <w:sz w:val="24"/>
          <w:highlight w:val="none"/>
          <w:lang w:val="en-US" w:eastAsia="zh-CN"/>
        </w:rPr>
        <w:t xml:space="preserve">13.6.5其他可以证明投标单位资信、资质和服务质量的证书、文件等评审所需资</w:t>
      </w:r>
      <w:r>
        <w:rPr>
          <w:rFonts w:hint="eastAsia" w:ascii="宋体" w:hAnsi="宋体" w:cs="宋体"/>
          <w:color w:val="auto"/>
          <w:sz w:val="24"/>
          <w:highlight w:val="none"/>
        </w:rPr>
        <w:t xml:space="preserve">料（如有）</w:t>
      </w:r>
      <w:r>
        <w:rPr>
          <w:rFonts w:hint="eastAsia" w:ascii="宋体" w:hAnsi="宋体" w:cs="宋体"/>
          <w:color w:val="auto"/>
          <w:sz w:val="24"/>
          <w:szCs w:val="24"/>
          <w:highlight w:val="none"/>
        </w:rPr>
        <w:t xml:space="preserve">。</w:t>
      </w:r>
      <w:r/>
    </w:p>
    <w:p>
      <w:pPr>
        <w:spacing w:line="360" w:lineRule="auto"/>
        <w:rPr>
          <w:rFonts w:hint="eastAsia" w:ascii="宋体" w:hAnsi="宋体"/>
          <w:color w:val="auto"/>
          <w:sz w:val="24"/>
          <w:highlight w:val="none"/>
        </w:rPr>
      </w:pPr>
      <w:r>
        <w:rPr>
          <w:rFonts w:hint="eastAsia" w:ascii="宋体" w:hAnsi="宋体" w:cs="宋体"/>
          <w:color w:val="auto"/>
          <w:sz w:val="24"/>
          <w:szCs w:val="24"/>
          <w:highlight w:val="none"/>
        </w:rPr>
        <w:t xml:space="preserve">13.</w:t>
      </w:r>
      <w:r>
        <w:rPr>
          <w:rFonts w:hint="eastAsia" w:ascii="宋体" w:hAnsi="宋体" w:cs="宋体"/>
          <w:color w:val="auto"/>
          <w:sz w:val="24"/>
          <w:szCs w:val="24"/>
          <w:highlight w:val="none"/>
          <w:lang w:val="en-US" w:eastAsia="zh-CN"/>
        </w:rPr>
        <w:t xml:space="preserve">7</w:t>
      </w:r>
      <w:r>
        <w:rPr>
          <w:rFonts w:hint="eastAsia" w:ascii="宋体" w:hAnsi="宋体"/>
          <w:color w:val="auto"/>
          <w:sz w:val="24"/>
          <w:highlight w:val="none"/>
        </w:rPr>
        <w:t xml:space="preserve">投标文件由13.1-13.</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款规定的内容共同组成，投标人所提交的资料文件的完整与否，将直接影响投标人的评分。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13.</w:t>
      </w:r>
      <w:r>
        <w:rPr>
          <w:rFonts w:hint="eastAsia" w:ascii="宋体" w:hAnsi="宋体" w:cs="宋体"/>
          <w:b/>
          <w:bCs/>
          <w:color w:val="auto"/>
          <w:sz w:val="24"/>
          <w:szCs w:val="24"/>
          <w:highlight w:val="none"/>
          <w:lang w:val="en-US" w:eastAsia="zh-CN"/>
        </w:rPr>
        <w:t xml:space="preserve">8综合说明：</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13.8.1以上资格审查文件要求提供的材料，是作为对供应商资格审查、质疑身份认定的依据，投标人必须提供并加盖电子公章。否则，投标文件将被认定为不符合资格审查要求。</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13.8.2以上符合性审查须提供的资料，投标人必须提供并加盖电子公章；否则，投标文件将被认定为未实质性响应。</w:t>
      </w:r>
      <w:r/>
    </w:p>
    <w:p>
      <w:pPr>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13.8.3投标文件资格审查文件、符合性审查文件、综合评审文件部分不得出现投标报价；投标人所提交的资料的完整与否，将直接影响投标人的评分。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14.投标文件编制说明</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14.1供应商在“苏采云”系统中操作成功参与项目后，必须在“已参与项目”界面中下载电子招标文件（后缀名为“.kedt”）并导入政府采购客户端工具后方可进行投标文件制作和提交（具体详见《苏采云系统供应商操作手册》，网址链接https://czju.suzhou.gov.cn/zfcg/html/content/20231220161910031.shtml）。</w:t>
      </w:r>
      <w:r/>
    </w:p>
    <w:p>
      <w:pPr>
        <w:spacing w:line="360" w:lineRule="auto"/>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14.2制作电子投标文件时必须与投标文件制作软件目录一一对应，将相关资料上传至相应模块</w:t>
      </w:r>
      <w:r>
        <w:rPr>
          <w:rFonts w:hint="eastAsia" w:ascii="宋体" w:hAnsi="宋体" w:cs="宋体"/>
          <w:b/>
          <w:bCs/>
          <w:color w:val="auto"/>
          <w:sz w:val="24"/>
          <w:szCs w:val="24"/>
          <w:highlight w:val="none"/>
          <w:lang w:eastAsia="zh-CN"/>
        </w:rPr>
        <w:t xml:space="preserve">；</w:t>
      </w:r>
      <w:r>
        <w:rPr>
          <w:rFonts w:hint="eastAsia" w:ascii="宋体" w:hAnsi="宋体" w:cs="宋体"/>
          <w:color w:val="auto"/>
          <w:sz w:val="24"/>
          <w:highlight w:val="none"/>
          <w:lang w:val="en-US" w:eastAsia="zh-CN"/>
        </w:rPr>
        <w:t xml:space="preserve">开评标过程中如有问题采购代理机构工作人员会及时通过《投标供应商确认函》留存的手机号与供应商联系；请供应商确保该手机号通讯畅通，否则导致的不利后果由供应商自行承担。</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14.3</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开标一览表</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为在开标仪式上唱标的内容，要求按格式填写</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统一规范，不得自行增减内容。</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.投标报价（编制）要求的说明</w:t>
      </w:r>
      <w:r/>
    </w:p>
    <w:p>
      <w:pPr>
        <w:spacing w:line="360" w:lineRule="auto"/>
        <w:rPr>
          <w:rFonts w:hint="eastAsia" w:ascii="宋体" w:hAnsi="宋体" w:cs="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5</w:t>
      </w:r>
      <w:r>
        <w:rPr>
          <w:rFonts w:hint="eastAsia" w:ascii="宋体" w:hAnsi="宋体"/>
          <w:color w:val="auto"/>
          <w:sz w:val="24"/>
          <w:highlight w:val="none"/>
        </w:rPr>
        <w:t xml:space="preserve">.1</w:t>
      </w:r>
      <w:r>
        <w:rPr>
          <w:rFonts w:hint="eastAsia" w:ascii="宋体" w:hAnsi="宋体" w:cs="宋体"/>
          <w:color w:val="auto"/>
          <w:sz w:val="24"/>
          <w:highlight w:val="none"/>
        </w:rPr>
        <w:t xml:space="preserve">除非合同中另有规定，投标人对《开标一览表》中的报价</w:t>
      </w:r>
      <w:r>
        <w:rPr>
          <w:rFonts w:hint="eastAsia" w:ascii="宋体" w:hAnsi="宋体" w:cs="宋体"/>
          <w:color w:val="auto"/>
          <w:sz w:val="24"/>
          <w:highlight w:val="none"/>
          <w:lang w:val="zh-CN"/>
        </w:rPr>
        <w:t xml:space="preserve">应综合考量</w:t>
      </w:r>
      <w:r>
        <w:rPr>
          <w:rFonts w:hint="eastAsia" w:ascii="宋体" w:hAnsi="宋体" w:cs="宋体"/>
          <w:color w:val="auto"/>
          <w:sz w:val="24"/>
          <w:highlight w:val="none"/>
        </w:rPr>
        <w:t xml:space="preserve">完成本次服务项目所需的服务成本、经营成本、法定税费和管理企业的利润、保险及合同包含的所有风险、责任等各项应有费用。</w:t>
      </w:r>
      <w:r>
        <w:rPr>
          <w:rFonts w:hint="eastAsia" w:ascii="宋体" w:hAnsi="宋体" w:cs="宋体"/>
          <w:color w:val="auto"/>
          <w:sz w:val="24"/>
          <w:highlight w:val="none"/>
          <w:lang w:val="zh-CN"/>
        </w:rPr>
        <w:t xml:space="preserve">投标报价为最终报价，除非因特殊原因并经买卖双方协商同意，投标人不得再要求追加任何费用。同时，除非合同条款中另有规定，否则，投标人所报价格在合同实施期间不因市场变化因素而变动</w:t>
      </w:r>
      <w:r>
        <w:rPr>
          <w:rFonts w:hint="eastAsia" w:ascii="宋体" w:hAnsi="宋体" w:cs="宋体"/>
          <w:color w:val="auto"/>
          <w:sz w:val="24"/>
          <w:highlight w:val="none"/>
        </w:rPr>
        <w:t xml:space="preserve">。</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.2</w:t>
      </w:r>
      <w:r>
        <w:rPr>
          <w:rFonts w:hint="eastAsia" w:ascii="宋体" w:hAnsi="宋体" w:cs="宋体"/>
          <w:color w:val="auto"/>
          <w:sz w:val="24"/>
          <w:highlight w:val="none"/>
          <w:lang w:val="zh-CN"/>
        </w:rPr>
        <w:t xml:space="preserve">投标人应按《公开分项报价》要求的内容填写，并由其法定代表人或授权代理人签署。</w:t>
      </w:r>
      <w:r/>
    </w:p>
    <w:p>
      <w:pPr>
        <w:spacing w:line="360" w:lineRule="auto"/>
        <w:tabs>
          <w:tab w:val="left" w:pos="9000" w:leader="none"/>
        </w:tabs>
        <w:rPr>
          <w:rFonts w:hint="eastAsia" w:ascii="宋体" w:hAnsi="宋体" w:cs="宋体"/>
          <w:color w:val="auto"/>
          <w:sz w:val="24"/>
          <w:highlight w:val="none"/>
          <w:lang w:val="zh-CN"/>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.3</w:t>
      </w:r>
      <w:r>
        <w:rPr>
          <w:rFonts w:hint="eastAsia" w:ascii="宋体" w:hAnsi="宋体" w:cs="宋体"/>
          <w:color w:val="auto"/>
          <w:sz w:val="24"/>
          <w:highlight w:val="none"/>
          <w:lang w:val="zh-CN"/>
        </w:rPr>
        <w:t xml:space="preserve">投标人应对招标文件内所要采购的全部内容进行报价，只投其中部分内容者，其标书将被拒绝（如为多标段项目，则上述提到的全部内容是指所投标段对应采购的全部内容）。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.4一项投标内容只允许一个报价，采购人、采购代理机构不接受任何有选择性的投标报价。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.5投标文件报价中的单价和总价全部采用人民币表示，除非合同的特殊条款另有规定。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.6最低的投标报价或最高的折扣比例是中标的重要条件，但不是中标的唯一条件。</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6</w:t>
      </w:r>
      <w:r>
        <w:rPr>
          <w:rFonts w:hint="eastAsia" w:ascii="宋体" w:hAnsi="宋体"/>
          <w:color w:val="auto"/>
          <w:sz w:val="24"/>
          <w:highlight w:val="none"/>
        </w:rPr>
        <w:t xml:space="preserve">.投标保证金：本项目免收投标保证金。</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1</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.投标文件的有效期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.1自</w:t>
      </w:r>
      <w:r>
        <w:rPr>
          <w:rFonts w:hint="eastAsia" w:ascii="宋体" w:hAnsi="宋体" w:cs="宋体"/>
          <w:color w:val="auto"/>
          <w:sz w:val="24"/>
          <w:szCs w:val="24"/>
          <w:highlight w:val="none"/>
          <w:lang w:eastAsia="zh-CN"/>
        </w:rPr>
        <w:t xml:space="preserve">提交投标文件截止之日</w:t>
      </w:r>
      <w:r>
        <w:rPr>
          <w:rFonts w:hint="eastAsia" w:ascii="宋体" w:hAnsi="宋体" w:cs="宋体"/>
          <w:color w:val="auto"/>
          <w:sz w:val="24"/>
          <w:szCs w:val="24"/>
          <w:highlight w:val="none"/>
        </w:rPr>
        <w:t xml:space="preserve">起</w:t>
      </w:r>
      <w:r>
        <w:rPr>
          <w:rFonts w:hint="eastAsia" w:ascii="宋体" w:hAnsi="宋体" w:cs="宋体"/>
          <w:color w:val="auto"/>
          <w:sz w:val="24"/>
          <w:szCs w:val="24"/>
          <w:highlight w:val="none"/>
          <w:lang w:eastAsia="zh-CN"/>
        </w:rPr>
        <w:t xml:space="preserve">九</w:t>
      </w:r>
      <w:r>
        <w:rPr>
          <w:rFonts w:hint="eastAsia" w:ascii="宋体" w:hAnsi="宋体" w:cs="宋体"/>
          <w:color w:val="auto"/>
          <w:sz w:val="24"/>
          <w:szCs w:val="24"/>
          <w:highlight w:val="none"/>
        </w:rPr>
        <w:t xml:space="preserve">十天</w:t>
      </w:r>
      <w:r>
        <w:rPr>
          <w:rFonts w:hint="eastAsia" w:ascii="宋体" w:hAnsi="宋体" w:cs="宋体"/>
          <w:color w:val="auto"/>
          <w:sz w:val="24"/>
          <w:szCs w:val="24"/>
          <w:highlight w:val="none"/>
          <w:lang w:eastAsia="zh-CN"/>
        </w:rPr>
        <w:t xml:space="preserve">内</w:t>
      </w:r>
      <w:r>
        <w:rPr>
          <w:rFonts w:hint="eastAsia" w:ascii="宋体" w:hAnsi="宋体" w:cs="宋体"/>
          <w:color w:val="auto"/>
          <w:sz w:val="24"/>
          <w:szCs w:val="24"/>
          <w:highlight w:val="none"/>
        </w:rPr>
        <w:t xml:space="preserve">，投标书应保持有效，有效期不明确或短于这个规定期限的投标文件将被拒绝。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7</w:t>
      </w:r>
      <w:r>
        <w:rPr>
          <w:rFonts w:hint="eastAsia" w:ascii="宋体" w:hAnsi="宋体" w:cs="宋体"/>
          <w:color w:val="auto"/>
          <w:sz w:val="24"/>
          <w:szCs w:val="24"/>
          <w:highlight w:val="none"/>
        </w:rPr>
        <w:t xml:space="preserve">.2在特殊情况下，采购人或采购代理机构可与投标人协商延长投标书的有效期。这种要求和答复都应以书面形式进行。同意延长有效期的投标人不能修改投标文件，拒绝接受延期要求的投标人的投标将被拒绝。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w:t>
      </w:r>
      <w:r>
        <w:rPr>
          <w:rFonts w:hint="eastAsia" w:ascii="宋体" w:hAnsi="宋体" w:cs="宋体"/>
          <w:color w:val="auto"/>
          <w:sz w:val="24"/>
          <w:highlight w:val="none"/>
        </w:rPr>
        <w:t xml:space="preserve">投标文件的制作、签署、上传</w:t>
      </w:r>
      <w:r>
        <w:rPr>
          <w:rFonts w:hint="eastAsia" w:ascii="宋体" w:hAnsi="宋体" w:cs="宋体"/>
          <w:color w:val="auto"/>
          <w:sz w:val="24"/>
          <w:szCs w:val="24"/>
          <w:highlight w:val="none"/>
        </w:rPr>
        <w:t xml:space="preserve">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.1本项目采用电子招投标形式，请供应商按照《苏采云系统供应商操作手册》进行制作、上传电子投标文件。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.2制作电子投标文件时，应按照招标文件要求加盖投标人电子公章。</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8</w:t>
      </w:r>
      <w:r>
        <w:rPr>
          <w:rFonts w:hint="eastAsia" w:ascii="宋体" w:hAnsi="宋体" w:cs="宋体"/>
          <w:color w:val="auto"/>
          <w:sz w:val="24"/>
          <w:szCs w:val="24"/>
          <w:highlight w:val="none"/>
        </w:rPr>
        <w:t xml:space="preserve">.3</w:t>
      </w:r>
      <w:r>
        <w:rPr>
          <w:rFonts w:hint="eastAsia" w:ascii="宋体" w:hAnsi="宋体" w:cs="宋体"/>
          <w:b/>
          <w:bCs/>
          <w:color w:val="auto"/>
          <w:sz w:val="24"/>
          <w:szCs w:val="24"/>
          <w:highlight w:val="none"/>
        </w:rPr>
        <w:t xml:space="preserve">电子投标文件制作完成后请于投标文件网上提交截止时间前成功上传至“苏采云”系统，否则视为放弃参加该采购项目。</w:t>
      </w:r>
      <w:r>
        <w:rPr>
          <w:rFonts w:hint="eastAsia" w:ascii="宋体" w:hAnsi="宋体" w:cs="宋体"/>
          <w:color w:val="auto"/>
          <w:sz w:val="24"/>
          <w:szCs w:val="24"/>
          <w:highlight w:val="none"/>
        </w:rPr>
        <w:t xml:space="preserve">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b/>
          <w:bCs/>
          <w:color w:val="auto"/>
          <w:sz w:val="24"/>
          <w:szCs w:val="24"/>
          <w:highlight w:val="none"/>
        </w:rPr>
        <w:t xml:space="preserve">五、</w:t>
      </w:r>
      <w:r>
        <w:rPr>
          <w:rFonts w:hint="eastAsia" w:ascii="宋体" w:hAnsi="宋体" w:cs="宋体"/>
          <w:b/>
          <w:color w:val="auto"/>
          <w:sz w:val="24"/>
          <w:szCs w:val="24"/>
          <w:highlight w:val="none"/>
        </w:rPr>
        <w:t xml:space="preserve">投标文件的提交、补充、修改和撤回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19.投标文件的提交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19.1投标人应当在投标截止时间前制作并上传电子投标文件。</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color w:val="auto"/>
          <w:sz w:val="24"/>
          <w:szCs w:val="24"/>
          <w:highlight w:val="none"/>
        </w:rPr>
        <w:t xml:space="preserve">19.2</w:t>
      </w:r>
      <w:r>
        <w:rPr>
          <w:rFonts w:hint="eastAsia" w:ascii="宋体" w:hAnsi="宋体" w:cs="宋体"/>
          <w:b/>
          <w:bCs/>
          <w:color w:val="auto"/>
          <w:sz w:val="24"/>
          <w:szCs w:val="24"/>
          <w:highlight w:val="none"/>
        </w:rPr>
        <w:t xml:space="preserve">投标人通过“苏采云”系统不见面开标大厅在线参与开标活动。（具体操作详见《苏采云系统供应商操作手册》，网址链接https://czju.suzhou.gov.cn/zfcg/html/content/20231220161910031.shtml）</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20.投标截止时间</w:t>
      </w:r>
      <w:r/>
    </w:p>
    <w:p>
      <w:pPr>
        <w:spacing w:line="360" w:lineRule="auto"/>
        <w:tabs>
          <w:tab w:val="left" w:pos="9000" w:leader="none"/>
        </w:tabs>
        <w:rPr>
          <w:rFonts w:hint="eastAsia" w:ascii="宋体" w:hAnsi="宋体" w:cs="宋体"/>
          <w:color w:val="auto"/>
          <w:szCs w:val="21"/>
          <w:highlight w:val="none"/>
        </w:rPr>
      </w:pPr>
      <w:r>
        <w:rPr>
          <w:rFonts w:hint="eastAsia" w:ascii="宋体" w:hAnsi="宋体" w:cs="宋体"/>
          <w:color w:val="auto"/>
          <w:sz w:val="24"/>
          <w:szCs w:val="24"/>
          <w:highlight w:val="none"/>
        </w:rPr>
        <w:t xml:space="preserve">20.1投标人电子投标文件制作完成后请于投标文件网上提交截止时间前成功上传至“苏采云”系统，否则视为放弃参加该采购项目。投标人提交投标文件的时间以系统收到上传的电子投标文件时间为准，投标人应充分考虑到网络环境、网络带宽等风险因素，如因投标人自身原因造成的电子投标文件上传不成功由投标人自行承担全部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20.2采购人和采购代理机构推迟投标截止时间时，将按本须知规定的更正公告的方式对外发布。在这种情况下，采购人、采购代理机构和投标人的权利和义务将受到新的截止期的约束。</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21.投标文件的补充、修改和撤回</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21.1投标人在投标文件网上提交截止时间前，可以对其电子投标文件进行补充、修改，具体操作方法见《苏采云系统供应商操作手册》。在投标文件网上提交截止时间之后，投标人不得对其电子投标文件作任何修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21.2投标人在投标文件网上提交截止时间前，可以撤回其电子投标文件，具体操作方法见《苏采云系统供应商操作手册》。投标人撤回电子投标文件，则认为其不再参与本项目投标活动。在投标截止时间至招标文件中规定的投标有效期满之间的这段时间内，投标人不得撤回其投标。</w:t>
      </w:r>
      <w:r/>
    </w:p>
    <w:p>
      <w:pPr>
        <w:spacing w:line="360" w:lineRule="auto"/>
        <w:rPr>
          <w:rFonts w:hint="eastAsia" w:ascii="宋体" w:hAnsi="宋体"/>
          <w:color w:val="auto"/>
          <w:sz w:val="24"/>
          <w:highlight w:val="none"/>
        </w:rPr>
      </w:pPr>
      <w:r>
        <w:rPr>
          <w:rFonts w:hint="eastAsia" w:ascii="宋体" w:hAnsi="宋体"/>
          <w:color w:val="auto"/>
          <w:sz w:val="24"/>
          <w:highlight w:val="none"/>
        </w:rPr>
        <w:t xml:space="preserve">六、开标和评标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22.开标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22.1开标由采购代理机构主持，邀请投标人在线参加。投标人应当按照《苏采云系统供应商操作手册</w:t>
      </w:r>
      <w:r>
        <w:rPr>
          <w:rFonts w:hint="eastAsia" w:ascii="宋体" w:hAnsi="宋体" w:cs="宋体"/>
          <w:color w:val="auto"/>
          <w:sz w:val="24"/>
          <w:szCs w:val="24"/>
          <w:highlight w:val="none"/>
          <w:lang w:eastAsia="zh-CN"/>
        </w:rPr>
        <w:t xml:space="preserve">》的</w:t>
      </w:r>
      <w:r>
        <w:rPr>
          <w:rFonts w:hint="eastAsia" w:ascii="宋体" w:hAnsi="宋体" w:cs="宋体"/>
          <w:color w:val="auto"/>
          <w:sz w:val="24"/>
          <w:szCs w:val="24"/>
          <w:highlight w:val="none"/>
        </w:rPr>
        <w:t xml:space="preserve">规定，</w:t>
      </w:r>
      <w:r>
        <w:rPr>
          <w:rFonts w:hint="eastAsia" w:ascii="宋体" w:hAnsi="宋体" w:cs="宋体"/>
          <w:b/>
          <w:bCs/>
          <w:color w:val="auto"/>
          <w:sz w:val="24"/>
          <w:szCs w:val="24"/>
          <w:highlight w:val="none"/>
        </w:rPr>
        <w:t xml:space="preserve">参加开标活动和在“苏采云”系统规定的时间内对投标文件进行解密。</w:t>
      </w:r>
      <w:r>
        <w:rPr>
          <w:rFonts w:hint="eastAsia" w:ascii="宋体" w:hAnsi="宋体" w:cs="宋体"/>
          <w:color w:val="auto"/>
          <w:sz w:val="24"/>
          <w:szCs w:val="24"/>
          <w:highlight w:val="none"/>
        </w:rPr>
        <w:t xml:space="preserve">评标委员会成员不得参加开标活动。</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22.2开标时，由采购代理机构通过“苏采云”系统在线宣布投标人名称、投标价格和招标文件规定的需要宣布的其他内容。投标人在不见面开标系统中确认投标价格，如投标人未在线参加开标或未在规定时间内确认价格的，视同认可开标结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23.资格审查</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23.1公开招标采购项目开标结束后，采购人或者采购代理机构应当依法对投标人的资格进行审查，未通过资格审查的视为无效投标。</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23.2根据政府采购法及相关法规，以及苏州市财政局《关于印发苏州市市级政府采购信用记录查询和使用工作试行办法的通知》（苏财购</w:t>
      </w:r>
      <w:r>
        <w:rPr>
          <w:rFonts w:hint="eastAsia" w:ascii="宋体" w:hAnsi="宋体" w:cs="宋体"/>
          <w:color w:val="auto"/>
          <w:sz w:val="24"/>
          <w:szCs w:val="24"/>
          <w:highlight w:val="none"/>
          <w:lang w:eastAsia="zh-CN"/>
        </w:rPr>
        <w:t xml:space="preserve">〔2017〕11号</w:t>
      </w:r>
      <w:r>
        <w:rPr>
          <w:rFonts w:hint="eastAsia" w:ascii="宋体" w:hAnsi="宋体" w:cs="宋体"/>
          <w:color w:val="auto"/>
          <w:sz w:val="24"/>
          <w:szCs w:val="24"/>
          <w:highlight w:val="none"/>
        </w:rPr>
        <w:t xml:space="preserve">）文件的规定，采购代理机构将对供应商进行信用查询：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23.2.1查询时间：投标文件递交截止时间。</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23.2.2查询渠道：采购代理机构会在接收投标文件截止时间后，登录信用中国网站（www.creditchina.gov.cn）和中国政府采购网（www.ccgp.gov.cn/）查询供应商的信用记录，并将查询结果递交评标委员会。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23.2.3查询证据留存方式：采购人、采购代理机构工作人员等应按照相关管理办法查询相关主体的信用记录，并保存好相关证据材料，信用查询记录及相关证据应当归入采购档案妥善保管。采购代理机构工作人员应</w:t>
      </w:r>
      <w:r>
        <w:rPr>
          <w:rFonts w:hint="eastAsia" w:ascii="宋体" w:hAnsi="宋体" w:cs="宋体"/>
          <w:color w:val="auto"/>
          <w:sz w:val="24"/>
          <w:szCs w:val="24"/>
          <w:highlight w:val="none"/>
          <w:lang w:eastAsia="zh-CN"/>
        </w:rPr>
        <w:t xml:space="preserve">登录到</w:t>
      </w:r>
      <w:r>
        <w:rPr>
          <w:rFonts w:hint="eastAsia" w:ascii="宋体" w:hAnsi="宋体" w:cs="宋体"/>
          <w:color w:val="auto"/>
          <w:sz w:val="24"/>
          <w:szCs w:val="24"/>
          <w:highlight w:val="none"/>
        </w:rPr>
        <w:t xml:space="preserve">来源网站页面进行复核并打印，作为证据留存。</w:t>
      </w:r>
      <w:r/>
    </w:p>
    <w:p>
      <w:pPr>
        <w:spacing w:line="360" w:lineRule="auto"/>
        <w:tabs>
          <w:tab w:val="left" w:pos="9000" w:leader="none"/>
        </w:tabs>
        <w:rPr>
          <w:rFonts w:hint="eastAsia" w:ascii="宋体" w:hAnsi="宋体" w:cs="宋体"/>
          <w:b/>
          <w:bCs/>
          <w:color w:val="auto"/>
          <w:sz w:val="24"/>
          <w:szCs w:val="24"/>
          <w:highlight w:val="none"/>
        </w:rPr>
      </w:pPr>
      <w:r>
        <w:rPr>
          <w:rFonts w:hint="eastAsia" w:ascii="宋体" w:hAnsi="宋体" w:cs="宋体"/>
          <w:b/>
          <w:bCs/>
          <w:color w:val="auto"/>
          <w:sz w:val="24"/>
          <w:szCs w:val="24"/>
          <w:highlight w:val="none"/>
        </w:rPr>
        <w:t xml:space="preserve">23.3经查询，投标人被“信用中国”网站、“中国政府采购网”列入失信被执行人或重大税收违法案件当事人名单或政府采购严重失信行为记录名单，或查询“信用中国”网站、“中国政府采购网”后发现投标人存在其他不符合《中华人民共和国政府采购法》第二十二条规定条件的信用记录，其投标无效。</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24.评标委员会</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24.1评标委员会负责具体评标事务，并独立履行下列职责；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24.1.1审查、评价投标文件是否符合招标文件的商务、技术等实质性要求；</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24.1.2要求投标人对投标文件有关事项作出澄清或者说明；</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24.1.3对投标文件进行比较和评价；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24.1.4确定中标候选人名单，以及根据采购人委托直接确定中标人；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24.1.5向采购人、采购代理机构或者有关部门报告评标中发现的违法行为。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24.2评标委员会成员应当履行下列义务：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24.2.1遵纪守法，客观、公正、廉洁地履行职责；</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24.2.2按照招标文件规定的评标办法和评标标准进行评标，对评标意见承担个人责任；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24.2.3对评标过程和结果，以及投标人的商业秘密保密；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24.2.4根据全体评标成员签字的原始评标记录和评标结果编写评标报告；</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24.2.5配合相关部门的投诉处理工作；</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24.2.6配合采购人、采购代理机构答复投标人提出的质疑。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25.评标内容的保密</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26.1评标委员会应当对符合资格的投标人的投标文件进行符合性审查，以确定其是否满足招标文件的实质性要求。投标文件有下列情况之一者评标委员会有权将其拒绝：</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26.1.1投标人的投标文件未按照本须知规定制作的；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26.1.2未按本须知规定提交资格文件；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26.1.3与招标文件有重大偏离；</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26.1.4投标人拒绝修正错误；</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26.1.5投标人的报价是选择性的；</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26.1.6投标人的报价只投了部分内容；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26.1.7投标人的投标文件出现了评标委员会认为不应当雷同的情况；</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26.1.8其他被评委会认定无效的情况。</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26.2评标委员会将允许修改投标中不构成重大偏离的微小的、非正规、不一致或不规则的地方，但这些修改不能影响任何投标人的名次相应排列。投标人不得对招标文件进行实质性修改，包括但不限于付款方式、付款条件等条款，否则投标文件将被拒绝。</w:t>
      </w:r>
      <w:r/>
    </w:p>
    <w:p>
      <w:pPr>
        <w:pStyle w:val="1008"/>
        <w:ind w:firstLine="0"/>
        <w:spacing w:line="360" w:lineRule="auto"/>
        <w:rPr>
          <w:rFonts w:ascii="宋体" w:hAnsi="宋体" w:cs="宋体"/>
          <w:color w:val="auto"/>
          <w:sz w:val="24"/>
          <w:szCs w:val="24"/>
          <w:highlight w:val="none"/>
        </w:rPr>
      </w:pPr>
      <w:r>
        <w:rPr>
          <w:rFonts w:hint="eastAsia" w:ascii="宋体" w:hAnsi="宋体" w:cs="宋体"/>
          <w:color w:val="auto"/>
          <w:sz w:val="24"/>
          <w:szCs w:val="24"/>
          <w:highlight w:val="none"/>
          <w:lang w:val="en-US"/>
        </w:rPr>
        <w:t xml:space="preserve">26.3投标文件报价出现前后不一致的，除招标文件另有规定外，按照下列规定修正：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26.3.1投标文件中开标一览表（报价表）内容与投标文件中相应内容不一致的，以开标一览表（报价表）为准；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26.3.2大写金额和小写金额不一致的，以大写金额为准；</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26.3.3单价金额小数点或者百分比有明显错位的，以开标一览表的总价为准，并修改单价；</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26.3.4总价金额与按单价汇总金额不一致的，以单价金额计算结果为准。</w:t>
      </w:r>
      <w:r/>
    </w:p>
    <w:p>
      <w:pPr>
        <w:ind w:firstLine="482"/>
        <w:keepLines w:val="0"/>
        <w:keepNext w:val="0"/>
        <w:pageBreakBefore w:val="0"/>
        <w:spacing w:line="360" w:lineRule="auto"/>
        <w:widowControl w:val="off"/>
        <w:tabs>
          <w:tab w:val="left" w:pos="9000" w:leader="none"/>
        </w:tabs>
        <w:rPr>
          <w:rFonts w:ascii="宋体" w:hAnsi="宋体" w:cs="宋体"/>
          <w:color w:val="auto"/>
          <w:sz w:val="24"/>
          <w:szCs w:val="24"/>
          <w:highlight w:val="none"/>
        </w:rPr>
      </w:pPr>
      <w:r>
        <w:rPr>
          <w:rFonts w:hint="eastAsia" w:ascii="宋体" w:hAnsi="宋体" w:cs="宋体"/>
          <w:b/>
          <w:color w:val="auto"/>
          <w:sz w:val="24"/>
          <w:highlight w:val="none"/>
          <w:lang w:val="zh-CN"/>
        </w:rPr>
        <w:t xml:space="preserve">同时出现两种以上不一致的，按照前款规定的顺序修正；修正后的报价按照中华人民共和国财政部令87号《政府采购货物和服务招标投标管理办法》第五十一条第二款的规定经投标人确认后产生约束力，投标人不确认的，其投标无效</w:t>
      </w:r>
      <w:r>
        <w:rPr>
          <w:rFonts w:hint="eastAsia" w:ascii="宋体" w:hAnsi="宋体" w:cs="宋体"/>
          <w:b/>
          <w:bCs/>
          <w:color w:val="auto"/>
          <w:sz w:val="24"/>
          <w:szCs w:val="24"/>
          <w:highlight w:val="none"/>
        </w:rPr>
        <w:t xml:space="preserve">。</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26.4</w:t>
      </w:r>
      <w:bookmarkStart w:id="0" w:name="OLE_LINK20"/>
      <w:r/>
      <w:bookmarkStart w:id="1" w:name="OLE_LINK11"/>
      <w:r/>
      <w:bookmarkStart w:id="2" w:name="OLE_LINK25"/>
      <w:r>
        <w:rPr>
          <w:rFonts w:hint="eastAsia" w:ascii="宋体" w:hAnsi="宋体" w:cs="宋体"/>
          <w:color w:val="auto"/>
          <w:sz w:val="24"/>
          <w:szCs w:val="24"/>
          <w:highlight w:val="none"/>
        </w:rPr>
        <w:t xml:space="preserve">异常低价投标审查</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rPr>
        <w:t xml:space="preserve">26.4.1评标过程中出现下列情形之一的，</w:t>
      </w:r>
      <w:bookmarkStart w:id="3" w:name="OLE_LINK5"/>
      <w:r>
        <w:rPr>
          <w:rFonts w:hint="eastAsia" w:ascii="宋体" w:hAnsi="宋体" w:cs="宋体"/>
          <w:color w:val="auto"/>
          <w:sz w:val="24"/>
          <w:szCs w:val="24"/>
          <w:highlight w:val="none"/>
          <w:lang w:val="en-US"/>
        </w:rPr>
        <w:t xml:space="preserve">评标</w:t>
      </w:r>
      <w:bookmarkEnd w:id="3"/>
      <w:r>
        <w:rPr>
          <w:rFonts w:hint="eastAsia" w:ascii="宋体" w:hAnsi="宋体" w:cs="宋体"/>
          <w:color w:val="auto"/>
          <w:sz w:val="24"/>
          <w:szCs w:val="24"/>
          <w:highlight w:val="none"/>
          <w:lang w:val="en-US"/>
        </w:rPr>
        <w:t xml:space="preserve">委员会应当启动异常低价投标审查程序：</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（1）投标报价低于全部通过符合性审查供应商投标报价平均值50%的，即投标报价&lt;全部通过符合性审查供应商投标报价平均值×50%；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（2）投标报价低于通过符合性审查的次低报价供应商投标报价50%的，即投标报价&lt;通过符合性审查的次低报价供应商投标报价×50%；</w:t>
      </w:r>
      <w:r/>
    </w:p>
    <w:p>
      <w:pPr>
        <w:spacing w:line="360" w:lineRule="auto"/>
        <w:tabs>
          <w:tab w:val="left" w:pos="9000" w:leader="none"/>
        </w:tabs>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（3）投标报价低于采购项目最高限价45%的，即投标报价&lt;采购项目最高限价×45%；</w:t>
      </w:r>
      <w:r/>
    </w:p>
    <w:p>
      <w:pPr>
        <w:spacing w:line="360" w:lineRule="auto"/>
        <w:tabs>
          <w:tab w:val="left" w:pos="9000" w:leader="none"/>
        </w:tabs>
        <w:rPr>
          <w:rFonts w:hint="eastAsia" w:ascii="宋体" w:hAnsi="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lang w:val="en-US"/>
        </w:rPr>
        <w:t xml:space="preserve">评标委员会认定的供应商报价过低、有可能影响产品质量或者不能诚信履约的其他情形。</w:t>
      </w:r>
      <w:r/>
    </w:p>
    <w:p>
      <w:pPr>
        <w:spacing w:line="360" w:lineRule="auto"/>
        <w:tabs>
          <w:tab w:val="left" w:pos="9000" w:leader="none"/>
        </w:tabs>
        <w:rPr>
          <w:rFonts w:hint="eastAsia" w:ascii="宋体" w:hAnsi="宋体" w:cs="宋体"/>
          <w:color w:val="auto"/>
          <w:sz w:val="24"/>
          <w:szCs w:val="24"/>
          <w:highlight w:val="none"/>
          <w:lang w:val="en-US"/>
        </w:rPr>
      </w:pPr>
      <w:r/>
      <w:bookmarkStart w:id="4" w:name="OLE_LINK3"/>
      <w:r/>
      <w:bookmarkStart w:id="5" w:name="OLE_LINK4"/>
      <w:r>
        <w:rPr>
          <w:rFonts w:hint="eastAsia" w:ascii="宋体" w:hAnsi="宋体" w:cs="宋体"/>
          <w:color w:val="auto"/>
          <w:sz w:val="24"/>
          <w:szCs w:val="24"/>
          <w:highlight w:val="none"/>
          <w:lang w:val="en-US"/>
        </w:rPr>
        <w:t xml:space="preserve">26.4.2</w:t>
      </w:r>
      <w:r>
        <w:rPr>
          <w:rFonts w:hint="eastAsia" w:ascii="宋体" w:hAnsi="宋体" w:cs="宋体"/>
          <w:color w:val="auto"/>
          <w:sz w:val="24"/>
          <w:szCs w:val="24"/>
          <w:highlight w:val="none"/>
        </w:rPr>
        <w:t xml:space="preserve">启动异常低价投标审查后，</w:t>
      </w:r>
      <w:r>
        <w:rPr>
          <w:rFonts w:hint="eastAsia" w:ascii="宋体" w:hAnsi="宋体" w:cs="宋体"/>
          <w:color w:val="auto"/>
          <w:sz w:val="24"/>
          <w:szCs w:val="24"/>
          <w:highlight w:val="none"/>
          <w:lang w:val="en-US"/>
        </w:rPr>
        <w:t xml:space="preserve">评标委员会</w:t>
      </w:r>
      <w:r>
        <w:rPr>
          <w:rFonts w:hint="eastAsia" w:ascii="宋体" w:hAnsi="宋体" w:cs="宋体"/>
          <w:color w:val="auto"/>
          <w:sz w:val="24"/>
          <w:szCs w:val="24"/>
          <w:highlight w:val="none"/>
        </w:rPr>
        <w:t xml:space="preserve">应当要求相关供应商在评标现场合理的时间内，提供项目具体成本测算等与报价合理性相关的书面说明及相关证明材料</w:t>
      </w:r>
      <w:bookmarkStart w:id="6" w:name="OLE_LINK9"/>
      <w:r/>
      <w:bookmarkStart w:id="7" w:name="OLE_LINK10"/>
      <w:r>
        <w:rPr>
          <w:rFonts w:hint="eastAsia" w:ascii="宋体" w:hAnsi="宋体" w:cs="宋体"/>
          <w:color w:val="auto"/>
          <w:sz w:val="24"/>
          <w:szCs w:val="24"/>
          <w:highlight w:val="none"/>
        </w:rPr>
        <w:t xml:space="preserve">，</w:t>
      </w:r>
      <w:bookmarkEnd w:id="6"/>
      <w:r/>
      <w:bookmarkEnd w:id="7"/>
      <w:r>
        <w:rPr>
          <w:rFonts w:hint="eastAsia" w:ascii="宋体" w:hAnsi="宋体" w:cs="宋体"/>
          <w:color w:val="auto"/>
          <w:sz w:val="24"/>
          <w:szCs w:val="24"/>
          <w:highlight w:val="none"/>
        </w:rPr>
        <w:t xml:space="preserve">对投标价格作出解释，由</w:t>
      </w:r>
      <w:r>
        <w:rPr>
          <w:rFonts w:hint="eastAsia" w:ascii="宋体" w:hAnsi="宋体" w:cs="宋体"/>
          <w:color w:val="auto"/>
          <w:sz w:val="24"/>
          <w:szCs w:val="24"/>
          <w:highlight w:val="none"/>
          <w:lang w:val="en-US"/>
        </w:rPr>
        <w:t xml:space="preserve">评标委员会</w:t>
      </w:r>
      <w:r>
        <w:rPr>
          <w:rFonts w:hint="eastAsia" w:ascii="宋体" w:hAnsi="宋体"/>
          <w:bCs/>
          <w:color w:val="auto"/>
          <w:sz w:val="24"/>
          <w:highlight w:val="none"/>
          <w:lang w:val="en-US"/>
        </w:rPr>
        <w:t xml:space="preserve">结合同类项目中标价格、类似产品市场价格水平、行业人工费用标准、国家有关部门指导行业协会发布的行业平均成本等情况、同类产品在主要电商平台的价格、该行业当地</w:t>
      </w:r>
      <w:bookmarkStart w:id="8" w:name="OLE_LINK7"/>
      <w:r/>
      <w:bookmarkStart w:id="9" w:name="OLE_LINK8"/>
      <w:r>
        <w:rPr>
          <w:rFonts w:hint="eastAsia" w:ascii="宋体" w:hAnsi="宋体"/>
          <w:bCs/>
          <w:color w:val="auto"/>
          <w:sz w:val="24"/>
          <w:highlight w:val="none"/>
          <w:lang w:val="en-US"/>
        </w:rPr>
        <w:t xml:space="preserve">薪资</w:t>
      </w:r>
      <w:bookmarkEnd w:id="8"/>
      <w:r/>
      <w:bookmarkEnd w:id="9"/>
      <w:r>
        <w:rPr>
          <w:rFonts w:hint="eastAsia" w:ascii="宋体" w:hAnsi="宋体"/>
          <w:bCs/>
          <w:color w:val="auto"/>
          <w:sz w:val="24"/>
          <w:highlight w:val="none"/>
          <w:lang w:val="en-US"/>
        </w:rPr>
        <w:t xml:space="preserve">水平等情况，依据专业经验对供应商报价合理性进行判断</w:t>
      </w:r>
      <w:r>
        <w:rPr>
          <w:rFonts w:hint="eastAsia" w:ascii="宋体" w:hAnsi="宋体" w:cs="宋体"/>
          <w:color w:val="auto"/>
          <w:sz w:val="24"/>
          <w:szCs w:val="24"/>
          <w:highlight w:val="none"/>
        </w:rPr>
        <w:t xml:space="preserve">。</w:t>
      </w:r>
      <w:r>
        <w:rPr>
          <w:rFonts w:hint="eastAsia" w:ascii="宋体" w:hAnsi="宋体"/>
          <w:bCs/>
          <w:color w:val="auto"/>
          <w:sz w:val="24"/>
          <w:highlight w:val="none"/>
          <w:lang w:val="en-US"/>
        </w:rPr>
        <w:t xml:space="preserve">属于第</w:t>
      </w:r>
      <w:r>
        <w:rPr>
          <w:rFonts w:hint="eastAsia" w:ascii="宋体" w:hAnsi="宋体"/>
          <w:bCs/>
          <w:color w:val="auto"/>
          <w:sz w:val="24"/>
          <w:highlight w:val="none"/>
          <w:lang w:val="en-US" w:eastAsia="zh-CN"/>
        </w:rPr>
        <w:t xml:space="preserve">（3）</w:t>
      </w:r>
      <w:r>
        <w:rPr>
          <w:rFonts w:hint="eastAsia" w:ascii="宋体" w:hAnsi="宋体"/>
          <w:bCs/>
          <w:color w:val="auto"/>
          <w:sz w:val="24"/>
          <w:highlight w:val="none"/>
          <w:lang w:val="en-US"/>
        </w:rPr>
        <w:t xml:space="preserve">项情形的，供应商已随</w:t>
      </w:r>
      <w:r>
        <w:rPr>
          <w:rFonts w:hint="eastAsia" w:ascii="宋体" w:hAnsi="宋体"/>
          <w:bCs/>
          <w:color w:val="auto"/>
          <w:sz w:val="24"/>
          <w:highlight w:val="none"/>
          <w:lang w:val="en-US" w:eastAsia="zh-CN"/>
        </w:rPr>
        <w:t xml:space="preserve">投标</w:t>
      </w:r>
      <w:r>
        <w:rPr>
          <w:rFonts w:hint="eastAsia" w:ascii="宋体" w:hAnsi="宋体"/>
          <w:bCs/>
          <w:color w:val="auto"/>
          <w:sz w:val="24"/>
          <w:highlight w:val="none"/>
          <w:lang w:val="en-US"/>
        </w:rPr>
        <w:t xml:space="preserve">文件一并提交相关书面说明及必要的证明材料的，在评审现场可不再重复提交。</w:t>
      </w:r>
      <w:r>
        <w:rPr>
          <w:rFonts w:hint="eastAsia" w:ascii="宋体" w:hAnsi="宋体" w:cs="宋体"/>
          <w:color w:val="auto"/>
          <w:sz w:val="24"/>
          <w:szCs w:val="24"/>
          <w:highlight w:val="none"/>
        </w:rPr>
        <w:t xml:space="preserve">投标供应商不提供书面说明、证明材料，或者提供的书面说明、证明材料不能证明其报价合理性的，评标委员会应当将其作为无效投标处理。</w:t>
      </w:r>
      <w:bookmarkEnd w:id="0"/>
      <w:r/>
      <w:bookmarkEnd w:id="4"/>
      <w:r/>
      <w:bookmarkEnd w:id="5"/>
      <w:r>
        <w:rPr>
          <w:rFonts w:hint="eastAsia" w:ascii="宋体" w:hAnsi="宋体"/>
          <w:bCs/>
          <w:color w:val="auto"/>
          <w:sz w:val="24"/>
          <w:highlight w:val="none"/>
          <w:lang w:val="en-US"/>
        </w:rPr>
        <w:t xml:space="preserve">异常低价响应审查的启动原因、审查意见和审查结果应当在评审报告中记录，并随供应商提供的相关书面说明及证明材料，以及评审委员会有关互联网浏览、查询历史一并归档。</w:t>
      </w:r>
      <w:bookmarkEnd w:id="1"/>
      <w:r/>
      <w:bookmarkEnd w:id="2"/>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26.5评标委员会成员对需要共同认定的事项存在争议的，应当按照少数服从多数的原则作出结论。持不同意见的评标委员会成员应当在评标报告上签署不同意见及理由，否则视为同意评标报告。</w:t>
      </w:r>
      <w:r/>
    </w:p>
    <w:p>
      <w:pPr>
        <w:spacing w:line="360" w:lineRule="auto"/>
        <w:tabs>
          <w:tab w:val="left" w:pos="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26.6除上述情形外，对投标文件的判定，只依据投标文件本身，不依靠开标后的任何外来证明。</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26.7对不同文字文本投标文件的解释发生异议的，以中文文本为准。</w:t>
      </w:r>
      <w:r/>
    </w:p>
    <w:p>
      <w:pPr>
        <w:spacing w:line="360" w:lineRule="auto"/>
        <w:tabs>
          <w:tab w:val="left" w:pos="9000" w:leader="none"/>
        </w:tabs>
        <w:rPr>
          <w:rFonts w:ascii="宋体" w:hAnsi="宋体" w:cs="宋体"/>
          <w:b/>
          <w:bCs/>
          <w:color w:val="auto"/>
          <w:sz w:val="24"/>
          <w:szCs w:val="24"/>
          <w:highlight w:val="none"/>
        </w:rPr>
      </w:pPr>
      <w:r>
        <w:rPr>
          <w:rFonts w:hint="eastAsia" w:ascii="宋体" w:hAnsi="宋体" w:cs="宋体"/>
          <w:b/>
          <w:bCs/>
          <w:color w:val="auto"/>
          <w:sz w:val="24"/>
          <w:szCs w:val="24"/>
          <w:highlight w:val="none"/>
        </w:rPr>
        <w:t xml:space="preserve">27.投标的澄清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27.1对于投标文件中含义不明确、同类问题表述不一致或者有明显文字和计算错误内容，评标委员会应当以书面形式要求投标人作出必要的澄清、说明或者补正。</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27.2投标人的澄清、说明或者补正应当采用书面形式，并加盖其单位电子公章。投标人的澄清、说明或者补正不得超出投标文件的范围或者改变投标文件的实质性内容。</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b/>
          <w:bCs/>
          <w:color w:val="auto"/>
          <w:sz w:val="24"/>
          <w:szCs w:val="24"/>
          <w:highlight w:val="none"/>
        </w:rPr>
        <w:t xml:space="preserve">27.3本项目投标人的澄清、说明或者补正采用线上澄清： 评标委员会将通过“苏采云”系统向投标人发布“澄清要求函”，接到“澄清要求函”的投标人应当按要求在规定时间内通过“苏采云”系统提交“澄清响应函”并加盖CA电子公章，澄清、说明和补充的内容作为投标文件的补充部分。此处规定时间的计算以系统中的倒计时间为准，</w:t>
      </w:r>
      <w:r>
        <w:rPr>
          <w:rFonts w:hint="eastAsia" w:ascii="宋体" w:hAnsi="宋体" w:cs="宋体"/>
          <w:color w:val="auto"/>
          <w:sz w:val="24"/>
          <w:szCs w:val="24"/>
          <w:highlight w:val="none"/>
        </w:rPr>
        <w:t xml:space="preserve">供应商应随时保持系统在线，如因供应商自身原因未在规定时间内提交澄清确认资料的，导致的不利后果由供应商自行承担。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28.1投标人存在下列情况之一的，投标无效：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28.1.1投标文件未按招标文件要求签署、盖章的；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28.1.2不具备招标文件中规定的资格要求的；</w:t>
      </w:r>
      <w:r/>
    </w:p>
    <w:p>
      <w:pPr>
        <w:spacing w:line="360" w:lineRule="auto"/>
        <w:tabs>
          <w:tab w:val="left" w:pos="9000" w:leader="none"/>
        </w:tabs>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28.1.3投标书技术部分和资格证明文件中出现总报价的</w:t>
      </w:r>
      <w:r>
        <w:rPr>
          <w:rFonts w:hint="eastAsia" w:ascii="宋体" w:hAnsi="宋体" w:cs="宋体"/>
          <w:color w:val="auto"/>
          <w:sz w:val="24"/>
          <w:szCs w:val="24"/>
          <w:highlight w:val="none"/>
          <w:lang w:eastAsia="zh-CN"/>
        </w:rPr>
        <w:t xml:space="preserve">；</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w:t>
      </w: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投标文件含有采购人不能接受的附加条件的；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w:t>
      </w:r>
      <w:r>
        <w:rPr>
          <w:rFonts w:hint="eastAsia" w:ascii="宋体" w:hAnsi="宋体" w:cs="宋体"/>
          <w:color w:val="auto"/>
          <w:sz w:val="24"/>
          <w:szCs w:val="24"/>
          <w:highlight w:val="none"/>
          <w:lang w:val="en-US" w:eastAsia="zh-CN"/>
        </w:rPr>
        <w:t xml:space="preserve">5</w:t>
      </w:r>
      <w:r>
        <w:rPr>
          <w:rFonts w:hint="eastAsia" w:ascii="宋体" w:hAnsi="宋体" w:cs="宋体"/>
          <w:color w:val="auto"/>
          <w:sz w:val="24"/>
          <w:szCs w:val="24"/>
          <w:highlight w:val="none"/>
        </w:rPr>
        <w:t xml:space="preserve">机器码检查中，出现不同投标人投标文件机器码一致情形的；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w:t>
      </w:r>
      <w:r>
        <w:rPr>
          <w:rFonts w:hint="eastAsia" w:ascii="宋体" w:hAnsi="宋体" w:cs="宋体"/>
          <w:color w:val="auto"/>
          <w:sz w:val="24"/>
          <w:szCs w:val="24"/>
          <w:highlight w:val="none"/>
          <w:lang w:val="en-US" w:eastAsia="zh-CN"/>
        </w:rPr>
        <w:t xml:space="preserve">6</w:t>
      </w:r>
      <w:r>
        <w:rPr>
          <w:rFonts w:hint="eastAsia" w:ascii="宋体" w:hAnsi="宋体" w:cs="宋体"/>
          <w:color w:val="auto"/>
          <w:sz w:val="24"/>
          <w:szCs w:val="24"/>
          <w:highlight w:val="none"/>
        </w:rPr>
        <w:t xml:space="preserve">法律、法规和招标文件规定的其他无效情形。</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28.2投标人应当遵循公平竞争的原则，不得恶意串通，不得妨碍其他投标人的竞争行为，不得损害采购人或者其他投标人的合法权益。在评标过程中发现投标人有上述情形的，评标委员会应当认定其投标无效，并书面报告本级财政部门。</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28.3有下列情形之一的，视为投标人串通投标，其投标无效：</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28.3.1不同投标人的投标文件由同一单位或者个人编制；</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28.3.2不同投标人委托同一单位或者个人办理投标事宜；</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28.3.3不同投标人的投标文件载明的项目管理成员或者联系人员为同一人；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28.3.4不同投标人的投标文件异常一致或者投标报价呈规律性差异；</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28.3.5不同投标人的投标文件相互混装。</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29.1在招标过程中，出现下列情况之一的，应予废标：</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29.1.1符合专业条件的供应商或者对招标文件作实质投标的供应商不足三家的；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29.1.2出现影响采购公正的违法、违规行为的；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29.1.3投标人的报价超过了采购预算或者最高限价，采购人不能支付的；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28.1.4因重大变故，采购任务取消的；</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29.2废标后，采购人和采购代理机构将把废标的理由通知所有投标人。</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30.投标文件的评价和比较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.1评标委员会将仅对按照本须知有关规定确定为实质性响应招标文件要求的投标文件进行评价和比较。</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.2评价和比较采用综合评分法，评标结果按评审后得分由高到低顺序排列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得分相同的，按投标报价由低到高顺序排列</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得分且投标报价相同的并列，则由评标委员会组织抽签确定中标人</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投标文件满足招标文件全部实质性要求，且按照评审因素的量化指标评审得分最高的投标人为排名第一的中标候选人。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30</w:t>
      </w:r>
      <w:r>
        <w:rPr>
          <w:rFonts w:hint="eastAsia" w:ascii="宋体" w:hAnsi="宋体" w:cs="宋体"/>
          <w:color w:val="auto"/>
          <w:sz w:val="24"/>
          <w:szCs w:val="24"/>
          <w:highlight w:val="none"/>
        </w:rPr>
        <w:t xml:space="preserve">.3最低的投标报价或最高的折扣比例是中标的重要条件，但不是唯一条件。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七、授予合同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31.中标单位的确认</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31.1评标委员会根据投标人资格审查情况，对投标文件进行评价和比较，按照评标办法和标准进行评标，并确定中标人。</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31.2经评标委员会评审并确定中标人后，采购代理机构将在规定的时间内将中标结果在政府采购管理部门指定媒体上予以公告，公告期为一个工作日。各投标人如对中标公告有异议，应在中标公告期届满起七个工作日内，以书面形式向采购代理机构提出质疑，该质疑须按《政府采购质疑和投诉办法》《江苏省政府采购供应商监督管理暂行办法》的规定提交。采购代理机构将在收到质疑后七个工作日内，对质疑内容作出答复。在此期限后向采购代理机构提出质疑或质疑未经投标人法定代表人或参加投标的代理人签署和盖公章（原件），采购代理机构有权对该质疑不予答复。</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32.合同授予：采购人、采购代理机构将把合同授予其投标文件在实质性响应招标文件要求和按本须知规定评选出的投标人。确定为中标的投标人必须具有实施本合同的能力和资源。</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33.中标通知书/未中标通知书</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33.1</w:t>
      </w:r>
      <w:r>
        <w:rPr>
          <w:rFonts w:hint="eastAsia" w:ascii="宋体" w:hAnsi="宋体" w:cs="宋体"/>
          <w:color w:val="auto"/>
          <w:sz w:val="24"/>
          <w:szCs w:val="24"/>
          <w:highlight w:val="none"/>
          <w:lang w:eastAsia="zh-CN"/>
        </w:rPr>
        <w:t xml:space="preserve">确定</w:t>
      </w:r>
      <w:r>
        <w:rPr>
          <w:rFonts w:hint="eastAsia" w:ascii="宋体" w:hAnsi="宋体" w:cs="宋体"/>
          <w:color w:val="auto"/>
          <w:sz w:val="24"/>
          <w:szCs w:val="24"/>
          <w:highlight w:val="none"/>
        </w:rPr>
        <w:t xml:space="preserve">中标人后，在法定时间内向中标人发出中标通知书。</w:t>
      </w:r>
      <w:r>
        <w:rPr>
          <w:rFonts w:hint="eastAsia" w:ascii="宋体" w:hAnsi="宋体" w:cs="宋体"/>
          <w:b/>
          <w:bCs/>
          <w:color w:val="auto"/>
          <w:sz w:val="24"/>
          <w:szCs w:val="24"/>
          <w:highlight w:val="none"/>
        </w:rPr>
        <w:t xml:space="preserve">请中标人在中标结果公告届满之日起30日内，使用CA证书登录“苏采云”系统及时下载中标通知书。</w:t>
      </w:r>
      <w:r>
        <w:rPr>
          <w:rFonts w:hint="eastAsia" w:ascii="宋体" w:hAnsi="宋体" w:cs="宋体"/>
          <w:color w:val="auto"/>
          <w:sz w:val="24"/>
          <w:szCs w:val="24"/>
          <w:highlight w:val="none"/>
        </w:rPr>
        <w:t xml:space="preserve">因系统存储空间有限，自中标结果公告届满之日起30日后，“苏采云”系统不再保证提供下载中标通知书服务，因未及时下载而造成的不利后果由中标人自行承担。</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33.2中标通知书将成为合同的组成部分，对采购人和中标人具有同等法律效力。</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33.3中标通知书发出后，采购人不得违法改变中标结果，中标人无正当理由不得放弃中标。</w:t>
      </w:r>
      <w:r/>
    </w:p>
    <w:p>
      <w:pPr>
        <w:pStyle w:val="1027"/>
        <w:ind w:left="0"/>
        <w:rPr>
          <w:color w:val="auto"/>
          <w:highlight w:val="none"/>
        </w:rPr>
      </w:pPr>
      <w:r>
        <w:rPr>
          <w:rFonts w:hint="eastAsia" w:ascii="宋体" w:hAnsi="宋体" w:cs="宋体"/>
          <w:color w:val="auto"/>
          <w:sz w:val="24"/>
          <w:szCs w:val="24"/>
          <w:highlight w:val="none"/>
        </w:rPr>
        <w:t xml:space="preserve">33.4未中标通知书将以邮件方式发送。</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33.5采购代理机构对未中标人不承担解释未中标原因的义务。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34.合同的签订</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34.1按照《关于印发〈苏州市政府采购促进中小企业发展实施意见〉的通知》（苏财购〔2022〕16号）文件精神，采购人与中标人原则上应当在中标通知书发出之日起十五日内，按照招标文件及投标文件确定的事项签订政府采购合同。</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34.2采购人和中标人所签订的合同不得对招标文件确定的事项和中标人投标文件作实质性修改。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34.3招标文件、中标人的投标文件及招标过程中有关澄清、承诺文件均应作为合同附件，采购人不得向中标人提出任何不合理的要求作为签订合同的条件。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34.4招标文件、中标人的投标文件及招标过程中有关澄清、承诺文件均应作为合同附件。</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34.5政府采购合同履行中，采购人需追加与合同标的相同货物、工程或者服务的，在不改变合同其他条款的前提下，可以与中标人协商签订补充合同，但所有补充合同的采购金额不得超过原合同采购金额的10%。</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34.6采购人和中标人应当根据合同的约定依法履行合同义务。</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.履约保证金：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.1本项目需</w:t>
      </w:r>
      <w:r>
        <w:rPr>
          <w:rFonts w:hint="eastAsia" w:ascii="宋体" w:hAnsi="宋体" w:cs="宋体"/>
          <w:color w:val="auto"/>
          <w:sz w:val="24"/>
          <w:szCs w:val="24"/>
          <w:highlight w:val="none"/>
        </w:rPr>
        <w:t xml:space="preserve">按</w:t>
      </w:r>
      <w:r>
        <w:rPr>
          <w:rFonts w:hint="eastAsia" w:ascii="宋体" w:hAnsi="宋体" w:cs="宋体"/>
          <w:color w:val="auto"/>
          <w:sz w:val="24"/>
          <w:szCs w:val="24"/>
          <w:highlight w:val="none"/>
        </w:rPr>
        <w:t xml:space="preserve">要求</w:t>
      </w:r>
      <w:r>
        <w:rPr>
          <w:rFonts w:hint="eastAsia" w:ascii="宋体" w:hAnsi="宋体" w:cs="宋体"/>
          <w:color w:val="auto"/>
          <w:sz w:val="24"/>
          <w:szCs w:val="24"/>
          <w:highlight w:val="none"/>
        </w:rPr>
        <w:t xml:space="preserve">提交履约保证金。</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35</w:t>
      </w:r>
      <w:r>
        <w:rPr>
          <w:rFonts w:hint="eastAsia" w:ascii="宋体" w:hAnsi="宋体" w:cs="宋体"/>
          <w:color w:val="auto"/>
          <w:sz w:val="24"/>
          <w:szCs w:val="24"/>
          <w:highlight w:val="none"/>
        </w:rPr>
        <w:t xml:space="preserve">.2潜在响应单位如另有需要的，可参考下述相关政策内容：</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根据江苏省财政厅、国家金融监督管理总局江苏监管局、江苏省地方金融监督管理局《关于在全省政府采购领域推行电子履约保函（保险）的通知（苏财购【2023】150号）》规定，成交供应商可以自愿选择，使用以电子履约保函（保险）形式代替提供履约保证金。供应商可通过江苏省政府采购网、“苏采云”系统链接访问登录“政府采购电子履约保函（保险）平台”，选择第三方机构并提交保函（保险）申请。</w:t>
      </w:r>
      <w:r/>
    </w:p>
    <w:p>
      <w:pPr>
        <w:spacing w:line="360" w:lineRule="auto"/>
        <w:tabs>
          <w:tab w:val="left" w:pos="9000" w:leader="none"/>
        </w:tabs>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具体操作方式详见：江苏政府采购网“资料下载”栏目（网址：www.ccgp-jiangsu.gov.cn/jiangsu/zlxz）下载“政府采购电子履约保函（保险）操作手册”。</w:t>
      </w:r>
      <w:r/>
    </w:p>
    <w:p>
      <w:pPr>
        <w:spacing w:line="360" w:lineRule="auto"/>
        <w:tabs>
          <w:tab w:val="left" w:pos="9000" w:leader="none"/>
        </w:tabs>
        <w:rPr>
          <w:rFonts w:ascii="宋体" w:hAnsi="宋体" w:cs="宋体"/>
          <w:color w:val="auto"/>
          <w:sz w:val="24"/>
          <w:szCs w:val="24"/>
          <w:highlight w:val="none"/>
        </w:rPr>
      </w:pPr>
      <w:r>
        <w:rPr>
          <w:rFonts w:hint="eastAsia" w:ascii="宋体" w:hAnsi="宋体" w:cs="宋体"/>
          <w:color w:val="auto"/>
          <w:sz w:val="24"/>
          <w:szCs w:val="24"/>
          <w:highlight w:val="none"/>
        </w:rPr>
        <w:t xml:space="preserve">八、其他事项</w:t>
      </w:r>
      <w:r/>
    </w:p>
    <w:p>
      <w:pPr>
        <w:jc w:val="left"/>
        <w:spacing w:line="360" w:lineRule="auto"/>
        <w:rPr>
          <w:rFonts w:ascii="宋体" w:hAnsi="宋体"/>
          <w:color w:val="auto"/>
          <w:sz w:val="24"/>
          <w:highlight w:val="none"/>
        </w:rPr>
      </w:pPr>
      <w:r>
        <w:rPr>
          <w:rFonts w:hint="eastAsia" w:ascii="宋体" w:hAnsi="宋体"/>
          <w:color w:val="auto"/>
          <w:sz w:val="24"/>
          <w:highlight w:val="none"/>
          <w:lang w:val="en-US" w:eastAsia="zh-CN"/>
        </w:rPr>
        <w:t xml:space="preserve">36</w:t>
      </w:r>
      <w:r>
        <w:rPr>
          <w:rFonts w:hint="eastAsia" w:ascii="宋体" w:hAnsi="宋体"/>
          <w:color w:val="auto"/>
          <w:sz w:val="24"/>
          <w:highlight w:val="none"/>
        </w:rPr>
        <w:t xml:space="preserve">.中标人须按前附表的规定计算并支付中标服务费，该费用应在领取中标通知书时一次性付清，如果未按规定缴纳中标服务费，采购代理机构保留诉讼的权利。</w:t>
      </w:r>
      <w:r/>
    </w:p>
    <w:p>
      <w:pPr>
        <w:jc w:val="left"/>
        <w:spacing w:line="360" w:lineRule="auto"/>
        <w:rPr>
          <w:rFonts w:ascii="宋体" w:hAnsi="宋体"/>
          <w:color w:val="auto"/>
          <w:sz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7</w:t>
      </w:r>
      <w:r>
        <w:rPr>
          <w:rFonts w:hint="eastAsia" w:ascii="宋体" w:hAnsi="宋体"/>
          <w:color w:val="auto"/>
          <w:sz w:val="24"/>
          <w:highlight w:val="none"/>
        </w:rPr>
        <w:t xml:space="preserve">.有关监督部门将对招投标全过程进行监督。</w:t>
      </w:r>
      <w:r/>
    </w:p>
    <w:p>
      <w:pPr>
        <w:spacing w:line="360" w:lineRule="auto"/>
        <w:rPr>
          <w:rFonts w:hint="eastAsia" w:ascii="宋体" w:hAnsi="宋体" w:cs="宋体"/>
          <w:color w:val="auto"/>
          <w:sz w:val="24"/>
          <w:szCs w:val="24"/>
          <w:highlight w:val="none"/>
        </w:rPr>
      </w:pPr>
      <w:r>
        <w:rPr>
          <w:rFonts w:hint="eastAsia" w:ascii="宋体" w:hAnsi="宋体"/>
          <w:color w:val="auto"/>
          <w:sz w:val="24"/>
          <w:highlight w:val="none"/>
        </w:rPr>
        <w:t xml:space="preserve">3</w:t>
      </w:r>
      <w:r>
        <w:rPr>
          <w:rFonts w:hint="eastAsia" w:ascii="宋体" w:hAnsi="宋体"/>
          <w:color w:val="auto"/>
          <w:sz w:val="24"/>
          <w:highlight w:val="none"/>
          <w:lang w:val="en-US" w:eastAsia="zh-CN"/>
        </w:rPr>
        <w:t xml:space="preserve">8</w:t>
      </w:r>
      <w:r>
        <w:rPr>
          <w:rFonts w:hint="eastAsia" w:ascii="宋体" w:hAnsi="宋体"/>
          <w:color w:val="auto"/>
          <w:sz w:val="24"/>
          <w:highlight w:val="none"/>
        </w:rPr>
        <w:t xml:space="preserve">.未尽事宜按《中华人民共和国政府采购法》及其他有关法律法规规定执行</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highlight w:val="none"/>
        </w:rPr>
      </w:pPr>
      <w:r>
        <w:rPr>
          <w:rFonts w:hint="eastAsia" w:ascii="宋体" w:hAnsi="宋体" w:cs="宋体"/>
          <w:color w:val="auto"/>
          <w:sz w:val="24"/>
          <w:highlight w:val="none"/>
          <w:lang w:val="en-US" w:eastAsia="zh-CN"/>
        </w:rPr>
        <w:t xml:space="preserve">39.</w:t>
      </w:r>
      <w:r>
        <w:rPr>
          <w:rFonts w:hint="eastAsia" w:ascii="宋体" w:hAnsi="宋体" w:cs="宋体"/>
          <w:color w:val="auto"/>
          <w:sz w:val="24"/>
          <w:highlight w:val="none"/>
        </w:rPr>
        <w:t xml:space="preserve">缴纳代理服务费时，供应商则须提供开票信息。【注：发票开出后一律不予退换。供应商须对所提供材料信息的真实性、准确性和完整性负责，因材料信息内容的差错缺漏等而导致的后果，由供应商自行承担。】开票信息</w:t>
      </w:r>
      <w:r/>
    </w:p>
    <w:tbl>
      <w:tblPr>
        <w:tblStyle w:val="794"/>
        <w:tblW w:w="6278" w:type="dxa"/>
        <w:jc w:val="center"/>
        <w:tblLayout w:type="fixed"/>
        <w:tblCellMar>
          <w:left w:w="108" w:type="dxa"/>
          <w:top w:w="0" w:type="dxa"/>
          <w:right w:w="108" w:type="dxa"/>
          <w:bottom w:w="0" w:type="dxa"/>
        </w:tblCellMar>
        <w:tblLook w:val="04A0" w:firstRow="1" w:lastRow="0" w:firstColumn="1" w:lastColumn="0" w:noHBand="0" w:noVBand="1"/>
      </w:tblPr>
      <w:tblGrid>
        <w:gridCol w:w="2288"/>
        <w:gridCol w:w="3990"/>
      </w:tblGrid>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报名单位公司名称</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地址</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电话</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税号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开户行</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r>
        <w:trPr>
          <w:jc w:val="center"/>
        </w:trPr>
        <w:tc>
          <w:tcPr>
            <w:tcBorders>
              <w:top w:val="single" w:color="000000" w:sz="4" w:space="0"/>
              <w:left w:val="single" w:color="000000" w:sz="4" w:space="0"/>
              <w:bottom w:val="single" w:color="000000" w:sz="4" w:space="0"/>
              <w:right w:val="single" w:color="000000" w:sz="4" w:space="0"/>
            </w:tcBorders>
            <w:tcW w:w="2288" w:type="dxa"/>
            <w:textDirection w:val="lrTb"/>
            <w:noWrap w:val="false"/>
          </w:tcPr>
          <w:p>
            <w:pPr>
              <w:spacing w:line="360" w:lineRule="auto"/>
              <w:rPr>
                <w:rFonts w:ascii="宋体" w:hAnsi="宋体" w:cs="宋体"/>
                <w:color w:val="auto"/>
                <w:sz w:val="24"/>
                <w:highlight w:val="none"/>
              </w:rPr>
            </w:pPr>
            <w:r>
              <w:rPr>
                <w:rFonts w:hint="eastAsia" w:ascii="宋体" w:hAnsi="宋体" w:cs="宋体"/>
                <w:color w:val="auto"/>
                <w:sz w:val="24"/>
                <w:highlight w:val="none"/>
              </w:rPr>
              <w:t xml:space="preserve">银行账号</w:t>
            </w:r>
            <w:r/>
          </w:p>
        </w:tc>
        <w:tc>
          <w:tcPr>
            <w:tcBorders>
              <w:top w:val="single" w:color="000000" w:sz="4" w:space="0"/>
              <w:left w:val="single" w:color="000000" w:sz="4" w:space="0"/>
              <w:bottom w:val="single" w:color="000000" w:sz="4" w:space="0"/>
              <w:right w:val="single" w:color="000000" w:sz="4" w:space="0"/>
            </w:tcBorders>
            <w:tcW w:w="3990" w:type="dxa"/>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tc>
      </w:tr>
    </w:tbl>
    <w:p>
      <w:pPr>
        <w:ind w:firstLine="480"/>
        <w:spacing w:line="360" w:lineRule="auto"/>
        <w:widowControl/>
        <w:rPr>
          <w:rFonts w:ascii="宋体" w:hAnsi="宋体" w:cs="宋体"/>
          <w:color w:val="auto"/>
          <w:sz w:val="24"/>
          <w:highlight w:val="none"/>
        </w:rPr>
      </w:pPr>
      <w:r>
        <w:rPr>
          <w:rFonts w:hint="eastAsia" w:ascii="宋体" w:hAnsi="宋体" w:cs="宋体"/>
          <w:color w:val="auto"/>
          <w:sz w:val="24"/>
          <w:highlight w:val="none"/>
        </w:rPr>
        <w:t xml:space="preserve">请</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单位将公司开票信息以word文档格式发送至邮箱：szhdpy@126.com。</w:t>
      </w:r>
      <w:r>
        <w:rPr>
          <w:rFonts w:hint="eastAsia" w:ascii="宋体" w:hAnsi="宋体" w:cs="宋体"/>
          <w:color w:val="auto"/>
          <w:sz w:val="24"/>
          <w:highlight w:val="none"/>
          <w:lang w:val="en-US" w:eastAsia="zh-CN"/>
        </w:rPr>
        <w:t xml:space="preserve">中标</w:t>
      </w:r>
      <w:r>
        <w:rPr>
          <w:rFonts w:hint="eastAsia" w:ascii="宋体" w:hAnsi="宋体" w:cs="宋体"/>
          <w:color w:val="auto"/>
          <w:sz w:val="24"/>
          <w:highlight w:val="none"/>
        </w:rPr>
        <w:t xml:space="preserve">单位凭已缴纳代理服务费的银行回单至代理机构领取成交通知书、合同。</w:t>
      </w:r>
      <w:bookmarkStart w:id="10" w:name="_Hlt26954844"/>
      <w:r/>
      <w:bookmarkEnd w:id="10"/>
      <w:r/>
      <w:bookmarkStart w:id="11" w:name="_Hlt26670486"/>
      <w:r/>
      <w:bookmarkEnd w:id="11"/>
      <w:r/>
      <w:bookmarkStart w:id="12" w:name="_Hlt16619475"/>
      <w:r/>
      <w:bookmarkEnd w:id="12"/>
      <w:r/>
      <w:bookmarkStart w:id="13" w:name="_Hlt26954846"/>
      <w:r/>
      <w:bookmarkEnd w:id="13"/>
      <w:r/>
      <w:bookmarkStart w:id="14" w:name="_Hlt26670425"/>
      <w:r/>
      <w:bookmarkEnd w:id="14"/>
      <w:r/>
      <w:bookmarkStart w:id="15" w:name="_Hlt26954848"/>
      <w:r/>
      <w:bookmarkEnd w:id="15"/>
      <w:r/>
      <w:bookmarkStart w:id="16" w:name="_Hlt26954731"/>
      <w:r/>
      <w:bookmarkEnd w:id="16"/>
      <w:r/>
      <w:bookmarkStart w:id="17" w:name="_Hlt26954852"/>
      <w:r/>
      <w:bookmarkEnd w:id="17"/>
      <w:r/>
      <w:bookmarkStart w:id="18" w:name="_Hlt26954842"/>
      <w:r/>
      <w:bookmarkEnd w:id="18"/>
      <w:r/>
      <w:bookmarkStart w:id="19" w:name="_Hlt26668983"/>
      <w:r/>
      <w:bookmarkEnd w:id="19"/>
      <w:r/>
      <w:bookmarkStart w:id="20" w:name="_Hlt26670482"/>
      <w:r/>
      <w:bookmarkEnd w:id="20"/>
      <w:r/>
      <w:bookmarkStart w:id="21" w:name="_Hlt26954739"/>
      <w:r/>
      <w:bookmarkEnd w:id="21"/>
      <w:r/>
      <w:bookmarkStart w:id="22" w:name="_Hlt26670403"/>
      <w:r/>
      <w:bookmarkEnd w:id="22"/>
      <w:r/>
      <w:r/>
    </w:p>
    <w:p>
      <w:pPr>
        <w:pStyle w:val="801"/>
        <w:rPr>
          <w:color w:val="auto"/>
          <w:highlight w:val="none"/>
        </w:rPr>
        <w:sectPr>
          <w:headerReference w:type="default" r:id="rId9"/>
          <w:footerReference w:type="default" r:id="rId11"/>
          <w:footnotePr/>
          <w:endnotePr/>
          <w:type w:val="nextPage"/>
          <w:pgSz w:w="11906" w:h="16838" w:orient="portrait"/>
          <w:pgMar w:top="1440" w:right="1486" w:bottom="1440" w:left="1800" w:header="851" w:footer="992" w:gutter="0"/>
          <w:cols w:num="1" w:sep="0" w:space="1701" w:equalWidth="1"/>
          <w:docGrid w:linePitch="360"/>
        </w:sectPr>
      </w:pPr>
      <w:r>
        <w:rPr>
          <w:color w:val="auto"/>
          <w:highlight w:val="none"/>
        </w:rPr>
      </w:r>
      <w:r/>
    </w:p>
    <w:p>
      <w:pPr>
        <w:jc w:val="center"/>
        <w:spacing w:line="360" w:lineRule="auto"/>
        <w:rPr>
          <w:rFonts w:ascii="宋体" w:hAnsi="宋体"/>
          <w:b/>
          <w:bCs/>
          <w:color w:val="auto"/>
          <w:sz w:val="44"/>
          <w:szCs w:val="44"/>
          <w:highlight w:val="none"/>
        </w:rPr>
      </w:pPr>
      <w:r>
        <w:rPr>
          <w:rFonts w:hint="eastAsia" w:ascii="宋体" w:hAnsi="宋体"/>
          <w:color w:val="auto"/>
          <w:sz w:val="44"/>
          <w:szCs w:val="44"/>
          <w:highlight w:val="none"/>
        </w:rPr>
        <w:t xml:space="preserve">第三章 投标文件格式</w:t>
      </w:r>
      <w:r/>
    </w:p>
    <w:p>
      <w:pPr>
        <w:spacing w:line="440" w:lineRule="exact"/>
        <w:rPr>
          <w:rFonts w:hint="eastAsia" w:ascii="宋体" w:hAnsi="宋体"/>
          <w:color w:val="auto"/>
          <w:szCs w:val="21"/>
          <w:highlight w:val="none"/>
        </w:rPr>
      </w:pPr>
      <w:r>
        <w:rPr>
          <w:rFonts w:hint="eastAsia" w:ascii="宋体" w:hAnsi="宋体"/>
          <w:color w:val="auto"/>
          <w:highlight w:val="none"/>
        </w:rPr>
        <w:t xml:space="preserve"> </w:t>
      </w:r>
      <w:r/>
    </w:p>
    <w:p>
      <w:pPr>
        <w:spacing w:line="440" w:lineRule="exact"/>
        <w:rPr>
          <w:rFonts w:hint="eastAsia" w:ascii="宋体" w:hAnsi="宋体"/>
          <w:color w:val="auto"/>
          <w:sz w:val="24"/>
          <w:highlight w:val="none"/>
        </w:rPr>
      </w:pPr>
      <w:r>
        <w:rPr>
          <w:rFonts w:hint="eastAsia" w:ascii="宋体" w:hAnsi="宋体"/>
          <w:color w:val="auto"/>
          <w:sz w:val="24"/>
          <w:highlight w:val="none"/>
        </w:rPr>
        <w:t xml:space="preserve">说明：</w:t>
      </w:r>
      <w:r/>
    </w:p>
    <w:p>
      <w:pPr>
        <w:ind w:firstLine="435"/>
        <w:spacing w:line="440" w:lineRule="exact"/>
        <w:rPr>
          <w:rFonts w:hint="eastAsia" w:ascii="宋体" w:hAnsi="宋体"/>
          <w:color w:val="auto"/>
          <w:sz w:val="24"/>
          <w:highlight w:val="none"/>
        </w:rPr>
      </w:pPr>
      <w:r>
        <w:rPr>
          <w:rFonts w:hint="eastAsia" w:ascii="宋体" w:hAnsi="宋体"/>
          <w:color w:val="auto"/>
          <w:sz w:val="24"/>
          <w:highlight w:val="none"/>
        </w:rPr>
        <w:t xml:space="preserve">对本章所有的投标书格式，投标方可根据自身情况进行补充和修改，但补充和修改不得造成与本格式内容有实质性的违背。</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jc w:val="left"/>
        <w:rPr>
          <w:rFonts w:hint="eastAsia" w:ascii="宋体" w:hAnsi="宋体"/>
          <w:color w:val="auto"/>
          <w:sz w:val="24"/>
          <w:highlight w:val="none"/>
        </w:rPr>
      </w:pPr>
      <w:r>
        <w:rPr>
          <w:rFonts w:hint="eastAsia" w:ascii="宋体" w:hAnsi="宋体"/>
          <w:color w:val="auto"/>
          <w:sz w:val="24"/>
          <w:highlight w:val="none"/>
          <w:lang w:val="en-US" w:eastAsia="zh-CN"/>
        </w:rPr>
        <w:t xml:space="preserve">1、</w:t>
      </w:r>
      <w:r>
        <w:rPr>
          <w:rFonts w:hint="eastAsia" w:ascii="宋体" w:hAnsi="宋体"/>
          <w:color w:val="auto"/>
          <w:sz w:val="24"/>
          <w:highlight w:val="none"/>
        </w:rPr>
        <w:t xml:space="preserve">（投标方）法定代表人授权委托书</w:t>
      </w:r>
      <w:r/>
    </w:p>
    <w:p>
      <w:pPr>
        <w:jc w:val="left"/>
        <w:rPr>
          <w:rFonts w:hint="eastAsia" w:ascii="宋体" w:hAnsi="宋体"/>
          <w:color w:val="auto"/>
          <w:sz w:val="24"/>
          <w:highlight w:val="none"/>
        </w:rPr>
      </w:pPr>
      <w:r>
        <w:rPr>
          <w:rFonts w:hint="eastAsia" w:ascii="宋体" w:hAnsi="宋体"/>
          <w:color w:val="auto"/>
          <w:sz w:val="24"/>
          <w:highlight w:val="none"/>
        </w:rPr>
        <w:t xml:space="preserve"> </w:t>
      </w:r>
      <w:r/>
    </w:p>
    <w:p>
      <w:pPr>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授权委托书</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本授权委托书声明：我</w:t>
      </w:r>
      <w:r>
        <w:rPr>
          <w:rFonts w:hint="eastAsia" w:ascii="宋体" w:hAnsi="宋体"/>
          <w:color w:val="auto"/>
          <w:sz w:val="24"/>
          <w:highlight w:val="none"/>
          <w:u w:val="single"/>
        </w:rPr>
        <w:t xml:space="preserve">  （姓名）</w:t>
      </w:r>
      <w:r>
        <w:rPr>
          <w:rFonts w:hint="eastAsia" w:ascii="宋体" w:hAnsi="宋体"/>
          <w:color w:val="auto"/>
          <w:sz w:val="24"/>
          <w:highlight w:val="none"/>
        </w:rPr>
        <w:t xml:space="preserve">系</w:t>
      </w:r>
      <w:r>
        <w:rPr>
          <w:rFonts w:hint="eastAsia" w:ascii="宋体" w:hAnsi="宋体"/>
          <w:color w:val="auto"/>
          <w:sz w:val="24"/>
          <w:highlight w:val="none"/>
          <w:u w:val="single"/>
        </w:rPr>
        <w:t xml:space="preserve">  （投标单位名称）  </w:t>
      </w:r>
      <w:r>
        <w:rPr>
          <w:rFonts w:hint="eastAsia" w:ascii="宋体" w:hAnsi="宋体"/>
          <w:color w:val="auto"/>
          <w:sz w:val="24"/>
          <w:highlight w:val="none"/>
        </w:rPr>
        <w:t xml:space="preserve">的法定代表人，现授权委托</w:t>
      </w:r>
      <w:r>
        <w:rPr>
          <w:rFonts w:hint="eastAsia" w:ascii="宋体" w:hAnsi="宋体"/>
          <w:color w:val="auto"/>
          <w:sz w:val="24"/>
          <w:highlight w:val="none"/>
          <w:u w:val="single"/>
        </w:rPr>
        <w:t xml:space="preserve">  （单位名称）  </w:t>
      </w:r>
      <w:r>
        <w:rPr>
          <w:rFonts w:hint="eastAsia" w:ascii="宋体" w:hAnsi="宋体"/>
          <w:color w:val="auto"/>
          <w:sz w:val="24"/>
          <w:highlight w:val="none"/>
        </w:rPr>
        <w:t xml:space="preserve">的</w:t>
      </w:r>
      <w:r>
        <w:rPr>
          <w:rFonts w:hint="eastAsia" w:ascii="宋体" w:hAnsi="宋体"/>
          <w:color w:val="auto"/>
          <w:sz w:val="24"/>
          <w:highlight w:val="none"/>
          <w:u w:val="single"/>
        </w:rPr>
        <w:t xml:space="preserve">  （姓名）  </w:t>
      </w:r>
      <w:r>
        <w:rPr>
          <w:rFonts w:hint="eastAsia" w:ascii="宋体" w:hAnsi="宋体"/>
          <w:color w:val="auto"/>
          <w:sz w:val="24"/>
          <w:highlight w:val="none"/>
        </w:rPr>
        <w:t xml:space="preserve">为我公司被授权人，以本公司的名义参加苏州惠德普源企业咨询有限公司组织实施的编号为</w:t>
      </w:r>
      <w:r>
        <w:rPr>
          <w:rFonts w:hint="eastAsia" w:ascii="宋体" w:hAnsi="宋体"/>
          <w:color w:val="auto"/>
          <w:sz w:val="24"/>
          <w:highlight w:val="none"/>
          <w:u w:val="single"/>
        </w:rPr>
        <w:t xml:space="preserve">  （招标编号）  </w:t>
      </w:r>
      <w:r>
        <w:rPr>
          <w:rFonts w:hint="eastAsia" w:ascii="宋体" w:hAnsi="宋体"/>
          <w:color w:val="auto"/>
          <w:sz w:val="24"/>
          <w:highlight w:val="none"/>
        </w:rPr>
        <w:t xml:space="preserve">号的招标活动。被授权人在开标、评标、合同谈判过程中所签署的一切文件和处理与此有关的一切事务，我均予以承认。</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被授权人在授权委托书有效期内签署的所有文件不因授权委托的撤销而失效，除非有撤销授权委托的书面通知，本授权委托书自投标开始至合同履行完毕止。</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被授权人无转委托权。特此委托。</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法定代表人：（签字或盖章）</w:t>
      </w:r>
      <w:r/>
    </w:p>
    <w:p>
      <w:pPr>
        <w:ind w:firstLine="420"/>
        <w:jc w:val="left"/>
        <w:spacing w:line="360" w:lineRule="auto"/>
        <w:rPr>
          <w:rFonts w:hint="eastAsia" w:ascii="宋体" w:hAnsi="宋体"/>
          <w:color w:val="auto"/>
          <w:sz w:val="24"/>
          <w:highlight w:val="none"/>
        </w:rPr>
      </w:pPr>
      <w:r>
        <w:rPr>
          <w:rFonts w:hint="eastAsia" w:ascii="宋体" w:hAnsi="宋体"/>
          <w:color w:val="auto"/>
          <w:sz w:val="24"/>
          <w:highlight w:val="none"/>
        </w:rPr>
        <w:t xml:space="preserve">被授权人：（签字）</w:t>
      </w:r>
      <w:r/>
    </w:p>
    <w:p>
      <w:pPr>
        <w:ind w:firstLine="420"/>
        <w:jc w:val="right"/>
        <w:rPr>
          <w:rFonts w:hint="eastAsia" w:ascii="宋体" w:hAnsi="宋体"/>
          <w:color w:val="auto"/>
          <w:sz w:val="24"/>
          <w:highlight w:val="none"/>
        </w:rPr>
      </w:pPr>
      <w:r>
        <w:rPr>
          <w:rFonts w:hint="eastAsia" w:ascii="宋体" w:hAnsi="宋体"/>
          <w:color w:val="auto"/>
          <w:sz w:val="24"/>
          <w:highlight w:val="none"/>
        </w:rPr>
        <w:t xml:space="preserve"> </w:t>
      </w:r>
      <w:r/>
    </w:p>
    <w:p>
      <w:pPr>
        <w:ind w:firstLine="420"/>
        <w:jc w:val="left"/>
        <w:rPr>
          <w:rFonts w:hint="eastAsia" w:ascii="宋体" w:hAnsi="宋体"/>
          <w:color w:val="auto"/>
          <w:sz w:val="24"/>
          <w:highlight w:val="none"/>
        </w:rPr>
      </w:pPr>
      <w:r>
        <w:rPr>
          <w:rFonts w:hint="eastAsia" w:ascii="宋体" w:hAnsi="宋体"/>
          <w:color w:val="auto"/>
          <w:sz w:val="24"/>
          <w:highlight w:val="none"/>
        </w:rPr>
        <w:t xml:space="preserve">日期：    年     月     日</w:t>
      </w:r>
      <w:r/>
    </w:p>
    <w:p>
      <w:pPr>
        <w:ind w:firstLine="420"/>
        <w:jc w:val="center"/>
        <w:rPr>
          <w:rFonts w:hint="eastAsia" w:ascii="宋体" w:hAnsi="宋体"/>
          <w:color w:val="auto"/>
          <w:szCs w:val="21"/>
          <w:highlight w:val="none"/>
        </w:rPr>
      </w:pPr>
      <w:r>
        <w:rPr>
          <w:rFonts w:hint="eastAsia" w:ascii="宋体" w:hAnsi="宋体"/>
          <w:color w:val="auto"/>
          <w:highlight w:val="none"/>
        </w:rPr>
        <w:t xml:space="preserve"> </w:t>
      </w:r>
      <w:r/>
    </w:p>
    <w:p>
      <w:pPr>
        <w:jc w:val="left"/>
        <w:spacing w:line="360" w:lineRule="auto"/>
        <w:rPr>
          <w:rFonts w:hint="eastAsia" w:ascii="宋体" w:hAnsi="宋体"/>
          <w:color w:val="auto"/>
          <w:sz w:val="24"/>
          <w:highlight w:val="none"/>
        </w:rPr>
      </w:pPr>
      <w:r>
        <w:rPr>
          <w:rFonts w:hint="eastAsia" w:ascii="宋体" w:hAnsi="宋体"/>
          <w:color w:val="auto"/>
          <w:sz w:val="24"/>
          <w:highlight w:val="none"/>
        </w:rPr>
        <w:br w:type="page" w:clear="all"/>
      </w:r>
      <w:r>
        <w:rPr>
          <w:rFonts w:hint="eastAsia" w:ascii="宋体" w:hAnsi="宋体"/>
          <w:color w:val="auto"/>
          <w:sz w:val="24"/>
          <w:highlight w:val="none"/>
          <w:lang w:val="en-US" w:eastAsia="zh-CN"/>
        </w:rPr>
        <w:t xml:space="preserve">2、</w:t>
      </w:r>
      <w:r>
        <w:rPr>
          <w:rFonts w:hint="eastAsia" w:ascii="宋体" w:hAnsi="宋体"/>
          <w:color w:val="auto"/>
          <w:sz w:val="24"/>
          <w:highlight w:val="none"/>
        </w:rPr>
        <w:t xml:space="preserve">投标函</w:t>
      </w:r>
      <w:r/>
    </w:p>
    <w:p>
      <w:pPr>
        <w:jc w:val="center"/>
        <w:spacing w:line="400" w:lineRule="exact"/>
        <w:rPr>
          <w:rFonts w:hint="eastAsia" w:ascii="宋体" w:hAnsi="宋体"/>
          <w:color w:val="auto"/>
          <w:sz w:val="28"/>
          <w:szCs w:val="28"/>
          <w:highlight w:val="none"/>
        </w:rPr>
      </w:pPr>
      <w:r>
        <w:rPr>
          <w:rFonts w:hint="eastAsia" w:ascii="宋体" w:hAnsi="宋体"/>
          <w:color w:val="auto"/>
          <w:sz w:val="28"/>
          <w:szCs w:val="28"/>
          <w:highlight w:val="none"/>
        </w:rPr>
        <w:t xml:space="preserve">投标函</w:t>
      </w:r>
      <w:r/>
    </w:p>
    <w:p>
      <w:pPr>
        <w:spacing w:line="400" w:lineRule="exact"/>
        <w:rPr>
          <w:rFonts w:hint="eastAsia" w:ascii="宋体" w:hAnsi="宋体"/>
          <w:color w:val="auto"/>
          <w:sz w:val="24"/>
          <w:highlight w:val="none"/>
        </w:rPr>
      </w:pPr>
      <w:r>
        <w:rPr>
          <w:rFonts w:hint="eastAsia" w:ascii="宋体" w:hAnsi="宋体"/>
          <w:color w:val="auto"/>
          <w:sz w:val="24"/>
          <w:highlight w:val="none"/>
          <w:u w:val="single"/>
        </w:rPr>
        <w:t xml:space="preserve"> 苏州惠德普源企业咨询有限公司 </w:t>
      </w:r>
      <w:r>
        <w:rPr>
          <w:rFonts w:hint="eastAsia" w:ascii="宋体" w:hAnsi="宋体"/>
          <w:color w:val="auto"/>
          <w:sz w:val="24"/>
          <w:highlight w:val="none"/>
        </w:rPr>
        <w:t xml:space="preserve">：</w:t>
      </w:r>
      <w:r/>
    </w:p>
    <w:p>
      <w:pPr>
        <w:spacing w:line="400" w:lineRule="exact"/>
        <w:rPr>
          <w:rFonts w:hint="eastAsia" w:ascii="宋体" w:hAnsi="宋体" w:cs="宋体"/>
          <w:color w:val="auto"/>
          <w:sz w:val="24"/>
          <w:highlight w:val="none"/>
        </w:rPr>
      </w:pPr>
      <w:r>
        <w:rPr>
          <w:rFonts w:hint="eastAsia" w:ascii="宋体" w:hAnsi="宋体"/>
          <w:color w:val="auto"/>
          <w:sz w:val="24"/>
          <w:highlight w:val="none"/>
        </w:rPr>
        <w:t xml:space="preserve">    </w:t>
      </w:r>
      <w:r>
        <w:rPr>
          <w:rFonts w:hint="eastAsia" w:ascii="宋体" w:hAnsi="宋体" w:cs="宋体"/>
          <w:color w:val="auto"/>
          <w:sz w:val="24"/>
          <w:highlight w:val="none"/>
        </w:rPr>
        <w:t xml:space="preserve">我们收到贵公司</w:t>
      </w:r>
      <w:r>
        <w:rPr>
          <w:rFonts w:hint="eastAsia" w:ascii="宋体" w:hAnsi="宋体" w:cs="宋体"/>
          <w:color w:val="auto"/>
          <w:sz w:val="24"/>
          <w:highlight w:val="none"/>
          <w:u w:val="single"/>
        </w:rPr>
        <w:t xml:space="preserve">（招标编号）</w:t>
      </w:r>
      <w:r>
        <w:rPr>
          <w:rFonts w:hint="eastAsia" w:ascii="宋体" w:hAnsi="宋体" w:cs="宋体"/>
          <w:color w:val="auto"/>
          <w:sz w:val="24"/>
          <w:highlight w:val="none"/>
        </w:rPr>
        <w:t xml:space="preserve">号招标文件，经仔细阅读和研究，我们同意招标文件中各款要求并决定参加投标。</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1、我们愿意按照招标文件的一切要求，提供包括招标书中要求的</w:t>
      </w:r>
      <w:r>
        <w:rPr>
          <w:rFonts w:hint="eastAsia" w:ascii="宋体" w:hAnsi="宋体" w:cs="宋体"/>
          <w:color w:val="auto"/>
          <w:sz w:val="24"/>
          <w:highlight w:val="none"/>
          <w:u w:val="single"/>
        </w:rPr>
        <w:t xml:space="preserve">（项目名称）</w:t>
      </w:r>
      <w:r>
        <w:rPr>
          <w:rFonts w:hint="eastAsia" w:ascii="宋体" w:hAnsi="宋体" w:cs="宋体"/>
          <w:color w:val="auto"/>
          <w:sz w:val="24"/>
          <w:highlight w:val="none"/>
        </w:rPr>
        <w:t xml:space="preserve">全部项目的所有费用。</w:t>
      </w:r>
      <w:r/>
    </w:p>
    <w:p>
      <w:pPr>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    2、如果我们的投标书被接受，我们将严格履行招标文件中规定的每一项要求，按期、按质、按量履行合同的义务。</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3、我们已详细审查并同意招标文件及更正文件（如有）中的规定。我们完全理解并同意放弃对这方面有不明及误解的权力。</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4、我们同意按招标文件中的规定，本投标书的有效期限为投标截止日起</w:t>
      </w:r>
      <w:r>
        <w:rPr>
          <w:rFonts w:hint="eastAsia" w:ascii="宋体" w:hAnsi="宋体" w:cs="宋体"/>
          <w:color w:val="auto"/>
          <w:sz w:val="24"/>
          <w:highlight w:val="none"/>
          <w:u w:val="single"/>
          <w:lang w:eastAsia="zh-CN"/>
        </w:rPr>
        <w:t xml:space="preserve">九</w:t>
      </w:r>
      <w:r>
        <w:rPr>
          <w:rFonts w:hint="eastAsia" w:ascii="宋体" w:hAnsi="宋体" w:cs="宋体"/>
          <w:color w:val="auto"/>
          <w:sz w:val="24"/>
          <w:highlight w:val="none"/>
          <w:u w:val="single"/>
        </w:rPr>
        <w:t xml:space="preserve">十天</w:t>
      </w:r>
      <w:r>
        <w:rPr>
          <w:rFonts w:hint="eastAsia" w:ascii="宋体" w:hAnsi="宋体" w:cs="宋体"/>
          <w:color w:val="auto"/>
          <w:sz w:val="24"/>
          <w:highlight w:val="none"/>
        </w:rPr>
        <w:t xml:space="preserve">。</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5、我们愿意提供采购人或采购代理机构在招标文件中要求的所有资料。</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6、我们声明：我们在参加本次政府采购活动前3年内在经营活动中没有重大违法记录。</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7、我们愿意遵守招标公告及招标文件中所列的收费标准</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如果我们中标，我们愿意按招标文件规定支付代理服务费。</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8、我们承诺该项投标在开标后的全过程中保持有效，不作任何更改和变动。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9、</w:t>
      </w:r>
      <w:r>
        <w:rPr>
          <w:rFonts w:hint="eastAsia" w:ascii="宋体" w:hAnsi="宋体" w:cs="宋体"/>
          <w:color w:val="auto"/>
          <w:sz w:val="24"/>
          <w:highlight w:val="none"/>
          <w:lang w:val="zh-CN"/>
        </w:rPr>
        <w:t xml:space="preserve">我们承诺若在机器码检查中被查出存在与其他投标供应商机器码一致情形的，愿意承担由此产生的一切后果，包括但不限于不得参与后续本项目因故废标后重新开展的相关采购活动。</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10、我们承诺我公司符合招标文件投标人须知中“合格投标人的资格条件”的要求，若与真实情况不符，本公司愿意承担由此而产生的一切后果。</w:t>
      </w:r>
      <w:r/>
    </w:p>
    <w:p>
      <w:pPr>
        <w:ind w:firstLine="480"/>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11、所有有关标书的函电，请按下列地址联系：</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单    位：                                  联 系 人：</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地    址：                                  邮政编码：</w:t>
      </w:r>
      <w:r/>
    </w:p>
    <w:p>
      <w:pPr>
        <w:ind w:firstLine="480"/>
        <w:jc w:val="left"/>
        <w:spacing w:line="400" w:lineRule="exact"/>
        <w:rPr>
          <w:rFonts w:hint="eastAsia" w:ascii="宋体" w:hAnsi="宋体" w:cs="宋体"/>
          <w:color w:val="auto"/>
          <w:sz w:val="24"/>
          <w:highlight w:val="none"/>
        </w:rPr>
      </w:pPr>
      <w:r>
        <w:rPr>
          <w:rFonts w:hint="eastAsia" w:ascii="宋体" w:hAnsi="宋体" w:cs="宋体"/>
          <w:color w:val="auto"/>
          <w:sz w:val="24"/>
          <w:highlight w:val="none"/>
        </w:rPr>
        <w:t xml:space="preserve">联系电话：                                  传真（或邮箱）：</w:t>
      </w:r>
      <w:r/>
    </w:p>
    <w:p>
      <w:pPr>
        <w:ind w:firstLine="480"/>
        <w:jc w:val="left"/>
        <w:spacing w:line="400" w:lineRule="exact"/>
        <w:rPr>
          <w:rFonts w:hint="eastAsia" w:ascii="宋体" w:hAnsi="宋体"/>
          <w:color w:val="auto"/>
          <w:sz w:val="24"/>
          <w:highlight w:val="none"/>
        </w:rPr>
      </w:pPr>
      <w:r>
        <w:rPr>
          <w:rFonts w:hint="eastAsia" w:ascii="宋体" w:hAnsi="宋体"/>
          <w:color w:val="auto"/>
          <w:sz w:val="24"/>
          <w:highlight w:val="none"/>
        </w:rPr>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 </w:t>
      </w:r>
      <w:r/>
    </w:p>
    <w:p>
      <w:pPr>
        <w:ind w:right="480" w:firstLine="4080"/>
        <w:spacing w:line="400" w:lineRule="exact"/>
        <w:rPr>
          <w:rFonts w:hint="eastAsia" w:ascii="宋体" w:hAnsi="宋体"/>
          <w:color w:val="auto"/>
          <w:sz w:val="24"/>
          <w:highlight w:val="none"/>
        </w:rPr>
      </w:pPr>
      <w:r>
        <w:rPr>
          <w:rFonts w:hint="eastAsia" w:ascii="宋体" w:hAnsi="宋体"/>
          <w:color w:val="auto"/>
          <w:sz w:val="24"/>
          <w:highlight w:val="none"/>
        </w:rPr>
        <w:t xml:space="preserve">投标单位：（单位盖章）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法定代表人或被授权人：（签字或盖章）</w:t>
      </w:r>
      <w:r/>
    </w:p>
    <w:p>
      <w:pPr>
        <w:jc w:val="right"/>
        <w:spacing w:line="400" w:lineRule="exact"/>
        <w:rPr>
          <w:rFonts w:hint="eastAsia" w:ascii="宋体" w:hAnsi="宋体"/>
          <w:color w:val="auto"/>
          <w:sz w:val="24"/>
          <w:highlight w:val="none"/>
        </w:rPr>
      </w:pPr>
      <w:r>
        <w:rPr>
          <w:rFonts w:hint="eastAsia" w:ascii="宋体" w:hAnsi="宋体"/>
          <w:color w:val="auto"/>
          <w:sz w:val="24"/>
          <w:highlight w:val="none"/>
        </w:rPr>
        <w:t xml:space="preserve">年     月     日</w:t>
      </w:r>
      <w:r/>
    </w:p>
    <w:p>
      <w:pPr>
        <w:rPr>
          <w:rFonts w:hint="eastAsia" w:ascii="宋体" w:hAnsi="宋体"/>
          <w:color w:val="auto"/>
          <w:sz w:val="28"/>
          <w:szCs w:val="28"/>
          <w:highlight w:val="none"/>
        </w:rPr>
      </w:pPr>
      <w:r>
        <w:rPr>
          <w:rFonts w:hint="eastAsia" w:ascii="宋体" w:hAnsi="宋体"/>
          <w:color w:val="auto"/>
          <w:sz w:val="28"/>
          <w:szCs w:val="28"/>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3、报价</w:t>
      </w:r>
      <w:r/>
    </w:p>
    <w:p>
      <w:pPr>
        <w:spacing w:line="360" w:lineRule="auto"/>
        <w:rPr>
          <w:rFonts w:hint="eastAsia" w:ascii="宋体" w:hAnsi="宋体" w:cs="宋体"/>
          <w:b/>
          <w:color w:val="auto"/>
          <w:sz w:val="24"/>
          <w:highlight w:val="none"/>
        </w:rPr>
      </w:pPr>
      <w:r>
        <w:rPr>
          <w:rFonts w:hint="eastAsia" w:ascii="宋体" w:hAnsi="宋体"/>
          <w:color w:val="auto"/>
          <w:sz w:val="28"/>
          <w:szCs w:val="28"/>
          <w:highlight w:val="none"/>
        </w:rPr>
        <w:t xml:space="preserve">3.1开标一览表（</w:t>
      </w:r>
      <w:r>
        <w:rPr>
          <w:rFonts w:hint="eastAsia" w:ascii="宋体" w:hAnsi="宋体" w:cs="宋体"/>
          <w:b/>
          <w:color w:val="auto"/>
          <w:sz w:val="24"/>
          <w:highlight w:val="none"/>
        </w:rPr>
        <w:t xml:space="preserve">按投标系统内统一格式）</w:t>
      </w:r>
      <w:r/>
    </w:p>
    <w:p>
      <w:pPr>
        <w:pStyle w:val="800"/>
        <w:rPr>
          <w:rFonts w:hint="eastAsia"/>
          <w:color w:val="auto"/>
          <w:highlight w:val="none"/>
        </w:rPr>
      </w:pPr>
      <w:r>
        <w:rPr>
          <w:rFonts w:hint="eastAsia"/>
          <w:color w:val="auto"/>
          <w:highlight w:val="none"/>
        </w:rPr>
      </w:r>
      <w:r/>
    </w:p>
    <w:p>
      <w:pPr>
        <w:jc w:val="center"/>
        <w:spacing w:line="360" w:lineRule="auto"/>
        <w:rPr>
          <w:rFonts w:hint="eastAsia" w:ascii="宋体" w:hAnsi="宋体" w:eastAsia="宋体" w:cs="宋体"/>
          <w:b/>
          <w:color w:val="auto"/>
          <w:sz w:val="24"/>
          <w:highlight w:val="none"/>
        </w:rPr>
      </w:pPr>
      <w:r>
        <w:rPr>
          <w:rFonts w:hint="eastAsia" w:ascii="宋体" w:hAnsi="宋体" w:eastAsia="宋体" w:cs="宋体"/>
          <w:b/>
          <w:color w:val="auto"/>
          <w:sz w:val="24"/>
          <w:highlight w:val="none"/>
        </w:rPr>
        <w:t xml:space="preserve">开标一览表</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投标人全称（加盖公章）：</w:t>
      </w:r>
      <w:bookmarkStart w:id="23" w:name="TBR"/>
      <w:r/>
      <w:bookmarkEnd w:id="23"/>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zh-CN"/>
        </w:rPr>
        <w:t xml:space="preserve">项目编号：</w:t>
      </w:r>
      <w:r/>
    </w:p>
    <w:p>
      <w:pPr>
        <w:spacing w:line="360" w:lineRule="auto"/>
        <w:rPr>
          <w:rFonts w:hint="eastAsia" w:ascii="宋体" w:hAnsi="宋体"/>
          <w:color w:val="auto"/>
          <w:sz w:val="24"/>
          <w:szCs w:val="24"/>
          <w:highlight w:val="none"/>
          <w:lang w:val="zh-CN"/>
        </w:rPr>
      </w:pPr>
      <w:r>
        <w:rPr>
          <w:rFonts w:hint="eastAsia" w:ascii="宋体" w:hAnsi="宋体"/>
          <w:color w:val="auto"/>
          <w:sz w:val="24"/>
          <w:szCs w:val="24"/>
          <w:highlight w:val="none"/>
          <w:lang w:val="en-US" w:eastAsia="zh-CN"/>
        </w:rPr>
        <w:t xml:space="preserve">分包</w:t>
      </w:r>
      <w:r>
        <w:rPr>
          <w:rFonts w:hint="eastAsia" w:ascii="宋体" w:hAnsi="宋体"/>
          <w:color w:val="auto"/>
          <w:sz w:val="24"/>
          <w:szCs w:val="24"/>
          <w:highlight w:val="none"/>
          <w:lang w:val="zh-CN"/>
        </w:rPr>
        <w:t xml:space="preserve">号：</w:t>
      </w:r>
      <w:bookmarkStart w:id="24" w:name="FBH"/>
      <w:r/>
      <w:bookmarkEnd w:id="24"/>
      <w:r/>
      <w:r/>
    </w:p>
    <w:tbl>
      <w:tblPr>
        <w:tblStyle w:val="794"/>
        <w:tblW w:w="8235" w:type="dxa"/>
        <w:tblInd w:w="160"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2445"/>
        <w:gridCol w:w="5790"/>
      </w:tblGrid>
      <w:tr>
        <w:trPr>
          <w:cantSplit/>
          <w:trHeight w:val="607"/>
        </w:trPr>
        <w:tc>
          <w:tcPr>
            <w:tcW w:w="2445" w:type="dxa"/>
            <w:vAlign w:val="center"/>
            <w:textDirection w:val="lrTb"/>
            <w:noWrap w:val="false"/>
          </w:tcPr>
          <w:p>
            <w:pPr>
              <w:spacing w:line="360" w:lineRule="auto"/>
              <w:rPr>
                <w:rFonts w:ascii="宋体" w:hAnsi="宋体"/>
                <w:color w:val="auto"/>
                <w:sz w:val="24"/>
                <w:szCs w:val="24"/>
                <w:highlight w:val="none"/>
              </w:rPr>
            </w:pPr>
            <w:r>
              <w:rPr>
                <w:rFonts w:hint="eastAsia" w:ascii="宋体" w:hAnsi="宋体"/>
                <w:color w:val="auto"/>
                <w:sz w:val="24"/>
                <w:szCs w:val="24"/>
                <w:highlight w:val="none"/>
                <w:lang w:val="zh-CN"/>
              </w:rPr>
              <w:t xml:space="preserve">  </w:t>
            </w:r>
            <w:bookmarkStart w:id="25" w:name="XMBH"/>
            <w:r/>
            <w:bookmarkEnd w:id="25"/>
            <w:r>
              <w:rPr>
                <w:rFonts w:hint="eastAsia" w:ascii="宋体" w:hAnsi="宋体"/>
                <w:color w:val="auto"/>
                <w:sz w:val="24"/>
                <w:szCs w:val="24"/>
                <w:highlight w:val="none"/>
              </w:rPr>
              <w:t xml:space="preserve">项目名称</w:t>
            </w:r>
            <w:r/>
          </w:p>
        </w:tc>
        <w:tc>
          <w:tcPr>
            <w:tcW w:w="5790"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投标总报价</w:t>
            </w:r>
            <w:r/>
          </w:p>
        </w:tc>
      </w:tr>
      <w:tr>
        <w:trPr>
          <w:cantSplit/>
          <w:trHeight w:val="607"/>
        </w:trPr>
        <w:tc>
          <w:tcPr>
            <w:tcW w:w="2445" w:type="dxa"/>
            <w:vAlign w:val="center"/>
            <w:textDirection w:val="lrTb"/>
            <w:noWrap w:val="false"/>
          </w:tcPr>
          <w:p>
            <w:pPr>
              <w:jc w:val="center"/>
              <w:spacing w:line="600" w:lineRule="exact"/>
              <w:rPr>
                <w:rFonts w:ascii="宋体" w:hAnsi="宋体"/>
                <w:color w:val="auto"/>
                <w:sz w:val="24"/>
                <w:szCs w:val="24"/>
                <w:highlight w:val="none"/>
              </w:rPr>
            </w:pPr>
            <w:r/>
            <w:bookmarkStart w:id="26" w:name="XMMC"/>
            <w:r/>
            <w:bookmarkEnd w:id="26"/>
            <w:r/>
            <w:r/>
          </w:p>
        </w:tc>
        <w:tc>
          <w:tcPr>
            <w:tcW w:w="5790" w:type="dxa"/>
            <w:vAlign w:val="center"/>
            <w:textDirection w:val="lrTb"/>
            <w:noWrap w:val="false"/>
          </w:tcPr>
          <w:p>
            <w:pP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小写：</w:t>
            </w:r>
            <w:bookmarkStart w:id="27" w:name="JEXX"/>
            <w:r/>
            <w:bookmarkEnd w:id="27"/>
            <w:r>
              <w:rPr>
                <w:rFonts w:hint="eastAsia" w:ascii="宋体" w:hAnsi="宋体"/>
                <w:color w:val="auto"/>
                <w:sz w:val="24"/>
                <w:szCs w:val="24"/>
                <w:highlight w:val="none"/>
              </w:rPr>
              <w:t xml:space="preserve">   </w:t>
            </w:r>
            <w:r>
              <w:rPr>
                <w:rFonts w:hint="eastAsia" w:ascii="宋体" w:hAnsi="宋体"/>
                <w:color w:val="auto"/>
                <w:sz w:val="24"/>
                <w:szCs w:val="24"/>
                <w:highlight w:val="none"/>
                <w:lang w:val="en-US" w:eastAsia="zh-CN"/>
              </w:rPr>
              <w:t xml:space="preserve">                    </w:t>
            </w:r>
            <w:r>
              <w:rPr>
                <w:rFonts w:hint="eastAsia" w:ascii="宋体" w:hAnsi="宋体"/>
                <w:color w:val="auto"/>
                <w:sz w:val="24"/>
                <w:szCs w:val="24"/>
                <w:highlight w:val="none"/>
              </w:rPr>
              <w:t xml:space="preserve">  （元人民币）</w:t>
            </w:r>
            <w:r/>
          </w:p>
        </w:tc>
      </w:tr>
      <w:tr>
        <w:trPr>
          <w:cantSplit/>
          <w:trHeight w:val="617"/>
        </w:trPr>
        <w:tc>
          <w:tcPr>
            <w:tcW w:w="2445" w:type="dxa"/>
            <w:vAlign w:val="center"/>
            <w:textDirection w:val="lrTb"/>
            <w:noWrap w:val="false"/>
          </w:tcPr>
          <w:p>
            <w:pPr>
              <w:jc w:val="center"/>
              <w:spacing w:line="600" w:lineRule="exact"/>
              <w:rPr>
                <w:rFonts w:ascii="宋体" w:hAnsi="宋体"/>
                <w:color w:val="auto"/>
                <w:sz w:val="24"/>
                <w:szCs w:val="24"/>
                <w:highlight w:val="none"/>
              </w:rPr>
            </w:pPr>
            <w:r>
              <w:rPr>
                <w:rFonts w:hint="eastAsia" w:ascii="宋体" w:hAnsi="宋体"/>
                <w:color w:val="auto"/>
                <w:sz w:val="24"/>
                <w:szCs w:val="24"/>
                <w:highlight w:val="none"/>
              </w:rPr>
              <w:t xml:space="preserve">投标报价大写金额</w:t>
            </w:r>
            <w:r/>
          </w:p>
        </w:tc>
        <w:tc>
          <w:tcPr>
            <w:tcW w:w="5790" w:type="dxa"/>
            <w:vAlign w:val="center"/>
            <w:textDirection w:val="lrTb"/>
            <w:noWrap w:val="false"/>
          </w:tcPr>
          <w:p>
            <w:pPr>
              <w:spacing w:line="600" w:lineRule="exact"/>
              <w:rPr>
                <w:rFonts w:ascii="宋体" w:hAnsi="宋体"/>
                <w:color w:val="auto"/>
                <w:sz w:val="24"/>
                <w:szCs w:val="24"/>
                <w:highlight w:val="none"/>
              </w:rPr>
            </w:pPr>
            <w:r/>
            <w:bookmarkStart w:id="28" w:name="JEDX"/>
            <w:r/>
            <w:bookmarkEnd w:id="28"/>
            <w:r>
              <w:rPr>
                <w:rFonts w:hint="eastAsia" w:ascii="宋体" w:hAnsi="宋体"/>
                <w:color w:val="auto"/>
                <w:sz w:val="24"/>
                <w:szCs w:val="24"/>
                <w:highlight w:val="none"/>
              </w:rPr>
              <w:t xml:space="preserve">   </w:t>
            </w:r>
            <w:r/>
          </w:p>
        </w:tc>
      </w:tr>
    </w:tbl>
    <w:p>
      <w:pPr>
        <w:spacing w:line="600" w:lineRule="exact"/>
        <w:rPr>
          <w:rFonts w:ascii="宋体" w:hAnsi="宋体"/>
          <w:color w:val="auto"/>
          <w:szCs w:val="21"/>
          <w:highlight w:val="none"/>
        </w:rPr>
      </w:pPr>
      <w:r>
        <w:rPr>
          <w:rFonts w:ascii="宋体" w:hAnsi="宋体"/>
          <w:color w:val="auto"/>
          <w:szCs w:val="21"/>
          <w:highlight w:val="none"/>
        </w:rPr>
      </w:r>
      <w:r/>
    </w:p>
    <w:p>
      <w:pPr>
        <w:jc w:val="left"/>
        <w:spacing w:line="360" w:lineRule="auto"/>
        <w:rPr>
          <w:rFonts w:hint="eastAsia" w:ascii="宋体" w:hAnsi="宋体"/>
          <w:color w:val="auto"/>
          <w:sz w:val="24"/>
          <w:szCs w:val="24"/>
          <w:highlight w:val="none"/>
          <w:lang w:val="zh-CN"/>
        </w:rPr>
      </w:pPr>
      <w:r>
        <w:rPr>
          <w:rFonts w:hint="eastAsia" w:ascii="宋体" w:hAnsi="宋体"/>
          <w:color w:val="auto"/>
          <w:szCs w:val="21"/>
          <w:highlight w:val="none"/>
        </w:rPr>
        <w:t xml:space="preserve">                               </w:t>
      </w:r>
      <w:r>
        <w:rPr>
          <w:rFonts w:ascii="宋体" w:hAnsi="宋体"/>
          <w:color w:val="auto"/>
          <w:szCs w:val="21"/>
          <w:highlight w:val="none"/>
        </w:rPr>
        <w:t xml:space="preserve">                     </w:t>
      </w:r>
      <w:r>
        <w:rPr>
          <w:rFonts w:hint="eastAsia" w:ascii="宋体" w:hAnsi="宋体"/>
          <w:color w:val="auto"/>
          <w:sz w:val="24"/>
          <w:szCs w:val="24"/>
          <w:highlight w:val="none"/>
          <w:lang w:val="zh-CN"/>
        </w:rPr>
        <w:t xml:space="preserve"> 日期：   </w:t>
      </w:r>
      <w:bookmarkStart w:id="29" w:name="NF"/>
      <w:r/>
      <w:bookmarkEnd w:id="29"/>
      <w:r>
        <w:rPr>
          <w:rFonts w:hint="eastAsia" w:ascii="宋体" w:hAnsi="宋体"/>
          <w:color w:val="auto"/>
          <w:sz w:val="24"/>
          <w:szCs w:val="24"/>
          <w:highlight w:val="none"/>
          <w:lang w:val="zh-CN"/>
        </w:rPr>
        <w:t xml:space="preserve"> 年 </w:t>
      </w:r>
      <w:bookmarkStart w:id="30" w:name="YF"/>
      <w:r/>
      <w:bookmarkEnd w:id="30"/>
      <w:r>
        <w:rPr>
          <w:rFonts w:hint="eastAsia" w:ascii="宋体" w:hAnsi="宋体"/>
          <w:color w:val="auto"/>
          <w:sz w:val="24"/>
          <w:szCs w:val="24"/>
          <w:highlight w:val="none"/>
          <w:lang w:val="zh-CN"/>
        </w:rPr>
        <w:t xml:space="preserve">  月 </w:t>
      </w:r>
      <w:bookmarkStart w:id="31" w:name="RI"/>
      <w:r/>
      <w:bookmarkEnd w:id="31"/>
      <w:r>
        <w:rPr>
          <w:rFonts w:hint="eastAsia" w:ascii="宋体" w:hAnsi="宋体"/>
          <w:color w:val="auto"/>
          <w:sz w:val="24"/>
          <w:szCs w:val="24"/>
          <w:highlight w:val="none"/>
          <w:lang w:val="zh-CN"/>
        </w:rPr>
        <w:t xml:space="preserve">  日</w:t>
      </w:r>
      <w:r/>
    </w:p>
    <w:p>
      <w:pPr>
        <w:pStyle w:val="1029"/>
        <w:ind w:firstLine="0"/>
        <w:spacing w:line="360" w:lineRule="auto"/>
        <w:rPr>
          <w:rFonts w:hint="default" w:ascii="宋体" w:hAnsi="宋体" w:eastAsia="楷体_GB2312"/>
          <w:color w:val="auto"/>
          <w:sz w:val="28"/>
          <w:szCs w:val="28"/>
          <w:highlight w:val="none"/>
          <w:lang w:val="en-US" w:eastAsia="zh-CN"/>
        </w:rPr>
      </w:pPr>
      <w:r>
        <w:rPr>
          <w:rFonts w:hint="eastAsia" w:ascii="宋体" w:hAnsi="宋体"/>
          <w:color w:val="auto"/>
          <w:highlight w:val="none"/>
        </w:rPr>
        <w:br w:type="page" w:clear="all"/>
      </w:r>
      <w:r>
        <w:rPr>
          <w:rFonts w:hint="eastAsia" w:ascii="宋体" w:hAnsi="宋体"/>
          <w:color w:val="auto"/>
          <w:sz w:val="28"/>
          <w:szCs w:val="28"/>
          <w:highlight w:val="none"/>
        </w:rPr>
        <w:t xml:space="preserve">3.2</w:t>
      </w:r>
      <w:r>
        <w:rPr>
          <w:rFonts w:hint="eastAsia" w:ascii="宋体" w:hAnsi="宋体" w:eastAsia="宋体"/>
          <w:color w:val="auto"/>
          <w:sz w:val="28"/>
          <w:szCs w:val="28"/>
          <w:highlight w:val="none"/>
          <w:lang w:val="en-US" w:eastAsia="zh-CN"/>
        </w:rPr>
        <w:t xml:space="preserve">公开分项报价表</w:t>
      </w:r>
      <w:r/>
    </w:p>
    <w:p>
      <w:pPr>
        <w:jc w:val="both"/>
        <w:spacing w:line="360" w:lineRule="auto"/>
        <w:rPr>
          <w:rFonts w:hint="eastAsia" w:ascii="宋体" w:hAnsi="宋体"/>
          <w:bCs/>
          <w:color w:val="auto"/>
          <w:sz w:val="28"/>
          <w:szCs w:val="28"/>
          <w:highlight w:val="none"/>
        </w:rPr>
      </w:pPr>
      <w:r>
        <w:rPr>
          <w:rFonts w:hint="eastAsia" w:ascii="宋体" w:hAnsi="宋体"/>
          <w:bCs/>
          <w:color w:val="auto"/>
          <w:sz w:val="28"/>
          <w:szCs w:val="28"/>
          <w:highlight w:val="none"/>
        </w:rPr>
      </w:r>
      <w:r/>
    </w:p>
    <w:p>
      <w:pPr>
        <w:jc w:val="center"/>
        <w:spacing w:line="360" w:lineRule="auto"/>
        <w:rPr>
          <w:rFonts w:hint="eastAsia" w:ascii="宋体" w:hAnsi="宋体" w:eastAsia="宋体" w:cs="宋体"/>
          <w:b/>
          <w:color w:val="auto"/>
          <w:sz w:val="24"/>
          <w:highlight w:val="none"/>
          <w:lang w:eastAsia="zh-CN"/>
        </w:rPr>
      </w:pPr>
      <w:r/>
      <w:bookmarkStart w:id="32" w:name="_Hlk141468438"/>
      <w:r>
        <w:rPr>
          <w:rFonts w:hint="eastAsia" w:ascii="宋体" w:hAnsi="宋体" w:cs="宋体"/>
          <w:b/>
          <w:color w:val="auto"/>
          <w:sz w:val="24"/>
          <w:highlight w:val="none"/>
          <w:lang w:val="en-US" w:eastAsia="zh-CN"/>
        </w:rPr>
        <w:t xml:space="preserve">公开分项报价</w:t>
      </w:r>
      <w:r>
        <w:rPr>
          <w:rFonts w:hint="eastAsia" w:ascii="宋体" w:hAnsi="宋体" w:cs="宋体"/>
          <w:b/>
          <w:color w:val="auto"/>
          <w:sz w:val="24"/>
          <w:highlight w:val="none"/>
        </w:rPr>
        <w:t xml:space="preserve">表</w:t>
      </w:r>
      <w:bookmarkEnd w:id="32"/>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采购包1</w:t>
      </w:r>
      <w:r>
        <w:rPr>
          <w:rFonts w:hint="eastAsia" w:ascii="宋体" w:hAnsi="宋体" w:cs="宋体"/>
          <w:b/>
          <w:color w:val="auto"/>
          <w:sz w:val="24"/>
          <w:highlight w:val="none"/>
          <w:lang w:eastAsia="zh-CN"/>
        </w:rPr>
        <w:t xml:space="preserve">）</w:t>
      </w:r>
      <w:r/>
    </w:p>
    <w:tbl>
      <w:tblPr>
        <w:tblStyle w:val="794"/>
        <w:tblW w:w="8675"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78"/>
        <w:gridCol w:w="530"/>
        <w:gridCol w:w="635"/>
        <w:gridCol w:w="688"/>
        <w:gridCol w:w="935"/>
        <w:gridCol w:w="565"/>
        <w:gridCol w:w="582"/>
        <w:gridCol w:w="1500"/>
        <w:gridCol w:w="495"/>
        <w:gridCol w:w="423"/>
        <w:gridCol w:w="529"/>
        <w:gridCol w:w="653"/>
        <w:gridCol w:w="662"/>
      </w:tblGrid>
      <w:tr>
        <w:trPr>
          <w:trHeight w:val="480"/>
        </w:trPr>
        <w:tc>
          <w:tcPr>
            <w:gridSpan w:val="13"/>
            <w:shd w:val="clear" w:color="auto" w:fill="auto"/>
            <w:tcBorders>
              <w:top w:val="none" w:color="000000" w:sz="4" w:space="0"/>
              <w:left w:val="none" w:color="000000" w:sz="4" w:space="0"/>
              <w:bottom w:val="none" w:color="000000" w:sz="4" w:space="0"/>
              <w:right w:val="none" w:color="000000" w:sz="4" w:space="0"/>
            </w:tcBorders>
            <w:tcW w:w="8675"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（1）</w:t>
            </w:r>
            <w:r>
              <w:rPr>
                <w:rFonts w:hint="eastAsia" w:ascii="宋体" w:hAnsi="宋体" w:eastAsia="宋体" w:cs="宋体"/>
                <w:b/>
                <w:bCs/>
                <w:i w:val="0"/>
                <w:iCs w:val="0"/>
                <w:color w:val="auto"/>
                <w:sz w:val="32"/>
                <w:szCs w:val="32"/>
                <w:highlight w:val="none"/>
                <w:u w:val="none"/>
                <w:lang w:val="en-US" w:eastAsia="zh-CN" w:bidi="ar"/>
              </w:rPr>
              <w:t xml:space="preserve">狮山路花箱</w:t>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三角梅(红色)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5加仑盆,满盆,株形饱满,种植时盛花期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长春花(粉色红心)</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1034箱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长春花(玫红白心)</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桥侧分带花箱(高:60*40)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鸟尾花</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桥侧分带花箱(矮:120*40)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9912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垂吊矮牵牛(粉红)</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1034箱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桥侧分带花箱(高:60*40)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桥侧分带花箱(矮:120*40)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9912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第三次(1月初-3月底)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(运河路-淮海街)</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258箱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北美冬青</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5加仑盆,满盆,株形饱满,5分枝以上/株,摆放时盛果期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紫罗兰(粉色)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1548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4128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517箱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9306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1574"/>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(长江路-淮海街)</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259组</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3箱/组</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紫罗兰(杂色)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32盆/组</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8288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38盆/组</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9842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桥侧分带花箱(高:60*40)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紫罗兰(紫色)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non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桥侧分带花箱(矮:120*40)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12744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第四次(4月初-5月中旬)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无尽夏绣球(蓝色)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比格海棠(红花)</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6192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1034箱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15510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桥侧分带花箱(高:60*40)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无尽夏绣球(蓝色)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比格海棠(红花)</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260</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桥侧分带花箱(矮:120*40)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垂吊矮牵牛(粉红)</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9912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867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第五次(5月下旬-6月底)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4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道路中分带(90*35)</w:t>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中间花箱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朱瑾(红色)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516</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繁星花(玫红)</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7224</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两侧花箱</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1034箱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萨利芳鼠尾草(蓝色)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18612</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桥侧分带花箱(高:60*40)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五色梅(红色)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30-35</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78"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1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桥侧分带花箱(矮:120*40)</w:t>
            </w:r>
            <w:r/>
          </w:p>
        </w:tc>
        <w:tc>
          <w:tcPr>
            <w:shd w:val="clear" w:color="auto" w:fill="auto"/>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472箱</w:t>
            </w:r>
            <w:r/>
          </w:p>
        </w:tc>
        <w:tc>
          <w:tcPr>
            <w:shd w:val="clear" w:color="auto" w:fill="auto"/>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萨利芳鼠尾草(蓝色)</w:t>
            </w:r>
            <w:r/>
          </w:p>
        </w:tc>
        <w:tc>
          <w:tcPr>
            <w:shd w:val="clear" w:color="auto" w:fill="auto"/>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24盆/箱</w:t>
            </w:r>
            <w:r/>
          </w:p>
        </w:tc>
        <w:tc>
          <w:tcPr>
            <w:shd w:val="clear" w:color="auto" w:fill="auto"/>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11328</w:t>
            </w:r>
            <w:r/>
          </w:p>
        </w:tc>
        <w:tc>
          <w:tcPr>
            <w:shd w:val="clear" w:color="auto" w:fill="auto"/>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62"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92d050"/>
            <w:tcBorders>
              <w:top w:val="single" w:color="000000" w:sz="4" w:space="0"/>
              <w:left w:val="single" w:color="000000" w:sz="4" w:space="0"/>
              <w:bottom w:val="single" w:color="000000" w:sz="4" w:space="0"/>
              <w:right w:val="single" w:color="000000" w:sz="4" w:space="0"/>
            </w:tcBorders>
            <w:tcW w:w="47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3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3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8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93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6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150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95"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23"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29"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53"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6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auto"/>
            <w:tcBorders>
              <w:top w:val="single" w:color="000000" w:sz="4" w:space="0"/>
              <w:left w:val="single" w:color="000000" w:sz="4" w:space="0"/>
              <w:bottom w:val="single" w:color="000000" w:sz="4" w:space="0"/>
              <w:right w:val="single" w:color="000000" w:sz="4" w:space="0"/>
            </w:tcBorders>
            <w:tcW w:w="8675" w:type="dxa"/>
            <w:vAlign w:val="center"/>
            <w:textDirection w:val="lrTb"/>
            <w:noWrap/>
          </w:tcPr>
          <w:p>
            <w:pPr>
              <w:jc w:val="left"/>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小计金额①：</w:t>
            </w:r>
            <w:r/>
          </w:p>
        </w:tc>
      </w:tr>
    </w:tbl>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06"/>
        <w:gridCol w:w="812"/>
        <w:gridCol w:w="1165"/>
        <w:gridCol w:w="652"/>
        <w:gridCol w:w="583"/>
        <w:gridCol w:w="1588"/>
        <w:gridCol w:w="759"/>
        <w:gridCol w:w="423"/>
        <w:gridCol w:w="583"/>
        <w:gridCol w:w="794"/>
        <w:gridCol w:w="657"/>
      </w:tblGrid>
      <w:tr>
        <w:trPr>
          <w:trHeight w:val="480"/>
        </w:trPr>
        <w:tc>
          <w:tcPr>
            <w:gridSpan w:val="11"/>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（2）</w:t>
            </w:r>
            <w:r>
              <w:rPr>
                <w:rFonts w:hint="eastAsia" w:ascii="宋体" w:hAnsi="宋体" w:eastAsia="宋体" w:cs="宋体"/>
                <w:b/>
                <w:bCs/>
                <w:i w:val="0"/>
                <w:iCs w:val="0"/>
                <w:color w:val="auto"/>
                <w:sz w:val="32"/>
                <w:szCs w:val="32"/>
                <w:highlight w:val="none"/>
                <w:u w:val="none"/>
                <w:lang w:val="en-US" w:eastAsia="zh-CN" w:bidi="ar"/>
              </w:rPr>
              <w:t xml:space="preserve">狮山路地栽   </w:t>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长春花(玫红白心、粉色、红色)</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比格海棠(花叶红色、粉花)</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四季草花第三次(1月初-4月中旬)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角堇(蓝粉、蓝紫、粉色、黄色)</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虞美人(3月初-4月中旬)</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150#盆,满盆,株形饱满,拼放时花开5朵以上,种植时不露土,仅狮山路与长江路口处种植</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四季草花第四次(4月下旬-6月底)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超级凤仙(粉色、红色、玫红)</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狮山路</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38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53</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小计金额②：</w:t>
            </w:r>
            <w:r/>
          </w:p>
        </w:tc>
      </w:tr>
      <w:tr>
        <w:trPr>
          <w:trHeight w:val="280"/>
        </w:trPr>
        <w:tc>
          <w:tcPr>
            <w:gridSpan w:val="11"/>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left"/>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③合计金额=①+②：</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注：1）此表“</w:t>
      </w:r>
      <w:r>
        <w:rPr>
          <w:rFonts w:hint="eastAsia" w:ascii="宋体" w:hAnsi="宋体" w:cs="宋体"/>
          <w:color w:val="auto"/>
          <w:sz w:val="24"/>
          <w:szCs w:val="24"/>
          <w:highlight w:val="none"/>
          <w:lang w:bidi="ar"/>
        </w:rPr>
        <w:t xml:space="preserve">③</w:t>
      </w:r>
      <w:r>
        <w:rPr>
          <w:rFonts w:hint="eastAsia" w:ascii="宋体" w:hAnsi="宋体"/>
          <w:color w:val="auto"/>
          <w:sz w:val="24"/>
          <w:highlight w:val="none"/>
        </w:rPr>
        <w:t xml:space="preserve">合计金额”与</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“项目总价”须保持一致，否则以</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价格为准。可根据需要自行调整。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本清单内采购数量为计划数量，结算时以实际发生数量为准，实际如超出计划数量，相关费用不再核增；实际数量如小于招标清单数量，费用按照投标报价作相应核减</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）本表中的报价为综合报价，应</w:t>
      </w:r>
      <w:r>
        <w:rPr>
          <w:rFonts w:hint="eastAsia" w:ascii="宋体" w:hAnsi="宋体"/>
          <w:color w:val="auto"/>
          <w:sz w:val="24"/>
          <w:highlight w:val="none"/>
          <w:lang w:eastAsia="zh-CN"/>
        </w:rPr>
        <w:t xml:space="preserve">包括但不限于所需要的花木、种植基质（如草炭、珍珠岩、营养土等）、辅助材料、人工、机械、运输、仓储、安装、调试、保险、劳保、设计费、各种税费、绿化养护费用、管理费、利润、代理服务费、专利技术及养护期间等一切费用</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360" w:lineRule="auto"/>
        <w:rPr>
          <w:rFonts w:hint="eastAsia" w:ascii="宋体" w:hAnsi="宋体" w:eastAsia="宋体" w:cs="宋体"/>
          <w:b/>
          <w:color w:val="auto"/>
          <w:sz w:val="24"/>
          <w:highlight w:val="none"/>
          <w:lang w:eastAsia="zh-CN"/>
        </w:rPr>
      </w:pPr>
      <w:r>
        <w:rPr>
          <w:rFonts w:hint="eastAsia" w:ascii="宋体" w:hAnsi="宋体" w:cs="宋体"/>
          <w:b/>
          <w:color w:val="auto"/>
          <w:sz w:val="24"/>
          <w:highlight w:val="none"/>
          <w:lang w:val="en-US" w:eastAsia="zh-CN"/>
        </w:rPr>
        <w:t xml:space="preserve">公开分项报价</w:t>
      </w:r>
      <w:r>
        <w:rPr>
          <w:rFonts w:hint="eastAsia" w:ascii="宋体" w:hAnsi="宋体" w:cs="宋体"/>
          <w:b/>
          <w:color w:val="auto"/>
          <w:sz w:val="24"/>
          <w:highlight w:val="none"/>
        </w:rPr>
        <w:t xml:space="preserve">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采购包2</w:t>
      </w:r>
      <w:r>
        <w:rPr>
          <w:rFonts w:hint="eastAsia" w:ascii="宋体" w:hAnsi="宋体" w:cs="宋体"/>
          <w:b/>
          <w:color w:val="auto"/>
          <w:sz w:val="24"/>
          <w:highlight w:val="none"/>
          <w:lang w:eastAsia="zh-CN"/>
        </w:rPr>
        <w:t xml:space="preserve">）</w:t>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071"/>
        <w:gridCol w:w="988"/>
        <w:gridCol w:w="618"/>
        <w:gridCol w:w="794"/>
        <w:gridCol w:w="1623"/>
        <w:gridCol w:w="918"/>
        <w:gridCol w:w="459"/>
        <w:gridCol w:w="635"/>
        <w:gridCol w:w="724"/>
        <w:gridCol w:w="692"/>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（1）</w:t>
            </w:r>
            <w:r>
              <w:rPr>
                <w:rFonts w:hint="eastAsia" w:ascii="宋体" w:hAnsi="宋体" w:eastAsia="宋体" w:cs="宋体"/>
                <w:b/>
                <w:bCs/>
                <w:i w:val="0"/>
                <w:iCs w:val="0"/>
                <w:color w:val="auto"/>
                <w:sz w:val="32"/>
                <w:szCs w:val="32"/>
                <w:highlight w:val="none"/>
                <w:u w:val="none"/>
                <w:lang w:val="en-US" w:eastAsia="zh-CN" w:bidi="ar"/>
              </w:rPr>
              <w:t xml:space="preserve">长江路端头花箱</w:t>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长江路、华山路花箱-全年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长江路、华山路花箱-全年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3分枝以上,高度为修剪后标准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长江路、何山路花箱-全年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长江路、何山路花箱-全年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种植后不得露土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长江路、金山路花箱-全年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长江路、金山路花箱-全年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种植后不得露土</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小计金额①：</w:t>
            </w:r>
            <w:r/>
          </w:p>
        </w:tc>
      </w:tr>
    </w:tbl>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6"/>
        <w:gridCol w:w="908"/>
        <w:gridCol w:w="918"/>
        <w:gridCol w:w="600"/>
        <w:gridCol w:w="688"/>
        <w:gridCol w:w="1623"/>
        <w:gridCol w:w="759"/>
        <w:gridCol w:w="424"/>
        <w:gridCol w:w="476"/>
        <w:gridCol w:w="812"/>
        <w:gridCol w:w="698"/>
      </w:tblGrid>
      <w:tr>
        <w:trPr>
          <w:trHeight w:val="480"/>
        </w:trPr>
        <w:tc>
          <w:tcPr>
            <w:gridSpan w:val="11"/>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（2）</w:t>
            </w:r>
            <w:r>
              <w:rPr>
                <w:rFonts w:hint="eastAsia" w:ascii="宋体" w:hAnsi="宋体" w:eastAsia="宋体" w:cs="宋体"/>
                <w:b/>
                <w:bCs/>
                <w:i w:val="0"/>
                <w:iCs w:val="0"/>
                <w:color w:val="auto"/>
                <w:sz w:val="32"/>
                <w:szCs w:val="32"/>
                <w:highlight w:val="none"/>
                <w:u w:val="none"/>
                <w:lang w:val="en-US" w:eastAsia="zh-CN" w:bidi="ar"/>
              </w:rPr>
              <w:t xml:space="preserve">长江路地栽</w:t>
            </w:r>
            <w:r/>
          </w:p>
        </w:tc>
      </w:tr>
      <w:tr>
        <w:trPr>
          <w:trHeight w:val="447"/>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长春花(玫红白心)</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四季草花第三次(1月初-2月底)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四季草花第四次(3月初-4月中旬)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虞美人</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四季草花第五次(4月下旬-6月底)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超级凤仙(粉色)</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w:t>
            </w:r>
            <w:r/>
          </w:p>
        </w:tc>
        <w:tc>
          <w:tcPr>
            <w:shd w:val="clear" w:color="auto" w:fill="auto"/>
            <w:tcBorders>
              <w:top w:val="single" w:color="000000" w:sz="4" w:space="0"/>
              <w:left w:val="single" w:color="000000" w:sz="4" w:space="0"/>
              <w:bottom w:val="single" w:color="000000" w:sz="4" w:space="0"/>
              <w:right w:val="single" w:color="000000" w:sz="4" w:space="0"/>
            </w:tcBorders>
            <w:tcW w:w="53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w:t>
            </w:r>
            <w:r/>
          </w:p>
        </w:tc>
        <w:tc>
          <w:tcPr>
            <w:shd w:val="clear" w:color="auto" w:fill="auto"/>
            <w:tcBorders>
              <w:top w:val="single" w:color="000000" w:sz="4" w:space="0"/>
              <w:left w:val="single" w:color="000000" w:sz="4" w:space="0"/>
              <w:bottom w:val="single" w:color="000000" w:sz="4" w:space="0"/>
              <w:right w:val="single" w:color="000000" w:sz="4" w:space="0"/>
            </w:tcBorders>
            <w:tcW w:w="4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小计金额②：</w:t>
            </w:r>
            <w:r/>
          </w:p>
        </w:tc>
      </w:tr>
    </w:tbl>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524"/>
        <w:gridCol w:w="488"/>
        <w:gridCol w:w="530"/>
        <w:gridCol w:w="588"/>
        <w:gridCol w:w="758"/>
        <w:gridCol w:w="530"/>
        <w:gridCol w:w="617"/>
        <w:gridCol w:w="1553"/>
        <w:gridCol w:w="565"/>
        <w:gridCol w:w="406"/>
        <w:gridCol w:w="529"/>
        <w:gridCol w:w="777"/>
        <w:gridCol w:w="657"/>
      </w:tblGrid>
      <w:tr>
        <w:trPr>
          <w:trHeight w:val="480"/>
        </w:trPr>
        <w:tc>
          <w:tcPr>
            <w:gridSpan w:val="1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（3）</w:t>
            </w:r>
            <w:r>
              <w:rPr>
                <w:rFonts w:hint="eastAsia" w:ascii="宋体" w:hAnsi="宋体" w:eastAsia="宋体" w:cs="宋体"/>
                <w:b/>
                <w:bCs/>
                <w:i w:val="0"/>
                <w:iCs w:val="0"/>
                <w:color w:val="auto"/>
                <w:sz w:val="32"/>
                <w:szCs w:val="32"/>
                <w:highlight w:val="none"/>
                <w:u w:val="none"/>
                <w:lang w:val="en-US" w:eastAsia="zh-CN" w:bidi="ar"/>
              </w:rPr>
              <w:t xml:space="preserve">长江路（邓蔚路-玉山路）花箱</w:t>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高161箱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朱瑾(红色)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低322箱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鸟尾花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博物馆段花箱高(160*40)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博物馆段花箱矮(80*40)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高161箱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一品红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低322箱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常夏石竹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博物馆段花箱高(160*40)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一品红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40-45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3168</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博物馆段花箱矮(80*40)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长江路（邓蔚路-玉山路）(重点段)第三次(1月初-3月底)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高161箱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茶梅(红色)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5加仑盆,满盆,株形饱满,不脱脚,种植时盛花期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2254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低322箱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4830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博物馆段花箱高(160*40)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3872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博物馆段花箱矮(80*40)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3872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长江路（邓蔚路-玉山路）(重点段)第四次(4月初-5月中旬)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高161箱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无尽夏绣球(蓝色)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低322箱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天竺葵(藕粉色)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1加仑盆,满盆,株形饱满,种植时不露土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博物馆段花箱高(160*40)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无尽夏绣球(蓝色)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4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博物馆段花箱矮(80*40)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长江路（邓蔚路-玉山路）(重点段)第五次(5月下旬-6月底)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高161箱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161</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繁星花(红色)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1288</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低322箱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繁星花(粉红)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3220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博物馆段花箱高(160*40)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博物馆段花箱矮(80*40) </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352箱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4224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长江路（邓蔚路-玉山路）(重点段)</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用于填补破损的内胆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ffff0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长江路（邓尉路北、玉山路南）(非重点段)（全年）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长江路（邓尉路北、玉山路南）(非重点段)（全年）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1005箱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10050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常规花箱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(高80*40)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完美冬青球</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5加仑盆,满盆,球形饱满,不脱脚</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(矮40*40)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196</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(高40*40)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完美冬青球</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50-55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5加仑盆,满盆,球形饱满,不脱脚</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392</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9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矮花箱(220*40)</w:t>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264</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ffff0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长江路（邓尉路北、玉山路南）(非重点段)（全年）</w:t>
            </w:r>
            <w:r/>
          </w:p>
        </w:tc>
      </w:tr>
      <w:tr>
        <w:trPr>
          <w:trHeight w:val="480"/>
        </w:trPr>
        <w:tc>
          <w:tcPr>
            <w:shd w:val="clear" w:color="auto" w:fill="auto"/>
            <w:tcBorders>
              <w:top w:val="single" w:color="000000" w:sz="4" w:space="0"/>
              <w:left w:val="single" w:color="000000" w:sz="4" w:space="0"/>
              <w:bottom w:val="single" w:color="000000" w:sz="4" w:space="0"/>
              <w:right w:val="single" w:color="000000" w:sz="4" w:space="0"/>
            </w:tcBorders>
            <w:tcW w:w="3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长江路（邓尉路北、玉山路南）(非重点段)（全年）</w:t>
            </w:r>
            <w:r/>
          </w:p>
        </w:tc>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用于填补破损的内胆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5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5"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00b0f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小计金额③：</w:t>
            </w:r>
            <w:r/>
          </w:p>
        </w:tc>
      </w:tr>
    </w:tbl>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91"/>
        <w:gridCol w:w="1015"/>
        <w:gridCol w:w="653"/>
        <w:gridCol w:w="900"/>
        <w:gridCol w:w="547"/>
        <w:gridCol w:w="547"/>
        <w:gridCol w:w="1165"/>
        <w:gridCol w:w="635"/>
        <w:gridCol w:w="477"/>
        <w:gridCol w:w="511"/>
        <w:gridCol w:w="706"/>
        <w:gridCol w:w="675"/>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（4）</w:t>
            </w:r>
            <w:r>
              <w:rPr>
                <w:rFonts w:hint="eastAsia" w:ascii="宋体" w:hAnsi="宋体" w:eastAsia="宋体" w:cs="宋体"/>
                <w:b/>
                <w:bCs/>
                <w:i w:val="0"/>
                <w:iCs w:val="0"/>
                <w:color w:val="auto"/>
                <w:sz w:val="32"/>
                <w:szCs w:val="32"/>
                <w:highlight w:val="none"/>
                <w:u w:val="none"/>
                <w:lang w:val="en-US" w:eastAsia="zh-CN" w:bidi="ar"/>
              </w:rPr>
              <w:t xml:space="preserve">塔园路花箱  </w:t>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塔园路花箱-全年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0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塔园路花箱-全年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59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道路中分带(150*40)</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630箱</w:t>
            </w:r>
            <w:r/>
          </w:p>
        </w:tc>
        <w:tc>
          <w:tcPr>
            <w:shd w:val="clear" w:color="auto" w:fill="auto"/>
            <w:tcBorders>
              <w:top w:val="single" w:color="000000" w:sz="4" w:space="0"/>
              <w:left w:val="single" w:color="000000" w:sz="4" w:space="0"/>
              <w:bottom w:val="single" w:color="000000" w:sz="4" w:space="0"/>
              <w:right w:val="single" w:color="000000" w:sz="4" w:space="0"/>
            </w:tcBorders>
            <w:tcW w:w="5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6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16盆/箱</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29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10080</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小计金额④：</w:t>
            </w:r>
            <w:r/>
          </w:p>
        </w:tc>
      </w:tr>
    </w:tbl>
    <w:p>
      <w:pPr>
        <w:numPr>
          <w:ilvl w:val="0"/>
          <w:numId w:val="0"/>
        </w:numPr>
        <w:jc w:val="both"/>
        <w:spacing w:line="360" w:lineRule="auto"/>
        <w:widowControl w:val="off"/>
        <w:rPr>
          <w:rFonts w:hint="eastAsia" w:ascii="宋体" w:hAnsi="宋体"/>
          <w:color w:val="auto"/>
          <w:sz w:val="24"/>
          <w:highlight w:val="none"/>
        </w:rPr>
      </w:pPr>
      <w:r>
        <w:rPr>
          <w:rFonts w:hint="eastAsia" w:ascii="宋体" w:hAnsi="宋体"/>
          <w:color w:val="auto"/>
          <w:sz w:val="24"/>
          <w:highlight w:val="none"/>
        </w:rPr>
      </w:r>
      <w:r/>
    </w:p>
    <w:p>
      <w:pPr>
        <w:rPr>
          <w:rFonts w:hint="eastAsia" w:ascii="宋体" w:hAnsi="宋体"/>
          <w:color w:val="auto"/>
          <w:sz w:val="24"/>
          <w:highlight w:val="none"/>
        </w:rPr>
      </w:pPr>
      <w:r>
        <w:rPr>
          <w:rFonts w:hint="eastAsia" w:ascii="宋体" w:hAnsi="宋体"/>
          <w:color w:val="auto"/>
          <w:sz w:val="24"/>
          <w:highlight w:val="none"/>
        </w:rPr>
        <w:br w:type="page" w:clear="all"/>
      </w:r>
      <w:r/>
    </w:p>
    <w:tbl>
      <w:tblPr>
        <w:tblStyle w:val="794"/>
        <w:tblW w:w="5001"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4"/>
        <w:gridCol w:w="915"/>
        <w:gridCol w:w="815"/>
        <w:gridCol w:w="680"/>
        <w:gridCol w:w="547"/>
        <w:gridCol w:w="565"/>
        <w:gridCol w:w="1323"/>
        <w:gridCol w:w="565"/>
        <w:gridCol w:w="459"/>
        <w:gridCol w:w="582"/>
        <w:gridCol w:w="741"/>
        <w:gridCol w:w="718"/>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（5）</w:t>
            </w:r>
            <w:r>
              <w:rPr>
                <w:rFonts w:hint="eastAsia" w:ascii="宋体" w:hAnsi="宋体" w:eastAsia="宋体" w:cs="宋体"/>
                <w:b/>
                <w:bCs/>
                <w:i w:val="0"/>
                <w:iCs w:val="0"/>
                <w:color w:val="auto"/>
                <w:sz w:val="32"/>
                <w:szCs w:val="32"/>
                <w:highlight w:val="none"/>
                <w:u w:val="none"/>
                <w:lang w:val="en-US" w:eastAsia="zh-CN" w:bidi="ar"/>
              </w:rPr>
              <w:t xml:space="preserve">金山路花箱</w:t>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金山路花箱-第一次(7月初-11月底)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道路中分带(60*40)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大花太阳花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150#盆,满盆,株形饱满,种植时花开5朵以上,不露土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金山路花箱-第二次(12月初-4月中旬)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道路中分带(60*40)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 白芯)</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14盆/箱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12600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金山路花箱-第三次(4月下旬-6月底)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600"/>
        </w:trPr>
        <w:tc>
          <w:tcPr>
            <w:shd w:val="clear" w:color="auto" w:fill="auto"/>
            <w:tcBorders>
              <w:top w:val="single" w:color="000000" w:sz="4" w:space="0"/>
              <w:left w:val="single" w:color="000000" w:sz="4" w:space="0"/>
              <w:bottom w:val="non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金山路花箱</w:t>
            </w:r>
            <w:r/>
          </w:p>
        </w:tc>
        <w:tc>
          <w:tcPr>
            <w:shd w:val="clear" w:color="auto" w:fill="auto"/>
            <w:tcBorders>
              <w:top w:val="single" w:color="000000" w:sz="4" w:space="0"/>
              <w:left w:val="single" w:color="000000" w:sz="4" w:space="0"/>
              <w:bottom w:val="single" w:color="000000" w:sz="4" w:space="0"/>
              <w:right w:val="single" w:color="000000" w:sz="4" w:space="0"/>
            </w:tcBorders>
            <w:tcW w:w="53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道路中分带(60*40)</w:t>
            </w:r>
            <w:r/>
          </w:p>
        </w:tc>
        <w:tc>
          <w:tcPr>
            <w:shd w:val="clear" w:color="auto" w:fill="auto"/>
            <w:tcBorders>
              <w:top w:val="single" w:color="000000" w:sz="4" w:space="0"/>
              <w:left w:val="single" w:color="000000" w:sz="4" w:space="0"/>
              <w:bottom w:val="single" w:color="000000" w:sz="4" w:space="0"/>
              <w:right w:val="single" w:color="000000" w:sz="4" w:space="0"/>
            </w:tcBorders>
            <w:tcW w:w="4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900箱</w:t>
            </w:r>
            <w:r/>
          </w:p>
        </w:tc>
        <w:tc>
          <w:tcPr>
            <w:shd w:val="clear" w:color="auto" w:fill="auto"/>
            <w:tcBorders>
              <w:top w:val="single" w:color="000000" w:sz="4" w:space="0"/>
              <w:left w:val="single" w:color="000000" w:sz="4" w:space="0"/>
              <w:bottom w:val="single" w:color="000000" w:sz="4" w:space="0"/>
              <w:right w:val="single" w:color="000000" w:sz="4" w:space="0"/>
            </w:tcBorders>
            <w:tcW w:w="39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7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7200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小计金额⑤：</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758"/>
        <w:gridCol w:w="739"/>
        <w:gridCol w:w="797"/>
        <w:gridCol w:w="529"/>
        <w:gridCol w:w="547"/>
        <w:gridCol w:w="1377"/>
        <w:gridCol w:w="529"/>
        <w:gridCol w:w="459"/>
        <w:gridCol w:w="600"/>
        <w:gridCol w:w="715"/>
        <w:gridCol w:w="724"/>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（6）</w:t>
            </w:r>
            <w:r>
              <w:rPr>
                <w:rFonts w:hint="eastAsia" w:ascii="宋体" w:hAnsi="宋体" w:eastAsia="宋体" w:cs="宋体"/>
                <w:b/>
                <w:bCs/>
                <w:i w:val="0"/>
                <w:iCs w:val="0"/>
                <w:color w:val="auto"/>
                <w:sz w:val="32"/>
                <w:szCs w:val="32"/>
                <w:highlight w:val="none"/>
                <w:u w:val="none"/>
                <w:lang w:val="en-US" w:eastAsia="zh-CN" w:bidi="ar"/>
              </w:rPr>
              <w:t xml:space="preserve">国际会议中心匝道花箱</w:t>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国际会议中心匝道花箱-全年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540"/>
        </w:trPr>
        <w:tc>
          <w:tcPr>
            <w:shd w:val="clear" w:color="auto" w:fill="auto"/>
            <w:tcBorders>
              <w:top w:val="single" w:color="000000" w:sz="4" w:space="0"/>
              <w:left w:val="single" w:color="000000" w:sz="4" w:space="0"/>
              <w:bottom w:val="none" w:color="000000"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国际会议中心匝道花箱-全年</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120*40</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国际会议中心匝道花箱-备用第一次(7月初-12月底)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20"/>
        </w:trPr>
        <w:tc>
          <w:tcPr>
            <w:shd w:val="clear" w:color="auto" w:fill="auto"/>
            <w:tcBorders>
              <w:top w:val="single" w:color="000000" w:sz="4" w:space="0"/>
              <w:left w:val="single" w:color="000000" w:sz="4" w:space="0"/>
              <w:bottom w:val="none" w:color="000000"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120*40</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国际会议中心匝道花箱-备用第二次(1月初-6月底)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740"/>
        </w:trPr>
        <w:tc>
          <w:tcPr>
            <w:shd w:val="clear" w:color="auto" w:fill="auto"/>
            <w:tcBorders>
              <w:top w:val="single" w:color="000000" w:sz="4" w:space="0"/>
              <w:left w:val="single" w:color="000000" w:sz="4" w:space="0"/>
              <w:bottom w:val="none" w:color="000000" w:sz="4" w:space="0"/>
              <w:right w:val="single" w:color="000000" w:sz="4" w:space="0"/>
            </w:tcBorders>
            <w:tcW w:w="4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国际会议中心匝道花箱</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120*40</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275箱</w:t>
            </w:r>
            <w:r/>
          </w:p>
        </w:tc>
        <w:tc>
          <w:tcPr>
            <w:shd w:val="clear" w:color="auto" w:fill="auto"/>
            <w:tcBorders>
              <w:top w:val="single" w:color="000000" w:sz="4" w:space="0"/>
              <w:left w:val="single" w:color="000000" w:sz="4" w:space="0"/>
              <w:bottom w:val="single" w:color="000000" w:sz="4" w:space="0"/>
              <w:right w:val="single" w:color="000000" w:sz="4" w:space="0"/>
            </w:tcBorders>
            <w:tcW w:w="46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长春花(藕粉色)</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4950</w:t>
            </w:r>
            <w:r/>
          </w:p>
        </w:tc>
        <w:tc>
          <w:tcPr>
            <w:shd w:val="clear" w:color="auto" w:fill="auto"/>
            <w:tcBorders>
              <w:top w:val="single" w:color="000000" w:sz="4" w:space="0"/>
              <w:left w:val="single" w:color="000000" w:sz="4" w:space="0"/>
              <w:bottom w:val="single" w:color="000000" w:sz="4" w:space="0"/>
              <w:right w:val="single" w:color="000000" w:sz="4" w:space="0"/>
            </w:tcBorders>
            <w:tcW w:w="41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eastAsia="宋体" w:cs="宋体"/>
                <w:b/>
                <w:bCs/>
                <w:i w:val="0"/>
                <w:iCs w:val="0"/>
                <w:color w:val="auto"/>
                <w:sz w:val="20"/>
                <w:szCs w:val="20"/>
                <w:highlight w:val="none"/>
                <w:u w:val="none"/>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小计金额⑥：</w:t>
            </w:r>
            <w:r/>
          </w:p>
        </w:tc>
      </w:tr>
      <w:tr>
        <w:trPr>
          <w:trHeight w:val="282"/>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cs="宋体"/>
                <w:b w:val="0"/>
                <w:bCs w:val="0"/>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⑦</w:t>
            </w:r>
            <w:r>
              <w:rPr>
                <w:rFonts w:hint="eastAsia" w:ascii="宋体" w:hAnsi="宋体" w:eastAsia="宋体" w:cs="宋体"/>
                <w:i w:val="0"/>
                <w:iCs w:val="0"/>
                <w:color w:val="auto"/>
                <w:sz w:val="20"/>
                <w:szCs w:val="20"/>
                <w:highlight w:val="none"/>
                <w:u w:val="none"/>
                <w:lang w:val="en-US" w:eastAsia="zh-CN" w:bidi="ar"/>
              </w:rPr>
              <w:t xml:space="preserve">合计金额=①+②+③+④+⑤+⑥</w:t>
            </w:r>
            <w:r/>
          </w:p>
        </w:tc>
      </w:tr>
    </w:tbl>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注：1）此表“</w:t>
      </w:r>
      <w:r>
        <w:rPr>
          <w:rFonts w:hint="eastAsia" w:ascii="宋体" w:hAnsi="宋体" w:cs="宋体"/>
          <w:color w:val="auto"/>
          <w:sz w:val="24"/>
          <w:szCs w:val="24"/>
          <w:highlight w:val="none"/>
          <w:lang w:val="en-US" w:eastAsia="zh-CN" w:bidi="ar"/>
        </w:rPr>
        <w:t xml:space="preserve">⑦</w:t>
      </w:r>
      <w:r>
        <w:rPr>
          <w:rFonts w:hint="eastAsia" w:ascii="宋体" w:hAnsi="宋体"/>
          <w:color w:val="auto"/>
          <w:sz w:val="24"/>
          <w:highlight w:val="none"/>
        </w:rPr>
        <w:t xml:space="preserve">合计金额”与</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“项目总价”须保持一致，否则以</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价格为准。可根据需要自行调整。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本清单内采购数量为计划数量，结算时以实际发生数量为准，实际如超出计划数量，相关费用不再核增；实际数量如小于招标清单数量，费用按照投标报价作相应核减</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）本表中的报价为综合报价，应</w:t>
      </w:r>
      <w:r>
        <w:rPr>
          <w:rFonts w:hint="eastAsia" w:ascii="宋体" w:hAnsi="宋体"/>
          <w:color w:val="auto"/>
          <w:sz w:val="24"/>
          <w:highlight w:val="none"/>
          <w:lang w:eastAsia="zh-CN"/>
        </w:rPr>
        <w:t xml:space="preserve">包括但不限于所需要的花木、种植基质（如草炭、珍珠岩、营养土等）、辅助材料、人工、机械、运输、仓储、安装、调试、保险、劳保、设计费、各种税费、绿化养护费用、管理费、利润、代理服务费、专利技术及养护期间等一切费用</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公开分项报价</w:t>
      </w:r>
      <w:r>
        <w:rPr>
          <w:rFonts w:hint="eastAsia" w:ascii="宋体" w:hAnsi="宋体" w:cs="宋体"/>
          <w:b/>
          <w:color w:val="auto"/>
          <w:sz w:val="24"/>
          <w:highlight w:val="none"/>
        </w:rPr>
        <w:t xml:space="preserve">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采购包3</w:t>
      </w:r>
      <w:r>
        <w:rPr>
          <w:rFonts w:hint="eastAsia" w:ascii="宋体" w:hAnsi="宋体" w:cs="宋体"/>
          <w:b/>
          <w:color w:val="auto"/>
          <w:sz w:val="24"/>
          <w:highlight w:val="none"/>
          <w:lang w:eastAsia="zh-CN"/>
        </w:rPr>
        <w:t xml:space="preserve">）</w:t>
      </w:r>
      <w:r/>
    </w:p>
    <w:tbl>
      <w:tblPr>
        <w:tblStyle w:val="794"/>
        <w:tblW w:w="8412" w:type="dxa"/>
        <w:tblInd w:w="93"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72"/>
        <w:gridCol w:w="1041"/>
        <w:gridCol w:w="636"/>
        <w:gridCol w:w="582"/>
        <w:gridCol w:w="1881"/>
        <w:gridCol w:w="927"/>
        <w:gridCol w:w="563"/>
        <w:gridCol w:w="670"/>
        <w:gridCol w:w="812"/>
        <w:gridCol w:w="628"/>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8412" w:type="dxa"/>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（1）</w:t>
            </w:r>
            <w:r>
              <w:rPr>
                <w:rFonts w:hint="eastAsia" w:ascii="宋体" w:hAnsi="宋体" w:eastAsia="宋体" w:cs="宋体"/>
                <w:b/>
                <w:bCs/>
                <w:i w:val="0"/>
                <w:iCs w:val="0"/>
                <w:color w:val="auto"/>
                <w:sz w:val="32"/>
                <w:szCs w:val="32"/>
                <w:highlight w:val="none"/>
                <w:u w:val="none"/>
                <w:lang w:val="en-US" w:eastAsia="zh-CN" w:bidi="ar"/>
              </w:rPr>
              <w:t xml:space="preserve">竹园路地栽</w:t>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84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1218"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w:t>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雀舌栀子</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190</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太湖红杜鹃</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30-35</w:t>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60"/>
        </w:trPr>
        <w:tc>
          <w:tcPr>
            <w:shd w:val="clear" w:color="auto" w:fill="auto"/>
            <w:tcBorders>
              <w:top w:val="single" w:color="000000" w:sz="4" w:space="0"/>
              <w:left w:val="single" w:color="000000" w:sz="4" w:space="0"/>
              <w:bottom w:val="single" w:color="000000" w:sz="4" w:space="0"/>
              <w:right w:val="single" w:color="000000" w:sz="4" w:space="0"/>
            </w:tcBorders>
            <w:tcW w:w="672" w:type="dxa"/>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28" w:type="dxa"/>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92d050"/>
            <w:tcBorders>
              <w:top w:val="single" w:color="000000" w:sz="4" w:space="0"/>
              <w:left w:val="single" w:color="000000" w:sz="4" w:space="0"/>
              <w:bottom w:val="single" w:color="000000" w:sz="4" w:space="0"/>
              <w:right w:val="single" w:color="000000" w:sz="4" w:space="0"/>
            </w:tcBorders>
            <w:tcW w:w="67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1041"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36"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8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1881"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927"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563"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70"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812"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28" w:type="dxa"/>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auto"/>
            <w:tcBorders>
              <w:top w:val="single" w:color="000000" w:sz="4" w:space="0"/>
              <w:left w:val="single" w:color="000000" w:sz="4" w:space="0"/>
              <w:bottom w:val="single" w:color="000000" w:sz="4" w:space="0"/>
              <w:right w:val="single" w:color="000000" w:sz="4" w:space="0"/>
            </w:tcBorders>
            <w:tcW w:w="8412" w:type="dxa"/>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小计金额①：</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977"/>
        <w:gridCol w:w="1237"/>
        <w:gridCol w:w="775"/>
        <w:gridCol w:w="741"/>
        <w:gridCol w:w="1218"/>
        <w:gridCol w:w="882"/>
        <w:gridCol w:w="582"/>
        <w:gridCol w:w="653"/>
        <w:gridCol w:w="717"/>
        <w:gridCol w:w="740"/>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（2）</w:t>
            </w:r>
            <w:r>
              <w:rPr>
                <w:rFonts w:hint="eastAsia" w:ascii="宋体" w:hAnsi="宋体" w:eastAsia="宋体" w:cs="宋体"/>
                <w:b/>
                <w:bCs/>
                <w:i w:val="0"/>
                <w:iCs w:val="0"/>
                <w:color w:val="auto"/>
                <w:sz w:val="32"/>
                <w:szCs w:val="32"/>
                <w:highlight w:val="none"/>
                <w:u w:val="none"/>
                <w:lang w:val="en-US" w:eastAsia="zh-CN" w:bidi="ar"/>
              </w:rPr>
              <w:t xml:space="preserve">滨河路端头花箱   </w:t>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何山路(滨河路)花箱-全年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何山路(滨河路)花箱-全年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种植后不得露土</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邓尉路、滨河路花箱-全年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8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邓尉路、滨河路花箱-全年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7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72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4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7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51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小计金额②：</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894"/>
        <w:gridCol w:w="1029"/>
        <w:gridCol w:w="701"/>
        <w:gridCol w:w="794"/>
        <w:gridCol w:w="1641"/>
        <w:gridCol w:w="847"/>
        <w:gridCol w:w="653"/>
        <w:gridCol w:w="565"/>
        <w:gridCol w:w="723"/>
        <w:gridCol w:w="675"/>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（3）</w:t>
            </w:r>
            <w:r>
              <w:rPr>
                <w:rFonts w:hint="eastAsia" w:ascii="宋体" w:hAnsi="宋体" w:eastAsia="宋体" w:cs="宋体"/>
                <w:b/>
                <w:bCs/>
                <w:i w:val="0"/>
                <w:iCs w:val="0"/>
                <w:color w:val="auto"/>
                <w:sz w:val="32"/>
                <w:szCs w:val="32"/>
                <w:highlight w:val="none"/>
                <w:u w:val="none"/>
                <w:lang w:val="en-US" w:eastAsia="zh-CN" w:bidi="ar"/>
              </w:rPr>
              <w:t xml:space="preserve">塔园路端头花箱   </w:t>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何山路、塔园路花箱-全年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何山路、塔园路花箱-全年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金边黄杨</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3分枝以上,高度为修剪后标准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邓尉路、塔园路花箱-全年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邓尉路、塔园路花箱-全年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毛鹃</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种植后不得露土</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火焰南天竹</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金山路、塔园路花箱-全年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87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金山路、塔园路花箱-全年</w:t>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果汁阳台月季</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2-3支/丛</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49丛/平方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5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92d050"/>
            <w:tcBorders>
              <w:top w:val="single" w:color="000000" w:sz="4" w:space="0"/>
              <w:left w:val="single" w:color="000000" w:sz="4" w:space="0"/>
              <w:bottom w:val="single" w:color="000000" w:sz="4" w:space="0"/>
              <w:right w:val="single" w:color="000000" w:sz="4" w:space="0"/>
            </w:tcBorders>
            <w:tcW w:w="52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60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1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6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9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3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92d050"/>
            <w:tcBorders>
              <w:top w:val="single" w:color="000000" w:sz="4" w:space="0"/>
              <w:left w:val="single" w:color="000000" w:sz="4" w:space="0"/>
              <w:bottom w:val="single" w:color="000000" w:sz="4" w:space="0"/>
              <w:right w:val="single" w:color="000000" w:sz="4" w:space="0"/>
            </w:tcBorders>
            <w:tcW w:w="39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小计金额③：</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88"/>
        <w:gridCol w:w="665"/>
        <w:gridCol w:w="724"/>
        <w:gridCol w:w="847"/>
        <w:gridCol w:w="553"/>
        <w:gridCol w:w="582"/>
        <w:gridCol w:w="1429"/>
        <w:gridCol w:w="759"/>
        <w:gridCol w:w="547"/>
        <w:gridCol w:w="512"/>
        <w:gridCol w:w="700"/>
        <w:gridCol w:w="716"/>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（4）</w:t>
            </w:r>
            <w:r>
              <w:rPr>
                <w:rFonts w:hint="eastAsia" w:ascii="宋体" w:hAnsi="宋体" w:eastAsia="宋体" w:cs="宋体"/>
                <w:b/>
                <w:bCs/>
                <w:i w:val="0"/>
                <w:iCs w:val="0"/>
                <w:color w:val="auto"/>
                <w:sz w:val="32"/>
                <w:szCs w:val="32"/>
                <w:highlight w:val="none"/>
                <w:u w:val="none"/>
                <w:lang w:val="en-US" w:eastAsia="zh-CN" w:bidi="ar"/>
              </w:rPr>
              <w:t xml:space="preserve">竹园路花箱</w:t>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竹园路(汾湖路以东)花箱-第一次(7月初-9月底)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长春花(藕粉色)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8772</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竹园路(汾湖路以东)花箱-第二次(10月初-12月底)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变叶木(不换)</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不换</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8772</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竹园路(汾湖路以东)花箱-第三次(1月初-4月中旬)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13104</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茶梅</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5加仑盆,满盆,株形饱满,不脱脚,种植时盛花期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角堇(玫红白心)</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10965</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竹园路(汾湖路以东)花箱-第四次(4月下旬-6月底)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竹园路(汾湖路以东)花箱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468箱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9360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731箱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垂吊矮牵牛(粉色)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8772</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00b0f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竹园路(汾湖路以西)花箱-第一次(4月初-6月中旬)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柠檬黄南天竹</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1加仑盆,满盆,株形饱满,种植时不露土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00b0f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竹园路(汾湖路以西)花箱-第二次(6月下旬-9月底)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变叶木(不换)</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不换</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柠檬黄南天竹(不换)</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1加仑盆,满盆,株形饱满,种植时不露土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不换</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00b0f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竹园路(汾湖路以西)花箱-第三次(10月初-12月底)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28盆/箱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4956</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茶梅</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5加仑盆,满盆,株形饱满,不脱脚,种植时盛花期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柠檬黄南天竹(不换)</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1加仑盆,满盆,株形饱满,种植时不露土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不换</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00b0f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竹园路(汾湖路以西)花箱-第四次(1月初-3月底)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66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竹园路(汾湖路以西)花箱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高(160*40)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177箱 </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变叶木</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5加仑盆,满盆,株形饱满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3540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矮(80*40) </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577箱</w:t>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柠檬黄南天竹(不换)</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1加仑盆,满盆,株形饱满,种植时不露土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不换</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ffff0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竹园路花箱</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28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竹园路花箱</w:t>
            </w:r>
            <w:r/>
          </w:p>
        </w:tc>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9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内胆</w:t>
            </w:r>
            <w:r/>
          </w:p>
        </w:tc>
        <w:tc>
          <w:tcPr>
            <w:shd w:val="clear" w:color="auto" w:fill="auto"/>
            <w:tcBorders>
              <w:top w:val="single" w:color="000000" w:sz="4" w:space="0"/>
              <w:left w:val="single" w:color="000000" w:sz="4" w:space="0"/>
              <w:bottom w:val="single" w:color="000000" w:sz="4" w:space="0"/>
              <w:right w:val="single" w:color="000000" w:sz="4" w:space="0"/>
            </w:tcBorders>
            <w:tcW w:w="32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8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用于填补破损的内胆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箱</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w:t>
            </w:r>
            <w:r/>
          </w:p>
        </w:tc>
        <w:tc>
          <w:tcPr>
            <w:shd w:val="clear" w:color="auto" w:fill="auto"/>
            <w:tcBorders>
              <w:top w:val="single" w:color="000000" w:sz="4" w:space="0"/>
              <w:left w:val="single" w:color="000000" w:sz="4" w:space="0"/>
              <w:bottom w:val="single" w:color="000000" w:sz="4" w:space="0"/>
              <w:right w:val="single" w:color="000000" w:sz="4" w:space="0"/>
            </w:tcBorders>
            <w:tcW w:w="4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2"/>
            <w:shd w:val="clear" w:color="auto" w:fill="ffff0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left"/>
              <w:tabs>
                <w:tab w:val="left" w:pos="2757" w:leader="none"/>
              </w:tabs>
              <w:rPr>
                <w:rFonts w:hint="eastAsia" w:ascii="宋体" w:hAnsi="宋体" w:eastAsia="宋体" w:cs="宋体"/>
                <w:i w:val="0"/>
                <w:iCs w:val="0"/>
                <w:color w:val="auto"/>
                <w:sz w:val="20"/>
                <w:szCs w:val="20"/>
                <w:highlight w:val="none"/>
                <w:u w:val="none"/>
                <w:lang w:eastAsia="zh-CN"/>
              </w:rPr>
            </w:pPr>
            <w:r>
              <w:rPr>
                <w:rFonts w:hint="eastAsia" w:ascii="宋体" w:hAnsi="宋体" w:eastAsia="宋体" w:cs="宋体"/>
                <w:i w:val="0"/>
                <w:iCs w:val="0"/>
                <w:color w:val="auto"/>
                <w:sz w:val="20"/>
                <w:szCs w:val="20"/>
                <w:highlight w:val="none"/>
                <w:u w:val="none"/>
                <w:lang w:eastAsia="zh-CN"/>
              </w:rPr>
              <w:tab/>
            </w:r>
            <w:r/>
          </w:p>
        </w:tc>
      </w:tr>
      <w:tr>
        <w:trPr>
          <w:trHeight w:val="30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小计金额④：</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4998"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65"/>
        <w:gridCol w:w="375"/>
        <w:gridCol w:w="560"/>
        <w:gridCol w:w="771"/>
        <w:gridCol w:w="706"/>
        <w:gridCol w:w="476"/>
        <w:gridCol w:w="495"/>
        <w:gridCol w:w="1500"/>
        <w:gridCol w:w="564"/>
        <w:gridCol w:w="459"/>
        <w:gridCol w:w="512"/>
        <w:gridCol w:w="698"/>
        <w:gridCol w:w="738"/>
      </w:tblGrid>
      <w:tr>
        <w:trPr>
          <w:trHeight w:val="480"/>
        </w:trPr>
        <w:tc>
          <w:tcPr>
            <w:gridSpan w:val="13"/>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（5）</w:t>
            </w:r>
            <w:r>
              <w:rPr>
                <w:rFonts w:hint="eastAsia" w:ascii="宋体" w:hAnsi="宋体" w:eastAsia="宋体" w:cs="宋体"/>
                <w:b/>
                <w:bCs/>
                <w:i w:val="0"/>
                <w:iCs w:val="0"/>
                <w:color w:val="auto"/>
                <w:sz w:val="32"/>
                <w:szCs w:val="32"/>
                <w:highlight w:val="none"/>
                <w:u w:val="none"/>
                <w:lang w:val="en-US" w:eastAsia="zh-CN" w:bidi="ar"/>
              </w:rPr>
              <w:t xml:space="preserve">滨河路花箱  </w:t>
            </w:r>
            <w:r/>
          </w:p>
        </w:tc>
      </w:tr>
      <w:tr>
        <w:trPr>
          <w:trHeight w:val="30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滨河路中分带高低花箱(竹园路以北)-第一次(7月初-11月底)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高251箱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低502箱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大花太阳花</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150#盆,满盆,株形饱满,种植时花开5朵以上,不露土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5020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滨河路中分带高低花箱(竹园路以北)-第二次(12月初-4月中旬)</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高251箱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753</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角堇(玫红白心)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3012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低502箱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7530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滨河路中分带高低花箱(竹园路以北)-第三次(4月下旬-6月底)</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滨河路中分带高低花箱(竹园路以北)</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高251箱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低502箱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5020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滨河路中分带高低花箱(竹园路以南)-全年</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滨河路中分带高低花箱(竹园路以南)-全年</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道路中分带(68*40)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高50箱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粉团石斑木球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5加仑盆,满盆,球形饱满,不脱脚</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400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低100箱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1000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常规花箱</w:t>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(高80*40)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粉团石斑木球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5加仑盆,满盆,球形饱满,不脱脚</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(高40*40)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粉团石斑木球</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50-60</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55-60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5加仑盆,满盆,球形饱满,不脱脚</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(矮40*40)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55箱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220</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shd w:val="clear" w:color="auto" w:fill="auto"/>
            <w:tcBorders>
              <w:top w:val="single" w:color="000000" w:sz="4" w:space="0"/>
              <w:left w:val="single" w:color="000000" w:sz="4" w:space="0"/>
              <w:bottom w:val="single" w:color="000000" w:sz="4" w:space="0"/>
              <w:right w:val="single" w:color="000000" w:sz="4" w:space="0"/>
            </w:tcBorders>
            <w:tcW w:w="39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矮花箱(220*40)</w:t>
            </w:r>
            <w:r/>
          </w:p>
        </w:tc>
        <w:tc>
          <w:tcPr>
            <w:shd w:val="clear" w:color="auto" w:fill="auto"/>
            <w:tcBorders>
              <w:top w:val="single" w:color="000000" w:sz="4" w:space="0"/>
              <w:left w:val="single" w:color="000000" w:sz="4" w:space="0"/>
              <w:bottom w:val="single" w:color="000000" w:sz="4" w:space="0"/>
              <w:right w:val="single" w:color="000000" w:sz="4" w:space="0"/>
            </w:tcBorders>
            <w:tcW w:w="4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4箱</w:t>
            </w:r>
            <w:r/>
          </w:p>
        </w:tc>
        <w:tc>
          <w:tcPr>
            <w:shd w:val="clear" w:color="auto" w:fill="auto"/>
            <w:tcBorders>
              <w:top w:val="single" w:color="000000" w:sz="4" w:space="0"/>
              <w:left w:val="single" w:color="000000" w:sz="4" w:space="0"/>
              <w:bottom w:val="single" w:color="000000" w:sz="4" w:space="0"/>
              <w:right w:val="single" w:color="000000"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金叶大花六道木</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9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88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33盆/箱</w:t>
            </w:r>
            <w:r/>
          </w:p>
        </w:tc>
        <w:tc>
          <w:tcPr>
            <w:shd w:val="clear" w:color="auto" w:fill="auto"/>
            <w:tcBorders>
              <w:top w:val="single" w:color="000000" w:sz="4" w:space="0"/>
              <w:left w:val="single" w:color="000000" w:sz="4" w:space="0"/>
              <w:bottom w:val="single" w:color="000000" w:sz="4" w:space="0"/>
              <w:right w:val="single" w:color="000000" w:sz="4" w:space="0"/>
            </w:tcBorders>
            <w:tcW w:w="26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w:t>
            </w:r>
            <w:r/>
          </w:p>
        </w:tc>
        <w:tc>
          <w:tcPr>
            <w:shd w:val="clear" w:color="auto" w:fill="auto"/>
            <w:tcBorders>
              <w:top w:val="single" w:color="000000" w:sz="4" w:space="0"/>
              <w:left w:val="single" w:color="000000" w:sz="4" w:space="0"/>
              <w:bottom w:val="single" w:color="000000" w:sz="4" w:space="0"/>
              <w:right w:val="single" w:color="000000" w:sz="4" w:space="0"/>
            </w:tcBorders>
            <w:tcW w:w="409"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3"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00"/>
        </w:trPr>
        <w:tc>
          <w:tcPr>
            <w:gridSpan w:val="13"/>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0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rPr>
                <w:rFonts w:hint="default"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rPr>
              <w:t xml:space="preserve">小计金额⑤：</w:t>
            </w:r>
            <w:r/>
          </w:p>
        </w:tc>
      </w:tr>
      <w:tr>
        <w:trPr>
          <w:trHeight w:val="300"/>
        </w:trPr>
        <w:tc>
          <w:tcPr>
            <w:gridSpan w:val="13"/>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both"/>
              <w:rPr>
                <w:rFonts w:hint="eastAsia" w:ascii="宋体" w:hAnsi="宋体" w:eastAsia="宋体" w:cs="宋体"/>
                <w:i w:val="0"/>
                <w:iCs w:val="0"/>
                <w:color w:val="auto"/>
                <w:sz w:val="20"/>
                <w:szCs w:val="20"/>
                <w:highlight w:val="none"/>
                <w:u w:val="none"/>
                <w:lang w:val="en-US" w:eastAsia="zh-CN"/>
              </w:rPr>
            </w:pPr>
            <w:r>
              <w:rPr>
                <w:rFonts w:hint="eastAsia" w:ascii="宋体" w:hAnsi="宋体" w:eastAsia="宋体" w:cs="宋体"/>
                <w:i w:val="0"/>
                <w:iCs w:val="0"/>
                <w:color w:val="auto"/>
                <w:sz w:val="20"/>
                <w:szCs w:val="20"/>
                <w:highlight w:val="none"/>
                <w:u w:val="none"/>
                <w:lang w:val="en-US" w:eastAsia="zh-CN" w:bidi="ar"/>
              </w:rPr>
              <w:t xml:space="preserve">⑥合计金额=①+②+③+④+⑤</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spacing w:line="360" w:lineRule="auto"/>
        <w:rPr>
          <w:rFonts w:ascii="宋体" w:hAnsi="宋体"/>
          <w:color w:val="auto"/>
          <w:sz w:val="24"/>
          <w:highlight w:val="none"/>
        </w:rPr>
      </w:pPr>
      <w:r>
        <w:rPr>
          <w:rFonts w:hint="eastAsia" w:ascii="宋体" w:hAnsi="宋体"/>
          <w:color w:val="auto"/>
          <w:sz w:val="24"/>
          <w:highlight w:val="none"/>
        </w:rPr>
        <w:t xml:space="preserve">注：1）此表“</w:t>
      </w:r>
      <w:r>
        <w:rPr>
          <w:rFonts w:hint="eastAsia" w:ascii="宋体" w:hAnsi="宋体" w:eastAsia="宋体" w:cs="Times New Roman"/>
          <w:color w:val="auto"/>
          <w:sz w:val="24"/>
          <w:highlight w:val="none"/>
          <w:lang w:val="en-US" w:eastAsia="zh-CN"/>
        </w:rPr>
        <w:t xml:space="preserve">⑥</w:t>
      </w:r>
      <w:r>
        <w:rPr>
          <w:rFonts w:hint="eastAsia" w:ascii="宋体" w:hAnsi="宋体"/>
          <w:color w:val="auto"/>
          <w:sz w:val="24"/>
          <w:highlight w:val="none"/>
        </w:rPr>
        <w:t xml:space="preserve">合计金额”与</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“项目总价”须保持一致，否则以</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价格为准。可根据需要自行调整。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本清单内采购数量为计划数量，结算时以实际发生数量为准，实际如超出计划数量，相关费用不再核增；实际数量如小于招标清单数量，费用按照投标报价作相应核减</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）本表中的报价为综合报价，应</w:t>
      </w:r>
      <w:r>
        <w:rPr>
          <w:rFonts w:hint="eastAsia" w:ascii="宋体" w:hAnsi="宋体"/>
          <w:color w:val="auto"/>
          <w:sz w:val="24"/>
          <w:highlight w:val="none"/>
          <w:lang w:eastAsia="zh-CN"/>
        </w:rPr>
        <w:t xml:space="preserve">包括但不限于所需要的花木、种植基质（如草炭、珍珠岩、营养土等）、辅助材料、人工、机械、运输、仓储、安装、调试、保险、劳保、设计费、各种税费、绿化养护费用、管理费、利润、代理服务费、专利技术及养护期间等一切费用</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rPr>
          <w:rFonts w:hint="eastAsia" w:ascii="宋体" w:hAnsi="宋体"/>
          <w:color w:val="auto"/>
          <w:sz w:val="24"/>
          <w:highlight w:val="none"/>
        </w:rPr>
      </w:pPr>
      <w:r>
        <w:rPr>
          <w:rFonts w:hint="eastAsia" w:ascii="宋体" w:hAnsi="宋体"/>
          <w:color w:val="auto"/>
          <w:sz w:val="24"/>
          <w:highlight w:val="none"/>
        </w:rPr>
        <w:br w:type="page" w:clear="all"/>
      </w:r>
      <w:r/>
    </w:p>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val="en-US" w:eastAsia="zh-CN"/>
        </w:rPr>
        <w:t xml:space="preserve">公开分项报价</w:t>
      </w:r>
      <w:r>
        <w:rPr>
          <w:rFonts w:hint="eastAsia" w:ascii="宋体" w:hAnsi="宋体" w:cs="宋体"/>
          <w:b/>
          <w:color w:val="auto"/>
          <w:sz w:val="24"/>
          <w:highlight w:val="none"/>
        </w:rPr>
        <w:t xml:space="preserve">表</w:t>
      </w:r>
      <w:r>
        <w:rPr>
          <w:rFonts w:hint="eastAsia" w:ascii="宋体" w:hAnsi="宋体" w:cs="宋体"/>
          <w:b/>
          <w:color w:val="auto"/>
          <w:sz w:val="24"/>
          <w:highlight w:val="none"/>
          <w:lang w:eastAsia="zh-CN"/>
        </w:rPr>
        <w:t xml:space="preserve">（</w:t>
      </w:r>
      <w:r>
        <w:rPr>
          <w:rFonts w:hint="eastAsia" w:ascii="宋体" w:hAnsi="宋体" w:cs="宋体"/>
          <w:b/>
          <w:color w:val="auto"/>
          <w:sz w:val="24"/>
          <w:highlight w:val="none"/>
          <w:lang w:val="en-US" w:eastAsia="zh-CN"/>
        </w:rPr>
        <w:t xml:space="preserve">采购包4</w:t>
      </w:r>
      <w:r>
        <w:rPr>
          <w:rFonts w:hint="eastAsia" w:ascii="宋体" w:hAnsi="宋体" w:cs="宋体"/>
          <w:b/>
          <w:color w:val="auto"/>
          <w:sz w:val="24"/>
          <w:highlight w:val="none"/>
          <w:lang w:eastAsia="zh-CN"/>
        </w:rPr>
        <w:t xml:space="preserve">）</w:t>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395"/>
        <w:gridCol w:w="605"/>
        <w:gridCol w:w="724"/>
        <w:gridCol w:w="564"/>
        <w:gridCol w:w="583"/>
        <w:gridCol w:w="476"/>
        <w:gridCol w:w="1959"/>
        <w:gridCol w:w="635"/>
        <w:gridCol w:w="583"/>
        <w:gridCol w:w="529"/>
        <w:gridCol w:w="741"/>
        <w:gridCol w:w="728"/>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（1）</w:t>
            </w:r>
            <w:r>
              <w:rPr>
                <w:rFonts w:hint="eastAsia" w:ascii="宋体" w:hAnsi="宋体" w:eastAsia="宋体" w:cs="宋体"/>
                <w:b/>
                <w:bCs/>
                <w:i w:val="0"/>
                <w:iCs w:val="0"/>
                <w:color w:val="auto"/>
                <w:sz w:val="32"/>
                <w:szCs w:val="32"/>
                <w:highlight w:val="none"/>
                <w:u w:val="none"/>
                <w:lang w:val="en-US" w:eastAsia="zh-CN" w:bidi="ar"/>
              </w:rPr>
              <w:t xml:space="preserve">马涧路地栽   </w:t>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马涧路-常绿</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红叶石楠球</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150-160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250-280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&lt;30</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光球,不脱脚,规格为修剪后标准。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株</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安酷杜鹃</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80</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果岭草</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沙培300*600~900草坪卷,根层2cm以上,品种:矮生百慕大+黑麦草,铺3cm厚细沙</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满铺</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207</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夏堇(蓝色)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鸟尾花(橙色)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四季草花第三次(1月初-3月中旬)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角堇(粉红色)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四季草花第四次(3月下旬-4月底)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虞美人</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虞美人</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59</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四季草花第五次(5月初-6月底)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5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侧分带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中分带</w:t>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马涧路</w:t>
            </w:r>
            <w:r/>
          </w:p>
        </w:tc>
        <w:tc>
          <w:tcPr>
            <w:shd w:val="clear" w:color="auto" w:fill="auto"/>
            <w:tcBorders>
              <w:top w:val="single" w:color="000000" w:sz="4" w:space="0"/>
              <w:left w:val="single" w:color="000000" w:sz="4" w:space="0"/>
              <w:bottom w:val="single" w:color="000000" w:sz="4" w:space="0"/>
              <w:right w:val="single" w:color="000000" w:sz="4" w:space="0"/>
            </w:tcBorders>
            <w:tcW w:w="35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33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79"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14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31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67.6</w:t>
            </w:r>
            <w:r/>
          </w:p>
        </w:tc>
        <w:tc>
          <w:tcPr>
            <w:shd w:val="clear" w:color="auto" w:fill="auto"/>
            <w:tcBorders>
              <w:top w:val="single" w:color="000000" w:sz="4" w:space="0"/>
              <w:left w:val="single" w:color="000000" w:sz="4" w:space="0"/>
              <w:bottom w:val="single" w:color="000000" w:sz="4" w:space="0"/>
              <w:right w:val="single" w:color="000000"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7"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小计金额①：</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br w:type="page" w:clear="all"/>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615"/>
        <w:gridCol w:w="1003"/>
        <w:gridCol w:w="617"/>
        <w:gridCol w:w="689"/>
        <w:gridCol w:w="2500"/>
        <w:gridCol w:w="635"/>
        <w:gridCol w:w="447"/>
        <w:gridCol w:w="565"/>
        <w:gridCol w:w="759"/>
        <w:gridCol w:w="692"/>
      </w:tblGrid>
      <w:tr>
        <w:trPr>
          <w:trHeight w:val="480"/>
        </w:trPr>
        <w:tc>
          <w:tcPr>
            <w:gridSpan w:val="10"/>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（2）</w:t>
            </w:r>
            <w:r>
              <w:rPr>
                <w:rFonts w:hint="eastAsia" w:ascii="宋体" w:hAnsi="宋体" w:eastAsia="宋体" w:cs="宋体"/>
                <w:b/>
                <w:bCs/>
                <w:i w:val="0"/>
                <w:iCs w:val="0"/>
                <w:color w:val="auto"/>
                <w:sz w:val="32"/>
                <w:szCs w:val="32"/>
                <w:highlight w:val="none"/>
                <w:u w:val="none"/>
                <w:lang w:val="en-US" w:eastAsia="zh-CN" w:bidi="ar"/>
              </w:rPr>
              <w:t xml:space="preserve">唐巷桥花箱</w:t>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616</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长春花(藕粉色)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夏堇(淡蓝)</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1055</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比格海棠(粉色)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常夏石竹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957</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第三次(1月初-3月底)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角堇(黄色)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440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角堇(粉色)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1320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660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紫罗兰(紫色)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1100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第四次(4月初-5月中旬)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792</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968</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超级凤仙(粉色)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150#盆,满盆,株形饱满,15支以上,花开2朵以上</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1056</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第五次(5月下旬-6月底)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金叶甘薯</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L30-40</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15-25</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150#盆,满盆,株形饱满,种植时已下垂,颜色黄,种植时不露土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528</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繁星花(紫色)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繁星花(玫红)</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704</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繁星花(红色)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8盆/米</w:t>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880</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1440"/>
        </w:trPr>
        <w:tc>
          <w:tcPr>
            <w:shd w:val="clear" w:color="auto" w:fill="auto"/>
            <w:tcBorders>
              <w:top w:val="single" w:color="000000" w:sz="4" w:space="0"/>
              <w:left w:val="single" w:color="000000" w:sz="4" w:space="0"/>
              <w:bottom w:val="single" w:color="000000" w:sz="4" w:space="0"/>
              <w:right w:val="single" w:color="000000" w:sz="4" w:space="0"/>
            </w:tcBorders>
            <w:tcW w:w="36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唐巷桥</w:t>
            </w:r>
            <w:r/>
          </w:p>
        </w:tc>
        <w:tc>
          <w:tcPr>
            <w:shd w:val="clear" w:color="auto" w:fill="auto"/>
            <w:tcBorders>
              <w:top w:val="single" w:color="000000" w:sz="4" w:space="0"/>
              <w:left w:val="single" w:color="000000" w:sz="4" w:space="0"/>
              <w:bottom w:val="single" w:color="000000" w:sz="4" w:space="0"/>
              <w:right w:val="single" w:color="000000" w:sz="4" w:space="0"/>
            </w:tcBorders>
            <w:tcW w:w="58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垂直绿化结构</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1466"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1、1.5厚镀锌方钢板封面外喷深绿色氟碳漆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2、Lx40x40x2厚镀锌方钢框架外喷深绿色氟碳漆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3、Lx40x20x2厚镀锌方钢支撑外喷深绿色氟碳漆</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4、3厚镀锌钢托板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5、Lx40x40x3厚镀锌方钢框架</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6、详见图纸</w:t>
            </w:r>
            <w:r/>
          </w:p>
        </w:tc>
        <w:tc>
          <w:tcPr>
            <w:shd w:val="clear" w:color="auto" w:fill="auto"/>
            <w:tcBorders>
              <w:top w:val="single" w:color="000000" w:sz="4" w:space="0"/>
              <w:left w:val="single" w:color="000000" w:sz="4" w:space="0"/>
              <w:bottom w:val="single" w:color="000000" w:sz="4" w:space="0"/>
              <w:right w:val="single" w:color="000000" w:sz="4" w:space="0"/>
            </w:tcBorders>
            <w:tcW w:w="37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16.96</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0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0"/>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小计金额②：</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2"/>
        <w:gridCol w:w="812"/>
        <w:gridCol w:w="653"/>
        <w:gridCol w:w="653"/>
        <w:gridCol w:w="618"/>
        <w:gridCol w:w="1694"/>
        <w:gridCol w:w="706"/>
        <w:gridCol w:w="476"/>
        <w:gridCol w:w="759"/>
        <w:gridCol w:w="737"/>
        <w:gridCol w:w="702"/>
      </w:tblGrid>
      <w:tr>
        <w:trPr>
          <w:trHeight w:val="480"/>
        </w:trPr>
        <w:tc>
          <w:tcPr>
            <w:gridSpan w:val="11"/>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（3）</w:t>
            </w:r>
            <w:r>
              <w:rPr>
                <w:rFonts w:hint="eastAsia" w:ascii="宋体" w:hAnsi="宋体" w:eastAsia="宋体" w:cs="宋体"/>
                <w:b/>
                <w:bCs/>
                <w:i w:val="0"/>
                <w:iCs w:val="0"/>
                <w:color w:val="auto"/>
                <w:sz w:val="32"/>
                <w:szCs w:val="32"/>
                <w:highlight w:val="none"/>
                <w:u w:val="none"/>
                <w:lang w:val="en-US" w:eastAsia="zh-CN" w:bidi="ar"/>
              </w:rPr>
              <w:t xml:space="preserve">太湖大道地栽   </w:t>
            </w:r>
            <w:r/>
          </w:p>
        </w:tc>
      </w:tr>
      <w:tr>
        <w:trPr>
          <w:trHeight w:val="280"/>
        </w:trPr>
        <w:tc>
          <w:tcPr>
            <w:gridSpan w:val="11"/>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auto" w:sz="4" w:space="0"/>
              <w:left w:val="single" w:color="auto" w:sz="4" w:space="0"/>
              <w:bottom w:val="single" w:color="auto" w:sz="4" w:space="0"/>
              <w:right w:val="single" w:color="auto" w:sz="4" w:space="0"/>
            </w:tcBorders>
            <w:tcW w:w="7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auto" w:sz="4" w:space="0"/>
              <w:left w:val="single" w:color="auto" w:sz="4" w:space="0"/>
              <w:bottom w:val="single" w:color="auto" w:sz="4" w:space="0"/>
              <w:right w:val="single" w:color="auto" w:sz="4" w:space="0"/>
            </w:tcBorders>
            <w:tcW w:w="9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279"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2"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auto" w:sz="4" w:space="0"/>
              <w:left w:val="single" w:color="auto" w:sz="4" w:space="0"/>
              <w:bottom w:val="single" w:color="auto" w:sz="4" w:space="0"/>
              <w:right w:val="single" w:color="auto" w:sz="4" w:space="0"/>
            </w:tcBorders>
            <w:tcW w:w="9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32"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太湖大道-常绿</w:t>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安酷杜鹃</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117</w:t>
            </w:r>
            <w:r/>
          </w:p>
        </w:tc>
        <w:tc>
          <w:tcPr>
            <w:shd w:val="clear" w:color="auto" w:fill="auto"/>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果岭草</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沙培300*600~900草坪卷,根层2cm以上,品种:矮生百慕大+黑麦草,铺3cm厚细沙</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满铺</w:t>
            </w:r>
            <w:r/>
          </w:p>
        </w:tc>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4589</w:t>
            </w:r>
            <w:r/>
          </w:p>
        </w:tc>
        <w:tc>
          <w:tcPr>
            <w:shd w:val="clear" w:color="auto" w:fill="auto"/>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auto" w:sz="4" w:space="0"/>
              <w:left w:val="single" w:color="auto" w:sz="4" w:space="0"/>
              <w:bottom w:val="single" w:color="auto" w:sz="4" w:space="0"/>
              <w:right w:val="single" w:color="auto" w:sz="4" w:space="0"/>
            </w:tcBorders>
            <w:tcW w:w="41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auto" w:sz="4" w:space="0"/>
              <w:left w:val="single" w:color="auto" w:sz="4" w:space="0"/>
              <w:bottom w:val="single" w:color="auto" w:sz="4" w:space="0"/>
              <w:right w:val="single" w:color="auto" w:sz="4" w:space="0"/>
            </w:tcBorders>
            <w:tcW w:w="383"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9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9"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auto" w:sz="4" w:space="0"/>
              <w:left w:val="single" w:color="auto" w:sz="4" w:space="0"/>
              <w:bottom w:val="single" w:color="auto" w:sz="4" w:space="0"/>
              <w:right w:val="single" w:color="auto"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470.6</w:t>
            </w:r>
            <w:r/>
          </w:p>
        </w:tc>
        <w:tc>
          <w:tcPr>
            <w:shd w:val="clear" w:color="auto" w:fill="auto"/>
            <w:tcBorders>
              <w:top w:val="single" w:color="auto" w:sz="4" w:space="0"/>
              <w:left w:val="single" w:color="auto" w:sz="4" w:space="0"/>
              <w:bottom w:val="single" w:color="auto" w:sz="4" w:space="0"/>
              <w:right w:val="single" w:color="auto" w:sz="4" w:space="0"/>
            </w:tcBorders>
            <w:tcW w:w="43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1"/>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小计金额③：</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410"/>
        <w:gridCol w:w="625"/>
        <w:gridCol w:w="865"/>
        <w:gridCol w:w="618"/>
        <w:gridCol w:w="565"/>
        <w:gridCol w:w="423"/>
        <w:gridCol w:w="1606"/>
        <w:gridCol w:w="759"/>
        <w:gridCol w:w="512"/>
        <w:gridCol w:w="758"/>
        <w:gridCol w:w="645"/>
        <w:gridCol w:w="736"/>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（4）</w:t>
            </w:r>
            <w:r>
              <w:rPr>
                <w:rFonts w:hint="eastAsia" w:ascii="宋体" w:hAnsi="宋体" w:eastAsia="宋体" w:cs="宋体"/>
                <w:b/>
                <w:bCs/>
                <w:i w:val="0"/>
                <w:iCs w:val="0"/>
                <w:color w:val="auto"/>
                <w:sz w:val="32"/>
                <w:szCs w:val="32"/>
                <w:highlight w:val="none"/>
                <w:u w:val="none"/>
                <w:lang w:val="en-US" w:eastAsia="zh-CN" w:bidi="ar"/>
              </w:rPr>
              <w:t xml:space="preserve">普陀山路地栽   </w:t>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普陀山路-常绿</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水果兰</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57</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亮金女贞</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226</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安酷杜鹃</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雀舌栀子</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64株/平方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41</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金森女贞</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30-35</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高度为修剪后标准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49株/平方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176</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金叶石菖蒲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容器苗,150盆,满盆</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74</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5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草花花镜</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当季草花组合，一年换4次</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m2</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120</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四季草花第一次(8月下旬-11月底)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南大路口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一串红(红色)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水世界路口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万寿菊(橙色)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四季草花第二次(12月初-4月中旬)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南大路口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角堇(蓝粉色)+虞美人</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64+36盆/平方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水世界路口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角堇(粉红色)+虞美人</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bottom"/>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64+36盆/平方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四季草花第三次(4月下旬-6月底)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3"/>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单价（元/m2）</w:t>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枝下高</w:t>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w:t>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南大路口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超级凤仙(红色)</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29</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水世界路口</w:t>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超级凤仙(玫红)</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keepLines w:val="0"/>
              <w:keepNext w:val="0"/>
              <w:widowControl/>
              <w:rPr>
                <w:rFonts w:hint="default" w:ascii="Arial" w:hAnsi="Arial" w:cs="Arial"/>
                <w:i w:val="0"/>
                <w:iCs w:val="0"/>
                <w:color w:val="auto"/>
                <w:sz w:val="20"/>
                <w:szCs w:val="20"/>
                <w:highlight w:val="none"/>
                <w:u w:val="none"/>
              </w:rPr>
              <w:suppressLineNumbers w:val="0"/>
            </w:pPr>
            <w:r>
              <w:rPr>
                <w:rFonts w:hint="default" w:ascii="Arial" w:hAnsi="Arial" w:eastAsia="宋体" w:cs="Arial"/>
                <w:i w:val="0"/>
                <w:iCs w:val="0"/>
                <w:color w:val="auto"/>
                <w:sz w:val="20"/>
                <w:szCs w:val="20"/>
                <w:highlight w:val="none"/>
                <w:u w:val="none"/>
                <w:lang w:val="en-US" w:eastAsia="zh-CN" w:bidi="ar"/>
              </w:rPr>
              <w:t xml:space="preserve">49盆/平方</w:t>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平方</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24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66"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5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土方</w:t>
            </w:r>
            <w:r/>
          </w:p>
        </w:tc>
        <w:tc>
          <w:tcPr>
            <w:shd w:val="clear" w:color="auto" w:fill="auto"/>
            <w:tcBorders>
              <w:top w:val="single" w:color="000000" w:sz="4" w:space="0"/>
              <w:left w:val="single" w:color="000000" w:sz="4" w:space="0"/>
              <w:bottom w:val="single" w:color="000000" w:sz="4" w:space="0"/>
              <w:right w:val="single" w:color="000000" w:sz="4" w:space="0"/>
            </w:tcBorders>
            <w:tcW w:w="362"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48"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94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种植土</w:t>
            </w:r>
            <w:r/>
          </w:p>
        </w:tc>
        <w:tc>
          <w:tcPr>
            <w:shd w:val="clear" w:color="auto" w:fill="auto"/>
            <w:tcBorders>
              <w:top w:val="single" w:color="000000" w:sz="4" w:space="0"/>
              <w:left w:val="single" w:color="000000" w:sz="4" w:space="0"/>
              <w:bottom w:val="single" w:color="000000" w:sz="4" w:space="0"/>
              <w:right w:val="single" w:color="000000" w:sz="4" w:space="0"/>
            </w:tcBorders>
            <w:tcW w:w="445"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m3</w:t>
            </w:r>
            <w:r/>
          </w:p>
        </w:tc>
        <w:tc>
          <w:tcPr>
            <w:shd w:val="clear" w:color="auto" w:fill="auto"/>
            <w:tcBorders>
              <w:top w:val="single" w:color="000000" w:sz="4" w:space="0"/>
              <w:left w:val="single" w:color="000000" w:sz="4" w:space="0"/>
              <w:bottom w:val="single" w:color="000000" w:sz="4" w:space="0"/>
              <w:right w:val="single" w:color="000000" w:sz="4" w:space="0"/>
            </w:tcBorders>
            <w:tcW w:w="44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76.3</w:t>
            </w:r>
            <w:r/>
          </w:p>
        </w:tc>
        <w:tc>
          <w:tcPr>
            <w:shd w:val="clear" w:color="auto" w:fill="auto"/>
            <w:tcBorders>
              <w:top w:val="single" w:color="000000" w:sz="4" w:space="0"/>
              <w:left w:val="single" w:color="000000" w:sz="4" w:space="0"/>
              <w:bottom w:val="single" w:color="000000" w:sz="4" w:space="0"/>
              <w:right w:val="single" w:color="000000" w:sz="4" w:space="0"/>
            </w:tcBorders>
            <w:tcW w:w="37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小计金额④：</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48"/>
        <w:gridCol w:w="705"/>
        <w:gridCol w:w="724"/>
        <w:gridCol w:w="782"/>
        <w:gridCol w:w="471"/>
        <w:gridCol w:w="441"/>
        <w:gridCol w:w="1717"/>
        <w:gridCol w:w="560"/>
        <w:gridCol w:w="376"/>
        <w:gridCol w:w="577"/>
        <w:gridCol w:w="741"/>
        <w:gridCol w:w="680"/>
      </w:tblGrid>
      <w:tr>
        <w:trPr>
          <w:trHeight w:val="480"/>
        </w:trPr>
        <w:tc>
          <w:tcPr>
            <w:gridSpan w:val="12"/>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（5）</w:t>
            </w:r>
            <w:r>
              <w:rPr>
                <w:rFonts w:hint="eastAsia" w:ascii="宋体" w:hAnsi="宋体" w:eastAsia="宋体" w:cs="宋体"/>
                <w:b/>
                <w:bCs/>
                <w:i w:val="0"/>
                <w:iCs w:val="0"/>
                <w:color w:val="auto"/>
                <w:sz w:val="32"/>
                <w:szCs w:val="32"/>
                <w:highlight w:val="none"/>
                <w:u w:val="none"/>
                <w:lang w:val="en-US" w:eastAsia="zh-CN" w:bidi="ar"/>
              </w:rPr>
              <w:t xml:space="preserve">普陀山路花箱</w:t>
            </w:r>
            <w:r/>
          </w:p>
        </w:tc>
      </w:tr>
      <w:tr>
        <w:trPr>
          <w:trHeight w:val="380"/>
        </w:trPr>
        <w:tc>
          <w:tcPr>
            <w:gridSpan w:val="12"/>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普陀山路花箱-第一次(8月下旬-11月底)</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普陀山路花箱-第一次(8月下旬-11月底)</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护栏(108*40)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906箱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10872</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路口(70*50)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1896</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gridSpan w:val="12"/>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普陀山路花箱-第二次(12月初-4月中旬)</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普陀山路花箱-第二次(12月初-4月中旬)</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护栏(108*40)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906箱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角堇(粉红)</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24盆/箱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21744</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路口(70*50)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3160</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gridSpan w:val="12"/>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普陀山路花箱-第三次(4月下旬-6月底)</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花箱数量（箱）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auto" w:sz="4" w:space="0"/>
              <w:left w:val="single" w:color="auto" w:sz="4" w:space="0"/>
              <w:bottom w:val="single" w:color="auto" w:sz="4" w:space="0"/>
              <w:right w:val="single" w:color="auto" w:sz="4" w:space="0"/>
            </w:tcBorders>
            <w:tcW w:w="5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普陀山路花箱-第三次(4月下旬-6月底)</w:t>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护栏(108*40)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906箱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10872</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shd w:val="clear" w:color="auto" w:fill="auto"/>
            <w:tcBorders>
              <w:top w:val="single" w:color="auto" w:sz="4" w:space="0"/>
              <w:left w:val="single" w:color="auto" w:sz="4" w:space="0"/>
              <w:bottom w:val="single" w:color="auto" w:sz="4" w:space="0"/>
              <w:right w:val="single" w:color="auto" w:sz="4" w:space="0"/>
            </w:tcBorders>
            <w:tcW w:w="4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1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路口(70*50) </w:t>
            </w:r>
            <w:r/>
          </w:p>
        </w:tc>
        <w:tc>
          <w:tcPr>
            <w:shd w:val="clear" w:color="auto" w:fill="auto"/>
            <w:tcBorders>
              <w:top w:val="single" w:color="auto" w:sz="4" w:space="0"/>
              <w:left w:val="single" w:color="auto" w:sz="4" w:space="0"/>
              <w:bottom w:val="single" w:color="auto" w:sz="4" w:space="0"/>
              <w:right w:val="single" w:color="auto" w:sz="4" w:space="0"/>
            </w:tcBorders>
            <w:tcW w:w="42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158箱</w:t>
            </w:r>
            <w:r/>
          </w:p>
        </w:tc>
        <w:tc>
          <w:tcPr>
            <w:shd w:val="clear" w:color="auto" w:fill="auto"/>
            <w:tcBorders>
              <w:top w:val="single" w:color="auto" w:sz="4" w:space="0"/>
              <w:left w:val="single" w:color="auto" w:sz="4" w:space="0"/>
              <w:bottom w:val="single" w:color="auto" w:sz="4" w:space="0"/>
              <w:right w:val="single" w:color="auto" w:sz="4" w:space="0"/>
            </w:tcBorders>
            <w:tcW w:w="4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垂吊矮牵牛(粉红)</w:t>
            </w:r>
            <w:r/>
          </w:p>
        </w:tc>
        <w:tc>
          <w:tcPr>
            <w:shd w:val="clear" w:color="auto" w:fill="auto"/>
            <w:tcBorders>
              <w:top w:val="single" w:color="auto" w:sz="4" w:space="0"/>
              <w:left w:val="single" w:color="auto" w:sz="4" w:space="0"/>
              <w:bottom w:val="single" w:color="auto" w:sz="4" w:space="0"/>
              <w:right w:val="single" w:color="auto" w:sz="4" w:space="0"/>
            </w:tcBorders>
            <w:tcW w:w="27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auto" w:sz="4" w:space="0"/>
              <w:left w:val="single" w:color="auto" w:sz="4" w:space="0"/>
              <w:bottom w:val="single" w:color="auto" w:sz="4" w:space="0"/>
              <w:right w:val="single" w:color="auto" w:sz="4" w:space="0"/>
            </w:tcBorders>
            <w:tcW w:w="25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auto" w:sz="4" w:space="0"/>
              <w:left w:val="single" w:color="auto" w:sz="4" w:space="0"/>
              <w:bottom w:val="single" w:color="auto" w:sz="4" w:space="0"/>
              <w:right w:val="single" w:color="auto" w:sz="4" w:space="0"/>
            </w:tcBorders>
            <w:tcW w:w="1007"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auto" w:sz="4" w:space="0"/>
              <w:left w:val="single" w:color="auto" w:sz="4" w:space="0"/>
              <w:bottom w:val="single" w:color="auto" w:sz="4" w:space="0"/>
              <w:right w:val="single" w:color="auto" w:sz="4" w:space="0"/>
            </w:tcBorders>
            <w:tcW w:w="32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12盆/箱</w:t>
            </w:r>
            <w:r/>
          </w:p>
        </w:tc>
        <w:tc>
          <w:tcPr>
            <w:shd w:val="clear" w:color="auto" w:fill="auto"/>
            <w:tcBorders>
              <w:top w:val="single" w:color="auto" w:sz="4" w:space="0"/>
              <w:left w:val="single" w:color="auto" w:sz="4" w:space="0"/>
              <w:bottom w:val="single" w:color="auto" w:sz="4" w:space="0"/>
              <w:right w:val="single" w:color="auto" w:sz="4" w:space="0"/>
            </w:tcBorders>
            <w:tcW w:w="2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auto" w:sz="4" w:space="0"/>
              <w:left w:val="single" w:color="auto" w:sz="4" w:space="0"/>
              <w:bottom w:val="single" w:color="auto" w:sz="4" w:space="0"/>
              <w:right w:val="single" w:color="auto" w:sz="4" w:space="0"/>
            </w:tcBorders>
            <w:tcW w:w="3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1896</w:t>
            </w:r>
            <w:r/>
          </w:p>
        </w:tc>
        <w:tc>
          <w:tcPr>
            <w:shd w:val="clear" w:color="auto" w:fill="auto"/>
            <w:tcBorders>
              <w:top w:val="single" w:color="auto" w:sz="4" w:space="0"/>
              <w:left w:val="single" w:color="auto" w:sz="4" w:space="0"/>
              <w:bottom w:val="single" w:color="auto" w:sz="4" w:space="0"/>
              <w:right w:val="single" w:color="auto" w:sz="4" w:space="0"/>
            </w:tcBorders>
            <w:tcW w:w="43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39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380"/>
        </w:trPr>
        <w:tc>
          <w:tcPr>
            <w:gridSpan w:val="12"/>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380"/>
        </w:trPr>
        <w:tc>
          <w:tcPr>
            <w:gridSpan w:val="12"/>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小计金额⑤：</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1201"/>
        <w:gridCol w:w="4087"/>
        <w:gridCol w:w="689"/>
        <w:gridCol w:w="706"/>
        <w:gridCol w:w="1023"/>
        <w:gridCol w:w="816"/>
      </w:tblGrid>
      <w:tr>
        <w:trPr>
          <w:trHeight w:val="480"/>
        </w:trPr>
        <w:tc>
          <w:tcPr>
            <w:gridSpan w:val="6"/>
            <w:shd w:val="clear" w:color="auto" w:fill="auto"/>
            <w:tcBorders>
              <w:top w:val="none" w:color="000000" w:sz="4" w:space="0"/>
              <w:left w:val="none" w:color="000000" w:sz="4" w:space="0"/>
              <w:bottom w:val="single" w:color="auto"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（6）</w:t>
            </w:r>
            <w:r>
              <w:rPr>
                <w:rFonts w:hint="eastAsia" w:ascii="宋体" w:hAnsi="宋体" w:eastAsia="宋体" w:cs="宋体"/>
                <w:b/>
                <w:bCs/>
                <w:i w:val="0"/>
                <w:iCs w:val="0"/>
                <w:color w:val="auto"/>
                <w:sz w:val="32"/>
                <w:szCs w:val="32"/>
                <w:highlight w:val="none"/>
                <w:u w:val="none"/>
                <w:lang w:val="en-US" w:eastAsia="zh-CN" w:bidi="ar"/>
              </w:rPr>
              <w:t xml:space="preserve">锥形土坡</w:t>
            </w:r>
            <w:r/>
          </w:p>
        </w:tc>
      </w:tr>
      <w:tr>
        <w:trPr>
          <w:trHeight w:val="480"/>
        </w:trPr>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tcPr>
          <w:p>
            <w:pPr>
              <w:jc w:val="center"/>
              <w:keepLines w:val="0"/>
              <w:keepNext w:val="0"/>
              <w:widowControl/>
              <w:rPr>
                <w:rFonts w:hint="eastAsia" w:ascii="宋体" w:hAnsi="宋体" w:cs="宋体"/>
                <w:b/>
                <w:bCs/>
                <w:i w:val="0"/>
                <w:iCs w:val="0"/>
                <w:color w:val="auto"/>
                <w:sz w:val="32"/>
                <w:szCs w:val="32"/>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shd w:val="clear" w:color="auto" w:fill="auto"/>
            <w:tcBorders>
              <w:top w:val="single" w:color="auto" w:sz="4" w:space="0"/>
              <w:left w:val="single" w:color="auto" w:sz="4" w:space="0"/>
              <w:bottom w:val="single" w:color="auto" w:sz="4" w:space="0"/>
              <w:right w:val="single" w:color="auto" w:sz="4" w:space="0"/>
            </w:tcBorders>
            <w:tcW w:w="2397" w:type="pct"/>
            <w:vAlign w:val="center"/>
            <w:textDirection w:val="lrTb"/>
            <w:noWrap/>
          </w:tcPr>
          <w:p>
            <w:pPr>
              <w:jc w:val="center"/>
              <w:keepLines w:val="0"/>
              <w:keepNext w:val="0"/>
              <w:widowControl/>
              <w:rPr>
                <w:rFonts w:hint="eastAsia" w:ascii="宋体" w:hAnsi="宋体" w:cs="宋体"/>
                <w:b/>
                <w:bCs/>
                <w:i w:val="0"/>
                <w:iCs w:val="0"/>
                <w:color w:val="auto"/>
                <w:sz w:val="32"/>
                <w:szCs w:val="32"/>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tcPr>
          <w:p>
            <w:pPr>
              <w:jc w:val="center"/>
              <w:keepLines w:val="0"/>
              <w:keepNext w:val="0"/>
              <w:widowControl/>
              <w:rPr>
                <w:rFonts w:hint="default"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auto" w:sz="4" w:space="0"/>
              <w:left w:val="single" w:color="auto" w:sz="4" w:space="0"/>
              <w:bottom w:val="single" w:color="auto" w:sz="4" w:space="0"/>
              <w:right w:val="single" w:color="auto" w:sz="4" w:space="0"/>
            </w:tcBorders>
            <w:tcW w:w="600"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lang w:val="en-US" w:eastAsia="zh-CN" w:bidi="ar"/>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160"/>
        </w:trPr>
        <w:tc>
          <w:tcPr>
            <w:shd w:val="clear" w:color="auto" w:fill="auto"/>
            <w:tcBorders>
              <w:top w:val="single" w:color="auto" w:sz="4" w:space="0"/>
              <w:left w:val="single" w:color="auto" w:sz="4" w:space="0"/>
              <w:bottom w:val="single" w:color="auto" w:sz="4" w:space="0"/>
              <w:right w:val="single" w:color="auto" w:sz="4" w:space="0"/>
            </w:tcBorders>
            <w:tcW w:w="7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锥形土坡</w:t>
            </w:r>
            <w:r/>
          </w:p>
        </w:tc>
        <w:tc>
          <w:tcPr>
            <w:shd w:val="clear" w:color="auto" w:fill="auto"/>
            <w:tcBorders>
              <w:top w:val="single" w:color="auto" w:sz="4" w:space="0"/>
              <w:left w:val="single" w:color="auto" w:sz="4" w:space="0"/>
              <w:bottom w:val="single" w:color="auto" w:sz="4" w:space="0"/>
              <w:right w:val="single" w:color="auto" w:sz="4" w:space="0"/>
            </w:tcBorders>
            <w:tcW w:w="2397" w:type="pct"/>
            <w:vAlign w:val="center"/>
            <w:textDirection w:val="lrTb"/>
            <w:noWrap w:val="false"/>
          </w:tcPr>
          <w:p>
            <w:pPr>
              <w:jc w:val="lef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1、50厚绿化种植土覆土</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2、Lx150x5厚镀锌钢板隔板</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3、100x40x40X3厚镀锌角钢焊接@500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4、M1预埋件@500</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5、50厚土工格室(HDPE高密度聚乙烯)三维网状格室,钢钉固定</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6、LX200X150厚C25混凝土条基</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7、100厚碎石垫层</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8、素土夯实,夯实度≥93%</w:t>
            </w:r>
            <w:r>
              <w:rPr>
                <w:rFonts w:hint="eastAsia" w:ascii="宋体" w:hAnsi="宋体" w:eastAsia="宋体" w:cs="宋体"/>
                <w:i w:val="0"/>
                <w:iCs w:val="0"/>
                <w:color w:val="auto"/>
                <w:sz w:val="20"/>
                <w:szCs w:val="20"/>
                <w:highlight w:val="none"/>
                <w:u w:val="none"/>
                <w:lang w:val="en-US" w:eastAsia="zh-CN" w:bidi="ar"/>
              </w:rPr>
              <w:br/>
            </w:r>
            <w:r>
              <w:rPr>
                <w:rFonts w:hint="eastAsia" w:ascii="宋体" w:hAnsi="宋体" w:eastAsia="宋体" w:cs="宋体"/>
                <w:i w:val="0"/>
                <w:iCs w:val="0"/>
                <w:color w:val="auto"/>
                <w:sz w:val="20"/>
                <w:szCs w:val="20"/>
                <w:highlight w:val="none"/>
                <w:u w:val="none"/>
                <w:lang w:val="en-US" w:eastAsia="zh-CN" w:bidi="ar"/>
              </w:rPr>
              <w:t xml:space="preserve">9、详见图纸</w:t>
            </w:r>
            <w:r/>
          </w:p>
        </w:tc>
        <w:tc>
          <w:tcPr>
            <w:shd w:val="clear" w:color="auto" w:fill="auto"/>
            <w:tcBorders>
              <w:top w:val="single" w:color="auto" w:sz="4" w:space="0"/>
              <w:left w:val="single" w:color="auto" w:sz="4" w:space="0"/>
              <w:bottom w:val="single" w:color="auto" w:sz="4" w:space="0"/>
              <w:right w:val="single" w:color="auto" w:sz="4" w:space="0"/>
            </w:tcBorders>
            <w:tcW w:w="40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w:t>
            </w:r>
            <w:r/>
          </w:p>
        </w:tc>
        <w:tc>
          <w:tcPr>
            <w:shd w:val="clear" w:color="auto" w:fill="auto"/>
            <w:tcBorders>
              <w:top w:val="single" w:color="auto" w:sz="4" w:space="0"/>
              <w:left w:val="single" w:color="auto" w:sz="4" w:space="0"/>
              <w:bottom w:val="single" w:color="auto" w:sz="4" w:space="0"/>
              <w:right w:val="single" w:color="auto" w:sz="4" w:space="0"/>
            </w:tcBorders>
            <w:tcW w:w="414"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w:t>
            </w:r>
            <w:r/>
          </w:p>
        </w:tc>
        <w:tc>
          <w:tcPr>
            <w:shd w:val="clear" w:color="auto" w:fill="auto"/>
            <w:tcBorders>
              <w:top w:val="single" w:color="auto" w:sz="4" w:space="0"/>
              <w:left w:val="single" w:color="auto" w:sz="4" w:space="0"/>
              <w:bottom w:val="single" w:color="auto" w:sz="4" w:space="0"/>
              <w:right w:val="single" w:color="auto" w:sz="4" w:space="0"/>
            </w:tcBorders>
            <w:tcW w:w="6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auto" w:sz="4" w:space="0"/>
              <w:left w:val="single" w:color="auto" w:sz="4" w:space="0"/>
              <w:bottom w:val="single" w:color="auto" w:sz="4" w:space="0"/>
              <w:right w:val="single" w:color="auto" w:sz="4" w:space="0"/>
            </w:tcBorders>
            <w:tcW w:w="478" w:type="pct"/>
            <w:vAlign w:val="center"/>
            <w:textDirection w:val="lrTb"/>
            <w:noWrap/>
          </w:tcPr>
          <w:p>
            <w:pPr>
              <w:jc w:val="right"/>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6"/>
            <w:shd w:val="clear" w:color="auto" w:fill="92d050"/>
            <w:tcBorders>
              <w:top w:val="single" w:color="auto" w:sz="4" w:space="0"/>
              <w:left w:val="single" w:color="auto" w:sz="4" w:space="0"/>
              <w:bottom w:val="single" w:color="auto" w:sz="4" w:space="0"/>
              <w:right w:val="single" w:color="auto"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6"/>
            <w:shd w:val="clear" w:color="auto" w:fill="auto"/>
            <w:tcBorders>
              <w:top w:val="single" w:color="auto" w:sz="4" w:space="0"/>
              <w:left w:val="single" w:color="auto" w:sz="4" w:space="0"/>
              <w:bottom w:val="single" w:color="auto" w:sz="4" w:space="0"/>
              <w:right w:val="single" w:color="auto"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小计金额⑥：</w:t>
            </w:r>
            <w:r/>
          </w:p>
        </w:tc>
      </w:tr>
    </w:tbl>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p>
      <w:pPr>
        <w:jc w:val="center"/>
        <w:spacing w:line="360" w:lineRule="auto"/>
        <w:rPr>
          <w:rFonts w:hint="eastAsia" w:ascii="宋体" w:hAnsi="宋体" w:cs="宋体"/>
          <w:b/>
          <w:color w:val="auto"/>
          <w:sz w:val="24"/>
          <w:highlight w:val="none"/>
          <w:lang w:eastAsia="zh-CN"/>
        </w:rPr>
      </w:pPr>
      <w:r>
        <w:rPr>
          <w:rFonts w:hint="eastAsia" w:ascii="宋体" w:hAnsi="宋体" w:cs="宋体"/>
          <w:b/>
          <w:color w:val="auto"/>
          <w:sz w:val="24"/>
          <w:highlight w:val="none"/>
          <w:lang w:eastAsia="zh-CN"/>
        </w:rPr>
      </w:r>
      <w:r/>
    </w:p>
    <w:tbl>
      <w:tblPr>
        <w:tblStyle w:val="794"/>
        <w:tblW w:w="5000" w:type="pct"/>
        <w:tblInd w:w="0" w:type="dxa"/>
        <w:tblBorders>
          <w:top w:val="none" w:color="auto" w:sz="0" w:space="0"/>
          <w:left w:val="none" w:color="auto" w:sz="0" w:space="0"/>
          <w:bottom w:val="none" w:color="auto" w:sz="0" w:space="0"/>
          <w:right w:val="none" w:color="auto" w:sz="0" w:space="0"/>
          <w:insideH w:val="none" w:color="auto" w:sz="0" w:space="0"/>
          <w:insideV w:val="none" w:color="auto" w:sz="0" w:space="0"/>
        </w:tblBorders>
        <w:shd w:val="clear" w:color="auto" w:fill="auto"/>
        <w:tblLayout w:type="fixed"/>
        <w:tblCellMar>
          <w:left w:w="108" w:type="dxa"/>
          <w:top w:w="0" w:type="dxa"/>
          <w:right w:w="108" w:type="dxa"/>
          <w:bottom w:w="0" w:type="dxa"/>
        </w:tblCellMar>
        <w:tblLook w:val="04A0" w:firstRow="1" w:lastRow="0" w:firstColumn="1" w:lastColumn="0" w:noHBand="0" w:noVBand="1"/>
      </w:tblPr>
      <w:tblGrid>
        <w:gridCol w:w="718"/>
        <w:gridCol w:w="743"/>
        <w:gridCol w:w="515"/>
        <w:gridCol w:w="716"/>
        <w:gridCol w:w="515"/>
        <w:gridCol w:w="458"/>
        <w:gridCol w:w="1800"/>
        <w:gridCol w:w="670"/>
        <w:gridCol w:w="406"/>
        <w:gridCol w:w="565"/>
        <w:gridCol w:w="753"/>
        <w:gridCol w:w="663"/>
      </w:tblGrid>
      <w:tr>
        <w:trPr>
          <w:trHeight w:val="480"/>
        </w:trPr>
        <w:tc>
          <w:tcPr>
            <w:gridSpan w:val="12"/>
            <w:shd w:val="clear" w:color="auto" w:fill="auto"/>
            <w:tcBorders>
              <w:top w:val="none" w:color="000000" w:sz="4" w:space="0"/>
              <w:left w:val="none" w:color="000000" w:sz="4" w:space="0"/>
              <w:bottom w:val="none" w:color="000000" w:sz="4" w:space="0"/>
              <w:right w:val="none" w:color="000000" w:sz="4" w:space="0"/>
            </w:tcBorders>
            <w:tcW w:w="5000" w:type="pct"/>
            <w:vAlign w:val="center"/>
            <w:textDirection w:val="lrTb"/>
            <w:noWrap/>
          </w:tcPr>
          <w:p>
            <w:pPr>
              <w:jc w:val="center"/>
              <w:keepLines w:val="0"/>
              <w:keepNext w:val="0"/>
              <w:widowControl/>
              <w:rPr>
                <w:rFonts w:hint="eastAsia" w:ascii="宋体" w:hAnsi="宋体" w:eastAsia="宋体" w:cs="宋体"/>
                <w:b/>
                <w:bCs/>
                <w:i w:val="0"/>
                <w:iCs w:val="0"/>
                <w:color w:val="auto"/>
                <w:sz w:val="32"/>
                <w:szCs w:val="32"/>
                <w:highlight w:val="none"/>
                <w:u w:val="none"/>
              </w:rPr>
              <w:suppressLineNumbers w:val="0"/>
            </w:pPr>
            <w:r>
              <w:rPr>
                <w:rFonts w:hint="eastAsia" w:ascii="宋体" w:hAnsi="宋体" w:cs="宋体"/>
                <w:b/>
                <w:bCs/>
                <w:i w:val="0"/>
                <w:iCs w:val="0"/>
                <w:color w:val="auto"/>
                <w:sz w:val="32"/>
                <w:szCs w:val="32"/>
                <w:highlight w:val="none"/>
                <w:u w:val="none"/>
                <w:lang w:val="en-US" w:eastAsia="zh-CN" w:bidi="ar"/>
              </w:rPr>
              <w:t xml:space="preserve">（7）</w:t>
            </w:r>
            <w:r>
              <w:rPr>
                <w:rFonts w:hint="eastAsia" w:ascii="宋体" w:hAnsi="宋体" w:eastAsia="宋体" w:cs="宋体"/>
                <w:b/>
                <w:bCs/>
                <w:i w:val="0"/>
                <w:iCs w:val="0"/>
                <w:color w:val="auto"/>
                <w:sz w:val="32"/>
                <w:szCs w:val="32"/>
                <w:highlight w:val="none"/>
                <w:u w:val="none"/>
                <w:lang w:val="en-US" w:eastAsia="zh-CN" w:bidi="ar"/>
              </w:rPr>
              <w:t xml:space="preserve">太湖大道花箱</w:t>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团山段-全年</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太湖大道-团山段-全年</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机非隔离带</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小丑火棘</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26盆/组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青山桥-第一次(7月初-9月底)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太湖大道-青山桥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人行道桥栏杆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鸟尾花</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机非带护栏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桥栏杆花箱(马鞍式48*35*4) </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105箱</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青山桥-第二次(10月初-12月底)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太湖大道-青山桥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人行道桥栏杆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机非带护栏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比格海棠(红花)</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桥栏杆花箱(马鞍式48*35*4) </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105箱</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比格海棠(红花)</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青山桥-第三次(1月初-3月底)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太湖大道-青山桥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人行道桥栏杆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紫罗兰(红色)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36盆/组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5832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机非带护栏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紫罗兰(粉色)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桥栏杆花箱(马鞍式48*35*4) </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105箱</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紫罗兰(红色)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150#盆,满盆,株形饱满,温室养护,控制花期,初花期全冠种植</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角堇(蓝粉)</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15-20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150#盆,满盆,株形饱满,拼放时花开15朵以上,种植时不露土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青山桥-第四次(4月初-5月中旬)</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太湖大道-青山桥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人行道桥栏杆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机非带护栏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1256</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桥栏杆花箱(马鞍式48*35*4) </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105箱</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比格海棠(花、叶红色)</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150#盆,满盆,株形饱满,种植时至少开花3个花头,种植时不露土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垂吊矮牵牛(玫红)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L20</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180#盆,满盆,株形饱满,拼放时花开5朵以上,种植时已下垂,种植时不露土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青山桥-第五次(5月下旬-6月底)</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项目名称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段落（组）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品种名称</w:t>
            </w:r>
            <w:r/>
          </w:p>
        </w:tc>
        <w:tc>
          <w:tcPr>
            <w:gridSpan w:val="2"/>
            <w:shd w:val="clear" w:color="auto" w:fill="auto"/>
            <w:tcBorders>
              <w:top w:val="single" w:color="000000" w:sz="4" w:space="0"/>
              <w:left w:val="single" w:color="000000" w:sz="4" w:space="0"/>
              <w:bottom w:val="single" w:color="000000" w:sz="4" w:space="0"/>
              <w:right w:val="single" w:color="000000" w:sz="4" w:space="0"/>
            </w:tcBorders>
            <w:tcW w:w="57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规格(cm)</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备注</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密度</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单位</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数量</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单价（元/盆）</w:t>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restart"/>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合价（元）</w:t>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gridSpan w:val="2"/>
            <w:shd w:val="clear" w:color="auto" w:fill="auto"/>
            <w:tcBorders>
              <w:top w:val="single" w:color="000000" w:sz="4" w:space="0"/>
              <w:left w:val="single" w:color="000000" w:sz="4" w:space="0"/>
              <w:bottom w:val="single" w:color="000000" w:sz="4" w:space="0"/>
              <w:right w:val="single" w:color="000000" w:sz="4" w:space="0"/>
            </w:tcBorders>
            <w:tcW w:w="7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高度</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蓬径</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vMerge w:val="continue"/>
            <w:textDirection w:val="lrTb"/>
            <w:noWrap/>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太湖大道-青山桥</w:t>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人行道桥栏杆</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162组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30盆/组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4860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机非带护栏</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157组</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16盆/组</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2512</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桥栏杆花箱(马鞍式48*35*4) </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restart"/>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105箱</w:t>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长春花(红花白心)</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shd w:val="clear" w:color="auto" w:fill="auto"/>
            <w:tcBorders>
              <w:top w:val="single" w:color="000000" w:sz="4" w:space="0"/>
              <w:left w:val="single" w:color="000000" w:sz="4" w:space="0"/>
              <w:bottom w:val="single" w:color="000000" w:sz="4" w:space="0"/>
              <w:right w:val="single" w:color="000000" w:sz="4" w:space="0"/>
            </w:tcBorders>
            <w:tcW w:w="421"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35"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vMerge w:val="continue"/>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420"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长春花(玫红)</w:t>
            </w:r>
            <w:r/>
          </w:p>
        </w:tc>
        <w:tc>
          <w:tcPr>
            <w:shd w:val="clear" w:color="auto" w:fill="auto"/>
            <w:tcBorders>
              <w:top w:val="single" w:color="000000" w:sz="4" w:space="0"/>
              <w:left w:val="single" w:color="000000" w:sz="4" w:space="0"/>
              <w:bottom w:val="single" w:color="000000" w:sz="4" w:space="0"/>
              <w:right w:val="single" w:color="000000" w:sz="4" w:space="0"/>
            </w:tcBorders>
            <w:tcW w:w="302"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20-25</w:t>
            </w:r>
            <w:r/>
          </w:p>
        </w:tc>
        <w:tc>
          <w:tcPr>
            <w:shd w:val="clear" w:color="auto" w:fill="auto"/>
            <w:tcBorders>
              <w:top w:val="single" w:color="000000" w:sz="4" w:space="0"/>
              <w:left w:val="single" w:color="000000" w:sz="4" w:space="0"/>
              <w:bottom w:val="single" w:color="000000" w:sz="4" w:space="0"/>
              <w:right w:val="single" w:color="000000" w:sz="4" w:space="0"/>
            </w:tcBorders>
            <w:tcW w:w="26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25-30</w:t>
            </w:r>
            <w:r/>
          </w:p>
        </w:tc>
        <w:tc>
          <w:tcPr>
            <w:shd w:val="clear" w:color="auto" w:fill="auto"/>
            <w:tcBorders>
              <w:top w:val="single" w:color="000000" w:sz="4" w:space="0"/>
              <w:left w:val="single" w:color="000000" w:sz="4" w:space="0"/>
              <w:bottom w:val="single" w:color="000000" w:sz="4" w:space="0"/>
              <w:right w:val="single" w:color="000000" w:sz="4" w:space="0"/>
            </w:tcBorders>
            <w:tcW w:w="1056"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150#盆,满盆,株形饱满,花开2朵以上,种植时不露土</w:t>
            </w:r>
            <w:r/>
          </w:p>
        </w:tc>
        <w:tc>
          <w:tcPr>
            <w:shd w:val="clear" w:color="auto" w:fill="auto"/>
            <w:tcBorders>
              <w:top w:val="single" w:color="000000" w:sz="4" w:space="0"/>
              <w:left w:val="single" w:color="000000" w:sz="4" w:space="0"/>
              <w:bottom w:val="single" w:color="000000" w:sz="4" w:space="0"/>
              <w:right w:val="single" w:color="000000" w:sz="4" w:space="0"/>
            </w:tcBorders>
            <w:tcW w:w="393"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8盆/箱</w:t>
            </w:r>
            <w:r/>
          </w:p>
        </w:tc>
        <w:tc>
          <w:tcPr>
            <w:shd w:val="clear" w:color="auto" w:fill="auto"/>
            <w:tcBorders>
              <w:top w:val="single" w:color="000000" w:sz="4" w:space="0"/>
              <w:left w:val="single" w:color="000000" w:sz="4" w:space="0"/>
              <w:bottom w:val="single" w:color="000000" w:sz="4" w:space="0"/>
              <w:right w:val="single" w:color="000000" w:sz="4" w:space="0"/>
            </w:tcBorders>
            <w:tcW w:w="238"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盆</w:t>
            </w:r>
            <w:r/>
          </w:p>
        </w:tc>
        <w:tc>
          <w:tcPr>
            <w:shd w:val="clear" w:color="auto" w:fill="auto"/>
            <w:tcBorders>
              <w:top w:val="single" w:color="000000" w:sz="4" w:space="0"/>
              <w:left w:val="single" w:color="000000" w:sz="4" w:space="0"/>
              <w:bottom w:val="single" w:color="000000" w:sz="4" w:space="0"/>
              <w:right w:val="single" w:color="000000" w:sz="4" w:space="0"/>
            </w:tcBorders>
            <w:tcW w:w="33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lang w:val="en-US" w:eastAsia="zh-CN" w:bidi="ar"/>
              </w:rPr>
              <w:t xml:space="preserve">840</w:t>
            </w:r>
            <w:r/>
          </w:p>
        </w:tc>
        <w:tc>
          <w:tcPr>
            <w:shd w:val="clear" w:color="auto" w:fill="auto"/>
            <w:tcBorders>
              <w:top w:val="single" w:color="000000" w:sz="4" w:space="0"/>
              <w:left w:val="single" w:color="000000" w:sz="4" w:space="0"/>
              <w:bottom w:val="single" w:color="000000" w:sz="4" w:space="0"/>
              <w:right w:val="single" w:color="000000" w:sz="4" w:space="0"/>
            </w:tcBorders>
            <w:tcW w:w="441" w:type="pct"/>
            <w:vAlign w:val="center"/>
            <w:textDirection w:val="lrTb"/>
            <w:noWrap w:val="false"/>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c>
          <w:tcPr>
            <w:shd w:val="clear" w:color="auto" w:fill="auto"/>
            <w:tcBorders>
              <w:top w:val="single" w:color="000000" w:sz="4" w:space="0"/>
              <w:left w:val="single" w:color="000000" w:sz="4" w:space="0"/>
              <w:bottom w:val="single" w:color="000000" w:sz="4" w:space="0"/>
              <w:right w:val="single" w:color="000000" w:sz="4" w:space="0"/>
            </w:tcBorders>
            <w:tcW w:w="388" w:type="pct"/>
            <w:vAlign w:val="center"/>
            <w:textDirection w:val="lrTb"/>
            <w:noWrap/>
          </w:tcPr>
          <w:p>
            <w:pPr>
              <w:jc w:val="center"/>
              <w:keepLines w:val="0"/>
              <w:keepNext w:val="0"/>
              <w:widowControl/>
              <w:rPr>
                <w:rFonts w:hint="eastAsia" w:ascii="宋体" w:hAnsi="宋体" w:eastAsia="宋体" w:cs="宋体"/>
                <w:i w:val="0"/>
                <w:iCs w:val="0"/>
                <w:color w:val="auto"/>
                <w:sz w:val="20"/>
                <w:szCs w:val="20"/>
                <w:highlight w:val="none"/>
                <w:u w:val="none"/>
              </w:rPr>
              <w:suppressLineNumbers w:val="0"/>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92d050"/>
            <w:tcBorders>
              <w:top w:val="single" w:color="000000" w:sz="4" w:space="0"/>
              <w:left w:val="single" w:color="000000" w:sz="4" w:space="0"/>
              <w:bottom w:val="single" w:color="000000" w:sz="4" w:space="0"/>
              <w:right w:val="single" w:color="000000" w:sz="4" w:space="0"/>
            </w:tcBorders>
            <w:tcW w:w="5000" w:type="pct"/>
            <w:vAlign w:val="center"/>
            <w:textDirection w:val="lrTb"/>
            <w:noWrap w:val="false"/>
          </w:tcPr>
          <w:p>
            <w:pPr>
              <w:jc w:val="center"/>
              <w:rPr>
                <w:rFonts w:hint="eastAsia" w:ascii="宋体" w:hAnsi="宋体" w:eastAsia="宋体" w:cs="宋体"/>
                <w:i w:val="0"/>
                <w:iCs w:val="0"/>
                <w:color w:val="auto"/>
                <w:sz w:val="20"/>
                <w:szCs w:val="20"/>
                <w:highlight w:val="none"/>
                <w:u w:val="none"/>
              </w:rPr>
            </w:pPr>
            <w:r>
              <w:rPr>
                <w:rFonts w:hint="eastAsia" w:ascii="宋体" w:hAnsi="宋体" w:eastAsia="宋体" w:cs="宋体"/>
                <w:i w:val="0"/>
                <w:iCs w:val="0"/>
                <w:color w:val="auto"/>
                <w:sz w:val="20"/>
                <w:szCs w:val="20"/>
                <w:highlight w:val="none"/>
                <w:u w:val="none"/>
              </w:rPr>
            </w:r>
            <w:r/>
          </w:p>
        </w:tc>
      </w:tr>
      <w:tr>
        <w:trPr>
          <w:trHeight w:val="28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default" w:ascii="宋体" w:hAnsi="宋体" w:eastAsia="宋体" w:cs="宋体"/>
                <w:b/>
                <w:bCs/>
                <w:i w:val="0"/>
                <w:iCs w:val="0"/>
                <w:color w:val="auto"/>
                <w:sz w:val="20"/>
                <w:szCs w:val="20"/>
                <w:highlight w:val="none"/>
                <w:u w:val="none"/>
                <w:lang w:val="en-US" w:eastAsia="zh-CN"/>
              </w:rPr>
              <w:suppressLineNumbers w:val="0"/>
            </w:pPr>
            <w:r>
              <w:rPr>
                <w:rFonts w:hint="eastAsia" w:ascii="宋体" w:hAnsi="宋体" w:cs="宋体"/>
                <w:b w:val="0"/>
                <w:bCs w:val="0"/>
                <w:i w:val="0"/>
                <w:iCs w:val="0"/>
                <w:color w:val="auto"/>
                <w:sz w:val="20"/>
                <w:szCs w:val="20"/>
                <w:highlight w:val="none"/>
                <w:u w:val="none"/>
                <w:lang w:val="en-US" w:eastAsia="zh-CN"/>
              </w:rPr>
              <w:t xml:space="preserve">小计金额⑦：</w:t>
            </w:r>
            <w:r/>
          </w:p>
        </w:tc>
      </w:tr>
      <w:tr>
        <w:trPr>
          <w:trHeight w:val="280"/>
        </w:trPr>
        <w:tc>
          <w:tcPr>
            <w:gridSpan w:val="12"/>
            <w:shd w:val="clear" w:color="auto" w:fill="auto"/>
            <w:tcBorders>
              <w:top w:val="single" w:color="000000" w:sz="4" w:space="0"/>
              <w:left w:val="single" w:color="000000" w:sz="4" w:space="0"/>
              <w:bottom w:val="single" w:color="000000" w:sz="4" w:space="0"/>
              <w:right w:val="single" w:color="000000" w:sz="4" w:space="0"/>
            </w:tcBorders>
            <w:tcW w:w="5000" w:type="pct"/>
            <w:vAlign w:val="center"/>
            <w:textDirection w:val="lrTb"/>
            <w:noWrap/>
          </w:tcPr>
          <w:p>
            <w:pPr>
              <w:jc w:val="both"/>
              <w:keepLines w:val="0"/>
              <w:keepNext w:val="0"/>
              <w:widowControl/>
              <w:rPr>
                <w:rFonts w:hint="eastAsia" w:ascii="宋体" w:hAnsi="宋体" w:cs="宋体"/>
                <w:b w:val="0"/>
                <w:bCs w:val="0"/>
                <w:i w:val="0"/>
                <w:iCs w:val="0"/>
                <w:color w:val="auto"/>
                <w:sz w:val="20"/>
                <w:szCs w:val="20"/>
                <w:highlight w:val="none"/>
                <w:u w:val="none"/>
                <w:lang w:val="en-US" w:eastAsia="zh-CN"/>
              </w:rPr>
              <w:suppressLineNumbers w:val="0"/>
            </w:pPr>
            <w:r>
              <w:rPr>
                <w:rFonts w:hint="eastAsia" w:ascii="宋体" w:hAnsi="宋体" w:eastAsia="宋体" w:cs="宋体"/>
                <w:i w:val="0"/>
                <w:iCs w:val="0"/>
                <w:color w:val="auto"/>
                <w:sz w:val="20"/>
                <w:szCs w:val="20"/>
                <w:highlight w:val="none"/>
                <w:u w:val="none"/>
                <w:lang w:val="en-US" w:eastAsia="zh-CN" w:bidi="ar"/>
              </w:rPr>
              <w:t xml:space="preserve">⑧合计金额=①+②+③+④+⑤+⑥+⑦</w:t>
            </w:r>
            <w:r/>
          </w:p>
        </w:tc>
      </w:tr>
    </w:tbl>
    <w:p>
      <w:pPr>
        <w:spacing w:line="360" w:lineRule="auto"/>
        <w:rPr>
          <w:rFonts w:ascii="宋体" w:hAnsi="宋体"/>
          <w:color w:val="auto"/>
          <w:sz w:val="24"/>
          <w:highlight w:val="none"/>
        </w:rPr>
      </w:pPr>
      <w:r>
        <w:rPr>
          <w:rFonts w:hint="eastAsia" w:ascii="宋体" w:hAnsi="宋体"/>
          <w:color w:val="auto"/>
          <w:sz w:val="24"/>
          <w:highlight w:val="none"/>
        </w:rPr>
        <w:t xml:space="preserve">注：1）此表“</w:t>
      </w:r>
      <w:r>
        <w:rPr>
          <w:rFonts w:hint="eastAsia" w:ascii="宋体" w:hAnsi="宋体" w:eastAsia="宋体" w:cs="Times New Roman"/>
          <w:color w:val="auto"/>
          <w:sz w:val="24"/>
          <w:highlight w:val="none"/>
          <w:lang w:val="en-US" w:eastAsia="zh-CN"/>
        </w:rPr>
        <w:t xml:space="preserve">⑧</w:t>
      </w:r>
      <w:r>
        <w:rPr>
          <w:rFonts w:hint="eastAsia" w:ascii="宋体" w:hAnsi="宋体" w:eastAsia="宋体" w:cs="Times New Roman"/>
          <w:color w:val="auto"/>
          <w:sz w:val="24"/>
          <w:highlight w:val="none"/>
        </w:rPr>
        <w:t xml:space="preserve">合</w:t>
      </w:r>
      <w:r>
        <w:rPr>
          <w:rFonts w:hint="eastAsia" w:ascii="宋体" w:hAnsi="宋体"/>
          <w:color w:val="auto"/>
          <w:sz w:val="24"/>
          <w:highlight w:val="none"/>
        </w:rPr>
        <w:t xml:space="preserve">计金额”与</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“项目总价”须保持一致，否则以</w:t>
      </w:r>
      <w:r>
        <w:rPr>
          <w:rFonts w:hint="eastAsia" w:ascii="宋体" w:hAnsi="宋体"/>
          <w:color w:val="auto"/>
          <w:sz w:val="24"/>
          <w:highlight w:val="none"/>
          <w:lang w:val="en-US" w:eastAsia="zh-CN"/>
        </w:rPr>
        <w:t xml:space="preserve">开标一览标</w:t>
      </w:r>
      <w:r>
        <w:rPr>
          <w:rFonts w:hint="eastAsia" w:ascii="宋体" w:hAnsi="宋体"/>
          <w:color w:val="auto"/>
          <w:sz w:val="24"/>
          <w:highlight w:val="none"/>
        </w:rPr>
        <w:t xml:space="preserve">价格为准。可根据需要自行调整。</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2）</w:t>
      </w:r>
      <w:r>
        <w:rPr>
          <w:rFonts w:hint="eastAsia" w:ascii="宋体" w:hAnsi="宋体" w:cs="宋体"/>
          <w:color w:val="auto"/>
          <w:sz w:val="24"/>
          <w:szCs w:val="24"/>
          <w:highlight w:val="none"/>
        </w:rPr>
        <w:t xml:space="preserve">本清单内采购数量为计划数量，结算时以实际发生数量为准，实际如超出计划数量，相关费用不再核增；实际数量如小于招标清单数量，费用按照投标报价作相应核减</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）本表中的报价为综合报价，应</w:t>
      </w:r>
      <w:r>
        <w:rPr>
          <w:rFonts w:hint="eastAsia" w:ascii="宋体" w:hAnsi="宋体"/>
          <w:color w:val="auto"/>
          <w:sz w:val="24"/>
          <w:highlight w:val="none"/>
          <w:lang w:eastAsia="zh-CN"/>
        </w:rPr>
        <w:t xml:space="preserve">包括但不限于所需要的花木、种植基质（如草炭、珍珠岩、营养土等）、辅助材料、人工、机械、运输、仓储、安装、调试、保险、劳保、设计费、各种税费、绿化养护费用、管理费、利润、代理服务费、专利技术及养护期间等一切费用</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ascii="宋体" w:hAnsi="宋体"/>
          <w:color w:val="auto"/>
          <w:sz w:val="24"/>
          <w:highlight w:val="none"/>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投标单位：（单位盖章）</w:t>
      </w:r>
      <w:r/>
    </w:p>
    <w:p>
      <w:pPr>
        <w:spacing w:line="360" w:lineRule="auto"/>
        <w:rPr>
          <w:rFonts w:ascii="宋体" w:hAnsi="宋体"/>
          <w:color w:val="auto"/>
          <w:sz w:val="24"/>
          <w:highlight w:val="none"/>
        </w:rPr>
      </w:pPr>
      <w:r>
        <w:rPr>
          <w:rFonts w:hint="eastAsia" w:ascii="宋体" w:hAnsi="宋体"/>
          <w:color w:val="auto"/>
          <w:sz w:val="24"/>
          <w:highlight w:val="none"/>
        </w:rPr>
        <w:t xml:space="preserve">法定代表人或代理人：（签字或盖章）</w:t>
      </w:r>
      <w:r/>
    </w:p>
    <w:p>
      <w:pPr>
        <w:spacing w:line="48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olor w:val="auto"/>
          <w:sz w:val="24"/>
          <w:highlight w:val="none"/>
        </w:rPr>
        <w:br w:type="page" w:clear="all"/>
      </w:r>
      <w:r>
        <w:rPr>
          <w:rFonts w:hint="eastAsia" w:ascii="宋体" w:hAnsi="宋体"/>
          <w:color w:val="auto"/>
          <w:sz w:val="28"/>
          <w:szCs w:val="28"/>
          <w:highlight w:val="none"/>
          <w:lang w:val="en-US" w:eastAsia="zh-CN"/>
        </w:rPr>
        <w:t xml:space="preserve">3.3</w:t>
      </w:r>
      <w:r>
        <w:rPr>
          <w:rFonts w:hint="eastAsia" w:ascii="宋体" w:hAnsi="宋体"/>
          <w:color w:val="auto"/>
          <w:sz w:val="28"/>
          <w:szCs w:val="28"/>
          <w:highlight w:val="none"/>
        </w:rPr>
        <w:t xml:space="preserve">关于投标报价合理性的澄清说明</w:t>
      </w:r>
      <w:r>
        <w:rPr>
          <w:rFonts w:hint="eastAsia" w:ascii="宋体" w:hAnsi="宋体"/>
          <w:b/>
          <w:bCs/>
          <w:color w:val="auto"/>
          <w:sz w:val="28"/>
          <w:szCs w:val="28"/>
          <w:highlight w:val="none"/>
        </w:rPr>
        <w:t xml:space="preserve">（若涉及）</w:t>
      </w:r>
      <w:r/>
    </w:p>
    <w:p>
      <w:pPr>
        <w:ind w:left="0" w:firstLine="420"/>
        <w:jc w:val="center"/>
        <w:rPr>
          <w:rFonts w:ascii="宋体" w:hAnsi="宋体"/>
          <w:b/>
          <w:color w:val="auto"/>
          <w:sz w:val="21"/>
          <w:szCs w:val="21"/>
          <w:highlight w:val="none"/>
        </w:rPr>
      </w:pPr>
      <w:r>
        <w:rPr>
          <w:rFonts w:ascii="宋体" w:hAnsi="宋体"/>
          <w:b/>
          <w:color w:val="auto"/>
          <w:sz w:val="21"/>
          <w:szCs w:val="21"/>
          <w:highlight w:val="none"/>
        </w:rPr>
      </w:r>
      <w:r/>
    </w:p>
    <w:p>
      <w:pPr>
        <w:jc w:val="center"/>
        <w:spacing w:line="360" w:lineRule="auto"/>
        <w:rPr>
          <w:rFonts w:hint="eastAsia" w:ascii="宋体" w:hAnsi="宋体" w:cs="宋体"/>
          <w:b w:val="0"/>
          <w:bCs/>
          <w:color w:val="auto"/>
          <w:sz w:val="24"/>
          <w:szCs w:val="24"/>
          <w:highlight w:val="none"/>
          <w:lang w:val="en-US" w:eastAsia="zh-CN"/>
        </w:rPr>
      </w:pPr>
      <w:r>
        <w:rPr>
          <w:rFonts w:hint="eastAsia" w:ascii="宋体" w:hAnsi="宋体" w:cs="宋体"/>
          <w:b w:val="0"/>
          <w:bCs/>
          <w:color w:val="auto"/>
          <w:sz w:val="24"/>
          <w:szCs w:val="24"/>
          <w:highlight w:val="none"/>
          <w:lang w:val="en-US" w:eastAsia="zh-CN"/>
        </w:rPr>
        <w:t xml:space="preserve">关于投标报价合理性的澄清说明</w:t>
      </w:r>
      <w:r/>
    </w:p>
    <w:p>
      <w:pPr>
        <w:ind w:left="0"/>
        <w:jc w:val="left"/>
        <w:spacing w:line="360" w:lineRule="auto"/>
        <w:rPr>
          <w:rFonts w:ascii="宋体" w:hAnsi="宋体"/>
          <w:color w:val="auto"/>
          <w:sz w:val="24"/>
          <w:szCs w:val="24"/>
          <w:highlight w:val="none"/>
          <w:u w:val="single"/>
        </w:rPr>
      </w:pPr>
      <w:r>
        <w:rPr>
          <w:rFonts w:ascii="宋体" w:hAnsi="宋体"/>
          <w:color w:val="auto"/>
          <w:sz w:val="24"/>
          <w:szCs w:val="24"/>
          <w:highlight w:val="none"/>
          <w:u w:val="single"/>
        </w:rPr>
      </w:r>
      <w:r/>
    </w:p>
    <w:p>
      <w:pPr>
        <w:ind w:left="0"/>
        <w:jc w:val="left"/>
        <w:spacing w:line="360" w:lineRule="auto"/>
        <w:rPr>
          <w:rFonts w:ascii="宋体" w:hAnsi="宋体"/>
          <w:color w:val="auto"/>
          <w:sz w:val="24"/>
          <w:szCs w:val="24"/>
          <w:highlight w:val="none"/>
        </w:rPr>
      </w:pPr>
      <w:r>
        <w:rPr>
          <w:rFonts w:hint="eastAsia" w:ascii="宋体" w:hAnsi="宋体"/>
          <w:color w:val="auto"/>
          <w:sz w:val="24"/>
          <w:szCs w:val="24"/>
          <w:highlight w:val="none"/>
          <w:u w:val="single"/>
          <w:lang w:eastAsia="zh-CN"/>
        </w:rPr>
        <w:t xml:space="preserve">苏州惠德普源企业咨询有限公司</w:t>
      </w:r>
      <w:r>
        <w:rPr>
          <w:rFonts w:ascii="宋体" w:hAnsi="宋体"/>
          <w:color w:val="auto"/>
          <w:sz w:val="24"/>
          <w:szCs w:val="24"/>
          <w:highlight w:val="none"/>
        </w:rPr>
        <w:t xml:space="preserve">：</w:t>
      </w:r>
      <w:r/>
    </w:p>
    <w:p>
      <w:pPr>
        <w:pStyle w:val="801"/>
        <w:ind w:left="0" w:firstLine="420"/>
        <w:spacing w:line="360" w:lineRule="auto"/>
        <w:rPr>
          <w:rFonts w:ascii="宋体" w:hAnsi="宋体" w:cs="宋体"/>
          <w:color w:val="auto"/>
          <w:sz w:val="24"/>
          <w:szCs w:val="24"/>
          <w:highlight w:val="none"/>
        </w:rPr>
      </w:pPr>
      <w:r>
        <w:rPr>
          <w:rFonts w:ascii="宋体" w:hAnsi="宋体"/>
          <w:color w:val="auto"/>
          <w:sz w:val="24"/>
          <w:szCs w:val="24"/>
          <w:highlight w:val="none"/>
        </w:rPr>
        <w:t xml:space="preserve">本公司愿就贵</w:t>
      </w:r>
      <w:r>
        <w:rPr>
          <w:rFonts w:hint="eastAsia"/>
          <w:color w:val="auto"/>
          <w:sz w:val="24"/>
          <w:szCs w:val="24"/>
          <w:highlight w:val="none"/>
          <w:lang w:val="en-US" w:eastAsia="zh-CN"/>
        </w:rPr>
        <w:t xml:space="preserve">公司</w:t>
      </w:r>
      <w:r>
        <w:rPr>
          <w:rFonts w:ascii="宋体" w:hAnsi="宋体"/>
          <w:color w:val="auto"/>
          <w:sz w:val="24"/>
          <w:szCs w:val="24"/>
          <w:highlight w:val="none"/>
        </w:rPr>
        <w:t xml:space="preserve">组织实施的编号为</w:t>
      </w:r>
      <w:r>
        <w:rPr>
          <w:rFonts w:ascii="宋体" w:hAnsi="宋体"/>
          <w:color w:val="auto"/>
          <w:sz w:val="24"/>
          <w:szCs w:val="24"/>
          <w:highlight w:val="none"/>
          <w:u w:val="single"/>
        </w:rPr>
        <w:t xml:space="preserve">              </w:t>
      </w:r>
      <w:r>
        <w:rPr>
          <w:rFonts w:ascii="宋体" w:hAnsi="宋体"/>
          <w:color w:val="auto"/>
          <w:sz w:val="24"/>
          <w:szCs w:val="24"/>
          <w:highlight w:val="none"/>
        </w:rPr>
        <w:t xml:space="preserve">号（</w:t>
      </w:r>
      <w:r>
        <w:rPr>
          <w:rFonts w:hint="eastAsia" w:ascii="宋体" w:hAnsi="宋体"/>
          <w:color w:val="auto"/>
          <w:sz w:val="24"/>
          <w:szCs w:val="24"/>
          <w:highlight w:val="none"/>
        </w:rPr>
        <w:t xml:space="preserve">项目</w:t>
      </w:r>
      <w:r>
        <w:rPr>
          <w:rFonts w:ascii="宋体" w:hAnsi="宋体"/>
          <w:color w:val="auto"/>
          <w:sz w:val="24"/>
          <w:szCs w:val="24"/>
          <w:highlight w:val="none"/>
        </w:rPr>
        <w:t xml:space="preserve">编号）的招标活动进行投标</w:t>
      </w:r>
      <w:r>
        <w:rPr>
          <w:rFonts w:hint="eastAsia" w:ascii="宋体" w:hAnsi="宋体"/>
          <w:color w:val="auto"/>
          <w:sz w:val="24"/>
          <w:szCs w:val="24"/>
          <w:highlight w:val="none"/>
        </w:rPr>
        <w:t xml:space="preserve">，对于本公司的投标报价合理性作出说明如下：</w:t>
      </w:r>
      <w:r/>
    </w:p>
    <w:tbl>
      <w:tblPr>
        <w:tblStyle w:val="794"/>
        <w:tblW w:w="8287" w:type="dxa"/>
        <w:tblInd w:w="159"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left w:w="108" w:type="dxa"/>
          <w:top w:w="0" w:type="dxa"/>
          <w:right w:w="108" w:type="dxa"/>
          <w:bottom w:w="0" w:type="dxa"/>
        </w:tblCellMar>
        <w:tblLook w:val="04A0" w:firstRow="1" w:lastRow="0" w:firstColumn="1" w:lastColumn="0" w:noHBand="0" w:noVBand="1"/>
      </w:tblPr>
      <w:tblGrid>
        <w:gridCol w:w="8287"/>
      </w:tblGrid>
      <w:tr>
        <w:trPr>
          <w:trHeight w:val="3295"/>
        </w:trPr>
        <w:tc>
          <w:tcPr>
            <w:tcW w:w="8287" w:type="dxa"/>
            <w:vAlign w:val="center"/>
            <w:textDirection w:val="lrTb"/>
            <w:noWrap w:val="false"/>
          </w:tcPr>
          <w:p>
            <w:pPr>
              <w:ind w:left="0"/>
              <w:spacing w:line="600" w:lineRule="auto"/>
              <w:widowControl w:val="off"/>
              <w:rPr>
                <w:rFonts w:ascii="宋体" w:hAnsi="宋体"/>
                <w:b/>
                <w:color w:val="auto"/>
                <w:sz w:val="24"/>
                <w:szCs w:val="24"/>
                <w:highlight w:val="none"/>
                <w:shd w:val="pct10" w:color="auto" w:fill="ffffff"/>
              </w:rPr>
            </w:pPr>
            <w:r>
              <w:rPr>
                <w:rFonts w:hint="eastAsia" w:ascii="宋体" w:hAnsi="宋体"/>
                <w:b/>
                <w:color w:val="auto"/>
                <w:sz w:val="24"/>
                <w:szCs w:val="24"/>
                <w:highlight w:val="none"/>
              </w:rPr>
              <w:t xml:space="preserve">投标人应当根据实际情况自拟答复并根据评标委员会关于澄清的要求提供相关证明材料作为附件。</w:t>
            </w:r>
            <w:r/>
          </w:p>
        </w:tc>
      </w:tr>
    </w:tbl>
    <w:p>
      <w:pPr>
        <w:spacing w:line="360" w:lineRule="auto"/>
        <w:rPr>
          <w:rFonts w:ascii="宋体" w:hAnsi="宋体" w:cs="宋体"/>
          <w:bCs/>
          <w:color w:val="auto"/>
          <w:sz w:val="24"/>
          <w:szCs w:val="24"/>
          <w:highlight w:val="none"/>
        </w:rPr>
      </w:pPr>
      <w:r/>
      <w:bookmarkStart w:id="33" w:name="OLE_LINK23"/>
      <w:r/>
      <w:bookmarkStart w:id="34" w:name="OLE_LINK26"/>
      <w:r/>
      <w:bookmarkStart w:id="35" w:name="OLE_LINK21"/>
      <w:r/>
      <w:bookmarkStart w:id="36" w:name="OLE_LINK24"/>
      <w:r>
        <w:rPr>
          <w:rFonts w:hint="eastAsia" w:ascii="宋体" w:hAnsi="宋体"/>
          <w:b w:val="0"/>
          <w:bCs/>
          <w:color w:val="auto"/>
          <w:sz w:val="24"/>
          <w:szCs w:val="24"/>
          <w:highlight w:val="none"/>
          <w:lang w:val="zh-CN"/>
        </w:rPr>
        <w:t xml:space="preserve">备注：根据招标文件第二章“投标人须知”第26.4</w:t>
      </w:r>
      <w:bookmarkStart w:id="37" w:name="OLE_LINK12"/>
      <w:r>
        <w:rPr>
          <w:rFonts w:hint="eastAsia" w:ascii="宋体" w:hAnsi="宋体"/>
          <w:b w:val="0"/>
          <w:bCs/>
          <w:color w:val="auto"/>
          <w:sz w:val="24"/>
          <w:szCs w:val="24"/>
          <w:highlight w:val="none"/>
          <w:lang w:val="zh-CN"/>
        </w:rPr>
        <w:t xml:space="preserve">条要求，</w:t>
      </w:r>
      <w:bookmarkEnd w:id="37"/>
      <w:r>
        <w:rPr>
          <w:rFonts w:hint="eastAsia" w:ascii="宋体" w:hAnsi="宋体"/>
          <w:bCs/>
          <w:color w:val="auto"/>
          <w:sz w:val="24"/>
          <w:szCs w:val="24"/>
          <w:highlight w:val="none"/>
          <w:lang w:val="zh-CN"/>
        </w:rPr>
        <w:t xml:space="preserve">在评标过程中</w:t>
      </w:r>
      <w:r>
        <w:rPr>
          <w:rFonts w:hint="eastAsia" w:ascii="宋体" w:hAnsi="宋体" w:cs="宋体"/>
          <w:bCs/>
          <w:color w:val="auto"/>
          <w:sz w:val="24"/>
          <w:szCs w:val="24"/>
          <w:highlight w:val="none"/>
          <w:lang w:val="zh-CN"/>
        </w:rPr>
        <w:t xml:space="preserve">当</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报价低于全部通过符合性审查供应商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报价平均值50%、低于通过符合性审查的次低报价供应商</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lang w:val="zh-CN"/>
        </w:rPr>
        <w:t xml:space="preserve">报价50%、低于采购项目最高限价45%</w:t>
      </w:r>
      <w:bookmarkStart w:id="38" w:name="OLE_LINK17"/>
      <w:r>
        <w:rPr>
          <w:rFonts w:hint="eastAsia" w:ascii="宋体" w:hAnsi="宋体" w:cs="宋体"/>
          <w:bCs/>
          <w:color w:val="auto"/>
          <w:sz w:val="24"/>
          <w:szCs w:val="24"/>
          <w:highlight w:val="none"/>
          <w:lang w:val="zh-CN"/>
        </w:rPr>
        <w:t xml:space="preserve">的</w:t>
      </w:r>
      <w:bookmarkEnd w:id="38"/>
      <w:r>
        <w:rPr>
          <w:rFonts w:hint="eastAsia" w:ascii="宋体" w:hAnsi="宋体" w:cs="宋体"/>
          <w:bCs/>
          <w:color w:val="auto"/>
          <w:sz w:val="24"/>
          <w:szCs w:val="24"/>
          <w:highlight w:val="none"/>
          <w:lang w:val="zh-CN"/>
        </w:rPr>
        <w:t xml:space="preserve">或者评标委员会认定的供应商报价过低、有可能影响产品质量或者不能诚信履约的其他情形，评标委员会应当要求</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在评审现场合理的时间内对投标价格作出解释，提供项目具体成本测算等与报价合理性相关的书面说明及必要的证明材料，包括但不限于原材料成本、人工成本、制造费用等。属于低于采购项目最高限价45%情形的，供应商已随响应文件一并提交相关书面说明及必要的证明材料的，在评审现场可不再重复提交。</w:t>
      </w:r>
      <w:r/>
    </w:p>
    <w:p>
      <w:pPr>
        <w:ind w:left="0" w:firstLine="422"/>
        <w:spacing w:line="360" w:lineRule="auto"/>
        <w:rPr>
          <w:rFonts w:ascii="宋体" w:hAnsi="宋体"/>
          <w:b w:val="0"/>
          <w:bCs/>
          <w:color w:val="auto"/>
          <w:sz w:val="24"/>
          <w:szCs w:val="24"/>
          <w:highlight w:val="none"/>
          <w:lang w:val="zh-CN"/>
        </w:rPr>
      </w:pP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单位</w:t>
      </w:r>
      <w:r>
        <w:rPr>
          <w:rFonts w:hint="eastAsia" w:ascii="宋体" w:hAnsi="宋体" w:cs="宋体"/>
          <w:bCs/>
          <w:color w:val="auto"/>
          <w:sz w:val="24"/>
          <w:szCs w:val="24"/>
          <w:highlight w:val="none"/>
          <w:lang w:val="zh-CN"/>
        </w:rPr>
        <w:t xml:space="preserve">不能证明其报价合理性的，评标委员会应当将其作为无效</w:t>
      </w:r>
      <w:r>
        <w:rPr>
          <w:rFonts w:hint="eastAsia" w:ascii="宋体" w:hAnsi="宋体" w:cs="宋体"/>
          <w:bCs/>
          <w:color w:val="auto"/>
          <w:sz w:val="24"/>
          <w:szCs w:val="24"/>
          <w:highlight w:val="none"/>
          <w:lang w:val="en-US" w:eastAsia="zh-CN"/>
        </w:rPr>
        <w:t xml:space="preserve">投标</w:t>
      </w:r>
      <w:r>
        <w:rPr>
          <w:rFonts w:hint="eastAsia" w:ascii="宋体" w:hAnsi="宋体" w:cs="宋体"/>
          <w:bCs/>
          <w:color w:val="auto"/>
          <w:sz w:val="24"/>
          <w:szCs w:val="24"/>
          <w:highlight w:val="none"/>
        </w:rPr>
        <w:t xml:space="preserve">报价</w:t>
      </w:r>
      <w:r>
        <w:rPr>
          <w:rFonts w:hint="eastAsia" w:ascii="宋体" w:hAnsi="宋体" w:cs="宋体"/>
          <w:bCs/>
          <w:color w:val="auto"/>
          <w:sz w:val="24"/>
          <w:szCs w:val="24"/>
          <w:highlight w:val="none"/>
          <w:lang w:val="zh-CN"/>
        </w:rPr>
        <w:t xml:space="preserve">处理</w:t>
      </w:r>
      <w:r>
        <w:rPr>
          <w:rFonts w:hint="eastAsia" w:ascii="宋体" w:hAnsi="宋体"/>
          <w:b w:val="0"/>
          <w:bCs/>
          <w:color w:val="auto"/>
          <w:sz w:val="24"/>
          <w:szCs w:val="24"/>
          <w:highlight w:val="none"/>
          <w:lang w:val="zh-CN"/>
        </w:rPr>
        <w:t xml:space="preserve">。</w:t>
      </w:r>
      <w:bookmarkEnd w:id="33"/>
      <w:r/>
      <w:bookmarkEnd w:id="34"/>
      <w:r/>
      <w:bookmarkEnd w:id="35"/>
      <w:r/>
      <w:bookmarkEnd w:id="36"/>
      <w:r/>
      <w:r/>
    </w:p>
    <w:p>
      <w:pPr>
        <w:ind w:firstLine="4830"/>
        <w:jc w:val="left"/>
        <w:spacing w:line="360" w:lineRule="auto"/>
        <w:rPr>
          <w:rFonts w:ascii="宋体" w:hAnsi="宋体"/>
          <w:color w:val="auto"/>
          <w:sz w:val="24"/>
          <w:szCs w:val="24"/>
          <w:highlight w:val="none"/>
        </w:rPr>
      </w:pPr>
      <w:r>
        <w:rPr>
          <w:rFonts w:ascii="宋体" w:hAnsi="宋体"/>
          <w:color w:val="auto"/>
          <w:sz w:val="24"/>
          <w:szCs w:val="24"/>
          <w:highlight w:val="none"/>
        </w:rPr>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投标人（盖章）： </w:t>
      </w:r>
      <w:r/>
    </w:p>
    <w:p>
      <w:pPr>
        <w:jc w:val="right"/>
        <w:spacing w:line="360" w:lineRule="auto"/>
        <w:rPr>
          <w:rFonts w:ascii="宋体" w:hAnsi="宋体"/>
          <w:color w:val="auto"/>
          <w:sz w:val="24"/>
          <w:szCs w:val="24"/>
          <w:highlight w:val="none"/>
        </w:rPr>
      </w:pPr>
      <w:r>
        <w:rPr>
          <w:rFonts w:ascii="宋体" w:hAnsi="宋体"/>
          <w:color w:val="auto"/>
          <w:sz w:val="24"/>
          <w:szCs w:val="24"/>
          <w:highlight w:val="none"/>
        </w:rPr>
        <w:t xml:space="preserve">法定代表人或代理人（签字或盖章）：</w:t>
      </w:r>
      <w:r/>
    </w:p>
    <w:p>
      <w:pPr>
        <w:jc w:val="right"/>
        <w:spacing w:line="360" w:lineRule="auto"/>
        <w:rPr>
          <w:rFonts w:ascii="宋体" w:hAnsi="宋体"/>
          <w:b/>
          <w:color w:val="auto"/>
          <w:sz w:val="24"/>
          <w:szCs w:val="24"/>
          <w:highlight w:val="none"/>
        </w:rPr>
      </w:pPr>
      <w:r>
        <w:rPr>
          <w:rFonts w:ascii="宋体" w:hAnsi="宋体"/>
          <w:color w:val="auto"/>
          <w:sz w:val="24"/>
          <w:szCs w:val="24"/>
          <w:highlight w:val="none"/>
        </w:rPr>
        <w:t xml:space="preserve">日期</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     </w:t>
      </w:r>
      <w:r>
        <w:rPr>
          <w:rFonts w:hint="eastAsia" w:ascii="宋体" w:hAnsi="宋体"/>
          <w:color w:val="auto"/>
          <w:sz w:val="24"/>
          <w:szCs w:val="24"/>
          <w:highlight w:val="none"/>
        </w:rPr>
        <w:t xml:space="preserve">年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月 </w:t>
      </w:r>
      <w:r>
        <w:rPr>
          <w:rFonts w:ascii="宋体" w:hAnsi="宋体"/>
          <w:color w:val="auto"/>
          <w:sz w:val="24"/>
          <w:szCs w:val="24"/>
          <w:highlight w:val="none"/>
        </w:rPr>
        <w:t xml:space="preserve">   </w:t>
      </w:r>
      <w:r>
        <w:rPr>
          <w:rFonts w:hint="eastAsia" w:ascii="宋体" w:hAnsi="宋体"/>
          <w:color w:val="auto"/>
          <w:sz w:val="24"/>
          <w:szCs w:val="24"/>
          <w:highlight w:val="none"/>
        </w:rPr>
        <w:t xml:space="preserve">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jc w:val="left"/>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4、偏离表</w:t>
      </w:r>
      <w:r/>
    </w:p>
    <w:p>
      <w:pPr>
        <w:jc w:val="center"/>
        <w:spacing w:line="380" w:lineRule="exact"/>
        <w:rPr>
          <w:rFonts w:ascii="宋体" w:hAnsi="宋体"/>
          <w:b/>
          <w:color w:val="auto"/>
          <w:sz w:val="24"/>
          <w:highlight w:val="none"/>
        </w:rPr>
      </w:pPr>
      <w:r>
        <w:rPr>
          <w:rFonts w:ascii="宋体" w:hAnsi="宋体"/>
          <w:b/>
          <w:color w:val="auto"/>
          <w:sz w:val="24"/>
          <w:highlight w:val="none"/>
        </w:rPr>
        <w:t xml:space="preserve">偏离表</w:t>
      </w:r>
      <w:r>
        <w:rPr>
          <w:rFonts w:hint="eastAsia" w:ascii="宋体" w:hAnsi="宋体"/>
          <w:b/>
          <w:color w:val="auto"/>
          <w:sz w:val="24"/>
          <w:highlight w:val="none"/>
        </w:rPr>
        <w:t xml:space="preserve">（技术、商务）</w:t>
      </w:r>
      <w:r/>
    </w:p>
    <w:p>
      <w:pPr>
        <w:ind w:left="420" w:firstLine="420"/>
        <w:spacing w:after="120"/>
        <w:rPr>
          <w:color w:val="auto"/>
          <w:highlight w:val="none"/>
        </w:rPr>
      </w:pPr>
      <w:r>
        <w:rPr>
          <w:color w:val="auto"/>
          <w:highlight w:val="none"/>
        </w:rPr>
      </w:r>
      <w:r/>
    </w:p>
    <w:tbl>
      <w:tblPr>
        <w:tblStyle w:val="794"/>
        <w:tblW w:w="8280" w:type="dxa"/>
        <w:tblInd w:w="145" w:type="dxa"/>
        <w:tblLayout w:type="fixed"/>
        <w:tblCellMar>
          <w:left w:w="108" w:type="dxa"/>
          <w:top w:w="0" w:type="dxa"/>
          <w:right w:w="108" w:type="dxa"/>
          <w:bottom w:w="0" w:type="dxa"/>
        </w:tblCellMar>
        <w:tblLook w:val="04A0" w:firstRow="1" w:lastRow="0" w:firstColumn="1" w:lastColumn="0" w:noHBand="0" w:noVBand="1"/>
      </w:tblPr>
      <w:tblGrid>
        <w:gridCol w:w="885"/>
        <w:gridCol w:w="1815"/>
        <w:gridCol w:w="2219"/>
        <w:gridCol w:w="3361"/>
      </w:tblGrid>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序号</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采购服务要求</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center"/>
            <w:textDirection w:val="lrTb"/>
            <w:noWrap/>
          </w:tcPr>
          <w:p>
            <w:pPr>
              <w:jc w:val="center"/>
              <w:spacing w:line="360" w:lineRule="auto"/>
              <w:widowControl/>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rPr>
              <w:t xml:space="preserve">响应</w:t>
            </w:r>
            <w:r>
              <w:rPr>
                <w:rFonts w:hint="eastAsia" w:ascii="宋体" w:hAnsi="宋体" w:cs="宋体"/>
                <w:bCs/>
                <w:color w:val="auto"/>
                <w:sz w:val="24"/>
                <w:szCs w:val="24"/>
                <w:highlight w:val="none"/>
                <w:lang w:val="en-US" w:eastAsia="zh-CN"/>
              </w:rPr>
              <w:t xml:space="preserve">内容</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center"/>
            <w:textDirection w:val="lrTb"/>
            <w:noWrap/>
          </w:tcPr>
          <w:p>
            <w:pPr>
              <w:jc w:val="center"/>
              <w:spacing w:line="360" w:lineRule="auto"/>
              <w:widowControl/>
              <w:rPr>
                <w:rFonts w:hint="eastAsia" w:ascii="宋体" w:hAnsi="宋体" w:cs="宋体"/>
                <w:bCs/>
                <w:color w:val="auto"/>
                <w:sz w:val="24"/>
                <w:szCs w:val="24"/>
                <w:highlight w:val="none"/>
              </w:rPr>
            </w:pPr>
            <w:r>
              <w:rPr>
                <w:rFonts w:hint="eastAsia" w:ascii="宋体" w:hAnsi="宋体" w:cs="宋体"/>
                <w:bCs/>
                <w:color w:val="auto"/>
                <w:sz w:val="24"/>
                <w:szCs w:val="24"/>
                <w:highlight w:val="none"/>
              </w:rPr>
              <w:t xml:space="preserve">偏离说明</w:t>
            </w:r>
            <w:r/>
          </w:p>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（正偏离、负偏离、无偏离）</w:t>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1</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2</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3</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4</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center"/>
            <w:textDirection w:val="lrTb"/>
            <w:noWrap/>
          </w:tcPr>
          <w:p>
            <w:pPr>
              <w:jc w:val="center"/>
              <w:spacing w:line="360" w:lineRule="auto"/>
              <w:widowControl/>
              <w:rPr>
                <w:rFonts w:ascii="宋体" w:hAnsi="宋体" w:cs="宋体"/>
                <w:bCs/>
                <w:color w:val="auto"/>
                <w:sz w:val="24"/>
                <w:szCs w:val="24"/>
                <w:highlight w:val="none"/>
              </w:rPr>
            </w:pPr>
            <w:r>
              <w:rPr>
                <w:rFonts w:hint="eastAsia" w:ascii="宋体" w:hAnsi="宋体" w:cs="宋体"/>
                <w:bCs/>
                <w:color w:val="auto"/>
                <w:sz w:val="24"/>
                <w:szCs w:val="24"/>
                <w:highlight w:val="none"/>
              </w:rPr>
              <w:t xml:space="preserve">5</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885" w:type="dxa"/>
            <w:vAlign w:val="top"/>
            <w:textDirection w:val="lrTb"/>
            <w:noWrap/>
          </w:tcPr>
          <w:p>
            <w:pPr>
              <w:jc w:val="center"/>
              <w:spacing w:line="360" w:lineRule="auto"/>
              <w:widowControl/>
              <w:rPr>
                <w:rFonts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1815"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2219"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c>
          <w:tcPr>
            <w:tcBorders>
              <w:top w:val="single" w:color="000000" w:sz="4" w:space="0"/>
              <w:left w:val="single" w:color="000000" w:sz="4" w:space="0"/>
              <w:bottom w:val="single" w:color="000000" w:sz="4" w:space="0"/>
              <w:right w:val="single" w:color="000000" w:sz="4" w:space="0"/>
            </w:tcBorders>
            <w:tcMar>
              <w:left w:w="108" w:type="dxa"/>
              <w:top w:w="0" w:type="dxa"/>
              <w:right w:w="108" w:type="dxa"/>
              <w:bottom w:w="0" w:type="dxa"/>
            </w:tcMar>
            <w:tcW w:w="3361" w:type="dxa"/>
            <w:vAlign w:val="top"/>
            <w:textDirection w:val="lrTb"/>
            <w:noWrap/>
          </w:tcPr>
          <w:p>
            <w:pPr>
              <w:ind w:firstLine="799"/>
              <w:jc w:val="center"/>
              <w:spacing w:line="360" w:lineRule="auto"/>
              <w:widowControl/>
              <w:rPr>
                <w:rFonts w:ascii="宋体" w:hAnsi="宋体" w:cs="宋体"/>
                <w:bCs/>
                <w:color w:val="auto"/>
                <w:sz w:val="24"/>
                <w:szCs w:val="24"/>
                <w:highlight w:val="none"/>
              </w:rPr>
            </w:pPr>
            <w:r>
              <w:rPr>
                <w:rFonts w:ascii="宋体" w:hAnsi="宋体" w:cs="宋体"/>
                <w:bCs/>
                <w:color w:val="auto"/>
                <w:sz w:val="24"/>
                <w:szCs w:val="24"/>
                <w:highlight w:val="none"/>
              </w:rPr>
            </w:r>
            <w:r/>
          </w:p>
        </w:tc>
      </w:tr>
    </w:tbl>
    <w:p>
      <w:pPr>
        <w:ind w:firstLine="210"/>
        <w:spacing w:line="360" w:lineRule="auto"/>
        <w:rPr>
          <w:rFonts w:ascii="宋体" w:hAnsi="宋体"/>
          <w:color w:val="auto"/>
          <w:sz w:val="24"/>
          <w:highlight w:val="none"/>
          <w:lang w:val="zh-CN"/>
        </w:rPr>
      </w:pPr>
      <w:r>
        <w:rPr>
          <w:rFonts w:ascii="宋体" w:hAnsi="宋体"/>
          <w:color w:val="auto"/>
          <w:sz w:val="24"/>
          <w:highlight w:val="none"/>
          <w:lang w:val="zh-CN"/>
        </w:rPr>
      </w:r>
      <w:r/>
    </w:p>
    <w:p>
      <w:pPr>
        <w:pStyle w:val="1028"/>
        <w:rPr>
          <w:color w:val="auto"/>
          <w:highlight w:val="none"/>
          <w:lang w:val="zh-CN"/>
        </w:rPr>
      </w:pPr>
      <w:r>
        <w:rPr>
          <w:color w:val="auto"/>
          <w:highlight w:val="none"/>
          <w:lang w:val="zh-CN"/>
        </w:rPr>
      </w:r>
      <w:r/>
    </w:p>
    <w:p>
      <w:pPr>
        <w:spacing w:line="360" w:lineRule="auto"/>
        <w:rPr>
          <w:rFonts w:ascii="宋体" w:hAnsi="宋体"/>
          <w:color w:val="auto"/>
          <w:sz w:val="24"/>
          <w:highlight w:val="none"/>
        </w:rPr>
      </w:pPr>
      <w:r>
        <w:rPr>
          <w:rFonts w:hint="eastAsia" w:ascii="宋体" w:hAnsi="宋体"/>
          <w:color w:val="auto"/>
          <w:sz w:val="24"/>
          <w:highlight w:val="none"/>
        </w:rPr>
        <w:t xml:space="preserve">投标</w:t>
      </w:r>
      <w:r>
        <w:rPr>
          <w:rFonts w:ascii="宋体" w:hAnsi="宋体"/>
          <w:color w:val="auto"/>
          <w:sz w:val="24"/>
          <w:highlight w:val="none"/>
        </w:rPr>
        <w:t xml:space="preserve">单位：（单位盖章）</w:t>
      </w:r>
      <w:r/>
    </w:p>
    <w:p>
      <w:pPr>
        <w:spacing w:line="360" w:lineRule="auto"/>
        <w:rPr>
          <w:rFonts w:ascii="宋体" w:hAnsi="宋体"/>
          <w:color w:val="auto"/>
          <w:sz w:val="24"/>
          <w:highlight w:val="none"/>
        </w:rPr>
      </w:pPr>
      <w:r>
        <w:rPr>
          <w:rFonts w:ascii="宋体" w:hAnsi="宋体"/>
          <w:color w:val="auto"/>
          <w:sz w:val="24"/>
          <w:highlight w:val="none"/>
        </w:rPr>
        <w:t xml:space="preserve">法定代表人或代理人：（签字或盖章）</w:t>
      </w:r>
      <w:r/>
    </w:p>
    <w:p>
      <w:pPr>
        <w:spacing w:line="380" w:lineRule="exact"/>
        <w:rPr>
          <w:rFonts w:ascii="宋体" w:hAnsi="宋体"/>
          <w:color w:val="auto"/>
          <w:sz w:val="28"/>
          <w:szCs w:val="28"/>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rPr>
      </w:pPr>
      <w:r>
        <w:rPr>
          <w:rFonts w:ascii="宋体" w:hAnsi="宋体"/>
          <w:bCs/>
          <w:color w:val="auto"/>
          <w:sz w:val="24"/>
          <w:szCs w:val="24"/>
          <w:highlight w:val="none"/>
        </w:rPr>
        <w:br w:type="page" w:clear="all"/>
      </w:r>
      <w:r>
        <w:rPr>
          <w:rFonts w:hint="eastAsia" w:ascii="宋体" w:hAnsi="宋体"/>
          <w:color w:val="auto"/>
          <w:sz w:val="28"/>
          <w:szCs w:val="28"/>
          <w:highlight w:val="none"/>
        </w:rPr>
        <w:t xml:space="preserve">5、服务人员配备表（如有）</w:t>
      </w:r>
      <w:r/>
    </w:p>
    <w:p>
      <w:pPr>
        <w:jc w:val="center"/>
        <w:spacing w:line="360" w:lineRule="auto"/>
        <w:widowControl/>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widowControl/>
        <w:rPr>
          <w:rFonts w:ascii="宋体" w:hAnsi="宋体"/>
          <w:color w:val="auto"/>
          <w:sz w:val="28"/>
          <w:szCs w:val="28"/>
          <w:highlight w:val="none"/>
        </w:rPr>
      </w:pPr>
      <w:r>
        <w:rPr>
          <w:rFonts w:hint="eastAsia" w:ascii="宋体" w:hAnsi="宋体"/>
          <w:color w:val="auto"/>
          <w:sz w:val="28"/>
          <w:szCs w:val="28"/>
          <w:highlight w:val="none"/>
        </w:rPr>
        <w:t xml:space="preserve">项目配备人员表</w:t>
      </w:r>
      <w:r/>
    </w:p>
    <w:tbl>
      <w:tblPr>
        <w:tblStyle w:val="794"/>
        <w:tblW w:w="8369" w:type="dxa"/>
        <w:jc w:val="cente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717"/>
        <w:gridCol w:w="1162"/>
        <w:gridCol w:w="1188"/>
        <w:gridCol w:w="1238"/>
        <w:gridCol w:w="1075"/>
        <w:gridCol w:w="1050"/>
        <w:gridCol w:w="996"/>
        <w:gridCol w:w="943"/>
      </w:tblGrid>
      <w:tr>
        <w:trPr>
          <w:jc w:val="center"/>
          <w:trHeight w:val="760"/>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序号</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岗位</w:t>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姓名</w:t>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性别</w:t>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年龄</w:t>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学历及专业</w:t>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职称</w:t>
            </w:r>
            <w:r/>
          </w:p>
        </w:tc>
        <w:tc>
          <w:tcPr>
            <w:tcW w:w="943"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备注</w:t>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1</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2</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3</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4</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5</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6</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7</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8</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t xml:space="preserve">……</w:t>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r>
        <w:trPr>
          <w:cantSplit/>
          <w:jc w:val="center"/>
          <w:trHeight w:val="495"/>
        </w:trPr>
        <w:tc>
          <w:tcPr>
            <w:tcW w:w="717"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62"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18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238"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75"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1050"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96" w:type="dxa"/>
            <w:vAlign w:val="center"/>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c>
          <w:tcPr>
            <w:tcW w:w="943" w:type="dxa"/>
            <w:vAlign w:val="top"/>
            <w:textDirection w:val="lrTb"/>
            <w:noWrap w:val="false"/>
          </w:tcPr>
          <w:p>
            <w:pPr>
              <w:jc w:val="center"/>
              <w:spacing w:line="380" w:lineRule="exact"/>
              <w:rPr>
                <w:rFonts w:hint="eastAsia" w:ascii="宋体" w:hAnsi="宋体" w:cs="宋体"/>
                <w:color w:val="auto"/>
                <w:sz w:val="24"/>
                <w:highlight w:val="none"/>
              </w:rPr>
            </w:pPr>
            <w:r>
              <w:rPr>
                <w:rFonts w:hint="eastAsia" w:ascii="宋体" w:hAnsi="宋体" w:cs="宋体"/>
                <w:color w:val="auto"/>
                <w:sz w:val="24"/>
                <w:highlight w:val="none"/>
              </w:rPr>
            </w:r>
            <w:r/>
          </w:p>
        </w:tc>
      </w:tr>
    </w:tbl>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注：1）“项目组人员”指投标单位针对完成本项目所配备的人员。</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2）附相关证明材料复印件；</w:t>
      </w:r>
      <w:r/>
    </w:p>
    <w:p>
      <w:pPr>
        <w:ind w:firstLine="420"/>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3）表格不够填写可添加（或自拟）。</w:t>
      </w:r>
      <w:r/>
    </w:p>
    <w:p>
      <w:pPr>
        <w:pStyle w:val="1030"/>
        <w:rPr>
          <w:rFonts w:hint="eastAsia" w:ascii="宋体" w:hAnsi="宋体" w:cs="宋体"/>
          <w:color w:val="auto"/>
          <w:highlight w:val="none"/>
        </w:rPr>
      </w:pPr>
      <w:r>
        <w:rPr>
          <w:rFonts w:hint="eastAsia" w:ascii="宋体" w:hAnsi="宋体" w:cs="宋体"/>
          <w:color w:val="auto"/>
          <w:highlight w:val="none"/>
        </w:rPr>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投标单位：（单位盖章）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法定代表人或代理人：（签字或盖章）</w:t>
      </w:r>
      <w:r/>
    </w:p>
    <w:p>
      <w:pPr>
        <w:spacing w:line="360" w:lineRule="auto"/>
        <w:rPr>
          <w:rFonts w:hint="eastAsia" w:ascii="宋体" w:hAnsi="宋体" w:cs="宋体"/>
          <w:color w:val="auto"/>
          <w:sz w:val="24"/>
          <w:highlight w:val="none"/>
        </w:rPr>
      </w:pPr>
      <w:r>
        <w:rPr>
          <w:rFonts w:hint="eastAsia" w:ascii="宋体" w:hAnsi="宋体" w:cs="宋体"/>
          <w:color w:val="auto"/>
          <w:sz w:val="24"/>
          <w:highlight w:val="none"/>
        </w:rPr>
        <w:t xml:space="preserve">日期：     年     月    日</w:t>
      </w:r>
      <w:r/>
    </w:p>
    <w:p>
      <w:pPr>
        <w:spacing w:line="360" w:lineRule="auto"/>
        <w:rPr>
          <w:rFonts w:ascii="宋体" w:hAnsi="宋体"/>
          <w:color w:val="auto"/>
          <w:sz w:val="28"/>
          <w:szCs w:val="28"/>
          <w:highlight w:val="none"/>
        </w:rPr>
      </w:pPr>
      <w:r>
        <w:rPr>
          <w:rFonts w:ascii="宋体" w:hAnsi="宋体"/>
          <w:color w:val="auto"/>
          <w:sz w:val="28"/>
          <w:szCs w:val="28"/>
          <w:highlight w:val="none"/>
        </w:rPr>
      </w:r>
      <w:r/>
    </w:p>
    <w:p>
      <w:pPr>
        <w:spacing w:line="360" w:lineRule="auto"/>
        <w:rPr>
          <w:rFonts w:ascii="宋体" w:hAnsi="宋体"/>
          <w:color w:val="auto"/>
          <w:sz w:val="28"/>
          <w:szCs w:val="28"/>
          <w:highlight w:val="none"/>
        </w:rPr>
      </w:pPr>
      <w:r>
        <w:rPr>
          <w:rFonts w:hint="eastAsia" w:ascii="宋体" w:hAnsi="宋体"/>
          <w:color w:val="auto"/>
          <w:sz w:val="28"/>
          <w:szCs w:val="28"/>
          <w:highlight w:val="none"/>
        </w:rPr>
        <w:br w:type="page" w:clear="all"/>
      </w:r>
      <w:r>
        <w:rPr>
          <w:rFonts w:hint="eastAsia" w:ascii="宋体" w:hAnsi="宋体"/>
          <w:color w:val="auto"/>
          <w:sz w:val="28"/>
          <w:szCs w:val="28"/>
          <w:highlight w:val="none"/>
        </w:rPr>
        <w:t xml:space="preserve">6、投标单位类似项目业绩一览表（如有）</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类似项目业绩一览表</w:t>
      </w:r>
      <w:r/>
    </w:p>
    <w:p>
      <w:pPr>
        <w:jc w:val="center"/>
        <w:spacing w:line="360" w:lineRule="auto"/>
        <w:rPr>
          <w:rFonts w:ascii="宋体" w:hAnsi="宋体"/>
          <w:color w:val="auto"/>
          <w:sz w:val="28"/>
          <w:szCs w:val="28"/>
          <w:highlight w:val="none"/>
        </w:rPr>
      </w:pPr>
      <w:r>
        <w:rPr>
          <w:rFonts w:ascii="宋体" w:hAnsi="宋体"/>
          <w:color w:val="auto"/>
          <w:sz w:val="28"/>
          <w:szCs w:val="28"/>
          <w:highlight w:val="none"/>
        </w:rPr>
      </w:r>
      <w:r/>
    </w:p>
    <w:tbl>
      <w:tblPr>
        <w:tblStyle w:val="794"/>
        <w:tblW w:w="0" w:type="auto"/>
        <w:tblInd w:w="-5" w:type="dxa"/>
        <w:tblLayout w:type="fixed"/>
        <w:tblCellMar>
          <w:left w:w="0" w:type="dxa"/>
          <w:top w:w="0" w:type="dxa"/>
          <w:right w:w="0" w:type="dxa"/>
          <w:bottom w:w="0" w:type="dxa"/>
        </w:tblCellMar>
        <w:tblLook w:val="04A0" w:firstRow="1" w:lastRow="0" w:firstColumn="1" w:lastColumn="0" w:noHBand="0" w:noVBand="1"/>
      </w:tblPr>
      <w:tblGrid>
        <w:gridCol w:w="753"/>
        <w:gridCol w:w="1804"/>
        <w:gridCol w:w="1472"/>
        <w:gridCol w:w="1600"/>
        <w:gridCol w:w="1628"/>
        <w:gridCol w:w="1048"/>
      </w:tblGrid>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序号</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项目名称</w:t>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项目时间</w:t>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合同金额</w:t>
            </w:r>
            <w:r/>
          </w:p>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（人民币）</w:t>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业主单位</w:t>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备注</w:t>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5</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6</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r>
        <w:trPr>
          <w:trHeight w:val="567"/>
        </w:trPr>
        <w:tc>
          <w:tcPr>
            <w:tcBorders>
              <w:top w:val="single" w:color="000000" w:sz="4" w:space="0"/>
              <w:left w:val="single" w:color="000000" w:sz="4" w:space="0"/>
              <w:bottom w:val="single" w:color="000000" w:sz="4" w:space="0"/>
              <w:right w:val="single" w:color="000000" w:sz="4" w:space="0"/>
            </w:tcBorders>
            <w:tcW w:w="753"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w:t>
            </w:r>
            <w:r/>
          </w:p>
        </w:tc>
        <w:tc>
          <w:tcPr>
            <w:tcBorders>
              <w:top w:val="single" w:color="000000" w:sz="4" w:space="0"/>
              <w:left w:val="none" w:color="000000" w:sz="4" w:space="0"/>
              <w:bottom w:val="single" w:color="000000" w:sz="4" w:space="0"/>
              <w:right w:val="single" w:color="000000" w:sz="4" w:space="0"/>
            </w:tcBorders>
            <w:tcW w:w="1804" w:type="dxa"/>
            <w:vAlign w:val="center"/>
            <w:textDirection w:val="lrTb"/>
            <w:noWrap w:val="false"/>
          </w:tcPr>
          <w:p>
            <w:pPr>
              <w:jc w:val="center"/>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472"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00"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62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c>
          <w:tcPr>
            <w:tcBorders>
              <w:top w:val="single" w:color="000000" w:sz="4" w:space="0"/>
              <w:left w:val="none" w:color="000000" w:sz="4" w:space="0"/>
              <w:bottom w:val="single" w:color="000000" w:sz="4" w:space="0"/>
              <w:right w:val="single" w:color="000000" w:sz="4" w:space="0"/>
            </w:tcBorders>
            <w:tcW w:w="1048" w:type="dxa"/>
            <w:vAlign w:val="center"/>
            <w:textDirection w:val="lrTb"/>
            <w:noWrap w:val="false"/>
          </w:tcPr>
          <w:p>
            <w:pPr>
              <w:jc w:val="cente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tc>
      </w:tr>
    </w:tbl>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pStyle w:val="1008"/>
        <w:ind w:firstLine="420"/>
        <w:rPr>
          <w:rFonts w:hint="eastAsia"/>
          <w:color w:val="auto"/>
          <w:highlight w:val="none"/>
        </w:rPr>
      </w:pPr>
      <w:r>
        <w:rPr>
          <w:rFonts w:hint="eastAsia"/>
          <w:color w:val="auto"/>
          <w:highlight w:val="none"/>
        </w:rPr>
      </w:r>
      <w:r/>
    </w:p>
    <w:p>
      <w:pPr>
        <w:ind w:firstLine="480"/>
        <w:spacing w:before="25" w:after="25"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投标单位：（单位盖章）</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法定代表人或代理人：（签字或盖章）</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日期：    年     月    日</w:t>
      </w:r>
      <w:r/>
    </w:p>
    <w:p>
      <w:pPr>
        <w:spacing w:line="360" w:lineRule="auto"/>
        <w:rPr>
          <w:rFonts w:hint="eastAsia" w:ascii="宋体" w:hAnsi="宋体"/>
          <w:color w:val="auto"/>
          <w:sz w:val="28"/>
          <w:szCs w:val="28"/>
          <w:highlight w:val="none"/>
        </w:rPr>
      </w:pPr>
      <w:r>
        <w:rPr>
          <w:rFonts w:hint="eastAsia" w:ascii="宋体" w:hAnsi="宋体" w:cs="宋体"/>
          <w:color w:val="auto"/>
          <w:sz w:val="24"/>
          <w:szCs w:val="24"/>
          <w:highlight w:val="none"/>
        </w:rPr>
        <w:br w:type="page" w:clear="all"/>
      </w:r>
      <w:r>
        <w:rPr>
          <w:rFonts w:hint="eastAsia" w:ascii="宋体" w:hAnsi="宋体"/>
          <w:color w:val="auto"/>
          <w:sz w:val="28"/>
          <w:szCs w:val="28"/>
          <w:highlight w:val="none"/>
          <w:lang w:val="en-US" w:eastAsia="zh-CN"/>
        </w:rPr>
        <w:t xml:space="preserve">7</w:t>
      </w:r>
      <w:r>
        <w:rPr>
          <w:rFonts w:hint="eastAsia" w:ascii="宋体" w:hAnsi="宋体"/>
          <w:color w:val="auto"/>
          <w:sz w:val="28"/>
          <w:szCs w:val="28"/>
          <w:highlight w:val="none"/>
        </w:rPr>
        <w:t xml:space="preserve">、项目实施方案</w:t>
      </w:r>
      <w:r/>
    </w:p>
    <w:p>
      <w:pPr>
        <w:jc w:val="center"/>
        <w:keepLines w:val="0"/>
        <w:keepNext w:val="0"/>
        <w:pageBreakBefore w:val="0"/>
        <w:spacing w:line="360" w:lineRule="auto"/>
        <w:widowControl w:val="off"/>
        <w:rPr>
          <w:rFonts w:hint="eastAsia" w:ascii="宋体" w:hAnsi="宋体" w:eastAsia="宋体" w:cs="Times New Roman"/>
          <w:color w:val="auto"/>
          <w:sz w:val="28"/>
          <w:szCs w:val="28"/>
          <w:highlight w:val="none"/>
        </w:rPr>
      </w:pPr>
      <w:r>
        <w:rPr>
          <w:rFonts w:hint="eastAsia" w:ascii="宋体" w:hAnsi="宋体" w:eastAsia="宋体" w:cs="Times New Roman"/>
          <w:color w:val="auto"/>
          <w:sz w:val="28"/>
          <w:szCs w:val="28"/>
          <w:highlight w:val="none"/>
        </w:rPr>
        <w:t xml:space="preserve">实施方案</w:t>
      </w:r>
      <w:r/>
    </w:p>
    <w:tbl>
      <w:tblPr>
        <w:tblStyle w:val="794"/>
        <w:tblW w:w="0" w:type="auto"/>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8250"/>
      </w:tblGrid>
      <w:tr>
        <w:trPr>
          <w:trHeight w:val="1676"/>
        </w:trPr>
        <w:tc>
          <w:tcPr>
            <w:tcW w:w="8250" w:type="dxa"/>
            <w:vAlign w:val="top"/>
            <w:textDirection w:val="lrTb"/>
            <w:noWrap w:val="false"/>
          </w:tcPr>
          <w:p>
            <w:pPr>
              <w:spacing w:line="360" w:lineRule="auto"/>
              <w:rPr>
                <w:rFonts w:ascii="宋体" w:hAnsi="宋体" w:cs="宋体"/>
                <w:color w:val="auto"/>
                <w:sz w:val="24"/>
                <w:highlight w:val="none"/>
              </w:rPr>
            </w:pPr>
            <w:r>
              <w:rPr>
                <w:rFonts w:hint="eastAsia" w:ascii="宋体" w:hAnsi="宋体"/>
                <w:color w:val="auto"/>
                <w:sz w:val="24"/>
                <w:highlight w:val="none"/>
              </w:rPr>
              <w:t xml:space="preserve">提示：</w:t>
            </w:r>
            <w:r/>
          </w:p>
          <w:p>
            <w:pPr>
              <w:spacing w:line="360" w:lineRule="auto"/>
              <w:rPr>
                <w:rFonts w:hint="eastAsia" w:ascii="宋体" w:hAnsi="宋体"/>
                <w:b/>
                <w:bCs/>
                <w:color w:val="auto"/>
                <w:sz w:val="24"/>
                <w:highlight w:val="none"/>
              </w:rPr>
            </w:pPr>
            <w:r>
              <w:rPr>
                <w:rFonts w:hint="eastAsia" w:ascii="宋体" w:hAnsi="宋体"/>
                <w:color w:val="auto"/>
                <w:sz w:val="24"/>
                <w:highlight w:val="none"/>
              </w:rPr>
              <w:t xml:space="preserve">1、</w:t>
            </w:r>
            <w:r>
              <w:rPr>
                <w:rFonts w:hint="eastAsia" w:ascii="宋体" w:hAnsi="宋体"/>
                <w:color w:val="auto"/>
                <w:sz w:val="24"/>
                <w:szCs w:val="24"/>
                <w:highlight w:val="none"/>
              </w:rPr>
              <w:t xml:space="preserve">投标单位应针对本次招标项目特点及具体情况编写公司中标后拟采取的方案，包括</w:t>
            </w:r>
            <w:r>
              <w:rPr>
                <w:rFonts w:hint="eastAsia" w:ascii="宋体" w:hAnsi="宋体"/>
                <w:color w:val="auto"/>
                <w:sz w:val="24"/>
                <w:szCs w:val="24"/>
                <w:highlight w:val="none"/>
                <w:lang w:eastAsia="zh-CN"/>
              </w:rPr>
              <w:t xml:space="preserve">但不限于</w:t>
            </w:r>
            <w:r>
              <w:rPr>
                <w:rFonts w:hint="eastAsia" w:ascii="宋体" w:hAnsi="宋体"/>
                <w:color w:val="auto"/>
                <w:sz w:val="24"/>
                <w:szCs w:val="24"/>
                <w:highlight w:val="none"/>
              </w:rPr>
              <w:t xml:space="preserve">服务方案、人员配备方案以及遇重大、紧急事项的应急措施等</w:t>
            </w:r>
            <w:r>
              <w:rPr>
                <w:rFonts w:hint="eastAsia" w:ascii="宋体" w:hAnsi="宋体"/>
                <w:color w:val="auto"/>
                <w:sz w:val="24"/>
                <w:highlight w:val="none"/>
              </w:rPr>
              <w:t xml:space="preserve">。</w:t>
            </w:r>
            <w:r/>
          </w:p>
          <w:p>
            <w:pPr>
              <w:spacing w:line="360" w:lineRule="auto"/>
              <w:rPr>
                <w:rFonts w:ascii="宋体" w:hAnsi="宋体" w:cs="宋体"/>
                <w:color w:val="auto"/>
                <w:sz w:val="24"/>
                <w:highlight w:val="none"/>
              </w:rPr>
            </w:pPr>
            <w:r>
              <w:rPr>
                <w:rFonts w:hint="eastAsia" w:ascii="宋体" w:hAnsi="宋体"/>
                <w:color w:val="auto"/>
                <w:sz w:val="24"/>
                <w:highlight w:val="none"/>
              </w:rPr>
              <w:t xml:space="preserve">2、投标单位可根据自身情况编写，本页不够可另加页附后。</w:t>
            </w:r>
            <w:r/>
          </w:p>
        </w:tc>
      </w:tr>
      <w:tr>
        <w:trPr>
          <w:trHeight w:val="8160"/>
        </w:trPr>
        <w:tc>
          <w:tcPr>
            <w:tcW w:w="8250" w:type="dxa"/>
            <w:vAlign w:val="top"/>
            <w:textDirection w:val="lrTb"/>
            <w:noWrap w:val="false"/>
          </w:tcPr>
          <w:p>
            <w:pPr>
              <w:spacing w:line="360" w:lineRule="auto"/>
              <w:rPr>
                <w:rFonts w:ascii="宋体" w:hAnsi="宋体" w:cs="宋体"/>
                <w:color w:val="auto"/>
                <w:sz w:val="24"/>
                <w:highlight w:val="none"/>
              </w:rPr>
            </w:pPr>
            <w:r>
              <w:rPr>
                <w:rFonts w:ascii="宋体" w:hAnsi="宋体" w:cs="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240"/>
              <w:spacing w:line="360" w:lineRule="auto"/>
              <w:rPr>
                <w:rFonts w:ascii="宋体" w:hAnsi="宋体" w:cs="宋体"/>
                <w:color w:val="auto"/>
                <w:sz w:val="24"/>
                <w:highlight w:val="none"/>
              </w:rPr>
            </w:pPr>
            <w:r>
              <w:rPr>
                <w:rFonts w:hint="eastAsia" w:ascii="宋体" w:hAnsi="宋体"/>
                <w:color w:val="auto"/>
                <w:sz w:val="24"/>
                <w:highlight w:val="none"/>
              </w:rPr>
              <w:t xml:space="preserve">                                      投标单位（公章）：</w:t>
            </w:r>
            <w:r/>
          </w:p>
        </w:tc>
      </w:tr>
    </w:tbl>
    <w:p>
      <w:pPr>
        <w:pStyle w:val="101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 </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投标单位（公章）：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法定代表人或代理人：（签字或签章）</w:t>
      </w:r>
      <w:r/>
    </w:p>
    <w:p>
      <w:pPr>
        <w:ind w:firstLine="210"/>
        <w:spacing w:line="360" w:lineRule="auto"/>
        <w:rPr>
          <w:rFonts w:hint="eastAsia" w:ascii="宋体" w:hAnsi="宋体"/>
          <w:color w:val="auto"/>
          <w:sz w:val="24"/>
          <w:highlight w:val="none"/>
        </w:rPr>
      </w:pPr>
      <w:r>
        <w:rPr>
          <w:rFonts w:hint="eastAsia" w:ascii="宋体" w:hAnsi="宋体"/>
          <w:color w:val="auto"/>
          <w:sz w:val="24"/>
          <w:highlight w:val="none"/>
        </w:rPr>
        <w:t xml:space="preserve">日期：    年    月    日</w:t>
      </w:r>
      <w:r/>
    </w:p>
    <w:p>
      <w:pPr>
        <w:spacing w:line="360" w:lineRule="auto"/>
        <w:rPr>
          <w:rFonts w:hint="eastAsia" w:ascii="宋体" w:hAnsi="宋体"/>
          <w:color w:val="auto"/>
          <w:sz w:val="28"/>
          <w:szCs w:val="28"/>
          <w:highlight w:val="none"/>
          <w:lang w:val="en-US" w:eastAsia="zh-CN"/>
        </w:rPr>
      </w:pPr>
      <w:r>
        <w:rPr>
          <w:rFonts w:hint="eastAsia" w:ascii="宋体" w:hAnsi="宋体"/>
          <w:color w:val="auto"/>
          <w:sz w:val="28"/>
          <w:szCs w:val="28"/>
          <w:highlight w:val="none"/>
          <w:lang w:val="en-US" w:eastAsia="zh-CN"/>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8</w:t>
      </w:r>
      <w:r>
        <w:rPr>
          <w:rFonts w:hint="eastAsia" w:ascii="宋体" w:hAnsi="宋体"/>
          <w:color w:val="auto"/>
          <w:sz w:val="28"/>
          <w:szCs w:val="28"/>
          <w:highlight w:val="none"/>
        </w:rPr>
        <w:t xml:space="preserve">、有关资格证明文件</w:t>
      </w:r>
      <w:r/>
    </w:p>
    <w:p>
      <w:pPr>
        <w:spacing w:line="360" w:lineRule="auto"/>
        <w:rPr>
          <w:rFonts w:ascii="宋体" w:hAnsi="宋体"/>
          <w:color w:val="auto"/>
          <w:sz w:val="24"/>
          <w:highlight w:val="none"/>
        </w:rPr>
      </w:pPr>
      <w:r>
        <w:rPr>
          <w:rFonts w:ascii="宋体" w:hAnsi="宋体"/>
          <w:color w:val="auto"/>
          <w:sz w:val="24"/>
          <w:highlight w:val="none"/>
        </w:rPr>
      </w:r>
      <w:r/>
    </w:p>
    <w:p>
      <w:pPr>
        <w:jc w:val="center"/>
        <w:spacing w:line="360" w:lineRule="auto"/>
        <w:rPr>
          <w:rFonts w:ascii="宋体" w:hAnsi="宋体"/>
          <w:color w:val="auto"/>
          <w:sz w:val="24"/>
          <w:highlight w:val="none"/>
        </w:rPr>
      </w:pPr>
      <w:r>
        <w:rPr>
          <w:rFonts w:hint="eastAsia" w:ascii="宋体" w:hAnsi="宋体"/>
          <w:color w:val="auto"/>
          <w:sz w:val="24"/>
          <w:highlight w:val="none"/>
        </w:rPr>
        <w:t xml:space="preserve">关于资格文件的声明函</w:t>
      </w:r>
      <w:r/>
    </w:p>
    <w:p>
      <w:pPr>
        <w:ind w:firstLine="420"/>
        <w:jc w:val="center"/>
        <w:spacing w:line="360" w:lineRule="auto"/>
        <w:rPr>
          <w:rFonts w:ascii="宋体" w:hAnsi="宋体"/>
          <w:color w:val="auto"/>
          <w:sz w:val="24"/>
          <w:highlight w:val="none"/>
        </w:rPr>
      </w:pPr>
      <w:r>
        <w:rPr>
          <w:rFonts w:ascii="宋体" w:hAnsi="宋体"/>
          <w:color w:val="auto"/>
          <w:sz w:val="24"/>
          <w:highlight w:val="none"/>
        </w:rPr>
      </w:r>
      <w:r/>
    </w:p>
    <w:p>
      <w:pPr>
        <w:jc w:val="left"/>
        <w:spacing w:line="360" w:lineRule="auto"/>
        <w:rPr>
          <w:rFonts w:ascii="宋体" w:hAnsi="宋体"/>
          <w:color w:val="auto"/>
          <w:sz w:val="24"/>
          <w:highlight w:val="none"/>
        </w:rPr>
      </w:pPr>
      <w:r>
        <w:rPr>
          <w:rFonts w:hint="eastAsia" w:ascii="宋体" w:hAnsi="宋体"/>
          <w:color w:val="auto"/>
          <w:sz w:val="24"/>
          <w:highlight w:val="none"/>
          <w:u w:val="single"/>
        </w:rPr>
        <w:t xml:space="preserve">  </w:t>
      </w:r>
      <w:r>
        <w:rPr>
          <w:rFonts w:hint="eastAsia" w:ascii="宋体" w:hAnsi="宋体"/>
          <w:color w:val="auto"/>
          <w:sz w:val="24"/>
          <w:highlight w:val="none"/>
          <w:u w:val="single"/>
          <w:lang w:eastAsia="zh-CN"/>
        </w:rPr>
        <w:t xml:space="preserve">苏州惠德普源企业咨询有限公司</w:t>
      </w:r>
      <w:r>
        <w:rPr>
          <w:rFonts w:hint="eastAsia" w:ascii="宋体" w:hAnsi="宋体"/>
          <w:color w:val="auto"/>
          <w:sz w:val="24"/>
          <w:highlight w:val="none"/>
          <w:u w:val="single"/>
        </w:rPr>
        <w:t xml:space="preserve">  </w:t>
      </w:r>
      <w:r>
        <w:rPr>
          <w:rFonts w:hint="eastAsia" w:ascii="宋体" w:hAnsi="宋体"/>
          <w:color w:val="auto"/>
          <w:sz w:val="24"/>
          <w:highlight w:val="none"/>
        </w:rPr>
        <w:t xml:space="preserve">：</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 xml:space="preserve">本公司愿就由贵公司组织实施的编号为</w:t>
      </w:r>
      <w:r>
        <w:rPr>
          <w:rFonts w:hint="eastAsia" w:ascii="宋体" w:hAnsi="宋体"/>
          <w:color w:val="auto"/>
          <w:sz w:val="24"/>
          <w:highlight w:val="none"/>
          <w:u w:val="single"/>
        </w:rPr>
        <w:t xml:space="preserve">（招标编号）</w:t>
      </w:r>
      <w:r>
        <w:rPr>
          <w:rFonts w:hint="eastAsia" w:ascii="宋体" w:hAnsi="宋体"/>
          <w:color w:val="auto"/>
          <w:sz w:val="24"/>
          <w:highlight w:val="none"/>
        </w:rPr>
        <w:t xml:space="preserve">号的招标活动进行投标。本公司所提交的投标文件中所有关于投标资格的文件、证明和陈述均是真实的、准确的。若与真实情况不符，本公司愿意承担由此而产生的一切后果。</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hint="eastAsia" w:ascii="宋体" w:hAnsi="宋体"/>
          <w:color w:val="auto"/>
          <w:sz w:val="24"/>
          <w:highlight w:val="none"/>
        </w:rPr>
      </w:pPr>
      <w:r>
        <w:rPr>
          <w:rFonts w:hint="eastAsia" w:ascii="宋体" w:hAnsi="宋体"/>
          <w:color w:val="auto"/>
          <w:sz w:val="24"/>
          <w:highlight w:val="none"/>
        </w:rPr>
      </w:r>
      <w:r/>
    </w:p>
    <w:p>
      <w:pPr>
        <w:ind w:firstLine="4260"/>
        <w:jc w:val="left"/>
        <w:spacing w:line="360" w:lineRule="auto"/>
        <w:rPr>
          <w:rFonts w:ascii="宋体" w:hAnsi="宋体"/>
          <w:color w:val="auto"/>
          <w:sz w:val="24"/>
          <w:highlight w:val="none"/>
        </w:rPr>
      </w:pPr>
      <w:r>
        <w:rPr>
          <w:rFonts w:hint="eastAsia" w:ascii="宋体" w:hAnsi="宋体"/>
          <w:color w:val="auto"/>
          <w:sz w:val="24"/>
          <w:highlight w:val="none"/>
        </w:rPr>
        <w:t xml:space="preserve">投标单位（盖公章）：</w:t>
      </w:r>
      <w:r/>
    </w:p>
    <w:p>
      <w:pPr>
        <w:ind w:firstLine="420"/>
        <w:jc w:val="left"/>
        <w:spacing w:line="360" w:lineRule="auto"/>
        <w:rPr>
          <w:rFonts w:ascii="宋体" w:hAnsi="宋体"/>
          <w:color w:val="auto"/>
          <w:sz w:val="24"/>
          <w:highlight w:val="none"/>
        </w:rPr>
      </w:pP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ab/>
      </w:r>
      <w:r>
        <w:rPr>
          <w:rFonts w:hint="eastAsia" w:ascii="宋体" w:hAnsi="宋体"/>
          <w:color w:val="auto"/>
          <w:sz w:val="24"/>
          <w:highlight w:val="none"/>
        </w:rPr>
        <w:t xml:space="preserve">  法定代表人或被授权人（签字或盖章）：</w:t>
      </w:r>
      <w:r/>
    </w:p>
    <w:p>
      <w:pPr>
        <w:ind w:firstLine="425"/>
        <w:jc w:val="center"/>
        <w:spacing w:line="360" w:lineRule="auto"/>
        <w:rPr>
          <w:rFonts w:hint="eastAsia" w:ascii="宋体" w:hAnsi="宋体"/>
          <w:color w:val="auto"/>
          <w:sz w:val="24"/>
          <w:highlight w:val="none"/>
        </w:rPr>
      </w:pPr>
      <w:r>
        <w:rPr>
          <w:rFonts w:hint="eastAsia" w:ascii="宋体" w:hAnsi="宋体"/>
          <w:color w:val="auto"/>
          <w:sz w:val="24"/>
          <w:highlight w:val="none"/>
        </w:rPr>
        <w:t xml:space="preserve">                               年 </w:t>
      </w:r>
      <w:r>
        <w:rPr>
          <w:rFonts w:hint="eastAsia" w:ascii="宋体" w:hAnsi="宋体"/>
          <w:color w:val="auto"/>
          <w:sz w:val="24"/>
          <w:highlight w:val="none"/>
        </w:rPr>
        <w:tab/>
      </w:r>
      <w:r>
        <w:rPr>
          <w:rFonts w:hint="eastAsia" w:ascii="宋体" w:hAnsi="宋体"/>
          <w:color w:val="auto"/>
          <w:sz w:val="24"/>
          <w:highlight w:val="none"/>
        </w:rPr>
        <w:t xml:space="preserve">   月   </w:t>
      </w:r>
      <w:r>
        <w:rPr>
          <w:rFonts w:hint="eastAsia" w:ascii="宋体" w:hAnsi="宋体"/>
          <w:color w:val="auto"/>
          <w:sz w:val="24"/>
          <w:highlight w:val="none"/>
        </w:rPr>
        <w:tab/>
      </w:r>
      <w:r>
        <w:rPr>
          <w:rFonts w:hint="eastAsia" w:ascii="宋体" w:hAnsi="宋体"/>
          <w:color w:val="auto"/>
          <w:sz w:val="24"/>
          <w:highlight w:val="none"/>
        </w:rPr>
        <w:t xml:space="preserve">日</w:t>
      </w:r>
      <w:r/>
    </w:p>
    <w:p>
      <w:pPr>
        <w:jc w:val="left"/>
        <w:spacing w:line="360" w:lineRule="auto"/>
        <w:rPr>
          <w:rFonts w:hint="eastAsia" w:ascii="宋体" w:hAnsi="宋体"/>
          <w:color w:val="auto"/>
          <w:sz w:val="28"/>
          <w:szCs w:val="28"/>
          <w:highlight w:val="none"/>
        </w:rPr>
      </w:pPr>
      <w:r>
        <w:rPr>
          <w:rFonts w:hint="eastAsia" w:ascii="宋体" w:hAnsi="宋体"/>
          <w:color w:val="auto"/>
          <w:sz w:val="24"/>
          <w:highlight w:val="none"/>
        </w:rPr>
        <w:br w:type="page" w:clear="all"/>
      </w:r>
      <w:r>
        <w:rPr>
          <w:rFonts w:hint="eastAsia" w:ascii="宋体" w:hAnsi="宋体"/>
          <w:color w:val="auto"/>
          <w:sz w:val="28"/>
          <w:szCs w:val="28"/>
          <w:highlight w:val="none"/>
          <w:lang w:val="en-US" w:eastAsia="zh-CN"/>
        </w:rPr>
        <w:t xml:space="preserve">9</w:t>
      </w:r>
      <w:r>
        <w:rPr>
          <w:rFonts w:hint="eastAsia" w:ascii="宋体" w:hAnsi="宋体"/>
          <w:color w:val="auto"/>
          <w:sz w:val="28"/>
          <w:szCs w:val="28"/>
          <w:highlight w:val="none"/>
        </w:rPr>
        <w:t xml:space="preserve">、中小企业声明函</w:t>
      </w:r>
      <w:r/>
    </w:p>
    <w:p>
      <w:pPr>
        <w:jc w:val="center"/>
        <w:spacing w:line="360" w:lineRule="auto"/>
        <w:rPr>
          <w:rFonts w:ascii="宋体" w:hAnsi="宋体"/>
          <w:color w:val="auto"/>
          <w:sz w:val="28"/>
          <w:szCs w:val="28"/>
          <w:highlight w:val="none"/>
        </w:rPr>
      </w:pPr>
      <w:r>
        <w:rPr>
          <w:rFonts w:hint="eastAsia" w:ascii="宋体" w:hAnsi="宋体"/>
          <w:color w:val="auto"/>
          <w:sz w:val="28"/>
          <w:szCs w:val="28"/>
          <w:highlight w:val="none"/>
        </w:rPr>
        <w:t xml:space="preserve">中小企业声明函</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本公司（联合体）郑重声明，根据</w:t>
      </w:r>
      <w:r>
        <w:rPr>
          <w:rFonts w:hint="eastAsia" w:ascii="宋体" w:hAnsi="宋体" w:cs="宋体"/>
          <w:color w:val="auto"/>
          <w:sz w:val="24"/>
          <w:highlight w:val="none"/>
        </w:rPr>
        <w:t xml:space="preserve">《关于印发</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苏州市政府采购促进中小企业发展实施意见</w:t>
      </w:r>
      <w:r>
        <w:rPr>
          <w:rFonts w:hint="eastAsia" w:ascii="宋体" w:hAnsi="宋体" w:cs="宋体"/>
          <w:color w:val="auto"/>
          <w:sz w:val="24"/>
          <w:highlight w:val="none"/>
          <w:lang w:eastAsia="zh-CN"/>
        </w:rPr>
        <w:t xml:space="preserve">〉</w:t>
      </w:r>
      <w:r>
        <w:rPr>
          <w:rFonts w:hint="eastAsia" w:ascii="宋体" w:hAnsi="宋体" w:cs="宋体"/>
          <w:color w:val="auto"/>
          <w:sz w:val="24"/>
          <w:highlight w:val="none"/>
        </w:rPr>
        <w:t xml:space="preserve">的通知》（苏财购</w:t>
      </w:r>
      <w:r>
        <w:rPr>
          <w:rFonts w:hint="eastAsia" w:ascii="宋体" w:hAnsi="宋体" w:cs="宋体"/>
          <w:color w:val="auto"/>
          <w:sz w:val="24"/>
          <w:highlight w:val="none"/>
          <w:lang w:eastAsia="zh-CN"/>
        </w:rPr>
        <w:t xml:space="preserve">〔2022〕16号</w:t>
      </w:r>
      <w:r>
        <w:rPr>
          <w:rFonts w:hint="eastAsia" w:ascii="宋体" w:hAnsi="宋体" w:cs="宋体"/>
          <w:color w:val="auto"/>
          <w:sz w:val="24"/>
          <w:highlight w:val="none"/>
        </w:rPr>
        <w:t xml:space="preserve">）</w:t>
      </w:r>
      <w:r>
        <w:rPr>
          <w:rFonts w:ascii="宋体" w:hAnsi="宋体" w:cs="宋体"/>
          <w:color w:val="auto"/>
          <w:sz w:val="24"/>
          <w:highlight w:val="none"/>
        </w:rPr>
        <w:t xml:space="preserve">的规定，本公司 （联合体）参加</w:t>
      </w:r>
      <w:r>
        <w:rPr>
          <w:rFonts w:ascii="宋体" w:hAnsi="宋体" w:cs="宋体"/>
          <w:color w:val="auto"/>
          <w:sz w:val="24"/>
          <w:highlight w:val="none"/>
          <w:u w:val="single"/>
        </w:rPr>
        <w:t xml:space="preserve">（单位名称）</w:t>
      </w:r>
      <w:r>
        <w:rPr>
          <w:rFonts w:ascii="宋体" w:hAnsi="宋体" w:cs="宋体"/>
          <w:color w:val="auto"/>
          <w:sz w:val="24"/>
          <w:highlight w:val="none"/>
        </w:rPr>
        <w:t xml:space="preserve">的</w:t>
      </w:r>
      <w:r>
        <w:rPr>
          <w:rFonts w:ascii="宋体" w:hAnsi="宋体" w:cs="宋体"/>
          <w:color w:val="auto"/>
          <w:sz w:val="24"/>
          <w:highlight w:val="none"/>
          <w:u w:val="single"/>
        </w:rPr>
        <w:t xml:space="preserve">（项目名称）</w:t>
      </w:r>
      <w:r>
        <w:rPr>
          <w:rFonts w:ascii="宋体" w:hAnsi="宋体" w:cs="宋体"/>
          <w:color w:val="auto"/>
          <w:sz w:val="24"/>
          <w:highlight w:val="none"/>
        </w:rPr>
        <w:t xml:space="preserve">采购活动，服务全部由符合政策要求的中小企业承接。相关企业（含联合体中的中小企业、签订分包意向协议的中小企业）的具体情况如下：</w:t>
      </w:r>
      <w:r/>
    </w:p>
    <w:p>
      <w:pPr>
        <w:numPr>
          <w:ilvl w:val="0"/>
          <w:numId w:val="2"/>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中型企业、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小型企业、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微型企业）</w:t>
      </w:r>
      <w:r>
        <w:rPr>
          <w:rFonts w:ascii="宋体" w:hAnsi="宋体" w:cs="宋体"/>
          <w:color w:val="auto"/>
          <w:sz w:val="24"/>
          <w:highlight w:val="none"/>
        </w:rPr>
        <w:t xml:space="preserve">； </w:t>
      </w:r>
      <w:r/>
    </w:p>
    <w:p>
      <w:pPr>
        <w:numPr>
          <w:ilvl w:val="0"/>
          <w:numId w:val="2"/>
        </w:numPr>
        <w:ind w:firstLine="480"/>
        <w:spacing w:line="360" w:lineRule="auto"/>
        <w:rPr>
          <w:rFonts w:ascii="宋体" w:hAnsi="宋体" w:cs="宋体"/>
          <w:color w:val="auto"/>
          <w:sz w:val="24"/>
          <w:highlight w:val="none"/>
        </w:rPr>
      </w:pPr>
      <w:r>
        <w:rPr>
          <w:rFonts w:ascii="宋体" w:hAnsi="宋体" w:cs="宋体"/>
          <w:color w:val="auto"/>
          <w:sz w:val="24"/>
          <w:highlight w:val="none"/>
          <w:u w:val="single"/>
        </w:rPr>
        <w:t xml:space="preserve">（标的名称）</w:t>
      </w:r>
      <w:r>
        <w:rPr>
          <w:rFonts w:ascii="宋体" w:hAnsi="宋体" w:cs="宋体"/>
          <w:color w:val="auto"/>
          <w:sz w:val="24"/>
          <w:highlight w:val="none"/>
        </w:rPr>
        <w:t xml:space="preserve">，属于</w:t>
      </w:r>
      <w:r>
        <w:rPr>
          <w:rFonts w:ascii="宋体" w:hAnsi="宋体" w:cs="宋体"/>
          <w:color w:val="auto"/>
          <w:sz w:val="24"/>
          <w:highlight w:val="none"/>
          <w:u w:val="single"/>
        </w:rPr>
        <w:t xml:space="preserve">（采购文件中明确的所属行业）</w:t>
      </w:r>
      <w:r>
        <w:rPr>
          <w:rFonts w:ascii="宋体" w:hAnsi="宋体" w:cs="宋体"/>
          <w:color w:val="auto"/>
          <w:sz w:val="24"/>
          <w:highlight w:val="none"/>
        </w:rPr>
        <w:t xml:space="preserve">； 承建（承接）企业为</w:t>
      </w:r>
      <w:r>
        <w:rPr>
          <w:rFonts w:hint="eastAsia" w:ascii="宋体" w:hAnsi="宋体" w:cs="宋体"/>
          <w:color w:val="auto"/>
          <w:sz w:val="24"/>
          <w:highlight w:val="none"/>
          <w:u w:val="single"/>
        </w:rPr>
        <w:t xml:space="preserve">      </w:t>
      </w:r>
      <w:r>
        <w:rPr>
          <w:rFonts w:ascii="宋体" w:hAnsi="宋体" w:cs="宋体"/>
          <w:color w:val="auto"/>
          <w:sz w:val="24"/>
          <w:highlight w:val="none"/>
          <w:u w:val="single"/>
        </w:rPr>
        <w:t xml:space="preserve">（企业名称）</w:t>
      </w:r>
      <w:r>
        <w:rPr>
          <w:rFonts w:ascii="宋体" w:hAnsi="宋体" w:cs="宋体"/>
          <w:color w:val="auto"/>
          <w:sz w:val="24"/>
          <w:highlight w:val="none"/>
        </w:rPr>
        <w:t xml:space="preserve">，从业人员</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人，营业收入为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万元，资产总额为</w:t>
      </w:r>
      <w:r>
        <w:rPr>
          <w:rFonts w:ascii="宋体" w:hAnsi="宋体" w:cs="宋体"/>
          <w:color w:val="auto"/>
          <w:sz w:val="24"/>
          <w:highlight w:val="none"/>
          <w:u w:val="single"/>
        </w:rPr>
        <w:t xml:space="preserve"> </w:t>
      </w:r>
      <w:r>
        <w:rPr>
          <w:rFonts w:hint="eastAsia" w:ascii="宋体" w:hAnsi="宋体" w:cs="宋体"/>
          <w:color w:val="auto"/>
          <w:sz w:val="24"/>
          <w:highlight w:val="none"/>
          <w:u w:val="single"/>
        </w:rPr>
        <w:t xml:space="preserve">     </w:t>
      </w:r>
      <w:r>
        <w:rPr>
          <w:rFonts w:ascii="宋体" w:hAnsi="宋体" w:cs="宋体"/>
          <w:color w:val="auto"/>
          <w:sz w:val="24"/>
          <w:highlight w:val="none"/>
        </w:rPr>
        <w:t xml:space="preserve">万元，属于</w:t>
      </w:r>
      <w:r>
        <w:rPr>
          <w:rFonts w:ascii="宋体" w:hAnsi="宋体" w:cs="宋体"/>
          <w:color w:val="auto"/>
          <w:sz w:val="24"/>
          <w:highlight w:val="none"/>
          <w:u w:val="single"/>
        </w:rPr>
        <w:t xml:space="preserve">（</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中型企业、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小型企业、</w:t>
      </w:r>
      <w:r>
        <w:rPr>
          <w:rFonts w:ascii="Wingdings" w:hAnsi="Wingdings" w:eastAsia="Wingdings" w:cs="Wingdings"/>
          <w:b w:val="0"/>
          <w:bCs w:val="0"/>
          <w:color w:val="auto"/>
          <w:sz w:val="24"/>
          <w:highlight w:val="none"/>
          <w:u w:val="single"/>
        </w:rPr>
        <w:t xml:space="preserve">¨</w:t>
      </w:r>
      <w:r>
        <w:rPr>
          <w:rFonts w:ascii="宋体" w:hAnsi="宋体" w:cs="宋体"/>
          <w:color w:val="auto"/>
          <w:sz w:val="24"/>
          <w:highlight w:val="none"/>
          <w:u w:val="single"/>
        </w:rPr>
        <w:t xml:space="preserve">微型企业）</w:t>
      </w:r>
      <w:r>
        <w:rPr>
          <w:rFonts w:ascii="宋体" w:hAnsi="宋体" w:cs="宋体"/>
          <w:color w:val="auto"/>
          <w:sz w:val="24"/>
          <w:highlight w:val="none"/>
        </w:rPr>
        <w:t xml:space="preserve">； </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w:t>
      </w:r>
      <w:r/>
    </w:p>
    <w:p>
      <w:pPr>
        <w:ind w:firstLine="480"/>
        <w:spacing w:line="360" w:lineRule="auto"/>
        <w:rPr>
          <w:rFonts w:ascii="宋体" w:hAnsi="宋体" w:cs="宋体"/>
          <w:color w:val="auto"/>
          <w:sz w:val="24"/>
          <w:highlight w:val="none"/>
        </w:rPr>
      </w:pPr>
      <w:r>
        <w:rPr>
          <w:rFonts w:ascii="宋体" w:hAnsi="宋体" w:cs="宋体"/>
          <w:color w:val="auto"/>
          <w:sz w:val="24"/>
          <w:highlight w:val="none"/>
        </w:rPr>
        <w:t xml:space="preserve">以上企业，不属于大企业的分支机构，不存在控股股东为大企业的情形，也不存在与大企业的负责人为同一人的情形。 </w:t>
      </w:r>
      <w:r/>
    </w:p>
    <w:p>
      <w:pPr>
        <w:pStyle w:val="1031"/>
        <w:ind w:firstLine="645"/>
        <w:spacing w:after="0" w:line="360" w:lineRule="auto"/>
        <w:rPr>
          <w:rFonts w:ascii="宋体" w:hAnsi="宋体"/>
          <w:color w:val="auto"/>
          <w:sz w:val="24"/>
          <w:szCs w:val="24"/>
          <w:highlight w:val="none"/>
        </w:rPr>
      </w:pPr>
      <w:r>
        <w:rPr>
          <w:rFonts w:ascii="宋体" w:hAnsi="宋体" w:cs="宋体"/>
          <w:color w:val="auto"/>
          <w:sz w:val="24"/>
          <w:highlight w:val="none"/>
        </w:rPr>
        <w:t xml:space="preserve">本企业对上述声明内容的真实性负责。如有虚假，将依法承担相应责任</w:t>
      </w:r>
      <w:r>
        <w:rPr>
          <w:rFonts w:ascii="宋体" w:hAnsi="宋体" w:cs="宋体"/>
          <w:color w:val="auto"/>
          <w:sz w:val="24"/>
          <w:szCs w:val="24"/>
          <w:highlight w:val="none"/>
        </w:rPr>
        <w:t xml:space="preserve">。</w:t>
      </w:r>
      <w:r/>
    </w:p>
    <w:p>
      <w:pPr>
        <w:pStyle w:val="1032"/>
        <w:ind w:firstLine="240"/>
        <w:spacing w:after="0" w:line="360" w:lineRule="auto"/>
        <w:rPr>
          <w:color w:val="auto"/>
          <w:sz w:val="24"/>
          <w:szCs w:val="24"/>
          <w:highlight w:val="none"/>
        </w:rPr>
      </w:pPr>
      <w:r>
        <w:rPr>
          <w:color w:val="auto"/>
          <w:sz w:val="24"/>
          <w:szCs w:val="24"/>
          <w:highlight w:val="none"/>
        </w:rPr>
      </w:r>
      <w:r/>
    </w:p>
    <w:p>
      <w:pPr>
        <w:jc w:val="right"/>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投标单位：（盖章）</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                                                    日    期：</w:t>
      </w:r>
      <w:r/>
    </w:p>
    <w:p>
      <w:pPr>
        <w:jc w:val="left"/>
        <w:rPr>
          <w:rFonts w:hint="eastAsia" w:ascii="宋体" w:hAnsi="宋体"/>
          <w:bCs/>
          <w:color w:val="auto"/>
          <w:sz w:val="24"/>
          <w:szCs w:val="24"/>
          <w:highlight w:val="none"/>
        </w:rPr>
      </w:pPr>
      <w:r>
        <w:rPr>
          <w:rFonts w:hint="eastAsia" w:ascii="宋体" w:hAnsi="宋体"/>
          <w:bCs/>
          <w:color w:val="auto"/>
          <w:sz w:val="24"/>
          <w:szCs w:val="24"/>
          <w:highlight w:val="none"/>
        </w:rPr>
      </w:r>
      <w:r/>
    </w:p>
    <w:p>
      <w:pPr>
        <w:jc w:val="left"/>
        <w:keepLines w:val="0"/>
        <w:pageBreakBefore w:val="0"/>
        <w:spacing w:line="340" w:lineRule="exact"/>
        <w:widowControl w:val="off"/>
        <w:rPr>
          <w:rFonts w:hint="eastAsia" w:ascii="宋体" w:hAnsi="宋体"/>
          <w:bCs/>
          <w:color w:val="auto"/>
          <w:sz w:val="24"/>
          <w:szCs w:val="24"/>
          <w:highlight w:val="none"/>
        </w:rPr>
      </w:pPr>
      <w:r>
        <w:rPr>
          <w:rFonts w:hint="eastAsia" w:ascii="宋体" w:hAnsi="宋体"/>
          <w:bCs/>
          <w:color w:val="auto"/>
          <w:sz w:val="24"/>
          <w:szCs w:val="24"/>
          <w:highlight w:val="none"/>
        </w:rPr>
        <w:t xml:space="preserve">备注：1</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从业人员、营业收入、资产总额填报上一年度数据，无上一年度数据的新成立企业可不填报。</w:t>
      </w:r>
      <w:r/>
    </w:p>
    <w:p>
      <w:pPr>
        <w:ind w:firstLine="720"/>
        <w:jc w:val="left"/>
        <w:keepLines w:val="0"/>
        <w:pageBreakBefore w:val="0"/>
        <w:spacing w:line="340" w:lineRule="exact"/>
        <w:widowControl w:val="off"/>
        <w:rPr>
          <w:rFonts w:ascii="宋体" w:hAnsi="宋体"/>
          <w:bCs/>
          <w:color w:val="auto"/>
          <w:sz w:val="24"/>
          <w:szCs w:val="24"/>
          <w:highlight w:val="none"/>
        </w:rPr>
      </w:pPr>
      <w:r>
        <w:rPr>
          <w:rFonts w:ascii="宋体" w:hAnsi="宋体"/>
          <w:bCs/>
          <w:color w:val="auto"/>
          <w:sz w:val="24"/>
          <w:szCs w:val="24"/>
          <w:highlight w:val="none"/>
        </w:rPr>
        <w:t xml:space="preserve">2</w:t>
      </w:r>
      <w:r>
        <w:rPr>
          <w:rFonts w:hint="eastAsia" w:ascii="宋体" w:hAnsi="宋体"/>
          <w:bCs/>
          <w:color w:val="auto"/>
          <w:sz w:val="24"/>
          <w:szCs w:val="24"/>
          <w:highlight w:val="none"/>
          <w:lang w:eastAsia="zh-CN"/>
        </w:rPr>
        <w:t xml:space="preserve">）</w:t>
      </w:r>
      <w:r>
        <w:rPr>
          <w:rFonts w:hint="eastAsia" w:ascii="宋体" w:hAnsi="宋体"/>
          <w:bCs/>
          <w:color w:val="auto"/>
          <w:sz w:val="24"/>
          <w:szCs w:val="24"/>
          <w:highlight w:val="none"/>
        </w:rPr>
        <w:t xml:space="preserve">在服务采购项目中，服务由中小企业承接，即提供服务的人员为中小企业依照《中华人民共和国劳动合同法》订立劳动合同的从业人员。服务类项目中供应商若使用退休人员，将不享受相应扶持政策。</w:t>
      </w:r>
      <w:r/>
    </w:p>
    <w:p>
      <w:pPr>
        <w:pStyle w:val="1033"/>
        <w:ind w:firstLine="600"/>
        <w:keepLines w:val="0"/>
        <w:pageBreakBefore w:val="0"/>
        <w:spacing w:line="340" w:lineRule="exact"/>
        <w:widowControl w:val="off"/>
        <w:rPr>
          <w:b w:val="0"/>
          <w:bCs/>
          <w:color w:val="auto"/>
          <w:sz w:val="24"/>
          <w:szCs w:val="24"/>
          <w:highlight w:val="none"/>
        </w:rPr>
      </w:pPr>
      <w:r>
        <w:rPr>
          <w:rFonts w:hint="eastAsia"/>
          <w:b w:val="0"/>
          <w:bCs/>
          <w:color w:val="auto"/>
          <w:sz w:val="24"/>
          <w:szCs w:val="24"/>
          <w:highlight w:val="none"/>
        </w:rPr>
        <w:t xml:space="preserve">3</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小企业声明函》中所填的行业应与本采购标的对应的中小企业划分标准所属行业一致，不一致的不可享受相应政策优惠。本采购标的对应的中小企业划分标准所属行业，以招标文件第四章《招标书》规定为准。</w:t>
      </w:r>
      <w:r/>
    </w:p>
    <w:p>
      <w:pPr>
        <w:pStyle w:val="1033"/>
        <w:ind w:firstLine="600"/>
        <w:keepLines w:val="0"/>
        <w:pageBreakBefore w:val="0"/>
        <w:spacing w:line="340" w:lineRule="exact"/>
        <w:widowControl w:val="off"/>
        <w:rPr>
          <w:b w:val="0"/>
          <w:bCs/>
          <w:color w:val="auto"/>
          <w:sz w:val="24"/>
          <w:szCs w:val="24"/>
          <w:highlight w:val="none"/>
        </w:rPr>
      </w:pPr>
      <w:r>
        <w:rPr>
          <w:b w:val="0"/>
          <w:bCs/>
          <w:color w:val="auto"/>
          <w:sz w:val="24"/>
          <w:szCs w:val="24"/>
          <w:highlight w:val="none"/>
        </w:rPr>
        <w:t xml:space="preserve">4</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如未对（中型企业、小型企业、微型企业）进行勾选，视同非中小微企业，不可享受相应扶持政策。</w:t>
      </w:r>
      <w:r/>
    </w:p>
    <w:p>
      <w:pPr>
        <w:pStyle w:val="1033"/>
        <w:ind w:firstLine="600"/>
        <w:keepLines w:val="0"/>
        <w:pageBreakBefore w:val="0"/>
        <w:spacing w:line="340" w:lineRule="exact"/>
        <w:widowControl w:val="off"/>
        <w:rPr>
          <w:b w:val="0"/>
          <w:bCs/>
          <w:color w:val="auto"/>
          <w:sz w:val="24"/>
          <w:szCs w:val="24"/>
          <w:highlight w:val="none"/>
        </w:rPr>
      </w:pPr>
      <w:r>
        <w:rPr>
          <w:rFonts w:hint="eastAsia"/>
          <w:b w:val="0"/>
          <w:bCs/>
          <w:color w:val="auto"/>
          <w:sz w:val="24"/>
          <w:szCs w:val="24"/>
          <w:highlight w:val="none"/>
        </w:rPr>
        <w:t xml:space="preserve">5</w:t>
      </w:r>
      <w:r>
        <w:rPr>
          <w:rFonts w:hint="eastAsia"/>
          <w:b w:val="0"/>
          <w:bCs/>
          <w:color w:val="auto"/>
          <w:sz w:val="24"/>
          <w:szCs w:val="24"/>
          <w:highlight w:val="none"/>
          <w:lang w:eastAsia="zh-CN"/>
        </w:rPr>
        <w:t xml:space="preserve">）</w:t>
      </w:r>
      <w:r>
        <w:rPr>
          <w:rFonts w:hint="eastAsia"/>
          <w:b w:val="0"/>
          <w:bCs/>
          <w:color w:val="auto"/>
          <w:sz w:val="24"/>
          <w:szCs w:val="24"/>
          <w:highlight w:val="none"/>
        </w:rPr>
        <w:t xml:space="preserve">中标单位为中小企业的，《中小企业声明函》将随中标结果同时公告。</w:t>
      </w:r>
      <w:r/>
    </w:p>
    <w:p>
      <w:pPr>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r>
      <w:r/>
    </w:p>
    <w:p>
      <w:pPr>
        <w:jc w:val="left"/>
        <w:keepLines w:val="0"/>
        <w:keepNext w:val="0"/>
        <w:pageBreakBefore w:val="0"/>
        <w:spacing w:line="360" w:lineRule="exact"/>
        <w:widowControl w:val="off"/>
        <w:rPr>
          <w:rFonts w:hint="eastAsia" w:ascii="宋体" w:hAnsi="宋体" w:eastAsia="宋体" w:cs="Times New Roman"/>
          <w:b/>
          <w:bCs/>
          <w:color w:val="auto"/>
          <w:sz w:val="28"/>
          <w:szCs w:val="28"/>
          <w:highlight w:val="none"/>
          <w:lang w:val="en-US" w:eastAsia="zh-CN"/>
        </w:rPr>
      </w:pPr>
      <w:r>
        <w:rPr>
          <w:rFonts w:hint="eastAsia" w:ascii="宋体" w:hAnsi="宋体" w:eastAsia="宋体" w:cs="Times New Roman"/>
          <w:b/>
          <w:bCs/>
          <w:color w:val="auto"/>
          <w:sz w:val="28"/>
          <w:szCs w:val="28"/>
          <w:highlight w:val="none"/>
          <w:lang w:val="en-US" w:eastAsia="zh-CN"/>
        </w:rPr>
        <w:t xml:space="preserve">附：中小企业划型标准规定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（一）农、林、牧、渔业。</w:t>
      </w:r>
      <w:r>
        <w:rPr>
          <w:rFonts w:hint="eastAsia" w:ascii="宋体" w:hAnsi="宋体"/>
          <w:color w:val="auto"/>
          <w:sz w:val="24"/>
          <w:szCs w:val="24"/>
          <w:highlight w:val="none"/>
        </w:rPr>
        <w:t xml:space="preserve">营业收入20000万元以下的为中小微型企业。其中，营业收入500万元及以上的为中型企业，营业收入50万元及以上的为小型企业，营业收入50万元以下的为微型企业。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（二）工业。</w:t>
      </w:r>
      <w:r>
        <w:rPr>
          <w:rFonts w:hint="eastAsia" w:ascii="宋体" w:hAnsi="宋体"/>
          <w:color w:val="auto"/>
          <w:sz w:val="24"/>
          <w:szCs w:val="24"/>
          <w:highlight w:val="none"/>
        </w:rPr>
        <w:t xml:space="preserve">从业人员1000人以下或营业收入40000万元以下的为中小微型企业。其中，从业人员300人及以上，且营业收入2000万元及以上的为中型企业；从业人员20人及以上，且营业收入300万元及以上的为小型企业；从业人员20人以下或营业收入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（三）建筑业。</w:t>
      </w:r>
      <w:r>
        <w:rPr>
          <w:rFonts w:hint="eastAsia" w:ascii="宋体" w:hAnsi="宋体"/>
          <w:color w:val="auto"/>
          <w:sz w:val="24"/>
          <w:szCs w:val="24"/>
          <w:highlight w:val="none"/>
        </w:rPr>
        <w:t xml:space="preserve">营业收入80000万元以下或资产总额80000万元以下的为中小微型企业。其中，营业收入6000万元及以上，且资产总额5000万元及以上的为中型企业；营业收入300万元及以上，且资产总额300万元及以上的为小型企业；营业收入300万元以下或资产总额300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（四）批发业。</w:t>
      </w:r>
      <w:r>
        <w:rPr>
          <w:rFonts w:hint="eastAsia" w:ascii="宋体" w:hAnsi="宋体"/>
          <w:color w:val="auto"/>
          <w:sz w:val="24"/>
          <w:szCs w:val="24"/>
          <w:highlight w:val="none"/>
        </w:rPr>
        <w:t xml:space="preserve">从业人员200人以下或营业收入40000万元以下的为中小微型企业。其中，从业人员20人及以上，且营业收入5000万元及以上的为中型企业；从业人员5人及以上，且营业收入1000万元及以上的为小型企业；从业人员5人以下或营业收入1000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（五）零售业。</w:t>
      </w:r>
      <w:r>
        <w:rPr>
          <w:rFonts w:hint="eastAsia" w:ascii="宋体" w:hAnsi="宋体"/>
          <w:color w:val="auto"/>
          <w:sz w:val="24"/>
          <w:szCs w:val="24"/>
          <w:highlight w:val="none"/>
        </w:rPr>
        <w:t xml:space="preserve">从业人员300人以下或营业收入20000万元以下的为中小微型企业。其中，从业人员50人及以上，且营业收入500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（六）交通运输业。</w:t>
      </w:r>
      <w:r>
        <w:rPr>
          <w:rFonts w:hint="eastAsia" w:ascii="宋体" w:hAnsi="宋体"/>
          <w:color w:val="auto"/>
          <w:sz w:val="24"/>
          <w:szCs w:val="24"/>
          <w:highlight w:val="none"/>
        </w:rPr>
        <w:t xml:space="preserve">从业人员1000人以下或营业收入30000万元以下的为中小微型企业。其中，从业人员300人及以上，且营业收入3000万元及以上的为中型企业；从业人员20人及以上，且营业收入200万元及以上的为小型企业；从业人员20人以下或营业收入200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（七）仓储业。</w:t>
      </w:r>
      <w:r>
        <w:rPr>
          <w:rFonts w:hint="eastAsia" w:ascii="宋体" w:hAnsi="宋体"/>
          <w:color w:val="auto"/>
          <w:sz w:val="24"/>
          <w:szCs w:val="24"/>
          <w:highlight w:val="none"/>
        </w:rPr>
        <w:t xml:space="preserve">从业人员200人以下或营业收入30000万元以下的为中小微型企业。其中，从业人员100人及以上，且营业收入1000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（八）邮政业。</w:t>
      </w:r>
      <w:r>
        <w:rPr>
          <w:rFonts w:hint="eastAsia" w:ascii="宋体" w:hAnsi="宋体"/>
          <w:color w:val="auto"/>
          <w:sz w:val="24"/>
          <w:szCs w:val="24"/>
          <w:highlight w:val="none"/>
        </w:rPr>
        <w:t xml:space="preserve">从业人员1000人以下或营业收入30000万元以下的为中小微型企业。其中，从业人员300人及以上，且营业收入2000万元及以上的为中型企业；从业人员20人及以上，且营业收入100万元及以上的为小型企业；从业人员20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（九）住宿业。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（十）餐饮业。</w:t>
      </w:r>
      <w:r>
        <w:rPr>
          <w:rFonts w:hint="eastAsia" w:ascii="宋体" w:hAnsi="宋体"/>
          <w:color w:val="auto"/>
          <w:sz w:val="24"/>
          <w:szCs w:val="24"/>
          <w:highlight w:val="none"/>
        </w:rPr>
        <w:t xml:space="preserve">从业人员300人以下或营业收入10000万元以下的为中小微型企业。其中，从业人员100人及以上，且营业收入2000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（十一）信息传输业。</w:t>
      </w:r>
      <w:r>
        <w:rPr>
          <w:rFonts w:hint="eastAsia" w:ascii="宋体" w:hAnsi="宋体"/>
          <w:color w:val="auto"/>
          <w:sz w:val="24"/>
          <w:szCs w:val="24"/>
          <w:highlight w:val="none"/>
        </w:rPr>
        <w:t xml:space="preserve">从业人员2000人以下或营业收入100000万元以下的为中小微型企业。其中，从业人员100人及以上，且营业收入1000万元及以上的为中型企业；从业人员10人及以上，且营业收入100万元及以上的为小型企业；从业人员10人以下或营业收入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（十二）软件和信息技术服务业。</w:t>
      </w:r>
      <w:r>
        <w:rPr>
          <w:rFonts w:hint="eastAsia" w:ascii="宋体" w:hAnsi="宋体"/>
          <w:color w:val="auto"/>
          <w:sz w:val="24"/>
          <w:szCs w:val="24"/>
          <w:highlight w:val="none"/>
        </w:rPr>
        <w:t xml:space="preserve">从业人员300人以下或营业收入10000万元以下的为中小微型企业。其中，从业人员100人及以上，且营业收入1000万元及以上的为中型企业；从业人员10人及以上，且营业收入50万元及以上的为小型企业；从业人员10人以下或营业收入50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（十三）房地产开发经营。</w:t>
      </w:r>
      <w:r>
        <w:rPr>
          <w:rFonts w:hint="eastAsia" w:ascii="宋体" w:hAnsi="宋体"/>
          <w:color w:val="auto"/>
          <w:sz w:val="24"/>
          <w:szCs w:val="24"/>
          <w:highlight w:val="none"/>
        </w:rPr>
        <w:t xml:space="preserve">营业收入200000万元以下或资产总额10000万元以下的为中小微型企业。其中，营业收入1000万元及以上，且资产总额5000万元及以上的为中型企业；营业收入100万元及以上，且资产总额2000万元及以上的为小型企业；营业收入100万元以下或资产总额2000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（十四）物业管理。</w:t>
      </w:r>
      <w:r>
        <w:rPr>
          <w:rFonts w:hint="eastAsia" w:ascii="宋体" w:hAnsi="宋体"/>
          <w:color w:val="auto"/>
          <w:sz w:val="24"/>
          <w:szCs w:val="24"/>
          <w:highlight w:val="none"/>
        </w:rPr>
        <w:t xml:space="preserve">从业人员1000人以下或营业收入5000万元以下的为中小微型企业。其中，从业人员</w:t>
      </w:r>
      <w:r/>
    </w:p>
    <w:p>
      <w:pPr>
        <w:keepLines w:val="0"/>
        <w:keepNext w:val="0"/>
        <w:pageBreakBefore w:val="0"/>
        <w:spacing w:line="360" w:lineRule="exact"/>
        <w:widowControl w:val="off"/>
        <w:rPr>
          <w:rFonts w:ascii="宋体" w:hAnsi="宋体"/>
          <w:color w:val="auto"/>
          <w:sz w:val="24"/>
          <w:szCs w:val="24"/>
          <w:highlight w:val="none"/>
        </w:rPr>
      </w:pPr>
      <w:r>
        <w:rPr>
          <w:rFonts w:hint="eastAsia" w:ascii="宋体" w:hAnsi="宋体"/>
          <w:color w:val="auto"/>
          <w:sz w:val="24"/>
          <w:szCs w:val="24"/>
          <w:highlight w:val="none"/>
        </w:rPr>
        <w:t xml:space="preserve">300人及以上，且营业收入1000万元及以上的为中型企业；从业人员100人及以上，且营业收入500万元及以上的为小型企业；从业人员100人以下或营业收入500万元以下的为微型企业。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（十五）租赁和商务服务业。</w:t>
      </w:r>
      <w:r>
        <w:rPr>
          <w:rFonts w:hint="eastAsia" w:ascii="宋体" w:hAnsi="宋体"/>
          <w:color w:val="auto"/>
          <w:sz w:val="24"/>
          <w:szCs w:val="24"/>
          <w:highlight w:val="none"/>
        </w:rPr>
        <w:t xml:space="preserve">从业人员300人以下或资产总额120000万元以下的为中小微型企业。其中，从业人员100人及以上，且资产总额8000万元及以上的为中型企业；从业人员10人及以上，且资产总额100万元及以上的为小型企业；从业人员10人以下或资产总额100万元以下的为微型企业。</w:t>
      </w:r>
      <w:r/>
    </w:p>
    <w:p>
      <w:pPr>
        <w:ind w:firstLine="402"/>
        <w:keepLines w:val="0"/>
        <w:keepNext w:val="0"/>
        <w:pageBreakBefore w:val="0"/>
        <w:spacing w:line="360" w:lineRule="exact"/>
        <w:widowControl w:val="off"/>
        <w:rPr>
          <w:rFonts w:ascii="宋体" w:hAnsi="宋体"/>
          <w:color w:val="auto"/>
          <w:sz w:val="24"/>
          <w:szCs w:val="24"/>
          <w:highlight w:val="none"/>
        </w:rPr>
      </w:pPr>
      <w:r>
        <w:rPr>
          <w:rFonts w:hint="eastAsia" w:ascii="宋体" w:hAnsi="宋体"/>
          <w:b/>
          <w:color w:val="auto"/>
          <w:sz w:val="24"/>
          <w:szCs w:val="24"/>
          <w:highlight w:val="none"/>
        </w:rPr>
        <w:t xml:space="preserve">（十六）其他未列明行业。</w:t>
      </w:r>
      <w:r>
        <w:rPr>
          <w:rFonts w:hint="eastAsia" w:ascii="宋体" w:hAnsi="宋体"/>
          <w:color w:val="auto"/>
          <w:sz w:val="24"/>
          <w:szCs w:val="24"/>
          <w:highlight w:val="none"/>
        </w:rPr>
        <w:t xml:space="preserve">从业人员300人以下的为中小微型企业。其中，从业人员100人及以上的为中型企业；从业人员10人及以上的为小型企业；从业人员10人以下的为微型企业。</w:t>
      </w:r>
      <w:r/>
    </w:p>
    <w:p>
      <w:pPr>
        <w:ind w:left="-42" w:right="357"/>
        <w:spacing w:line="360" w:lineRule="auto"/>
        <w:rPr>
          <w:rFonts w:ascii="宋体" w:hAnsi="宋体"/>
          <w:b/>
          <w:color w:val="auto"/>
          <w:highlight w:val="none"/>
        </w:rPr>
      </w:pPr>
      <w:r>
        <w:rPr>
          <w:rFonts w:ascii="宋体" w:hAnsi="宋体"/>
          <w:b/>
          <w:color w:val="auto"/>
          <w:highlight w:val="none"/>
        </w:rPr>
      </w:r>
      <w:r/>
    </w:p>
    <w:p>
      <w:pPr>
        <w:jc w:val="center"/>
        <w:spacing w:line="360" w:lineRule="auto"/>
        <w:rPr>
          <w:rFonts w:ascii="宋体" w:hAnsi="宋体"/>
          <w:bCs/>
          <w:color w:val="auto"/>
          <w:sz w:val="52"/>
          <w:szCs w:val="52"/>
          <w:highlight w:val="none"/>
        </w:rPr>
      </w:pPr>
      <w:r>
        <w:rPr>
          <w:rFonts w:ascii="宋体" w:hAnsi="宋体"/>
          <w:bCs/>
          <w:color w:val="auto"/>
          <w:sz w:val="52"/>
          <w:szCs w:val="52"/>
          <w:highlight w:val="none"/>
        </w:rPr>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r>
      <w:r/>
    </w:p>
    <w:p>
      <w:pPr>
        <w:rPr>
          <w:rFonts w:ascii="宋体" w:hAnsi="宋体"/>
          <w:color w:val="auto"/>
          <w:sz w:val="28"/>
          <w:szCs w:val="28"/>
          <w:highlight w:val="none"/>
        </w:rPr>
      </w:pPr>
      <w:r>
        <w:rPr>
          <w:rFonts w:hint="eastAsia" w:ascii="宋体" w:hAnsi="宋体"/>
          <w:color w:val="auto"/>
          <w:sz w:val="28"/>
          <w:szCs w:val="28"/>
          <w:highlight w:val="none"/>
        </w:rPr>
        <w:br w:type="page" w:clear="all"/>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lang w:val="en-US" w:eastAsia="zh-CN"/>
        </w:rPr>
        <w:t xml:space="preserve">10</w:t>
      </w:r>
      <w:r>
        <w:rPr>
          <w:rFonts w:hint="eastAsia" w:ascii="宋体" w:hAnsi="宋体"/>
          <w:color w:val="auto"/>
          <w:sz w:val="28"/>
          <w:szCs w:val="28"/>
          <w:highlight w:val="none"/>
        </w:rPr>
        <w:t xml:space="preserve">、残疾人福利性单位声明函</w:t>
      </w:r>
      <w:r/>
    </w:p>
    <w:p>
      <w:pPr>
        <w:jc w:val="center"/>
        <w:spacing w:line="360" w:lineRule="auto"/>
        <w:rPr>
          <w:rFonts w:hint="eastAsia" w:ascii="宋体" w:hAnsi="宋体"/>
          <w:color w:val="auto"/>
          <w:sz w:val="24"/>
          <w:szCs w:val="24"/>
          <w:highlight w:val="none"/>
        </w:rPr>
      </w:pPr>
      <w:r>
        <w:rPr>
          <w:rFonts w:hint="eastAsia" w:ascii="宋体" w:hAnsi="宋体"/>
          <w:color w:val="auto"/>
          <w:sz w:val="24"/>
          <w:szCs w:val="24"/>
          <w:highlight w:val="none"/>
        </w:rPr>
      </w:r>
      <w:r/>
    </w:p>
    <w:p>
      <w:pPr>
        <w:jc w:val="cente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残疾人福利性单位声明函</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本单位郑重声明，根据《财政部、民政部、中国残疾人联合会关于促进残疾人就业政府采购政策的通知》（财库〔2017〕141号）的规定，本单位为符合条件的残疾人福利性单位，且本单位参加</w:t>
      </w:r>
      <w:r>
        <w:rPr>
          <w:rFonts w:hint="eastAsia" w:ascii="宋体" w:hAnsi="宋体"/>
          <w:color w:val="auto"/>
          <w:sz w:val="24"/>
          <w:szCs w:val="24"/>
          <w:highlight w:val="none"/>
          <w:u w:val="single"/>
          <w:lang w:eastAsia="zh-CN"/>
        </w:rPr>
        <w:t xml:space="preserve">苏州惠德普源企业咨询有限公司</w:t>
      </w:r>
      <w:r>
        <w:rPr>
          <w:rFonts w:hint="eastAsia" w:ascii="宋体" w:hAnsi="宋体"/>
          <w:color w:val="auto"/>
          <w:sz w:val="24"/>
          <w:szCs w:val="24"/>
          <w:highlight w:val="none"/>
        </w:rPr>
        <w:t xml:space="preserve">单位的</w:t>
      </w:r>
      <w:r>
        <w:rPr>
          <w:rFonts w:hint="eastAsia" w:ascii="宋体" w:hAnsi="宋体"/>
          <w:color w:val="auto"/>
          <w:sz w:val="24"/>
          <w:szCs w:val="24"/>
          <w:highlight w:val="none"/>
          <w:u w:val="single"/>
        </w:rPr>
        <w:t xml:space="preserve">（采购编号及项目名称）</w:t>
      </w:r>
      <w:r>
        <w:rPr>
          <w:rFonts w:hint="eastAsia" w:ascii="宋体" w:hAnsi="宋体"/>
          <w:color w:val="auto"/>
          <w:sz w:val="24"/>
          <w:szCs w:val="24"/>
          <w:highlight w:val="none"/>
        </w:rPr>
        <w:t xml:space="preserve">项目采购活动提供本单位制造的货物（由本单位承担工程/提供服务），或者提供其他残疾人福利性单位制造的货物（不包括使用非残疾人福利性单位注册商标的货物）。</w:t>
      </w:r>
      <w:r/>
    </w:p>
    <w:p>
      <w:pPr>
        <w:ind w:firstLine="480"/>
        <w:keepLines w:val="0"/>
        <w:keepNext w:val="0"/>
        <w:pageBreakBefore w:val="0"/>
        <w:spacing w:line="360" w:lineRule="auto"/>
        <w:widowControl w:val="off"/>
        <w:rPr>
          <w:rFonts w:ascii="宋体" w:hAnsi="宋体"/>
          <w:color w:val="auto"/>
          <w:sz w:val="24"/>
          <w:szCs w:val="24"/>
          <w:highlight w:val="none"/>
        </w:rPr>
      </w:pPr>
      <w:r>
        <w:rPr>
          <w:rFonts w:hint="eastAsia" w:ascii="宋体" w:hAnsi="宋体"/>
          <w:color w:val="auto"/>
          <w:sz w:val="24"/>
          <w:szCs w:val="24"/>
          <w:highlight w:val="none"/>
        </w:rPr>
        <w:t xml:space="preserve">本单位对上述声明的真实性负责。如有虚假，将依法承担相应责任。</w:t>
      </w:r>
      <w:r/>
    </w:p>
    <w:p>
      <w:pPr>
        <w:spacing w:line="360" w:lineRule="auto"/>
        <w:rPr>
          <w:rFonts w:ascii="宋体" w:hAnsi="宋体"/>
          <w:color w:val="auto"/>
          <w:sz w:val="24"/>
          <w:szCs w:val="24"/>
          <w:highlight w:val="none"/>
        </w:rPr>
      </w:pPr>
      <w:r>
        <w:rPr>
          <w:rFonts w:ascii="宋体" w:hAnsi="宋体"/>
          <w:color w:val="auto"/>
          <w:sz w:val="24"/>
          <w:szCs w:val="24"/>
          <w:highlight w:val="none"/>
        </w:rPr>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                                        单位名称（盖章）：</w:t>
      </w:r>
      <w:r/>
    </w:p>
    <w:p>
      <w:pPr>
        <w:jc w:val="center"/>
        <w:spacing w:line="360" w:lineRule="auto"/>
        <w:rPr>
          <w:rFonts w:hint="eastAsia" w:ascii="宋体" w:hAnsi="宋体" w:cs="宋体"/>
          <w:bCs/>
          <w:color w:val="auto"/>
          <w:sz w:val="24"/>
          <w:szCs w:val="24"/>
          <w:highlight w:val="none"/>
        </w:rPr>
        <w:outlineLvl w:val="0"/>
      </w:pPr>
      <w:r>
        <w:rPr>
          <w:rFonts w:hint="eastAsia" w:ascii="宋体" w:hAnsi="宋体"/>
          <w:color w:val="auto"/>
          <w:sz w:val="24"/>
          <w:szCs w:val="24"/>
          <w:highlight w:val="none"/>
        </w:rPr>
        <w:t xml:space="preserve">                                       日  期：</w:t>
      </w:r>
      <w:r/>
    </w:p>
    <w:p>
      <w:pPr>
        <w:pStyle w:val="1028"/>
        <w:ind w:left="0" w:firstLine="0"/>
        <w:spacing w:after="0" w:line="360" w:lineRule="auto"/>
        <w:rPr>
          <w:rFonts w:hint="eastAsia" w:ascii="宋体" w:hAnsi="宋体"/>
          <w:bCs/>
          <w:color w:val="auto"/>
          <w:sz w:val="24"/>
          <w:szCs w:val="24"/>
          <w:highlight w:val="none"/>
          <w:lang w:val="zh-CN"/>
        </w:rPr>
      </w:pPr>
      <w:r>
        <w:rPr>
          <w:rFonts w:hint="eastAsia" w:ascii="宋体" w:hAnsi="宋体"/>
          <w:bCs/>
          <w:color w:val="auto"/>
          <w:sz w:val="24"/>
          <w:szCs w:val="24"/>
          <w:highlight w:val="none"/>
          <w:lang w:val="zh-CN"/>
        </w:rPr>
      </w:r>
      <w:r/>
    </w:p>
    <w:p>
      <w:pPr>
        <w:pStyle w:val="1028"/>
        <w:ind w:left="0" w:firstLine="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t xml:space="preserve">备注：1）</w:t>
      </w:r>
      <w:r>
        <w:rPr>
          <w:rFonts w:hint="eastAsia" w:ascii="宋体" w:hAnsi="宋体" w:cs="Arial"/>
          <w:bCs/>
          <w:color w:val="auto"/>
          <w:sz w:val="24"/>
          <w:szCs w:val="24"/>
          <w:highlight w:val="none"/>
          <w:shd w:val="clear" w:color="auto" w:fill="ffffff"/>
        </w:rPr>
        <w:t xml:space="preserve">享受政府采购支持政策的残疾人福利性单位应当同时满足以下条件：</w:t>
      </w:r>
      <w:r/>
    </w:p>
    <w:p>
      <w:pPr>
        <w:pStyle w:val="1028"/>
        <w:ind w:left="0" w:firstLine="400"/>
        <w:rPr>
          <w:rFonts w:ascii="宋体" w:hAnsi="宋体" w:cs="Arial"/>
          <w:bCs/>
          <w:color w:val="auto"/>
          <w:sz w:val="24"/>
          <w:szCs w:val="24"/>
          <w:highlight w:val="none"/>
          <w:shd w:val="clear" w:color="auto" w:fill="ffffff"/>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1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①</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安置的残疾人占本单位在职职工人数的比例不低于25%（含25%），并且安置的残疾人人数不少于10人（含10人）；</w:t>
      </w:r>
      <w:r/>
    </w:p>
    <w:p>
      <w:pPr>
        <w:pStyle w:val="1028"/>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2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②</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依法与安置的每位残疾人签订了一年以上（含一年）的劳动合同或服务协议；</w:t>
      </w:r>
      <w:r/>
    </w:p>
    <w:p>
      <w:pPr>
        <w:pStyle w:val="1028"/>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3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③</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为安置的每位残疾人按月足额缴纳了基本养老保险、基本医疗保险、失业保险、工伤保险和生育保险等社会保险费；</w:t>
      </w:r>
      <w:r/>
    </w:p>
    <w:p>
      <w:pPr>
        <w:pStyle w:val="1028"/>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4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④</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通过银行等金融机构向安置的每位残疾人，按月支付了不低于单位所在区县适用的经省级人民政府批准的月最低工资标准的工资；</w:t>
      </w:r>
      <w:r/>
    </w:p>
    <w:p>
      <w:pPr>
        <w:pStyle w:val="1028"/>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fldChar w:fldCharType="begin"/>
      </w:r>
      <w:r>
        <w:rPr>
          <w:rFonts w:hint="eastAsia" w:ascii="宋体" w:hAnsi="宋体"/>
          <w:bCs/>
          <w:color w:val="auto"/>
          <w:sz w:val="24"/>
          <w:szCs w:val="24"/>
          <w:highlight w:val="none"/>
          <w:lang w:val="zh-CN"/>
        </w:rPr>
        <w:instrText xml:space="preserve"> = 5 \* GB3 </w:instrText>
      </w:r>
      <w:r>
        <w:rPr>
          <w:rFonts w:hint="eastAsia" w:ascii="宋体" w:hAnsi="宋体"/>
          <w:bCs/>
          <w:color w:val="auto"/>
          <w:sz w:val="24"/>
          <w:szCs w:val="24"/>
          <w:highlight w:val="none"/>
          <w:lang w:val="zh-CN"/>
        </w:rPr>
        <w:fldChar w:fldCharType="separate"/>
      </w:r>
      <w:r>
        <w:rPr>
          <w:rFonts w:hint="eastAsia" w:ascii="宋体" w:hAnsi="宋体"/>
          <w:bCs/>
          <w:color w:val="auto"/>
          <w:sz w:val="24"/>
          <w:szCs w:val="24"/>
          <w:highlight w:val="none"/>
          <w:lang w:val="zh-CN"/>
        </w:rPr>
        <w:t xml:space="preserve">⑤</w:t>
      </w:r>
      <w:r>
        <w:rPr>
          <w:rFonts w:hint="eastAsia" w:ascii="宋体" w:hAnsi="宋体"/>
          <w:bCs/>
          <w:color w:val="auto"/>
          <w:sz w:val="24"/>
          <w:szCs w:val="24"/>
          <w:highlight w:val="none"/>
          <w:lang w:val="zh-CN"/>
        </w:rPr>
        <w:fldChar w:fldCharType="end"/>
      </w:r>
      <w:r>
        <w:rPr>
          <w:rFonts w:hint="eastAsia" w:ascii="宋体" w:hAnsi="宋体"/>
          <w:bCs/>
          <w:color w:val="auto"/>
          <w:sz w:val="24"/>
          <w:szCs w:val="24"/>
          <w:highlight w:val="none"/>
          <w:lang w:val="zh-CN"/>
        </w:rPr>
        <w:t xml:space="preserve">提供本单位制造的货物、承担的工程或者服务（以下简称产品），或者提供其他残疾人福利性单位制造的货物（不包括使用非残疾人福利性单位注册商标的货物）。</w:t>
      </w:r>
      <w:r/>
    </w:p>
    <w:p>
      <w:pPr>
        <w:pStyle w:val="1028"/>
        <w:ind w:left="0" w:firstLine="400"/>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前款所称残疾人是指法定劳动年龄内，持有《中华人民共和国残疾人证》或者《中华人民共和国残疾军人证（1至8级）》的自然人，包括具有劳动条件和劳动意愿的精神残疾人。在职职工人数是指与残疾人福利性单位建立劳动关系并依法签订劳动合同或者服务协议的雇员人数。</w:t>
      </w:r>
      <w:r/>
    </w:p>
    <w:p>
      <w:pPr>
        <w:pStyle w:val="1028"/>
        <w:ind w:left="0" w:firstLine="402"/>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2）中标单位为残疾人福利性单位的，《残疾人福利性单位声明函》将随中标结果同时公告。</w:t>
      </w:r>
      <w:r/>
    </w:p>
    <w:p>
      <w:pPr>
        <w:pStyle w:val="1028"/>
        <w:ind w:left="0" w:firstLine="402"/>
        <w:rPr>
          <w:rFonts w:ascii="宋体" w:hAnsi="宋体"/>
          <w:bCs/>
          <w:color w:val="auto"/>
          <w:sz w:val="24"/>
          <w:szCs w:val="24"/>
          <w:highlight w:val="none"/>
          <w:lang w:val="zh-CN"/>
        </w:rPr>
      </w:pPr>
      <w:r>
        <w:rPr>
          <w:rFonts w:hint="eastAsia" w:ascii="宋体" w:hAnsi="宋体"/>
          <w:bCs/>
          <w:color w:val="auto"/>
          <w:sz w:val="24"/>
          <w:szCs w:val="24"/>
          <w:highlight w:val="none"/>
          <w:lang w:val="zh-CN"/>
        </w:rPr>
        <w:t xml:space="preserve">3）供应商提供的《残疾人福利性单位声明函》与事实不符的，依照《中华人民共和国政府采购法》第七十七条第一款的规定追究法律责任。</w:t>
      </w:r>
      <w:r/>
    </w:p>
    <w:p>
      <w:pPr>
        <w:spacing w:line="360" w:lineRule="auto"/>
        <w:rPr>
          <w:rFonts w:hint="eastAsia" w:ascii="宋体" w:hAnsi="宋体"/>
          <w:color w:val="auto"/>
          <w:sz w:val="28"/>
          <w:szCs w:val="28"/>
          <w:highlight w:val="none"/>
        </w:rPr>
      </w:pPr>
      <w:r>
        <w:rPr>
          <w:rFonts w:hint="eastAsia" w:ascii="宋体" w:hAnsi="宋体"/>
          <w:color w:val="auto"/>
          <w:sz w:val="28"/>
          <w:szCs w:val="28"/>
          <w:highlight w:val="none"/>
        </w:rPr>
        <w:t xml:space="preserve">1</w:t>
      </w:r>
      <w:r>
        <w:rPr>
          <w:rFonts w:hint="eastAsia" w:ascii="宋体" w:hAnsi="宋体"/>
          <w:color w:val="auto"/>
          <w:sz w:val="28"/>
          <w:szCs w:val="28"/>
          <w:highlight w:val="none"/>
          <w:lang w:val="en-US" w:eastAsia="zh-CN"/>
        </w:rPr>
        <w:t xml:space="preserve">1</w:t>
      </w:r>
      <w:r>
        <w:rPr>
          <w:rFonts w:hint="eastAsia" w:ascii="宋体" w:hAnsi="宋体"/>
          <w:color w:val="auto"/>
          <w:sz w:val="28"/>
          <w:szCs w:val="28"/>
          <w:highlight w:val="none"/>
        </w:rPr>
        <w:t xml:space="preserve">、供应商情况表</w:t>
      </w:r>
      <w:r/>
    </w:p>
    <w:p>
      <w:pPr>
        <w:jc w:val="center"/>
        <w:spacing w:line="360" w:lineRule="auto"/>
        <w:rPr>
          <w:rFonts w:eastAsia="黑体"/>
          <w:b/>
          <w:bCs/>
          <w:color w:val="auto"/>
          <w:spacing w:val="20"/>
          <w:sz w:val="32"/>
          <w:szCs w:val="32"/>
          <w:highlight w:val="none"/>
        </w:rPr>
      </w:pPr>
      <w:r>
        <w:rPr>
          <w:rFonts w:hint="eastAsia" w:eastAsia="黑体"/>
          <w:b/>
          <w:bCs/>
          <w:color w:val="auto"/>
          <w:spacing w:val="20"/>
          <w:sz w:val="32"/>
          <w:szCs w:val="32"/>
          <w:highlight w:val="none"/>
        </w:rPr>
        <w:t xml:space="preserve">供应商情况表</w:t>
      </w:r>
      <w:r/>
    </w:p>
    <w:p>
      <w:pPr>
        <w:jc w:val="right"/>
        <w:spacing w:line="360" w:lineRule="auto"/>
        <w:rPr>
          <w:color w:val="auto"/>
          <w:spacing w:val="20"/>
          <w:sz w:val="24"/>
          <w:highlight w:val="none"/>
        </w:rPr>
      </w:pPr>
      <w:r>
        <w:rPr>
          <w:rFonts w:hint="eastAsia"/>
          <w:color w:val="auto"/>
          <w:spacing w:val="20"/>
          <w:sz w:val="24"/>
          <w:highlight w:val="none"/>
        </w:rPr>
        <w:t xml:space="preserve">年   月   日</w:t>
      </w:r>
      <w:r/>
    </w:p>
    <w:tbl>
      <w:tblPr>
        <w:tblStyle w:val="794"/>
        <w:tblW w:w="8245" w:type="dxa"/>
        <w:tblInd w:w="145" w:type="dxa"/>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Layout w:type="fixed"/>
        <w:tblCellMar>
          <w:left w:w="108" w:type="dxa"/>
          <w:top w:w="0" w:type="dxa"/>
          <w:right w:w="108" w:type="dxa"/>
          <w:bottom w:w="0" w:type="dxa"/>
        </w:tblCellMar>
        <w:tblLook w:val="04A0" w:firstRow="1" w:lastRow="0" w:firstColumn="1" w:lastColumn="0" w:noHBand="0" w:noVBand="1"/>
      </w:tblPr>
      <w:tblGrid>
        <w:gridCol w:w="534"/>
        <w:gridCol w:w="590"/>
        <w:gridCol w:w="676"/>
        <w:gridCol w:w="410"/>
        <w:gridCol w:w="972"/>
        <w:gridCol w:w="530"/>
        <w:gridCol w:w="831"/>
        <w:gridCol w:w="1275"/>
        <w:gridCol w:w="896"/>
        <w:gridCol w:w="212"/>
        <w:gridCol w:w="1319"/>
      </w:tblGrid>
      <w:tr>
        <w:trPr>
          <w:trHeight w:val="1021"/>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单位名称</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（盖章）</w:t>
            </w:r>
            <w:r/>
          </w:p>
        </w:tc>
        <w:tc>
          <w:tcPr>
            <w:gridSpan w:val="2"/>
            <w:tcW w:w="138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注册号</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电话</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908"/>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企业地址</w:t>
            </w:r>
            <w:r/>
          </w:p>
        </w:tc>
        <w:tc>
          <w:tcPr>
            <w:gridSpan w:val="2"/>
            <w:tcW w:w="138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361"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注册资金</w:t>
            </w:r>
            <w:r/>
          </w:p>
        </w:tc>
        <w:tc>
          <w:tcPr>
            <w:tcW w:w="127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2"/>
            <w:tcW w:w="1108"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传真</w:t>
            </w:r>
            <w:r/>
          </w:p>
        </w:tc>
        <w:tc>
          <w:tcPr>
            <w:tcW w:w="1319"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090"/>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一、单位简历及机构</w:t>
            </w:r>
            <w:r/>
          </w:p>
        </w:tc>
        <w:tc>
          <w:tcPr>
            <w:gridSpan w:val="8"/>
            <w:tcW w:w="644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trHeight w:val="1159"/>
        </w:trPr>
        <w:tc>
          <w:tcPr>
            <w:gridSpan w:val="3"/>
            <w:tcW w:w="1800"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二、单位优势及特长</w:t>
            </w:r>
            <w:r/>
          </w:p>
        </w:tc>
        <w:tc>
          <w:tcPr>
            <w:gridSpan w:val="8"/>
            <w:tcW w:w="6445"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19"/>
        </w:trPr>
        <w:tc>
          <w:tcPr>
            <w:tcW w:w="534"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三、单</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位</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概</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况</w:t>
            </w:r>
            <w:r/>
          </w:p>
        </w:tc>
        <w:tc>
          <w:tcPr>
            <w:gridSpan w:val="3"/>
            <w:tcW w:w="1676"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职工总数</w:t>
            </w:r>
            <w:r/>
          </w:p>
        </w:tc>
        <w:tc>
          <w:tcPr>
            <w:gridSpan w:val="2"/>
            <w:tcW w:w="1502"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3"/>
            <w:tcW w:w="3002" w:type="dxa"/>
            <w:vAlign w:val="center"/>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其中：中级职称人员</w:t>
            </w:r>
            <w:r/>
          </w:p>
        </w:tc>
        <w:tc>
          <w:tcPr>
            <w:gridSpan w:val="2"/>
            <w:tcW w:w="1531" w:type="dxa"/>
            <w:vAlign w:val="center"/>
            <w:textDirection w:val="lrTb"/>
            <w:noWrap/>
          </w:tcPr>
          <w:p>
            <w:pPr>
              <w:jc w:val="cente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93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资产总计：  万元；资产净值： 万元；股东权益：   万元</w:t>
            </w:r>
            <w:r/>
          </w:p>
        </w:tc>
      </w:tr>
      <w:tr>
        <w:trPr>
          <w:cantSplit/>
          <w:trHeight w:val="930"/>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营业面积（含厂房面积）：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，产权：  M</w:t>
            </w:r>
            <w:r>
              <w:rPr>
                <w:rFonts w:hint="eastAsia" w:ascii="宋体" w:hAnsi="宋体" w:cs="宋体"/>
                <w:color w:val="auto"/>
                <w:spacing w:val="20"/>
                <w:sz w:val="24"/>
                <w:highlight w:val="none"/>
                <w:vertAlign w:val="superscript"/>
              </w:rPr>
              <w:t xml:space="preserve">2</w:t>
            </w:r>
            <w:r>
              <w:rPr>
                <w:rFonts w:hint="eastAsia" w:ascii="宋体" w:hAnsi="宋体" w:cs="宋体"/>
                <w:color w:val="auto"/>
                <w:spacing w:val="20"/>
                <w:sz w:val="24"/>
                <w:highlight w:val="none"/>
              </w:rPr>
              <w:t xml:space="preserve">，租：   M</w:t>
            </w:r>
            <w:r>
              <w:rPr>
                <w:rFonts w:hint="eastAsia" w:ascii="宋体" w:hAnsi="宋体" w:cs="宋体"/>
                <w:color w:val="auto"/>
                <w:spacing w:val="20"/>
                <w:sz w:val="24"/>
                <w:highlight w:val="none"/>
                <w:vertAlign w:val="superscript"/>
              </w:rPr>
              <w:t xml:space="preserve">2</w:t>
            </w:r>
            <w:r/>
          </w:p>
        </w:tc>
      </w:tr>
      <w:tr>
        <w:trPr>
          <w:cantSplit/>
          <w:trHeight w:val="736"/>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销（零）售额：    年     万元；     年：      万元</w:t>
            </w:r>
            <w:r/>
          </w:p>
        </w:tc>
      </w:tr>
      <w:tr>
        <w:trPr>
          <w:cantSplit/>
          <w:trHeight w:val="690"/>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10"/>
            <w:tcW w:w="7711" w:type="dxa"/>
            <w:vAlign w:val="center"/>
            <w:textDirection w:val="lrTb"/>
            <w:noWrap/>
          </w:tcPr>
          <w:p>
            <w:pP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实现利润：    年        万元；      年：     万元</w:t>
            </w:r>
            <w:r/>
          </w:p>
        </w:tc>
      </w:tr>
      <w:tr>
        <w:trPr>
          <w:cantSplit/>
          <w:trHeight w:val="935"/>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restart"/>
            <w:textDirection w:val="lrTb"/>
            <w:noWrap/>
          </w:tcPr>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主</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要</w:t>
            </w:r>
            <w:r/>
          </w:p>
          <w:p>
            <w:pPr>
              <w:jc w:val="center"/>
              <w:spacing w:line="360" w:lineRule="auto"/>
              <w:rPr>
                <w:rFonts w:ascii="宋体" w:hAnsi="宋体" w:cs="宋体"/>
                <w:color w:val="auto"/>
                <w:spacing w:val="20"/>
                <w:sz w:val="24"/>
                <w:highlight w:val="none"/>
              </w:rPr>
            </w:pPr>
            <w:r>
              <w:rPr>
                <w:rFonts w:hint="eastAsia" w:ascii="宋体" w:hAnsi="宋体" w:cs="宋体"/>
                <w:color w:val="auto"/>
                <w:spacing w:val="20"/>
                <w:sz w:val="24"/>
                <w:highlight w:val="none"/>
              </w:rPr>
              <w:t xml:space="preserve">业务</w:t>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0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r>
        <w:trPr>
          <w:cantSplit/>
          <w:trHeight w:val="1051"/>
        </w:trPr>
        <w:tc>
          <w:tcPr>
            <w:tcW w:w="534"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tcW w:w="590" w:type="dxa"/>
            <w:vAlign w:val="center"/>
            <w:vMerge w:val="continue"/>
            <w:textDirection w:val="lrTb"/>
            <w:noWrap/>
          </w:tcPr>
          <w:p>
            <w:pPr>
              <w:jc w:val="left"/>
              <w:widowControl/>
              <w:rPr>
                <w:rFonts w:ascii="宋体" w:hAnsi="宋体" w:cs="宋体"/>
                <w:color w:val="auto"/>
                <w:spacing w:val="20"/>
                <w:sz w:val="24"/>
                <w:highlight w:val="none"/>
              </w:rPr>
            </w:pPr>
            <w:r>
              <w:rPr>
                <w:rFonts w:ascii="宋体" w:hAnsi="宋体" w:cs="宋体"/>
                <w:color w:val="auto"/>
                <w:spacing w:val="20"/>
                <w:sz w:val="24"/>
                <w:highlight w:val="none"/>
              </w:rPr>
            </w:r>
            <w:r/>
          </w:p>
        </w:tc>
        <w:tc>
          <w:tcPr>
            <w:gridSpan w:val="9"/>
            <w:tcW w:w="7121" w:type="dxa"/>
            <w:vAlign w:val="center"/>
            <w:textDirection w:val="lrTb"/>
            <w:noWrap/>
          </w:tcPr>
          <w:p>
            <w:pPr>
              <w:spacing w:line="360" w:lineRule="auto"/>
              <w:rPr>
                <w:rFonts w:ascii="宋体" w:hAnsi="宋体" w:cs="宋体"/>
                <w:color w:val="auto"/>
                <w:spacing w:val="20"/>
                <w:sz w:val="24"/>
                <w:highlight w:val="none"/>
              </w:rPr>
            </w:pPr>
            <w:r>
              <w:rPr>
                <w:rFonts w:ascii="宋体" w:hAnsi="宋体" w:cs="宋体"/>
                <w:color w:val="auto"/>
                <w:spacing w:val="20"/>
                <w:sz w:val="24"/>
                <w:highlight w:val="none"/>
              </w:rPr>
            </w:r>
            <w:r/>
          </w:p>
        </w:tc>
      </w:tr>
    </w:tbl>
    <w:p>
      <w:pPr>
        <w:jc w:val="both"/>
        <w:spacing w:before="240" w:after="60"/>
        <w:rPr>
          <w:color w:val="auto"/>
          <w:highlight w:val="none"/>
        </w:rPr>
        <w:outlineLvl w:val="0"/>
      </w:pPr>
      <w:r>
        <w:rPr>
          <w:color w:val="auto"/>
          <w:highlight w:val="none"/>
        </w:rPr>
      </w:r>
      <w:r/>
    </w:p>
    <w:p>
      <w:pPr>
        <w:jc w:val="center"/>
        <w:spacing w:before="240" w:after="60"/>
        <w:rPr>
          <w:rFonts w:ascii="宋体" w:hAnsi="宋体"/>
          <w:color w:val="auto"/>
          <w:sz w:val="44"/>
          <w:szCs w:val="44"/>
          <w:highlight w:val="none"/>
        </w:rPr>
        <w:outlineLvl w:val="0"/>
      </w:pPr>
      <w:r>
        <w:rPr>
          <w:rFonts w:hint="eastAsia" w:ascii="宋体" w:hAnsi="宋体"/>
          <w:color w:val="auto"/>
          <w:sz w:val="44"/>
          <w:szCs w:val="44"/>
          <w:highlight w:val="none"/>
        </w:rPr>
        <w:t xml:space="preserve">第四章 招标书</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苏州惠德普源企业咨询有限公司受</w:t>
      </w:r>
      <w:r>
        <w:rPr>
          <w:rFonts w:hint="eastAsia" w:ascii="宋体" w:hAnsi="宋体" w:cs="宋体"/>
          <w:color w:val="auto"/>
          <w:sz w:val="24"/>
          <w:szCs w:val="24"/>
          <w:highlight w:val="none"/>
          <w:lang w:eastAsia="zh-CN"/>
        </w:rPr>
        <w:t xml:space="preserve">苏州高新区（虎丘区）城市管理局（综合行政执法局）</w:t>
      </w:r>
      <w:r>
        <w:rPr>
          <w:rFonts w:hint="eastAsia" w:ascii="宋体" w:hAnsi="宋体"/>
          <w:color w:val="auto"/>
          <w:sz w:val="24"/>
          <w:highlight w:val="none"/>
        </w:rPr>
        <w:t xml:space="preserve">的委托，就其</w:t>
      </w:r>
      <w:r>
        <w:rPr>
          <w:rFonts w:hint="eastAsia" w:ascii="宋体" w:hAnsi="宋体" w:cs="宋体"/>
          <w:color w:val="auto"/>
          <w:sz w:val="24"/>
          <w:szCs w:val="24"/>
          <w:highlight w:val="none"/>
          <w:lang w:eastAsia="zh-CN"/>
        </w:rPr>
        <w:t xml:space="preserve">2026年度苏州高新区草花种植项目</w:t>
      </w:r>
      <w:r>
        <w:rPr>
          <w:rFonts w:hint="eastAsia" w:ascii="宋体" w:hAnsi="宋体"/>
          <w:color w:val="auto"/>
          <w:sz w:val="24"/>
          <w:highlight w:val="none"/>
        </w:rPr>
        <w:t xml:space="preserve">的政府采购进行国内公开招标。欢迎有资格的投标人前来参加投标。本次招标具体情况如下：</w:t>
      </w:r>
      <w:r/>
    </w:p>
    <w:p>
      <w:pPr>
        <w:numPr>
          <w:ilvl w:val="0"/>
          <w:numId w:val="3"/>
        </w:numPr>
        <w:spacing w:line="360" w:lineRule="auto"/>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招标编号：</w:t>
      </w:r>
      <w:r>
        <w:rPr>
          <w:rFonts w:hint="eastAsia" w:ascii="宋体" w:hAnsi="宋体" w:cs="宋体"/>
          <w:color w:val="auto"/>
          <w:sz w:val="24"/>
          <w:szCs w:val="24"/>
          <w:highlight w:val="none"/>
          <w:lang w:eastAsia="zh-CN"/>
        </w:rPr>
        <w:t xml:space="preserve">JSZC-320505-HDPY-G2026-0006</w:t>
      </w:r>
      <w:r/>
    </w:p>
    <w:p>
      <w:pPr>
        <w:numPr>
          <w:ilvl w:val="0"/>
          <w:numId w:val="0"/>
        </w:numPr>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二、招标内容：</w:t>
      </w:r>
      <w:r>
        <w:rPr>
          <w:rFonts w:hint="eastAsia" w:ascii="宋体" w:hAnsi="宋体" w:cs="宋体"/>
          <w:color w:val="auto"/>
          <w:sz w:val="24"/>
          <w:szCs w:val="24"/>
          <w:highlight w:val="none"/>
          <w:lang w:eastAsia="zh-CN"/>
        </w:rPr>
        <w:t xml:space="preserve">2026年度苏州高新区草花种植项目</w:t>
      </w:r>
      <w:r/>
    </w:p>
    <w:p>
      <w:pPr>
        <w:jc w:val="left"/>
        <w:spacing w:line="360" w:lineRule="auto"/>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rPr>
        <w:t xml:space="preserve">三、预算金额：</w:t>
      </w:r>
      <w:r>
        <w:rPr>
          <w:rFonts w:hint="eastAsia" w:ascii="宋体" w:hAnsi="宋体" w:cs="宋体"/>
          <w:color w:val="auto"/>
          <w:sz w:val="24"/>
          <w:szCs w:val="24"/>
          <w:highlight w:val="none"/>
          <w:lang w:eastAsia="zh-CN"/>
        </w:rPr>
        <w:t xml:space="preserve">陆佰零玖万元整（￥6090000.00）</w:t>
      </w:r>
      <w:r/>
    </w:p>
    <w:p>
      <w:pPr>
        <w:ind w:firstLine="480"/>
        <w:jc w:val="left"/>
        <w:keepLines w:val="0"/>
        <w:keepNext w:val="0"/>
        <w:pageBreakBefore w:val="0"/>
        <w:spacing w:line="360" w:lineRule="auto"/>
        <w:widowControl w:val="off"/>
        <w:rPr>
          <w:rFonts w:hint="eastAsia" w:ascii="宋体" w:hAnsi="宋体" w:cs="宋体"/>
          <w:color w:val="auto"/>
          <w:sz w:val="24"/>
          <w:szCs w:val="24"/>
          <w:highlight w:val="none"/>
          <w:lang w:eastAsia="zh-CN"/>
        </w:rPr>
      </w:pPr>
      <w:r>
        <w:rPr>
          <w:rFonts w:hint="eastAsia" w:ascii="宋体" w:hAnsi="宋体" w:cs="宋体"/>
          <w:color w:val="auto"/>
          <w:sz w:val="24"/>
          <w:szCs w:val="24"/>
          <w:highlight w:val="none"/>
        </w:rPr>
        <w:t xml:space="preserve">最高限价：</w:t>
      </w:r>
      <w:r>
        <w:rPr>
          <w:rFonts w:hint="eastAsia" w:ascii="宋体" w:hAnsi="宋体" w:cs="宋体"/>
          <w:color w:val="auto"/>
          <w:sz w:val="24"/>
          <w:szCs w:val="24"/>
          <w:highlight w:val="none"/>
          <w:lang w:val="en-US" w:eastAsia="zh-CN"/>
        </w:rPr>
        <w:t xml:space="preserve">陆佰零玖万元整</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6090000.00</w:t>
      </w:r>
      <w:r>
        <w:rPr>
          <w:rFonts w:hint="eastAsia" w:ascii="宋体" w:hAnsi="宋体" w:cs="宋体"/>
          <w:color w:val="auto"/>
          <w:sz w:val="24"/>
          <w:szCs w:val="24"/>
          <w:highlight w:val="none"/>
          <w:lang w:eastAsia="zh-CN"/>
        </w:rPr>
        <w:t xml:space="preserve">0）</w:t>
      </w:r>
      <w:r/>
    </w:p>
    <w:tbl>
      <w:tblPr>
        <w:tblStyle w:val="823"/>
        <w:tblW w:w="0" w:type="auto"/>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left w:w="108" w:type="dxa"/>
          <w:top w:w="0" w:type="dxa"/>
          <w:right w:w="108" w:type="dxa"/>
          <w:bottom w:w="0" w:type="dxa"/>
        </w:tblCellMar>
        <w:tblLook w:val="04A0" w:firstRow="1" w:lastRow="0" w:firstColumn="1" w:lastColumn="0" w:noHBand="0" w:noVBand="1"/>
      </w:tblPr>
      <w:tblGrid>
        <w:gridCol w:w="728"/>
        <w:gridCol w:w="1442"/>
        <w:gridCol w:w="1926"/>
        <w:gridCol w:w="1339"/>
        <w:gridCol w:w="1529"/>
        <w:gridCol w:w="1558"/>
      </w:tblGrid>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序号</w:t>
            </w:r>
            <w:r/>
          </w:p>
        </w:tc>
        <w:tc>
          <w:tcPr>
            <w:tcW w:w="144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w:t>
            </w:r>
            <w:r/>
          </w:p>
        </w:tc>
        <w:tc>
          <w:tcPr>
            <w:tcW w:w="1926"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包号</w:t>
            </w:r>
            <w:r>
              <w:rPr>
                <w:rFonts w:hint="eastAsia" w:ascii="宋体" w:hAnsi="宋体" w:eastAsia="宋体" w:cs="宋体"/>
                <w:color w:val="auto"/>
                <w:sz w:val="24"/>
                <w:szCs w:val="24"/>
                <w:highlight w:val="none"/>
              </w:rPr>
              <w:t xml:space="preserve">名称</w:t>
            </w:r>
            <w:r/>
          </w:p>
        </w:tc>
        <w:tc>
          <w:tcPr>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数量/单位</w:t>
            </w:r>
            <w:r/>
          </w:p>
        </w:tc>
        <w:tc>
          <w:tcPr>
            <w:tcW w:w="152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分项预算（元）</w:t>
            </w:r>
            <w:r/>
          </w:p>
        </w:tc>
        <w:tc>
          <w:tcPr>
            <w:tcW w:w="155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最高限价（元）</w:t>
            </w:r>
            <w:r/>
          </w:p>
        </w:tc>
      </w:tr>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w:t>
            </w:r>
            <w:r/>
          </w:p>
        </w:tc>
        <w:tc>
          <w:tcPr>
            <w:tcW w:w="144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采购包1</w:t>
            </w:r>
            <w:r/>
          </w:p>
        </w:tc>
        <w:tc>
          <w:tcPr>
            <w:tcW w:w="1926"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草花一标</w:t>
            </w:r>
            <w:r/>
          </w:p>
        </w:tc>
        <w:tc>
          <w:tcPr>
            <w:shd w:val="clear" w:color="auto" w:fill="auto"/>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52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190</w:t>
            </w:r>
            <w:r>
              <w:rPr>
                <w:rFonts w:hint="eastAsia" w:ascii="宋体" w:hAnsi="宋体" w:cs="宋体"/>
                <w:color w:val="auto"/>
                <w:sz w:val="24"/>
                <w:szCs w:val="24"/>
                <w:highlight w:val="none"/>
                <w:lang w:val="en-US" w:eastAsia="zh-CN"/>
              </w:rPr>
              <w:t xml:space="preserve">0000.00</w:t>
            </w:r>
            <w:r/>
          </w:p>
        </w:tc>
        <w:tc>
          <w:tcPr>
            <w:tcW w:w="1558" w:type="dxa"/>
            <w:vAlign w:val="center"/>
            <w:textDirection w:val="lrTb"/>
            <w:noWrap w:val="false"/>
          </w:tcPr>
          <w:p>
            <w:pPr>
              <w:jc w:val="right"/>
              <w:spacing w:after="0" w:line="240" w:lineRule="auto"/>
              <w:rPr>
                <w:rFonts w:hint="eastAsia" w:ascii="宋体" w:hAnsi="宋体" w:eastAsia="宋体" w:cs="宋体"/>
                <w:color w:val="auto"/>
                <w:sz w:val="24"/>
                <w:szCs w:val="24"/>
                <w:highlight w:val="none"/>
                <w:lang w:eastAsia="zh-CN"/>
              </w:rPr>
            </w:pPr>
            <w:r>
              <w:rPr>
                <w:rFonts w:hint="default" w:ascii="宋体" w:hAnsi="宋体" w:eastAsia="宋体" w:cs="宋体"/>
                <w:color w:val="auto"/>
                <w:sz w:val="24"/>
                <w:szCs w:val="24"/>
                <w:highlight w:val="none"/>
                <w:lang w:val="en-US" w:eastAsia="zh-CN"/>
              </w:rPr>
              <w:t xml:space="preserve">190</w:t>
            </w:r>
            <w:r>
              <w:rPr>
                <w:rFonts w:hint="eastAsia" w:ascii="宋体" w:hAnsi="宋体" w:cs="宋体"/>
                <w:color w:val="auto"/>
                <w:sz w:val="24"/>
                <w:szCs w:val="24"/>
                <w:highlight w:val="none"/>
                <w:lang w:val="en-US" w:eastAsia="zh-CN"/>
              </w:rPr>
              <w:t xml:space="preserve">0000.00</w:t>
            </w:r>
            <w:r/>
          </w:p>
        </w:tc>
      </w:tr>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w:t>
            </w:r>
            <w:r/>
          </w:p>
        </w:tc>
        <w:tc>
          <w:tcPr>
            <w:tcW w:w="144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采购包2</w:t>
            </w:r>
            <w:r/>
          </w:p>
        </w:tc>
        <w:tc>
          <w:tcPr>
            <w:tcW w:w="1926"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草花</w:t>
            </w:r>
            <w:r>
              <w:rPr>
                <w:rFonts w:hint="eastAsia" w:ascii="宋体" w:hAnsi="宋体" w:cs="宋体"/>
                <w:color w:val="auto"/>
                <w:sz w:val="24"/>
                <w:szCs w:val="24"/>
                <w:highlight w:val="none"/>
                <w:lang w:val="en-US" w:eastAsia="zh-CN"/>
              </w:rPr>
              <w:t xml:space="preserve">二</w:t>
            </w:r>
            <w:r>
              <w:rPr>
                <w:rFonts w:hint="default" w:ascii="宋体" w:hAnsi="宋体" w:eastAsia="宋体" w:cs="宋体"/>
                <w:color w:val="auto"/>
                <w:sz w:val="24"/>
                <w:szCs w:val="24"/>
                <w:highlight w:val="none"/>
                <w:lang w:val="en-US" w:eastAsia="zh-CN"/>
              </w:rPr>
              <w:t xml:space="preserve">标</w:t>
            </w:r>
            <w:r/>
          </w:p>
        </w:tc>
        <w:tc>
          <w:tcPr>
            <w:shd w:val="clear" w:color="auto" w:fill="auto"/>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rPr>
              <w:t xml:space="preserve">1项</w:t>
            </w:r>
            <w:r/>
          </w:p>
        </w:tc>
        <w:tc>
          <w:tcPr>
            <w:tcW w:w="152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1220000.00</w:t>
            </w:r>
            <w:r/>
          </w:p>
        </w:tc>
        <w:tc>
          <w:tcPr>
            <w:tcW w:w="155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1220000.00</w:t>
            </w:r>
            <w:r/>
          </w:p>
        </w:tc>
      </w:tr>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p>
        </w:tc>
        <w:tc>
          <w:tcPr>
            <w:tcW w:w="144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采购包3</w:t>
            </w:r>
            <w:r/>
          </w:p>
        </w:tc>
        <w:tc>
          <w:tcPr>
            <w:tcW w:w="1926"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eastAsia="zh-CN"/>
              </w:rPr>
            </w:pPr>
            <w:r>
              <w:rPr>
                <w:rFonts w:hint="default" w:ascii="宋体" w:hAnsi="宋体" w:eastAsia="宋体" w:cs="宋体"/>
                <w:color w:val="auto"/>
                <w:sz w:val="24"/>
                <w:szCs w:val="24"/>
                <w:highlight w:val="none"/>
                <w:lang w:val="en-US" w:eastAsia="zh-CN"/>
              </w:rPr>
              <w:t xml:space="preserve">草花</w:t>
            </w:r>
            <w:r>
              <w:rPr>
                <w:rFonts w:hint="eastAsia" w:ascii="宋体" w:hAnsi="宋体" w:cs="宋体"/>
                <w:color w:val="auto"/>
                <w:sz w:val="24"/>
                <w:szCs w:val="24"/>
                <w:highlight w:val="none"/>
                <w:lang w:val="en-US" w:eastAsia="zh-CN"/>
              </w:rPr>
              <w:t xml:space="preserve">三</w:t>
            </w:r>
            <w:r>
              <w:rPr>
                <w:rFonts w:hint="default" w:ascii="宋体" w:hAnsi="宋体" w:eastAsia="宋体" w:cs="宋体"/>
                <w:color w:val="auto"/>
                <w:sz w:val="24"/>
                <w:szCs w:val="24"/>
                <w:highlight w:val="none"/>
                <w:lang w:val="en-US" w:eastAsia="zh-CN"/>
              </w:rPr>
              <w:t xml:space="preserve">标</w:t>
            </w:r>
            <w:r/>
          </w:p>
        </w:tc>
        <w:tc>
          <w:tcPr>
            <w:shd w:val="clear" w:color="auto" w:fill="auto"/>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52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1300000.00</w:t>
            </w:r>
            <w:r/>
          </w:p>
        </w:tc>
        <w:tc>
          <w:tcPr>
            <w:tcW w:w="155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1300000.00</w:t>
            </w:r>
            <w:r/>
          </w:p>
        </w:tc>
      </w:tr>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w:t>
            </w:r>
            <w:r/>
          </w:p>
        </w:tc>
        <w:tc>
          <w:tcPr>
            <w:tcW w:w="1442" w:type="dxa"/>
            <w:vAlign w:val="center"/>
            <w:textDirection w:val="lrTb"/>
            <w:noWrap w:val="false"/>
          </w:tcPr>
          <w:p>
            <w:pPr>
              <w:jc w:val="center"/>
              <w:spacing w:after="0" w:line="240" w:lineRule="auto"/>
              <w:rPr>
                <w:rFonts w:hint="default" w:ascii="宋体" w:hAnsi="宋体" w:eastAsia="宋体" w:cs="宋体"/>
                <w:color w:val="auto"/>
                <w:sz w:val="24"/>
                <w:szCs w:val="24"/>
                <w:highlight w:val="none"/>
                <w:lang w:val="en-US"/>
              </w:rPr>
            </w:pPr>
            <w:r>
              <w:rPr>
                <w:rFonts w:hint="eastAsia" w:ascii="宋体" w:hAnsi="宋体" w:cs="宋体"/>
                <w:color w:val="auto"/>
                <w:sz w:val="24"/>
                <w:szCs w:val="24"/>
                <w:highlight w:val="none"/>
                <w:lang w:val="en-US" w:eastAsia="zh-CN"/>
              </w:rPr>
              <w:t xml:space="preserve">采购包4</w:t>
            </w:r>
            <w:r/>
          </w:p>
        </w:tc>
        <w:tc>
          <w:tcPr>
            <w:tcW w:w="1926" w:type="dxa"/>
            <w:vAlign w:val="center"/>
            <w:textDirection w:val="lrTb"/>
            <w:noWrap w:val="false"/>
          </w:tcPr>
          <w:p>
            <w:pPr>
              <w:jc w:val="center"/>
              <w:spacing w:after="0" w:line="24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草花</w:t>
            </w: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标</w:t>
            </w:r>
            <w:r/>
          </w:p>
        </w:tc>
        <w:tc>
          <w:tcPr>
            <w:shd w:val="clear" w:color="auto" w:fill="auto"/>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1项</w:t>
            </w:r>
            <w:r/>
          </w:p>
        </w:tc>
        <w:tc>
          <w:tcPr>
            <w:tcW w:w="152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1670000.00</w:t>
            </w:r>
            <w:r/>
          </w:p>
        </w:tc>
        <w:tc>
          <w:tcPr>
            <w:tcW w:w="155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1670000.00</w:t>
            </w:r>
            <w:r/>
          </w:p>
        </w:tc>
      </w:tr>
      <w:tr>
        <w:trPr>
          <w:jc w:val="center"/>
          <w:trHeight w:val="397"/>
        </w:trPr>
        <w:tc>
          <w:tcPr>
            <w:tcW w:w="728"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r>
            <w:r/>
          </w:p>
        </w:tc>
        <w:tc>
          <w:tcPr>
            <w:tcW w:w="1442"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rPr>
              <w:t xml:space="preserve">合计</w:t>
            </w:r>
            <w:r/>
          </w:p>
        </w:tc>
        <w:tc>
          <w:tcPr>
            <w:tcW w:w="1926"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eastAsia="zh-CN"/>
              </w:rPr>
            </w:pPr>
            <w:r>
              <w:rPr>
                <w:rFonts w:hint="eastAsia" w:ascii="宋体" w:hAnsi="宋体" w:eastAsia="宋体" w:cs="宋体"/>
                <w:color w:val="auto"/>
                <w:sz w:val="24"/>
                <w:szCs w:val="24"/>
                <w:highlight w:val="none"/>
                <w:lang w:eastAsia="zh-CN"/>
              </w:rPr>
            </w:r>
            <w:r/>
          </w:p>
        </w:tc>
        <w:tc>
          <w:tcPr>
            <w:shd w:val="clear" w:color="auto" w:fill="auto"/>
            <w:tcW w:w="1339" w:type="dxa"/>
            <w:vAlign w:val="center"/>
            <w:textDirection w:val="lrTb"/>
            <w:noWrap w:val="false"/>
          </w:tcPr>
          <w:p>
            <w:pPr>
              <w:jc w:val="center"/>
              <w:spacing w:after="0" w:line="24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r>
            <w:r/>
          </w:p>
        </w:tc>
        <w:tc>
          <w:tcPr>
            <w:tcW w:w="1529"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6090000.00</w:t>
            </w:r>
            <w:r/>
          </w:p>
        </w:tc>
        <w:tc>
          <w:tcPr>
            <w:tcW w:w="1558" w:type="dxa"/>
            <w:vAlign w:val="center"/>
            <w:textDirection w:val="lrTb"/>
            <w:noWrap w:val="false"/>
          </w:tcPr>
          <w:p>
            <w:pPr>
              <w:jc w:val="right"/>
              <w:spacing w:after="0" w:line="240" w:lineRule="auto"/>
              <w:rPr>
                <w:rFonts w:hint="default"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6090000.00</w:t>
            </w:r>
            <w:r/>
          </w:p>
        </w:tc>
      </w:tr>
    </w:tbl>
    <w:p>
      <w:pPr>
        <w:ind w:firstLine="480"/>
        <w:spacing w:line="360" w:lineRule="auto"/>
        <w:rPr>
          <w:rFonts w:hint="eastAsia" w:ascii="宋体" w:hAnsi="宋体" w:cs="宋体"/>
          <w:color w:val="auto"/>
          <w:sz w:val="24"/>
          <w:szCs w:val="24"/>
          <w:highlight w:val="none"/>
          <w:lang w:eastAsia="zh-CN"/>
        </w:rPr>
      </w:pPr>
      <w:r>
        <w:rPr>
          <w:rFonts w:hint="eastAsia" w:ascii="宋体" w:hAnsi="宋体"/>
          <w:color w:val="auto"/>
          <w:sz w:val="24"/>
          <w:highlight w:val="none"/>
          <w:lang w:val="en-US" w:eastAsia="zh-CN"/>
        </w:rPr>
        <w:t xml:space="preserve">注：</w:t>
      </w:r>
      <w:r>
        <w:rPr>
          <w:rFonts w:hint="default" w:ascii="宋体" w:hAnsi="宋体" w:eastAsia="宋体" w:cs="宋体"/>
          <w:color w:val="auto"/>
          <w:sz w:val="24"/>
          <w:highlight w:val="none"/>
          <w:lang w:val="en-US" w:eastAsia="zh-CN"/>
        </w:rPr>
        <w:t xml:space="preserve">本项目共划分 4 个采购包。投</w:t>
      </w:r>
      <w:r>
        <w:rPr>
          <w:rFonts w:hint="default" w:ascii="宋体" w:hAnsi="宋体" w:eastAsia="宋体" w:cs="宋体"/>
          <w:color w:val="auto"/>
          <w:sz w:val="24"/>
          <w:highlight w:val="none"/>
          <w:lang w:val="en-US" w:eastAsia="zh-CN"/>
        </w:rPr>
        <w:t xml:space="preserve">标人可根据招标文件要求，自主选择对其中一个、多个或全部采购包进行投标。各采购包按照采购包号自然顺序依次开标。本项目设定中标上限：每家投标人累计中标采购包数量最多为 1 个。评标定标按照先开先中原则执行，投标人一旦在任一采购包中确定中标资格，其参与投标的其余所有采购包自动丧失中标资格。已在本项目前期采购包评标中达到中标数量上限的供应商，不再具备后续其余采购包的中标资格，且不计入对应采购包有效实质性响应供应商数量。若因质疑、投诉等情形造成单个采购包中标结果变更、调整的，不影响本项目其他所有采购包已确定的中标结果</w:t>
      </w:r>
      <w:r>
        <w:rPr>
          <w:rFonts w:hint="eastAsia" w:ascii="宋体" w:hAnsi="宋体" w:cs="宋体"/>
          <w:color w:val="auto"/>
          <w:sz w:val="24"/>
          <w:szCs w:val="24"/>
          <w:highlight w:val="none"/>
        </w:rPr>
        <w:t xml:space="preserve">。</w:t>
      </w:r>
      <w:r/>
    </w:p>
    <w:p>
      <w:pPr>
        <w:pStyle w:val="1027"/>
        <w:numPr>
          <w:ilvl w:val="0"/>
          <w:numId w:val="0"/>
        </w:numPr>
        <w:spacing w:after="0"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四、</w:t>
      </w:r>
      <w:r>
        <w:rPr>
          <w:rFonts w:hint="eastAsia" w:ascii="宋体" w:hAnsi="宋体" w:cs="宋体"/>
          <w:color w:val="auto"/>
          <w:sz w:val="24"/>
          <w:szCs w:val="24"/>
          <w:highlight w:val="none"/>
        </w:rPr>
        <w:t xml:space="preserve">采购内容及要求：</w:t>
      </w:r>
      <w:r/>
    </w:p>
    <w:p>
      <w:pPr>
        <w:numPr>
          <w:ilvl w:val="0"/>
          <w:numId w:val="0"/>
        </w:numPr>
        <w:spacing w:line="360" w:lineRule="auto"/>
        <w:rPr>
          <w:rFonts w:hint="eastAsia" w:ascii="宋体" w:hAnsi="宋体" w:eastAsia="宋体" w:cs="宋体"/>
          <w:bCs/>
          <w:color w:val="auto"/>
          <w:sz w:val="24"/>
          <w:szCs w:val="24"/>
          <w:highlight w:val="none"/>
          <w:lang w:val="en-US" w:eastAsia="zh-CN"/>
        </w:rPr>
      </w:pPr>
      <w:r>
        <w:rPr>
          <w:rFonts w:hint="eastAsia" w:ascii="宋体" w:hAnsi="宋体" w:cs="宋体"/>
          <w:bCs/>
          <w:color w:val="auto"/>
          <w:sz w:val="24"/>
          <w:szCs w:val="24"/>
          <w:highlight w:val="none"/>
          <w:lang w:val="en-US" w:eastAsia="zh-CN"/>
        </w:rPr>
        <w:t xml:space="preserve">（一）</w:t>
      </w:r>
      <w:r>
        <w:rPr>
          <w:rFonts w:hint="eastAsia" w:ascii="宋体" w:hAnsi="宋体" w:eastAsia="宋体" w:cs="宋体"/>
          <w:bCs/>
          <w:color w:val="auto"/>
          <w:sz w:val="24"/>
          <w:szCs w:val="24"/>
          <w:highlight w:val="none"/>
          <w:lang w:val="en-US" w:eastAsia="zh-CN"/>
        </w:rPr>
        <w:t xml:space="preserve">项目</w:t>
      </w:r>
      <w:r>
        <w:rPr>
          <w:rFonts w:hint="eastAsia" w:ascii="宋体" w:hAnsi="宋体" w:cs="宋体"/>
          <w:bCs/>
          <w:color w:val="auto"/>
          <w:sz w:val="24"/>
          <w:szCs w:val="24"/>
          <w:highlight w:val="none"/>
          <w:lang w:val="en-US" w:eastAsia="zh-CN"/>
        </w:rPr>
        <w:t xml:space="preserve">概述</w:t>
      </w:r>
      <w:r>
        <w:rPr>
          <w:rFonts w:hint="eastAsia" w:ascii="宋体" w:hAnsi="宋体" w:eastAsia="宋体" w:cs="宋体"/>
          <w:bCs/>
          <w:color w:val="auto"/>
          <w:sz w:val="24"/>
          <w:szCs w:val="24"/>
          <w:highlight w:val="none"/>
          <w:lang w:val="en-US" w:eastAsia="zh-CN"/>
        </w:rPr>
        <w:t xml:space="preserve">：</w:t>
      </w:r>
      <w:r>
        <w:rPr>
          <w:rFonts w:ascii="宋体" w:hAnsi="宋体" w:eastAsia="宋体" w:cs="宋体"/>
          <w:color w:val="auto"/>
          <w:sz w:val="24"/>
          <w:szCs w:val="24"/>
          <w:highlight w:val="none"/>
        </w:rPr>
        <w:t xml:space="preserve">对狮山路（含中央分隔带、桥梁区域）、竹园路（金枫路 — 索山桥段）、金山路（长江路 — 塔园路段）、太湖大道、长江路（马运河北 — 竹园路段）、塔园路（马运路 — 狮山路段）、滨河路（金山路 — 苏福快速路段）、普陀山路及狮山国际会议中心匝道</w:t>
      </w:r>
      <w:r>
        <w:rPr>
          <w:rStyle w:val="824"/>
          <w:rFonts w:ascii="宋体" w:hAnsi="宋体" w:eastAsia="宋体" w:cs="宋体"/>
          <w:b/>
          <w:bCs/>
          <w:color w:val="auto"/>
          <w:sz w:val="24"/>
          <w:szCs w:val="24"/>
          <w:highlight w:val="none"/>
        </w:rPr>
        <w:t xml:space="preserve">中央隔离栏花箱</w:t>
      </w:r>
      <w:r>
        <w:rPr>
          <w:rFonts w:ascii="宋体" w:hAnsi="宋体" w:eastAsia="宋体" w:cs="宋体"/>
          <w:color w:val="auto"/>
          <w:sz w:val="24"/>
          <w:szCs w:val="24"/>
          <w:highlight w:val="none"/>
        </w:rPr>
        <w:t xml:space="preserve">，开展草花栽种、日常养护及换季更换作业；对太湖大道、马涧</w:t>
      </w:r>
      <w:bookmarkStart w:id="39" w:name="_GoBack"/>
      <w:r/>
      <w:bookmarkEnd w:id="39"/>
      <w:r>
        <w:rPr>
          <w:rFonts w:ascii="宋体" w:hAnsi="宋体" w:eastAsia="宋体" w:cs="宋体"/>
          <w:color w:val="auto"/>
          <w:sz w:val="24"/>
          <w:szCs w:val="24"/>
          <w:highlight w:val="none"/>
        </w:rPr>
        <w:t xml:space="preserve">路、狮山路、长江路、竹园路、普陀山路等沿线部分地块，实施地栽草花栽植、养护、更换及常绿色块景观提升改造，保障全域全年景观风貌整洁优美、效果稳定达标</w:t>
      </w:r>
      <w:r>
        <w:rPr>
          <w:rFonts w:hint="eastAsia" w:ascii="宋体" w:hAnsi="宋体" w:cs="宋体"/>
          <w:color w:val="auto"/>
          <w:sz w:val="24"/>
          <w:szCs w:val="24"/>
          <w:highlight w:val="none"/>
        </w:rPr>
        <w:t xml:space="preserve">。</w:t>
      </w:r>
      <w:r/>
    </w:p>
    <w:p>
      <w:pPr>
        <w:jc w:val="left"/>
        <w:spacing w:line="360" w:lineRule="auto"/>
        <w:rPr>
          <w:rFonts w:hint="eastAsia" w:ascii="宋体" w:hAnsi="宋体" w:cs="宋体"/>
          <w:color w:val="auto"/>
          <w:sz w:val="24"/>
          <w:highlight w:val="none"/>
          <w:lang w:val="en-US" w:eastAsia="zh-CN"/>
        </w:rPr>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二）</w:t>
      </w:r>
      <w:r>
        <w:rPr>
          <w:rFonts w:hint="eastAsia" w:ascii="宋体" w:hAnsi="宋体"/>
          <w:bCs/>
          <w:color w:val="auto"/>
          <w:sz w:val="24"/>
          <w:highlight w:val="none"/>
        </w:rPr>
        <w:t xml:space="preserve">服务</w:t>
      </w:r>
      <w:r>
        <w:rPr>
          <w:rFonts w:hint="eastAsia" w:ascii="宋体" w:hAnsi="宋体"/>
          <w:bCs/>
          <w:color w:val="auto"/>
          <w:sz w:val="24"/>
          <w:highlight w:val="none"/>
          <w:lang w:val="en-US" w:eastAsia="zh-CN"/>
        </w:rPr>
        <w:t xml:space="preserve">清单</w:t>
      </w:r>
      <w:r>
        <w:rPr>
          <w:rFonts w:hint="eastAsia" w:ascii="宋体" w:hAnsi="宋体"/>
          <w:bCs/>
          <w:color w:val="auto"/>
          <w:sz w:val="24"/>
          <w:highlight w:val="none"/>
        </w:rPr>
        <w:t xml:space="preserve">：</w:t>
      </w:r>
      <w:r>
        <w:rPr>
          <w:rFonts w:hint="eastAsia" w:ascii="宋体" w:hAnsi="宋体" w:eastAsia="宋体" w:cs="宋体"/>
          <w:color w:val="auto"/>
          <w:sz w:val="24"/>
          <w:szCs w:val="24"/>
          <w:highlight w:val="none"/>
          <w:lang w:val="en-US" w:eastAsia="zh-CN" w:bidi="ar-SA"/>
        </w:rPr>
        <w:t xml:space="preserve">百度网盘自行下载</w:t>
      </w:r>
      <w:r>
        <w:rPr>
          <w:rFonts w:hint="eastAsia" w:ascii="宋体" w:hAnsi="宋体" w:cs="宋体"/>
          <w:color w:val="auto"/>
          <w:sz w:val="24"/>
          <w:highlight w:val="none"/>
          <w:lang w:val="en-US" w:eastAsia="zh-CN"/>
        </w:rPr>
        <w:t xml:space="preserve">。</w:t>
      </w:r>
      <w:r/>
    </w:p>
    <w:p>
      <w:pPr>
        <w:jc w:val="left"/>
        <w:spacing w:line="360" w:lineRule="auto"/>
        <w:rPr>
          <w:rFonts w:hint="default" w:ascii="宋体" w:hAnsi="宋体" w:cs="宋体"/>
          <w:color w:val="auto"/>
          <w:sz w:val="24"/>
          <w:highlight w:val="none"/>
          <w:lang w:val="en-US" w:eastAsia="zh-CN"/>
        </w:rPr>
      </w:pPr>
      <w:r>
        <w:rPr>
          <w:rFonts w:hint="eastAsia" w:ascii="宋体" w:hAnsi="宋体" w:eastAsia="宋体" w:cs="宋体"/>
          <w:color w:val="auto"/>
          <w:sz w:val="24"/>
          <w:szCs w:val="24"/>
          <w:highlight w:val="none"/>
          <w:lang w:val="en-US" w:eastAsia="zh-CN" w:bidi="ar-SA"/>
        </w:rPr>
        <w:t xml:space="preserve">百度网盘</w:t>
      </w:r>
      <w:r>
        <w:rPr>
          <w:rFonts w:hint="eastAsia" w:ascii="宋体" w:hAnsi="宋体" w:cs="宋体"/>
          <w:color w:val="auto"/>
          <w:sz w:val="24"/>
          <w:highlight w:val="none"/>
          <w:lang w:val="en-US" w:eastAsia="zh-CN"/>
        </w:rPr>
        <w:t xml:space="preserve">下载地址：</w:t>
      </w:r>
      <w:r>
        <w:rPr>
          <w:rFonts w:hint="eastAsia" w:ascii="宋体" w:hAnsi="宋体" w:cs="宋体"/>
          <w:color w:val="auto"/>
          <w:sz w:val="24"/>
          <w:highlight w:val="none"/>
          <w:lang w:val="en-US" w:eastAsia="zh-CN"/>
        </w:rPr>
        <w:t xml:space="preserve">https://pan.baidu.com/s/1MfbJwo6R3oy4XT8Xj098ZQ</w:t>
      </w:r>
      <w:r>
        <w:rPr>
          <w:rFonts w:hint="eastAsia" w:ascii="宋体" w:hAnsi="宋体" w:cs="宋体"/>
          <w:color w:val="auto"/>
          <w:sz w:val="24"/>
          <w:highlight w:val="none"/>
          <w:lang w:val="en-US" w:eastAsia="zh-CN"/>
        </w:rPr>
        <w:t xml:space="preserve"> </w:t>
      </w:r>
      <w:r/>
    </w:p>
    <w:p>
      <w:pPr>
        <w:jc w:val="left"/>
        <w:spacing w:line="360" w:lineRule="auto"/>
        <w:rPr>
          <w:rFonts w:hint="eastAsia" w:ascii="宋体" w:hAnsi="宋体" w:cs="宋体"/>
          <w:color w:val="auto"/>
          <w:sz w:val="24"/>
          <w:highlight w:val="none"/>
          <w:lang w:val="en-US" w:eastAsia="zh-CN"/>
        </w:rPr>
      </w:pPr>
      <w:r>
        <w:rPr>
          <w:rFonts w:hint="eastAsia" w:ascii="宋体" w:hAnsi="宋体" w:cs="宋体"/>
          <w:color w:val="auto"/>
          <w:sz w:val="24"/>
          <w:highlight w:val="none"/>
          <w:lang w:val="en-US" w:eastAsia="zh-CN"/>
        </w:rPr>
        <w:t xml:space="preserve">提取码：</w:t>
      </w:r>
      <w:r>
        <w:rPr>
          <w:rFonts w:hint="eastAsia" w:ascii="宋体" w:hAnsi="宋体" w:cs="宋体"/>
          <w:color w:val="auto"/>
          <w:sz w:val="24"/>
          <w:highlight w:val="none"/>
          <w:lang w:val="en-US" w:eastAsia="zh-CN"/>
        </w:rPr>
        <w:t xml:space="preserve">ytwu</w:t>
      </w:r>
      <w:r/>
    </w:p>
    <w:p>
      <w:pPr>
        <w:spacing w:line="360" w:lineRule="auto"/>
        <w:widowControl/>
        <w:rPr>
          <w:rFonts w:hint="default" w:ascii="宋体" w:hAnsi="宋体"/>
          <w:bCs/>
          <w:color w:val="auto"/>
          <w:sz w:val="24"/>
          <w:highlight w:val="none"/>
          <w:lang w:val="en-US" w:eastAsia="zh-CN"/>
        </w:rPr>
        <w:outlineLvl w:val="0"/>
      </w:pPr>
      <w:r>
        <w:rPr>
          <w:rFonts w:hint="eastAsia" w:ascii="宋体" w:hAnsi="宋体"/>
          <w:bCs/>
          <w:color w:val="auto"/>
          <w:sz w:val="24"/>
          <w:highlight w:val="none"/>
          <w:lang w:eastAsia="zh-CN"/>
        </w:rPr>
        <w:t xml:space="preserve">（</w:t>
      </w:r>
      <w:r>
        <w:rPr>
          <w:rFonts w:hint="eastAsia" w:ascii="宋体" w:hAnsi="宋体"/>
          <w:bCs/>
          <w:color w:val="auto"/>
          <w:sz w:val="24"/>
          <w:highlight w:val="none"/>
          <w:lang w:val="en-US" w:eastAsia="zh-CN"/>
        </w:rPr>
        <w:t xml:space="preserve">三）服务要求【适用于</w:t>
      </w:r>
      <w:r>
        <w:rPr>
          <w:rFonts w:hint="eastAsia" w:ascii="宋体" w:hAnsi="宋体" w:cs="宋体"/>
          <w:color w:val="auto"/>
          <w:sz w:val="24"/>
          <w:szCs w:val="24"/>
          <w:highlight w:val="none"/>
          <w:lang w:val="en-US" w:eastAsia="zh-CN"/>
        </w:rPr>
        <w:t xml:space="preserve">采购包1、采购包2、采购包3、采购包4</w:t>
      </w:r>
      <w:r>
        <w:rPr>
          <w:rFonts w:hint="eastAsia" w:ascii="宋体" w:hAnsi="宋体"/>
          <w:bCs/>
          <w:color w:val="auto"/>
          <w:sz w:val="24"/>
          <w:highlight w:val="none"/>
          <w:lang w:val="en-US" w:eastAsia="zh-CN"/>
        </w:rPr>
        <w:t xml:space="preserve">】：</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1、</w:t>
      </w:r>
      <w:r>
        <w:rPr>
          <w:rFonts w:hint="eastAsia" w:ascii="宋体" w:hAnsi="宋体" w:cs="宋体"/>
          <w:b/>
          <w:color w:val="auto"/>
          <w:sz w:val="24"/>
          <w:szCs w:val="24"/>
          <w:highlight w:val="none"/>
        </w:rPr>
        <w:t xml:space="preserve">草花种植技术要求：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1.1</w:t>
      </w:r>
      <w:r>
        <w:rPr>
          <w:rFonts w:hint="eastAsia" w:ascii="宋体" w:hAnsi="宋体" w:cs="宋体"/>
          <w:color w:val="auto"/>
          <w:sz w:val="24"/>
          <w:szCs w:val="24"/>
          <w:highlight w:val="none"/>
        </w:rPr>
        <w:t xml:space="preserve">所有花卉必须满种且不得露土，</w:t>
      </w:r>
      <w:r>
        <w:rPr>
          <w:rFonts w:hint="eastAsia" w:ascii="宋体" w:hAnsi="宋体" w:cs="宋体"/>
          <w:color w:val="auto"/>
          <w:sz w:val="24"/>
          <w:szCs w:val="24"/>
          <w:highlight w:val="none"/>
          <w:lang w:val="en-US" w:eastAsia="zh-CN"/>
        </w:rPr>
        <w:t xml:space="preserve">均需</w:t>
      </w:r>
      <w:r>
        <w:rPr>
          <w:rFonts w:hint="eastAsia" w:ascii="宋体" w:hAnsi="宋体" w:cs="宋体"/>
          <w:color w:val="auto"/>
          <w:sz w:val="24"/>
          <w:szCs w:val="24"/>
          <w:highlight w:val="none"/>
        </w:rPr>
        <w:t xml:space="preserve">在初花期带花全苗种植，</w:t>
      </w:r>
      <w:r>
        <w:rPr>
          <w:rFonts w:hint="eastAsia" w:ascii="宋体" w:hAnsi="宋体" w:cs="宋体"/>
          <w:color w:val="auto"/>
          <w:sz w:val="24"/>
          <w:szCs w:val="24"/>
          <w:highlight w:val="none"/>
          <w:lang w:val="en-US" w:eastAsia="zh-CN"/>
        </w:rPr>
        <w:t xml:space="preserve">严禁</w:t>
      </w:r>
      <w:r>
        <w:rPr>
          <w:rFonts w:hint="eastAsia" w:ascii="宋体" w:hAnsi="宋体" w:cs="宋体"/>
          <w:color w:val="auto"/>
          <w:sz w:val="24"/>
          <w:szCs w:val="24"/>
          <w:highlight w:val="none"/>
        </w:rPr>
        <w:t xml:space="preserve">进行修剪处理，</w:t>
      </w:r>
      <w:r>
        <w:rPr>
          <w:rFonts w:hint="eastAsia" w:ascii="宋体" w:hAnsi="宋体" w:cs="宋体"/>
          <w:color w:val="auto"/>
          <w:sz w:val="24"/>
          <w:szCs w:val="24"/>
          <w:highlight w:val="none"/>
          <w:lang w:val="en-US" w:eastAsia="zh-CN"/>
        </w:rPr>
        <w:t xml:space="preserve">若出现</w:t>
      </w:r>
      <w:r>
        <w:rPr>
          <w:rFonts w:hint="eastAsia" w:ascii="宋体" w:hAnsi="宋体" w:cs="宋体"/>
          <w:color w:val="auto"/>
          <w:sz w:val="24"/>
          <w:szCs w:val="24"/>
          <w:highlight w:val="none"/>
        </w:rPr>
        <w:t xml:space="preserve">花序折断</w:t>
      </w:r>
      <w:r>
        <w:rPr>
          <w:rFonts w:hint="eastAsia" w:ascii="宋体" w:hAnsi="宋体" w:cs="宋体"/>
          <w:color w:val="auto"/>
          <w:sz w:val="24"/>
          <w:szCs w:val="24"/>
          <w:highlight w:val="none"/>
          <w:lang w:val="en-US" w:eastAsia="zh-CN"/>
        </w:rPr>
        <w:t xml:space="preserve">情况，须及时重新</w:t>
      </w:r>
      <w:r>
        <w:rPr>
          <w:rFonts w:hint="eastAsia" w:ascii="宋体" w:hAnsi="宋体" w:cs="宋体"/>
          <w:color w:val="auto"/>
          <w:sz w:val="24"/>
          <w:szCs w:val="24"/>
          <w:highlight w:val="none"/>
        </w:rPr>
        <w:t xml:space="preserve">更换。</w:t>
      </w:r>
      <w:r>
        <w:rPr>
          <w:rFonts w:hint="eastAsia" w:ascii="宋体" w:hAnsi="宋体" w:cs="宋体"/>
          <w:color w:val="auto"/>
          <w:sz w:val="24"/>
          <w:szCs w:val="24"/>
          <w:highlight w:val="none"/>
        </w:rPr>
        <w:tab/>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2文件中涉及</w:t>
      </w:r>
      <w:r>
        <w:rPr>
          <w:rFonts w:hint="eastAsia" w:ascii="宋体" w:hAnsi="宋体" w:cs="宋体"/>
          <w:color w:val="auto"/>
          <w:sz w:val="24"/>
          <w:szCs w:val="24"/>
          <w:highlight w:val="none"/>
          <w:lang w:val="en-US" w:eastAsia="zh-CN"/>
        </w:rPr>
        <w:t xml:space="preserve">的</w:t>
      </w:r>
      <w:r>
        <w:rPr>
          <w:rFonts w:hint="eastAsia" w:ascii="宋体" w:hAnsi="宋体" w:cs="宋体"/>
          <w:color w:val="auto"/>
          <w:sz w:val="24"/>
          <w:szCs w:val="24"/>
          <w:highlight w:val="none"/>
        </w:rPr>
        <w:t xml:space="preserve">花卉高度、蓬径尺寸，计量单位</w:t>
      </w:r>
      <w:r>
        <w:rPr>
          <w:rFonts w:hint="eastAsia" w:ascii="宋体" w:hAnsi="宋体" w:cs="宋体"/>
          <w:color w:val="auto"/>
          <w:sz w:val="24"/>
          <w:szCs w:val="24"/>
          <w:highlight w:val="none"/>
          <w:lang w:val="en-US" w:eastAsia="zh-CN"/>
        </w:rPr>
        <w:t xml:space="preserve">均</w:t>
      </w:r>
      <w:r>
        <w:rPr>
          <w:rFonts w:hint="eastAsia" w:ascii="宋体" w:hAnsi="宋体" w:cs="宋体"/>
          <w:color w:val="auto"/>
          <w:sz w:val="24"/>
          <w:szCs w:val="24"/>
          <w:highlight w:val="none"/>
        </w:rPr>
        <w:t xml:space="preserve">为厘米。所有花卉须在要求盆径的容器中植</w:t>
      </w:r>
      <w:r>
        <w:rPr>
          <w:rFonts w:hint="eastAsia" w:ascii="宋体" w:hAnsi="宋体" w:cs="宋体"/>
          <w:color w:val="auto"/>
          <w:sz w:val="24"/>
          <w:szCs w:val="24"/>
          <w:highlight w:val="none"/>
          <w:lang w:val="en-US" w:eastAsia="zh-CN"/>
        </w:rPr>
        <w:t xml:space="preserve">满</w:t>
      </w:r>
      <w:r>
        <w:rPr>
          <w:rFonts w:hint="eastAsia" w:ascii="宋体" w:hAnsi="宋体" w:cs="宋体"/>
          <w:color w:val="auto"/>
          <w:sz w:val="24"/>
          <w:szCs w:val="24"/>
          <w:highlight w:val="none"/>
        </w:rPr>
        <w:t xml:space="preserve">一个月</w:t>
      </w:r>
      <w:r>
        <w:rPr>
          <w:rFonts w:hint="eastAsia" w:ascii="宋体" w:hAnsi="宋体" w:cs="宋体"/>
          <w:color w:val="auto"/>
          <w:sz w:val="24"/>
          <w:szCs w:val="24"/>
          <w:highlight w:val="none"/>
          <w:lang w:val="en-US" w:eastAsia="zh-CN"/>
        </w:rPr>
        <w:t xml:space="preserve">及</w:t>
      </w:r>
      <w:r>
        <w:rPr>
          <w:rFonts w:hint="eastAsia" w:ascii="宋体" w:hAnsi="宋体" w:cs="宋体"/>
          <w:color w:val="auto"/>
          <w:sz w:val="24"/>
          <w:szCs w:val="24"/>
          <w:highlight w:val="none"/>
        </w:rPr>
        <w:t xml:space="preserve">以上，根盘自然</w:t>
      </w:r>
      <w:r>
        <w:rPr>
          <w:rFonts w:hint="eastAsia" w:ascii="宋体" w:hAnsi="宋体" w:cs="宋体"/>
          <w:color w:val="auto"/>
          <w:sz w:val="24"/>
          <w:szCs w:val="24"/>
          <w:highlight w:val="none"/>
          <w:lang w:val="en-US" w:eastAsia="zh-CN"/>
        </w:rPr>
        <w:t xml:space="preserve">完整</w:t>
      </w:r>
      <w:r>
        <w:rPr>
          <w:rFonts w:hint="eastAsia" w:ascii="宋体" w:hAnsi="宋体" w:cs="宋体"/>
          <w:color w:val="auto"/>
          <w:sz w:val="24"/>
          <w:szCs w:val="24"/>
          <w:highlight w:val="none"/>
        </w:rPr>
        <w:t xml:space="preserve">，</w:t>
      </w:r>
      <w:r>
        <w:rPr>
          <w:rFonts w:hint="eastAsia" w:ascii="宋体" w:hAnsi="宋体" w:cs="宋体"/>
          <w:color w:val="auto"/>
          <w:sz w:val="24"/>
          <w:szCs w:val="24"/>
          <w:highlight w:val="none"/>
          <w:lang w:val="en-US" w:eastAsia="zh-CN"/>
        </w:rPr>
        <w:t xml:space="preserve">确</w:t>
      </w:r>
      <w:r>
        <w:rPr>
          <w:rFonts w:hint="eastAsia" w:ascii="宋体" w:hAnsi="宋体" w:cs="宋体"/>
          <w:color w:val="auto"/>
          <w:sz w:val="24"/>
          <w:szCs w:val="24"/>
          <w:highlight w:val="none"/>
        </w:rPr>
        <w:t xml:space="preserve">保脱盆时根系</w:t>
      </w:r>
      <w:r>
        <w:rPr>
          <w:rFonts w:hint="eastAsia" w:ascii="宋体" w:hAnsi="宋体" w:cs="宋体"/>
          <w:color w:val="auto"/>
          <w:sz w:val="24"/>
          <w:szCs w:val="24"/>
          <w:highlight w:val="none"/>
          <w:lang w:val="en-US" w:eastAsia="zh-CN"/>
        </w:rPr>
        <w:t xml:space="preserve">无损伤；</w:t>
      </w:r>
      <w:r>
        <w:rPr>
          <w:rFonts w:hint="eastAsia" w:ascii="宋体" w:hAnsi="宋体" w:cs="宋体"/>
          <w:color w:val="auto"/>
          <w:sz w:val="24"/>
          <w:szCs w:val="24"/>
          <w:highlight w:val="none"/>
        </w:rPr>
        <w:t xml:space="preserve">若种植过程中土球散开，</w:t>
      </w:r>
      <w:r>
        <w:rPr>
          <w:rFonts w:hint="eastAsia" w:ascii="宋体" w:hAnsi="宋体" w:cs="宋体"/>
          <w:color w:val="auto"/>
          <w:sz w:val="24"/>
          <w:szCs w:val="24"/>
          <w:highlight w:val="none"/>
          <w:lang w:val="en-US" w:eastAsia="zh-CN"/>
        </w:rPr>
        <w:t xml:space="preserve">须立即重新</w:t>
      </w:r>
      <w:r>
        <w:rPr>
          <w:rFonts w:hint="eastAsia" w:ascii="宋体" w:hAnsi="宋体" w:cs="宋体"/>
          <w:color w:val="auto"/>
          <w:sz w:val="24"/>
          <w:szCs w:val="24"/>
          <w:highlight w:val="none"/>
        </w:rPr>
        <w:t xml:space="preserve">更换</w:t>
      </w:r>
      <w:r>
        <w:rPr>
          <w:rFonts w:hint="eastAsia" w:ascii="宋体" w:hAnsi="宋体" w:cs="宋体"/>
          <w:color w:val="auto"/>
          <w:sz w:val="24"/>
          <w:szCs w:val="24"/>
          <w:highlight w:val="none"/>
          <w:lang w:val="en-US" w:eastAsia="zh-CN"/>
        </w:rPr>
        <w:t xml:space="preserve">花卉</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3种植前</w:t>
      </w:r>
      <w:r>
        <w:rPr>
          <w:rFonts w:hint="eastAsia" w:ascii="宋体" w:hAnsi="宋体" w:cs="宋体"/>
          <w:color w:val="auto"/>
          <w:sz w:val="24"/>
          <w:szCs w:val="24"/>
          <w:highlight w:val="none"/>
          <w:lang w:val="en-US" w:eastAsia="zh-CN"/>
        </w:rPr>
        <w:t xml:space="preserve">须对</w:t>
      </w:r>
      <w:r>
        <w:rPr>
          <w:rFonts w:hint="eastAsia" w:ascii="宋体" w:hAnsi="宋体" w:cs="宋体"/>
          <w:color w:val="auto"/>
          <w:sz w:val="24"/>
          <w:szCs w:val="24"/>
          <w:highlight w:val="none"/>
        </w:rPr>
        <w:t xml:space="preserve">土壤施足基肥，种植完成</w:t>
      </w:r>
      <w:r>
        <w:rPr>
          <w:rFonts w:hint="eastAsia" w:ascii="宋体" w:hAnsi="宋体" w:cs="宋体"/>
          <w:color w:val="auto"/>
          <w:sz w:val="24"/>
          <w:szCs w:val="24"/>
          <w:highlight w:val="none"/>
          <w:lang w:val="en-US" w:eastAsia="zh-CN"/>
        </w:rPr>
        <w:t xml:space="preserve">并经</w:t>
      </w:r>
      <w:r>
        <w:rPr>
          <w:rFonts w:hint="eastAsia" w:ascii="宋体" w:hAnsi="宋体" w:cs="宋体"/>
          <w:color w:val="auto"/>
          <w:sz w:val="24"/>
          <w:szCs w:val="24"/>
          <w:highlight w:val="none"/>
        </w:rPr>
        <w:t xml:space="preserve">缓苗后</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须</w:t>
      </w:r>
      <w:r>
        <w:rPr>
          <w:rFonts w:hint="eastAsia" w:ascii="宋体" w:hAnsi="宋体" w:cs="宋体"/>
          <w:color w:val="auto"/>
          <w:sz w:val="24"/>
          <w:szCs w:val="24"/>
          <w:highlight w:val="none"/>
          <w:lang w:val="en-US" w:eastAsia="zh-CN"/>
        </w:rPr>
        <w:t xml:space="preserve">至少进行一次</w:t>
      </w:r>
      <w:r>
        <w:rPr>
          <w:rFonts w:hint="eastAsia" w:ascii="宋体" w:hAnsi="宋体" w:cs="宋体"/>
          <w:color w:val="auto"/>
          <w:sz w:val="24"/>
          <w:szCs w:val="24"/>
          <w:highlight w:val="none"/>
        </w:rPr>
        <w:t xml:space="preserve">追肥</w:t>
      </w:r>
      <w:r>
        <w:rPr>
          <w:rFonts w:hint="eastAsia" w:ascii="宋体" w:hAnsi="宋体" w:cs="宋体"/>
          <w:color w:val="auto"/>
          <w:sz w:val="24"/>
          <w:szCs w:val="24"/>
          <w:highlight w:val="none"/>
          <w:lang w:val="en-US" w:eastAsia="zh-CN"/>
        </w:rPr>
        <w:t xml:space="preserve">作业</w:t>
      </w:r>
      <w:r>
        <w:rPr>
          <w:rFonts w:hint="eastAsia" w:ascii="宋体" w:hAnsi="宋体" w:cs="宋体"/>
          <w:color w:val="auto"/>
          <w:sz w:val="24"/>
          <w:szCs w:val="24"/>
          <w:highlight w:val="none"/>
        </w:rPr>
        <w:t xml:space="preserve">，保</w:t>
      </w:r>
      <w:r>
        <w:rPr>
          <w:rFonts w:hint="eastAsia" w:ascii="宋体" w:hAnsi="宋体" w:cs="宋体"/>
          <w:color w:val="auto"/>
          <w:sz w:val="24"/>
          <w:szCs w:val="24"/>
          <w:highlight w:val="none"/>
          <w:lang w:val="en-US" w:eastAsia="zh-CN"/>
        </w:rPr>
        <w:t xml:space="preserve">障</w:t>
      </w:r>
      <w:r>
        <w:rPr>
          <w:rFonts w:hint="eastAsia" w:ascii="宋体" w:hAnsi="宋体" w:cs="宋体"/>
          <w:color w:val="auto"/>
          <w:sz w:val="24"/>
          <w:szCs w:val="24"/>
          <w:highlight w:val="none"/>
        </w:rPr>
        <w:t xml:space="preserve">花卉正常生长。</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4投标</w:t>
      </w:r>
      <w:r>
        <w:rPr>
          <w:rFonts w:hint="eastAsia" w:ascii="宋体" w:hAnsi="宋体" w:cs="宋体"/>
          <w:color w:val="auto"/>
          <w:sz w:val="24"/>
          <w:szCs w:val="24"/>
          <w:highlight w:val="none"/>
          <w:lang w:val="en-US" w:eastAsia="zh-CN"/>
        </w:rPr>
        <w:t xml:space="preserve">单位</w:t>
      </w:r>
      <w:r>
        <w:rPr>
          <w:rFonts w:hint="eastAsia" w:ascii="宋体" w:hAnsi="宋体" w:cs="宋体"/>
          <w:color w:val="auto"/>
          <w:sz w:val="24"/>
          <w:szCs w:val="24"/>
          <w:highlight w:val="none"/>
        </w:rPr>
        <w:t xml:space="preserve">须</w:t>
      </w:r>
      <w:r>
        <w:rPr>
          <w:rFonts w:hint="eastAsia" w:ascii="宋体" w:hAnsi="宋体" w:cs="宋体"/>
          <w:color w:val="auto"/>
          <w:sz w:val="24"/>
          <w:szCs w:val="24"/>
          <w:highlight w:val="none"/>
          <w:lang w:val="en-US" w:eastAsia="zh-CN"/>
        </w:rPr>
        <w:t xml:space="preserve">具备固定</w:t>
      </w:r>
      <w:r>
        <w:rPr>
          <w:rFonts w:hint="eastAsia" w:ascii="宋体" w:hAnsi="宋体" w:cs="宋体"/>
          <w:color w:val="auto"/>
          <w:sz w:val="24"/>
          <w:szCs w:val="24"/>
          <w:highlight w:val="none"/>
        </w:rPr>
        <w:t xml:space="preserve">的花卉培育设施，所有花卉种植前半个月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需经四方现场确认，并</w:t>
      </w:r>
      <w:r>
        <w:rPr>
          <w:rFonts w:hint="eastAsia" w:ascii="宋体" w:hAnsi="宋体" w:cs="宋体"/>
          <w:color w:val="auto"/>
          <w:sz w:val="24"/>
          <w:szCs w:val="24"/>
          <w:highlight w:val="none"/>
          <w:lang w:val="en-US" w:eastAsia="zh-CN"/>
        </w:rPr>
        <w:t xml:space="preserve">如实</w:t>
      </w:r>
      <w:r>
        <w:rPr>
          <w:rFonts w:hint="eastAsia" w:ascii="宋体" w:hAnsi="宋体" w:cs="宋体"/>
          <w:color w:val="auto"/>
          <w:sz w:val="24"/>
          <w:szCs w:val="24"/>
          <w:highlight w:val="none"/>
        </w:rPr>
        <w:t xml:space="preserve">填报品种确认单。</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1.</w:t>
      </w:r>
      <w:r>
        <w:rPr>
          <w:rFonts w:hint="eastAsia" w:ascii="宋体" w:hAnsi="宋体" w:cs="宋体"/>
          <w:color w:val="auto"/>
          <w:sz w:val="24"/>
          <w:szCs w:val="24"/>
          <w:highlight w:val="none"/>
        </w:rPr>
        <w:t xml:space="preserve">5营养钵及加仑盆样式以最终采购方确认的图纸为准</w:t>
      </w:r>
      <w:r>
        <w:rPr>
          <w:rFonts w:hint="eastAsia" w:ascii="宋体" w:hAnsi="宋体" w:cs="宋体"/>
          <w:color w:val="auto"/>
          <w:sz w:val="24"/>
          <w:szCs w:val="24"/>
          <w:highlight w:val="none"/>
          <w:lang w:val="en-US" w:eastAsia="zh-CN"/>
        </w:rPr>
        <w:t xml:space="preserve">；</w:t>
      </w:r>
      <w:r>
        <w:rPr>
          <w:rFonts w:hint="eastAsia" w:ascii="宋体" w:hAnsi="宋体" w:cs="宋体"/>
          <w:color w:val="auto"/>
          <w:sz w:val="24"/>
          <w:szCs w:val="24"/>
          <w:highlight w:val="none"/>
        </w:rPr>
        <w:t xml:space="preserve">新采购花器质保期为2年，质保期</w:t>
      </w:r>
      <w:r>
        <w:rPr>
          <w:rFonts w:hint="eastAsia" w:ascii="宋体" w:hAnsi="宋体" w:cs="宋体"/>
          <w:color w:val="auto"/>
          <w:sz w:val="24"/>
          <w:szCs w:val="24"/>
          <w:highlight w:val="none"/>
          <w:lang w:val="en-US" w:eastAsia="zh-CN"/>
        </w:rPr>
        <w:t xml:space="preserve">自</w:t>
      </w:r>
      <w:r>
        <w:rPr>
          <w:rFonts w:hint="eastAsia" w:ascii="宋体" w:hAnsi="宋体" w:cs="宋体"/>
          <w:color w:val="auto"/>
          <w:sz w:val="24"/>
          <w:szCs w:val="24"/>
          <w:highlight w:val="none"/>
        </w:rPr>
        <w:t xml:space="preserve">分项工作验收合格之日起计算。</w:t>
      </w:r>
      <w:r/>
    </w:p>
    <w:p>
      <w:pPr>
        <w:spacing w:line="360" w:lineRule="auto"/>
        <w:tabs>
          <w:tab w:val="left" w:pos="753" w:leader="none"/>
        </w:tabs>
        <w:rPr>
          <w:rFonts w:ascii="宋体" w:hAnsi="宋体" w:cs="宋体"/>
          <w:b/>
          <w:color w:val="auto"/>
          <w:sz w:val="24"/>
          <w:szCs w:val="24"/>
          <w:highlight w:val="none"/>
        </w:rPr>
      </w:pPr>
      <w:r>
        <w:rPr>
          <w:rFonts w:hint="eastAsia" w:ascii="宋体" w:hAnsi="宋体" w:cs="宋体"/>
          <w:b/>
          <w:color w:val="auto"/>
          <w:sz w:val="24"/>
          <w:szCs w:val="24"/>
          <w:highlight w:val="none"/>
          <w:lang w:val="en-US" w:eastAsia="zh-CN"/>
        </w:rPr>
        <w:t xml:space="preserve">2、</w:t>
      </w:r>
      <w:r>
        <w:rPr>
          <w:rFonts w:hint="eastAsia" w:ascii="宋体" w:hAnsi="宋体" w:cs="宋体"/>
          <w:b/>
          <w:color w:val="auto"/>
          <w:sz w:val="24"/>
          <w:szCs w:val="24"/>
          <w:highlight w:val="none"/>
        </w:rPr>
        <w:t xml:space="preserve">花箱草花养护管理要求：</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2.1</w:t>
      </w:r>
      <w:r>
        <w:rPr>
          <w:rFonts w:hint="eastAsia" w:ascii="宋体" w:hAnsi="宋体"/>
          <w:color w:val="auto"/>
          <w:sz w:val="24"/>
          <w:szCs w:val="24"/>
          <w:highlight w:val="none"/>
        </w:rPr>
        <w:t xml:space="preserve">每次更换草花的施工日期不能超过</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天，</w:t>
      </w:r>
      <w:r>
        <w:rPr>
          <w:rFonts w:hint="eastAsia" w:ascii="宋体" w:hAnsi="宋体"/>
          <w:color w:val="auto"/>
          <w:sz w:val="24"/>
          <w:szCs w:val="24"/>
          <w:highlight w:val="none"/>
          <w:lang w:val="en-US" w:eastAsia="zh-CN"/>
        </w:rPr>
        <w:t xml:space="preserve">若</w:t>
      </w:r>
      <w:r>
        <w:rPr>
          <w:rFonts w:hint="eastAsia" w:ascii="宋体" w:hAnsi="宋体"/>
          <w:color w:val="auto"/>
          <w:sz w:val="24"/>
          <w:szCs w:val="24"/>
          <w:highlight w:val="none"/>
        </w:rPr>
        <w:t xml:space="preserve">因</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单位</w:t>
      </w:r>
      <w:r>
        <w:rPr>
          <w:rFonts w:hint="eastAsia" w:ascii="宋体" w:hAnsi="宋体"/>
          <w:color w:val="auto"/>
          <w:sz w:val="24"/>
          <w:szCs w:val="24"/>
          <w:highlight w:val="none"/>
          <w:lang w:val="en-US" w:eastAsia="zh-CN"/>
        </w:rPr>
        <w:t xml:space="preserve">自身</w:t>
      </w:r>
      <w:r>
        <w:rPr>
          <w:rFonts w:hint="eastAsia" w:ascii="宋体" w:hAnsi="宋体"/>
          <w:color w:val="auto"/>
          <w:sz w:val="24"/>
          <w:szCs w:val="24"/>
          <w:highlight w:val="none"/>
        </w:rPr>
        <w:t xml:space="preserve">原因</w:t>
      </w:r>
      <w:r>
        <w:rPr>
          <w:rFonts w:hint="eastAsia" w:ascii="宋体" w:hAnsi="宋体"/>
          <w:color w:val="auto"/>
          <w:sz w:val="24"/>
          <w:szCs w:val="24"/>
          <w:highlight w:val="none"/>
          <w:lang w:val="en-US" w:eastAsia="zh-CN"/>
        </w:rPr>
        <w:t xml:space="preserve">导致</w:t>
      </w:r>
      <w:r>
        <w:rPr>
          <w:rFonts w:hint="eastAsia" w:ascii="宋体" w:hAnsi="宋体"/>
          <w:color w:val="auto"/>
          <w:sz w:val="24"/>
          <w:szCs w:val="24"/>
          <w:highlight w:val="none"/>
        </w:rPr>
        <w:t xml:space="preserve">工期延长，按10000元/天</w:t>
      </w:r>
      <w:r>
        <w:rPr>
          <w:rFonts w:hint="eastAsia" w:ascii="宋体" w:hAnsi="宋体"/>
          <w:color w:val="auto"/>
          <w:sz w:val="24"/>
          <w:szCs w:val="24"/>
          <w:highlight w:val="none"/>
          <w:lang w:val="en-US" w:eastAsia="zh-CN"/>
        </w:rPr>
        <w:t xml:space="preserve">的标准处以</w:t>
      </w:r>
      <w:r>
        <w:rPr>
          <w:rFonts w:hint="eastAsia" w:ascii="宋体" w:hAnsi="宋体"/>
          <w:color w:val="auto"/>
          <w:sz w:val="24"/>
          <w:szCs w:val="24"/>
          <w:highlight w:val="none"/>
        </w:rPr>
        <w:t xml:space="preserve">经济处罚；</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2</w:t>
      </w:r>
      <w:r>
        <w:rPr>
          <w:rFonts w:ascii="宋体" w:hAnsi="宋体"/>
          <w:color w:val="auto"/>
          <w:sz w:val="24"/>
          <w:szCs w:val="24"/>
          <w:highlight w:val="none"/>
        </w:rPr>
        <w:t xml:space="preserve">保证所有草花颜色鲜艳</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长势饱满</w:t>
      </w:r>
      <w:r>
        <w:rPr>
          <w:rFonts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无</w:t>
      </w:r>
      <w:r>
        <w:rPr>
          <w:rFonts w:ascii="宋体" w:hAnsi="宋体"/>
          <w:color w:val="auto"/>
          <w:sz w:val="24"/>
          <w:szCs w:val="24"/>
          <w:highlight w:val="none"/>
        </w:rPr>
        <w:t xml:space="preserve">枯死</w:t>
      </w:r>
      <w:r>
        <w:rPr>
          <w:rFonts w:hint="eastAsia" w:ascii="宋体" w:hAnsi="宋体"/>
          <w:color w:val="auto"/>
          <w:sz w:val="24"/>
          <w:szCs w:val="24"/>
          <w:highlight w:val="none"/>
          <w:lang w:eastAsia="zh-CN"/>
        </w:rPr>
        <w:t xml:space="preserve">、</w:t>
      </w:r>
      <w:r>
        <w:rPr>
          <w:rFonts w:ascii="宋体" w:hAnsi="宋体"/>
          <w:color w:val="auto"/>
          <w:sz w:val="24"/>
          <w:szCs w:val="24"/>
          <w:highlight w:val="none"/>
        </w:rPr>
        <w:t xml:space="preserve">空缺</w:t>
      </w:r>
      <w:r>
        <w:rPr>
          <w:rFonts w:hint="eastAsia" w:ascii="宋体" w:hAnsi="宋体"/>
          <w:color w:val="auto"/>
          <w:sz w:val="24"/>
          <w:szCs w:val="24"/>
          <w:highlight w:val="none"/>
          <w:lang w:val="en-US" w:eastAsia="zh-CN"/>
        </w:rPr>
        <w:t xml:space="preserve">现象；</w:t>
      </w:r>
      <w:r>
        <w:rPr>
          <w:rFonts w:ascii="宋体" w:hAnsi="宋体"/>
          <w:color w:val="auto"/>
          <w:sz w:val="24"/>
          <w:szCs w:val="24"/>
          <w:highlight w:val="none"/>
        </w:rPr>
        <w:t xml:space="preserve">草花种植密度须满足招标</w:t>
      </w:r>
      <w:r>
        <w:rPr>
          <w:rFonts w:hint="eastAsia" w:ascii="宋体" w:hAnsi="宋体"/>
          <w:color w:val="auto"/>
          <w:sz w:val="24"/>
          <w:szCs w:val="24"/>
          <w:highlight w:val="none"/>
          <w:lang w:val="en-US" w:eastAsia="zh-CN"/>
        </w:rPr>
        <w:t xml:space="preserve">文件</w:t>
      </w:r>
      <w:r>
        <w:rPr>
          <w:rFonts w:ascii="宋体" w:hAnsi="宋体"/>
          <w:color w:val="auto"/>
          <w:sz w:val="24"/>
          <w:szCs w:val="24"/>
          <w:highlight w:val="none"/>
        </w:rPr>
        <w:t xml:space="preserve">最低要求，满铺率</w:t>
      </w:r>
      <w:r>
        <w:rPr>
          <w:rFonts w:hint="eastAsia" w:ascii="宋体" w:hAnsi="宋体"/>
          <w:color w:val="auto"/>
          <w:sz w:val="24"/>
          <w:szCs w:val="24"/>
          <w:highlight w:val="none"/>
          <w:lang w:val="en-US" w:eastAsia="zh-CN"/>
        </w:rPr>
        <w:t xml:space="preserve">不低于</w:t>
      </w:r>
      <w:r>
        <w:rPr>
          <w:rFonts w:ascii="宋体" w:hAnsi="宋体"/>
          <w:color w:val="auto"/>
          <w:sz w:val="24"/>
          <w:szCs w:val="24"/>
          <w:highlight w:val="none"/>
        </w:rPr>
        <w:t xml:space="preserve">80%，</w:t>
      </w:r>
      <w:r>
        <w:rPr>
          <w:rFonts w:hint="eastAsia" w:ascii="宋体" w:hAnsi="宋体"/>
          <w:color w:val="auto"/>
          <w:sz w:val="24"/>
          <w:szCs w:val="24"/>
          <w:highlight w:val="none"/>
          <w:lang w:val="en-US" w:eastAsia="zh-CN"/>
        </w:rPr>
        <w:t xml:space="preserve">且</w:t>
      </w:r>
      <w:r>
        <w:rPr>
          <w:rFonts w:ascii="宋体" w:hAnsi="宋体"/>
          <w:color w:val="auto"/>
          <w:sz w:val="24"/>
          <w:szCs w:val="24"/>
          <w:highlight w:val="none"/>
        </w:rPr>
        <w:t xml:space="preserve">种植7天后须基本</w:t>
      </w:r>
      <w:r>
        <w:rPr>
          <w:rFonts w:hint="eastAsia" w:ascii="宋体" w:hAnsi="宋体"/>
          <w:color w:val="auto"/>
          <w:sz w:val="24"/>
          <w:szCs w:val="24"/>
          <w:highlight w:val="none"/>
          <w:lang w:val="en-US" w:eastAsia="zh-CN"/>
        </w:rPr>
        <w:t xml:space="preserve">实现</w:t>
      </w:r>
      <w:r>
        <w:rPr>
          <w:rFonts w:ascii="宋体" w:hAnsi="宋体"/>
          <w:color w:val="auto"/>
          <w:sz w:val="24"/>
          <w:szCs w:val="24"/>
          <w:highlight w:val="none"/>
        </w:rPr>
        <w:t xml:space="preserve">黄土不露天效果，</w:t>
      </w:r>
      <w:r>
        <w:rPr>
          <w:rFonts w:hint="eastAsia" w:ascii="宋体" w:hAnsi="宋体"/>
          <w:color w:val="auto"/>
          <w:sz w:val="24"/>
          <w:szCs w:val="24"/>
          <w:highlight w:val="none"/>
          <w:lang w:val="en-US" w:eastAsia="zh-CN"/>
        </w:rPr>
        <w:t xml:space="preserve">未达到要求的，须及时</w:t>
      </w:r>
      <w:r>
        <w:rPr>
          <w:rFonts w:ascii="宋体" w:hAnsi="宋体"/>
          <w:color w:val="auto"/>
          <w:sz w:val="24"/>
          <w:szCs w:val="24"/>
          <w:highlight w:val="none"/>
        </w:rPr>
        <w:t xml:space="preserve">补种草花</w:t>
      </w:r>
      <w:r>
        <w:rPr>
          <w:rFonts w:hint="eastAsia" w:ascii="宋体" w:hAnsi="宋体"/>
          <w:color w:val="auto"/>
          <w:sz w:val="24"/>
          <w:szCs w:val="24"/>
          <w:highlight w:val="none"/>
          <w:lang w:val="en-US" w:eastAsia="zh-CN"/>
        </w:rPr>
        <w:t xml:space="preserve">直</w:t>
      </w:r>
      <w:r>
        <w:rPr>
          <w:rFonts w:ascii="宋体" w:hAnsi="宋体"/>
          <w:color w:val="auto"/>
          <w:sz w:val="24"/>
          <w:szCs w:val="24"/>
          <w:highlight w:val="none"/>
        </w:rPr>
        <w:t xml:space="preserve">至</w:t>
      </w:r>
      <w:r>
        <w:rPr>
          <w:rFonts w:hint="eastAsia" w:ascii="宋体" w:hAnsi="宋体"/>
          <w:color w:val="auto"/>
          <w:sz w:val="24"/>
          <w:szCs w:val="24"/>
          <w:highlight w:val="none"/>
          <w:lang w:val="en-US" w:eastAsia="zh-CN"/>
        </w:rPr>
        <w:t xml:space="preserve">符合标准</w:t>
      </w:r>
      <w:r>
        <w:rPr>
          <w:rFonts w:hint="eastAsia" w:ascii="宋体" w:hAnsi="宋体"/>
          <w:color w:val="auto"/>
          <w:sz w:val="24"/>
          <w:szCs w:val="24"/>
          <w:highlight w:val="none"/>
        </w:rPr>
        <w:t xml:space="preserve">。</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3换花移栽前</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须</w:t>
      </w:r>
      <w:r>
        <w:rPr>
          <w:rFonts w:hint="eastAsia" w:ascii="宋体" w:hAnsi="宋体"/>
          <w:color w:val="auto"/>
          <w:sz w:val="24"/>
          <w:szCs w:val="24"/>
          <w:highlight w:val="none"/>
          <w:lang w:val="en-US" w:eastAsia="zh-CN"/>
        </w:rPr>
        <w:t xml:space="preserve">对土壤</w:t>
      </w:r>
      <w:r>
        <w:rPr>
          <w:rFonts w:hint="eastAsia" w:ascii="宋体" w:hAnsi="宋体"/>
          <w:color w:val="auto"/>
          <w:sz w:val="24"/>
          <w:szCs w:val="24"/>
          <w:highlight w:val="none"/>
        </w:rPr>
        <w:t xml:space="preserve">深翻细耙，</w:t>
      </w:r>
      <w:r>
        <w:rPr>
          <w:rFonts w:hint="eastAsia" w:ascii="宋体" w:hAnsi="宋体"/>
          <w:color w:val="auto"/>
          <w:sz w:val="24"/>
          <w:szCs w:val="24"/>
          <w:highlight w:val="none"/>
          <w:lang w:val="en-US" w:eastAsia="zh-CN"/>
        </w:rPr>
        <w:t xml:space="preserve">彻底清除</w:t>
      </w:r>
      <w:r>
        <w:rPr>
          <w:rFonts w:hint="eastAsia" w:ascii="宋体" w:hAnsi="宋体"/>
          <w:color w:val="auto"/>
          <w:sz w:val="24"/>
          <w:szCs w:val="24"/>
          <w:highlight w:val="none"/>
        </w:rPr>
        <w:t xml:space="preserve">土中石块、草屑、残茎、落叶等杂物，并施足基肥。草花更换后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须</w:t>
      </w:r>
      <w:r>
        <w:rPr>
          <w:rFonts w:hint="eastAsia" w:ascii="宋体" w:hAnsi="宋体"/>
          <w:color w:val="auto"/>
          <w:sz w:val="24"/>
          <w:szCs w:val="24"/>
          <w:highlight w:val="none"/>
        </w:rPr>
        <w:t xml:space="preserve">加强水肥</w:t>
      </w:r>
      <w:r>
        <w:rPr>
          <w:rFonts w:hint="eastAsia" w:ascii="宋体" w:hAnsi="宋体"/>
          <w:color w:val="auto"/>
          <w:sz w:val="24"/>
          <w:szCs w:val="24"/>
          <w:highlight w:val="none"/>
          <w:lang w:val="en-US" w:eastAsia="zh-CN"/>
        </w:rPr>
        <w:t xml:space="preserve">管理</w:t>
      </w:r>
      <w:r>
        <w:rPr>
          <w:rFonts w:hint="eastAsia" w:ascii="宋体" w:hAnsi="宋体"/>
          <w:color w:val="auto"/>
          <w:sz w:val="24"/>
          <w:szCs w:val="24"/>
          <w:highlight w:val="none"/>
        </w:rPr>
        <w:t xml:space="preserve">、除草、保洁等日常</w:t>
      </w:r>
      <w:r>
        <w:rPr>
          <w:rFonts w:hint="eastAsia" w:ascii="宋体" w:hAnsi="宋体"/>
          <w:color w:val="auto"/>
          <w:sz w:val="24"/>
          <w:szCs w:val="24"/>
          <w:highlight w:val="none"/>
          <w:lang w:val="en-US" w:eastAsia="zh-CN"/>
        </w:rPr>
        <w:t xml:space="preserve">养护</w:t>
      </w:r>
      <w:r>
        <w:rPr>
          <w:rFonts w:hint="eastAsia" w:ascii="宋体" w:hAnsi="宋体"/>
          <w:color w:val="auto"/>
          <w:sz w:val="24"/>
          <w:szCs w:val="24"/>
          <w:highlight w:val="none"/>
        </w:rPr>
        <w:t xml:space="preserve">，</w:t>
      </w:r>
      <w:r>
        <w:rPr>
          <w:rFonts w:hint="eastAsia" w:ascii="宋体" w:hAnsi="宋体"/>
          <w:color w:val="auto"/>
          <w:sz w:val="24"/>
          <w:szCs w:val="24"/>
          <w:highlight w:val="none"/>
          <w:lang w:val="en-US" w:eastAsia="zh-CN"/>
        </w:rPr>
        <w:t xml:space="preserve">若草花更换期限未到，</w:t>
      </w:r>
      <w:r>
        <w:rPr>
          <w:rFonts w:hint="eastAsia" w:ascii="宋体" w:hAnsi="宋体"/>
          <w:color w:val="auto"/>
          <w:sz w:val="24"/>
          <w:szCs w:val="24"/>
          <w:highlight w:val="none"/>
        </w:rPr>
        <w:t xml:space="preserve">出现死亡、长势不良等明显影响观赏效果的，</w:t>
      </w:r>
      <w:r>
        <w:rPr>
          <w:rFonts w:hint="eastAsia" w:ascii="宋体" w:hAnsi="宋体"/>
          <w:color w:val="auto"/>
          <w:sz w:val="24"/>
          <w:szCs w:val="24"/>
          <w:highlight w:val="none"/>
          <w:lang w:val="en-US" w:eastAsia="zh-CN"/>
        </w:rPr>
        <w:t xml:space="preserve">中标</w:t>
      </w:r>
      <w:r>
        <w:rPr>
          <w:rFonts w:hint="eastAsia" w:ascii="宋体" w:hAnsi="宋体"/>
          <w:color w:val="auto"/>
          <w:sz w:val="24"/>
          <w:szCs w:val="24"/>
          <w:highlight w:val="none"/>
        </w:rPr>
        <w:t xml:space="preserve">单位</w:t>
      </w:r>
      <w:r>
        <w:rPr>
          <w:rFonts w:hint="eastAsia" w:ascii="宋体" w:hAnsi="宋体"/>
          <w:color w:val="auto"/>
          <w:sz w:val="24"/>
          <w:szCs w:val="24"/>
          <w:highlight w:val="none"/>
          <w:lang w:val="en-US" w:eastAsia="zh-CN"/>
        </w:rPr>
        <w:t xml:space="preserve">须</w:t>
      </w:r>
      <w:r>
        <w:rPr>
          <w:rFonts w:hint="eastAsia" w:ascii="宋体" w:hAnsi="宋体"/>
          <w:color w:val="auto"/>
          <w:sz w:val="24"/>
          <w:szCs w:val="24"/>
          <w:highlight w:val="none"/>
        </w:rPr>
        <w:t xml:space="preserve">及时无偿更换、补植到位。</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olor w:val="auto"/>
          <w:sz w:val="24"/>
          <w:szCs w:val="24"/>
          <w:highlight w:val="none"/>
        </w:rPr>
        <w:t xml:space="preserve">4草花种植后</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须</w:t>
      </w:r>
      <w:r>
        <w:rPr>
          <w:rFonts w:hint="eastAsia" w:ascii="宋体" w:hAnsi="宋体"/>
          <w:color w:val="auto"/>
          <w:sz w:val="24"/>
          <w:szCs w:val="24"/>
          <w:highlight w:val="none"/>
        </w:rPr>
        <w:t xml:space="preserve">严格控制</w:t>
      </w:r>
      <w:r>
        <w:rPr>
          <w:rFonts w:hint="eastAsia" w:ascii="宋体" w:hAnsi="宋体"/>
          <w:color w:val="auto"/>
          <w:sz w:val="24"/>
          <w:szCs w:val="24"/>
          <w:highlight w:val="none"/>
          <w:lang w:val="en-US" w:eastAsia="zh-CN"/>
        </w:rPr>
        <w:t xml:space="preserve">植株</w:t>
      </w:r>
      <w:r>
        <w:rPr>
          <w:rFonts w:hint="eastAsia" w:ascii="宋体" w:hAnsi="宋体"/>
          <w:color w:val="auto"/>
          <w:sz w:val="24"/>
          <w:szCs w:val="24"/>
          <w:highlight w:val="none"/>
        </w:rPr>
        <w:t xml:space="preserve">高度，</w:t>
      </w:r>
      <w:r>
        <w:rPr>
          <w:rFonts w:hint="eastAsia" w:ascii="宋体" w:hAnsi="宋体"/>
          <w:color w:val="auto"/>
          <w:sz w:val="24"/>
          <w:szCs w:val="24"/>
          <w:highlight w:val="none"/>
          <w:lang w:val="en-US" w:eastAsia="zh-CN"/>
        </w:rPr>
        <w:t xml:space="preserve">确保整体</w:t>
      </w:r>
      <w:r>
        <w:rPr>
          <w:rFonts w:hint="eastAsia" w:ascii="宋体" w:hAnsi="宋体"/>
          <w:color w:val="auto"/>
          <w:sz w:val="24"/>
          <w:szCs w:val="24"/>
          <w:highlight w:val="none"/>
        </w:rPr>
        <w:t xml:space="preserve">高度一致</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lang w:val="en-US" w:eastAsia="zh-CN"/>
        </w:rPr>
        <w:t xml:space="preserve">保障景观整洁统一</w:t>
      </w:r>
      <w:r>
        <w:rPr>
          <w:rFonts w:hint="eastAsia" w:ascii="宋体" w:hAnsi="宋体"/>
          <w:color w:val="auto"/>
          <w:sz w:val="24"/>
          <w:szCs w:val="24"/>
          <w:highlight w:val="none"/>
        </w:rPr>
        <w:t xml:space="preserve">。 </w:t>
      </w:r>
      <w:r/>
    </w:p>
    <w:p>
      <w:pPr>
        <w:spacing w:line="360" w:lineRule="auto"/>
        <w:rPr>
          <w:rFonts w:hint="eastAsia" w:ascii="宋体" w:hAnsi="宋体" w:eastAsia="宋体" w:cs="Times New Roman"/>
          <w:color w:val="auto"/>
          <w:sz w:val="24"/>
          <w:szCs w:val="24"/>
          <w:highlight w:val="none"/>
        </w:rPr>
      </w:pPr>
      <w:r>
        <w:rPr>
          <w:rFonts w:hint="eastAsia" w:ascii="宋体" w:hAnsi="宋体"/>
          <w:color w:val="auto"/>
          <w:sz w:val="24"/>
          <w:szCs w:val="24"/>
          <w:highlight w:val="none"/>
          <w:lang w:val="en-US" w:eastAsia="zh-CN"/>
        </w:rPr>
        <w:t xml:space="preserve">2.</w:t>
      </w:r>
      <w:r>
        <w:rPr>
          <w:rFonts w:hint="eastAsia" w:ascii="宋体" w:hAnsi="宋体" w:cs="宋体"/>
          <w:color w:val="auto"/>
          <w:sz w:val="24"/>
          <w:szCs w:val="24"/>
          <w:highlight w:val="none"/>
        </w:rPr>
        <w:t xml:space="preserve">5</w:t>
      </w:r>
      <w:r>
        <w:rPr>
          <w:rFonts w:hint="default" w:ascii="宋体" w:hAnsi="宋体" w:eastAsia="宋体" w:cs="Times New Roman"/>
          <w:color w:val="auto"/>
          <w:sz w:val="24"/>
          <w:szCs w:val="24"/>
          <w:highlight w:val="none"/>
          <w:lang w:val="en-US" w:eastAsia="zh-CN"/>
        </w:rPr>
        <w:t xml:space="preserve">服务期间，采购单位发出口头整改通知后，中标单位若第一次未对不符合采购要求的花卉、花器等进行整改，采购单位有权自行选择其他单位实施整改，相关费用从合同价款中扣除；若第二次仍未整改，按上述方式处理；若第三次未整改，采购单位有权发出严重警告，或单方面终止合同，由此产生的相关经济损失由中标单位承担</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cs="宋体"/>
          <w:b/>
          <w:color w:val="auto"/>
          <w:sz w:val="24"/>
          <w:szCs w:val="24"/>
          <w:highlight w:val="none"/>
        </w:rPr>
        <w:outlineLvl w:val="1"/>
      </w:pPr>
      <w:r>
        <w:rPr>
          <w:rFonts w:hint="eastAsia" w:ascii="宋体" w:hAnsi="宋体" w:cs="宋体"/>
          <w:b/>
          <w:color w:val="auto"/>
          <w:sz w:val="24"/>
          <w:szCs w:val="24"/>
          <w:highlight w:val="none"/>
          <w:lang w:val="en-US" w:eastAsia="zh-CN"/>
        </w:rPr>
        <w:t xml:space="preserve">3、</w:t>
      </w:r>
      <w:r>
        <w:rPr>
          <w:rFonts w:hint="eastAsia" w:ascii="宋体" w:hAnsi="宋体" w:cs="宋体"/>
          <w:b/>
          <w:color w:val="auto"/>
          <w:sz w:val="24"/>
          <w:szCs w:val="24"/>
          <w:highlight w:val="none"/>
        </w:rPr>
        <w:t xml:space="preserve">人员、专用设备要求：</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1项目负责人：</w:t>
      </w:r>
      <w:r>
        <w:rPr>
          <w:rFonts w:hint="default" w:ascii="宋体" w:hAnsi="宋体" w:eastAsia="宋体" w:cs="Times New Roman"/>
          <w:color w:val="auto"/>
          <w:sz w:val="24"/>
          <w:szCs w:val="24"/>
          <w:highlight w:val="none"/>
          <w:lang w:val="en-US" w:eastAsia="zh-CN"/>
        </w:rPr>
        <w:t xml:space="preserve">拟投入本项目的负责人，从业经历中无任何因违法、违规被查处的不良记录（须提供承诺函，否则视为未实质性响应招标要求）。中标后，项目负责人不得变更，直至本项目合同履行完毕。合同签订前，中标单位须将投标时上报的项目负责人及现场负责人信息上报采购单位备案</w:t>
      </w:r>
      <w:r>
        <w:rPr>
          <w:rFonts w:hint="eastAsia" w:ascii="宋体" w:hAnsi="宋体" w:eastAsia="宋体" w:cs="Times New Roman"/>
          <w:color w:val="auto"/>
          <w:sz w:val="24"/>
          <w:szCs w:val="24"/>
          <w:highlight w:val="none"/>
          <w:lang w:val="en-US" w:eastAsia="zh-CN"/>
        </w:rPr>
        <w:t xml:space="preserve">。</w:t>
      </w:r>
      <w:r/>
    </w:p>
    <w:p>
      <w:pPr>
        <w:spacing w:line="360" w:lineRule="auto"/>
        <w:rPr>
          <w:rFonts w:hint="eastAsia" w:ascii="宋体" w:hAnsi="宋体" w:eastAsia="宋体" w:cs="Times New Roman"/>
          <w:color w:val="auto"/>
          <w:sz w:val="24"/>
          <w:szCs w:val="24"/>
          <w:highlight w:val="none"/>
          <w:lang w:val="en-US"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2项目组人员（项目负责人除外）：</w:t>
      </w:r>
      <w:r>
        <w:rPr>
          <w:rFonts w:hint="default" w:ascii="宋体" w:hAnsi="宋体" w:eastAsia="宋体" w:cs="Times New Roman"/>
          <w:color w:val="auto"/>
          <w:sz w:val="24"/>
          <w:szCs w:val="24"/>
          <w:highlight w:val="none"/>
          <w:lang w:val="en-US" w:eastAsia="zh-CN"/>
        </w:rPr>
        <w:t xml:space="preserve">为保障每季花箱草花顺利实施，负责项目实施期间的技术决策与技术指导工作，须为本项目配置技术负责人；为保障花箱草花实施现场安全，须设置安全员岗位；为规范项目资料整理及归档工作，须设置资料员岗位；花箱草花种植现场须配置相应数量的绿化工、植保工等专业技术人员</w:t>
      </w:r>
      <w:r>
        <w:rPr>
          <w:rFonts w:hint="eastAsia" w:ascii="宋体" w:hAnsi="宋体" w:eastAsia="宋体" w:cs="Times New Roman"/>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3项目实施与养护期间的专用设备：</w:t>
      </w:r>
      <w:r>
        <w:rPr>
          <w:rFonts w:hint="default" w:ascii="宋体" w:hAnsi="宋体" w:eastAsia="宋体" w:cs="宋体"/>
          <w:color w:val="auto"/>
          <w:sz w:val="24"/>
          <w:szCs w:val="24"/>
          <w:highlight w:val="none"/>
          <w:lang w:val="en-US" w:eastAsia="zh-CN" w:bidi="ar"/>
        </w:rPr>
        <w:t xml:space="preserve">现场须配置相应洒水设备及配套作业人员，保障草花种植养护用水需求；及时清理种植现场遗留杂物及滴漏物，保持现场环境整洁美观，控制扬尘污染，须配置相应清扫设备及配套作业人员；养护期间做好日常巡视工作，及时整改、更换不合格草花，须配置相应巡视工具</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4</w:t>
      </w:r>
      <w:r>
        <w:rPr>
          <w:rFonts w:hint="default" w:ascii="宋体" w:hAnsi="宋体" w:eastAsia="宋体" w:cs="宋体"/>
          <w:color w:val="auto"/>
          <w:sz w:val="24"/>
          <w:szCs w:val="24"/>
          <w:highlight w:val="none"/>
          <w:lang w:val="en-US" w:eastAsia="zh-CN" w:bidi="ar"/>
        </w:rPr>
        <w:t xml:space="preserve">合同期内，作业人员工作期间须穿着统一反光马甲上岗，作业时须采取相应安全防护措施，中标单位承诺在中标后一个月内配置到位，否则按未统一着装处理，每发现一次，直接在当季进度款中扣除500元。中标单位须为所有相关工作人员购买意外险等相关保险，并严格遵守采购单位各项管理规定。若遇重要活动、参观接待等情况，中标单位须及时组织人员，完成各项突击任务；接到采购单位或第三方巡查考核中发现的问题后，须及时整改到位</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5台账：</w:t>
      </w:r>
      <w:r>
        <w:rPr>
          <w:rFonts w:hint="default" w:ascii="宋体" w:hAnsi="宋体" w:eastAsia="宋体" w:cs="宋体"/>
          <w:color w:val="auto"/>
          <w:sz w:val="24"/>
          <w:szCs w:val="24"/>
          <w:highlight w:val="none"/>
          <w:lang w:val="en-US" w:eastAsia="zh-CN" w:bidi="ar"/>
        </w:rPr>
        <w:t xml:space="preserve">中标单位须按照采购内容，规范建立花卉种植台账、养护记录等相关台账；草花种植完成后，须配合采购单位及第三方完成验收工作，并如实填写验收表</w:t>
      </w:r>
      <w:r>
        <w:rPr>
          <w:rFonts w:hint="eastAsia" w:ascii="宋体" w:hAnsi="宋体" w:cs="宋体"/>
          <w:color w:val="auto"/>
          <w:sz w:val="24"/>
          <w:szCs w:val="24"/>
          <w:highlight w:val="none"/>
        </w:rPr>
        <w:t xml:space="preserve">。</w:t>
      </w:r>
      <w:r/>
    </w:p>
    <w:p>
      <w:pPr>
        <w:spacing w:line="360" w:lineRule="auto"/>
        <w:rPr>
          <w:rFonts w:hint="default" w:ascii="宋体" w:hAnsi="宋体" w:eastAsia="宋体" w:cs="宋体"/>
          <w:b/>
          <w:color w:val="auto"/>
          <w:sz w:val="24"/>
          <w:szCs w:val="24"/>
          <w:highlight w:val="none"/>
          <w:lang w:val="en-US" w:eastAsia="zh-CN"/>
        </w:rPr>
      </w:pPr>
      <w:r>
        <w:rPr>
          <w:rFonts w:hint="eastAsia" w:ascii="宋体" w:hAnsi="宋体" w:cs="宋体"/>
          <w:b/>
          <w:color w:val="auto"/>
          <w:sz w:val="24"/>
          <w:szCs w:val="24"/>
          <w:highlight w:val="none"/>
        </w:rPr>
        <w:t xml:space="preserve">4</w:t>
      </w:r>
      <w:r>
        <w:rPr>
          <w:rFonts w:hint="eastAsia" w:ascii="宋体" w:hAnsi="宋体" w:cs="宋体"/>
          <w:b/>
          <w:color w:val="auto"/>
          <w:sz w:val="24"/>
          <w:szCs w:val="24"/>
          <w:highlight w:val="none"/>
          <w:lang w:eastAsia="zh-CN"/>
        </w:rPr>
        <w:t xml:space="preserve">、</w:t>
      </w:r>
      <w:r>
        <w:rPr>
          <w:rFonts w:hint="eastAsia" w:ascii="宋体" w:hAnsi="宋体" w:cs="宋体"/>
          <w:b/>
          <w:color w:val="auto"/>
          <w:sz w:val="24"/>
          <w:szCs w:val="24"/>
          <w:highlight w:val="none"/>
          <w:lang w:val="en-US" w:eastAsia="zh-CN"/>
        </w:rPr>
        <w:t xml:space="preserve">其他要求</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1</w:t>
      </w:r>
      <w:r>
        <w:rPr>
          <w:rFonts w:hint="eastAsia" w:ascii="宋体" w:hAnsi="宋体" w:cs="宋体"/>
          <w:color w:val="auto"/>
          <w:sz w:val="24"/>
          <w:szCs w:val="24"/>
          <w:highlight w:val="none"/>
          <w:lang w:val="en-US" w:eastAsia="zh-CN"/>
        </w:rPr>
        <w:t xml:space="preserve">中标</w:t>
      </w:r>
      <w:r>
        <w:rPr>
          <w:rFonts w:hint="eastAsia" w:ascii="宋体" w:hAnsi="宋体" w:cs="宋体"/>
          <w:color w:val="auto"/>
          <w:sz w:val="24"/>
          <w:szCs w:val="24"/>
          <w:highlight w:val="none"/>
        </w:rPr>
        <w:t xml:space="preserve">单位须提供每季花箱植物配置、草花种植的设计方案，每套</w:t>
      </w:r>
      <w:r>
        <w:rPr>
          <w:rFonts w:hint="eastAsia" w:ascii="宋体" w:hAnsi="宋体" w:cs="宋体"/>
          <w:color w:val="auto"/>
          <w:sz w:val="24"/>
          <w:szCs w:val="24"/>
          <w:highlight w:val="none"/>
          <w:lang w:val="en-US" w:eastAsia="zh-CN"/>
        </w:rPr>
        <w:t xml:space="preserve">方案须</w:t>
      </w:r>
      <w:r>
        <w:rPr>
          <w:rFonts w:hint="eastAsia" w:ascii="宋体" w:hAnsi="宋体" w:cs="宋体"/>
          <w:color w:val="auto"/>
          <w:sz w:val="24"/>
          <w:szCs w:val="24"/>
          <w:highlight w:val="none"/>
        </w:rPr>
        <w:t xml:space="preserve">包括花卉品种、规格、数量等文字说明及彩色图</w:t>
      </w:r>
      <w:r>
        <w:rPr>
          <w:rFonts w:hint="eastAsia" w:ascii="宋体" w:hAnsi="宋体" w:cs="宋体"/>
          <w:color w:val="auto"/>
          <w:sz w:val="24"/>
          <w:szCs w:val="24"/>
          <w:highlight w:val="none"/>
          <w:lang w:val="en-US" w:eastAsia="zh-CN"/>
        </w:rPr>
        <w:t xml:space="preserve">形</w:t>
      </w:r>
      <w:r>
        <w:rPr>
          <w:rFonts w:hint="eastAsia" w:ascii="宋体" w:hAnsi="宋体" w:cs="宋体"/>
          <w:color w:val="auto"/>
          <w:sz w:val="24"/>
          <w:szCs w:val="24"/>
          <w:highlight w:val="none"/>
        </w:rPr>
        <w:t xml:space="preserve">，经</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确认后方可</w:t>
      </w:r>
      <w:r>
        <w:rPr>
          <w:rFonts w:hint="eastAsia" w:ascii="宋体" w:hAnsi="宋体" w:cs="宋体"/>
          <w:color w:val="auto"/>
          <w:sz w:val="24"/>
          <w:szCs w:val="24"/>
          <w:highlight w:val="none"/>
          <w:lang w:val="en-US" w:eastAsia="zh-CN"/>
        </w:rPr>
        <w:t xml:space="preserve">开展</w:t>
      </w:r>
      <w:r>
        <w:rPr>
          <w:rFonts w:hint="eastAsia" w:ascii="宋体" w:hAnsi="宋体" w:cs="宋体"/>
          <w:color w:val="auto"/>
          <w:sz w:val="24"/>
          <w:szCs w:val="24"/>
          <w:highlight w:val="none"/>
        </w:rPr>
        <w:t xml:space="preserve">种植</w:t>
      </w:r>
      <w:r>
        <w:rPr>
          <w:rFonts w:hint="eastAsia" w:ascii="宋体" w:hAnsi="宋体" w:cs="宋体"/>
          <w:color w:val="auto"/>
          <w:sz w:val="24"/>
          <w:szCs w:val="24"/>
          <w:highlight w:val="none"/>
          <w:lang w:val="en-US" w:eastAsia="zh-CN"/>
        </w:rPr>
        <w:t xml:space="preserve">作业</w:t>
      </w:r>
      <w:r>
        <w:rPr>
          <w:rFonts w:hint="eastAsia" w:ascii="宋体" w:hAnsi="宋体" w:cs="宋体"/>
          <w:color w:val="auto"/>
          <w:sz w:val="24"/>
          <w:szCs w:val="24"/>
          <w:highlight w:val="none"/>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4.2中标</w:t>
      </w:r>
      <w:r>
        <w:rPr>
          <w:rFonts w:hint="eastAsia" w:ascii="宋体" w:hAnsi="宋体" w:cs="宋体"/>
          <w:color w:val="auto"/>
          <w:sz w:val="24"/>
          <w:szCs w:val="24"/>
          <w:highlight w:val="none"/>
        </w:rPr>
        <w:t xml:space="preserve">单位更换每茬草花前，须</w:t>
      </w:r>
      <w:r>
        <w:rPr>
          <w:rFonts w:hint="eastAsia" w:ascii="宋体" w:hAnsi="宋体" w:cs="宋体"/>
          <w:color w:val="auto"/>
          <w:sz w:val="24"/>
          <w:szCs w:val="24"/>
          <w:highlight w:val="none"/>
          <w:lang w:val="en-US" w:eastAsia="zh-CN"/>
        </w:rPr>
        <w:t xml:space="preserve">提前</w:t>
      </w:r>
      <w:r>
        <w:rPr>
          <w:rFonts w:hint="eastAsia" w:ascii="宋体" w:hAnsi="宋体" w:cs="宋体"/>
          <w:color w:val="auto"/>
          <w:sz w:val="24"/>
          <w:szCs w:val="24"/>
          <w:highlight w:val="none"/>
        </w:rPr>
        <w:t xml:space="preserve">征得</w:t>
      </w:r>
      <w:r>
        <w:rPr>
          <w:rFonts w:hint="eastAsia" w:ascii="宋体" w:hAnsi="宋体" w:cs="宋体"/>
          <w:color w:val="auto"/>
          <w:sz w:val="24"/>
          <w:szCs w:val="24"/>
          <w:highlight w:val="none"/>
          <w:lang w:val="en-US" w:eastAsia="zh-CN"/>
        </w:rPr>
        <w:t xml:space="preserve">采购单位</w:t>
      </w:r>
      <w:r>
        <w:rPr>
          <w:rFonts w:hint="eastAsia" w:ascii="宋体" w:hAnsi="宋体" w:cs="宋体"/>
          <w:color w:val="auto"/>
          <w:sz w:val="24"/>
          <w:szCs w:val="24"/>
          <w:highlight w:val="none"/>
        </w:rPr>
        <w:t xml:space="preserve">同意，否则</w:t>
      </w:r>
      <w:r>
        <w:rPr>
          <w:rFonts w:hint="eastAsia" w:ascii="宋体" w:hAnsi="宋体" w:cs="宋体"/>
          <w:color w:val="auto"/>
          <w:sz w:val="24"/>
          <w:szCs w:val="24"/>
          <w:highlight w:val="none"/>
          <w:lang w:val="en-US" w:eastAsia="zh-CN"/>
        </w:rPr>
        <w:t xml:space="preserve">采购单位</w:t>
      </w:r>
      <w:r>
        <w:rPr>
          <w:rFonts w:hint="eastAsia" w:ascii="宋体" w:hAnsi="宋体" w:cs="宋体"/>
          <w:color w:val="auto"/>
          <w:sz w:val="24"/>
          <w:szCs w:val="24"/>
          <w:highlight w:val="none"/>
        </w:rPr>
        <w:t xml:space="preserve">将不予以确认</w:t>
      </w:r>
      <w:r>
        <w:rPr>
          <w:rFonts w:hint="eastAsia" w:ascii="宋体" w:hAnsi="宋体" w:cs="宋体"/>
          <w:color w:val="auto"/>
          <w:sz w:val="24"/>
          <w:szCs w:val="24"/>
          <w:highlight w:val="none"/>
          <w:lang w:val="en-US" w:eastAsia="zh-CN"/>
        </w:rPr>
        <w:t xml:space="preserve">该批次</w:t>
      </w:r>
      <w:r>
        <w:rPr>
          <w:rFonts w:hint="eastAsia" w:ascii="宋体" w:hAnsi="宋体" w:cs="宋体"/>
          <w:color w:val="auto"/>
          <w:sz w:val="24"/>
          <w:szCs w:val="24"/>
          <w:highlight w:val="none"/>
        </w:rPr>
        <w:t xml:space="preserve">更换的草花数量。</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4.3</w:t>
      </w:r>
      <w:r>
        <w:rPr>
          <w:rFonts w:hint="eastAsia" w:ascii="宋体" w:hAnsi="宋体" w:cs="宋体"/>
          <w:color w:val="auto"/>
          <w:sz w:val="24"/>
          <w:szCs w:val="24"/>
          <w:highlight w:val="none"/>
        </w:rPr>
        <w:t xml:space="preserve">除</w:t>
      </w:r>
      <w:r>
        <w:rPr>
          <w:rFonts w:hint="eastAsia" w:ascii="宋体" w:hAnsi="宋体" w:cs="宋体"/>
          <w:color w:val="auto"/>
          <w:sz w:val="24"/>
          <w:szCs w:val="24"/>
          <w:highlight w:val="none"/>
          <w:lang w:val="en-US" w:eastAsia="zh-CN"/>
        </w:rPr>
        <w:t xml:space="preserve">采购服务清单内明确的花卉</w:t>
      </w:r>
      <w:r>
        <w:rPr>
          <w:rFonts w:hint="eastAsia" w:ascii="宋体" w:hAnsi="宋体" w:cs="宋体"/>
          <w:color w:val="auto"/>
          <w:sz w:val="24"/>
          <w:szCs w:val="24"/>
          <w:highlight w:val="none"/>
        </w:rPr>
        <w:t xml:space="preserve">品种外，</w:t>
      </w:r>
      <w:r>
        <w:rPr>
          <w:rFonts w:hint="eastAsia" w:ascii="宋体" w:hAnsi="宋体" w:cs="宋体"/>
          <w:color w:val="auto"/>
          <w:sz w:val="24"/>
          <w:szCs w:val="24"/>
          <w:highlight w:val="none"/>
          <w:lang w:val="en-US" w:eastAsia="zh-CN"/>
        </w:rPr>
        <w:t xml:space="preserve">中标单位经</w:t>
      </w:r>
      <w:r>
        <w:rPr>
          <w:rFonts w:hint="eastAsia" w:ascii="宋体" w:hAnsi="宋体" w:cs="宋体"/>
          <w:color w:val="auto"/>
          <w:sz w:val="24"/>
          <w:szCs w:val="24"/>
          <w:highlight w:val="none"/>
          <w:lang w:eastAsia="zh-CN"/>
        </w:rPr>
        <w:t xml:space="preserve">采购单位</w:t>
      </w:r>
      <w:r>
        <w:rPr>
          <w:rFonts w:hint="eastAsia" w:ascii="宋体" w:hAnsi="宋体" w:cs="宋体"/>
          <w:color w:val="auto"/>
          <w:sz w:val="24"/>
          <w:szCs w:val="24"/>
          <w:highlight w:val="none"/>
        </w:rPr>
        <w:t xml:space="preserve">同意后，可根据上报的植物配置方案</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引进并种植其他新品种</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对于</w:t>
      </w:r>
      <w:r>
        <w:rPr>
          <w:rFonts w:hint="eastAsia" w:ascii="宋体" w:hAnsi="宋体" w:cs="宋体"/>
          <w:color w:val="auto"/>
          <w:sz w:val="24"/>
          <w:szCs w:val="24"/>
          <w:highlight w:val="none"/>
          <w:lang w:val="en-US" w:eastAsia="zh-CN"/>
        </w:rPr>
        <w:t xml:space="preserve">招标文件中明确注明</w:t>
      </w:r>
      <w:r>
        <w:rPr>
          <w:rFonts w:hint="eastAsia" w:ascii="宋体" w:hAnsi="宋体" w:cs="宋体"/>
          <w:color w:val="auto"/>
          <w:sz w:val="24"/>
          <w:szCs w:val="24"/>
          <w:highlight w:val="none"/>
        </w:rPr>
        <w:t xml:space="preserve">规格的品种，实际应用时不得低于对应规格标准。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4.4</w:t>
      </w:r>
      <w:r>
        <w:rPr>
          <w:rFonts w:hint="eastAsia" w:ascii="宋体" w:hAnsi="宋体" w:cs="宋体"/>
          <w:color w:val="auto"/>
          <w:sz w:val="24"/>
          <w:szCs w:val="24"/>
          <w:highlight w:val="none"/>
        </w:rPr>
        <w:t xml:space="preserve">中标单位</w:t>
      </w:r>
      <w:r>
        <w:rPr>
          <w:rFonts w:hint="eastAsia" w:ascii="宋体" w:hAnsi="宋体" w:cs="宋体"/>
          <w:color w:val="auto"/>
          <w:sz w:val="24"/>
          <w:szCs w:val="24"/>
          <w:highlight w:val="none"/>
          <w:lang w:val="en-US" w:eastAsia="zh-CN"/>
        </w:rPr>
        <w:t xml:space="preserve">须</w:t>
      </w:r>
      <w:r>
        <w:rPr>
          <w:rFonts w:hint="eastAsia" w:ascii="宋体" w:hAnsi="宋体" w:cs="宋体"/>
          <w:color w:val="auto"/>
          <w:sz w:val="24"/>
          <w:szCs w:val="24"/>
          <w:highlight w:val="none"/>
        </w:rPr>
        <w:t xml:space="preserve">按照招标文件要求</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rPr>
        <w:t xml:space="preserve">提供合格的产品服务</w:t>
      </w:r>
      <w:r>
        <w:rPr>
          <w:rFonts w:hint="eastAsia" w:ascii="宋体" w:hAnsi="宋体" w:cs="宋体"/>
          <w:color w:val="auto"/>
          <w:sz w:val="24"/>
          <w:szCs w:val="24"/>
          <w:highlight w:val="none"/>
          <w:lang w:eastAsia="zh-CN"/>
        </w:rPr>
        <w:t xml:space="preserve">，对于长势不良、蓬形不佳且严重影响景观效果的草花，须无偿立即更换。</w:t>
      </w:r>
      <w:r/>
    </w:p>
    <w:p>
      <w:pPr>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lang w:val="en-US" w:eastAsia="zh-CN"/>
        </w:rPr>
        <w:t xml:space="preserve">4.5</w:t>
      </w:r>
      <w:r>
        <w:rPr>
          <w:rFonts w:hint="eastAsia" w:ascii="宋体" w:hAnsi="宋体" w:cs="宋体"/>
          <w:color w:val="auto"/>
          <w:sz w:val="24"/>
          <w:szCs w:val="24"/>
          <w:highlight w:val="none"/>
        </w:rPr>
        <w:t xml:space="preserve">草花的验收包括</w:t>
      </w:r>
      <w:r>
        <w:rPr>
          <w:rFonts w:hint="eastAsia" w:ascii="宋体" w:hAnsi="宋体" w:cs="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花卉品种、</w:t>
      </w:r>
      <w:r>
        <w:rPr>
          <w:rFonts w:hint="eastAsia" w:ascii="宋体" w:hAnsi="宋体" w:eastAsia="宋体" w:cs="宋体"/>
          <w:color w:val="auto"/>
          <w:sz w:val="24"/>
          <w:szCs w:val="24"/>
          <w:highlight w:val="none"/>
          <w:lang w:val="en-US" w:eastAsia="zh-CN"/>
        </w:rPr>
        <w:t xml:space="preserve">种植</w:t>
      </w:r>
      <w:r>
        <w:rPr>
          <w:rFonts w:hint="eastAsia" w:ascii="宋体" w:hAnsi="宋体" w:eastAsia="宋体" w:cs="宋体"/>
          <w:color w:val="auto"/>
          <w:sz w:val="24"/>
          <w:szCs w:val="24"/>
          <w:highlight w:val="none"/>
        </w:rPr>
        <w:t xml:space="preserve">密度、</w:t>
      </w:r>
      <w:r>
        <w:rPr>
          <w:rFonts w:hint="eastAsia" w:ascii="宋体" w:hAnsi="宋体" w:eastAsia="宋体" w:cs="宋体"/>
          <w:color w:val="auto"/>
          <w:sz w:val="24"/>
          <w:szCs w:val="24"/>
          <w:highlight w:val="none"/>
          <w:lang w:val="en-US" w:eastAsia="zh-CN"/>
        </w:rPr>
        <w:t xml:space="preserve">产品</w:t>
      </w:r>
      <w:r>
        <w:rPr>
          <w:rFonts w:hint="eastAsia" w:ascii="宋体" w:hAnsi="宋体" w:eastAsia="宋体" w:cs="宋体"/>
          <w:color w:val="auto"/>
          <w:sz w:val="24"/>
          <w:szCs w:val="24"/>
          <w:highlight w:val="none"/>
        </w:rPr>
        <w:t xml:space="preserve">质量以及养护管理质量，</w:t>
      </w:r>
      <w:r>
        <w:rPr>
          <w:rFonts w:hint="default" w:ascii="宋体" w:hAnsi="宋体" w:eastAsia="宋体" w:cs="宋体"/>
          <w:color w:val="auto"/>
          <w:sz w:val="24"/>
          <w:szCs w:val="24"/>
          <w:highlight w:val="none"/>
          <w:lang w:val="en-US" w:eastAsia="zh-CN"/>
        </w:rPr>
        <w:t xml:space="preserve">中标单位对验收中发现的质量问题，须无条件更换不合格花卉，由此产生的一切费用由中标单位承担</w:t>
      </w:r>
      <w:r>
        <w:rPr>
          <w:rFonts w:hint="eastAsia" w:ascii="宋体" w:hAnsi="宋体" w:eastAsia="宋体" w:cs="宋体"/>
          <w:color w:val="auto"/>
          <w:sz w:val="24"/>
          <w:szCs w:val="24"/>
          <w:highlight w:val="none"/>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4.6验收标准：依据采购文件、中标单位投标文件、双方签订的合同文件，以及《江苏省政府采购履约验收管理办法》相</w:t>
      </w:r>
      <w:r>
        <w:rPr>
          <w:rFonts w:hint="eastAsia" w:ascii="宋体" w:hAnsi="宋体" w:eastAsia="宋体" w:cs="宋体"/>
          <w:color w:val="auto"/>
          <w:sz w:val="24"/>
          <w:szCs w:val="24"/>
          <w:highlight w:val="none"/>
          <w:lang w:val="en-US" w:eastAsia="zh-CN"/>
        </w:rPr>
        <w:t xml:space="preserve">关规定相关规定</w:t>
      </w:r>
      <w:r>
        <w:rPr>
          <w:rFonts w:hint="default" w:ascii="宋体" w:hAnsi="宋体" w:eastAsia="宋体" w:cs="宋体"/>
          <w:color w:val="auto"/>
          <w:sz w:val="24"/>
          <w:szCs w:val="24"/>
          <w:highlight w:val="none"/>
          <w:lang w:val="en-US" w:eastAsia="zh-CN"/>
        </w:rPr>
        <w:t xml:space="preserve">和现行法律法规、行业规范执行；验收及检查期限覆盖整个服务期</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4.7</w:t>
      </w:r>
      <w:r>
        <w:rPr>
          <w:rFonts w:hint="eastAsia" w:ascii="宋体" w:hAnsi="宋体" w:cs="宋体"/>
          <w:color w:val="auto"/>
          <w:sz w:val="24"/>
          <w:szCs w:val="24"/>
          <w:highlight w:val="none"/>
        </w:rPr>
        <w:t xml:space="preserve">管养服务：</w:t>
      </w:r>
      <w:r>
        <w:rPr>
          <w:rFonts w:hint="default" w:ascii="宋体" w:hAnsi="宋体" w:eastAsia="宋体" w:cs="宋体"/>
          <w:color w:val="auto"/>
          <w:sz w:val="24"/>
          <w:szCs w:val="24"/>
          <w:highlight w:val="none"/>
          <w:lang w:val="en-US" w:eastAsia="zh-CN"/>
        </w:rPr>
        <w:t xml:space="preserve">中标单位须以优良服务态度提供响应服务，接到采购单位修补要求后，1小时内响应、4小时内完成修补工作</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w:t>
      </w:r>
      <w:r>
        <w:rPr>
          <w:rFonts w:hint="eastAsia" w:ascii="宋体" w:hAnsi="宋体" w:cs="宋体"/>
          <w:color w:val="auto"/>
          <w:sz w:val="24"/>
          <w:szCs w:val="24"/>
          <w:highlight w:val="none"/>
          <w:lang w:val="en-US" w:eastAsia="zh-CN"/>
        </w:rPr>
        <w:t xml:space="preserve">8</w:t>
      </w:r>
      <w:r>
        <w:rPr>
          <w:rFonts w:hint="default" w:ascii="宋体" w:hAnsi="宋体" w:eastAsia="宋体" w:cs="宋体"/>
          <w:color w:val="auto"/>
          <w:sz w:val="24"/>
          <w:szCs w:val="24"/>
          <w:highlight w:val="none"/>
          <w:lang w:val="en-US" w:eastAsia="zh-CN"/>
        </w:rPr>
        <w:t xml:space="preserve">若中标单位在养护期间违反下列规定，采购单位有权解除承包合同</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4.8.1严禁将</w:t>
      </w:r>
      <w:r>
        <w:rPr>
          <w:rFonts w:hint="default" w:ascii="宋体" w:hAnsi="宋体" w:eastAsia="宋体" w:cs="宋体"/>
          <w:color w:val="auto"/>
          <w:sz w:val="24"/>
          <w:szCs w:val="24"/>
          <w:highlight w:val="none"/>
          <w:lang w:val="en-US" w:eastAsia="zh-CN"/>
        </w:rPr>
        <w:t xml:space="preserve">本项目养护管理工作转包给他人</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4.8.2</w:t>
      </w:r>
      <w:r>
        <w:rPr>
          <w:rFonts w:hint="default" w:ascii="宋体" w:hAnsi="宋体" w:eastAsia="宋体" w:cs="宋体"/>
          <w:color w:val="auto"/>
          <w:sz w:val="24"/>
          <w:szCs w:val="24"/>
          <w:highlight w:val="none"/>
          <w:lang w:val="en-US" w:eastAsia="zh-CN"/>
        </w:rPr>
        <w:t xml:space="preserve">违反本项目相关考核办法的有关规定</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4.9</w:t>
      </w:r>
      <w:r>
        <w:rPr>
          <w:rFonts w:hint="default" w:ascii="宋体" w:hAnsi="宋体" w:eastAsia="宋体" w:cs="宋体"/>
          <w:color w:val="auto"/>
          <w:sz w:val="24"/>
          <w:szCs w:val="24"/>
          <w:highlight w:val="none"/>
          <w:lang w:val="en-US" w:eastAsia="zh-CN"/>
        </w:rPr>
        <w:t xml:space="preserve">履约保证金在养护期满、养护缺陷全部更正，并配合采购单位及下一轮中标单位完成移交手续后，无息返还。若中标单位对养护缺陷不予更正，采购单位有权另行委托其他单位进行更正，所产生的费用从履约保证金中扣除</w:t>
      </w:r>
      <w:r>
        <w:rPr>
          <w:rFonts w:hint="eastAsia" w:ascii="宋体" w:hAnsi="宋体" w:eastAsia="宋体" w:cs="宋体"/>
          <w:color w:val="auto"/>
          <w:sz w:val="24"/>
          <w:szCs w:val="24"/>
          <w:highlight w:val="none"/>
          <w:lang w:val="en-US" w:eastAsia="zh-CN"/>
        </w:rPr>
        <w:t xml:space="preserve">。</w:t>
      </w:r>
      <w:r/>
    </w:p>
    <w:p>
      <w:pPr>
        <w:spacing w:line="360" w:lineRule="auto"/>
        <w:rPr>
          <w:rFonts w:hint="default" w:ascii="宋体" w:hAnsi="宋体" w:eastAsia="宋体" w:cs="宋体"/>
          <w:color w:val="auto"/>
          <w:sz w:val="24"/>
          <w:szCs w:val="24"/>
          <w:highlight w:val="none"/>
          <w:lang w:val="en-US" w:eastAsia="zh-CN"/>
        </w:rPr>
      </w:pPr>
      <w:r>
        <w:rPr>
          <w:rFonts w:hint="eastAsia" w:ascii="宋体" w:hAnsi="宋体" w:eastAsia="宋体" w:cs="宋体"/>
          <w:color w:val="auto"/>
          <w:sz w:val="24"/>
          <w:szCs w:val="24"/>
          <w:highlight w:val="none"/>
          <w:lang w:val="en-US" w:eastAsia="zh-CN"/>
        </w:rPr>
        <w:t xml:space="preserve">4.10</w:t>
      </w:r>
      <w:r>
        <w:rPr>
          <w:rFonts w:hint="default" w:ascii="宋体" w:hAnsi="宋体" w:eastAsia="宋体" w:cs="宋体"/>
          <w:color w:val="auto"/>
          <w:sz w:val="24"/>
          <w:szCs w:val="24"/>
          <w:highlight w:val="none"/>
          <w:lang w:val="en-US" w:eastAsia="zh-CN"/>
        </w:rPr>
        <w:t xml:space="preserve">服务期间，若采购单位接到上级通知，需在招标约定地点以外的区域增设花箱草花摆放点，且新增草花品种为招标包含品种的，由此产生的费用参照实际新增草花种植数量及投标文件中的单价进行调整确认，核定后签订补充合同，新增费用总额不得超过原合同总价的10%</w:t>
      </w:r>
      <w:r>
        <w:rPr>
          <w:rFonts w:hint="eastAsia" w:ascii="宋体" w:hAnsi="宋体" w:eastAsia="宋体" w:cs="宋体"/>
          <w:color w:val="auto"/>
          <w:sz w:val="24"/>
          <w:szCs w:val="24"/>
          <w:highlight w:val="none"/>
          <w:lang w:val="en-US" w:eastAsia="zh-CN"/>
        </w:rPr>
        <w:t xml:space="preserve">。</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五、综合说明：</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1、投标单位必须说明其是否响应采购文件中提出的全部服务内容与要求，如果对其中某些条款不响应时，应在文件中逐条列出。</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2、本项目中投标报价</w:t>
      </w:r>
      <w:r>
        <w:rPr>
          <w:rFonts w:hint="eastAsia" w:ascii="宋体" w:hAnsi="宋体" w:cs="宋体"/>
          <w:color w:val="auto"/>
          <w:sz w:val="24"/>
          <w:szCs w:val="24"/>
          <w:highlight w:val="none"/>
          <w:lang w:eastAsia="zh-CN"/>
        </w:rPr>
        <w:t xml:space="preserve">包括但不限于所需要的花木、种植基质（如草炭、珍珠岩、营养土等）、辅助材料、人工、机械、运输、仓储、安装、调试、保险、劳保、设计费、各种税费、绿化养护费用、管理费、利润、代理服务费、专利技术及养护期间等一切费用</w:t>
      </w:r>
      <w:r>
        <w:rPr>
          <w:rFonts w:hint="eastAsia" w:ascii="宋体" w:hAnsi="宋体" w:eastAsia="宋体" w:cs="宋体"/>
          <w:color w:val="auto"/>
          <w:sz w:val="24"/>
          <w:szCs w:val="24"/>
          <w:highlight w:val="none"/>
        </w:rPr>
        <w:t xml:space="preserve">。</w:t>
      </w:r>
      <w:r/>
    </w:p>
    <w:p>
      <w:pPr>
        <w:keepLines w:val="0"/>
        <w:keepNext w:val="0"/>
        <w:pageBreakBefore w:val="0"/>
        <w:spacing w:beforeAutospacing="0" w:line="360" w:lineRule="auto"/>
        <w:widowControl w:val="off"/>
        <w:rPr>
          <w:rFonts w:hint="eastAsia" w:ascii="宋体" w:hAnsi="宋体" w:eastAsia="宋体" w:cs="宋体"/>
          <w:color w:val="auto"/>
          <w:sz w:val="24"/>
          <w:szCs w:val="24"/>
          <w:highlight w:val="none"/>
          <w:lang w:eastAsia="zh-CN"/>
        </w:rPr>
      </w:pPr>
      <w:r>
        <w:rPr>
          <w:rFonts w:hint="eastAsia" w:ascii="宋体" w:hAnsi="宋体" w:cs="宋体"/>
          <w:color w:val="auto"/>
          <w:sz w:val="24"/>
          <w:szCs w:val="24"/>
          <w:highlight w:val="none"/>
          <w:lang w:val="en-US" w:eastAsia="zh-CN"/>
        </w:rPr>
        <w:t xml:space="preserve">3、</w:t>
      </w:r>
      <w:r>
        <w:rPr>
          <w:rFonts w:hint="eastAsia" w:ascii="宋体" w:hAnsi="宋体" w:cs="宋体"/>
          <w:color w:val="auto"/>
          <w:sz w:val="24"/>
          <w:szCs w:val="24"/>
          <w:highlight w:val="none"/>
        </w:rPr>
        <w:t xml:space="preserve">服务期限：</w:t>
      </w:r>
      <w:r>
        <w:rPr>
          <w:rFonts w:hint="eastAsia" w:ascii="宋体" w:hAnsi="宋体" w:cs="宋体"/>
          <w:color w:val="auto"/>
          <w:sz w:val="24"/>
          <w:szCs w:val="24"/>
          <w:highlight w:val="none"/>
          <w:lang w:eastAsia="zh-CN"/>
        </w:rPr>
        <w:t xml:space="preserve">一年（具体以采购单位通知为准）。</w:t>
      </w:r>
      <w:r/>
    </w:p>
    <w:p>
      <w:pPr>
        <w:pStyle w:val="1028"/>
        <w:ind w:left="0" w:firstLine="0"/>
        <w:jc w:val="left"/>
        <w:keepLines w:val="0"/>
        <w:keepNext w:val="0"/>
        <w:pageBreakBefore w:val="0"/>
        <w:spacing w:beforeAutospacing="0" w:after="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lang w:val="en-US" w:eastAsia="zh-CN"/>
        </w:rPr>
        <w:t xml:space="preserve">4</w:t>
      </w:r>
      <w:r>
        <w:rPr>
          <w:rFonts w:hint="eastAsia" w:ascii="宋体" w:hAnsi="宋体" w:cs="宋体"/>
          <w:color w:val="auto"/>
          <w:sz w:val="24"/>
          <w:szCs w:val="24"/>
          <w:highlight w:val="none"/>
        </w:rPr>
        <w:t xml:space="preserve">、服务地点：采购单位指定地点。</w:t>
      </w:r>
      <w:r/>
    </w:p>
    <w:p>
      <w:pPr>
        <w:keepLines w:val="0"/>
        <w:keepNext w:val="0"/>
        <w:pageBreakBefore w:val="0"/>
        <w:spacing w:beforeAutospacing="0" w:line="360" w:lineRule="auto"/>
        <w:widowControl w:val="off"/>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六、政府采购政策：</w:t>
      </w:r>
      <w:r/>
    </w:p>
    <w:p>
      <w:pPr>
        <w:pStyle w:val="1002"/>
        <w:ind w:left="0" w:firstLine="0"/>
        <w:jc w:val="left"/>
        <w:keepLines w:val="0"/>
        <w:keepNext w:val="0"/>
        <w:pageBreakBefore w:val="0"/>
        <w:spacing w:before="0" w:beforeAutospacing="0" w:after="0" w:line="360" w:lineRule="auto"/>
        <w:widowControl w:val="off"/>
        <w:rPr>
          <w:rFonts w:ascii="宋体" w:hAnsi="宋体" w:cs="宋体"/>
          <w:color w:val="auto"/>
          <w:sz w:val="24"/>
          <w:highlight w:val="none"/>
        </w:rPr>
      </w:pPr>
      <w:r>
        <w:rPr>
          <w:rFonts w:ascii="宋体" w:hAnsi="宋体" w:cs="黑体"/>
          <w:bCs/>
          <w:color w:val="auto"/>
          <w:sz w:val="24"/>
          <w:highlight w:val="none"/>
          <w:shd w:val="clear" w:color="auto" w:fill="ffffff"/>
        </w:rPr>
        <w:t xml:space="preserve">1</w:t>
      </w:r>
      <w:r>
        <w:rPr>
          <w:rFonts w:hint="eastAsia" w:ascii="宋体" w:hAnsi="宋体" w:cs="黑体"/>
          <w:bCs/>
          <w:color w:val="auto"/>
          <w:sz w:val="24"/>
          <w:highlight w:val="none"/>
          <w:shd w:val="clear" w:color="auto" w:fill="ffffff"/>
        </w:rPr>
        <w:t xml:space="preserve">、</w:t>
      </w:r>
      <w:r>
        <w:rPr>
          <w:rFonts w:hint="eastAsia" w:ascii="宋体" w:hAnsi="宋体" w:cs="宋体"/>
          <w:color w:val="auto"/>
          <w:sz w:val="24"/>
          <w:highlight w:val="none"/>
        </w:rPr>
        <w:t xml:space="preserve">中、小企业：根据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highlight w:val="none"/>
        </w:rPr>
        <w:t xml:space="preserve">规定：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1.1本项目属于</w:t>
      </w:r>
      <w:r>
        <w:rPr>
          <w:rFonts w:hint="eastAsia" w:ascii="宋体" w:hAnsi="宋体" w:cs="宋体"/>
          <w:color w:val="auto"/>
          <w:sz w:val="24"/>
          <w:szCs w:val="24"/>
          <w:highlight w:val="none"/>
          <w:u w:val="single"/>
        </w:rPr>
        <w:t xml:space="preserve">专门面向中小企业采购</w:t>
      </w:r>
      <w:r>
        <w:rPr>
          <w:rFonts w:hint="eastAsia" w:ascii="宋体" w:hAnsi="宋体" w:cs="宋体"/>
          <w:color w:val="auto"/>
          <w:sz w:val="24"/>
          <w:szCs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1.2依据</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规定享受扶持政策获得政府采购合同的，小微企业不得将合同分包给大中型企业，中型企业不得将合同分包给大型企业。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1.3本项目采购标的对应的中小企业划分标准所属行业为：</w:t>
      </w:r>
      <w:r>
        <w:rPr>
          <w:rFonts w:hint="eastAsia" w:ascii="宋体" w:hAnsi="宋体"/>
          <w:b/>
          <w:bCs/>
          <w:color w:val="auto"/>
          <w:sz w:val="24"/>
          <w:highlight w:val="none"/>
        </w:rPr>
        <w:t xml:space="preserve">其他未列明行业</w:t>
      </w:r>
      <w:r>
        <w:rPr>
          <w:rFonts w:hint="eastAsia" w:ascii="宋体" w:hAnsi="宋体"/>
          <w:color w:val="auto"/>
          <w:sz w:val="24"/>
          <w:highlight w:val="none"/>
        </w:rPr>
        <w:t xml:space="preserve">。</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1.4中小企业参加政府采购活动，应当出具</w:t>
      </w:r>
      <w:r>
        <w:rPr>
          <w:rFonts w:hint="eastAsia" w:ascii="宋体" w:hAnsi="宋体"/>
          <w:color w:val="auto"/>
          <w:sz w:val="24"/>
          <w:highlight w:val="none"/>
        </w:rPr>
        <w:t xml:space="preserve">《关于印发</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苏州市政府采购促进中小企业发展实施意见</w:t>
      </w:r>
      <w:r>
        <w:rPr>
          <w:rFonts w:hint="eastAsia" w:ascii="宋体" w:hAnsi="宋体"/>
          <w:color w:val="auto"/>
          <w:sz w:val="24"/>
          <w:highlight w:val="none"/>
          <w:lang w:eastAsia="zh-CN"/>
        </w:rPr>
        <w:t xml:space="preserve">〉</w:t>
      </w:r>
      <w:r>
        <w:rPr>
          <w:rFonts w:hint="eastAsia" w:ascii="宋体" w:hAnsi="宋体"/>
          <w:color w:val="auto"/>
          <w:sz w:val="24"/>
          <w:highlight w:val="none"/>
        </w:rPr>
        <w:t xml:space="preserve">的通知》（苏财购</w:t>
      </w:r>
      <w:r>
        <w:rPr>
          <w:rFonts w:hint="eastAsia" w:ascii="宋体" w:hAnsi="宋体"/>
          <w:color w:val="auto"/>
          <w:sz w:val="24"/>
          <w:highlight w:val="none"/>
          <w:lang w:eastAsia="zh-CN"/>
        </w:rPr>
        <w:t xml:space="preserve">〔2022〕16号</w:t>
      </w:r>
      <w:r>
        <w:rPr>
          <w:rFonts w:hint="eastAsia" w:ascii="宋体" w:hAnsi="宋体"/>
          <w:color w:val="auto"/>
          <w:sz w:val="24"/>
          <w:highlight w:val="none"/>
        </w:rPr>
        <w:t xml:space="preserve">）</w:t>
      </w:r>
      <w:r>
        <w:rPr>
          <w:rFonts w:hint="eastAsia" w:ascii="宋体" w:hAnsi="宋体" w:cs="宋体"/>
          <w:color w:val="auto"/>
          <w:sz w:val="24"/>
          <w:szCs w:val="24"/>
          <w:highlight w:val="none"/>
        </w:rPr>
        <w:t xml:space="preserve">规定的《中小企业声明函》，否则不得享受相关中小企业扶持政策。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1.5本项目中，供应商提供的服务由中小企业承接，即提供服务的人员为中小企业依照《中华人民共和国劳动合同法》订立劳动合同的从业人员，才可享受规定的中小企业扶持政策。</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1.6若供应商提供的《中小企业声明函》为虚假声明则视同提供虚假材料，按政府采购相关规定处理并报请政府监管部门给予行政处罚。</w:t>
      </w:r>
      <w:r/>
    </w:p>
    <w:p>
      <w:pPr>
        <w:spacing w:line="360" w:lineRule="auto"/>
        <w:rPr>
          <w:rFonts w:ascii="宋体" w:hAnsi="宋体" w:cs="宋体"/>
          <w:color w:val="auto"/>
          <w:sz w:val="24"/>
          <w:szCs w:val="24"/>
          <w:highlight w:val="none"/>
        </w:rPr>
      </w:pPr>
      <w:r>
        <w:rPr>
          <w:rFonts w:hint="eastAsia" w:ascii="宋体" w:hAnsi="宋体" w:cs="宋体"/>
          <w:color w:val="auto"/>
          <w:sz w:val="24"/>
          <w:szCs w:val="24"/>
          <w:highlight w:val="none"/>
        </w:rPr>
        <w:t xml:space="preserve">2、残疾人福利性单位：根据《关于贯彻执行绿色采购、促进残疾人就业和支持监狱企业发展有关政策的通知（苏财购〔2019〕10号）》，残疾人福利性单位视同小型、微型企业，享受评审中价格扣除等促进中小企业发展的政府采购政策，残疾人福利性单位属于小型、微型企业的，不重复享受政策。如供应商认定本企业为残疾人福利性单位，应提交《残疾人福利性单位声明函》，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3、监狱企业：根据苏财购</w:t>
      </w:r>
      <w:r>
        <w:rPr>
          <w:rFonts w:hint="eastAsia" w:ascii="宋体" w:hAnsi="宋体" w:cs="宋体"/>
          <w:color w:val="auto"/>
          <w:sz w:val="24"/>
          <w:szCs w:val="24"/>
          <w:highlight w:val="none"/>
          <w:lang w:eastAsia="zh-CN"/>
        </w:rPr>
        <w:t xml:space="preserve">〔2019〕10号</w:t>
      </w:r>
      <w:r>
        <w:rPr>
          <w:rFonts w:hint="eastAsia" w:ascii="宋体" w:hAnsi="宋体" w:cs="宋体"/>
          <w:color w:val="auto"/>
          <w:sz w:val="24"/>
          <w:szCs w:val="24"/>
          <w:highlight w:val="none"/>
        </w:rPr>
        <w:t xml:space="preserve">文，监狱企业视同小型、微型企业，享受评审中价格扣除等促进中小企业发展的政府采购政策。如供应商为监狱企业，应当提供由省级以上监狱管理局、戒毒管理局（含新疆生产建设兵团）出具的属于监狱企业的证明文件，未提交则不享受相关价格扣除政策。</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4.绿色采购</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4.1根据《关于调整优化节能产品、环境标志产品政府采购执行机制的通知》（财库〔2019〕9号）等相关文件的规定，对属于《节能产品政府采购品目清单》中强制采购范围内产品的，供应商须提供由国家确定的认证机构出具的、处于有效期之内的节能产品认证证书，上述品目清单可通过“中国政府采购网”（http://www.ccgp.gov.cn）查询，并在投标文件中提供由国家确定的认证机构出具的、处于有效期之内的节能产品认证证书复印件，否则视为未实质性响应。</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4.2为加快数据中心绿色转型，根据财政部、生态环境部、工业和信息化部关于印发《绿色数据中心政府采购需求标准（试行）》的通知（财库〔2023〕7号）文件规定，采购数据中心相关设备、运维服务，应当有利于节约能源、环境保护和资源循环利用，按照标准要求实施相关采购活动，供应商应提供符合标准要求的设备或服务。</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4.3为助力打好污染防治攻坚战，推广使用绿色包装，根据财政部办公厅、生态环境部办公厅、国家邮政局办公室关于印发《商品包装政府采购需求标准（试行）》《快递包装政府采购需求标准（试行）》的通知（财办库〔2020〕123 号文）文件规定，供应商提</w:t>
      </w:r>
      <w:r>
        <w:rPr>
          <w:rFonts w:hint="eastAsia" w:ascii="宋体" w:hAnsi="宋体" w:cs="宋体"/>
          <w:color w:val="auto"/>
          <w:sz w:val="24"/>
          <w:szCs w:val="24"/>
          <w:highlight w:val="none"/>
          <w:lang w:eastAsia="zh-CN"/>
        </w:rPr>
        <w:t xml:space="preserve">供的</w:t>
      </w:r>
      <w:r>
        <w:rPr>
          <w:rFonts w:hint="eastAsia" w:ascii="宋体" w:hAnsi="宋体" w:cs="宋体"/>
          <w:color w:val="auto"/>
          <w:sz w:val="24"/>
          <w:szCs w:val="24"/>
          <w:highlight w:val="none"/>
        </w:rPr>
        <w:t xml:space="preserve">产品及相关快递服务的包装应符合标准要求。</w:t>
      </w:r>
      <w:r/>
    </w:p>
    <w:p>
      <w:pPr>
        <w:jc w:val="left"/>
        <w:spacing w:line="360" w:lineRule="auto"/>
        <w:rPr>
          <w:rFonts w:hint="eastAsia" w:ascii="宋体" w:hAnsi="宋体" w:cs="宋体"/>
          <w:bCs/>
          <w:color w:val="auto"/>
          <w:sz w:val="24"/>
          <w:szCs w:val="24"/>
          <w:highlight w:val="none"/>
          <w:shd w:val="clear" w:color="auto" w:fill="ffffff"/>
        </w:rPr>
      </w:pPr>
      <w:r>
        <w:rPr>
          <w:rFonts w:hint="eastAsia" w:ascii="宋体" w:hAnsi="宋体" w:cs="宋体"/>
          <w:bCs/>
          <w:color w:val="auto"/>
          <w:sz w:val="24"/>
          <w:szCs w:val="24"/>
          <w:highlight w:val="none"/>
          <w:shd w:val="clear" w:color="auto" w:fill="ffffff"/>
        </w:rPr>
        <w:t xml:space="preserve">七、关于对参与供应商信用记录的政府采购要求</w:t>
      </w:r>
      <w:r/>
    </w:p>
    <w:p>
      <w:pPr>
        <w:jc w:val="left"/>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1、采购代理机构会在接收投标文件截止时间后，登录信用中国网站（www.creditchina.gov.cn/）和中国政府采购网（www.ccgp.gov.cn/）查询供应商的信用记录，并将查询结果递交评标委员会。</w:t>
      </w:r>
      <w:r/>
    </w:p>
    <w:p>
      <w:pPr>
        <w:jc w:val="left"/>
        <w:spacing w:line="360" w:lineRule="auto"/>
        <w:rPr>
          <w:rFonts w:hint="eastAsia" w:ascii="宋体" w:hAnsi="宋体" w:eastAsia="宋体" w:cs="宋体"/>
          <w:color w:val="auto"/>
          <w:sz w:val="24"/>
          <w:szCs w:val="24"/>
          <w:highlight w:val="none"/>
        </w:rPr>
      </w:pPr>
      <w:r>
        <w:rPr>
          <w:rFonts w:hint="eastAsia" w:ascii="宋体" w:hAnsi="宋体" w:cs="宋体"/>
          <w:color w:val="auto"/>
          <w:sz w:val="24"/>
          <w:szCs w:val="24"/>
          <w:highlight w:val="none"/>
        </w:rPr>
        <w:t xml:space="preserve">2、采购过程中将对供应商信用记录进行甄别，对列入失信被执行人、重大税收违法案件当事人名单、政府采购严重违法失信行为记录名单及其他不符合《中华人民共和国政府采购法》第二十二条规定条件的供应商，应当拒绝其参与政府采购活动。两个以上的自然人、法人或者其他组织组成一个联合体，以一个供应商的身份共同参加政府采购活动的，应当对所有联合体成员进行信用记录查询，联</w:t>
      </w:r>
      <w:r>
        <w:rPr>
          <w:rFonts w:hint="eastAsia" w:ascii="宋体" w:hAnsi="宋体" w:eastAsia="宋体" w:cs="宋体"/>
          <w:color w:val="auto"/>
          <w:sz w:val="24"/>
          <w:szCs w:val="24"/>
          <w:highlight w:val="none"/>
        </w:rPr>
        <w:t xml:space="preserve">合体成员存在不良信用记录的，视同联合体存在不良信用记录。</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3、供应商若在经营活动中受到罚款的，请携带相关地方、部门对较大数额认定标准的证明材料，与投标文件一并提交。若无法提供，则可能承担投标无效等相应不利后果。</w:t>
      </w:r>
      <w:r/>
    </w:p>
    <w:p>
      <w:pPr>
        <w:jc w:val="left"/>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4、对存在失信信息的供应商，由失信供应商进行确认。同时，采购代理机构工作人员应根据评标委员会确认的失信信息，登录到相关来源网站页面进行复核并打印，作为证据留存。</w:t>
      </w:r>
      <w:r/>
    </w:p>
    <w:p>
      <w:pPr>
        <w:rPr>
          <w:rFonts w:hint="eastAsia" w:ascii="宋体" w:hAnsi="宋体"/>
          <w:color w:val="auto"/>
          <w:sz w:val="36"/>
          <w:szCs w:val="36"/>
          <w:highlight w:val="none"/>
        </w:rPr>
      </w:pPr>
      <w:r>
        <w:rPr>
          <w:rFonts w:hint="eastAsia" w:ascii="宋体" w:hAnsi="宋体"/>
          <w:color w:val="auto"/>
          <w:sz w:val="36"/>
          <w:szCs w:val="36"/>
          <w:highlight w:val="none"/>
        </w:rPr>
        <w:br w:type="page" w:clear="all"/>
      </w:r>
      <w:r/>
    </w:p>
    <w:p>
      <w:pPr>
        <w:pStyle w:val="829"/>
        <w:ind w:firstLine="0"/>
        <w:jc w:val="center"/>
        <w:keepLines w:val="0"/>
        <w:keepNext w:val="0"/>
        <w:pageBreakBefore w:val="0"/>
        <w:spacing w:line="360" w:lineRule="auto"/>
        <w:widowControl w:val="off"/>
        <w:rPr>
          <w:rFonts w:ascii="宋体" w:hAnsi="宋体"/>
          <w:color w:val="auto"/>
          <w:sz w:val="36"/>
          <w:szCs w:val="36"/>
          <w:highlight w:val="none"/>
        </w:rPr>
      </w:pPr>
      <w:r>
        <w:rPr>
          <w:rFonts w:hint="eastAsia" w:ascii="宋体" w:hAnsi="宋体"/>
          <w:color w:val="auto"/>
          <w:sz w:val="36"/>
          <w:szCs w:val="36"/>
          <w:highlight w:val="none"/>
        </w:rPr>
        <w:t xml:space="preserve">第五章 合同主要条款</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根据《中华人民共和国民法典》《中华人民共和国政府采购法》等相关法律法规的规定以及苏州惠德普源企业咨询有限公司采购编号</w:t>
      </w:r>
      <w:r>
        <w:rPr>
          <w:rFonts w:hint="eastAsia" w:ascii="宋体" w:hAnsi="宋体"/>
          <w:color w:val="auto"/>
          <w:sz w:val="24"/>
          <w:szCs w:val="24"/>
          <w:highlight w:val="none"/>
          <w:lang w:eastAsia="zh-CN"/>
        </w:rPr>
        <w:t xml:space="preserve">JSZC-320505-HDPY-G2026-0006</w:t>
      </w:r>
      <w:r>
        <w:rPr>
          <w:rFonts w:hint="eastAsia" w:ascii="宋体" w:hAnsi="宋体"/>
          <w:color w:val="auto"/>
          <w:sz w:val="24"/>
          <w:szCs w:val="24"/>
          <w:highlight w:val="none"/>
        </w:rPr>
        <w:t xml:space="preserve">号招标文件及乙方的投标文件和中标通知书，甲乙双方就此次中标的</w:t>
      </w:r>
      <w:r>
        <w:rPr>
          <w:rFonts w:hint="eastAsia" w:ascii="宋体" w:hAnsi="宋体" w:cs="宋体"/>
          <w:color w:val="auto"/>
          <w:sz w:val="24"/>
          <w:szCs w:val="24"/>
          <w:highlight w:val="none"/>
          <w:lang w:eastAsia="zh-CN"/>
        </w:rPr>
        <w:t xml:space="preserve">2026年度苏州高新区草花种植项目</w:t>
      </w:r>
      <w:r>
        <w:rPr>
          <w:rFonts w:hint="eastAsia" w:ascii="宋体" w:hAnsi="宋体"/>
          <w:color w:val="auto"/>
          <w:sz w:val="24"/>
          <w:szCs w:val="24"/>
          <w:highlight w:val="none"/>
        </w:rPr>
        <w:t xml:space="preserve">采购事宜，签订本合同，以兹共同遵守。</w:t>
      </w:r>
      <w:r/>
    </w:p>
    <w:p>
      <w:pPr>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一、项目名称：</w:t>
      </w:r>
      <w:r>
        <w:rPr>
          <w:rFonts w:hint="eastAsia" w:ascii="宋体" w:hAnsi="宋体" w:cs="宋体"/>
          <w:color w:val="auto"/>
          <w:sz w:val="24"/>
          <w:szCs w:val="24"/>
          <w:highlight w:val="none"/>
          <w:lang w:eastAsia="zh-CN"/>
        </w:rPr>
        <w:t xml:space="preserve">2026年度苏州高新区草花种植项目</w:t>
      </w:r>
      <w:r>
        <w:rPr>
          <w:rFonts w:hint="eastAsia" w:ascii="宋体" w:hAnsi="宋体"/>
          <w:color w:val="auto"/>
          <w:sz w:val="24"/>
          <w:szCs w:val="24"/>
          <w:highlight w:val="none"/>
        </w:rPr>
        <w:t xml:space="preserve">。</w:t>
      </w:r>
      <w:r/>
    </w:p>
    <w:p>
      <w:pPr>
        <w:pStyle w:val="829"/>
        <w:ind w:firstLine="0"/>
        <w:rPr>
          <w:rFonts w:hint="eastAsia" w:ascii="宋体" w:hAnsi="宋体"/>
          <w:color w:val="auto"/>
          <w:sz w:val="24"/>
          <w:highlight w:val="none"/>
          <w:lang w:eastAsia="zh-CN"/>
        </w:rPr>
      </w:pPr>
      <w:r>
        <w:rPr>
          <w:rFonts w:hint="eastAsia" w:ascii="宋体" w:hAnsi="宋体"/>
          <w:color w:val="auto"/>
          <w:sz w:val="24"/>
          <w:highlight w:val="none"/>
        </w:rPr>
        <w:t xml:space="preserve">二、</w:t>
      </w:r>
      <w:r>
        <w:rPr>
          <w:rFonts w:hint="eastAsia" w:ascii="宋体" w:hAnsi="宋体"/>
          <w:color w:val="auto"/>
          <w:sz w:val="24"/>
          <w:highlight w:val="none"/>
          <w:lang w:eastAsia="zh-CN"/>
        </w:rPr>
        <w:t xml:space="preserve">服务期限：</w:t>
      </w:r>
      <w:r>
        <w:rPr>
          <w:rFonts w:hint="eastAsia" w:ascii="宋体" w:hAnsi="宋体" w:cs="宋体"/>
          <w:color w:val="auto"/>
          <w:sz w:val="24"/>
          <w:szCs w:val="24"/>
          <w:highlight w:val="none"/>
          <w:lang w:eastAsia="zh-CN"/>
        </w:rPr>
        <w:t xml:space="preserve">一年（具体以甲方通知为准）</w:t>
      </w:r>
      <w:r>
        <w:rPr>
          <w:rFonts w:hint="eastAsia" w:ascii="宋体" w:hAnsi="宋体"/>
          <w:color w:val="auto"/>
          <w:sz w:val="24"/>
          <w:highlight w:val="none"/>
        </w:rPr>
        <w:t xml:space="preserve">。</w:t>
      </w:r>
      <w:r/>
    </w:p>
    <w:p>
      <w:pPr>
        <w:ind w:firstLine="480"/>
        <w:spacing w:line="360" w:lineRule="auto"/>
        <w:rPr>
          <w:rFonts w:hint="eastAsia" w:ascii="宋体" w:hAnsi="宋体" w:eastAsia="宋体" w:cs="Times New Roman"/>
          <w:color w:val="auto"/>
          <w:sz w:val="24"/>
          <w:szCs w:val="24"/>
          <w:highlight w:val="none"/>
        </w:rPr>
      </w:pPr>
      <w:r>
        <w:rPr>
          <w:rFonts w:hint="eastAsia" w:ascii="宋体" w:hAnsi="宋体" w:eastAsia="宋体" w:cs="Times New Roman"/>
          <w:color w:val="auto"/>
          <w:sz w:val="24"/>
          <w:szCs w:val="24"/>
          <w:highlight w:val="none"/>
        </w:rPr>
        <w:t xml:space="preserve">服务地点：</w:t>
      </w:r>
      <w:r>
        <w:rPr>
          <w:rFonts w:hint="eastAsia" w:ascii="宋体" w:hAnsi="宋体" w:cs="Times New Roman"/>
          <w:color w:val="auto"/>
          <w:sz w:val="24"/>
          <w:szCs w:val="24"/>
          <w:highlight w:val="none"/>
          <w:lang w:eastAsia="zh-CN"/>
        </w:rPr>
        <w:t xml:space="preserve">甲方</w:t>
      </w:r>
      <w:r>
        <w:rPr>
          <w:rFonts w:hint="eastAsia" w:ascii="宋体" w:hAnsi="宋体" w:eastAsia="宋体" w:cs="Times New Roman"/>
          <w:color w:val="auto"/>
          <w:sz w:val="24"/>
          <w:szCs w:val="24"/>
          <w:highlight w:val="none"/>
          <w:lang w:eastAsia="zh-CN"/>
        </w:rPr>
        <w:t xml:space="preserve">指定地点</w:t>
      </w:r>
      <w:r>
        <w:rPr>
          <w:rFonts w:hint="eastAsia" w:ascii="宋体" w:hAnsi="宋体"/>
          <w:color w:val="auto"/>
          <w:sz w:val="24"/>
          <w:highlight w:val="none"/>
        </w:rPr>
        <w:t xml:space="preserve">。</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服务进度：按招标文件规定。</w:t>
      </w:r>
      <w:r/>
    </w:p>
    <w:p>
      <w:pPr>
        <w:ind w:firstLine="480"/>
        <w:spacing w:line="360" w:lineRule="auto"/>
        <w:rPr>
          <w:rFonts w:hint="eastAsia" w:ascii="宋体" w:hAnsi="宋体"/>
          <w:color w:val="auto"/>
          <w:sz w:val="24"/>
          <w:szCs w:val="24"/>
          <w:highlight w:val="none"/>
        </w:rPr>
      </w:pPr>
      <w:r>
        <w:rPr>
          <w:rFonts w:hint="eastAsia" w:ascii="宋体" w:hAnsi="宋体"/>
          <w:color w:val="auto"/>
          <w:sz w:val="24"/>
          <w:szCs w:val="24"/>
          <w:highlight w:val="none"/>
        </w:rPr>
        <w:t xml:space="preserve">服务质量要求：达到国家和省、市、区规定的技术标准。</w:t>
      </w:r>
      <w:r/>
    </w:p>
    <w:p>
      <w:pPr>
        <w:spacing w:line="360" w:lineRule="auto"/>
        <w:rPr>
          <w:rFonts w:hint="eastAsia" w:ascii="宋体" w:hAnsi="宋体" w:cs="宋体"/>
          <w:color w:val="auto"/>
          <w:sz w:val="24"/>
          <w:szCs w:val="24"/>
          <w:highlight w:val="none"/>
        </w:rPr>
      </w:pPr>
      <w:r>
        <w:rPr>
          <w:rFonts w:hint="eastAsia" w:ascii="宋体" w:hAnsi="宋体" w:cs="宋体"/>
          <w:color w:val="auto"/>
          <w:sz w:val="24"/>
          <w:szCs w:val="24"/>
          <w:highlight w:val="none"/>
        </w:rPr>
        <w:t xml:space="preserve">三、合同价款及支付方式：</w:t>
      </w:r>
      <w:r/>
    </w:p>
    <w:p>
      <w:pPr>
        <w:spacing w:line="360" w:lineRule="auto"/>
        <w:rPr>
          <w:rFonts w:hint="eastAsia" w:ascii="宋体" w:hAnsi="宋体" w:eastAsia="宋体" w:cs="宋体"/>
          <w:color w:val="auto"/>
          <w:sz w:val="24"/>
          <w:highlight w:val="none"/>
          <w:lang w:eastAsia="zh-CN"/>
        </w:rPr>
      </w:pPr>
      <w:r>
        <w:rPr>
          <w:rFonts w:hint="eastAsia" w:ascii="宋体" w:hAnsi="宋体" w:cs="宋体"/>
          <w:color w:val="auto"/>
          <w:sz w:val="24"/>
          <w:szCs w:val="24"/>
          <w:highlight w:val="none"/>
        </w:rPr>
        <w:t xml:space="preserve">1.</w:t>
      </w:r>
      <w:r>
        <w:rPr>
          <w:rFonts w:hint="eastAsia" w:ascii="宋体" w:hAnsi="宋体"/>
          <w:bCs/>
          <w:color w:val="auto"/>
          <w:sz w:val="24"/>
          <w:highlight w:val="none"/>
        </w:rPr>
        <w:t xml:space="preserve">合同总金额为（人民币）</w:t>
      </w:r>
      <w:r>
        <w:rPr>
          <w:rFonts w:hint="eastAsia" w:ascii="宋体" w:hAnsi="宋体" w:cs="宋体"/>
          <w:color w:val="auto"/>
          <w:sz w:val="24"/>
          <w:szCs w:val="24"/>
          <w:highlight w:val="none"/>
        </w:rPr>
        <w:t xml:space="preserve">：大写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rPr>
        <w:t xml:space="preserve">，小写</w:t>
      </w:r>
      <w:r>
        <w:rPr>
          <w:rFonts w:hint="eastAsia" w:ascii="宋体" w:hAnsi="宋体" w:cs="宋体"/>
          <w:color w:val="auto"/>
          <w:sz w:val="24"/>
          <w:szCs w:val="24"/>
          <w:highlight w:val="none"/>
          <w:u w:val="single"/>
        </w:rPr>
        <w:t xml:space="preserve">（          ）</w:t>
      </w:r>
      <w:r>
        <w:rPr>
          <w:rFonts w:hint="eastAsia" w:ascii="宋体" w:hAnsi="宋体" w:cs="宋体"/>
          <w:color w:val="auto"/>
          <w:sz w:val="24"/>
          <w:szCs w:val="24"/>
          <w:highlight w:val="none"/>
          <w:lang w:eastAsia="zh-CN"/>
        </w:rPr>
        <w:t xml:space="preserve">；</w:t>
      </w:r>
      <w:r>
        <w:rPr>
          <w:rFonts w:hint="eastAsia" w:ascii="宋体" w:hAnsi="宋体" w:cs="宋体"/>
          <w:color w:val="auto"/>
          <w:sz w:val="24"/>
          <w:highlight w:val="none"/>
        </w:rPr>
        <w:t xml:space="preserve">以上报价应</w:t>
      </w:r>
      <w:r>
        <w:rPr>
          <w:rFonts w:hint="eastAsia" w:ascii="宋体" w:hAnsi="宋体" w:cs="宋体"/>
          <w:color w:val="auto"/>
          <w:sz w:val="24"/>
          <w:highlight w:val="none"/>
          <w:lang w:eastAsia="zh-CN"/>
        </w:rPr>
        <w:t xml:space="preserve">包括但不限于所需要的花木、种植基质（如草炭、珍珠岩、营养土等）、辅助材料、人工、机械、运输、仓储、安装、调试、保险、劳保、设计费、</w:t>
      </w:r>
      <w:r>
        <w:rPr>
          <w:rFonts w:hint="eastAsia" w:ascii="宋体" w:hAnsi="宋体" w:eastAsia="宋体" w:cs="宋体"/>
          <w:color w:val="auto"/>
          <w:sz w:val="24"/>
          <w:highlight w:val="none"/>
          <w:lang w:eastAsia="zh-CN"/>
        </w:rPr>
        <w:t xml:space="preserve">各种税费、绿化养护费用、管理费、利润、代理服务费、专利技术及养护期间等一切费用。</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eastAsia="zh-CN"/>
        </w:rPr>
        <w:t xml:space="preserve">2.付款步骤：</w:t>
      </w:r>
      <w:r/>
    </w:p>
    <w:p>
      <w:pPr>
        <w:spacing w:line="360" w:lineRule="auto"/>
        <w:rPr>
          <w:rFonts w:hint="eastAsia" w:ascii="宋体" w:hAnsi="宋体" w:cs="宋体"/>
          <w:color w:val="auto"/>
          <w:sz w:val="24"/>
          <w:szCs w:val="24"/>
          <w:highlight w:val="none"/>
          <w:lang w:val="en-US" w:eastAsia="zh-CN"/>
        </w:rPr>
      </w:pPr>
      <w:r>
        <w:rPr>
          <w:rFonts w:hint="eastAsia" w:ascii="宋体" w:hAnsi="宋体" w:cs="宋体"/>
          <w:color w:val="auto"/>
          <w:sz w:val="24"/>
          <w:szCs w:val="24"/>
          <w:highlight w:val="none"/>
          <w:lang w:val="en-US" w:eastAsia="zh-CN"/>
        </w:rPr>
        <w:t xml:space="preserve">2.1付款步骤：</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①</w:t>
      </w:r>
      <w:r>
        <w:rPr>
          <w:rFonts w:hint="eastAsia" w:ascii="宋体" w:hAnsi="宋体" w:eastAsia="宋体" w:cs="宋体"/>
          <w:color w:val="auto"/>
          <w:sz w:val="24"/>
          <w:highlight w:val="none"/>
          <w:lang w:eastAsia="zh-CN"/>
        </w:rPr>
        <w:t xml:space="preserve">合同生效后，乙方向甲方提供合同金额5%的履约</w:t>
      </w:r>
      <w:r>
        <w:rPr>
          <w:rFonts w:hint="eastAsia" w:ascii="宋体" w:hAnsi="宋体" w:cs="宋体"/>
          <w:color w:val="auto"/>
          <w:sz w:val="24"/>
          <w:highlight w:val="none"/>
          <w:lang w:val="en-US" w:eastAsia="zh-CN"/>
        </w:rPr>
        <w:t xml:space="preserve">保证金</w:t>
      </w:r>
      <w:r>
        <w:rPr>
          <w:rFonts w:hint="eastAsia" w:ascii="宋体" w:hAnsi="宋体" w:eastAsia="宋体" w:cs="宋体"/>
          <w:color w:val="auto"/>
          <w:sz w:val="24"/>
          <w:highlight w:val="none"/>
          <w:lang w:eastAsia="zh-CN"/>
        </w:rPr>
        <w:t xml:space="preserve">。收到</w:t>
      </w:r>
      <w:r>
        <w:rPr>
          <w:rFonts w:hint="eastAsia" w:ascii="宋体" w:hAnsi="宋体" w:cs="宋体"/>
          <w:color w:val="auto"/>
          <w:sz w:val="24"/>
          <w:highlight w:val="none"/>
          <w:lang w:val="en-US" w:eastAsia="zh-CN"/>
        </w:rPr>
        <w:t xml:space="preserve">保证金</w:t>
      </w:r>
      <w:r>
        <w:rPr>
          <w:rFonts w:hint="eastAsia" w:ascii="宋体" w:hAnsi="宋体" w:eastAsia="宋体" w:cs="宋体"/>
          <w:color w:val="auto"/>
          <w:sz w:val="24"/>
          <w:highlight w:val="none"/>
          <w:lang w:eastAsia="zh-CN"/>
        </w:rPr>
        <w:t xml:space="preserve">后甲方向乙方支付合同金额</w:t>
      </w:r>
      <w:r>
        <w:rPr>
          <w:rFonts w:hint="eastAsia" w:ascii="宋体" w:hAnsi="宋体" w:eastAsia="宋体" w:cs="宋体"/>
          <w:color w:val="auto"/>
          <w:sz w:val="24"/>
          <w:highlight w:val="none"/>
          <w:lang w:val="en-US" w:eastAsia="zh-CN"/>
        </w:rPr>
        <w:t xml:space="preserve">1</w:t>
      </w:r>
      <w:r>
        <w:rPr>
          <w:rFonts w:hint="eastAsia" w:ascii="宋体" w:hAnsi="宋体" w:eastAsia="宋体" w:cs="宋体"/>
          <w:color w:val="auto"/>
          <w:sz w:val="24"/>
          <w:highlight w:val="none"/>
          <w:lang w:eastAsia="zh-CN"/>
        </w:rPr>
        <w:t xml:space="preserve">0%的预付款</w:t>
      </w:r>
      <w:r>
        <w:rPr>
          <w:rFonts w:hint="eastAsia" w:ascii="宋体" w:hAnsi="宋体" w:eastAsia="宋体" w:cs="宋体"/>
          <w:color w:val="auto"/>
          <w:sz w:val="24"/>
          <w:szCs w:val="24"/>
          <w:highlight w:val="none"/>
        </w:rPr>
        <w:t xml:space="preserve">。</w:t>
      </w:r>
      <w:r>
        <w:rPr>
          <w:rFonts w:hint="eastAsia" w:ascii="宋体" w:hAnsi="宋体" w:eastAsia="宋体" w:cs="宋体"/>
          <w:color w:val="auto"/>
          <w:sz w:val="24"/>
          <w:highlight w:val="none"/>
          <w:lang w:eastAsia="zh-CN"/>
        </w:rPr>
        <w:t xml:space="preserve">（在签订合同时，乙方明确表示无需预付款或者主动要求降低预付款比例的，甲方可不适用关于预付款的规定。）</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②</w:t>
      </w:r>
      <w:r>
        <w:rPr>
          <w:rFonts w:hint="eastAsia" w:ascii="宋体" w:hAnsi="宋体" w:eastAsia="宋体" w:cs="宋体"/>
          <w:color w:val="auto"/>
          <w:sz w:val="24"/>
          <w:highlight w:val="none"/>
          <w:lang w:eastAsia="zh-CN"/>
        </w:rPr>
        <w:t xml:space="preserve">本项目按单次种植次序进行结算：每次结算前，按照《苏州高新区草花种植养护考核办法》对乙方进行考核</w:t>
      </w:r>
      <w:r>
        <w:rPr>
          <w:rFonts w:hint="eastAsia" w:ascii="宋体" w:hAnsi="宋体" w:cs="宋体"/>
          <w:color w:val="auto"/>
          <w:sz w:val="24"/>
          <w:highlight w:val="none"/>
          <w:lang w:eastAsia="zh-CN"/>
        </w:rPr>
        <w:t xml:space="preserve">（考核办法如有修订的，按</w:t>
      </w:r>
      <w:r>
        <w:rPr>
          <w:rFonts w:hint="eastAsia" w:ascii="宋体" w:hAnsi="宋体" w:cs="宋体"/>
          <w:color w:val="auto"/>
          <w:sz w:val="24"/>
          <w:highlight w:val="none"/>
          <w:lang w:val="en-US" w:eastAsia="zh-CN"/>
        </w:rPr>
        <w:t xml:space="preserve">最</w:t>
      </w:r>
      <w:r>
        <w:rPr>
          <w:rFonts w:hint="eastAsia" w:ascii="宋体" w:hAnsi="宋体" w:cs="宋体"/>
          <w:color w:val="auto"/>
          <w:sz w:val="24"/>
          <w:highlight w:val="none"/>
          <w:lang w:eastAsia="zh-CN"/>
        </w:rPr>
        <w:t xml:space="preserve">新的考核办法</w:t>
      </w:r>
      <w:r>
        <w:rPr>
          <w:rFonts w:hint="eastAsia" w:ascii="宋体" w:hAnsi="宋体" w:cs="宋体"/>
          <w:color w:val="auto"/>
          <w:sz w:val="24"/>
          <w:highlight w:val="none"/>
          <w:lang w:val="en-US" w:eastAsia="zh-CN"/>
        </w:rPr>
        <w:t xml:space="preserve">执行</w:t>
      </w:r>
      <w:r>
        <w:rPr>
          <w:rFonts w:hint="eastAsia" w:ascii="宋体" w:hAnsi="宋体" w:cs="宋体"/>
          <w:color w:val="auto"/>
          <w:sz w:val="24"/>
          <w:highlight w:val="none"/>
          <w:lang w:eastAsia="zh-CN"/>
        </w:rPr>
        <w:t xml:space="preserve">）</w:t>
      </w:r>
      <w:r>
        <w:rPr>
          <w:rFonts w:hint="eastAsia" w:ascii="宋体" w:hAnsi="宋体" w:eastAsia="宋体" w:cs="宋体"/>
          <w:color w:val="auto"/>
          <w:sz w:val="24"/>
          <w:highlight w:val="none"/>
          <w:lang w:eastAsia="zh-CN"/>
        </w:rPr>
        <w:t xml:space="preserve">，由甲、乙、监理方三方代表到现场组织验收草花品种、质量及观赏效果，根据甲、乙、监理方三方代表对项目现场签证结合投标时报价确定当次草花的实际结算价，支付当次完成项目实际金额。</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③</w:t>
      </w:r>
      <w:r>
        <w:rPr>
          <w:rFonts w:hint="eastAsia" w:ascii="宋体" w:hAnsi="宋体" w:eastAsia="宋体" w:cs="宋体"/>
          <w:color w:val="auto"/>
          <w:sz w:val="24"/>
          <w:highlight w:val="none"/>
          <w:lang w:eastAsia="zh-CN"/>
        </w:rPr>
        <w:t xml:space="preserve">每次支付的合同价款=当次种植草花合同价×当次考核得分折合的百分比。</w:t>
      </w:r>
      <w:r/>
    </w:p>
    <w:p>
      <w:pPr>
        <w:spacing w:line="360" w:lineRule="auto"/>
        <w:rPr>
          <w:rFonts w:hint="eastAsia" w:ascii="宋体" w:hAnsi="宋体" w:eastAsia="宋体" w:cs="宋体"/>
          <w:color w:val="auto"/>
          <w:sz w:val="24"/>
          <w:highlight w:val="none"/>
          <w:lang w:eastAsia="zh-CN"/>
        </w:rPr>
      </w:pPr>
      <w:r>
        <w:rPr>
          <w:rFonts w:hint="eastAsia" w:ascii="宋体" w:hAnsi="宋体" w:eastAsia="宋体" w:cs="宋体"/>
          <w:color w:val="auto"/>
          <w:sz w:val="24"/>
          <w:highlight w:val="none"/>
          <w:lang w:val="en-US" w:eastAsia="zh-CN"/>
        </w:rPr>
        <w:t xml:space="preserve">④</w:t>
      </w:r>
      <w:r>
        <w:rPr>
          <w:rFonts w:hint="eastAsia" w:ascii="宋体" w:hAnsi="宋体" w:eastAsia="宋体" w:cs="宋体"/>
          <w:color w:val="auto"/>
          <w:sz w:val="24"/>
          <w:highlight w:val="none"/>
          <w:lang w:eastAsia="zh-CN"/>
        </w:rPr>
        <w:t xml:space="preserve">合同期满后待本次乙方与下一轮中标单位完成交接后，甲方结清余款并退还5％履约</w:t>
      </w:r>
      <w:r>
        <w:rPr>
          <w:rFonts w:hint="eastAsia" w:ascii="宋体" w:hAnsi="宋体" w:cs="宋体"/>
          <w:color w:val="auto"/>
          <w:sz w:val="24"/>
          <w:highlight w:val="none"/>
          <w:lang w:val="en-US" w:eastAsia="zh-CN"/>
        </w:rPr>
        <w:t xml:space="preserve">保证金</w:t>
      </w:r>
      <w:r>
        <w:rPr>
          <w:rFonts w:hint="eastAsia" w:ascii="宋体" w:hAnsi="宋体" w:eastAsia="宋体" w:cs="宋体"/>
          <w:color w:val="auto"/>
          <w:sz w:val="24"/>
          <w:highlight w:val="none"/>
          <w:lang w:eastAsia="zh-CN"/>
        </w:rPr>
        <w:t xml:space="preserve">（无息），如因乙方原因影响下一轮中标单位进场养护，相关损失由甲方在未支付费用及履约</w:t>
      </w:r>
      <w:r>
        <w:rPr>
          <w:rFonts w:hint="eastAsia" w:ascii="宋体" w:hAnsi="宋体" w:cs="宋体"/>
          <w:color w:val="auto"/>
          <w:sz w:val="24"/>
          <w:highlight w:val="none"/>
          <w:lang w:val="en-US" w:eastAsia="zh-CN"/>
        </w:rPr>
        <w:t xml:space="preserve">保证金</w:t>
      </w:r>
      <w:r>
        <w:rPr>
          <w:rFonts w:hint="eastAsia" w:ascii="宋体" w:hAnsi="宋体" w:eastAsia="宋体" w:cs="宋体"/>
          <w:color w:val="auto"/>
          <w:sz w:val="24"/>
          <w:highlight w:val="none"/>
          <w:lang w:eastAsia="zh-CN"/>
        </w:rPr>
        <w:t xml:space="preserve">内予以扣除。(乙方每次申请资金时，需提供通过甲方验收的实际工作量证明等材料。) </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2.2</w:t>
      </w:r>
      <w:r>
        <w:rPr>
          <w:rFonts w:hint="eastAsia" w:ascii="宋体" w:hAnsi="宋体"/>
          <w:bCs/>
          <w:color w:val="auto"/>
          <w:sz w:val="24"/>
          <w:highlight w:val="none"/>
          <w:lang w:val="zh-CN"/>
        </w:rPr>
        <w:t xml:space="preserve">乙方开具发票或开具发票不符合规定的，甲方有权暂缓支付相应款项，因此产生的损失及违约责任由乙方承担。</w:t>
      </w:r>
      <w:r/>
    </w:p>
    <w:p>
      <w:pPr>
        <w:spacing w:line="360" w:lineRule="auto"/>
        <w:rPr>
          <w:rFonts w:ascii="宋体" w:hAnsi="宋体"/>
          <w:bCs/>
          <w:color w:val="auto"/>
          <w:sz w:val="24"/>
          <w:highlight w:val="none"/>
          <w:lang w:val="zh-CN"/>
        </w:rPr>
      </w:pPr>
      <w:r>
        <w:rPr>
          <w:rFonts w:hint="eastAsia" w:ascii="宋体" w:hAnsi="宋体"/>
          <w:bCs/>
          <w:color w:val="auto"/>
          <w:sz w:val="24"/>
          <w:highlight w:val="none"/>
          <w:lang w:val="en-US" w:eastAsia="zh-CN"/>
        </w:rPr>
        <w:t xml:space="preserve">2.3</w:t>
      </w:r>
      <w:r>
        <w:rPr>
          <w:rFonts w:hint="eastAsia" w:ascii="宋体" w:hAnsi="宋体"/>
          <w:bCs/>
          <w:color w:val="auto"/>
          <w:sz w:val="24"/>
          <w:highlight w:val="none"/>
          <w:lang w:val="zh-CN"/>
        </w:rPr>
        <w:t xml:space="preserve">甲方支付此项费用外不再承担其他任何费用（包括个人），人员的薪金、福利、休假日补贴等由乙方付给，与甲方无关。</w:t>
      </w:r>
      <w:r/>
    </w:p>
    <w:p>
      <w:pPr>
        <w:spacing w:line="360" w:lineRule="auto"/>
        <w:rPr>
          <w:rFonts w:hint="eastAsia" w:ascii="宋体" w:hAnsi="宋体"/>
          <w:bCs/>
          <w:color w:val="auto"/>
          <w:sz w:val="24"/>
          <w:highlight w:val="none"/>
          <w:lang w:val="zh-CN"/>
        </w:rPr>
      </w:pPr>
      <w:r>
        <w:rPr>
          <w:rFonts w:hint="eastAsia" w:ascii="宋体" w:hAnsi="宋体"/>
          <w:bCs/>
          <w:color w:val="auto"/>
          <w:sz w:val="24"/>
          <w:highlight w:val="none"/>
          <w:lang w:val="en-US" w:eastAsia="zh-CN"/>
        </w:rPr>
        <w:t xml:space="preserve">2.4</w:t>
      </w:r>
      <w:r>
        <w:rPr>
          <w:rFonts w:hint="eastAsia" w:ascii="宋体" w:hAnsi="宋体"/>
          <w:bCs/>
          <w:color w:val="auto"/>
          <w:sz w:val="24"/>
          <w:highlight w:val="none"/>
          <w:lang w:val="zh-CN"/>
        </w:rPr>
        <w:t xml:space="preserve">根据现行税法对甲方征收的与本合同有关的一切税费均由甲方承担；根据现行税法对乙方征收的与本合同有关的一切税费均由乙方承担。</w:t>
      </w:r>
      <w:r/>
    </w:p>
    <w:p>
      <w:pPr>
        <w:spacing w:line="360" w:lineRule="auto"/>
        <w:rPr>
          <w:rFonts w:hint="default" w:ascii="宋体" w:hAnsi="宋体" w:eastAsia="宋体"/>
          <w:bCs/>
          <w:color w:val="auto"/>
          <w:sz w:val="24"/>
          <w:highlight w:val="none"/>
          <w:lang w:val="en-US" w:eastAsia="zh-CN"/>
        </w:rPr>
      </w:pPr>
      <w:r>
        <w:rPr>
          <w:rFonts w:hint="eastAsia" w:ascii="宋体" w:hAnsi="宋体"/>
          <w:bCs/>
          <w:color w:val="auto"/>
          <w:sz w:val="24"/>
          <w:highlight w:val="none"/>
          <w:lang w:val="en-US" w:eastAsia="zh-CN"/>
        </w:rPr>
        <w:t xml:space="preserve">2.5</w:t>
      </w:r>
      <w:r>
        <w:rPr>
          <w:rFonts w:hint="eastAsia" w:ascii="宋体" w:hAnsi="宋体" w:cs="宋体"/>
          <w:color w:val="auto"/>
          <w:sz w:val="24"/>
          <w:szCs w:val="24"/>
          <w:highlight w:val="none"/>
        </w:rPr>
        <w:t xml:space="preserve">政府采购合同履行中，</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需追加与合同标的相同货物、工程或者服务的，在不改变合同其他条款的前提下，可以与</w:t>
      </w:r>
      <w:r>
        <w:rPr>
          <w:rFonts w:hint="eastAsia" w:ascii="宋体" w:hAnsi="宋体" w:cs="宋体"/>
          <w:color w:val="auto"/>
          <w:sz w:val="24"/>
          <w:szCs w:val="24"/>
          <w:highlight w:val="none"/>
          <w:lang w:val="en-US" w:eastAsia="zh-CN"/>
        </w:rPr>
        <w:t xml:space="preserve">乙方</w:t>
      </w:r>
      <w:r>
        <w:rPr>
          <w:rFonts w:hint="eastAsia" w:ascii="宋体" w:hAnsi="宋体" w:cs="宋体"/>
          <w:color w:val="auto"/>
          <w:sz w:val="24"/>
          <w:szCs w:val="24"/>
          <w:highlight w:val="none"/>
        </w:rPr>
        <w:t xml:space="preserve">协商签订补充合同，但所有补充合同的采购金额不得超过原合同采购金额的10%。</w:t>
      </w:r>
      <w:r/>
    </w:p>
    <w:p>
      <w:pPr>
        <w:jc w:val="left"/>
        <w:spacing w:line="360" w:lineRule="auto"/>
        <w:widowControl/>
        <w:tabs>
          <w:tab w:val="left" w:pos="0" w:leader="none"/>
          <w:tab w:val="left" w:pos="540" w:leader="none"/>
        </w:tabs>
        <w:rPr>
          <w:rFonts w:hint="eastAsia" w:ascii="宋体" w:hAnsi="宋体"/>
          <w:bCs/>
          <w:color w:val="auto"/>
          <w:sz w:val="24"/>
          <w:highlight w:val="none"/>
        </w:rPr>
      </w:pPr>
      <w:r>
        <w:rPr>
          <w:rFonts w:hint="eastAsia" w:ascii="宋体" w:hAnsi="宋体"/>
          <w:color w:val="auto"/>
          <w:sz w:val="24"/>
          <w:highlight w:val="none"/>
          <w:lang w:val="en-US" w:eastAsia="zh-CN"/>
        </w:rPr>
        <w:t xml:space="preserve">3.</w:t>
      </w:r>
      <w:r>
        <w:rPr>
          <w:rFonts w:hint="eastAsia" w:ascii="宋体" w:hAnsi="宋体"/>
          <w:color w:val="auto"/>
          <w:sz w:val="24"/>
          <w:highlight w:val="none"/>
        </w:rPr>
        <w:t xml:space="preserve">支付</w:t>
      </w:r>
      <w:r>
        <w:rPr>
          <w:rFonts w:hint="eastAsia" w:ascii="宋体" w:hAnsi="宋体"/>
          <w:bCs/>
          <w:color w:val="auto"/>
          <w:sz w:val="24"/>
          <w:highlight w:val="none"/>
        </w:rPr>
        <w:t xml:space="preserve">方式：数字人民币或银行转账支付。</w:t>
      </w:r>
      <w:r/>
    </w:p>
    <w:p>
      <w:pPr>
        <w:ind w:firstLine="480"/>
        <w:jc w:val="left"/>
        <w:spacing w:line="360" w:lineRule="auto"/>
        <w:widowControl/>
        <w:tabs>
          <w:tab w:val="left" w:pos="0" w:leader="none"/>
          <w:tab w:val="left" w:pos="54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乙方银行账户信息：</w:t>
      </w:r>
      <w:r/>
    </w:p>
    <w:p>
      <w:pPr>
        <w:ind w:firstLine="480"/>
        <w:jc w:val="left"/>
        <w:spacing w:line="360" w:lineRule="auto"/>
        <w:widowControl/>
        <w:tabs>
          <w:tab w:val="left" w:pos="0" w:leader="none"/>
          <w:tab w:val="left" w:pos="54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账户名：</w:t>
      </w:r>
      <w:r/>
    </w:p>
    <w:p>
      <w:pPr>
        <w:ind w:firstLine="480"/>
        <w:jc w:val="left"/>
        <w:spacing w:line="360" w:lineRule="auto"/>
        <w:widowControl/>
        <w:tabs>
          <w:tab w:val="left" w:pos="0" w:leader="none"/>
          <w:tab w:val="left" w:pos="54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开户银行：</w:t>
      </w:r>
      <w:r/>
    </w:p>
    <w:p>
      <w:pPr>
        <w:ind w:firstLine="480"/>
        <w:jc w:val="left"/>
        <w:spacing w:line="360" w:lineRule="auto"/>
        <w:widowControl/>
        <w:tabs>
          <w:tab w:val="left" w:pos="0" w:leader="none"/>
          <w:tab w:val="left" w:pos="540" w:leader="none"/>
        </w:tabs>
        <w:rPr>
          <w:rFonts w:hint="eastAsia" w:ascii="宋体" w:hAnsi="宋体"/>
          <w:bCs/>
          <w:color w:val="auto"/>
          <w:sz w:val="24"/>
          <w:highlight w:val="none"/>
          <w:lang w:val="zh-CN"/>
        </w:rPr>
      </w:pPr>
      <w:r>
        <w:rPr>
          <w:rFonts w:hint="eastAsia" w:ascii="宋体" w:hAnsi="宋体"/>
          <w:bCs/>
          <w:color w:val="auto"/>
          <w:sz w:val="24"/>
          <w:highlight w:val="none"/>
          <w:lang w:val="zh-CN"/>
        </w:rPr>
        <w:t xml:space="preserve">银行账号：</w:t>
      </w:r>
      <w:r/>
    </w:p>
    <w:p>
      <w:pPr>
        <w:ind w:firstLine="480"/>
        <w:jc w:val="left"/>
        <w:spacing w:line="360" w:lineRule="auto"/>
        <w:widowControl/>
        <w:tabs>
          <w:tab w:val="left" w:pos="0" w:leader="none"/>
          <w:tab w:val="left" w:pos="540" w:leader="none"/>
        </w:tabs>
        <w:rPr>
          <w:rFonts w:hint="eastAsia" w:ascii="宋体" w:hAnsi="宋体" w:cs="宋体"/>
          <w:color w:val="auto"/>
          <w:sz w:val="24"/>
          <w:szCs w:val="24"/>
          <w:highlight w:val="none"/>
          <w:lang w:val="zh-CN"/>
        </w:rPr>
      </w:pPr>
      <w:r>
        <w:rPr>
          <w:rFonts w:hint="eastAsia" w:ascii="宋体" w:hAnsi="宋体"/>
          <w:bCs/>
          <w:color w:val="auto"/>
          <w:sz w:val="24"/>
          <w:highlight w:val="none"/>
          <w:lang w:val="zh-CN"/>
        </w:rPr>
        <w:t xml:space="preserve">数字人民币账号（数币钱包ID）：</w:t>
      </w:r>
      <w:r/>
    </w:p>
    <w:p>
      <w:pPr>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rPr>
        <w:t xml:space="preserve">四、服务</w:t>
      </w:r>
      <w:r>
        <w:rPr>
          <w:rFonts w:hint="eastAsia" w:ascii="宋体" w:hAnsi="宋体"/>
          <w:b w:val="0"/>
          <w:bCs/>
          <w:color w:val="auto"/>
          <w:sz w:val="24"/>
          <w:highlight w:val="none"/>
          <w:lang w:eastAsia="zh-CN"/>
        </w:rPr>
        <w:t xml:space="preserve">内容及</w:t>
      </w:r>
      <w:r>
        <w:rPr>
          <w:rFonts w:hint="eastAsia" w:ascii="宋体" w:hAnsi="宋体"/>
          <w:b w:val="0"/>
          <w:bCs/>
          <w:color w:val="auto"/>
          <w:sz w:val="24"/>
          <w:highlight w:val="none"/>
        </w:rPr>
        <w:t xml:space="preserve">要求</w:t>
      </w:r>
      <w:r>
        <w:rPr>
          <w:rFonts w:hint="eastAsia" w:ascii="宋体" w:hAnsi="宋体"/>
          <w:b w:val="0"/>
          <w:bCs/>
          <w:color w:val="auto"/>
          <w:sz w:val="24"/>
          <w:highlight w:val="none"/>
          <w:lang w:eastAsia="zh-CN"/>
        </w:rPr>
        <w:t xml:space="preserve">（详见招标文件及乙方的投标文件）</w:t>
      </w:r>
      <w:r/>
    </w:p>
    <w:p>
      <w:pPr>
        <w:ind w:right="-159"/>
        <w:spacing w:line="360" w:lineRule="auto"/>
        <w:rPr>
          <w:rFonts w:hint="eastAsia" w:ascii="宋体" w:hAnsi="宋体"/>
          <w:b w:val="0"/>
          <w:bCs/>
          <w:color w:val="auto"/>
          <w:spacing w:val="-10"/>
          <w:sz w:val="24"/>
          <w:highlight w:val="none"/>
        </w:rPr>
      </w:pPr>
      <w:r>
        <w:rPr>
          <w:rFonts w:hint="eastAsia" w:ascii="宋体" w:hAnsi="宋体"/>
          <w:b w:val="0"/>
          <w:bCs/>
          <w:color w:val="auto"/>
          <w:sz w:val="24"/>
          <w:highlight w:val="none"/>
        </w:rPr>
        <w:t xml:space="preserve">五、</w:t>
      </w:r>
      <w:r>
        <w:rPr>
          <w:rFonts w:hint="eastAsia" w:ascii="宋体" w:hAnsi="宋体"/>
          <w:b w:val="0"/>
          <w:bCs/>
          <w:color w:val="auto"/>
          <w:spacing w:val="-10"/>
          <w:sz w:val="24"/>
          <w:highlight w:val="none"/>
        </w:rPr>
        <w:t xml:space="preserve">验收相关要求：</w:t>
      </w:r>
      <w:r/>
    </w:p>
    <w:p>
      <w:pPr>
        <w:spacing w:line="360" w:lineRule="auto"/>
        <w:rPr>
          <w:rFonts w:hint="eastAsia" w:ascii="宋体" w:hAnsi="宋体" w:eastAsia="宋体" w:cs="宋体"/>
          <w:bCs/>
          <w:color w:val="auto"/>
          <w:sz w:val="24"/>
          <w:szCs w:val="24"/>
          <w:highlight w:val="none"/>
        </w:rPr>
      </w:pPr>
      <w:r>
        <w:rPr>
          <w:rFonts w:hint="eastAsia" w:ascii="宋体" w:hAnsi="宋体" w:eastAsia="宋体" w:cs="宋体"/>
          <w:bCs/>
          <w:color w:val="auto"/>
          <w:sz w:val="24"/>
          <w:szCs w:val="24"/>
          <w:highlight w:val="none"/>
        </w:rPr>
        <w:t xml:space="preserve">1</w:t>
      </w:r>
      <w:r>
        <w:rPr>
          <w:rFonts w:hint="eastAsia" w:ascii="宋体" w:hAnsi="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验收要求参照《江苏省政府采购履约验收管理办法》相关要求执行。</w:t>
      </w:r>
      <w:r/>
    </w:p>
    <w:p>
      <w:pPr>
        <w:pStyle w:val="800"/>
        <w:spacing w:line="360" w:lineRule="auto"/>
        <w:rPr>
          <w:rFonts w:hint="eastAsia" w:ascii="宋体" w:hAnsi="宋体" w:eastAsia="宋体" w:cs="Times New Roman"/>
          <w:color w:val="auto"/>
          <w:sz w:val="24"/>
          <w:szCs w:val="24"/>
          <w:highlight w:val="none"/>
          <w:lang w:val="en-US" w:eastAsia="zh-CN" w:bidi="ar-SA"/>
        </w:rPr>
      </w:pPr>
      <w:r>
        <w:rPr>
          <w:rFonts w:hint="eastAsia" w:hAnsi="宋体" w:cs="宋体"/>
          <w:color w:val="auto"/>
          <w:sz w:val="24"/>
          <w:szCs w:val="24"/>
          <w:highlight w:val="none"/>
          <w:lang w:val="en-US" w:eastAsia="zh-CN"/>
        </w:rPr>
        <w:t xml:space="preserve">2</w:t>
      </w:r>
      <w:r>
        <w:rPr>
          <w:rFonts w:hint="eastAsia" w:ascii="宋体" w:hAnsi="宋体" w:cs="宋体"/>
          <w:color w:val="auto"/>
          <w:sz w:val="24"/>
          <w:szCs w:val="24"/>
          <w:highlight w:val="none"/>
          <w:lang w:val="en-US" w:eastAsia="zh-CN"/>
        </w:rPr>
        <w:t xml:space="preserve">.</w:t>
      </w:r>
      <w:r>
        <w:rPr>
          <w:rFonts w:hint="eastAsia" w:ascii="宋体" w:hAnsi="宋体" w:eastAsia="宋体" w:cs="Times New Roman"/>
          <w:color w:val="auto"/>
          <w:szCs w:val="22"/>
          <w:highlight w:val="none"/>
        </w:rPr>
        <w:t xml:space="preserve">验收时间：</w:t>
      </w:r>
      <w:r>
        <w:rPr>
          <w:rFonts w:hint="eastAsia" w:hAnsi="宋体" w:cs="Times New Roman"/>
          <w:color w:val="auto"/>
          <w:sz w:val="24"/>
          <w:szCs w:val="24"/>
          <w:highlight w:val="none"/>
          <w:lang w:val="en-US" w:eastAsia="zh-CN" w:bidi="ar-SA"/>
        </w:rPr>
        <w:t xml:space="preserve">合同期限内</w:t>
      </w:r>
      <w:r>
        <w:rPr>
          <w:rFonts w:hint="eastAsia" w:ascii="宋体" w:hAnsi="宋体" w:eastAsia="宋体" w:cs="Times New Roman"/>
          <w:color w:val="auto"/>
          <w:sz w:val="24"/>
          <w:szCs w:val="24"/>
          <w:highlight w:val="none"/>
          <w:lang w:val="en-US" w:eastAsia="zh-CN" w:bidi="ar-SA"/>
        </w:rPr>
        <w:t xml:space="preserve">。</w:t>
      </w:r>
      <w:r/>
    </w:p>
    <w:p>
      <w:pPr>
        <w:pStyle w:val="800"/>
        <w:spacing w:line="360" w:lineRule="auto"/>
        <w:rPr>
          <w:color w:val="auto"/>
          <w:sz w:val="24"/>
          <w:highlight w:val="none"/>
        </w:rPr>
      </w:pPr>
      <w:r>
        <w:rPr>
          <w:rFonts w:hint="eastAsia" w:hAnsi="宋体" w:cs="Times New Roman"/>
          <w:color w:val="auto"/>
          <w:sz w:val="24"/>
          <w:szCs w:val="22"/>
          <w:highlight w:val="none"/>
          <w:lang w:val="en-US" w:eastAsia="zh-CN"/>
        </w:rPr>
        <w:t xml:space="preserve">3</w:t>
      </w:r>
      <w:r>
        <w:rPr>
          <w:rFonts w:hint="eastAsia" w:ascii="宋体" w:hAnsi="宋体" w:eastAsia="宋体" w:cs="Times New Roman"/>
          <w:color w:val="auto"/>
          <w:sz w:val="24"/>
          <w:szCs w:val="22"/>
          <w:highlight w:val="none"/>
          <w:lang w:val="en-US" w:eastAsia="zh-CN"/>
        </w:rPr>
        <w:t xml:space="preserve">.</w:t>
      </w:r>
      <w:r>
        <w:rPr>
          <w:rFonts w:hint="eastAsia" w:ascii="宋体" w:hAnsi="宋体" w:eastAsia="宋体" w:cs="Times New Roman"/>
          <w:color w:val="auto"/>
          <w:sz w:val="24"/>
          <w:szCs w:val="22"/>
          <w:highlight w:val="none"/>
        </w:rPr>
        <w:t xml:space="preserve">验收标准：</w:t>
      </w:r>
      <w:r>
        <w:rPr>
          <w:rFonts w:hint="eastAsia" w:ascii="宋体" w:hAnsi="宋体"/>
          <w:bCs/>
          <w:color w:val="auto"/>
          <w:sz w:val="24"/>
          <w:highlight w:val="none"/>
          <w:lang w:val="en-US" w:eastAsia="zh-CN"/>
        </w:rPr>
        <w:t xml:space="preserve">根据采购文件、乙方的投标文件、双方签订的合同文件及《江苏省政府采购履约验收管理办法》的相关规定和现行法律、规范</w:t>
      </w:r>
      <w:r>
        <w:rPr>
          <w:rFonts w:hint="eastAsia" w:hAnsi="宋体"/>
          <w:bCs/>
          <w:color w:val="auto"/>
          <w:sz w:val="24"/>
          <w:highlight w:val="none"/>
          <w:lang w:val="en-US" w:eastAsia="zh-CN"/>
        </w:rPr>
        <w:t xml:space="preserve">。</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4.</w:t>
      </w:r>
      <w:r>
        <w:rPr>
          <w:rFonts w:hint="eastAsia" w:ascii="宋体" w:hAnsi="宋体" w:eastAsia="宋体" w:cs="宋体"/>
          <w:bCs/>
          <w:color w:val="auto"/>
          <w:sz w:val="24"/>
          <w:szCs w:val="24"/>
          <w:highlight w:val="none"/>
        </w:rPr>
        <w:t xml:space="preserve">任一项验收不合格的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乙方应负责在甲方限定的期限内完成整改</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因整改而导致的费用和损失由乙方自行承担</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若导致项目逾期的</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乙方承担逾期违约责任。</w:t>
      </w:r>
      <w:r/>
    </w:p>
    <w:p>
      <w:pPr>
        <w:spacing w:line="360" w:lineRule="auto"/>
        <w:rPr>
          <w:rFonts w:hint="eastAsia" w:ascii="宋体" w:hAnsi="宋体" w:eastAsia="宋体" w:cs="宋体"/>
          <w:bCs/>
          <w:color w:val="auto"/>
          <w:sz w:val="24"/>
          <w:szCs w:val="24"/>
          <w:highlight w:val="none"/>
        </w:rPr>
      </w:pPr>
      <w:r>
        <w:rPr>
          <w:rFonts w:hint="eastAsia" w:ascii="宋体" w:hAnsi="宋体" w:cs="宋体"/>
          <w:bCs/>
          <w:color w:val="auto"/>
          <w:sz w:val="24"/>
          <w:szCs w:val="24"/>
          <w:highlight w:val="none"/>
          <w:lang w:val="en-US" w:eastAsia="zh-CN"/>
        </w:rPr>
        <w:t xml:space="preserve">5.</w:t>
      </w:r>
      <w:r>
        <w:rPr>
          <w:rFonts w:hint="eastAsia" w:ascii="宋体" w:hAnsi="宋体" w:eastAsia="宋体" w:cs="宋体"/>
          <w:bCs/>
          <w:color w:val="auto"/>
          <w:sz w:val="24"/>
          <w:szCs w:val="24"/>
          <w:highlight w:val="none"/>
        </w:rPr>
        <w:t xml:space="preserve">甲方所有验收意见将以书面形式做出</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因此除非甲方书面明示通过验收</w:t>
      </w:r>
      <w:r>
        <w:rPr>
          <w:rFonts w:hint="eastAsia" w:ascii="宋体" w:hAnsi="宋体" w:eastAsia="宋体" w:cs="宋体"/>
          <w:bCs/>
          <w:color w:val="auto"/>
          <w:sz w:val="24"/>
          <w:szCs w:val="24"/>
          <w:highlight w:val="none"/>
          <w:lang w:eastAsia="zh-CN"/>
        </w:rPr>
        <w:t xml:space="preserve">，</w:t>
      </w:r>
      <w:r>
        <w:rPr>
          <w:rFonts w:hint="eastAsia" w:ascii="宋体" w:hAnsi="宋体" w:eastAsia="宋体" w:cs="宋体"/>
          <w:bCs/>
          <w:color w:val="auto"/>
          <w:sz w:val="24"/>
          <w:szCs w:val="24"/>
          <w:highlight w:val="none"/>
        </w:rPr>
        <w:t xml:space="preserve">否则任何其他行为均不代表甲方已验收合格。</w:t>
      </w:r>
      <w:r/>
    </w:p>
    <w:p>
      <w:pPr>
        <w:jc w:val="left"/>
        <w:spacing w:line="360" w:lineRule="auto"/>
        <w:rPr>
          <w:rFonts w:hint="eastAsia" w:ascii="宋体" w:hAnsi="宋体" w:eastAsia="宋体"/>
          <w:b w:val="0"/>
          <w:bCs/>
          <w:color w:val="auto"/>
          <w:sz w:val="24"/>
          <w:highlight w:val="none"/>
          <w:lang w:eastAsia="zh-CN"/>
        </w:rPr>
      </w:pPr>
      <w:r>
        <w:rPr>
          <w:rFonts w:hint="eastAsia" w:ascii="宋体" w:hAnsi="宋体"/>
          <w:b w:val="0"/>
          <w:bCs/>
          <w:color w:val="auto"/>
          <w:sz w:val="24"/>
          <w:highlight w:val="none"/>
          <w:lang w:eastAsia="zh-CN"/>
        </w:rPr>
        <w:t xml:space="preserve">六</w:t>
      </w:r>
      <w:r>
        <w:rPr>
          <w:rFonts w:hint="eastAsia" w:ascii="宋体" w:hAnsi="宋体"/>
          <w:b w:val="0"/>
          <w:bCs/>
          <w:color w:val="auto"/>
          <w:sz w:val="24"/>
          <w:highlight w:val="none"/>
        </w:rPr>
        <w:t xml:space="preserve">、不可抗力</w:t>
      </w:r>
      <w:r>
        <w:rPr>
          <w:rFonts w:hint="eastAsia" w:ascii="宋体" w:hAnsi="宋体"/>
          <w:b w:val="0"/>
          <w:bCs/>
          <w:color w:val="auto"/>
          <w:sz w:val="24"/>
          <w:highlight w:val="none"/>
          <w:lang w:eastAsia="zh-CN"/>
        </w:rPr>
        <w:t xml:space="preserve">：</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.因不可抗力（或甲、乙双方不能控制的原因）不能履行合同的，根据不可抗力的影响，部分或者全部免除责任。但合同一方迟延履行后发生不可抗力的，不能免除责任。</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hint="eastAsia" w:ascii="宋体" w:hAnsi="宋体"/>
          <w:b w:val="0"/>
          <w:bCs/>
          <w:color w:val="auto"/>
          <w:sz w:val="24"/>
          <w:highlight w:val="none"/>
        </w:rPr>
        <w:t xml:space="preserve">.合同一方因不可抗力不能履行合同的，应当自不可抗力发生后3日内通知对方，以减轻可能给对方造成的损失，并应当在发出不可抗力通知后7日内提供书面证明。</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eastAsia="zh-CN"/>
        </w:rPr>
        <w:t xml:space="preserve">七</w:t>
      </w:r>
      <w:r>
        <w:rPr>
          <w:rFonts w:hint="eastAsia" w:ascii="宋体" w:hAnsi="宋体"/>
          <w:b w:val="0"/>
          <w:bCs/>
          <w:color w:val="auto"/>
          <w:sz w:val="24"/>
          <w:highlight w:val="none"/>
        </w:rPr>
        <w:t xml:space="preserve">、违约责任</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合同一方不履行合同义务或者履行合同义务不符合约定的，应当承担继续履行、采取补救措施或赔偿损失等违约责任。</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甲方违约责任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1.1</w:t>
      </w:r>
      <w:r>
        <w:rPr>
          <w:rFonts w:hint="eastAsia" w:ascii="宋体" w:hAnsi="宋体"/>
          <w:b w:val="0"/>
          <w:bCs/>
          <w:color w:val="auto"/>
          <w:sz w:val="24"/>
          <w:highlight w:val="none"/>
        </w:rPr>
        <w:t xml:space="preserve">在合同生效后，甲方无合理理由要求终止服务的，应向乙方支付合同总价款的</w:t>
      </w:r>
      <w:r>
        <w:rPr>
          <w:rFonts w:ascii="宋体" w:hAnsi="宋体"/>
          <w:b w:val="0"/>
          <w:bCs/>
          <w:color w:val="auto"/>
          <w:sz w:val="24"/>
          <w:highlight w:val="none"/>
        </w:rPr>
        <w:t xml:space="preserve">5%</w:t>
      </w:r>
      <w:r>
        <w:rPr>
          <w:rFonts w:hint="eastAsia" w:ascii="宋体" w:hAnsi="宋体"/>
          <w:b w:val="0"/>
          <w:bCs/>
          <w:color w:val="auto"/>
          <w:sz w:val="24"/>
          <w:highlight w:val="none"/>
        </w:rPr>
        <w:t xml:space="preserve">作为违约金，违约金不足以补偿损失的，乙方有权要求甲方补足。</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1.2</w:t>
      </w:r>
      <w:r>
        <w:rPr>
          <w:rFonts w:hint="eastAsia" w:ascii="宋体" w:hAnsi="宋体"/>
          <w:b w:val="0"/>
          <w:bCs/>
          <w:color w:val="auto"/>
          <w:sz w:val="24"/>
          <w:highlight w:val="none"/>
        </w:rPr>
        <w:t xml:space="preserve">甲方违反合同规定，拒绝接收乙方交付的合格服务成果的，应当承担乙方由此造成的损失。</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val="en-US" w:eastAsia="zh-CN"/>
        </w:rPr>
        <w:t xml:space="preserve">2</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乙方违约责任</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2.1</w:t>
      </w:r>
      <w:r>
        <w:rPr>
          <w:rFonts w:hint="eastAsia" w:ascii="宋体" w:hAnsi="宋体"/>
          <w:b w:val="0"/>
          <w:bCs/>
          <w:color w:val="auto"/>
          <w:sz w:val="24"/>
          <w:highlight w:val="none"/>
        </w:rPr>
        <w:t xml:space="preserve">乙方不能履行合同从而影响甲方正常工作的，应向甲方支付合同总价款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w:t>
      </w:r>
      <w:r>
        <w:rPr>
          <w:rFonts w:ascii="宋体" w:hAnsi="宋体"/>
          <w:b w:val="0"/>
          <w:bCs/>
          <w:color w:val="auto"/>
          <w:sz w:val="24"/>
          <w:highlight w:val="none"/>
        </w:rPr>
        <w:t xml:space="preserve">%</w:t>
      </w:r>
      <w:r>
        <w:rPr>
          <w:rFonts w:hint="eastAsia" w:ascii="宋体" w:hAnsi="宋体"/>
          <w:b w:val="0"/>
          <w:bCs/>
          <w:color w:val="auto"/>
          <w:sz w:val="24"/>
          <w:highlight w:val="none"/>
        </w:rPr>
        <w:t xml:space="preserve">的违约金，违约金不足以补偿损失的，甲方有权要求乙方补足。</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2.2</w:t>
      </w:r>
      <w:r>
        <w:rPr>
          <w:rFonts w:hint="eastAsia" w:ascii="宋体" w:hAnsi="宋体"/>
          <w:b w:val="0"/>
          <w:bCs/>
          <w:color w:val="auto"/>
          <w:sz w:val="24"/>
          <w:highlight w:val="none"/>
        </w:rPr>
        <w:t xml:space="preserve">乙方逾期完成任一阶段服务内容的，应与甲方协商，甲方仍要求乙方继续履行的，乙方应立即提供服务，并按照合同价款的每天万分之四支付逾期交付违约金，同时承担甲方因此产生的损失费用。</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2.3乙方提供的服务不符合约定要求的，首次甲方有权责令乙方改正，之后每发生一次，乙方应向甲方支付合同总价款</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0%的违约金，同时承担甲方因此产生的损失费用。</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2.4乙方应提供符合</w:t>
      </w:r>
      <w:r>
        <w:rPr>
          <w:rFonts w:hint="eastAsia" w:ascii="宋体" w:hAnsi="宋体"/>
          <w:b w:val="0"/>
          <w:bCs/>
          <w:color w:val="auto"/>
          <w:sz w:val="24"/>
          <w:highlight w:val="none"/>
          <w:lang w:eastAsia="zh-CN"/>
        </w:rPr>
        <w:t xml:space="preserve">服务</w:t>
      </w:r>
      <w:r>
        <w:rPr>
          <w:rFonts w:hint="eastAsia" w:ascii="宋体" w:hAnsi="宋体"/>
          <w:b w:val="0"/>
          <w:bCs/>
          <w:color w:val="auto"/>
          <w:sz w:val="24"/>
          <w:highlight w:val="none"/>
        </w:rPr>
        <w:t xml:space="preserve">所需的资质及营业执照等相关资料，并对资料的真实性负责。若乙方提供虚假材料的，甲方有权解除本合同，并要求乙方支付本合同总金额</w:t>
      </w:r>
      <w:r>
        <w:rPr>
          <w:rFonts w:ascii="宋体" w:hAnsi="宋体"/>
          <w:b w:val="0"/>
          <w:bCs/>
          <w:color w:val="auto"/>
          <w:sz w:val="24"/>
          <w:highlight w:val="none"/>
        </w:rPr>
        <w:t xml:space="preserve">20%的违约金，违约金不足以弥补损失的，乙方应予以补足。</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2.5本合同的部分和全部都不得转包或分包</w:t>
      </w:r>
      <w:r>
        <w:rPr>
          <w:rFonts w:hint="eastAsia" w:ascii="宋体" w:hAnsi="宋体"/>
          <w:b w:val="0"/>
          <w:bCs/>
          <w:color w:val="auto"/>
          <w:sz w:val="24"/>
          <w:highlight w:val="none"/>
          <w:lang w:eastAsia="zh-CN"/>
        </w:rPr>
        <w:t xml:space="preserve">；</w:t>
      </w:r>
      <w:r>
        <w:rPr>
          <w:rFonts w:hint="eastAsia" w:ascii="宋体" w:hAnsi="宋体"/>
          <w:b w:val="0"/>
          <w:bCs/>
          <w:color w:val="auto"/>
          <w:sz w:val="24"/>
          <w:highlight w:val="none"/>
        </w:rPr>
        <w:t xml:space="preserve">乙方将本合同的部分或全部转包或分包的，视为乙方根本违约，甲方有权直接解除本合同并要求乙方向甲方支付本合同总金额</w:t>
      </w:r>
      <w:r>
        <w:rPr>
          <w:rFonts w:hint="eastAsia" w:ascii="宋体" w:hAnsi="宋体"/>
          <w:b w:val="0"/>
          <w:bCs/>
          <w:color w:val="auto"/>
          <w:sz w:val="24"/>
          <w:highlight w:val="none"/>
          <w:lang w:val="en-US" w:eastAsia="zh-CN"/>
        </w:rPr>
        <w:t xml:space="preserve">1</w:t>
      </w:r>
      <w:r>
        <w:rPr>
          <w:rFonts w:ascii="宋体" w:hAnsi="宋体"/>
          <w:b w:val="0"/>
          <w:bCs/>
          <w:color w:val="auto"/>
          <w:sz w:val="24"/>
          <w:highlight w:val="none"/>
        </w:rPr>
        <w:t xml:space="preserve">0%的违约金。同时，甲方有权立即向第三方购买服务以保证项目正常运行且购买费用由乙方无异议接受、承担；因乙方分包或转包而导致第三方向甲方追索任何费用或赔偿的，甲方承担或处理该追索的全部费用（包括但不限于诉讼费、保全费、鉴定费、执行费、律师费、差旅费等）均由乙方承担。</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2.6乙方如有其他违反合同约定行为的，甲方有权视其违约严重程度及自身损失情况，要求乙方支付合同总金额</w:t>
      </w:r>
      <w:r>
        <w:rPr>
          <w:rFonts w:hint="eastAsia" w:ascii="宋体" w:hAnsi="宋体"/>
          <w:b w:val="0"/>
          <w:bCs/>
          <w:color w:val="auto"/>
          <w:sz w:val="24"/>
          <w:highlight w:val="none"/>
          <w:lang w:val="en-US" w:eastAsia="zh-CN"/>
        </w:rPr>
        <w:t xml:space="preserve">1</w:t>
      </w:r>
      <w:r>
        <w:rPr>
          <w:rFonts w:hint="eastAsia" w:ascii="宋体" w:hAnsi="宋体"/>
          <w:b w:val="0"/>
          <w:bCs/>
          <w:color w:val="auto"/>
          <w:sz w:val="24"/>
          <w:highlight w:val="none"/>
        </w:rPr>
        <w:t xml:space="preserve">0%的违约金，并赔偿甲方相应的损失。</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2.7乙方应赔偿甲方的损失、支付给甲方的违约金以及其他根据本合同应支付给甲方的费用，甲方有权直接从未支付款项中予以扣除，不足部分有权要求乙方补足。</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eastAsia="zh-CN"/>
        </w:rPr>
        <w:t xml:space="preserve">八</w:t>
      </w:r>
      <w:r>
        <w:rPr>
          <w:rFonts w:hint="eastAsia" w:ascii="宋体" w:hAnsi="宋体"/>
          <w:b w:val="0"/>
          <w:bCs/>
          <w:color w:val="auto"/>
          <w:sz w:val="24"/>
          <w:highlight w:val="none"/>
        </w:rPr>
        <w:t xml:space="preserve">、合同生效及其他：合同经甲乙双方法定代表人或授权代表人签字并加盖公章</w:t>
      </w:r>
      <w:r>
        <w:rPr>
          <w:rFonts w:hint="eastAsia" w:ascii="宋体" w:hAnsi="宋体"/>
          <w:b w:val="0"/>
          <w:bCs/>
          <w:color w:val="auto"/>
          <w:sz w:val="24"/>
          <w:highlight w:val="none"/>
          <w:lang w:eastAsia="zh-CN"/>
        </w:rPr>
        <w:t xml:space="preserve">，</w:t>
      </w:r>
      <w:r>
        <w:rPr>
          <w:rFonts w:hint="eastAsia" w:ascii="宋体" w:hAnsi="宋体" w:cs="宋体"/>
          <w:color w:val="auto"/>
          <w:sz w:val="24"/>
          <w:szCs w:val="24"/>
          <w:highlight w:val="none"/>
        </w:rPr>
        <w:t xml:space="preserve">向</w:t>
      </w:r>
      <w:r>
        <w:rPr>
          <w:rFonts w:hint="eastAsia" w:ascii="宋体" w:hAnsi="宋体" w:cs="宋体"/>
          <w:color w:val="auto"/>
          <w:sz w:val="24"/>
          <w:szCs w:val="24"/>
          <w:highlight w:val="none"/>
          <w:lang w:val="en-US" w:eastAsia="zh-CN"/>
        </w:rPr>
        <w:t xml:space="preserve">甲方</w:t>
      </w:r>
      <w:r>
        <w:rPr>
          <w:rFonts w:hint="eastAsia" w:ascii="宋体" w:hAnsi="宋体" w:cs="宋体"/>
          <w:color w:val="auto"/>
          <w:sz w:val="24"/>
          <w:szCs w:val="24"/>
          <w:highlight w:val="none"/>
        </w:rPr>
        <w:t xml:space="preserve">缴纳履约保证金</w:t>
      </w:r>
      <w:r>
        <w:rPr>
          <w:rFonts w:hint="eastAsia" w:ascii="宋体" w:hAnsi="宋体" w:cs="宋体"/>
          <w:color w:val="auto"/>
          <w:sz w:val="24"/>
          <w:szCs w:val="24"/>
          <w:highlight w:val="none"/>
          <w:lang w:val="en-US" w:eastAsia="zh-CN"/>
        </w:rPr>
        <w:t xml:space="preserve">后</w:t>
      </w:r>
      <w:r>
        <w:rPr>
          <w:rFonts w:hint="eastAsia" w:ascii="宋体" w:hAnsi="宋体"/>
          <w:b w:val="0"/>
          <w:bCs/>
          <w:color w:val="auto"/>
          <w:sz w:val="24"/>
          <w:highlight w:val="none"/>
        </w:rPr>
        <w:t xml:space="preserve">生效</w:t>
      </w:r>
      <w:r>
        <w:rPr>
          <w:rFonts w:hint="eastAsia" w:ascii="宋体" w:hAnsi="宋体"/>
          <w:b w:val="0"/>
          <w:bCs/>
          <w:color w:val="auto"/>
          <w:sz w:val="24"/>
          <w:highlight w:val="none"/>
          <w:lang w:eastAsia="zh-CN"/>
        </w:rPr>
        <w:t xml:space="preserve">，</w:t>
      </w:r>
      <w:r>
        <w:rPr>
          <w:rFonts w:hint="eastAsia" w:ascii="宋体" w:hAnsi="宋体"/>
          <w:bCs/>
          <w:color w:val="auto"/>
          <w:sz w:val="24"/>
          <w:highlight w:val="none"/>
          <w:lang w:val="zh-CN"/>
        </w:rPr>
        <w:t xml:space="preserve">生效后需网上备案</w:t>
      </w:r>
      <w:r>
        <w:rPr>
          <w:rFonts w:hint="eastAsia" w:ascii="宋体" w:hAnsi="宋体"/>
          <w:b w:val="0"/>
          <w:bCs/>
          <w:color w:val="auto"/>
          <w:sz w:val="24"/>
          <w:highlight w:val="none"/>
        </w:rPr>
        <w:t xml:space="preserve">。</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lang w:eastAsia="zh-CN"/>
        </w:rPr>
        <w:t xml:space="preserve">九</w:t>
      </w:r>
      <w:r>
        <w:rPr>
          <w:rFonts w:hint="eastAsia" w:ascii="宋体" w:hAnsi="宋体"/>
          <w:b w:val="0"/>
          <w:bCs/>
          <w:color w:val="auto"/>
          <w:sz w:val="24"/>
          <w:highlight w:val="none"/>
        </w:rPr>
        <w:t xml:space="preserve">、合同的解除：</w:t>
      </w:r>
      <w:r/>
    </w:p>
    <w:p>
      <w:pPr>
        <w:spacing w:line="360" w:lineRule="auto"/>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1</w:t>
      </w:r>
      <w:r>
        <w:rPr>
          <w:rFonts w:hint="eastAsia" w:ascii="宋体" w:hAnsi="宋体" w:cs="宋体"/>
          <w:b w:val="0"/>
          <w:bCs/>
          <w:color w:val="auto"/>
          <w:sz w:val="24"/>
          <w:szCs w:val="24"/>
          <w:highlight w:val="none"/>
          <w:lang w:eastAsia="zh-CN"/>
        </w:rPr>
        <w:t xml:space="preserve">.</w:t>
      </w:r>
      <w:r>
        <w:rPr>
          <w:rFonts w:hint="eastAsia" w:ascii="宋体" w:hAnsi="宋体" w:cs="宋体"/>
          <w:b w:val="0"/>
          <w:bCs/>
          <w:color w:val="auto"/>
          <w:sz w:val="24"/>
          <w:szCs w:val="24"/>
          <w:highlight w:val="none"/>
        </w:rPr>
        <w:t xml:space="preserve">除《中华人民共和国政府采购法》第49条、第50条和第二款规定及本合同约定的情况外，本合同签订后，甲乙双方不得</w:t>
      </w:r>
      <w:r>
        <w:rPr>
          <w:rFonts w:hint="eastAsia" w:ascii="宋体" w:hAnsi="宋体" w:cs="宋体"/>
          <w:b w:val="0"/>
          <w:bCs/>
          <w:color w:val="auto"/>
          <w:sz w:val="24"/>
          <w:szCs w:val="24"/>
          <w:highlight w:val="none"/>
          <w:lang w:eastAsia="en-US"/>
        </w:rPr>
        <w:t xml:space="preserve">擅自</w:t>
      </w:r>
      <w:r>
        <w:rPr>
          <w:rFonts w:hint="eastAsia" w:ascii="宋体" w:hAnsi="宋体" w:cs="宋体"/>
          <w:b w:val="0"/>
          <w:bCs/>
          <w:color w:val="auto"/>
          <w:sz w:val="24"/>
          <w:szCs w:val="24"/>
          <w:highlight w:val="none"/>
        </w:rPr>
        <w:t xml:space="preserve">变更及解除本合同。</w:t>
      </w:r>
      <w:r/>
    </w:p>
    <w:p>
      <w:pPr>
        <w:jc w:val="left"/>
        <w:spacing w:line="360" w:lineRule="auto"/>
        <w:tabs>
          <w:tab w:val="left" w:pos="0" w:leader="none"/>
        </w:tabs>
        <w:rPr>
          <w:rFonts w:hint="eastAsia" w:ascii="宋体" w:hAnsi="宋体" w:cs="宋体"/>
          <w:b w:val="0"/>
          <w:bCs/>
          <w:color w:val="auto"/>
          <w:sz w:val="24"/>
          <w:szCs w:val="24"/>
          <w:highlight w:val="none"/>
          <w:lang w:val="zh-CN" w:eastAsia="zh-TW"/>
        </w:rPr>
      </w:pPr>
      <w:r>
        <w:rPr>
          <w:rFonts w:hint="eastAsia" w:ascii="宋体" w:hAnsi="宋体" w:cs="宋体"/>
          <w:b w:val="0"/>
          <w:bCs/>
          <w:color w:val="auto"/>
          <w:sz w:val="24"/>
          <w:szCs w:val="24"/>
          <w:highlight w:val="none"/>
          <w:lang w:val="zh-CN" w:eastAsia="zh-TW"/>
        </w:rPr>
        <w:t xml:space="preserve">2.有下列情形之一，合同一方可以解除合同：</w:t>
      </w:r>
      <w:r/>
    </w:p>
    <w:p>
      <w:pPr>
        <w:jc w:val="left"/>
        <w:spacing w:line="360" w:lineRule="auto"/>
        <w:tabs>
          <w:tab w:val="left" w:pos="0" w:leader="none"/>
        </w:tabs>
        <w:rPr>
          <w:rFonts w:hint="eastAsia" w:ascii="宋体" w:hAnsi="宋体" w:cs="宋体"/>
          <w:b w:val="0"/>
          <w:bCs/>
          <w:color w:val="auto"/>
          <w:sz w:val="24"/>
          <w:szCs w:val="24"/>
          <w:highlight w:val="none"/>
          <w:lang w:val="zh-CN" w:eastAsia="zh-TW"/>
        </w:rPr>
      </w:pPr>
      <w:r>
        <w:rPr>
          <w:rFonts w:hint="eastAsia" w:ascii="宋体" w:hAnsi="宋体" w:cs="宋体"/>
          <w:b w:val="0"/>
          <w:bCs/>
          <w:color w:val="auto"/>
          <w:sz w:val="24"/>
          <w:szCs w:val="24"/>
          <w:highlight w:val="none"/>
          <w:lang w:val="zh-CN" w:eastAsia="zh-TW"/>
        </w:rPr>
        <w:t xml:space="preserve">2.1因不可抗力致使不能实现合同目的，未受不可抗力影响一方有权解除合同。</w:t>
      </w:r>
      <w:r/>
    </w:p>
    <w:p>
      <w:pPr>
        <w:jc w:val="left"/>
        <w:spacing w:line="360" w:lineRule="auto"/>
        <w:tabs>
          <w:tab w:val="left" w:pos="0" w:leader="none"/>
        </w:tabs>
        <w:rPr>
          <w:rFonts w:hint="eastAsia" w:ascii="宋体" w:hAnsi="宋体" w:cs="宋体"/>
          <w:b w:val="0"/>
          <w:bCs/>
          <w:color w:val="auto"/>
          <w:sz w:val="24"/>
          <w:szCs w:val="24"/>
          <w:highlight w:val="none"/>
          <w:lang w:val="zh-CN" w:eastAsia="zh-TW"/>
        </w:rPr>
      </w:pPr>
      <w:r>
        <w:rPr>
          <w:rFonts w:hint="eastAsia" w:ascii="宋体" w:hAnsi="宋体" w:cs="宋体"/>
          <w:b w:val="0"/>
          <w:bCs/>
          <w:color w:val="auto"/>
          <w:sz w:val="24"/>
          <w:szCs w:val="24"/>
          <w:highlight w:val="none"/>
          <w:lang w:val="zh-CN" w:eastAsia="zh-TW"/>
        </w:rPr>
        <w:t xml:space="preserve">2.2因合同一方违约导致合同不能履行，另一方有权解除合同。</w:t>
      </w:r>
      <w:r/>
    </w:p>
    <w:p>
      <w:pPr>
        <w:jc w:val="left"/>
        <w:spacing w:line="360" w:lineRule="auto"/>
        <w:tabs>
          <w:tab w:val="left" w:pos="0" w:leader="none"/>
        </w:tabs>
        <w:rPr>
          <w:rFonts w:hint="eastAsia" w:ascii="宋体" w:hAnsi="宋体" w:cs="宋体"/>
          <w:b w:val="0"/>
          <w:bCs/>
          <w:color w:val="auto"/>
          <w:sz w:val="24"/>
          <w:szCs w:val="24"/>
          <w:highlight w:val="none"/>
          <w:lang w:val="zh-CN" w:eastAsia="zh-TW"/>
        </w:rPr>
      </w:pPr>
      <w:r>
        <w:rPr>
          <w:rFonts w:hint="eastAsia" w:ascii="宋体" w:hAnsi="宋体" w:cs="宋体"/>
          <w:b w:val="0"/>
          <w:bCs/>
          <w:color w:val="auto"/>
          <w:sz w:val="24"/>
          <w:szCs w:val="24"/>
          <w:highlight w:val="none"/>
          <w:lang w:val="zh-CN" w:eastAsia="zh-TW"/>
        </w:rPr>
        <w:t xml:space="preserve">3.有权解除合同的一方，应当在违约事实或不可抗力发生之后及时书面通知对方提出解除合同，合同在书面通知到达对方时解除。</w:t>
      </w:r>
      <w:r/>
    </w:p>
    <w:p>
      <w:pPr>
        <w:jc w:val="left"/>
        <w:spacing w:line="360" w:lineRule="auto"/>
        <w:tabs>
          <w:tab w:val="left" w:pos="0" w:leader="none"/>
        </w:tabs>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4.如乙方出现破产或丧失履行合同的能力，拒不配合验收与审计或其他甲方有权解除合同等情形的，甲方有权在任何时候以书面形式通知乙方终止合同并追究乙方违约责任，要求乙方返还已收到的合同款项。该终止合同将不损害或影响甲方已经采取或将要采取任何补救措施的权利。 </w:t>
      </w:r>
      <w:r/>
    </w:p>
    <w:p>
      <w:pPr>
        <w:jc w:val="left"/>
        <w:spacing w:line="360" w:lineRule="auto"/>
        <w:tabs>
          <w:tab w:val="left" w:pos="0" w:leader="none"/>
        </w:tabs>
        <w:rPr>
          <w:rFonts w:hint="eastAsia" w:ascii="宋体" w:hAnsi="宋体" w:cs="宋体"/>
          <w:b w:val="0"/>
          <w:bCs/>
          <w:color w:val="auto"/>
          <w:sz w:val="24"/>
          <w:szCs w:val="24"/>
          <w:highlight w:val="none"/>
        </w:rPr>
      </w:pPr>
      <w:r>
        <w:rPr>
          <w:rFonts w:hint="eastAsia" w:ascii="宋体" w:hAnsi="宋体" w:cs="宋体"/>
          <w:b w:val="0"/>
          <w:bCs/>
          <w:color w:val="auto"/>
          <w:sz w:val="24"/>
          <w:szCs w:val="24"/>
          <w:highlight w:val="none"/>
        </w:rPr>
        <w:t xml:space="preserve">5.如乙方出现违约行为，且甲方依据约定解除本合同的部分或全部内容的，甲方可以依其认为适当的条件和方法购买与未提供服务类似的服务，乙方应承担购买类似服务所超出的此部分费用。</w:t>
      </w:r>
      <w:r/>
    </w:p>
    <w:p>
      <w:pPr>
        <w:jc w:val="left"/>
        <w:spacing w:line="360" w:lineRule="auto"/>
        <w:tabs>
          <w:tab w:val="left" w:pos="0" w:leader="none"/>
        </w:tabs>
        <w:rPr>
          <w:rFonts w:ascii="宋体" w:hAnsi="宋体"/>
          <w:b w:val="0"/>
          <w:bCs/>
          <w:color w:val="auto"/>
          <w:sz w:val="24"/>
          <w:highlight w:val="none"/>
        </w:rPr>
      </w:pPr>
      <w:r>
        <w:rPr>
          <w:rFonts w:hint="eastAsia" w:ascii="宋体" w:hAnsi="宋体" w:cs="宋体"/>
          <w:b w:val="0"/>
          <w:bCs/>
          <w:color w:val="auto"/>
          <w:sz w:val="24"/>
          <w:szCs w:val="24"/>
          <w:highlight w:val="none"/>
        </w:rPr>
        <w:t xml:space="preserve">6.甲方根据本合同约定有权解除合同的，解除合同的通知自送达本合同首部填写的乙方地址后生效；若乙方拒绝签收或显示查无此人而导致解除合同的通知未能被乙方实际签收的，解除合同的通知自退回之日视为送达。</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十、</w:t>
      </w:r>
      <w:r>
        <w:rPr>
          <w:rFonts w:hint="eastAsia" w:ascii="宋体" w:hAnsi="宋体"/>
          <w:b w:val="0"/>
          <w:bCs/>
          <w:color w:val="auto"/>
          <w:sz w:val="24"/>
          <w:highlight w:val="none"/>
          <w:lang w:eastAsia="zh-CN"/>
        </w:rPr>
        <w:t xml:space="preserve">其他</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1</w:t>
      </w:r>
      <w:r>
        <w:rPr>
          <w:rFonts w:hint="eastAsia" w:ascii="宋体" w:hAnsi="宋体"/>
          <w:b w:val="0"/>
          <w:bCs/>
          <w:color w:val="auto"/>
          <w:sz w:val="24"/>
          <w:highlight w:val="none"/>
        </w:rPr>
        <w:t xml:space="preserve">.乙方除应为相关人员提供必要的劳动保护条件并支付员工工资和缴纳正常的社会保险外，还应为其办理作业时的人身安全保险和意外伤害险，乙方在合同期限内发生的一切安全责任事故均由乙方自行负责（保险种类由乙方自行选择）。</w:t>
      </w:r>
      <w:r/>
    </w:p>
    <w:p>
      <w:pPr>
        <w:jc w:val="left"/>
        <w:spacing w:line="360" w:lineRule="auto"/>
        <w:rPr>
          <w:rFonts w:ascii="宋体" w:hAnsi="宋体"/>
          <w:b w:val="0"/>
          <w:bCs/>
          <w:color w:val="auto"/>
          <w:sz w:val="24"/>
          <w:highlight w:val="none"/>
        </w:rPr>
      </w:pPr>
      <w:r>
        <w:rPr>
          <w:rFonts w:ascii="宋体" w:hAnsi="宋体"/>
          <w:b w:val="0"/>
          <w:bCs/>
          <w:color w:val="auto"/>
          <w:sz w:val="24"/>
          <w:highlight w:val="none"/>
        </w:rPr>
        <w:t xml:space="preserve">2</w:t>
      </w:r>
      <w:r>
        <w:rPr>
          <w:rFonts w:hint="eastAsia" w:ascii="宋体" w:hAnsi="宋体"/>
          <w:b w:val="0"/>
          <w:bCs/>
          <w:color w:val="auto"/>
          <w:sz w:val="24"/>
          <w:highlight w:val="none"/>
        </w:rPr>
        <w:t xml:space="preserve">.乙方应做好职工安全生产教育，并配备一定的劳动保护必需品以供职工使用。</w:t>
      </w:r>
      <w:r/>
    </w:p>
    <w:p>
      <w:pPr>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3.安全责任</w:t>
      </w:r>
      <w:r>
        <w:rPr>
          <w:rFonts w:hint="eastAsia" w:ascii="宋体" w:hAnsi="宋体"/>
          <w:b w:val="0"/>
          <w:bCs/>
          <w:color w:val="auto"/>
          <w:sz w:val="24"/>
          <w:highlight w:val="none"/>
          <w:lang w:eastAsia="zh-CN"/>
        </w:rPr>
        <w:t xml:space="preserve">：</w:t>
      </w:r>
      <w:r>
        <w:rPr>
          <w:rFonts w:hint="eastAsia" w:ascii="宋体" w:hAnsi="宋体" w:cs="宋体"/>
          <w:b w:val="0"/>
          <w:bCs/>
          <w:color w:val="auto"/>
          <w:sz w:val="24"/>
          <w:szCs w:val="24"/>
          <w:highlight w:val="none"/>
        </w:rPr>
        <w:t xml:space="preserve">乙方在执行合同规定的任务过程中，应严格执行国家安全生产有关法律法规规定，做到文明工作、安全生产，采取必要的安全防范措施，合同期内若发生安全事故由乙方承担，与甲方无关。因乙方履职不合格而发生的任何质量、安全事故，均由乙方承担责任，给甲方造成损失的，乙方应予以赔偿。</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4.甲乙双方因合同发生争议，应在采购代理机构的主持下进行调解协商，协商不成的，任何一方可以向甲方所在地人民法院起诉。甲方因处理乙方违约或乙方追究甲方违约但不成立而产生的费用由乙方承担，该费用包括但不限于诉讼费、保全费、鉴定费、执行费、律师费、差旅费等。</w:t>
      </w:r>
      <w:r/>
    </w:p>
    <w:p>
      <w:pPr>
        <w:jc w:val="left"/>
        <w:spacing w:line="360" w:lineRule="auto"/>
        <w:rPr>
          <w:rFonts w:hint="eastAsia" w:ascii="宋体" w:hAnsi="宋体"/>
          <w:b w:val="0"/>
          <w:bCs/>
          <w:color w:val="auto"/>
          <w:sz w:val="24"/>
          <w:highlight w:val="none"/>
        </w:rPr>
      </w:pPr>
      <w:r>
        <w:rPr>
          <w:rFonts w:hint="eastAsia" w:ascii="宋体" w:hAnsi="宋体"/>
          <w:b w:val="0"/>
          <w:bCs/>
          <w:color w:val="auto"/>
          <w:sz w:val="24"/>
          <w:highlight w:val="none"/>
        </w:rPr>
        <w:t xml:space="preserve">5.本合同之附件均为合同有效组成部分，与本合同具有同等法律效力。</w:t>
      </w:r>
      <w:r/>
    </w:p>
    <w:p>
      <w:pPr>
        <w:jc w:val="left"/>
        <w:spacing w:line="360" w:lineRule="auto"/>
        <w:rPr>
          <w:rFonts w:ascii="宋体" w:hAnsi="宋体"/>
          <w:b w:val="0"/>
          <w:bCs/>
          <w:color w:val="auto"/>
          <w:sz w:val="24"/>
          <w:highlight w:val="none"/>
        </w:rPr>
      </w:pPr>
      <w:r>
        <w:rPr>
          <w:rFonts w:hint="eastAsia" w:ascii="宋体" w:hAnsi="宋体"/>
          <w:b w:val="0"/>
          <w:bCs/>
          <w:color w:val="auto"/>
          <w:sz w:val="24"/>
          <w:highlight w:val="none"/>
        </w:rPr>
        <w:t xml:space="preserve">十</w:t>
      </w:r>
      <w:r>
        <w:rPr>
          <w:rFonts w:hint="eastAsia" w:ascii="宋体" w:hAnsi="宋体"/>
          <w:b w:val="0"/>
          <w:bCs/>
          <w:color w:val="auto"/>
          <w:sz w:val="24"/>
          <w:highlight w:val="none"/>
          <w:lang w:eastAsia="zh-CN"/>
        </w:rPr>
        <w:t xml:space="preserve">一</w:t>
      </w:r>
      <w:r>
        <w:rPr>
          <w:rFonts w:hint="eastAsia" w:ascii="宋体" w:hAnsi="宋体"/>
          <w:b w:val="0"/>
          <w:bCs/>
          <w:color w:val="auto"/>
          <w:sz w:val="24"/>
          <w:highlight w:val="none"/>
        </w:rPr>
        <w:t xml:space="preserve">、附则</w:t>
      </w:r>
      <w:r/>
    </w:p>
    <w:p>
      <w:pPr>
        <w:spacing w:line="360" w:lineRule="auto"/>
        <w:rPr>
          <w:rFonts w:ascii="宋体" w:hAnsi="宋体"/>
          <w:color w:val="auto"/>
          <w:sz w:val="24"/>
          <w:highlight w:val="none"/>
        </w:rPr>
      </w:pPr>
      <w:r>
        <w:rPr>
          <w:rFonts w:hint="eastAsia" w:ascii="宋体" w:hAnsi="宋体"/>
          <w:color w:val="auto"/>
          <w:sz w:val="24"/>
          <w:highlight w:val="none"/>
        </w:rPr>
        <w:t xml:space="preserve">1.合同份数：本合同</w:t>
      </w:r>
      <w:r>
        <w:rPr>
          <w:rFonts w:hint="eastAsia" w:ascii="宋体" w:hAnsi="宋体"/>
          <w:color w:val="auto"/>
          <w:sz w:val="24"/>
          <w:highlight w:val="none"/>
          <w:lang w:eastAsia="zh-CN"/>
        </w:rPr>
        <w:t xml:space="preserve">一式</w:t>
      </w:r>
      <w:r>
        <w:rPr>
          <w:rFonts w:hint="eastAsia" w:ascii="宋体" w:hAnsi="宋体"/>
          <w:color w:val="auto"/>
          <w:sz w:val="24"/>
          <w:highlight w:val="none"/>
          <w:lang w:val="en-US" w:eastAsia="zh-CN"/>
        </w:rPr>
        <w:t xml:space="preserve">伍</w:t>
      </w:r>
      <w:r>
        <w:rPr>
          <w:rFonts w:hint="eastAsia" w:ascii="宋体" w:hAnsi="宋体"/>
          <w:color w:val="auto"/>
          <w:sz w:val="24"/>
          <w:highlight w:val="none"/>
          <w:lang w:eastAsia="zh-CN"/>
        </w:rPr>
        <w:t xml:space="preserve">份</w:t>
      </w:r>
      <w:r>
        <w:rPr>
          <w:rFonts w:hint="eastAsia" w:ascii="宋体" w:hAnsi="宋体"/>
          <w:color w:val="auto"/>
          <w:sz w:val="24"/>
          <w:highlight w:val="none"/>
        </w:rPr>
        <w:t xml:space="preserve">，</w:t>
      </w:r>
      <w:r>
        <w:rPr>
          <w:rFonts w:hint="eastAsia" w:ascii="宋体" w:hAnsi="宋体"/>
          <w:bCs/>
          <w:color w:val="auto"/>
          <w:sz w:val="24"/>
          <w:highlight w:val="none"/>
          <w:lang w:val="zh-CN"/>
        </w:rPr>
        <w:t xml:space="preserve">甲方贰份，乙方贰份，采购代理机构壹份</w:t>
      </w:r>
      <w:r>
        <w:rPr>
          <w:rFonts w:hint="eastAsia" w:ascii="宋体" w:hAnsi="宋体"/>
          <w:color w:val="auto"/>
          <w:sz w:val="24"/>
          <w:highlight w:val="none"/>
        </w:rPr>
        <w:t xml:space="preserve">，各份具有同等法律效力。</w:t>
      </w:r>
      <w:r/>
    </w:p>
    <w:p>
      <w:pPr>
        <w:spacing w:line="360" w:lineRule="auto"/>
        <w:rPr>
          <w:rFonts w:ascii="宋体" w:hAnsi="宋体"/>
          <w:color w:val="auto"/>
          <w:sz w:val="24"/>
          <w:highlight w:val="none"/>
        </w:rPr>
      </w:pPr>
      <w:r>
        <w:rPr>
          <w:rFonts w:hint="eastAsia" w:ascii="宋体" w:hAnsi="宋体"/>
          <w:color w:val="auto"/>
          <w:sz w:val="24"/>
          <w:highlight w:val="none"/>
        </w:rPr>
        <w:t xml:space="preserve">2.本合同文件使用中文书写、解释和说明。</w:t>
      </w:r>
      <w:r/>
    </w:p>
    <w:p>
      <w:pPr>
        <w:spacing w:line="360" w:lineRule="auto"/>
        <w:rPr>
          <w:color w:val="auto"/>
          <w:highlight w:val="none"/>
        </w:rPr>
      </w:pPr>
      <w:r>
        <w:rPr>
          <w:rFonts w:hint="eastAsia" w:ascii="宋体" w:hAnsi="宋体"/>
          <w:color w:val="auto"/>
          <w:sz w:val="24"/>
          <w:highlight w:val="none"/>
        </w:rPr>
        <w:t xml:space="preserve">3.本合同履行过程中产生的纪要、协议以及</w:t>
      </w:r>
      <w:r>
        <w:rPr>
          <w:rFonts w:hint="eastAsia" w:ascii="宋体" w:hAnsi="宋体"/>
          <w:color w:val="auto"/>
          <w:sz w:val="24"/>
          <w:highlight w:val="none"/>
          <w:lang w:val="en-US" w:eastAsia="zh-CN"/>
        </w:rPr>
        <w:t xml:space="preserve">中标</w:t>
      </w:r>
      <w:r>
        <w:rPr>
          <w:rFonts w:hint="eastAsia" w:ascii="宋体" w:hAnsi="宋体"/>
          <w:color w:val="auto"/>
          <w:sz w:val="24"/>
          <w:highlight w:val="none"/>
        </w:rPr>
        <w:t xml:space="preserve">通知书</w:t>
      </w:r>
      <w:r>
        <w:rPr>
          <w:rFonts w:hint="eastAsia" w:ascii="宋体" w:hAnsi="宋体"/>
          <w:color w:val="auto"/>
          <w:sz w:val="24"/>
          <w:highlight w:val="none"/>
          <w:lang w:eastAsia="zh-CN"/>
        </w:rPr>
        <w:t xml:space="preserve">、投标</w:t>
      </w:r>
      <w:r>
        <w:rPr>
          <w:rFonts w:hint="eastAsia" w:ascii="宋体" w:hAnsi="宋体"/>
          <w:color w:val="auto"/>
          <w:sz w:val="24"/>
          <w:highlight w:val="none"/>
        </w:rPr>
        <w:t xml:space="preserve">文件和采购文件为本合同的附件，与合同具有同等法律效力。</w:t>
      </w:r>
      <w:r/>
    </w:p>
    <w:p>
      <w:pPr>
        <w:spacing w:line="360" w:lineRule="auto"/>
        <w:rPr>
          <w:rFonts w:ascii="宋体" w:hAnsi="宋体"/>
          <w:color w:val="auto"/>
          <w:sz w:val="24"/>
          <w:highlight w:val="none"/>
        </w:rPr>
      </w:pPr>
      <w:r>
        <w:rPr>
          <w:rFonts w:hint="eastAsia" w:ascii="宋体" w:hAnsi="宋体"/>
          <w:color w:val="auto"/>
          <w:sz w:val="24"/>
          <w:highlight w:val="none"/>
        </w:rPr>
        <w:t xml:space="preserve">4.未尽事宜：</w:t>
      </w:r>
      <w:r>
        <w:rPr>
          <w:rFonts w:hint="eastAsia" w:ascii="宋体" w:hAnsi="宋体" w:cs="宋体"/>
          <w:color w:val="auto"/>
          <w:sz w:val="24"/>
          <w:szCs w:val="24"/>
          <w:highlight w:val="none"/>
        </w:rPr>
        <w:t xml:space="preserve">本合同未尽事宜应按《中华人民共和国民法典》《中华人民共和国政府采购法》以及其他相关法律、法规之规定解释。双方在不违背本合同和采购文件的原则下协商解决，协商结果以书面形式盖章记录，作为本合同的附件，与本合同具有同等法律效力，但需向采购代理机构提交贰份备存</w:t>
      </w:r>
      <w:r>
        <w:rPr>
          <w:rFonts w:hint="eastAsia" w:ascii="宋体" w:hAnsi="宋体"/>
          <w:color w:val="auto"/>
          <w:sz w:val="24"/>
          <w:highlight w:val="none"/>
        </w:rPr>
        <w:t xml:space="preserve">。</w:t>
      </w:r>
      <w:r/>
    </w:p>
    <w:p>
      <w:pPr>
        <w:spacing w:line="360" w:lineRule="auto"/>
        <w:rPr>
          <w:rFonts w:ascii="宋体" w:hAnsi="宋体"/>
          <w:color w:val="auto"/>
          <w:sz w:val="24"/>
          <w:highlight w:val="none"/>
        </w:rPr>
      </w:pPr>
      <w:r>
        <w:rPr>
          <w:rFonts w:hint="eastAsia" w:ascii="宋体" w:hAnsi="宋体"/>
          <w:color w:val="auto"/>
          <w:sz w:val="24"/>
          <w:highlight w:val="none"/>
        </w:rPr>
        <w:t xml:space="preserve">5.本合同首部载明的地址为甲乙双方认可的相关文件、法律文书送达地址，任何一方如更换地址的，应于更换后3日内书面通知另一方，未通知的一方自行承担法院送达不能等不利后果。</w:t>
      </w:r>
      <w:r/>
    </w:p>
    <w:p>
      <w:pPr>
        <w:pStyle w:val="1036"/>
        <w:rPr>
          <w:rFonts w:ascii="宋体" w:hAnsi="宋体" w:cs="宋体"/>
          <w:color w:val="auto"/>
          <w:sz w:val="24"/>
          <w:szCs w:val="24"/>
          <w:highlight w:val="none"/>
        </w:rPr>
      </w:pPr>
      <w:r>
        <w:rPr>
          <w:rFonts w:ascii="宋体" w:hAnsi="宋体" w:cs="宋体"/>
          <w:color w:val="auto"/>
          <w:sz w:val="24"/>
          <w:szCs w:val="24"/>
          <w:highlight w:val="none"/>
        </w:rPr>
      </w:r>
      <w:r/>
    </w:p>
    <w:p>
      <w:pPr>
        <w:pStyle w:val="822"/>
        <w:ind w:left="0"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lang w:eastAsia="zh-CN"/>
        </w:rPr>
      </w:pPr>
      <w:r>
        <w:rPr>
          <w:rFonts w:hint="eastAsia" w:asciiTheme="minorEastAsia" w:hAnsiTheme="minorEastAsia" w:eastAsiaTheme="minorEastAsia" w:cstheme="minorEastAsia"/>
          <w:color w:val="auto"/>
          <w:sz w:val="24"/>
          <w:szCs w:val="24"/>
          <w:highlight w:val="none"/>
        </w:rPr>
        <w:t xml:space="preserve">甲方（盖章）：</w:t>
      </w:r>
      <w:r>
        <w:rPr>
          <w:rFonts w:hint="eastAsia" w:asciiTheme="minorEastAsia" w:hAnsiTheme="minorEastAsia" w:eastAsiaTheme="minorEastAsia" w:cstheme="minorEastAsia"/>
          <w:color w:val="auto"/>
          <w:sz w:val="24"/>
          <w:szCs w:val="24"/>
          <w:highlight w:val="none"/>
          <w:lang w:val="en-US" w:eastAsia="zh-CN"/>
        </w:rPr>
        <w:t xml:space="preserve">            </w:t>
      </w:r>
      <w:r>
        <w:rPr>
          <w:rFonts w:hint="eastAsia" w:asciiTheme="minorEastAsia" w:hAnsiTheme="minorEastAsia" w:eastAsiaTheme="minorEastAsia" w:cstheme="minorEastAsia"/>
          <w:color w:val="auto"/>
          <w:sz w:val="24"/>
          <w:szCs w:val="24"/>
          <w:highlight w:val="none"/>
        </w:rPr>
        <w:t xml:space="preserve">         乙方（盖章）：</w:t>
      </w:r>
      <w:r/>
    </w:p>
    <w:p>
      <w:pPr>
        <w:pStyle w:val="822"/>
        <w:ind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2"/>
        <w:ind w:left="0"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法定（授权）代表人（签字）：       法定（授权）代表人（签字）：</w:t>
      </w:r>
      <w:r/>
    </w:p>
    <w:p>
      <w:pPr>
        <w:pStyle w:val="822"/>
        <w:ind w:left="0"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r>
      <w:r/>
    </w:p>
    <w:p>
      <w:pPr>
        <w:pStyle w:val="822"/>
        <w:ind w:left="0" w:firstLine="480"/>
        <w:keepLines w:val="0"/>
        <w:keepNext w:val="0"/>
        <w:pageBreakBefore w:val="0"/>
        <w:spacing w:line="400" w:lineRule="exact"/>
        <w:widowControl w:val="off"/>
        <w:rPr>
          <w:rFonts w:hint="eastAsia" w:asciiTheme="minorEastAsia" w:hAnsiTheme="minorEastAsia" w:eastAsiaTheme="minorEastAsia" w:cstheme="minorEastAsia"/>
          <w:color w:val="auto"/>
          <w:sz w:val="24"/>
          <w:szCs w:val="24"/>
          <w:highlight w:val="none"/>
        </w:rPr>
      </w:pPr>
      <w:r>
        <w:rPr>
          <w:rFonts w:hint="eastAsia" w:asciiTheme="minorEastAsia" w:hAnsiTheme="minorEastAsia" w:eastAsiaTheme="minorEastAsia" w:cstheme="minorEastAsia"/>
          <w:color w:val="auto"/>
          <w:sz w:val="24"/>
          <w:szCs w:val="24"/>
          <w:highlight w:val="none"/>
        </w:rPr>
        <w:t xml:space="preserve">日期：    年    月    日           日期：    年    月     日</w:t>
      </w:r>
      <w:r/>
    </w:p>
    <w:p>
      <w:pPr>
        <w:rPr>
          <w:rFonts w:hint="eastAsia" w:ascii="宋体" w:hAnsi="宋体"/>
          <w:color w:val="auto"/>
          <w:sz w:val="24"/>
          <w:szCs w:val="24"/>
          <w:highlight w:val="none"/>
        </w:rPr>
      </w:pPr>
      <w:r>
        <w:rPr>
          <w:rFonts w:hint="eastAsia" w:ascii="宋体" w:hAnsi="宋体"/>
          <w:color w:val="auto"/>
          <w:sz w:val="24"/>
          <w:szCs w:val="24"/>
          <w:highlight w:val="none"/>
        </w:rPr>
        <w:br w:type="page" w:clear="all"/>
      </w:r>
      <w:r/>
    </w:p>
    <w:p>
      <w:pPr>
        <w:spacing w:line="288"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附件一：</w:t>
      </w:r>
      <w:r/>
    </w:p>
    <w:p>
      <w:pPr>
        <w:ind w:firstLine="504"/>
        <w:jc w:val="center"/>
        <w:spacing w:line="360" w:lineRule="auto"/>
        <w:tabs>
          <w:tab w:val="left" w:pos="0" w:leader="none"/>
        </w:tabs>
        <w:rPr>
          <w:rFonts w:hint="eastAsia" w:ascii="宋体" w:hAnsi="宋体" w:eastAsia="宋体" w:cs="宋体"/>
          <w:b/>
          <w:bCs/>
          <w:color w:val="auto"/>
          <w:sz w:val="24"/>
          <w:szCs w:val="24"/>
          <w:highlight w:val="none"/>
        </w:rPr>
      </w:pPr>
      <w:r>
        <w:rPr>
          <w:rFonts w:hint="eastAsia" w:ascii="宋体" w:hAnsi="宋体" w:eastAsia="宋体" w:cs="宋体"/>
          <w:b/>
          <w:bCs/>
          <w:color w:val="auto"/>
          <w:sz w:val="28"/>
          <w:szCs w:val="28"/>
          <w:highlight w:val="none"/>
        </w:rPr>
        <w:t xml:space="preserve">苏州高新区草花种植养护考核办法</w:t>
      </w:r>
      <w:r/>
    </w:p>
    <w:p>
      <w:pPr>
        <w:ind w:firstLine="480"/>
        <w:keepLines w:val="0"/>
        <w:keepNext w:val="0"/>
        <w:pageBreakBefore w:val="0"/>
        <w:spacing w:line="360" w:lineRule="auto"/>
        <w:widowControl w:val="off"/>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为进一步提高市政道路草花种植养护管理水平，不断加强市政道路草花种植养护考核力度，突出考核结果运用，不断提升草花种植养护水平，根据工作实际，制订本考核办法。</w:t>
      </w:r>
      <w:r/>
    </w:p>
    <w:p>
      <w:pPr>
        <w:numPr>
          <w:ilvl w:val="0"/>
          <w:numId w:val="4"/>
        </w:numPr>
        <w:ind w:firstLine="64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考核范围和对象</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（一）考核范围：由区城管局负责养护管理或下达任务书的草花种植路段。</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（二）考核对象：各草花种植养护单位。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二、考核内容</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考核内容为种植更换、养护管理、安全生产、社会责任四个方面。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（一）种植更换</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种植更换前是否报送施工方案经管理单位确认；现场种植前是否清理过季草花，整理地块、花箱土壤，对土壤进行疏松、平整，便于草花种植；种植草花是否植株健壮、色泽鲜艳、造型美观、每盆见花；种植时是否做到草花铺满花箱、地块，不露土、不空缺；更换完成后是否及时清理草花垃圾和泥土残留，冲洗干净路面等。</w:t>
      </w:r>
      <w:r/>
    </w:p>
    <w:p>
      <w:pPr>
        <w:numPr>
          <w:ilvl w:val="0"/>
          <w:numId w:val="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养护管理</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养护管理包括水肥管理、病虫害防治、保洁除草、补植补缺、花期调控等日常管理。是否按时浇水、施肥，保证所种植草花长势强健、效果良好；是否安排专人定期巡视，如发现有死亡、缺棵、被偷盗、生长不良等情况及时更换补植；是否及时清除花箱、地块内垃圾，及时阻止偷盗等各种不文明现象，保证景观效果；是否及时发现病虫害，并制定相应治疗方案迅速实施；是否定期控制杂草，安排工人及时拔除草花种植区域内的杂草；是否做好花期调控，促使植株不断进行花芽分化，种植期内始终保持良好景观效果等。</w:t>
      </w:r>
      <w:r/>
    </w:p>
    <w:p>
      <w:pPr>
        <w:numPr>
          <w:ilvl w:val="0"/>
          <w:numId w:val="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安全生产</w:t>
      </w:r>
      <w:r/>
    </w:p>
    <w:p>
      <w:pPr>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是否制定安全生产方案和应急救援预案并定期开展教育培训；是否配备专业安全员负责更换及养护现场安全生产事宜；更换、养护作业时是否摆放安全警示牌及足够间距的安全锥桶等警示提醒标识，作业时工人是否穿好安全反光马甲，在管理人员监督下有序施工；一段区域花箱种植完成后，安全管理人员是否同步前移安全设施，使得安全设施与现场种植进度同步；更换、浇水、补缺的作业车辆是否在尾部设置施工安全警示牌，是否打开双闪警示灯确保安全等。</w:t>
      </w:r>
      <w:r/>
    </w:p>
    <w:p>
      <w:pPr>
        <w:numPr>
          <w:ilvl w:val="0"/>
          <w:numId w:val="5"/>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社会责任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领导信箱、寒山闻钟、12345等投诉的处置回复情况；市、区城管巡查上报问题的整改反馈情况；文明城市创建、重大活动保障等各类专项行动的开展落实情况。</w:t>
      </w:r>
      <w:r/>
    </w:p>
    <w:p>
      <w:pPr>
        <w:ind w:left="42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 三、考核形式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（一）种植更换、养护管理、安全生产</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区城管局每季草花对每一个草花种植养护项目的种植更换、养护管理、安全生产情况进行现场考核，分日常巡查得分和集中考核得分（其中日常巡查得分占30%，集中考核得分占70%），由考评人员按照考核表打分，每季生成考核评分表，统一建档管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（二）社会责任</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1．发生作业安全文明事故或作业人员意外伤害伤亡的，未及时上报的，扣除季度综合得分1分。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2.领导信箱、寒山闻钟、12345平台投诉及市、区城管巡查上报的问题，处置回复不及时而超过工单处置时限的，每有一次扣除季度综合得分0.5-1分。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3.文明城市创建、重大活动保障等各类专项行动过程中，问题整改不及时造成不良影响的，或被各级领导点名批评的，每有一次扣除季度综合得分0.5-1分。</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以上扣分项以事故报告、微信工作群截图、高新区社会综合治理联动平台工单处置情况截图及区公园和绿化管理处发出的整改通知单等作为扣分依据，计入每季考核总分中。</w:t>
      </w:r>
      <w:r/>
    </w:p>
    <w:p>
      <w:pPr>
        <w:numPr>
          <w:ilvl w:val="0"/>
          <w:numId w:val="6"/>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计分方式</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每季综合得分=（日常巡查总分*30%+集中考核总分*70%） -社会责任分</w:t>
      </w:r>
      <w:r/>
    </w:p>
    <w:p>
      <w:pPr>
        <w:numPr>
          <w:ilvl w:val="0"/>
          <w:numId w:val="6"/>
        </w:num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结果运用</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（一）通报制度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每季由区公园和绿化管理处将各单位考核情况，以季报形式发送至各单位。</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（二）约谈制度</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每季度开展一次约谈活动。由区公园和绿化管理处负责人对上一季度考核总分最低的单位主要负责人进行约谈。</w:t>
      </w:r>
      <w:r/>
    </w:p>
    <w:p>
      <w:pPr>
        <w:ind w:firstLine="480"/>
        <w:spacing w:line="360" w:lineRule="auto"/>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（三）养护管理经费支付挂钩制度</w:t>
      </w:r>
      <w:r/>
    </w:p>
    <w:p>
      <w:pPr>
        <w:ind w:firstLine="480"/>
        <w:keepLines w:val="0"/>
        <w:keepNext w:val="0"/>
        <w:pageBreakBefore w:val="0"/>
        <w:spacing w:line="360" w:lineRule="auto"/>
        <w:widowControl/>
        <w:rPr>
          <w:rFonts w:hint="eastAsia" w:ascii="宋体" w:hAnsi="宋体" w:eastAsia="宋体" w:cs="宋体"/>
          <w:color w:val="auto"/>
          <w:sz w:val="24"/>
          <w:szCs w:val="24"/>
          <w:highlight w:val="none"/>
        </w:rPr>
      </w:pPr>
      <w:r>
        <w:rPr>
          <w:rFonts w:hint="eastAsia" w:ascii="宋体" w:hAnsi="宋体" w:eastAsia="宋体" w:cs="宋体"/>
          <w:color w:val="auto"/>
          <w:sz w:val="24"/>
          <w:szCs w:val="24"/>
          <w:highlight w:val="none"/>
        </w:rPr>
        <w:t xml:space="preserve">综合每季草花考核得分情况，进行养护经费结算。考核实行百分制，每季考核得分在90分（含）以上，全额支付当季种植养护费；得分在90分以下，每扣一分（以满分100分计算），则核算扣除当季全额养护费的1%，以此类推。</w:t>
      </w:r>
      <w:r/>
    </w:p>
    <w:p>
      <w:pPr>
        <w:widowControl/>
        <w:rPr>
          <w:rFonts w:ascii="宋体"/>
          <w:color w:val="auto"/>
          <w:highlight w:val="none"/>
        </w:rPr>
      </w:pPr>
      <w:r>
        <w:rPr>
          <w:rFonts w:ascii="宋体"/>
          <w:color w:val="auto"/>
          <w:highlight w:val="none"/>
        </w:rPr>
      </w:r>
      <w:r/>
    </w:p>
    <w:p>
      <w:pPr>
        <w:widowControl/>
        <w:rPr>
          <w:rFonts w:hint="eastAsia" w:ascii="宋体" w:eastAsia="宋体"/>
          <w:color w:val="auto"/>
          <w:highlight w:val="none"/>
          <w:lang w:val="en-US" w:eastAsia="zh-CN"/>
        </w:rPr>
        <w:sectPr>
          <w:headerReference w:type="default" r:id="rId10"/>
          <w:footerReference w:type="default" r:id="rId12"/>
          <w:footerReference w:type="even" r:id="rId13"/>
          <w:footnotePr/>
          <w:endnotePr/>
          <w:type w:val="nextPage"/>
          <w:pgSz w:w="11906" w:h="16838" w:orient="portrait"/>
          <w:pgMar w:top="1440" w:right="1800" w:bottom="1440" w:left="1800" w:header="907" w:footer="992" w:gutter="0"/>
          <w:cols w:num="1" w:sep="0" w:space="1701" w:equalWidth="1"/>
          <w:docGrid w:linePitch="360"/>
        </w:sectPr>
      </w:pPr>
      <w:r>
        <w:rPr>
          <w:rFonts w:hint="eastAsia" w:ascii="宋体" w:eastAsia="宋体"/>
          <w:color w:val="auto"/>
          <w:highlight w:val="none"/>
          <w:lang w:val="en-US" w:eastAsia="zh-CN"/>
        </w:rPr>
      </w:r>
      <w:r/>
    </w:p>
    <w:tbl>
      <w:tblPr>
        <w:tblStyle w:val="794"/>
        <w:tblpPr w:horzAnchor="page" w:tblpX="910" w:vertAnchor="text" w:tblpY="341" w:leftFromText="180" w:topFromText="0" w:rightFromText="180" w:bottomFromText="0"/>
        <w:tblW w:w="15060" w:type="dxa"/>
        <w:tblInd w:w="0" w:type="dxa"/>
        <w:tblLayout w:type="fixed"/>
        <w:tblCellMar>
          <w:left w:w="108" w:type="dxa"/>
          <w:top w:w="0" w:type="dxa"/>
          <w:right w:w="108" w:type="dxa"/>
          <w:bottom w:w="0" w:type="dxa"/>
        </w:tblCellMar>
        <w:tblLook w:val="04A0" w:firstRow="1" w:lastRow="0" w:firstColumn="1" w:lastColumn="0" w:noHBand="0" w:noVBand="1"/>
      </w:tblPr>
      <w:tblGrid>
        <w:gridCol w:w="625"/>
        <w:gridCol w:w="1075"/>
        <w:gridCol w:w="2225"/>
        <w:gridCol w:w="6112"/>
        <w:gridCol w:w="800"/>
        <w:gridCol w:w="1275"/>
        <w:gridCol w:w="1325"/>
        <w:gridCol w:w="900"/>
        <w:gridCol w:w="723"/>
      </w:tblGrid>
      <w:tr>
        <w:trPr>
          <w:trHeight w:val="90"/>
        </w:trPr>
        <w:tc>
          <w:tcPr>
            <w:gridSpan w:val="9"/>
            <w:tcBorders>
              <w:top w:val="none" w:color="000000" w:sz="4" w:space="0"/>
              <w:left w:val="none" w:color="000000" w:sz="4" w:space="0"/>
              <w:bottom w:val="none" w:color="000000" w:sz="4" w:space="0"/>
              <w:right w:val="none" w:color="000000" w:sz="4" w:space="0"/>
            </w:tcBorders>
            <w:tcW w:w="15060" w:type="dxa"/>
            <w:vAlign w:val="center"/>
            <w:textDirection w:val="lrTb"/>
            <w:noWrap w:val="false"/>
          </w:tcPr>
          <w:p>
            <w:pPr>
              <w:jc w:val="both"/>
              <w:rPr>
                <w:rFonts w:ascii="宋体" w:hAnsi="宋体" w:cs="宋体"/>
                <w:b/>
                <w:bCs/>
                <w:color w:val="auto"/>
                <w:szCs w:val="24"/>
                <w:highlight w:val="none"/>
              </w:rPr>
            </w:pPr>
            <w:r>
              <w:rPr>
                <w:rFonts w:hint="eastAsia" w:ascii="宋体" w:hAnsi="宋体" w:cs="宋体"/>
                <w:b/>
                <w:bCs/>
                <w:color w:val="auto"/>
                <w:sz w:val="28"/>
                <w:szCs w:val="28"/>
                <w:highlight w:val="none"/>
                <w:lang w:val="en-US" w:eastAsia="zh-CN"/>
              </w:rPr>
              <w:t xml:space="preserve">附件二：</w:t>
            </w:r>
            <w:r/>
          </w:p>
        </w:tc>
      </w:tr>
      <w:tr>
        <w:trPr>
          <w:trHeight w:val="90"/>
        </w:trPr>
        <w:tc>
          <w:tcPr>
            <w:gridSpan w:val="9"/>
            <w:tcBorders>
              <w:top w:val="none" w:color="000000" w:sz="4" w:space="0"/>
              <w:left w:val="none" w:color="000000" w:sz="4" w:space="0"/>
              <w:bottom w:val="none" w:color="000000" w:sz="4" w:space="0"/>
              <w:right w:val="none" w:color="000000" w:sz="4" w:space="0"/>
            </w:tcBorders>
            <w:tcW w:w="15060" w:type="dxa"/>
            <w:vAlign w:val="center"/>
            <w:textDirection w:val="lrTb"/>
            <w:noWrap w:val="false"/>
          </w:tcPr>
          <w:p>
            <w:pPr>
              <w:jc w:val="center"/>
              <w:rPr>
                <w:rFonts w:hint="eastAsia" w:ascii="宋体" w:hAnsi="宋体" w:cs="宋体"/>
                <w:b/>
                <w:bCs/>
                <w:color w:val="auto"/>
                <w:sz w:val="28"/>
                <w:szCs w:val="28"/>
                <w:highlight w:val="none"/>
                <w:lang w:val="en-US" w:eastAsia="zh-CN"/>
              </w:rPr>
            </w:pPr>
            <w:r>
              <w:rPr>
                <w:rFonts w:hint="eastAsia" w:ascii="宋体" w:hAnsi="宋体" w:cs="宋体"/>
                <w:b/>
                <w:bCs/>
                <w:color w:val="auto"/>
                <w:sz w:val="28"/>
                <w:szCs w:val="28"/>
                <w:highlight w:val="none"/>
              </w:rPr>
              <w:t xml:space="preserve">苏州高新区草花种植养护考核评分表</w:t>
            </w:r>
            <w:r/>
          </w:p>
        </w:tc>
      </w:tr>
      <w:tr>
        <w:trPr>
          <w:trHeight w:val="90"/>
        </w:trPr>
        <w:tc>
          <w:tcPr>
            <w:gridSpan w:val="2"/>
            <w:tcBorders>
              <w:top w:val="none" w:color="000000" w:sz="4" w:space="0"/>
              <w:left w:val="none" w:color="000000" w:sz="4" w:space="0"/>
              <w:bottom w:val="single" w:color="auto" w:sz="4" w:space="0"/>
              <w:right w:val="none" w:color="000000" w:sz="4" w:space="0"/>
            </w:tcBorders>
            <w:tcW w:w="17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种植养护单位：</w:t>
            </w:r>
            <w:r/>
          </w:p>
        </w:tc>
        <w:tc>
          <w:tcPr>
            <w:tcBorders>
              <w:top w:val="none" w:color="000000" w:sz="4" w:space="0"/>
              <w:left w:val="none" w:color="000000" w:sz="4" w:space="0"/>
              <w:bottom w:val="single" w:color="auto" w:sz="4" w:space="0"/>
              <w:right w:val="none" w:color="000000" w:sz="4" w:space="0"/>
            </w:tcBorders>
            <w:tcW w:w="22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single" w:color="auto" w:sz="4" w:space="0"/>
              <w:right w:val="none" w:color="000000" w:sz="4" w:space="0"/>
            </w:tcBorders>
            <w:tcW w:w="6112"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种植养护地点（面积）：</w:t>
            </w:r>
            <w:r/>
          </w:p>
        </w:tc>
        <w:tc>
          <w:tcPr>
            <w:tcBorders>
              <w:top w:val="none" w:color="000000" w:sz="4" w:space="0"/>
              <w:left w:val="none" w:color="000000" w:sz="4" w:space="0"/>
              <w:bottom w:val="single" w:color="auto" w:sz="4" w:space="0"/>
              <w:right w:val="none" w:color="000000"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single" w:color="auto" w:sz="4" w:space="0"/>
              <w:right w:val="none" w:color="000000"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single" w:color="auto" w:sz="4" w:space="0"/>
              <w:right w:val="none" w:color="000000"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gridSpan w:val="2"/>
            <w:tcBorders>
              <w:top w:val="none" w:color="000000" w:sz="4" w:space="0"/>
              <w:left w:val="none" w:color="000000" w:sz="4" w:space="0"/>
              <w:bottom w:val="single" w:color="auto" w:sz="4" w:space="0"/>
              <w:right w:val="none" w:color="000000" w:sz="4" w:space="0"/>
            </w:tcBorders>
            <w:tcW w:w="1623"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年    月份</w:t>
            </w:r>
            <w:r/>
          </w:p>
        </w:tc>
      </w:tr>
      <w:tr>
        <w:trPr>
          <w:trHeight w:val="90"/>
        </w:trPr>
        <w:tc>
          <w:tcPr>
            <w:tcBorders>
              <w:top w:val="single" w:color="auto" w:sz="4" w:space="0"/>
              <w:left w:val="single" w:color="auto" w:sz="4" w:space="0"/>
              <w:bottom w:val="single" w:color="auto" w:sz="4" w:space="0"/>
              <w:right w:val="single" w:color="auto" w:sz="4" w:space="0"/>
            </w:tcBorders>
            <w:tcW w:w="625"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序号</w:t>
            </w:r>
            <w:r/>
          </w:p>
        </w:tc>
        <w:tc>
          <w:tcPr>
            <w:tcBorders>
              <w:top w:val="single" w:color="auto" w:sz="4" w:space="0"/>
              <w:left w:val="single" w:color="auto" w:sz="4" w:space="0"/>
              <w:bottom w:val="single" w:color="auto" w:sz="4" w:space="0"/>
              <w:right w:val="single" w:color="auto" w:sz="4" w:space="0"/>
            </w:tcBorders>
            <w:tcW w:w="1075"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内容</w:t>
            </w:r>
            <w:r/>
          </w:p>
        </w:tc>
        <w:tc>
          <w:tcPr>
            <w:tcBorders>
              <w:top w:val="single" w:color="auto" w:sz="4" w:space="0"/>
              <w:left w:val="single" w:color="auto" w:sz="4" w:space="0"/>
              <w:bottom w:val="single" w:color="auto" w:sz="4" w:space="0"/>
              <w:right w:val="single" w:color="auto" w:sz="4" w:space="0"/>
            </w:tcBorders>
            <w:tcW w:w="2225"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要求</w:t>
            </w:r>
            <w:r/>
          </w:p>
        </w:tc>
        <w:tc>
          <w:tcPr>
            <w:tcBorders>
              <w:top w:val="single" w:color="auto" w:sz="4" w:space="0"/>
              <w:left w:val="single" w:color="auto" w:sz="4" w:space="0"/>
              <w:bottom w:val="single" w:color="auto" w:sz="4" w:space="0"/>
              <w:right w:val="single" w:color="auto" w:sz="4" w:space="0"/>
            </w:tcBorders>
            <w:tcW w:w="6112"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考核标准</w:t>
            </w:r>
            <w:r/>
          </w:p>
        </w:tc>
        <w:tc>
          <w:tcPr>
            <w:tcBorders>
              <w:top w:val="single" w:color="auto" w:sz="4" w:space="0"/>
              <w:left w:val="single" w:color="auto" w:sz="4" w:space="0"/>
              <w:bottom w:val="single" w:color="auto" w:sz="4" w:space="0"/>
              <w:right w:val="single" w:color="auto" w:sz="4" w:space="0"/>
            </w:tcBorders>
            <w:tcW w:w="800"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分值</w:t>
            </w:r>
            <w:r/>
          </w:p>
        </w:tc>
        <w:tc>
          <w:tcPr>
            <w:gridSpan w:val="3"/>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评分</w:t>
            </w:r>
            <w:r/>
          </w:p>
        </w:tc>
        <w:tc>
          <w:tcPr>
            <w:tcBorders>
              <w:top w:val="single" w:color="auto" w:sz="4" w:space="0"/>
              <w:left w:val="single" w:color="auto" w:sz="4" w:space="0"/>
              <w:bottom w:val="single" w:color="auto" w:sz="4" w:space="0"/>
              <w:right w:val="single" w:color="auto" w:sz="4" w:space="0"/>
            </w:tcBorders>
            <w:tcW w:w="723"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备注</w:t>
            </w:r>
            <w:r/>
          </w:p>
        </w:tc>
      </w:tr>
      <w:tr>
        <w:trPr>
          <w:trHeight w:val="90"/>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日常巡查分</w:t>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集中考核分</w:t>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hint="eastAsia" w:ascii="宋体" w:hAnsi="宋体" w:cs="宋体"/>
                <w:b/>
                <w:bCs/>
                <w:color w:val="auto"/>
                <w:szCs w:val="24"/>
                <w:highlight w:val="none"/>
              </w:rPr>
              <w:t xml:space="preserve">实得分</w:t>
            </w:r>
            <w:r/>
          </w:p>
        </w:tc>
        <w:tc>
          <w:tcPr>
            <w:tcBorders>
              <w:top w:val="single" w:color="auto" w:sz="4" w:space="0"/>
              <w:left w:val="single" w:color="auto" w:sz="4" w:space="0"/>
              <w:bottom w:val="single" w:color="auto" w:sz="4" w:space="0"/>
              <w:right w:val="single" w:color="auto" w:sz="4" w:space="0"/>
            </w:tcBorders>
            <w:tcW w:w="723"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30"/>
        </w:trPr>
        <w:tc>
          <w:tcPr>
            <w:tcBorders>
              <w:top w:val="single" w:color="auto" w:sz="4" w:space="0"/>
              <w:left w:val="single" w:color="auto" w:sz="4" w:space="0"/>
              <w:bottom w:val="single" w:color="auto" w:sz="4" w:space="0"/>
              <w:right w:val="single" w:color="auto" w:sz="4" w:space="0"/>
            </w:tcBorders>
            <w:tcW w:w="625"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一</w:t>
            </w:r>
            <w:r/>
          </w:p>
        </w:tc>
        <w:tc>
          <w:tcPr>
            <w:tcBorders>
              <w:top w:val="single" w:color="auto" w:sz="4" w:space="0"/>
              <w:left w:val="single" w:color="auto" w:sz="4" w:space="0"/>
              <w:bottom w:val="single" w:color="auto" w:sz="4" w:space="0"/>
              <w:right w:val="single" w:color="auto" w:sz="4" w:space="0"/>
            </w:tcBorders>
            <w:tcW w:w="1075"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种植更换</w:t>
            </w:r>
            <w:r/>
          </w:p>
        </w:tc>
        <w:tc>
          <w:tcPr>
            <w:tcBorders>
              <w:top w:val="single" w:color="auto" w:sz="4" w:space="0"/>
              <w:left w:val="single" w:color="auto" w:sz="4" w:space="0"/>
              <w:bottom w:val="single" w:color="auto" w:sz="4" w:space="0"/>
              <w:right w:val="single" w:color="auto" w:sz="4" w:space="0"/>
            </w:tcBorders>
            <w:tcW w:w="2225" w:type="dxa"/>
            <w:vAlign w:val="center"/>
            <w:vMerge w:val="restart"/>
            <w:textDirection w:val="lrTb"/>
            <w:noWrap w:val="false"/>
          </w:tcPr>
          <w:p>
            <w:pPr>
              <w:jc w:val="left"/>
              <w:rPr>
                <w:rFonts w:ascii="宋体" w:hAnsi="宋体" w:cs="宋体" w:eastAsiaTheme="minorEastAsia"/>
                <w:color w:val="auto"/>
                <w:szCs w:val="24"/>
                <w:highlight w:val="none"/>
              </w:rPr>
            </w:pPr>
            <w:r>
              <w:rPr>
                <w:rFonts w:hint="eastAsia" w:ascii="宋体" w:hAnsi="宋体" w:cs="宋体"/>
                <w:color w:val="auto"/>
                <w:szCs w:val="24"/>
                <w:highlight w:val="none"/>
              </w:rPr>
              <w:t xml:space="preserve">按图施工、清理土壤、花色鲜艳、造型美观、搭配得当、工完场清等</w:t>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种植更换前报送施工方案经管理单位确认</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eastAsiaTheme="minorEastAsia"/>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83"/>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种植前清理过季草花，整理地块、花箱土壤，对土壤进行疏松、平整</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481"/>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种植草花植株健壮、色泽鲜艳、造型美观、每盆见花</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15"/>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种植草花铺满花箱、地块，不露土、不空缺</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25"/>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更换完成后及时清理草花垃圾和泥土残留，冲洗干净路面</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46"/>
        </w:trPr>
        <w:tc>
          <w:tcPr>
            <w:tcBorders>
              <w:top w:val="single" w:color="auto" w:sz="4" w:space="0"/>
              <w:left w:val="single" w:color="auto" w:sz="4" w:space="0"/>
              <w:bottom w:val="single" w:color="auto" w:sz="4" w:space="0"/>
              <w:right w:val="single" w:color="auto" w:sz="4" w:space="0"/>
            </w:tcBorders>
            <w:tcW w:w="625"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二</w:t>
            </w:r>
            <w:r/>
          </w:p>
        </w:tc>
        <w:tc>
          <w:tcPr>
            <w:tcBorders>
              <w:top w:val="single" w:color="auto" w:sz="4" w:space="0"/>
              <w:left w:val="single" w:color="auto" w:sz="4" w:space="0"/>
              <w:bottom w:val="single" w:color="auto" w:sz="4" w:space="0"/>
              <w:right w:val="single" w:color="auto" w:sz="4" w:space="0"/>
            </w:tcBorders>
            <w:tcW w:w="1075"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养护管理</w:t>
            </w:r>
            <w:r/>
          </w:p>
        </w:tc>
        <w:tc>
          <w:tcPr>
            <w:tcBorders>
              <w:top w:val="single" w:color="auto" w:sz="4" w:space="0"/>
              <w:left w:val="single" w:color="auto" w:sz="4" w:space="0"/>
              <w:bottom w:val="single" w:color="auto" w:sz="4" w:space="0"/>
              <w:right w:val="single" w:color="auto" w:sz="4" w:space="0"/>
            </w:tcBorders>
            <w:tcW w:w="2225" w:type="dxa"/>
            <w:vAlign w:val="center"/>
            <w:vMerge w:val="restart"/>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做好水肥管理、病虫害防治、保洁除草、补植补缺、花期调控等</w:t>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按时浇水、施肥，保证所种植草花长势强健、效果良好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eastAsiaTheme="minorEastAsia"/>
                <w:color w:val="auto"/>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43"/>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安排专人定期巡视，发现死亡、缺棵、被偷盗、生长不良等情况及时更换补植</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7</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77"/>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及时清除花箱、地块内垃圾，及时阻止偷盗等各种不文明现象，保证景观效果</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66"/>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及时发现病虫害，并制定相应治疗方案迅速实施</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08"/>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定期控制杂草，安排工人及时拔除草花种植区域内的杂草</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83"/>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做好花期调控，促使植株不断进行花芽分化，保证种植期内始终保持良好景观效果</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11"/>
        </w:trPr>
        <w:tc>
          <w:tcPr>
            <w:tcBorders>
              <w:top w:val="single" w:color="auto" w:sz="4" w:space="0"/>
              <w:left w:val="single" w:color="auto" w:sz="4" w:space="0"/>
              <w:bottom w:val="single" w:color="auto" w:sz="4" w:space="0"/>
              <w:right w:val="single" w:color="auto" w:sz="4" w:space="0"/>
            </w:tcBorders>
            <w:tcW w:w="625" w:type="dxa"/>
            <w:vAlign w:val="center"/>
            <w:vMerge w:val="restart"/>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三</w:t>
            </w:r>
            <w:r/>
          </w:p>
        </w:tc>
        <w:tc>
          <w:tcPr>
            <w:tcBorders>
              <w:top w:val="single" w:color="auto" w:sz="4" w:space="0"/>
              <w:left w:val="single" w:color="auto" w:sz="4" w:space="0"/>
              <w:bottom w:val="single" w:color="auto" w:sz="4" w:space="0"/>
              <w:right w:val="single" w:color="auto" w:sz="4" w:space="0"/>
            </w:tcBorders>
            <w:tcW w:w="1075" w:type="dxa"/>
            <w:vAlign w:val="center"/>
            <w:vMerge w:val="restart"/>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安全生产</w:t>
            </w:r>
            <w:r/>
          </w:p>
        </w:tc>
        <w:tc>
          <w:tcPr>
            <w:tcBorders>
              <w:top w:val="single" w:color="auto" w:sz="4" w:space="0"/>
              <w:left w:val="single" w:color="auto" w:sz="4" w:space="0"/>
              <w:bottom w:val="single" w:color="auto" w:sz="4" w:space="0"/>
              <w:right w:val="single" w:color="auto" w:sz="4" w:space="0"/>
            </w:tcBorders>
            <w:tcW w:w="2225" w:type="dxa"/>
            <w:vAlign w:val="center"/>
            <w:vMerge w:val="restart"/>
            <w:textDirection w:val="lrTb"/>
            <w:noWrap w:val="false"/>
          </w:tcPr>
          <w:p>
            <w:pPr>
              <w:jc w:val="left"/>
              <w:rPr>
                <w:rFonts w:ascii="宋体" w:hAnsi="宋体" w:cs="宋体" w:eastAsiaTheme="minorEastAsia"/>
                <w:color w:val="auto"/>
                <w:szCs w:val="24"/>
                <w:highlight w:val="none"/>
              </w:rPr>
            </w:pPr>
            <w:r>
              <w:rPr>
                <w:rFonts w:hint="eastAsia" w:ascii="宋体" w:hAnsi="宋体" w:cs="宋体"/>
                <w:color w:val="auto"/>
                <w:szCs w:val="24"/>
                <w:highlight w:val="none"/>
              </w:rPr>
              <w:t xml:space="preserve">制定安全生产方案和应急预案、配备安全员、现场作业做好安全措施等</w:t>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eastAsiaTheme="minorEastAsia"/>
                <w:color w:val="auto"/>
                <w:szCs w:val="24"/>
                <w:highlight w:val="none"/>
              </w:rPr>
            </w:pPr>
            <w:r>
              <w:rPr>
                <w:rFonts w:hint="eastAsia" w:ascii="宋体" w:hAnsi="宋体" w:cs="宋体"/>
                <w:color w:val="auto"/>
                <w:szCs w:val="24"/>
                <w:highlight w:val="none"/>
              </w:rPr>
              <w:t xml:space="preserve">制定安全生产方案和应急救援预案并定期开展教育培训</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eastAsiaTheme="minorEastAsia"/>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21"/>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配备专业安全员负责更换及养护现场安全生产事宜</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783"/>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作业时摆放安全警示牌及足够间距的安全锥桶等警示提醒标识，作业时工人穿好安全反光马甲，在管理人员监督下有序施工</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696"/>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一段区域花箱种植完成后，安全管理人员同步前移安全设施，使安全设施与现场种植进度同步</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732"/>
        </w:trPr>
        <w:tc>
          <w:tcPr>
            <w:tcBorders>
              <w:top w:val="single" w:color="auto" w:sz="4" w:space="0"/>
              <w:left w:val="single" w:color="auto" w:sz="4" w:space="0"/>
              <w:bottom w:val="single" w:color="auto" w:sz="4" w:space="0"/>
              <w:right w:val="single" w:color="auto" w:sz="4" w:space="0"/>
            </w:tcBorders>
            <w:tcW w:w="62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075" w:type="dxa"/>
            <w:vAlign w:val="center"/>
            <w:vMerge w:val="continue"/>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2225" w:type="dxa"/>
            <w:vAlign w:val="center"/>
            <w:vMerge w:val="continue"/>
            <w:textDirection w:val="lrTb"/>
            <w:noWrap w:val="false"/>
          </w:tcPr>
          <w:p>
            <w:pPr>
              <w:jc w:val="left"/>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6112"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更换、浇水、补缺的作业车辆在尾部设置施工安全警示牌，打开双闪警示灯确保安全</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6</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337"/>
        </w:trPr>
        <w:tc>
          <w:tcPr>
            <w:gridSpan w:val="2"/>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小计</w:t>
            </w:r>
            <w:r/>
          </w:p>
        </w:tc>
        <w:tc>
          <w:tcPr>
            <w:gridSpan w:val="2"/>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100</w:t>
            </w:r>
            <w:r/>
          </w:p>
        </w:tc>
        <w:tc>
          <w:tcPr>
            <w:tcBorders>
              <w:top w:val="single" w:color="auto" w:sz="4" w:space="0"/>
              <w:left w:val="single" w:color="auto" w:sz="4" w:space="0"/>
              <w:bottom w:val="single" w:color="auto" w:sz="4" w:space="0"/>
              <w:right w:val="single" w:color="auto"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817"/>
        </w:trPr>
        <w:tc>
          <w:tcPr>
            <w:tcBorders>
              <w:top w:val="single" w:color="auto" w:sz="4" w:space="0"/>
              <w:left w:val="single" w:color="auto" w:sz="4" w:space="0"/>
              <w:bottom w:val="single" w:color="auto" w:sz="4" w:space="0"/>
              <w:right w:val="single" w:color="auto" w:sz="4" w:space="0"/>
            </w:tcBorders>
            <w:tcW w:w="625"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四</w:t>
            </w:r>
            <w:r/>
          </w:p>
        </w:tc>
        <w:tc>
          <w:tcPr>
            <w:tcBorders>
              <w:top w:val="single" w:color="auto" w:sz="4" w:space="0"/>
              <w:left w:val="single" w:color="auto" w:sz="4" w:space="0"/>
              <w:bottom w:val="single" w:color="auto" w:sz="4" w:space="0"/>
              <w:right w:val="single" w:color="auto" w:sz="4" w:space="0"/>
            </w:tcBorders>
            <w:tcW w:w="1075"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社会责任</w:t>
            </w:r>
            <w:r/>
          </w:p>
        </w:tc>
        <w:tc>
          <w:tcPr>
            <w:gridSpan w:val="2"/>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社会责任分以事故报告、微信工作群截图、高新区社会综合治理联动平台工单处置情况截图及区公园和绿化管理处发出的整改通知单等作为扣分依据，直接扣除。</w:t>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gridSpan w:val="3"/>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513"/>
        </w:trPr>
        <w:tc>
          <w:tcPr>
            <w:gridSpan w:val="2"/>
            <w:tcBorders>
              <w:top w:val="single" w:color="auto" w:sz="4" w:space="0"/>
              <w:left w:val="single" w:color="auto" w:sz="4" w:space="0"/>
              <w:bottom w:val="single" w:color="auto" w:sz="4" w:space="0"/>
              <w:right w:val="single" w:color="auto" w:sz="4" w:space="0"/>
            </w:tcBorders>
            <w:tcW w:w="1700" w:type="dxa"/>
            <w:vAlign w:val="center"/>
            <w:textDirection w:val="lrTb"/>
            <w:noWrap w:val="false"/>
          </w:tcPr>
          <w:p>
            <w:pPr>
              <w:jc w:val="center"/>
              <w:rPr>
                <w:rFonts w:ascii="宋体" w:hAnsi="宋体" w:cs="宋体" w:eastAsiaTheme="minorEastAsia"/>
                <w:color w:val="auto"/>
                <w:szCs w:val="24"/>
                <w:highlight w:val="none"/>
              </w:rPr>
            </w:pPr>
            <w:r>
              <w:rPr>
                <w:rFonts w:hint="eastAsia" w:ascii="宋体" w:hAnsi="宋体" w:cs="宋体"/>
                <w:color w:val="auto"/>
                <w:szCs w:val="24"/>
                <w:highlight w:val="none"/>
              </w:rPr>
              <w:t xml:space="preserve">最终得分</w:t>
            </w:r>
            <w:r/>
          </w:p>
        </w:tc>
        <w:tc>
          <w:tcPr>
            <w:gridSpan w:val="2"/>
            <w:tcBorders>
              <w:top w:val="single" w:color="auto" w:sz="4" w:space="0"/>
              <w:left w:val="single" w:color="auto" w:sz="4" w:space="0"/>
              <w:bottom w:val="single" w:color="auto" w:sz="4" w:space="0"/>
              <w:right w:val="single" w:color="auto" w:sz="4" w:space="0"/>
            </w:tcBorders>
            <w:tcW w:w="8337"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gridSpan w:val="3"/>
            <w:tcBorders>
              <w:top w:val="single" w:color="auto" w:sz="4" w:space="0"/>
              <w:left w:val="single" w:color="auto" w:sz="4" w:space="0"/>
              <w:bottom w:val="single" w:color="auto" w:sz="4" w:space="0"/>
              <w:right w:val="single" w:color="auto" w:sz="4" w:space="0"/>
            </w:tcBorders>
            <w:tcW w:w="35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single" w:color="auto" w:sz="4" w:space="0"/>
              <w:bottom w:val="single" w:color="auto" w:sz="4" w:space="0"/>
              <w:right w:val="single" w:color="auto"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90"/>
        </w:trPr>
        <w:tc>
          <w:tcPr>
            <w:tcBorders>
              <w:top w:val="single" w:color="auto" w:sz="4" w:space="0"/>
              <w:left w:val="none" w:color="000000" w:sz="4" w:space="0"/>
              <w:bottom w:val="none" w:color="000000" w:sz="4" w:space="0"/>
              <w:right w:val="none" w:color="000000" w:sz="4" w:space="0"/>
            </w:tcBorders>
            <w:tcW w:w="6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10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22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6112"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127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13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single" w:color="auto" w:sz="4" w:space="0"/>
              <w:left w:val="none" w:color="000000" w:sz="4" w:space="0"/>
              <w:bottom w:val="none" w:color="000000" w:sz="4" w:space="0"/>
              <w:right w:val="none" w:color="000000"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90"/>
        </w:trPr>
        <w:tc>
          <w:tcPr>
            <w:gridSpan w:val="9"/>
            <w:tcBorders>
              <w:top w:val="none" w:color="000000" w:sz="4" w:space="0"/>
              <w:left w:val="none" w:color="000000" w:sz="4" w:space="0"/>
              <w:bottom w:val="none" w:color="000000" w:sz="4" w:space="0"/>
              <w:right w:val="none" w:color="000000" w:sz="4" w:space="0"/>
            </w:tcBorders>
            <w:tcW w:w="15060" w:type="dxa"/>
            <w:vAlign w:val="center"/>
            <w:textDirection w:val="lrTb"/>
            <w:noWrap w:val="false"/>
          </w:tcPr>
          <w:p>
            <w:pPr>
              <w:jc w:val="left"/>
              <w:rPr>
                <w:rFonts w:ascii="宋体" w:hAnsi="宋体" w:cs="宋体"/>
                <w:color w:val="auto"/>
                <w:szCs w:val="24"/>
                <w:highlight w:val="none"/>
              </w:rPr>
            </w:pPr>
            <w:r>
              <w:rPr>
                <w:rFonts w:hint="eastAsia" w:ascii="宋体" w:hAnsi="宋体" w:cs="宋体"/>
                <w:color w:val="auto"/>
                <w:szCs w:val="24"/>
                <w:highlight w:val="none"/>
              </w:rPr>
              <w:t xml:space="preserve">注：实得分=（日常巡查得分*30%）+（集中考核得分*70%）</w:t>
            </w:r>
            <w:r/>
          </w:p>
        </w:tc>
      </w:tr>
      <w:tr>
        <w:trPr>
          <w:trHeight w:val="90"/>
        </w:trPr>
        <w:tc>
          <w:tcPr>
            <w:gridSpan w:val="2"/>
            <w:tcBorders>
              <w:top w:val="none" w:color="000000" w:sz="4" w:space="0"/>
              <w:left w:val="none" w:color="000000" w:sz="4" w:space="0"/>
              <w:bottom w:val="none" w:color="000000" w:sz="4" w:space="0"/>
              <w:right w:val="none" w:color="000000" w:sz="4" w:space="0"/>
            </w:tcBorders>
            <w:tcW w:w="17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考核人：</w:t>
            </w:r>
            <w:r/>
          </w:p>
        </w:tc>
        <w:tc>
          <w:tcPr>
            <w:tcBorders>
              <w:top w:val="none" w:color="000000" w:sz="4" w:space="0"/>
              <w:left w:val="none" w:color="000000" w:sz="4" w:space="0"/>
              <w:bottom w:val="none" w:color="000000" w:sz="4" w:space="0"/>
              <w:right w:val="none" w:color="000000" w:sz="4" w:space="0"/>
            </w:tcBorders>
            <w:tcW w:w="22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6112"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26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种植养护单位负责人：</w:t>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r>
        <w:trPr>
          <w:trHeight w:val="90"/>
        </w:trPr>
        <w:tc>
          <w:tcPr>
            <w:gridSpan w:val="2"/>
            <w:tcBorders>
              <w:top w:val="none" w:color="000000" w:sz="4" w:space="0"/>
              <w:left w:val="none" w:color="000000" w:sz="4" w:space="0"/>
              <w:bottom w:val="none" w:color="000000" w:sz="4" w:space="0"/>
              <w:right w:val="none" w:color="000000" w:sz="4" w:space="0"/>
            </w:tcBorders>
            <w:tcW w:w="17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2225"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6112"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8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gridSpan w:val="2"/>
            <w:tcBorders>
              <w:top w:val="none" w:color="000000" w:sz="4" w:space="0"/>
              <w:left w:val="none" w:color="000000" w:sz="4" w:space="0"/>
              <w:bottom w:val="none" w:color="000000" w:sz="4" w:space="0"/>
              <w:right w:val="none" w:color="000000" w:sz="4" w:space="0"/>
            </w:tcBorders>
            <w:tcW w:w="2600" w:type="dxa"/>
            <w:vAlign w:val="center"/>
            <w:textDirection w:val="lrTb"/>
            <w:noWrap w:val="false"/>
          </w:tcPr>
          <w:p>
            <w:pPr>
              <w:jc w:val="center"/>
              <w:rPr>
                <w:rFonts w:ascii="宋体" w:hAnsi="宋体" w:cs="宋体"/>
                <w:color w:val="auto"/>
                <w:szCs w:val="24"/>
                <w:highlight w:val="none"/>
              </w:rPr>
            </w:pPr>
            <w:r>
              <w:rPr>
                <w:rFonts w:hint="eastAsia" w:ascii="宋体" w:hAnsi="宋体" w:cs="宋体"/>
                <w:color w:val="auto"/>
                <w:szCs w:val="24"/>
                <w:highlight w:val="none"/>
              </w:rPr>
              <w:t xml:space="preserve">日期：</w:t>
            </w:r>
            <w:r/>
          </w:p>
        </w:tc>
        <w:tc>
          <w:tcPr>
            <w:tcBorders>
              <w:top w:val="none" w:color="000000" w:sz="4" w:space="0"/>
              <w:left w:val="none" w:color="000000" w:sz="4" w:space="0"/>
              <w:bottom w:val="none" w:color="000000" w:sz="4" w:space="0"/>
              <w:right w:val="none" w:color="000000" w:sz="4" w:space="0"/>
            </w:tcBorders>
            <w:tcW w:w="900"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c>
          <w:tcPr>
            <w:tcBorders>
              <w:top w:val="none" w:color="000000" w:sz="4" w:space="0"/>
              <w:left w:val="none" w:color="000000" w:sz="4" w:space="0"/>
              <w:bottom w:val="none" w:color="000000" w:sz="4" w:space="0"/>
              <w:right w:val="none" w:color="000000" w:sz="4" w:space="0"/>
            </w:tcBorders>
            <w:tcW w:w="723" w:type="dxa"/>
            <w:vAlign w:val="center"/>
            <w:textDirection w:val="lrTb"/>
            <w:noWrap w:val="false"/>
          </w:tcPr>
          <w:p>
            <w:pPr>
              <w:jc w:val="center"/>
              <w:rPr>
                <w:rFonts w:ascii="宋体" w:hAnsi="宋体" w:cs="宋体"/>
                <w:color w:val="auto"/>
                <w:szCs w:val="24"/>
                <w:highlight w:val="none"/>
              </w:rPr>
            </w:pPr>
            <w:r>
              <w:rPr>
                <w:rFonts w:ascii="宋体" w:hAnsi="宋体" w:cs="宋体"/>
                <w:color w:val="auto"/>
                <w:szCs w:val="24"/>
                <w:highlight w:val="none"/>
              </w:rPr>
            </w:r>
            <w:r/>
          </w:p>
        </w:tc>
      </w:tr>
    </w:tbl>
    <w:p>
      <w:pPr>
        <w:jc w:val="both"/>
        <w:keepLines w:val="0"/>
        <w:keepNext w:val="0"/>
        <w:pageBreakBefore w:val="0"/>
        <w:spacing w:line="360" w:lineRule="auto"/>
        <w:widowControl w:val="off"/>
        <w:rPr>
          <w:rFonts w:ascii="宋体"/>
          <w:color w:val="auto"/>
          <w:highlight w:val="none"/>
        </w:rPr>
      </w:pPr>
      <w:r>
        <w:rPr>
          <w:rFonts w:ascii="宋体"/>
          <w:color w:val="auto"/>
          <w:highlight w:val="none"/>
        </w:rPr>
      </w:r>
      <w:r/>
    </w:p>
    <w:p>
      <w:pPr>
        <w:jc w:val="both"/>
        <w:keepLines w:val="0"/>
        <w:keepNext w:val="0"/>
        <w:pageBreakBefore w:val="0"/>
        <w:spacing w:line="360" w:lineRule="auto"/>
        <w:widowControl w:val="off"/>
        <w:rPr>
          <w:rFonts w:hint="eastAsia" w:ascii="宋体" w:eastAsia="宋体"/>
          <w:color w:val="auto"/>
          <w:highlight w:val="none"/>
          <w:lang w:val="en-US" w:eastAsia="zh-CN"/>
        </w:rPr>
        <w:sectPr>
          <w:footnotePr/>
          <w:endnotePr/>
          <w:type w:val="nextPage"/>
          <w:pgSz w:w="16838" w:h="11906" w:orient="landscape"/>
          <w:pgMar w:top="1800" w:right="1440" w:bottom="1800" w:left="1440" w:header="907" w:footer="992" w:gutter="0"/>
          <w:cols w:num="1" w:sep="0" w:space="1701" w:equalWidth="1"/>
          <w:docGrid w:linePitch="360"/>
        </w:sectPr>
      </w:pPr>
      <w:r>
        <w:rPr>
          <w:rFonts w:hint="eastAsia" w:ascii="宋体"/>
          <w:color w:val="auto"/>
          <w:highlight w:val="none"/>
          <w:lang w:val="en-US" w:eastAsia="zh-CN"/>
        </w:rPr>
        <w:t xml:space="preserve">注：考核办法如有修订的，按最新的考核办法执行</w:t>
      </w:r>
      <w:r>
        <w:rPr>
          <w:rFonts w:hint="eastAsia"/>
          <w:color w:val="auto"/>
          <w:highlight w:val="none"/>
          <w:lang w:val="en-US" w:eastAsia="zh-CN"/>
        </w:rPr>
        <w:t xml:space="preserve">。</w:t>
      </w:r>
      <w:r/>
    </w:p>
    <w:p>
      <w:pPr>
        <w:jc w:val="center"/>
        <w:keepLines w:val="0"/>
        <w:keepNext w:val="0"/>
        <w:pageBreakBefore w:val="0"/>
        <w:spacing w:line="360" w:lineRule="auto"/>
        <w:widowControl w:val="off"/>
        <w:rPr>
          <w:rFonts w:ascii="宋体" w:hAnsi="宋体"/>
          <w:color w:val="auto"/>
          <w:sz w:val="32"/>
          <w:szCs w:val="32"/>
          <w:highlight w:val="none"/>
        </w:rPr>
      </w:pPr>
      <w:r>
        <w:rPr>
          <w:rFonts w:hint="eastAsia" w:ascii="宋体" w:hAnsi="宋体"/>
          <w:color w:val="auto"/>
          <w:sz w:val="44"/>
          <w:szCs w:val="44"/>
          <w:highlight w:val="none"/>
        </w:rPr>
        <w:t xml:space="preserve"> 第六章 评标方法、评分标准</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一、评标方法：</w:t>
      </w:r>
      <w:r/>
    </w:p>
    <w:p>
      <w:pPr>
        <w:pStyle w:val="1010"/>
        <w:jc w:val="left"/>
        <w:keepLines w:val="0"/>
        <w:keepNext w:val="0"/>
        <w:pageBreakBefore w:val="0"/>
        <w:spacing w:before="0" w:after="0" w:line="360" w:lineRule="auto"/>
        <w:widowControl w:val="off"/>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1、本次招标评标采用综合评分法，即投标文件满足招标文件全部实质性要求，且按照评审因素的量化指标评审得分最高的投标人为中标候选人。</w:t>
      </w:r>
      <w:r/>
    </w:p>
    <w:p>
      <w:pPr>
        <w:pStyle w:val="1010"/>
        <w:jc w:val="left"/>
        <w:keepLines w:val="0"/>
        <w:keepNext w:val="0"/>
        <w:pageBreakBefore w:val="0"/>
        <w:spacing w:before="0" w:after="0" w:line="360" w:lineRule="auto"/>
        <w:widowControl w:val="off"/>
        <w:rPr>
          <w:rFonts w:hint="eastAsia" w:hAnsi="宋体" w:eastAsia="宋体"/>
          <w:color w:val="auto"/>
          <w:sz w:val="24"/>
          <w:szCs w:val="24"/>
          <w:highlight w:val="none"/>
        </w:rPr>
        <w:suppressLineNumbers w:val="0"/>
      </w:pPr>
      <w:r>
        <w:rPr>
          <w:rFonts w:hint="eastAsia" w:hAnsi="宋体" w:eastAsia="宋体"/>
          <w:color w:val="auto"/>
          <w:sz w:val="24"/>
          <w:szCs w:val="24"/>
          <w:highlight w:val="none"/>
        </w:rPr>
        <w:t xml:space="preserve">2、评标委员会各成员独立对每个进入打分程序的有效投标人的标书技术部分以打分的形式进行评审和评价。对评委的评分（除价格分外）进行统计汇总，直接算术平均计算得分（计算结果均四舍五入保留两位小数）。</w:t>
      </w:r>
      <w:r/>
    </w:p>
    <w:p>
      <w:pPr>
        <w:spacing w:line="360" w:lineRule="auto"/>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二、综合评分标准</w:t>
      </w:r>
      <w:r>
        <w:rPr>
          <w:rFonts w:hint="eastAsia" w:ascii="宋体" w:hAnsi="宋体"/>
          <w:bCs/>
          <w:color w:val="auto"/>
          <w:sz w:val="24"/>
          <w:highlight w:val="none"/>
          <w:lang w:val="en-US" w:eastAsia="zh-CN"/>
        </w:rPr>
        <w:t xml:space="preserve">【适用于</w:t>
      </w:r>
      <w:r>
        <w:rPr>
          <w:rFonts w:hint="eastAsia" w:ascii="宋体" w:hAnsi="宋体" w:cs="宋体"/>
          <w:color w:val="auto"/>
          <w:sz w:val="24"/>
          <w:szCs w:val="24"/>
          <w:highlight w:val="none"/>
          <w:lang w:val="en-US" w:eastAsia="zh-CN"/>
        </w:rPr>
        <w:t xml:space="preserve">采购包1、采购包2、采购包3、采购包4</w:t>
      </w:r>
      <w:r>
        <w:rPr>
          <w:rFonts w:hint="eastAsia" w:ascii="宋体" w:hAnsi="宋体"/>
          <w:bCs/>
          <w:color w:val="auto"/>
          <w:sz w:val="24"/>
          <w:highlight w:val="none"/>
          <w:lang w:val="en-US" w:eastAsia="zh-CN"/>
        </w:rPr>
        <w:t xml:space="preserve">】</w:t>
      </w:r>
      <w:r>
        <w:rPr>
          <w:rFonts w:hint="eastAsia" w:ascii="宋体" w:hAnsi="宋体" w:cs="宋体"/>
          <w:b/>
          <w:color w:val="auto"/>
          <w:sz w:val="24"/>
          <w:szCs w:val="24"/>
          <w:highlight w:val="none"/>
        </w:rPr>
        <w:t xml:space="preserve">：</w:t>
      </w:r>
      <w:r/>
    </w:p>
    <w:p>
      <w:pPr>
        <w:pStyle w:val="1010"/>
        <w:keepLines w:val="0"/>
        <w:keepNext w:val="0"/>
        <w:pageBreakBefore w:val="0"/>
        <w:spacing w:line="360" w:lineRule="auto"/>
        <w:widowControl w:val="off"/>
        <w:rPr>
          <w:rFonts w:hAnsi="宋体" w:eastAsia="宋体"/>
          <w:b/>
          <w:color w:val="auto"/>
          <w:sz w:val="24"/>
          <w:szCs w:val="24"/>
          <w:highlight w:val="none"/>
        </w:rPr>
      </w:pPr>
      <w:r>
        <w:rPr>
          <w:rFonts w:hint="eastAsia" w:hAnsi="宋体" w:eastAsia="宋体"/>
          <w:b/>
          <w:color w:val="auto"/>
          <w:sz w:val="24"/>
          <w:szCs w:val="24"/>
          <w:highlight w:val="none"/>
        </w:rPr>
        <w:t xml:space="preserve">（一）价格基准分：</w:t>
      </w:r>
      <w:r>
        <w:rPr>
          <w:rFonts w:hint="eastAsia" w:hAnsi="宋体" w:eastAsia="宋体"/>
          <w:b/>
          <w:color w:val="auto"/>
          <w:sz w:val="24"/>
          <w:szCs w:val="24"/>
          <w:highlight w:val="none"/>
          <w:lang w:val="en-US" w:eastAsia="zh-CN"/>
        </w:rPr>
        <w:t xml:space="preserve">10</w:t>
      </w:r>
      <w:r>
        <w:rPr>
          <w:rFonts w:hint="eastAsia" w:hAnsi="宋体" w:eastAsia="宋体"/>
          <w:b/>
          <w:color w:val="auto"/>
          <w:sz w:val="24"/>
          <w:szCs w:val="24"/>
          <w:highlight w:val="none"/>
        </w:rPr>
        <w:t xml:space="preserve">分</w:t>
      </w:r>
      <w:r/>
    </w:p>
    <w:p>
      <w:pPr>
        <w:pStyle w:val="1010"/>
        <w:ind w:firstLine="480"/>
        <w:keepLines w:val="0"/>
        <w:keepNext w:val="0"/>
        <w:pageBreakBefore w:val="0"/>
        <w:spacing w:line="360" w:lineRule="auto"/>
        <w:widowControl w:val="off"/>
        <w:rPr>
          <w:rFonts w:hAnsi="宋体" w:eastAsia="宋体"/>
          <w:color w:val="auto"/>
          <w:sz w:val="24"/>
          <w:szCs w:val="24"/>
          <w:highlight w:val="none"/>
        </w:rPr>
      </w:pPr>
      <w:r>
        <w:rPr>
          <w:rFonts w:hint="eastAsia" w:hAnsi="宋体" w:eastAsia="宋体"/>
          <w:color w:val="auto"/>
          <w:sz w:val="24"/>
          <w:szCs w:val="24"/>
          <w:highlight w:val="none"/>
        </w:rPr>
        <w:t xml:space="preserve">价格分采用低价优先法计算，即满足采购文件要求且投标价格最低的投标报价为评标基准价，其价格分为满分。</w:t>
      </w:r>
      <w:r/>
    </w:p>
    <w:p>
      <w:pPr>
        <w:ind w:firstLine="480"/>
        <w:spacing w:line="360" w:lineRule="auto"/>
        <w:rPr>
          <w:rFonts w:hint="eastAsia" w:ascii="宋体" w:hAnsi="宋体"/>
          <w:color w:val="auto"/>
          <w:sz w:val="24"/>
          <w:highlight w:val="none"/>
        </w:rPr>
      </w:pPr>
      <w:r>
        <w:rPr>
          <w:rFonts w:hint="eastAsia" w:ascii="宋体" w:hAnsi="宋体"/>
          <w:color w:val="auto"/>
          <w:sz w:val="24"/>
          <w:highlight w:val="none"/>
        </w:rPr>
        <w:t xml:space="preserve">第一步：投标报价不超过</w:t>
      </w:r>
      <w:r>
        <w:rPr>
          <w:rFonts w:hint="eastAsia" w:ascii="宋体" w:hAnsi="宋体"/>
          <w:color w:val="auto"/>
          <w:sz w:val="24"/>
          <w:highlight w:val="none"/>
          <w:lang w:val="en-US" w:eastAsia="zh-CN"/>
        </w:rPr>
        <w:t xml:space="preserve">最高限价</w:t>
      </w:r>
      <w:r>
        <w:rPr>
          <w:rFonts w:hint="eastAsia" w:ascii="宋体" w:hAnsi="宋体"/>
          <w:color w:val="auto"/>
          <w:sz w:val="24"/>
          <w:highlight w:val="none"/>
        </w:rPr>
        <w:t xml:space="preserve">的，为有效投标报价。超出此范围的投标报价为无效投标报价。无效投标报价的投标文件不进行评审，也不得标。</w:t>
      </w:r>
      <w:r/>
    </w:p>
    <w:p>
      <w:pPr>
        <w:pStyle w:val="1010"/>
        <w:ind w:firstLine="480"/>
        <w:spacing w:line="360" w:lineRule="auto"/>
        <w:rPr>
          <w:rFonts w:hint="eastAsia" w:hAnsi="宋体" w:eastAsia="宋体"/>
          <w:color w:val="auto"/>
          <w:sz w:val="24"/>
          <w:szCs w:val="24"/>
          <w:highlight w:val="none"/>
        </w:rPr>
      </w:pPr>
      <w:r>
        <w:rPr>
          <w:rFonts w:hint="eastAsia" w:hAnsi="宋体" w:eastAsia="宋体"/>
          <w:color w:val="auto"/>
          <w:sz w:val="24"/>
          <w:szCs w:val="24"/>
          <w:highlight w:val="none"/>
        </w:rPr>
        <w:t xml:space="preserve">第二步：在所有有效报价中满足采购文件实质性要求，且价格最低的报价为评标基准价，其价格分为</w:t>
      </w:r>
      <w:r>
        <w:rPr>
          <w:rFonts w:hint="eastAsia" w:hAnsi="宋体" w:eastAsia="宋体"/>
          <w:color w:val="auto"/>
          <w:sz w:val="24"/>
          <w:szCs w:val="24"/>
          <w:highlight w:val="none"/>
          <w:lang w:val="en-US" w:eastAsia="zh-CN"/>
        </w:rPr>
        <w:t xml:space="preserve">10</w:t>
      </w:r>
      <w:r>
        <w:rPr>
          <w:rFonts w:hint="eastAsia" w:hAnsi="宋体" w:eastAsia="宋体"/>
          <w:color w:val="auto"/>
          <w:sz w:val="24"/>
          <w:szCs w:val="24"/>
          <w:highlight w:val="none"/>
        </w:rPr>
        <w:t xml:space="preserve">分，其他供应商的价格分按照下列公式计算（计算结果四舍五入保留两位小数）：</w:t>
      </w:r>
      <w:r/>
    </w:p>
    <w:p>
      <w:pPr>
        <w:ind w:firstLine="480"/>
        <w:spacing w:line="360" w:lineRule="auto"/>
        <w:rPr>
          <w:rFonts w:hint="eastAsia" w:ascii="宋体" w:hAnsi="宋体"/>
          <w:color w:val="auto"/>
          <w:sz w:val="24"/>
          <w:highlight w:val="none"/>
          <w:u w:val="single"/>
        </w:rPr>
      </w:pPr>
      <w:r>
        <w:rPr>
          <w:rFonts w:hint="eastAsia" w:ascii="宋体" w:hAnsi="宋体"/>
          <w:color w:val="auto"/>
          <w:sz w:val="24"/>
          <w:highlight w:val="none"/>
          <w:u w:val="single"/>
        </w:rPr>
        <w:t xml:space="preserve">投标报价得分＝（基准报价/投标报价）×</w:t>
      </w:r>
      <w:r>
        <w:rPr>
          <w:rFonts w:hint="eastAsia" w:ascii="宋体" w:hAnsi="宋体"/>
          <w:color w:val="auto"/>
          <w:sz w:val="24"/>
          <w:highlight w:val="none"/>
          <w:u w:val="single"/>
          <w:lang w:val="en-US" w:eastAsia="zh-CN"/>
        </w:rPr>
        <w:t xml:space="preserve">10</w:t>
      </w:r>
      <w:r>
        <w:rPr>
          <w:rFonts w:hint="eastAsia" w:ascii="宋体" w:hAnsi="宋体"/>
          <w:color w:val="auto"/>
          <w:sz w:val="24"/>
          <w:highlight w:val="none"/>
          <w:u w:val="single"/>
        </w:rPr>
        <w:t xml:space="preserve">%×100</w:t>
      </w:r>
      <w:r/>
    </w:p>
    <w:p>
      <w:pPr>
        <w:spacing w:line="360" w:lineRule="auto"/>
        <w:rPr>
          <w:rFonts w:ascii="宋体" w:hAnsi="宋体"/>
          <w:b/>
          <w:bCs/>
          <w:color w:val="auto"/>
          <w:sz w:val="24"/>
          <w:szCs w:val="24"/>
          <w:highlight w:val="none"/>
        </w:rPr>
      </w:pPr>
      <w:r>
        <w:rPr>
          <w:rFonts w:hint="eastAsia" w:hAnsi="宋体" w:eastAsia="宋体"/>
          <w:b/>
          <w:bCs/>
          <w:color w:val="auto"/>
          <w:sz w:val="24"/>
          <w:szCs w:val="24"/>
          <w:highlight w:val="none"/>
        </w:rPr>
        <w:t xml:space="preserve">（二）</w:t>
      </w:r>
      <w:r>
        <w:rPr>
          <w:rFonts w:hint="eastAsia" w:ascii="宋体" w:hAnsi="宋体"/>
          <w:b/>
          <w:bCs/>
          <w:color w:val="auto"/>
          <w:sz w:val="24"/>
          <w:szCs w:val="24"/>
          <w:highlight w:val="none"/>
        </w:rPr>
        <w:t xml:space="preserve">养护服务方案：</w:t>
      </w:r>
      <w:r>
        <w:rPr>
          <w:rFonts w:hint="eastAsia" w:ascii="宋体" w:hAnsi="宋体"/>
          <w:b/>
          <w:bCs/>
          <w:color w:val="auto"/>
          <w:sz w:val="24"/>
          <w:szCs w:val="24"/>
          <w:highlight w:val="none"/>
          <w:lang w:val="en-US" w:eastAsia="zh-CN"/>
        </w:rPr>
        <w:t xml:space="preserve">7</w:t>
      </w:r>
      <w:r>
        <w:rPr>
          <w:rFonts w:ascii="宋体" w:hAnsi="宋体"/>
          <w:b/>
          <w:bCs/>
          <w:color w:val="auto"/>
          <w:sz w:val="24"/>
          <w:szCs w:val="24"/>
          <w:highlight w:val="none"/>
        </w:rPr>
        <w:t xml:space="preserve">0</w:t>
      </w:r>
      <w:r>
        <w:rPr>
          <w:rFonts w:hint="eastAsia" w:ascii="宋体" w:hAnsi="宋体"/>
          <w:b/>
          <w:bCs/>
          <w:color w:val="auto"/>
          <w:sz w:val="24"/>
          <w:szCs w:val="24"/>
          <w:highlight w:val="none"/>
        </w:rPr>
        <w:t xml:space="preserve">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 1</w:t>
      </w:r>
      <w:r>
        <w:rPr>
          <w:rFonts w:hint="eastAsia" w:ascii="宋体" w:hAnsi="宋体"/>
          <w:color w:val="auto"/>
          <w:sz w:val="24"/>
          <w:szCs w:val="24"/>
          <w:highlight w:val="none"/>
        </w:rPr>
        <w:t xml:space="preserve">、整体服务方案比较：整体服务方案应满足采购文件基本要求。方案最完整、科学、合理、全面、内容详实且具有可行性的得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分；方案较为完整、较为合理但有微小缺陷、内容较为详尽且具有可行性的得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分；方案缺略、片面、或存在缺陷，可行性的一般的得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分；不提供不得分。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rPr>
        <w:t xml:space="preserve">、应急突发事件的处理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提供针对本项目的突发事件应急预案处理，提供内容科学合理、全面完善、切实可行、针对性强、实施便捷的得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分；提供内容科学合理、全面完善、切实可行的得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分，提供内容科学合理</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可行性一般的得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分；未提供相关内容不得分。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3</w:t>
      </w:r>
      <w:r>
        <w:rPr>
          <w:rFonts w:hint="eastAsia" w:ascii="宋体" w:hAnsi="宋体"/>
          <w:color w:val="auto"/>
          <w:sz w:val="24"/>
          <w:szCs w:val="24"/>
          <w:highlight w:val="none"/>
        </w:rPr>
        <w:t xml:space="preserve">、针对本项目的项目工作人员安排，包括各专业工种人员的配备以及劳动力安排等：项目工作人员安排计划合理，组织管理体系科学，能够有效实施养护管理工作的得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分；项目工作人员安排计划较合理，组织管理体系较科学，能够实施养护管理工作的得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分；项目工作人员安排计划简单，组织管理体系笼统，基本能实施养护管理工作的得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分；无该部分方案内容者不得分。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4</w:t>
      </w:r>
      <w:r>
        <w:rPr>
          <w:rFonts w:hint="eastAsia" w:ascii="宋体" w:hAnsi="宋体"/>
          <w:color w:val="auto"/>
          <w:sz w:val="24"/>
          <w:szCs w:val="24"/>
          <w:highlight w:val="none"/>
        </w:rPr>
        <w:t xml:space="preserve">、针对本项目的花箱草花种植技术方案</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包括花箱草花的种植技术、病虫害防治措施等：技术方案科学合理，重点突出，针对性强的得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分；技术方案合理，有重点，具有针对性的得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分；技术方案总体简单，重点模糊，针对性不强的得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分；无该部分方案内容者不得分。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5、</w:t>
      </w:r>
      <w:r>
        <w:rPr>
          <w:rFonts w:hint="eastAsia" w:ascii="宋体" w:hAnsi="宋体"/>
          <w:color w:val="auto"/>
          <w:sz w:val="24"/>
          <w:szCs w:val="24"/>
          <w:highlight w:val="none"/>
        </w:rPr>
        <w:t xml:space="preserve">针对本项目的设施维护管理措施，设施维护管理措施科学合理，重点突出，针对性强的得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分；设施维护管理措施合理，有重点，具有针对性的得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分；设施维护管理措施总体简单，重点模糊，针对性不强的得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分；无该部分方案内容者不得分。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6</w:t>
      </w:r>
      <w:r>
        <w:rPr>
          <w:rFonts w:hint="eastAsia" w:ascii="宋体" w:hAnsi="宋体"/>
          <w:color w:val="auto"/>
          <w:sz w:val="24"/>
          <w:szCs w:val="24"/>
          <w:highlight w:val="none"/>
        </w:rPr>
        <w:t xml:space="preserve">、针对本项目的花箱草花养护管理方案，包括养护档案管理制度、安全文明措施等：花箱草花养护管理制度完善，程序规范，责任明确，可操作性强的得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分；花箱草花养护管理制度相对完善，程序相对规范，责任比较清晰，具有可操作性的得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分；花箱草花养护管理制度笼统，程序欠规范，责任基本明确，总体基本具有可操作性的得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分；无该部分方案内容者不得分。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lang w:val="en-US" w:eastAsia="zh-CN"/>
        </w:rPr>
        <w:t xml:space="preserve">7</w:t>
      </w:r>
      <w:r>
        <w:rPr>
          <w:rFonts w:hint="eastAsia" w:ascii="宋体" w:hAnsi="宋体"/>
          <w:color w:val="auto"/>
          <w:sz w:val="24"/>
          <w:szCs w:val="24"/>
          <w:highlight w:val="none"/>
        </w:rPr>
        <w:t xml:space="preserve">、针对本项目的保洁工作及废弃物处理方案，包括保洁、土方清理、杂草及枯萎花株处理等：保洁工作及废弃物处理方案完整，科学合理，措施有效扎实，针对性强的得</w:t>
      </w:r>
      <w:r>
        <w:rPr>
          <w:rFonts w:ascii="宋体" w:hAnsi="宋体"/>
          <w:color w:val="auto"/>
          <w:sz w:val="24"/>
          <w:szCs w:val="24"/>
          <w:highlight w:val="none"/>
        </w:rPr>
        <w:t xml:space="preserve">10</w:t>
      </w:r>
      <w:r>
        <w:rPr>
          <w:rFonts w:hint="eastAsia" w:ascii="宋体" w:hAnsi="宋体"/>
          <w:color w:val="auto"/>
          <w:sz w:val="24"/>
          <w:szCs w:val="24"/>
          <w:highlight w:val="none"/>
        </w:rPr>
        <w:t xml:space="preserve">分；保洁工作及废弃物处理方案较完整，措施有效，有针对性的得</w:t>
      </w:r>
      <w:r>
        <w:rPr>
          <w:rFonts w:ascii="宋体" w:hAnsi="宋体"/>
          <w:color w:val="auto"/>
          <w:sz w:val="24"/>
          <w:szCs w:val="24"/>
          <w:highlight w:val="none"/>
        </w:rPr>
        <w:t xml:space="preserve">7</w:t>
      </w:r>
      <w:r>
        <w:rPr>
          <w:rFonts w:hint="eastAsia" w:ascii="宋体" w:hAnsi="宋体"/>
          <w:color w:val="auto"/>
          <w:sz w:val="24"/>
          <w:szCs w:val="24"/>
          <w:highlight w:val="none"/>
        </w:rPr>
        <w:t xml:space="preserve">分；保洁工作及废弃物处理方案欠完整，措施基本有效的得</w:t>
      </w:r>
      <w:r>
        <w:rPr>
          <w:rFonts w:ascii="宋体" w:hAnsi="宋体"/>
          <w:color w:val="auto"/>
          <w:sz w:val="24"/>
          <w:szCs w:val="24"/>
          <w:highlight w:val="none"/>
        </w:rPr>
        <w:t xml:space="preserve">3</w:t>
      </w:r>
      <w:r>
        <w:rPr>
          <w:rFonts w:hint="eastAsia" w:ascii="宋体" w:hAnsi="宋体"/>
          <w:color w:val="auto"/>
          <w:sz w:val="24"/>
          <w:szCs w:val="24"/>
          <w:highlight w:val="none"/>
        </w:rPr>
        <w:t xml:space="preserve">分；无该部分方案内容者不得分。</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（三）投标单位投入本项目人员</w:t>
      </w:r>
      <w:r>
        <w:rPr>
          <w:rFonts w:hint="eastAsia" w:ascii="宋体" w:hAnsi="宋体"/>
          <w:b/>
          <w:bCs/>
          <w:color w:val="auto"/>
          <w:sz w:val="24"/>
          <w:szCs w:val="24"/>
          <w:highlight w:val="none"/>
          <w:lang w:val="en-US" w:eastAsia="zh-CN"/>
        </w:rPr>
        <w:t xml:space="preserve">比较</w:t>
      </w:r>
      <w:r>
        <w:rPr>
          <w:rFonts w:hint="eastAsia" w:ascii="宋体" w:hAnsi="宋体"/>
          <w:b/>
          <w:bCs/>
          <w:color w:val="auto"/>
          <w:sz w:val="24"/>
          <w:szCs w:val="24"/>
          <w:highlight w:val="none"/>
        </w:rPr>
        <w:t xml:space="preserve">（</w:t>
      </w:r>
      <w:r>
        <w:rPr>
          <w:rFonts w:hint="eastAsia" w:ascii="宋体" w:hAnsi="宋体"/>
          <w:b/>
          <w:bCs/>
          <w:color w:val="auto"/>
          <w:sz w:val="24"/>
          <w:szCs w:val="24"/>
          <w:highlight w:val="none"/>
          <w:lang w:val="en-US" w:eastAsia="zh-CN"/>
        </w:rPr>
        <w:t xml:space="preserve">6</w:t>
      </w:r>
      <w:r>
        <w:rPr>
          <w:rFonts w:hint="eastAsia" w:ascii="宋体" w:hAnsi="宋体"/>
          <w:b/>
          <w:bCs/>
          <w:color w:val="auto"/>
          <w:sz w:val="24"/>
          <w:szCs w:val="24"/>
          <w:highlight w:val="none"/>
        </w:rPr>
        <w:t xml:space="preserve">分）</w:t>
      </w:r>
      <w:r/>
    </w:p>
    <w:p>
      <w:pPr>
        <w:spacing w:line="360" w:lineRule="auto"/>
        <w:rPr>
          <w:rFonts w:ascii="宋体" w:hAnsi="宋体" w:eastAsia="宋体" w:cs="Times New Roman"/>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w:t>
      </w:r>
      <w:r>
        <w:rPr>
          <w:rFonts w:hint="eastAsia" w:ascii="宋体" w:hAnsi="宋体" w:eastAsia="宋体" w:cs="宋体"/>
          <w:b w:val="0"/>
          <w:bCs w:val="0"/>
          <w:color w:val="auto"/>
          <w:sz w:val="24"/>
          <w:szCs w:val="24"/>
          <w:highlight w:val="none"/>
        </w:rPr>
        <w:t xml:space="preserve">拟投入本项目的</w:t>
      </w:r>
      <w:r>
        <w:rPr>
          <w:rFonts w:hint="eastAsia" w:ascii="宋体" w:hAnsi="宋体" w:eastAsia="宋体" w:cs="宋体"/>
          <w:b/>
          <w:bCs/>
          <w:color w:val="auto"/>
          <w:sz w:val="24"/>
          <w:szCs w:val="24"/>
          <w:highlight w:val="none"/>
        </w:rPr>
        <w:t xml:space="preserve">项目负责人</w:t>
      </w:r>
      <w:r>
        <w:rPr>
          <w:rFonts w:hint="default" w:ascii="宋体" w:hAnsi="宋体" w:eastAsia="宋体" w:cs="Times New Roman"/>
          <w:color w:val="auto"/>
          <w:sz w:val="24"/>
          <w:szCs w:val="24"/>
          <w:highlight w:val="none"/>
          <w:lang w:val="en-US" w:eastAsia="zh-CN"/>
        </w:rPr>
        <w:t xml:space="preserve">（不得与</w:t>
      </w:r>
      <w:r>
        <w:rPr>
          <w:rFonts w:hint="eastAsia" w:ascii="宋体" w:hAnsi="宋体" w:cs="Times New Roman"/>
          <w:color w:val="auto"/>
          <w:sz w:val="24"/>
          <w:szCs w:val="24"/>
          <w:highlight w:val="none"/>
          <w:lang w:val="en-US" w:eastAsia="zh-CN"/>
        </w:rPr>
        <w:t xml:space="preserve">技术</w:t>
      </w:r>
      <w:r>
        <w:rPr>
          <w:rFonts w:hint="default" w:ascii="宋体" w:hAnsi="宋体" w:eastAsia="宋体" w:cs="Times New Roman"/>
          <w:color w:val="auto"/>
          <w:sz w:val="24"/>
          <w:szCs w:val="24"/>
          <w:highlight w:val="none"/>
          <w:lang w:val="en-US" w:eastAsia="zh-CN"/>
        </w:rPr>
        <w:t xml:space="preserve">负责人</w:t>
      </w:r>
      <w:r>
        <w:rPr>
          <w:rFonts w:hint="eastAsia" w:ascii="宋体" w:hAnsi="宋体" w:cs="Times New Roman"/>
          <w:color w:val="auto"/>
          <w:sz w:val="24"/>
          <w:szCs w:val="24"/>
          <w:highlight w:val="none"/>
          <w:lang w:val="en-US" w:eastAsia="zh-CN"/>
        </w:rPr>
        <w:t xml:space="preserve">、资料员</w:t>
      </w:r>
      <w:r>
        <w:rPr>
          <w:rFonts w:hint="default" w:ascii="宋体" w:hAnsi="宋体" w:eastAsia="宋体" w:cs="Times New Roman"/>
          <w:color w:val="auto"/>
          <w:sz w:val="24"/>
          <w:szCs w:val="24"/>
          <w:highlight w:val="none"/>
          <w:lang w:val="en-US" w:eastAsia="zh-CN"/>
        </w:rPr>
        <w:t xml:space="preserve">重复）</w:t>
      </w:r>
      <w:r>
        <w:rPr>
          <w:rFonts w:hint="eastAsia" w:ascii="宋体" w:hAnsi="宋体" w:eastAsia="宋体" w:cs="宋体"/>
          <w:color w:val="auto"/>
          <w:sz w:val="24"/>
          <w:szCs w:val="24"/>
          <w:highlight w:val="none"/>
        </w:rPr>
        <w:t xml:space="preserve">具有园林绿化及相关专业高级及以上职称的得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分；具有园林绿化及相关专业中级职称的得1分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其余不得分。</w:t>
      </w:r>
      <w:r>
        <w:rPr>
          <w:rFonts w:hint="eastAsia" w:ascii="宋体" w:hAnsi="宋体" w:eastAsia="宋体" w:cs="宋体"/>
          <w:b w:val="0"/>
          <w:bCs w:val="0"/>
          <w:color w:val="auto"/>
          <w:sz w:val="24"/>
          <w:szCs w:val="24"/>
          <w:highlight w:val="none"/>
        </w:rPr>
        <w:t xml:space="preserve">【投标文件中须提供项目负责人职称证书</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及投标单位为其缴纳的最近一期的社保缴纳</w:t>
      </w:r>
      <w:r>
        <w:rPr>
          <w:rFonts w:hint="eastAsia" w:ascii="宋体" w:hAnsi="宋体" w:eastAsia="宋体" w:cs="Times New Roman"/>
          <w:color w:val="auto"/>
          <w:sz w:val="24"/>
          <w:szCs w:val="24"/>
          <w:highlight w:val="none"/>
        </w:rPr>
        <w:t xml:space="preserve">证明</w:t>
      </w:r>
      <w:r>
        <w:rPr>
          <w:rFonts w:hint="eastAsia" w:ascii="宋体" w:hAnsi="宋体" w:eastAsia="宋体" w:cs="Times New Roman"/>
          <w:color w:val="auto"/>
          <w:sz w:val="24"/>
          <w:szCs w:val="24"/>
          <w:highlight w:val="none"/>
          <w:lang w:eastAsia="zh-CN"/>
        </w:rPr>
        <w:t xml:space="preserve">扫描件</w:t>
      </w:r>
      <w:r>
        <w:rPr>
          <w:rFonts w:hint="eastAsia" w:ascii="宋体" w:hAnsi="宋体" w:eastAsia="宋体" w:cs="Times New Roman"/>
          <w:color w:val="auto"/>
          <w:sz w:val="24"/>
          <w:szCs w:val="24"/>
          <w:highlight w:val="none"/>
        </w:rPr>
        <w:t xml:space="preserve">，否则不得分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rPr>
        <w:t xml:space="preserve">】</w:t>
      </w:r>
      <w:r/>
    </w:p>
    <w:p>
      <w:pPr>
        <w:spacing w:line="360" w:lineRule="auto"/>
        <w:rPr>
          <w:rFonts w:hint="eastAsia" w:ascii="宋体" w:hAnsi="宋体" w:eastAsia="宋体"/>
          <w:color w:val="auto"/>
          <w:sz w:val="24"/>
          <w:szCs w:val="24"/>
          <w:highlight w:val="none"/>
          <w:lang w:eastAsia="zh-CN"/>
        </w:rPr>
      </w:pPr>
      <w:r>
        <w:rPr>
          <w:rFonts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default" w:ascii="宋体" w:hAnsi="宋体" w:eastAsia="宋体" w:cs="Times New Roman"/>
          <w:color w:val="auto"/>
          <w:sz w:val="24"/>
          <w:szCs w:val="24"/>
          <w:highlight w:val="none"/>
          <w:lang w:val="en-US" w:eastAsia="zh-CN"/>
        </w:rPr>
        <w:t xml:space="preserve">拟投入本项目的</w:t>
      </w:r>
      <w:r>
        <w:rPr>
          <w:rFonts w:hint="default" w:ascii="宋体" w:hAnsi="宋体" w:eastAsia="宋体" w:cs="Times New Roman"/>
          <w:b/>
          <w:bCs/>
          <w:color w:val="auto"/>
          <w:sz w:val="24"/>
          <w:szCs w:val="24"/>
          <w:highlight w:val="none"/>
          <w:lang w:val="en-US" w:eastAsia="zh-CN"/>
        </w:rPr>
        <w:t xml:space="preserve">技术负责人</w:t>
      </w:r>
      <w:r>
        <w:rPr>
          <w:rFonts w:hint="default" w:ascii="宋体" w:hAnsi="宋体" w:eastAsia="宋体" w:cs="Times New Roman"/>
          <w:color w:val="auto"/>
          <w:sz w:val="24"/>
          <w:szCs w:val="24"/>
          <w:highlight w:val="none"/>
          <w:lang w:val="en-US" w:eastAsia="zh-CN"/>
        </w:rPr>
        <w:t xml:space="preserve">（不得与项目负责人</w:t>
      </w:r>
      <w:r>
        <w:rPr>
          <w:rFonts w:hint="eastAsia" w:ascii="宋体" w:hAnsi="宋体" w:cs="Times New Roman"/>
          <w:color w:val="auto"/>
          <w:sz w:val="24"/>
          <w:szCs w:val="24"/>
          <w:highlight w:val="none"/>
          <w:lang w:val="en-US" w:eastAsia="zh-CN"/>
        </w:rPr>
        <w:t xml:space="preserve">、资料员</w:t>
      </w:r>
      <w:r>
        <w:rPr>
          <w:rFonts w:hint="default" w:ascii="宋体" w:hAnsi="宋体" w:eastAsia="宋体" w:cs="Times New Roman"/>
          <w:color w:val="auto"/>
          <w:sz w:val="24"/>
          <w:szCs w:val="24"/>
          <w:highlight w:val="none"/>
          <w:lang w:val="en-US" w:eastAsia="zh-CN"/>
        </w:rPr>
        <w:t xml:space="preserve">重复）具有园林绿化及相关专业中级及以上职称的得2分</w:t>
      </w:r>
      <w:r>
        <w:rPr>
          <w:rFonts w:hint="eastAsia" w:ascii="宋体" w:hAnsi="宋体" w:eastAsia="宋体" w:cs="Times New Roman"/>
          <w:color w:val="auto"/>
          <w:sz w:val="24"/>
          <w:szCs w:val="24"/>
          <w:highlight w:val="none"/>
        </w:rPr>
        <w:t xml:space="preserve">；具有园林绿化及相关专业</w:t>
      </w:r>
      <w:r>
        <w:rPr>
          <w:rFonts w:hint="eastAsia" w:ascii="宋体" w:hAnsi="宋体" w:eastAsia="宋体" w:cs="Times New Roman"/>
          <w:color w:val="auto"/>
          <w:sz w:val="24"/>
          <w:szCs w:val="24"/>
          <w:highlight w:val="none"/>
          <w:lang w:val="en-US" w:eastAsia="zh-CN"/>
        </w:rPr>
        <w:t xml:space="preserve">初</w:t>
      </w:r>
      <w:r>
        <w:rPr>
          <w:rFonts w:hint="eastAsia" w:ascii="宋体" w:hAnsi="宋体" w:eastAsia="宋体" w:cs="Times New Roman"/>
          <w:color w:val="auto"/>
          <w:sz w:val="24"/>
          <w:szCs w:val="24"/>
          <w:highlight w:val="none"/>
        </w:rPr>
        <w:t xml:space="preserve">级职称的得1分</w:t>
      </w:r>
      <w:r>
        <w:rPr>
          <w:rFonts w:hint="eastAsia" w:ascii="宋体" w:hAnsi="宋体" w:eastAsia="宋体" w:cs="Times New Roman"/>
          <w:color w:val="auto"/>
          <w:sz w:val="24"/>
          <w:szCs w:val="24"/>
          <w:highlight w:val="none"/>
          <w:lang w:eastAsia="zh-CN"/>
        </w:rPr>
        <w:t xml:space="preserve">；</w:t>
      </w:r>
      <w:r>
        <w:rPr>
          <w:rFonts w:hint="eastAsia" w:ascii="宋体" w:hAnsi="宋体" w:eastAsia="宋体" w:cs="Times New Roman"/>
          <w:color w:val="auto"/>
          <w:sz w:val="24"/>
          <w:szCs w:val="24"/>
          <w:highlight w:val="none"/>
          <w:lang w:val="en-US" w:eastAsia="zh-CN"/>
        </w:rPr>
        <w:t xml:space="preserve">其余不得分</w:t>
      </w:r>
      <w:r>
        <w:rPr>
          <w:rFonts w:hint="eastAsia" w:ascii="宋体" w:hAnsi="宋体" w:eastAsia="宋体" w:cs="Times New Roman"/>
          <w:color w:val="auto"/>
          <w:sz w:val="24"/>
          <w:szCs w:val="24"/>
          <w:highlight w:val="none"/>
        </w:rPr>
        <w:t xml:space="preserve">【投标文件中须提供</w:t>
      </w:r>
      <w:r>
        <w:rPr>
          <w:rFonts w:hint="eastAsia" w:ascii="宋体" w:hAnsi="宋体" w:eastAsia="宋体" w:cs="Times New Roman"/>
          <w:color w:val="auto"/>
          <w:sz w:val="24"/>
          <w:szCs w:val="24"/>
          <w:highlight w:val="none"/>
          <w:lang w:val="en-US" w:eastAsia="zh-CN"/>
        </w:rPr>
        <w:t xml:space="preserve">技术</w:t>
      </w:r>
      <w:r>
        <w:rPr>
          <w:rFonts w:hint="eastAsia" w:ascii="宋体" w:hAnsi="宋体" w:eastAsia="宋体" w:cs="Times New Roman"/>
          <w:color w:val="auto"/>
          <w:sz w:val="24"/>
          <w:szCs w:val="24"/>
          <w:highlight w:val="none"/>
        </w:rPr>
        <w:t xml:space="preserve">负责人职称证书</w:t>
      </w:r>
      <w:r>
        <w:rPr>
          <w:rFonts w:hint="eastAsia" w:ascii="宋体" w:hAnsi="宋体" w:eastAsia="宋体" w:cs="Times New Roman"/>
          <w:color w:val="auto"/>
          <w:sz w:val="24"/>
          <w:szCs w:val="24"/>
          <w:highlight w:val="none"/>
          <w:lang w:eastAsia="zh-CN"/>
        </w:rPr>
        <w:t xml:space="preserve">扫描件</w:t>
      </w:r>
      <w:r>
        <w:rPr>
          <w:rFonts w:hint="eastAsia" w:ascii="宋体" w:hAnsi="宋体" w:eastAsia="宋体" w:cs="Times New Roman"/>
          <w:color w:val="auto"/>
          <w:sz w:val="24"/>
          <w:szCs w:val="24"/>
          <w:highlight w:val="none"/>
        </w:rPr>
        <w:t xml:space="preserve">及投标单位为其</w:t>
      </w:r>
      <w:r>
        <w:rPr>
          <w:rFonts w:hint="eastAsia" w:ascii="宋体" w:hAnsi="宋体" w:eastAsia="宋体" w:cs="宋体"/>
          <w:b w:val="0"/>
          <w:bCs w:val="0"/>
          <w:color w:val="auto"/>
          <w:sz w:val="24"/>
          <w:szCs w:val="24"/>
          <w:highlight w:val="none"/>
        </w:rPr>
        <w:t xml:space="preserve">缴纳的最近一期的社保缴纳证明</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，否则不得分】</w:t>
      </w:r>
      <w:r>
        <w:rPr>
          <w:rFonts w:hint="eastAsia" w:ascii="宋体" w:hAnsi="宋体" w:cs="宋体"/>
          <w:b w:val="0"/>
          <w:bCs w:val="0"/>
          <w:color w:val="auto"/>
          <w:sz w:val="24"/>
          <w:szCs w:val="24"/>
          <w:highlight w:val="none"/>
          <w:lang w:eastAsia="zh-CN"/>
        </w:rPr>
        <w:t xml:space="preserve">。</w:t>
      </w:r>
      <w:r/>
    </w:p>
    <w:p>
      <w:pPr>
        <w:spacing w:line="360" w:lineRule="auto"/>
        <w:rPr>
          <w:rFonts w:hint="eastAsia" w:ascii="宋体" w:hAnsi="宋体" w:eastAsia="宋体" w:cs="宋体"/>
          <w:b w:val="0"/>
          <w:bCs w:val="0"/>
          <w:color w:val="auto"/>
          <w:sz w:val="24"/>
          <w:szCs w:val="24"/>
          <w:highlight w:val="none"/>
          <w:lang w:eastAsia="zh-CN"/>
        </w:rPr>
      </w:pPr>
      <w:r>
        <w:rPr>
          <w:rFonts w:ascii="宋体" w:hAnsi="宋体"/>
          <w:color w:val="auto"/>
          <w:sz w:val="24"/>
          <w:szCs w:val="24"/>
          <w:highlight w:val="none"/>
        </w:rPr>
        <w:t xml:space="preserve">3</w:t>
      </w:r>
      <w:r>
        <w:rPr>
          <w:rFonts w:hint="eastAsia" w:ascii="宋体" w:hAnsi="宋体"/>
          <w:b w:val="0"/>
          <w:bCs w:val="0"/>
          <w:color w:val="auto"/>
          <w:sz w:val="24"/>
          <w:szCs w:val="24"/>
          <w:highlight w:val="none"/>
        </w:rPr>
        <w:t xml:space="preserve">、</w:t>
      </w:r>
      <w:r>
        <w:rPr>
          <w:rFonts w:hint="eastAsia" w:ascii="宋体" w:hAnsi="宋体" w:eastAsia="宋体" w:cs="宋体"/>
          <w:b w:val="0"/>
          <w:bCs w:val="0"/>
          <w:color w:val="auto"/>
          <w:sz w:val="24"/>
          <w:szCs w:val="24"/>
          <w:highlight w:val="none"/>
        </w:rPr>
        <w:t xml:space="preserve">拟投入本项目的</w:t>
      </w:r>
      <w:r>
        <w:rPr>
          <w:rFonts w:hint="eastAsia" w:ascii="宋体" w:hAnsi="宋体"/>
          <w:b/>
          <w:bCs/>
          <w:color w:val="auto"/>
          <w:sz w:val="24"/>
          <w:szCs w:val="24"/>
          <w:highlight w:val="none"/>
        </w:rPr>
        <w:t xml:space="preserve">资料员</w:t>
      </w:r>
      <w:r>
        <w:rPr>
          <w:rFonts w:hint="default" w:ascii="宋体" w:hAnsi="宋体" w:eastAsia="宋体" w:cs="Times New Roman"/>
          <w:color w:val="auto"/>
          <w:sz w:val="24"/>
          <w:szCs w:val="24"/>
          <w:highlight w:val="none"/>
          <w:lang w:val="en-US" w:eastAsia="zh-CN"/>
        </w:rPr>
        <w:t xml:space="preserve">（不得与项目负责人</w:t>
      </w:r>
      <w:r>
        <w:rPr>
          <w:rFonts w:hint="eastAsia" w:ascii="宋体" w:hAnsi="宋体" w:cs="Times New Roman"/>
          <w:color w:val="auto"/>
          <w:sz w:val="24"/>
          <w:szCs w:val="24"/>
          <w:highlight w:val="none"/>
          <w:lang w:val="en-US" w:eastAsia="zh-CN"/>
        </w:rPr>
        <w:t xml:space="preserve">、技术负责人</w:t>
      </w:r>
      <w:r>
        <w:rPr>
          <w:rFonts w:hint="default" w:ascii="宋体" w:hAnsi="宋体" w:eastAsia="宋体" w:cs="Times New Roman"/>
          <w:color w:val="auto"/>
          <w:sz w:val="24"/>
          <w:szCs w:val="24"/>
          <w:highlight w:val="none"/>
          <w:lang w:val="en-US" w:eastAsia="zh-CN"/>
        </w:rPr>
        <w:t xml:space="preserve">重复）</w:t>
      </w:r>
      <w:r>
        <w:rPr>
          <w:rFonts w:hint="eastAsia" w:ascii="宋体" w:hAnsi="宋体" w:eastAsia="宋体" w:cs="宋体"/>
          <w:color w:val="auto"/>
          <w:sz w:val="24"/>
          <w:szCs w:val="24"/>
          <w:highlight w:val="none"/>
        </w:rPr>
        <w:t xml:space="preserve">具有园林绿化及相关专业</w:t>
      </w:r>
      <w:r>
        <w:rPr>
          <w:rFonts w:hint="eastAsia" w:ascii="宋体" w:hAnsi="宋体" w:cs="宋体"/>
          <w:color w:val="auto"/>
          <w:sz w:val="24"/>
          <w:szCs w:val="24"/>
          <w:highlight w:val="none"/>
          <w:lang w:val="en-US" w:eastAsia="zh-CN"/>
        </w:rPr>
        <w:t xml:space="preserve">中级</w:t>
      </w:r>
      <w:r>
        <w:rPr>
          <w:rFonts w:hint="eastAsia" w:ascii="宋体" w:hAnsi="宋体" w:eastAsia="宋体" w:cs="宋体"/>
          <w:color w:val="auto"/>
          <w:sz w:val="24"/>
          <w:szCs w:val="24"/>
          <w:highlight w:val="none"/>
        </w:rPr>
        <w:t xml:space="preserve">及以上职称的得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分；具有园林绿化及相关专业</w:t>
      </w:r>
      <w:r>
        <w:rPr>
          <w:rFonts w:hint="eastAsia" w:ascii="宋体" w:hAnsi="宋体" w:cs="宋体"/>
          <w:color w:val="auto"/>
          <w:sz w:val="24"/>
          <w:szCs w:val="24"/>
          <w:highlight w:val="none"/>
          <w:lang w:val="en-US" w:eastAsia="zh-CN"/>
        </w:rPr>
        <w:t xml:space="preserve">初</w:t>
      </w:r>
      <w:r>
        <w:rPr>
          <w:rFonts w:hint="eastAsia" w:ascii="宋体" w:hAnsi="宋体" w:eastAsia="宋体" w:cs="宋体"/>
          <w:color w:val="auto"/>
          <w:sz w:val="24"/>
          <w:szCs w:val="24"/>
          <w:highlight w:val="none"/>
        </w:rPr>
        <w:t xml:space="preserve">级职称的得1分</w:t>
      </w:r>
      <w:r>
        <w:rPr>
          <w:rFonts w:hint="eastAsia" w:ascii="宋体" w:hAnsi="宋体" w:cs="宋体"/>
          <w:color w:val="auto"/>
          <w:sz w:val="24"/>
          <w:szCs w:val="24"/>
          <w:highlight w:val="none"/>
          <w:lang w:eastAsia="zh-CN"/>
        </w:rPr>
        <w:t xml:space="preserve">；</w:t>
      </w:r>
      <w:r>
        <w:rPr>
          <w:rFonts w:hint="eastAsia" w:ascii="宋体" w:hAnsi="宋体" w:cs="宋体"/>
          <w:color w:val="auto"/>
          <w:sz w:val="24"/>
          <w:szCs w:val="24"/>
          <w:highlight w:val="none"/>
          <w:lang w:val="en-US" w:eastAsia="zh-CN"/>
        </w:rPr>
        <w:t xml:space="preserve">其余不得</w:t>
      </w:r>
      <w:r>
        <w:rPr>
          <w:rFonts w:hint="eastAsia" w:ascii="宋体" w:hAnsi="宋体" w:cs="宋体"/>
          <w:b w:val="0"/>
          <w:bCs w:val="0"/>
          <w:color w:val="auto"/>
          <w:sz w:val="24"/>
          <w:szCs w:val="24"/>
          <w:highlight w:val="none"/>
          <w:lang w:val="en-US" w:eastAsia="zh-CN"/>
        </w:rPr>
        <w:t xml:space="preserve">分</w:t>
      </w:r>
      <w:r>
        <w:rPr>
          <w:rFonts w:hint="eastAsia" w:ascii="宋体" w:hAnsi="宋体" w:eastAsia="宋体" w:cs="宋体"/>
          <w:b w:val="0"/>
          <w:bCs w:val="0"/>
          <w:color w:val="auto"/>
          <w:sz w:val="24"/>
          <w:szCs w:val="24"/>
          <w:highlight w:val="none"/>
        </w:rPr>
        <w:t xml:space="preserve">【投标文件中须提供</w:t>
      </w:r>
      <w:r>
        <w:rPr>
          <w:rFonts w:hint="eastAsia" w:ascii="宋体" w:hAnsi="宋体" w:cs="宋体"/>
          <w:b w:val="0"/>
          <w:bCs w:val="0"/>
          <w:color w:val="auto"/>
          <w:sz w:val="24"/>
          <w:szCs w:val="24"/>
          <w:highlight w:val="none"/>
          <w:lang w:val="en-US" w:eastAsia="zh-CN"/>
        </w:rPr>
        <w:t xml:space="preserve">资料员</w:t>
      </w:r>
      <w:r>
        <w:rPr>
          <w:rFonts w:hint="eastAsia" w:ascii="宋体" w:hAnsi="宋体" w:eastAsia="宋体" w:cs="宋体"/>
          <w:b w:val="0"/>
          <w:bCs w:val="0"/>
          <w:color w:val="auto"/>
          <w:sz w:val="24"/>
          <w:szCs w:val="24"/>
          <w:highlight w:val="none"/>
        </w:rPr>
        <w:t xml:space="preserve">职称证书</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及投标单位为其缴纳的最近一期的社保缴纳证明</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，否则不得分】</w:t>
      </w:r>
      <w:r>
        <w:rPr>
          <w:rFonts w:hint="eastAsia" w:ascii="宋体" w:hAnsi="宋体" w:cs="宋体"/>
          <w:b w:val="0"/>
          <w:bCs w:val="0"/>
          <w:color w:val="auto"/>
          <w:sz w:val="24"/>
          <w:szCs w:val="24"/>
          <w:highlight w:val="none"/>
          <w:lang w:eastAsia="zh-CN"/>
        </w:rPr>
        <w:t xml:space="preserve">。</w:t>
      </w:r>
      <w:r/>
    </w:p>
    <w:p>
      <w:pPr>
        <w:spacing w:line="360" w:lineRule="auto"/>
        <w:rPr>
          <w:rFonts w:hint="eastAsia" w:ascii="宋体" w:hAnsi="宋体"/>
          <w:color w:val="auto"/>
          <w:sz w:val="24"/>
          <w:szCs w:val="24"/>
          <w:highlight w:val="none"/>
          <w:lang w:val="en-US" w:eastAsia="zh-CN"/>
        </w:rPr>
      </w:pPr>
      <w:r>
        <w:rPr>
          <w:rFonts w:hint="eastAsia" w:ascii="宋体" w:hAnsi="宋体"/>
          <w:color w:val="auto"/>
          <w:sz w:val="24"/>
          <w:szCs w:val="24"/>
          <w:highlight w:val="none"/>
          <w:lang w:val="en-US" w:eastAsia="zh-CN"/>
        </w:rPr>
        <w:t xml:space="preserve">注：“园林绿化及相关专业”，指：与园林绿化工程规划、设计、施工及养护管理相关的专业，包括园林（含园林规划设计、园林植物、风景园林、园林绿化等）、园艺、城市规划、景观、植物（含植保、森保等）、风景旅游、环境艺术等专业。</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（四）投标单位养护车辆情况比较（</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、投标单位每提供一辆洒水车得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w:t>
      </w:r>
      <w:r/>
    </w:p>
    <w:p>
      <w:pPr>
        <w:spacing w:line="360" w:lineRule="auto"/>
        <w:rPr>
          <w:rFonts w:ascii="宋体" w:hAnsi="宋体"/>
          <w:color w:val="auto"/>
          <w:sz w:val="24"/>
          <w:szCs w:val="24"/>
          <w:highlight w:val="none"/>
        </w:rPr>
      </w:pPr>
      <w:r>
        <w:rPr>
          <w:rFonts w:ascii="宋体" w:hAnsi="宋体"/>
          <w:color w:val="auto"/>
          <w:sz w:val="24"/>
          <w:szCs w:val="24"/>
          <w:highlight w:val="none"/>
        </w:rPr>
        <w:t xml:space="preserve">2</w:t>
      </w:r>
      <w:r>
        <w:rPr>
          <w:rFonts w:hint="eastAsia" w:ascii="宋体" w:hAnsi="宋体"/>
          <w:color w:val="auto"/>
          <w:sz w:val="24"/>
          <w:szCs w:val="24"/>
          <w:highlight w:val="none"/>
          <w:lang w:eastAsia="zh-CN"/>
        </w:rPr>
        <w:t xml:space="preserve">、</w:t>
      </w:r>
      <w:r>
        <w:rPr>
          <w:rFonts w:hint="eastAsia" w:ascii="宋体" w:hAnsi="宋体"/>
          <w:color w:val="auto"/>
          <w:sz w:val="24"/>
          <w:szCs w:val="24"/>
          <w:highlight w:val="none"/>
        </w:rPr>
        <w:t xml:space="preserve">投标单位每提供一辆轻（小</w:t>
      </w:r>
      <w:r>
        <w:rPr>
          <w:rFonts w:ascii="宋体" w:hAnsi="宋体"/>
          <w:color w:val="auto"/>
          <w:sz w:val="24"/>
          <w:szCs w:val="24"/>
          <w:highlight w:val="none"/>
        </w:rPr>
        <w:t xml:space="preserve">)</w:t>
      </w:r>
      <w:r>
        <w:rPr>
          <w:rFonts w:hint="eastAsia" w:ascii="宋体" w:hAnsi="宋体"/>
          <w:color w:val="auto"/>
          <w:sz w:val="24"/>
          <w:szCs w:val="24"/>
          <w:highlight w:val="none"/>
        </w:rPr>
        <w:t xml:space="preserve">型专项作业车</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轻（小）型自卸货车</w:t>
      </w:r>
      <w:r>
        <w:rPr>
          <w:rFonts w:hint="eastAsia" w:ascii="宋体" w:hAnsi="宋体"/>
          <w:color w:val="auto"/>
          <w:sz w:val="24"/>
          <w:szCs w:val="24"/>
          <w:highlight w:val="none"/>
          <w:lang w:val="en-US" w:eastAsia="zh-CN"/>
        </w:rPr>
        <w:t xml:space="preserve">或</w:t>
      </w:r>
      <w:r>
        <w:rPr>
          <w:rFonts w:hint="eastAsia" w:ascii="宋体" w:hAnsi="宋体"/>
          <w:color w:val="auto"/>
          <w:sz w:val="24"/>
          <w:szCs w:val="24"/>
          <w:highlight w:val="none"/>
        </w:rPr>
        <w:t xml:space="preserve">轻（小）型普通货车得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分，最高得</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分。</w:t>
      </w:r>
      <w:r/>
    </w:p>
    <w:p>
      <w:pPr>
        <w:spacing w:line="360" w:lineRule="auto"/>
        <w:rPr>
          <w:rFonts w:ascii="宋体" w:hAnsi="宋体"/>
          <w:color w:val="auto"/>
          <w:sz w:val="24"/>
          <w:szCs w:val="24"/>
          <w:highlight w:val="none"/>
        </w:rPr>
      </w:pPr>
      <w:r>
        <w:rPr>
          <w:rFonts w:hint="eastAsia" w:ascii="宋体" w:hAnsi="宋体"/>
          <w:color w:val="auto"/>
          <w:sz w:val="24"/>
          <w:szCs w:val="24"/>
          <w:highlight w:val="none"/>
        </w:rPr>
        <w:t xml:space="preserve">注：以上车辆可以自有、租赁或承诺中标后购买，提供自有车辆的须提供行政证，产权证；提供租赁车辆的须提供车辆租赁合同及对应行驶证；承诺中标后购买的须提供车辆中标后购买承诺函（格式自拟），否则不得分。</w:t>
      </w:r>
      <w:r/>
    </w:p>
    <w:p>
      <w:pPr>
        <w:spacing w:line="360" w:lineRule="auto"/>
        <w:rPr>
          <w:rFonts w:ascii="宋体" w:hAnsi="宋体"/>
          <w:b/>
          <w:bCs/>
          <w:color w:val="auto"/>
          <w:sz w:val="24"/>
          <w:szCs w:val="24"/>
          <w:highlight w:val="none"/>
        </w:rPr>
      </w:pPr>
      <w:r>
        <w:rPr>
          <w:rFonts w:hint="eastAsia" w:ascii="宋体" w:hAnsi="宋体"/>
          <w:b/>
          <w:bCs/>
          <w:color w:val="auto"/>
          <w:sz w:val="24"/>
          <w:szCs w:val="24"/>
          <w:highlight w:val="none"/>
        </w:rPr>
        <w:t xml:space="preserve">（五）投标单位综合实力比较（</w:t>
      </w:r>
      <w:r>
        <w:rPr>
          <w:rFonts w:ascii="宋体" w:hAnsi="宋体"/>
          <w:b/>
          <w:bCs/>
          <w:color w:val="auto"/>
          <w:sz w:val="24"/>
          <w:szCs w:val="24"/>
          <w:highlight w:val="none"/>
        </w:rPr>
        <w:t xml:space="preserve">1</w:t>
      </w:r>
      <w:r>
        <w:rPr>
          <w:rFonts w:hint="eastAsia" w:ascii="宋体" w:hAnsi="宋体"/>
          <w:b/>
          <w:bCs/>
          <w:color w:val="auto"/>
          <w:sz w:val="24"/>
          <w:szCs w:val="24"/>
          <w:highlight w:val="none"/>
          <w:lang w:val="en-US" w:eastAsia="zh-CN"/>
        </w:rPr>
        <w:t xml:space="preserve">2</w:t>
      </w:r>
      <w:r>
        <w:rPr>
          <w:rFonts w:hint="eastAsia" w:ascii="宋体" w:hAnsi="宋体"/>
          <w:b/>
          <w:bCs/>
          <w:color w:val="auto"/>
          <w:sz w:val="24"/>
          <w:szCs w:val="24"/>
          <w:highlight w:val="none"/>
        </w:rPr>
        <w:t xml:space="preserve">分）</w:t>
      </w:r>
      <w:r/>
    </w:p>
    <w:p>
      <w:pPr>
        <w:spacing w:line="360" w:lineRule="auto"/>
        <w:rPr>
          <w:rFonts w:hint="eastAsia" w:ascii="宋体" w:hAnsi="宋体" w:eastAsia="宋体" w:cs="Times New Roman"/>
          <w:b w:val="0"/>
          <w:bCs w:val="0"/>
          <w:color w:val="auto"/>
          <w:sz w:val="24"/>
          <w:szCs w:val="24"/>
          <w:highlight w:val="none"/>
          <w:lang w:eastAsia="zh-CN"/>
        </w:rPr>
      </w:pPr>
      <w:r>
        <w:rPr>
          <w:rFonts w:ascii="宋体" w:hAnsi="宋体"/>
          <w:color w:val="auto"/>
          <w:sz w:val="24"/>
          <w:szCs w:val="24"/>
          <w:highlight w:val="none"/>
        </w:rPr>
        <w:t xml:space="preserve">1</w:t>
      </w:r>
      <w:r>
        <w:rPr>
          <w:rFonts w:hint="eastAsia" w:ascii="宋体" w:hAnsi="宋体"/>
          <w:color w:val="auto"/>
          <w:sz w:val="24"/>
          <w:szCs w:val="24"/>
          <w:highlight w:val="none"/>
        </w:rPr>
        <w:t xml:space="preserve">、投标单位</w:t>
      </w:r>
      <w:r>
        <w:rPr>
          <w:rFonts w:hint="eastAsia" w:ascii="宋体" w:hAnsi="宋体" w:eastAsia="宋体" w:cs="宋体"/>
          <w:color w:val="auto"/>
          <w:sz w:val="24"/>
          <w:szCs w:val="24"/>
          <w:highlight w:val="none"/>
        </w:rPr>
        <w:t xml:space="preserve">自</w:t>
      </w:r>
      <w:r>
        <w:rPr>
          <w:rFonts w:hint="eastAsia" w:ascii="宋体" w:hAnsi="宋体" w:cs="宋体"/>
          <w:color w:val="auto"/>
          <w:sz w:val="24"/>
          <w:szCs w:val="24"/>
          <w:highlight w:val="none"/>
          <w:lang w:val="en-US" w:eastAsia="zh-CN"/>
        </w:rPr>
        <w:t xml:space="preserve">2023年1月1日</w:t>
      </w:r>
      <w:r>
        <w:rPr>
          <w:rFonts w:hint="eastAsia" w:ascii="宋体" w:hAnsi="宋体" w:eastAsia="宋体" w:cs="宋体"/>
          <w:color w:val="auto"/>
          <w:sz w:val="24"/>
          <w:szCs w:val="24"/>
          <w:highlight w:val="none"/>
        </w:rPr>
        <w:t xml:space="preserve">（时间以合同签订日期为准）至今履约过的类似项目：有一个得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分，最高得</w:t>
      </w:r>
      <w:r>
        <w:rPr>
          <w:rFonts w:hint="eastAsia" w:ascii="宋体" w:hAnsi="宋体" w:cs="宋体"/>
          <w:color w:val="auto"/>
          <w:sz w:val="24"/>
          <w:szCs w:val="24"/>
          <w:highlight w:val="none"/>
          <w:lang w:val="en-US" w:eastAsia="zh-CN"/>
        </w:rPr>
        <w:t xml:space="preserve">2</w:t>
      </w:r>
      <w:r>
        <w:rPr>
          <w:rFonts w:hint="eastAsia" w:ascii="宋体" w:hAnsi="宋体" w:eastAsia="宋体" w:cs="宋体"/>
          <w:color w:val="auto"/>
          <w:sz w:val="24"/>
          <w:szCs w:val="24"/>
          <w:highlight w:val="none"/>
        </w:rPr>
        <w:t xml:space="preserve">分</w:t>
      </w:r>
      <w:r>
        <w:rPr>
          <w:rFonts w:hint="eastAsia" w:ascii="宋体" w:hAnsi="宋体" w:eastAsia="宋体" w:cs="Times New Roman"/>
          <w:color w:val="auto"/>
          <w:sz w:val="24"/>
          <w:szCs w:val="24"/>
          <w:highlight w:val="none"/>
        </w:rPr>
        <w:t xml:space="preserve">。</w:t>
      </w:r>
      <w:r>
        <w:rPr>
          <w:rFonts w:hint="eastAsia" w:ascii="宋体" w:hAnsi="宋体" w:eastAsia="宋体" w:cs="宋体"/>
          <w:b w:val="0"/>
          <w:bCs w:val="0"/>
          <w:color w:val="auto"/>
          <w:sz w:val="24"/>
          <w:szCs w:val="24"/>
          <w:highlight w:val="none"/>
        </w:rPr>
        <w:t xml:space="preserve">【投标文件中提供</w:t>
      </w:r>
      <w:r>
        <w:rPr>
          <w:rFonts w:hint="eastAsia" w:ascii="宋体" w:hAnsi="宋体" w:cs="宋体"/>
          <w:b w:val="0"/>
          <w:bCs w:val="0"/>
          <w:color w:val="auto"/>
          <w:sz w:val="24"/>
          <w:szCs w:val="24"/>
          <w:highlight w:val="none"/>
          <w:lang w:val="en-US" w:eastAsia="zh-CN"/>
        </w:rPr>
        <w:t xml:space="preserve">完整的</w:t>
      </w:r>
      <w:r>
        <w:rPr>
          <w:rFonts w:hint="eastAsia" w:ascii="宋体" w:hAnsi="宋体" w:eastAsia="宋体" w:cs="宋体"/>
          <w:b w:val="0"/>
          <w:bCs w:val="0"/>
          <w:color w:val="auto"/>
          <w:sz w:val="24"/>
          <w:szCs w:val="24"/>
          <w:highlight w:val="none"/>
        </w:rPr>
        <w:t xml:space="preserve">合同</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及与合同名称相对应的发票联（或记账联）</w:t>
      </w:r>
      <w:r>
        <w:rPr>
          <w:rFonts w:hint="eastAsia" w:ascii="宋体" w:hAnsi="宋体" w:cs="宋体"/>
          <w:b w:val="0"/>
          <w:bCs w:val="0"/>
          <w:color w:val="auto"/>
          <w:sz w:val="24"/>
          <w:szCs w:val="24"/>
          <w:highlight w:val="none"/>
          <w:lang w:eastAsia="zh-CN"/>
        </w:rPr>
        <w:t xml:space="preserve">扫描件</w:t>
      </w:r>
      <w:r>
        <w:rPr>
          <w:rFonts w:hint="eastAsia" w:ascii="宋体" w:hAnsi="宋体" w:eastAsia="宋体" w:cs="宋体"/>
          <w:b w:val="0"/>
          <w:bCs w:val="0"/>
          <w:color w:val="auto"/>
          <w:sz w:val="24"/>
          <w:szCs w:val="24"/>
          <w:highlight w:val="none"/>
        </w:rPr>
        <w:t xml:space="preserve">，每个合同至少提供服务发票一张，否则不得分】</w:t>
      </w:r>
      <w:r/>
    </w:p>
    <w:p>
      <w:pPr>
        <w:spacing w:line="360" w:lineRule="auto"/>
        <w:rPr>
          <w:rFonts w:hint="eastAsia" w:ascii="宋体" w:hAnsi="宋体" w:eastAsia="宋体" w:cs="Times New Roman"/>
          <w:color w:val="auto"/>
          <w:sz w:val="24"/>
          <w:szCs w:val="24"/>
          <w:highlight w:val="none"/>
          <w:lang w:eastAsia="zh-CN"/>
        </w:rPr>
      </w:pPr>
      <w:r>
        <w:rPr>
          <w:rFonts w:ascii="宋体" w:hAnsi="宋体" w:eastAsia="宋体" w:cs="Times New Roman"/>
          <w:color w:val="auto"/>
          <w:sz w:val="24"/>
          <w:szCs w:val="24"/>
          <w:highlight w:val="none"/>
        </w:rPr>
        <w:t xml:space="preserve">2</w:t>
      </w:r>
      <w:r>
        <w:rPr>
          <w:rFonts w:hint="eastAsia" w:ascii="宋体" w:hAnsi="宋体" w:eastAsia="宋体" w:cs="Times New Roman"/>
          <w:color w:val="auto"/>
          <w:sz w:val="24"/>
          <w:szCs w:val="24"/>
          <w:highlight w:val="none"/>
        </w:rPr>
        <w:t xml:space="preserve">、</w:t>
      </w:r>
      <w:r>
        <w:rPr>
          <w:rFonts w:hint="eastAsia" w:ascii="宋体" w:hAnsi="宋体" w:cs="Times New Roman"/>
          <w:color w:val="auto"/>
          <w:sz w:val="24"/>
          <w:szCs w:val="24"/>
          <w:highlight w:val="none"/>
          <w:lang w:val="en-US" w:eastAsia="zh-CN"/>
        </w:rPr>
        <w:t xml:space="preserve">投标</w:t>
      </w:r>
      <w:r>
        <w:rPr>
          <w:rFonts w:hint="eastAsia" w:ascii="宋体" w:hAnsi="宋体" w:eastAsia="宋体" w:cs="Times New Roman"/>
          <w:color w:val="auto"/>
          <w:sz w:val="24"/>
          <w:szCs w:val="24"/>
          <w:highlight w:val="none"/>
        </w:rPr>
        <w:t xml:space="preserve">单位具有质量管理体系证书、环境管理体系认证证书、职业健康安全管理体系证书，</w:t>
      </w:r>
      <w:r>
        <w:rPr>
          <w:rFonts w:hint="eastAsia" w:ascii="宋体" w:hAnsi="宋体" w:eastAsia="宋体" w:cs="宋体"/>
          <w:bCs/>
          <w:color w:val="auto"/>
          <w:sz w:val="24"/>
          <w:szCs w:val="24"/>
          <w:highlight w:val="none"/>
        </w:rPr>
        <w:t xml:space="preserve">每提供一种证书的得</w:t>
      </w:r>
      <w:r>
        <w:rPr>
          <w:rFonts w:hint="eastAsia" w:ascii="宋体" w:hAnsi="宋体" w:eastAsia="宋体" w:cs="宋体"/>
          <w:bCs/>
          <w:color w:val="auto"/>
          <w:sz w:val="24"/>
          <w:szCs w:val="24"/>
          <w:highlight w:val="none"/>
          <w:lang w:val="en-US"/>
        </w:rPr>
        <w:t xml:space="preserve">2</w:t>
      </w:r>
      <w:r>
        <w:rPr>
          <w:rFonts w:hint="eastAsia" w:ascii="宋体" w:hAnsi="宋体" w:eastAsia="宋体" w:cs="宋体"/>
          <w:bCs/>
          <w:color w:val="auto"/>
          <w:sz w:val="24"/>
          <w:szCs w:val="24"/>
          <w:highlight w:val="none"/>
        </w:rPr>
        <w:t xml:space="preserve">分</w:t>
      </w:r>
      <w:r>
        <w:rPr>
          <w:rFonts w:hint="eastAsia" w:ascii="宋体" w:hAnsi="宋体" w:eastAsia="宋体" w:cs="Times New Roman"/>
          <w:color w:val="auto"/>
          <w:sz w:val="24"/>
          <w:szCs w:val="24"/>
          <w:highlight w:val="none"/>
        </w:rPr>
        <w:t xml:space="preserve">，最高得</w:t>
      </w:r>
      <w:r>
        <w:rPr>
          <w:rFonts w:ascii="宋体" w:hAnsi="宋体" w:eastAsia="宋体" w:cs="Times New Roman"/>
          <w:color w:val="auto"/>
          <w:sz w:val="24"/>
          <w:szCs w:val="24"/>
          <w:highlight w:val="none"/>
        </w:rPr>
        <w:t xml:space="preserve">6</w:t>
      </w:r>
      <w:r>
        <w:rPr>
          <w:rFonts w:hint="eastAsia" w:ascii="宋体" w:hAnsi="宋体" w:eastAsia="宋体" w:cs="Times New Roman"/>
          <w:color w:val="auto"/>
          <w:sz w:val="24"/>
          <w:szCs w:val="24"/>
          <w:highlight w:val="none"/>
        </w:rPr>
        <w:t xml:space="preserve">分。</w:t>
      </w:r>
      <w:r>
        <w:rPr>
          <w:rFonts w:hint="eastAsia" w:ascii="宋体" w:hAnsi="宋体" w:eastAsia="宋体" w:cs="宋体"/>
          <w:b w:val="0"/>
          <w:bCs w:val="0"/>
          <w:color w:val="auto"/>
          <w:sz w:val="24"/>
          <w:szCs w:val="24"/>
          <w:highlight w:val="none"/>
          <w:lang w:bidi="ar"/>
        </w:rPr>
        <w:t xml:space="preserve">【投标文件中</w:t>
      </w:r>
      <w:r>
        <w:rPr>
          <w:rFonts w:hint="eastAsia" w:ascii="宋体" w:hAnsi="宋体" w:eastAsia="宋体" w:cs="宋体"/>
          <w:b w:val="0"/>
          <w:bCs w:val="0"/>
          <w:color w:val="auto"/>
          <w:sz w:val="24"/>
          <w:szCs w:val="24"/>
          <w:highlight w:val="none"/>
        </w:rPr>
        <w:t xml:space="preserve">须</w:t>
      </w:r>
      <w:r>
        <w:rPr>
          <w:rFonts w:hint="eastAsia" w:ascii="宋体" w:hAnsi="宋体" w:eastAsia="宋体" w:cs="宋体"/>
          <w:b w:val="0"/>
          <w:bCs w:val="0"/>
          <w:color w:val="auto"/>
          <w:sz w:val="24"/>
          <w:szCs w:val="24"/>
          <w:highlight w:val="none"/>
          <w:lang w:bidi="ar"/>
        </w:rPr>
        <w:t xml:space="preserve">提供认证证书</w:t>
      </w:r>
      <w:r>
        <w:rPr>
          <w:rFonts w:hint="eastAsia" w:ascii="宋体" w:hAnsi="宋体" w:cs="宋体"/>
          <w:b w:val="0"/>
          <w:bCs w:val="0"/>
          <w:color w:val="auto"/>
          <w:sz w:val="24"/>
          <w:szCs w:val="24"/>
          <w:highlight w:val="none"/>
          <w:lang w:eastAsia="zh-CN" w:bidi="ar"/>
        </w:rPr>
        <w:t xml:space="preserve">扫描件</w:t>
      </w:r>
      <w:r>
        <w:rPr>
          <w:rFonts w:hint="eastAsia" w:ascii="宋体" w:hAnsi="宋体" w:eastAsia="宋体" w:cs="宋体"/>
          <w:b w:val="0"/>
          <w:bCs w:val="0"/>
          <w:color w:val="auto"/>
          <w:sz w:val="24"/>
          <w:szCs w:val="24"/>
          <w:highlight w:val="none"/>
          <w:lang w:bidi="ar"/>
        </w:rPr>
        <w:t xml:space="preserve">或提供该证书在中国国家认证认可监督管理委员会网站上查询的页面完整截图，否则不得分】</w:t>
      </w:r>
      <w:r/>
    </w:p>
    <w:p>
      <w:pPr>
        <w:spacing w:line="360" w:lineRule="auto"/>
        <w:rPr>
          <w:rFonts w:hint="eastAsia" w:ascii="宋体" w:hAnsi="宋体" w:eastAsia="宋体"/>
          <w:color w:val="auto"/>
          <w:sz w:val="24"/>
          <w:szCs w:val="24"/>
          <w:highlight w:val="none"/>
          <w:lang w:eastAsia="zh-CN"/>
        </w:rPr>
      </w:pP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、投标单位</w:t>
      </w:r>
      <w:r>
        <w:rPr>
          <w:rFonts w:ascii="宋体" w:hAnsi="宋体"/>
          <w:color w:val="auto"/>
          <w:sz w:val="24"/>
          <w:szCs w:val="24"/>
          <w:highlight w:val="none"/>
        </w:rPr>
        <w:t xml:space="preserve">202</w:t>
      </w:r>
      <w:r>
        <w:rPr>
          <w:rFonts w:hint="eastAsia" w:ascii="宋体" w:hAnsi="宋体"/>
          <w:color w:val="auto"/>
          <w:sz w:val="24"/>
          <w:szCs w:val="24"/>
          <w:highlight w:val="none"/>
          <w:lang w:val="en-US" w:eastAsia="zh-CN"/>
        </w:rPr>
        <w:t xml:space="preserve">3</w:t>
      </w:r>
      <w:r>
        <w:rPr>
          <w:rFonts w:hint="eastAsia" w:ascii="宋体" w:hAnsi="宋体"/>
          <w:color w:val="auto"/>
          <w:sz w:val="24"/>
          <w:szCs w:val="24"/>
          <w:highlight w:val="none"/>
        </w:rPr>
        <w:t xml:space="preserve">年</w:t>
      </w:r>
      <w:r>
        <w:rPr>
          <w:rFonts w:hint="eastAsia" w:ascii="宋体" w:hAnsi="宋体"/>
          <w:color w:val="auto"/>
          <w:sz w:val="24"/>
          <w:szCs w:val="24"/>
          <w:highlight w:val="none"/>
          <w:lang w:val="en-US" w:eastAsia="zh-CN"/>
        </w:rPr>
        <w:t xml:space="preserve">1</w:t>
      </w:r>
      <w:r>
        <w:rPr>
          <w:rFonts w:hint="eastAsia" w:ascii="宋体" w:hAnsi="宋体"/>
          <w:color w:val="auto"/>
          <w:sz w:val="24"/>
          <w:szCs w:val="24"/>
          <w:highlight w:val="none"/>
        </w:rPr>
        <w:t xml:space="preserve">月</w:t>
      </w:r>
      <w:r>
        <w:rPr>
          <w:rFonts w:ascii="宋体" w:hAnsi="宋体"/>
          <w:color w:val="auto"/>
          <w:sz w:val="24"/>
          <w:szCs w:val="24"/>
          <w:highlight w:val="none"/>
        </w:rPr>
        <w:t xml:space="preserve">1</w:t>
      </w:r>
      <w:r>
        <w:rPr>
          <w:rFonts w:hint="eastAsia" w:ascii="宋体" w:hAnsi="宋体"/>
          <w:color w:val="auto"/>
          <w:sz w:val="24"/>
          <w:szCs w:val="24"/>
          <w:highlight w:val="none"/>
        </w:rPr>
        <w:t xml:space="preserve">日至今获得过政府部门颁发的荣誉或表彰的，每提供一项得2分，最高得</w:t>
      </w:r>
      <w:r>
        <w:rPr>
          <w:rFonts w:ascii="宋体" w:hAnsi="宋体"/>
          <w:color w:val="auto"/>
          <w:sz w:val="24"/>
          <w:szCs w:val="24"/>
          <w:highlight w:val="none"/>
        </w:rPr>
        <w:t xml:space="preserve">4</w:t>
      </w:r>
      <w:r>
        <w:rPr>
          <w:rFonts w:hint="eastAsia" w:ascii="宋体" w:hAnsi="宋体"/>
          <w:color w:val="auto"/>
          <w:sz w:val="24"/>
          <w:szCs w:val="24"/>
          <w:highlight w:val="none"/>
        </w:rPr>
        <w:t xml:space="preserve">分</w:t>
      </w:r>
      <w:r>
        <w:rPr>
          <w:rFonts w:hint="eastAsia" w:ascii="宋体" w:hAnsi="宋体"/>
          <w:color w:val="auto"/>
          <w:sz w:val="24"/>
          <w:szCs w:val="24"/>
          <w:highlight w:val="none"/>
          <w:lang w:eastAsia="zh-CN"/>
        </w:rPr>
        <w:t xml:space="preserve">。</w:t>
      </w:r>
      <w:r>
        <w:rPr>
          <w:rFonts w:hint="eastAsia" w:ascii="宋体" w:hAnsi="宋体" w:eastAsia="宋体" w:cs="宋体"/>
          <w:color w:val="auto"/>
          <w:sz w:val="24"/>
          <w:szCs w:val="24"/>
          <w:highlight w:val="none"/>
        </w:rPr>
        <w:t xml:space="preserve">【投标文件中</w:t>
      </w:r>
      <w:r>
        <w:rPr>
          <w:rFonts w:hint="eastAsia" w:ascii="宋体" w:hAnsi="宋体" w:eastAsia="宋体" w:cs="宋体"/>
          <w:b w:val="0"/>
          <w:bCs w:val="0"/>
          <w:color w:val="auto"/>
          <w:sz w:val="24"/>
          <w:szCs w:val="24"/>
          <w:highlight w:val="none"/>
        </w:rPr>
        <w:t xml:space="preserve">须</w:t>
      </w:r>
      <w:r>
        <w:rPr>
          <w:rFonts w:hint="eastAsia" w:ascii="宋体" w:hAnsi="宋体" w:eastAsia="宋体" w:cs="宋体"/>
          <w:color w:val="auto"/>
          <w:sz w:val="24"/>
          <w:szCs w:val="24"/>
          <w:highlight w:val="none"/>
        </w:rPr>
        <w:t xml:space="preserve">提供获奖证书扫描件或网上公示截屏等证明材料，否则不得分】</w:t>
      </w:r>
      <w:r/>
    </w:p>
    <w:p>
      <w:pPr>
        <w:jc w:val="center"/>
        <w:rPr>
          <w:rFonts w:hint="eastAsia" w:ascii="宋体" w:hAnsi="宋体" w:cs="宋体"/>
          <w:b/>
          <w:color w:val="auto"/>
          <w:sz w:val="24"/>
          <w:szCs w:val="24"/>
          <w:highlight w:val="none"/>
        </w:rPr>
      </w:pPr>
      <w:r>
        <w:rPr>
          <w:rFonts w:hint="eastAsia" w:ascii="宋体" w:hAnsi="宋体" w:cs="宋体"/>
          <w:b/>
          <w:color w:val="auto"/>
          <w:sz w:val="24"/>
          <w:szCs w:val="24"/>
          <w:highlight w:val="none"/>
        </w:rPr>
        <w:t xml:space="preserve">（全文完）</w:t>
      </w:r>
      <w:r/>
    </w:p>
    <w:sectPr>
      <w:footnotePr/>
      <w:endnotePr/>
      <w:type w:val="nextPage"/>
      <w:pgSz w:w="11906" w:h="16838" w:orient="portrait"/>
      <w:pgMar w:top="1440" w:right="1800" w:bottom="1440" w:left="1800" w:header="907" w:footer="992" w:gutter="0"/>
      <w:cols w:num="1" w:sep="0" w:space="1701" w:equalWidth="1"/>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endnote w:type="separator" w:id="-1">
    <w:p>
      <w:pPr>
        <w:spacing w:after="0" w:line="240" w:lineRule="auto"/>
      </w:pPr>
      <w:r>
        <w:separator/>
      </w:r>
      <w:r/>
    </w:p>
  </w:endnote>
  <w:endnote w:type="continuationSeparator" w:id="0">
    <w:p>
      <w:pPr>
        <w:spacing w:after="0" w:line="240" w:lineRule="auto"/>
      </w:pPr>
      <w:r>
        <w:continuationSeparator/>
      </w: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Symbol">
    <w:panose1 w:val="05050102010706020507"/>
  </w:font>
  <w:font w:name="Wingdings">
    <w:panose1 w:val="05000000000000000000"/>
  </w:font>
  <w:font w:name="黑体">
    <w:panose1 w:val="02010609060101010101"/>
  </w:font>
  <w:font w:name="华文中宋">
    <w:panose1 w:val="02010600040101010101"/>
  </w:font>
  <w:font w:name="仿宋_GB2312">
    <w:panose1 w:val="02010609060101010101"/>
  </w:font>
  <w:font w:name="等线">
    <w:panose1 w:val="02010600030101010101"/>
  </w:font>
  <w:font w:name="微软雅黑">
    <w:panose1 w:val="020B0503020204020204"/>
  </w:font>
  <w:font w:name="Calibri">
    <w:panose1 w:val="020F0502020204030204"/>
  </w:font>
  <w:font w:name="方正大黑简体">
    <w:panose1 w:val="020B0503020202020204"/>
  </w:font>
  <w:font w:name="楷体_GB2312">
    <w:panose1 w:val="02010609060101010101"/>
  </w:font>
  <w:font w:name="Courier New">
    <w:panose1 w:val="02070309020205020404"/>
  </w:font>
  <w:font w:name="Arial">
    <w:panose1 w:val="020B0604020202020204"/>
  </w:font>
  <w:font w:name="宋体">
    <w:panose1 w:val="02010600030101010101"/>
  </w:font>
  <w:font w:name="Times New Roman">
    <w:panose1 w:val="02020603050405020304"/>
  </w:font>
  <w:font w:name="Cambria">
    <w:panose1 w:val="02040503050406030204"/>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pPr>
    <w:r>
      <mc:AlternateContent>
        <mc:Choice Requires="wpg">
          <w:drawing>
            <wp:anchor xmlns:wp="http://schemas.openxmlformats.org/drawingml/2006/wordprocessingDrawing" xmlns:wp14="http://schemas.microsoft.com/office/word/2010/wordprocessingDrawing" distT="0" distB="0" distL="114300" distR="114300" simplePos="0" relativeHeight="251659264" behindDoc="0" locked="0" layoutInCell="1" allowOverlap="1">
              <wp:simplePos x="0" y="0"/>
              <wp:positionH relativeFrom="margin">
                <wp:align>center</wp:align>
              </wp:positionH>
              <wp:positionV relativeFrom="paragraph">
                <wp:posOffset>0</wp:posOffset>
              </wp:positionV>
              <wp:extent cx="296545" cy="146050"/>
              <wp:effectExtent l="0" t="0" r="0" b="0"/>
              <wp:wrapNone/>
              <wp:docPr id="3" name="文本框 6"/>
              <wp:cNvGraphicFramePr/>
              <a:graphic xmlns:a="http://schemas.openxmlformats.org/drawingml/2006/main">
                <a:graphicData uri="http://schemas.microsoft.com/office/word/2010/wordprocessingShape">
                  <wps:wsp>
                    <wps:cNvPr id="0" name=""/>
                    <wps:cNvSpPr txBox="1"/>
                    <wps:spPr bwMode="auto">
                      <a:xfrm>
                        <a:off x="0" y="0"/>
                        <a:ext cx="296545" cy="146050"/>
                      </a:xfrm>
                      <a:prstGeom prst="rect">
                        <a:avLst/>
                      </a:prstGeom>
                      <a:noFill/>
                      <a:ln w="6350">
                        <a:noFill/>
                      </a:ln>
                    </wps:spPr>
                    <wps:style>
                      <a:lnRef idx="0">
                        <a:schemeClr val="accent1"/>
                      </a:lnRef>
                      <a:fillRef idx="0">
                        <a:schemeClr val="accent1"/>
                      </a:fillRef>
                      <a:effectRef idx="0">
                        <a:schemeClr val="accent1"/>
                      </a:effectRef>
                      <a:fontRef idx="minor">
                        <a:schemeClr val="dk1"/>
                      </a:fontRef>
                    </wps:style>
                    <wps:txbx>
                      <w:txbxContent>
                        <w:p>
                          <w:pPr>
                            <w:pStyle w:val="808"/>
                          </w:pPr>
                          <w:r>
                            <w:fldChar w:fldCharType="begin"/>
                          </w:r>
                          <w:r>
                            <w:instrText xml:space="preserve"> PAGE  \* MERGEFORMAT </w:instrText>
                          </w:r>
                          <w:r>
                            <w:fldChar w:fldCharType="separate"/>
                          </w:r>
                          <w:r>
                            <w:t xml:space="preserve">3</w:t>
                          </w:r>
                          <w:r>
                            <w:fldChar w:fldCharType="end"/>
                          </w:r>
                          <w:r/>
                        </w:p>
                      </w:txbxContent>
                    </wps:txbx>
                    <wps:bodyPr rot="0" spcFirstLastPara="0" vertOverflow="overflow" horzOverflow="overflow" vert="horz" wrap="square" lIns="0" tIns="0" rIns="0" bIns="0" numCol="1" spcCol="0" rtlCol="0" fromWordArt="0" anchor="t" anchorCtr="0" forceAA="0" compatLnSpc="1">
                      <a:noAutofit/>
                    </wps:bodyPr>
                  </wps:wsp>
                </a:graphicData>
              </a:graphic>
            </wp:anchor>
          </w:drawing>
        </mc:Choice>
        <mc:Fallback>
          <w:pict>
            <v:shape id="shape 2" o:spid="_x0000_s2" o:spt="202" type="#_x0000_t202" style="position:absolute;z-index:251659264;o:allowoverlap:true;o:allowincell:true;mso-position-horizontal-relative:margin;mso-position-horizontal:center;mso-position-vertical-relative:text;margin-top:0.0pt;mso-position-vertical:absolute;width:23.3pt;height:11.5pt;mso-wrap-distance-left:9.0pt;mso-wrap-distance-top:0.0pt;mso-wrap-distance-right:9.0pt;mso-wrap-distance-bottom:0.0pt;v-text-anchor:top;visibility:visible;" filled="f" stroked="f" strokeweight="0.50pt">
              <v:textbox inset="0,0,0,0">
                <w:txbxContent>
                  <w:p>
                    <w:pPr>
                      <w:pStyle w:val="808"/>
                    </w:pPr>
                    <w:r>
                      <w:fldChar w:fldCharType="begin"/>
                    </w:r>
                    <w:r>
                      <w:instrText xml:space="preserve"> PAGE  \* MERGEFORMAT </w:instrText>
                    </w:r>
                    <w:r>
                      <w:fldChar w:fldCharType="separate"/>
                    </w:r>
                    <w:r>
                      <w:t xml:space="preserve">3</w:t>
                    </w:r>
                    <w:r>
                      <w:fldChar w:fldCharType="end"/>
                    </w:r>
                    <w:r/>
                  </w:p>
                </w:txbxContent>
              </v:textbox>
            </v:shape>
          </w:pict>
        </mc:Fallback>
      </mc:AlternateContent>
    </w:r>
    <w: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05"/>
      </w:rPr>
      <w:framePr w:wrap="around" w:vAnchor="text" w:hAnchor="margin" w:xAlign="center" w:y="1"/>
    </w:pPr>
    <w:r>
      <w:rPr>
        <w:rStyle w:val="1005"/>
      </w:rPr>
      <w:fldChar w:fldCharType="begin"/>
    </w:r>
    <w:r>
      <w:rPr>
        <w:rStyle w:val="1005"/>
      </w:rPr>
      <w:instrText xml:space="preserve">PAGE  </w:instrText>
    </w:r>
    <w:r>
      <w:rPr>
        <w:rStyle w:val="1005"/>
      </w:rPr>
      <w:fldChar w:fldCharType="separate"/>
    </w:r>
    <w:r>
      <w:rPr>
        <w:rStyle w:val="1005"/>
      </w:rPr>
      <w:t xml:space="preserve">- 5 -</w:t>
    </w:r>
    <w:r>
      <w:rPr>
        <w:rStyle w:val="1005"/>
      </w:rPr>
      <w:fldChar w:fldCharType="end"/>
    </w:r>
    <w:r/>
  </w:p>
  <w:p>
    <w:pPr>
      <w:pStyle w:val="993"/>
      <w:jc w:val="center"/>
    </w:pPr>
    <w:r/>
    <w:r/>
  </w:p>
  <w:p>
    <w:pPr>
      <w:pStyle w:val="993"/>
    </w:pPr>
    <w:r/>
    <w: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3"/>
      <w:rPr>
        <w:rStyle w:val="1005"/>
      </w:rPr>
      <w:framePr w:wrap="around" w:vAnchor="text" w:hAnchor="margin" w:xAlign="center" w:y="1"/>
    </w:pPr>
    <w:r>
      <w:rPr>
        <w:rStyle w:val="1005"/>
      </w:rPr>
      <w:fldChar w:fldCharType="begin"/>
    </w:r>
    <w:r>
      <w:rPr>
        <w:rStyle w:val="1005"/>
      </w:rPr>
      <w:instrText xml:space="preserve">PAGE  </w:instrText>
    </w:r>
    <w:r>
      <w:rPr>
        <w:rStyle w:val="1005"/>
      </w:rPr>
      <w:fldChar w:fldCharType="separate"/>
    </w:r>
    <w:r>
      <w:rPr>
        <w:rStyle w:val="1005"/>
      </w:rPr>
      <w:t xml:space="preserve">- 7 -</w:t>
    </w:r>
    <w:r>
      <w:rPr>
        <w:rStyle w:val="1005"/>
      </w:rPr>
      <w:fldChar w:fldCharType="end"/>
    </w:r>
    <w:r/>
  </w:p>
  <w:p>
    <w:pPr>
      <w:pStyle w:val="993"/>
    </w:pPr>
    <w:r/>
    <w:r/>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footnote w:type="separator" w:id="-1">
    <w:p>
      <w:pPr>
        <w:spacing w:after="0" w:line="240" w:lineRule="auto"/>
      </w:pPr>
      <w:r>
        <w:separator/>
      </w:r>
      <w:r/>
    </w:p>
  </w:footnote>
  <w:footnote w:type="continuationSeparator" w:id="0">
    <w:p>
      <w:pPr>
        <w:spacing w:after="0" w:line="240" w:lineRule="auto"/>
      </w:pPr>
      <w:r>
        <w:continuationSeparator/>
      </w:r>
      <w:r/>
    </w:p>
  </w:footnote>
</w:footnotes>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810"/>
      <w:jc w:val="both"/>
      <w:tabs>
        <w:tab w:val="center" w:pos="4153" w:leader="none"/>
        <w:tab w:val="clear" w:pos="7143" w:leader="none"/>
        <w:tab w:val="right" w:pos="8306" w:leader="none"/>
        <w:tab w:val="clear" w:pos="14287" w:leader="none"/>
      </w:tabs>
      <w:rPr>
        <w:rFonts w:eastAsia="华文中宋"/>
        <w:u w:val="single"/>
      </w:rPr>
      <w:pBdr>
        <w:bottom w:val="single" w:color="auto" w:sz="4" w:space="1"/>
      </w:pBdr>
    </w:pPr>
    <w:r>
      <w:rPr>
        <w:rFonts w:hint="eastAsia" w:ascii="华文中宋" w:hAnsi="华文中宋" w:eastAsia="华文中宋"/>
        <w:b/>
        <w:sz w:val="24"/>
        <w:szCs w:val="24"/>
      </w:rPr>
      <w:t xml:space="preserve">政府采购文件                        </w:t>
    </w:r>
    <w:r>
      <w:rPr>
        <w:rFonts w:hint="eastAsia" w:ascii="华文中宋" w:hAnsi="华文中宋" w:eastAsia="华文中宋"/>
        <w:b/>
        <w:sz w:val="24"/>
        <w:szCs w:val="24"/>
        <w:lang w:val="en-US" w:eastAsia="zh-CN"/>
      </w:rPr>
      <w:t xml:space="preserve">  </w:t>
    </w:r>
    <w:r>
      <w:rPr>
        <w:rFonts w:hint="eastAsia" w:ascii="华文中宋" w:hAnsi="华文中宋" w:eastAsia="华文中宋"/>
        <w:b/>
        <w:sz w:val="24"/>
        <w:szCs w:val="24"/>
      </w:rPr>
      <w:t xml:space="preserve">          </w:t>
    </w:r>
    <w:r>
      <w:fldChar w:fldCharType="begin"/>
    </w:r>
    <w:r>
      <w:instrText xml:space="preserve"> INCLUDEPICTURE "H:\\WeChat\\WeChat Files\\szzhaigh\\FileStorage\\File\\Library\\Containers\\com.te</w:instrText>
    </w:r>
    <w:r>
      <w:instrText xml:space="preserve">ncent.xinWeChat\\Data\\Library\\Application Support\\com.tencent.xinWeChat\\2.0b4.0.9\\ec1d17667713161eee012a9e091ef06f\\Message\\MessageTemp\\65f3152aa35b35ce8663459579bf4d6c\\Documents\\WeChat Files\\michael__huang\\Documents\\WeChat Files\\wxid_9g01qrxx</w:instrText>
    </w:r>
    <w:r>
      <w:instrText xml:space="preserve">lobz21\\FileStorage\\Administrator\\Documents\\WeChat Files\\zhu363494\\FileStorage\\Microsoft\\Windows\\Microsoft\\Windows\\Microsoft\\Windows\\Microsoft\\Windows\\Microsoft\\Windows\\Temporary%20Internet%20Files\\ksohtml\\wpsAEAB.tmp.png" \* MERGEFORMAT </w:instrText>
    </w:r>
    <w:r>
      <w:fldChar w:fldCharType="separate"/>
    </w:r>
    <w:r>
      <mc:AlternateContent>
        <mc:Choice Requires="wpg">
          <w:drawing>
            <wp:inline xmlns:wp="http://schemas.openxmlformats.org/drawingml/2006/wordprocessingDrawing" distT="0" distB="0" distL="0" distR="0">
              <wp:extent cx="1729105" cy="258445"/>
              <wp:effectExtent l="0" t="0" r="4445" b="8255"/>
              <wp:docPr id="1" name="图片 1" descr="wpsAEA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图片 1" descr="wpsAEAB"/>
                      <pic:cNvPicPr>
                        <a:picLocks noChangeAspect="1"/>
                      </pic:cNvPicPr>
                      <pic:nvPr/>
                    </pic:nvPicPr>
                    <pic:blipFill>
                      <a:blip r:embed="rId1"/>
                      <a:stretch/>
                    </pic:blipFill>
                    <pic:spPr bwMode="auto">
                      <a:xfrm>
                        <a:off x="0" y="0"/>
                        <a:ext cx="1729105" cy="258445"/>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0" o:spid="_x0000_s0" type="#_x0000_t75" style="width:136.2pt;height:20.3pt;mso-wrap-distance-left:0.0pt;mso-wrap-distance-top:0.0pt;mso-wrap-distance-right:0.0pt;mso-wrap-distance-bottom:0.0pt;" stroked="f">
              <v:path textboxrect="0,0,0,0"/>
              <v:imagedata r:id="rId1" o:title=""/>
            </v:shape>
          </w:pict>
        </mc:Fallback>
      </mc:AlternateContent>
    </w:r>
    <w:r>
      <w:fldChar w:fldCharType="end"/>
    </w:r>
    <w:r/>
  </w:p>
  <w:p>
    <w:pPr>
      <w:pStyle w:val="810"/>
    </w:pPr>
    <w:r/>
    <w:r/>
  </w:p>
</w:hdr>
</file>

<file path=word/header2.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a="http://schemas.openxmlformats.org/drawingml/2006/main" xmlns:wps="http://schemas.microsoft.com/office/word/2010/wordprocessingShape" mc:Ignorable="w14 w15 wp14">
  <w:p>
    <w:pPr>
      <w:pStyle w:val="996"/>
      <w:pBdr>
        <w:bottom w:val="single" w:color="000000" w:sz="4" w:space="0"/>
      </w:pBdr>
    </w:pPr>
    <w:r>
      <w:rPr>
        <w:rFonts w:hint="eastAsia" w:ascii="华文中宋" w:hAnsi="华文中宋" w:eastAsia="华文中宋"/>
        <w:b/>
        <w:bCs/>
        <w:sz w:val="24"/>
        <w:szCs w:val="24"/>
      </w:rPr>
      <w:t xml:space="preserve">政府采购文件                                  </w:t>
    </w:r>
    <w:r>
      <w:fldChar w:fldCharType="begin"/>
    </w:r>
    <w:r>
      <w:instrText xml:space="preserve"> INCLUDEPICTURE "../../../Documents/WeChat%20Files/</w:instrText>
    </w:r>
    <w:r>
      <w:instrText xml:space="preserve">wxid_9g01qrxxlobz21/FileStorage/Administrator/Documents/WeChat%20Files/zhu363494/FileStorage/Microsoft/Windows/Microsoft/Windows/Microsoft/Windows/Microsoft/Windows/Microsoft/Windows/Temporary%2520Internet%2520Files/ksohtml/wpsAEAB.tmp.png" \* MERGEFORMAT </w:instrText>
    </w:r>
    <w:r>
      <w:fldChar w:fldCharType="separate"/>
    </w:r>
    <w:r>
      <mc:AlternateContent>
        <mc:Choice Requires="wpg">
          <w:drawing>
            <wp:inline xmlns:wp="http://schemas.openxmlformats.org/drawingml/2006/wordprocessingDrawing" distT="0" distB="0" distL="0" distR="0">
              <wp:extent cx="1732915" cy="258445"/>
              <wp:effectExtent l="0" t="0" r="0" b="0"/>
              <wp:docPr id="2" name="图片 2"/>
              <wp:cNvGraphicFramePr/>
              <a:graphic xmlns:a="http://schemas.openxmlformats.org/drawingml/2006/main">
                <a:graphicData uri="http://schemas.openxmlformats.org/drawingml/2006/picture">
                  <pic:pic xmlns:pic="http://schemas.openxmlformats.org/drawingml/2006/picture">
                    <pic:nvPicPr>
                      <pic:cNvPr id="2" name="图片 2"/>
                      <pic:cNvPicPr/>
                      <pic:nvPr/>
                    </pic:nvPicPr>
                    <pic:blipFill>
                      <a:blip r:embed="rId1"/>
                      <a:stretch/>
                    </pic:blipFill>
                    <pic:spPr bwMode="auto">
                      <a:xfrm>
                        <a:off x="0" y="0"/>
                        <a:ext cx="1733320" cy="258538"/>
                      </a:xfrm>
                      <a:prstGeom prst="rect">
                        <a:avLst/>
                      </a:prstGeom>
                      <a:noFill/>
                      <a:ln>
                        <a:noFill/>
                      </a:ln>
                    </pic:spPr>
                  </pic:pic>
                </a:graphicData>
              </a:graphic>
            </wp:inline>
          </w:drawing>
        </mc:Choice>
        <mc:Fallback>
          <w:pict>
            <v:shapetype type="#_x0000_t75" o:spt="75" coordsize="21600,21600" o:preferrelative="t" path="m@4@5l@4@11@9@11@9@5xe">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shapetype>
            <v:shape id="_x0000_i1" o:spid="_x0000_s1" type="#_x0000_t75" style="width:136.4pt;height:20.3pt;mso-wrap-distance-left:0.0pt;mso-wrap-distance-top:0.0pt;mso-wrap-distance-right:0.0pt;mso-wrap-distance-bottom:0.0pt;" stroked="f">
              <v:path textboxrect="0,0,0,0"/>
              <v:imagedata r:id="rId1" o:title=""/>
            </v:shape>
          </w:pict>
        </mc:Fallback>
      </mc:AlternateContent>
    </w:r>
    <w:r>
      <w:fldChar w:fldCharType="end"/>
    </w:r>
    <w:r>
      <w:rPr>
        <w:rFonts w:hint="eastAsia" w:ascii="华文中宋" w:hAnsi="华文中宋" w:eastAsia="华文中宋"/>
        <w:b/>
        <w:bCs/>
        <w:sz w:val="24"/>
        <w:szCs w:val="24"/>
      </w:rPr>
      <w:t xml:space="preserve">                             </w:t>
    </w:r>
    <w: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1">
    <w:multiLevelType w:val="hybridMultilevel"/>
    <w:lvl w:ilvl="0">
      <w:start w:val="4"/>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2">
    <w:multiLevelType w:val="hybridMultilevel"/>
    <w:lvl w:ilvl="0">
      <w:start w:val="2"/>
      <w:numFmt w:val="decimal"/>
      <w:isLgl w:val="false"/>
      <w:suff w:val="nothing"/>
      <w:lvlText w:val="%1、"/>
      <w:lvlJc w:val="left"/>
      <w:p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3">
    <w:multiLevelType w:val="hybridMultilevel"/>
    <w:lvl w:ilvl="0">
      <w:start w:val="1"/>
      <w:numFmt w:val="decimal"/>
      <w:isLgl w:val="false"/>
      <w:suff w:val="tab"/>
      <w:lvlText w:val="%1."/>
      <w:lvlJc w:val="left"/>
      <w:pPr>
        <w:tabs>
          <w:tab w:val="left" w:pos="312" w:leader="none"/>
        </w:tabs>
      </w:pPr>
    </w:lvl>
    <w:lvl w:ilvl="1">
      <w:start w:val="1"/>
      <w:numFmt w:val="bullet"/>
      <w:isLgl w:val="false"/>
      <w:suff w:val="tab"/>
      <w:lvlText w:val="o"/>
      <w:lvlJc w:val="left"/>
      <w:pPr>
        <w:ind w:left="1440" w:hanging="360"/>
      </w:pPr>
      <w:rPr>
        <w:rFonts w:ascii="Courier New" w:hAnsi="Courier New" w:eastAsia="Courier New" w:cs="Courier New"/>
      </w:rPr>
    </w:lvl>
    <w:lvl w:ilvl="2">
      <w:start w:val="1"/>
      <w:numFmt w:val="bullet"/>
      <w:isLgl w:val="false"/>
      <w:suff w:val="tab"/>
      <w:lvlText w:val="§"/>
      <w:lvlJc w:val="left"/>
      <w:pPr>
        <w:ind w:left="2160" w:hanging="360"/>
      </w:pPr>
      <w:rPr>
        <w:rFonts w:ascii="Wingdings" w:hAnsi="Wingdings" w:eastAsia="Wingdings" w:cs="Wingdings"/>
      </w:rPr>
    </w:lvl>
    <w:lvl w:ilvl="3">
      <w:start w:val="1"/>
      <w:numFmt w:val="bullet"/>
      <w:isLgl w:val="false"/>
      <w:suff w:val="tab"/>
      <w:lvlText w:val="·"/>
      <w:lvlJc w:val="left"/>
      <w:pPr>
        <w:ind w:left="2880" w:hanging="360"/>
      </w:pPr>
      <w:rPr>
        <w:rFonts w:ascii="Symbol" w:hAnsi="Symbol" w:eastAsia="Symbol" w:cs="Symbol"/>
      </w:rPr>
    </w:lvl>
    <w:lvl w:ilvl="4">
      <w:start w:val="1"/>
      <w:numFmt w:val="bullet"/>
      <w:isLgl w:val="false"/>
      <w:suff w:val="tab"/>
      <w:lvlText w:val="o"/>
      <w:lvlJc w:val="left"/>
      <w:pPr>
        <w:ind w:left="3600" w:hanging="360"/>
      </w:pPr>
      <w:rPr>
        <w:rFonts w:ascii="Courier New" w:hAnsi="Courier New" w:eastAsia="Courier New" w:cs="Courier New"/>
      </w:rPr>
    </w:lvl>
    <w:lvl w:ilvl="5">
      <w:start w:val="1"/>
      <w:numFmt w:val="bullet"/>
      <w:isLgl w:val="false"/>
      <w:suff w:val="tab"/>
      <w:lvlText w:val="§"/>
      <w:lvlJc w:val="left"/>
      <w:pPr>
        <w:ind w:left="4320" w:hanging="360"/>
      </w:pPr>
      <w:rPr>
        <w:rFonts w:ascii="Wingdings" w:hAnsi="Wingdings" w:eastAsia="Wingdings" w:cs="Wingdings"/>
      </w:rPr>
    </w:lvl>
    <w:lvl w:ilvl="6">
      <w:start w:val="1"/>
      <w:numFmt w:val="bullet"/>
      <w:isLgl w:val="false"/>
      <w:suff w:val="tab"/>
      <w:lvlText w:val="·"/>
      <w:lvlJc w:val="left"/>
      <w:pPr>
        <w:ind w:left="5040" w:hanging="360"/>
      </w:pPr>
      <w:rPr>
        <w:rFonts w:ascii="Symbol" w:hAnsi="Symbol" w:eastAsia="Symbol" w:cs="Symbol"/>
      </w:rPr>
    </w:lvl>
    <w:lvl w:ilvl="7">
      <w:start w:val="1"/>
      <w:numFmt w:val="bullet"/>
      <w:isLgl w:val="false"/>
      <w:suff w:val="tab"/>
      <w:lvlText w:val="o"/>
      <w:lvlJc w:val="left"/>
      <w:pPr>
        <w:ind w:left="5760" w:hanging="360"/>
      </w:pPr>
      <w:rPr>
        <w:rFonts w:ascii="Courier New" w:hAnsi="Courier New" w:eastAsia="Courier New" w:cs="Courier New"/>
      </w:rPr>
    </w:lvl>
    <w:lvl w:ilvl="8">
      <w:start w:val="1"/>
      <w:numFmt w:val="bullet"/>
      <w:isLgl w:val="false"/>
      <w:suff w:val="tab"/>
      <w:lvlText w:val="§"/>
      <w:lvlJc w:val="left"/>
      <w:pPr>
        <w:ind w:left="6480" w:hanging="360"/>
      </w:pPr>
      <w:rPr>
        <w:rFonts w:ascii="Wingdings" w:hAnsi="Wingdings" w:eastAsia="Wingdings" w:cs="Wingdings"/>
      </w:rPr>
    </w:lvl>
  </w:abstractNum>
  <w:abstractNum w:abstractNumId="4">
    <w:multiLevelType w:val="hybridMultilevel"/>
    <w:lvl w:ilvl="0">
      <w:start w:val="1"/>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abstractNum w:abstractNumId="5">
    <w:multiLevelType w:val="hybridMultilevel"/>
    <w:lvl w:ilvl="0">
      <w:start w:val="2"/>
      <w:numFmt w:val="chineseCounting"/>
      <w:isLgl w:val="false"/>
      <w:suff w:val="nothing"/>
      <w:lvlText w:val="（%1）"/>
      <w:lvlJc w:val="left"/>
      <w:pPr/>
      <w:rPr>
        <w:rFonts w:hint="eastAsia"/>
      </w:rPr>
    </w:lvl>
    <w:lvl w:ilvl="1">
      <w:start w:val="1"/>
      <w:numFmt w:val="bullet"/>
      <w:isLgl w:val="false"/>
      <w:suff w:val="tab"/>
      <w:lvlText w:val="o"/>
      <w:lvlJc w:val="left"/>
      <w:pPr>
        <w:ind w:left="1440" w:hanging="360"/>
      </w:pPr>
      <w:rPr>
        <w:rFonts w:hint="default" w:ascii="Courier New" w:hAnsi="Courier New" w:eastAsia="Courier New" w:cs="Courier New"/>
      </w:rPr>
    </w:lvl>
    <w:lvl w:ilvl="2">
      <w:start w:val="1"/>
      <w:numFmt w:val="bullet"/>
      <w:isLgl w:val="false"/>
      <w:suff w:val="tab"/>
      <w:lvlText w:val="§"/>
      <w:lvlJc w:val="left"/>
      <w:pPr>
        <w:ind w:left="2160" w:hanging="360"/>
      </w:pPr>
      <w:rPr>
        <w:rFonts w:hint="default" w:ascii="Wingdings" w:hAnsi="Wingdings" w:eastAsia="Wingdings" w:cs="Wingdings"/>
      </w:rPr>
    </w:lvl>
    <w:lvl w:ilvl="3">
      <w:start w:val="1"/>
      <w:numFmt w:val="bullet"/>
      <w:isLgl w:val="false"/>
      <w:suff w:val="tab"/>
      <w:lvlText w:val="·"/>
      <w:lvlJc w:val="left"/>
      <w:pPr>
        <w:ind w:left="2880" w:hanging="360"/>
      </w:pPr>
      <w:rPr>
        <w:rFonts w:hint="default" w:ascii="Symbol" w:hAnsi="Symbol" w:eastAsia="Symbol" w:cs="Symbol"/>
      </w:rPr>
    </w:lvl>
    <w:lvl w:ilvl="4">
      <w:start w:val="1"/>
      <w:numFmt w:val="bullet"/>
      <w:isLgl w:val="false"/>
      <w:suff w:val="tab"/>
      <w:lvlText w:val="o"/>
      <w:lvlJc w:val="left"/>
      <w:pPr>
        <w:ind w:left="3600" w:hanging="360"/>
      </w:pPr>
      <w:rPr>
        <w:rFonts w:hint="default" w:ascii="Courier New" w:hAnsi="Courier New" w:eastAsia="Courier New" w:cs="Courier New"/>
      </w:rPr>
    </w:lvl>
    <w:lvl w:ilvl="5">
      <w:start w:val="1"/>
      <w:numFmt w:val="bullet"/>
      <w:isLgl w:val="false"/>
      <w:suff w:val="tab"/>
      <w:lvlText w:val="§"/>
      <w:lvlJc w:val="left"/>
      <w:pPr>
        <w:ind w:left="4320" w:hanging="360"/>
      </w:pPr>
      <w:rPr>
        <w:rFonts w:hint="default" w:ascii="Wingdings" w:hAnsi="Wingdings" w:eastAsia="Wingdings" w:cs="Wingdings"/>
      </w:rPr>
    </w:lvl>
    <w:lvl w:ilvl="6">
      <w:start w:val="1"/>
      <w:numFmt w:val="bullet"/>
      <w:isLgl w:val="false"/>
      <w:suff w:val="tab"/>
      <w:lvlText w:val="·"/>
      <w:lvlJc w:val="left"/>
      <w:pPr>
        <w:ind w:left="5040" w:hanging="360"/>
      </w:pPr>
      <w:rPr>
        <w:rFonts w:hint="default" w:ascii="Symbol" w:hAnsi="Symbol" w:eastAsia="Symbol" w:cs="Symbol"/>
      </w:rPr>
    </w:lvl>
    <w:lvl w:ilvl="7">
      <w:start w:val="1"/>
      <w:numFmt w:val="bullet"/>
      <w:isLgl w:val="false"/>
      <w:suff w:val="tab"/>
      <w:lvlText w:val="o"/>
      <w:lvlJc w:val="left"/>
      <w:pPr>
        <w:ind w:left="5760" w:hanging="360"/>
      </w:pPr>
      <w:rPr>
        <w:rFonts w:hint="default" w:ascii="Courier New" w:hAnsi="Courier New" w:eastAsia="Courier New" w:cs="Courier New"/>
      </w:rPr>
    </w:lvl>
    <w:lvl w:ilvl="8">
      <w:start w:val="1"/>
      <w:numFmt w:val="bullet"/>
      <w:isLgl w:val="false"/>
      <w:suff w:val="tab"/>
      <w:lvlText w:val="§"/>
      <w:lvlJc w:val="left"/>
      <w:pPr>
        <w:ind w:left="6480" w:hanging="360"/>
      </w:pPr>
      <w:rPr>
        <w:rFonts w:hint="default" w:ascii="Wingdings" w:hAnsi="Wingdings" w:eastAsia="Wingdings" w:cs="Wingdings"/>
      </w:rPr>
    </w:lvl>
  </w:abstractNum>
  <w:num w:numId="1">
    <w:abstractNumId w:val="2"/>
  </w:num>
  <w:num w:numId="2">
    <w:abstractNumId w:val="3"/>
  </w:num>
  <w:num w:numId="3">
    <w:abstractNumId w:val="0"/>
  </w:num>
  <w:num w:numId="4">
    <w:abstractNumId w:val="4"/>
  </w:num>
  <w:num w:numId="5">
    <w:abstractNumId w:val="5"/>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trackRevisions w:val="false"/>
  <w:defaultTabStop w:val="420"/>
  <w:characterSpacingControl w:val="doNotCompress"/>
  <w:footnotePr>
    <w:pos w:val="pageBottom"/>
    <w:numFmt w:val="decimal"/>
    <w:numStart w:val="1"/>
    <w:numRestart w:val="continuous"/>
    <w:footnote w:id="-1"/>
    <w:footnote w:id="0"/>
  </w:footnotePr>
  <w:endnotePr>
    <w:pos w:val="docEnd"/>
    <w:numFmt w:val="lowerRoman"/>
    <w:numStart w:val="1"/>
    <w:numRestart w:val="continuous"/>
    <w:endnote w:id="-1"/>
    <w:endnote w:id="0"/>
  </w:endnotePr>
  <w:compat>
    <w:balanceSingleByteDoubleByteWidth w:val="true"/>
    <w:ulTrailSpace w:val="true"/>
    <w:useFELayout w:val="true"/>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m:mathPr>
    <m:brkBin m:val="before"/>
    <m:brkBinSub m:val="--"/>
    <m:smallFrac m:val="false"/>
    <m:dispDef m:val="true"/>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hint="default" w:ascii="Times New Roman" w:hAnsi="Times New Roman" w:eastAsia="宋体" w:cs="Times New Roman"/>
      </w:rPr>
    </w:rPrDefault>
    <w:pPrDefault>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5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styleId="783" w:default="1">
    <w:name w:val="Normal"/>
    <w:next w:val="786"/>
    <w:link w:val="1040"/>
    <w:uiPriority w:val="0"/>
    <w:qFormat/>
    <w:pPr>
      <w:jc w:val="both"/>
      <w:widowControl w:val="off"/>
    </w:pPr>
    <w:rPr>
      <w:rFonts w:hint="default" w:ascii="Times New Roman" w:hAnsi="Times New Roman" w:eastAsia="宋体" w:cs="Times New Roman"/>
      <w:sz w:val="21"/>
      <w:szCs w:val="22"/>
      <w:lang w:val="en-US" w:eastAsia="zh-CN" w:bidi="ar-SA"/>
    </w:rPr>
  </w:style>
  <w:style w:type="paragraph" w:styleId="784">
    <w:name w:val="Heading 1"/>
    <w:basedOn w:val="783"/>
    <w:next w:val="783"/>
    <w:link w:val="831"/>
    <w:uiPriority w:val="9"/>
    <w:qFormat/>
    <w:pPr>
      <w:keepLines/>
      <w:keepNext/>
      <w:spacing w:before="480" w:after="200"/>
      <w:outlineLvl w:val="0"/>
    </w:pPr>
    <w:rPr>
      <w:rFonts w:ascii="Arial" w:hAnsi="Arial" w:eastAsia="Arial" w:cs="Arial"/>
      <w:sz w:val="40"/>
      <w:szCs w:val="40"/>
    </w:rPr>
  </w:style>
  <w:style w:type="paragraph" w:styleId="785">
    <w:name w:val="Heading 2"/>
    <w:basedOn w:val="783"/>
    <w:next w:val="783"/>
    <w:link w:val="832"/>
    <w:uiPriority w:val="9"/>
    <w:unhideWhenUsed/>
    <w:qFormat/>
    <w:pPr>
      <w:keepLines/>
      <w:keepNext/>
      <w:spacing w:before="360" w:after="200"/>
      <w:outlineLvl w:val="1"/>
    </w:pPr>
    <w:rPr>
      <w:rFonts w:ascii="Arial" w:hAnsi="Arial" w:eastAsia="Arial" w:cs="Arial"/>
      <w:sz w:val="34"/>
    </w:rPr>
  </w:style>
  <w:style w:type="paragraph" w:styleId="786">
    <w:name w:val="Heading 3"/>
    <w:basedOn w:val="783"/>
    <w:next w:val="783"/>
    <w:link w:val="833"/>
    <w:uiPriority w:val="9"/>
    <w:unhideWhenUsed/>
    <w:qFormat/>
    <w:pPr>
      <w:keepLines/>
      <w:keepNext/>
      <w:spacing w:before="320" w:after="200"/>
      <w:outlineLvl w:val="2"/>
    </w:pPr>
    <w:rPr>
      <w:rFonts w:ascii="Arial" w:hAnsi="Arial" w:eastAsia="Arial" w:cs="Arial"/>
      <w:sz w:val="30"/>
      <w:szCs w:val="30"/>
    </w:rPr>
  </w:style>
  <w:style w:type="paragraph" w:styleId="787">
    <w:name w:val="Heading 4"/>
    <w:basedOn w:val="783"/>
    <w:next w:val="783"/>
    <w:link w:val="834"/>
    <w:uiPriority w:val="9"/>
    <w:unhideWhenUsed/>
    <w:qFormat/>
    <w:pPr>
      <w:keepLines/>
      <w:keepNext/>
      <w:spacing w:before="320" w:after="200"/>
      <w:outlineLvl w:val="3"/>
    </w:pPr>
    <w:rPr>
      <w:rFonts w:ascii="Arial" w:hAnsi="Arial" w:eastAsia="Arial" w:cs="Arial"/>
      <w:b/>
      <w:bCs/>
      <w:sz w:val="26"/>
      <w:szCs w:val="26"/>
    </w:rPr>
  </w:style>
  <w:style w:type="paragraph" w:styleId="788">
    <w:name w:val="Heading 5"/>
    <w:basedOn w:val="783"/>
    <w:next w:val="783"/>
    <w:link w:val="835"/>
    <w:uiPriority w:val="9"/>
    <w:unhideWhenUsed/>
    <w:qFormat/>
    <w:pPr>
      <w:keepLines/>
      <w:keepNext/>
      <w:spacing w:before="320" w:after="200"/>
      <w:outlineLvl w:val="4"/>
    </w:pPr>
    <w:rPr>
      <w:rFonts w:ascii="Arial" w:hAnsi="Arial" w:eastAsia="Arial" w:cs="Arial"/>
      <w:b/>
      <w:bCs/>
      <w:sz w:val="24"/>
      <w:szCs w:val="24"/>
    </w:rPr>
  </w:style>
  <w:style w:type="paragraph" w:styleId="789">
    <w:name w:val="Heading 6"/>
    <w:basedOn w:val="783"/>
    <w:next w:val="783"/>
    <w:link w:val="836"/>
    <w:uiPriority w:val="9"/>
    <w:unhideWhenUsed/>
    <w:qFormat/>
    <w:pPr>
      <w:keepLines/>
      <w:keepNext/>
      <w:spacing w:before="320" w:after="200"/>
      <w:outlineLvl w:val="5"/>
    </w:pPr>
    <w:rPr>
      <w:rFonts w:ascii="Arial" w:hAnsi="Arial" w:eastAsia="Arial" w:cs="Arial"/>
      <w:b/>
      <w:bCs/>
      <w:sz w:val="22"/>
      <w:szCs w:val="22"/>
    </w:rPr>
  </w:style>
  <w:style w:type="paragraph" w:styleId="790">
    <w:name w:val="Heading 7"/>
    <w:basedOn w:val="783"/>
    <w:next w:val="783"/>
    <w:link w:val="837"/>
    <w:uiPriority w:val="9"/>
    <w:unhideWhenUsed/>
    <w:qFormat/>
    <w:pPr>
      <w:keepLines/>
      <w:keepNext/>
      <w:spacing w:before="320" w:after="200"/>
      <w:outlineLvl w:val="6"/>
    </w:pPr>
    <w:rPr>
      <w:rFonts w:ascii="Arial" w:hAnsi="Arial" w:eastAsia="Arial" w:cs="Arial"/>
      <w:b/>
      <w:bCs/>
      <w:i/>
      <w:iCs/>
      <w:sz w:val="22"/>
      <w:szCs w:val="22"/>
    </w:rPr>
  </w:style>
  <w:style w:type="paragraph" w:styleId="791">
    <w:name w:val="Heading 8"/>
    <w:basedOn w:val="783"/>
    <w:next w:val="783"/>
    <w:link w:val="838"/>
    <w:uiPriority w:val="9"/>
    <w:unhideWhenUsed/>
    <w:qFormat/>
    <w:pPr>
      <w:keepLines/>
      <w:keepNext/>
      <w:spacing w:before="320" w:after="200"/>
      <w:outlineLvl w:val="7"/>
    </w:pPr>
    <w:rPr>
      <w:rFonts w:ascii="Arial" w:hAnsi="Arial" w:eastAsia="Arial" w:cs="Arial"/>
      <w:i/>
      <w:iCs/>
      <w:sz w:val="22"/>
      <w:szCs w:val="22"/>
    </w:rPr>
  </w:style>
  <w:style w:type="paragraph" w:styleId="792">
    <w:name w:val="Heading 9"/>
    <w:basedOn w:val="783"/>
    <w:next w:val="783"/>
    <w:link w:val="839"/>
    <w:uiPriority w:val="9"/>
    <w:unhideWhenUsed/>
    <w:qFormat/>
    <w:pPr>
      <w:keepLines/>
      <w:keepNext/>
      <w:spacing w:before="320" w:after="200"/>
      <w:outlineLvl w:val="8"/>
    </w:pPr>
    <w:rPr>
      <w:rFonts w:ascii="Arial" w:hAnsi="Arial" w:eastAsia="Arial" w:cs="Arial"/>
      <w:i/>
      <w:iCs/>
      <w:sz w:val="21"/>
      <w:szCs w:val="21"/>
    </w:rPr>
  </w:style>
  <w:style w:type="character" w:styleId="793" w:default="1">
    <w:name w:val="Default Paragraph Font"/>
    <w:uiPriority w:val="1"/>
    <w:semiHidden/>
    <w:unhideWhenUsed/>
    <w:qFormat/>
  </w:style>
  <w:style w:type="table" w:styleId="794" w:default="1">
    <w:name w:val="Normal Table"/>
    <w:uiPriority w:val="99"/>
    <w:semiHidden/>
    <w:unhideWhenUsed/>
    <w:qFormat/>
    <w:tblPr>
      <w:tblCellMar>
        <w:left w:w="108" w:type="dxa"/>
        <w:top w:w="0" w:type="dxa"/>
        <w:right w:w="108" w:type="dxa"/>
        <w:bottom w:w="0" w:type="dxa"/>
      </w:tblCellMar>
    </w:tblPr>
  </w:style>
  <w:style w:type="paragraph" w:styleId="795">
    <w:name w:val="toc 7"/>
    <w:basedOn w:val="784"/>
    <w:next w:val="783"/>
    <w:uiPriority w:val="39"/>
    <w:unhideWhenUsed/>
    <w:qFormat/>
    <w:pPr>
      <w:ind w:left="1701" w:right="0" w:firstLine="0"/>
      <w:spacing w:after="57"/>
    </w:pPr>
  </w:style>
  <w:style w:type="paragraph" w:styleId="796">
    <w:name w:val="Normal Indent"/>
    <w:basedOn w:val="783"/>
    <w:next w:val="783"/>
    <w:uiPriority w:val="0"/>
    <w:qFormat/>
    <w:pPr>
      <w:ind w:left="420" w:firstLine="4772"/>
    </w:pPr>
  </w:style>
  <w:style w:type="paragraph" w:styleId="797">
    <w:name w:val="Caption"/>
    <w:basedOn w:val="783"/>
    <w:next w:val="783"/>
    <w:uiPriority w:val="35"/>
    <w:semiHidden/>
    <w:unhideWhenUsed/>
    <w:qFormat/>
    <w:pPr>
      <w:spacing w:line="276" w:lineRule="auto"/>
    </w:pPr>
    <w:rPr>
      <w:b/>
      <w:bCs/>
      <w:color w:val="4f81bd" w:themeColor="accent1"/>
      <w:sz w:val="18"/>
      <w:szCs w:val="18"/>
      <w14:textFill>
        <w14:solidFill>
          <w14:schemeClr w14:val="accent1"/>
        </w14:solidFill>
      </w14:textFill>
    </w:rPr>
  </w:style>
  <w:style w:type="paragraph" w:styleId="798">
    <w:name w:val="annotation text"/>
    <w:basedOn w:val="783"/>
    <w:uiPriority w:val="99"/>
    <w:semiHidden/>
    <w:unhideWhenUsed/>
    <w:qFormat/>
    <w:pPr>
      <w:jc w:val="left"/>
    </w:pPr>
  </w:style>
  <w:style w:type="paragraph" w:styleId="799">
    <w:name w:val="Body Text"/>
    <w:basedOn w:val="783"/>
    <w:next w:val="800"/>
    <w:uiPriority w:val="0"/>
    <w:semiHidden/>
    <w:qFormat/>
    <w:rPr>
      <w:rFonts w:ascii="宋体" w:hAnsi="宋体" w:eastAsia="宋体" w:cs="宋体"/>
      <w:sz w:val="23"/>
      <w:szCs w:val="23"/>
    </w:rPr>
  </w:style>
  <w:style w:type="paragraph" w:styleId="800" w:customStyle="1">
    <w:name w:val="Default"/>
    <w:next w:val="783"/>
    <w:uiPriority w:val="0"/>
    <w:qFormat/>
    <w:pPr>
      <w:jc w:val="both"/>
      <w:spacing w:line="360" w:lineRule="auto"/>
      <w:widowControl w:val="off"/>
    </w:pPr>
    <w:rPr>
      <w:rFonts w:hint="default" w:ascii="宋体" w:hAnsi="Times New Roman" w:eastAsia="宋体" w:cs="宋体"/>
      <w:color w:val="000000"/>
      <w:sz w:val="24"/>
      <w:szCs w:val="24"/>
      <w:lang w:val="en-US" w:eastAsia="zh-CN" w:bidi="ar-SA"/>
    </w:rPr>
  </w:style>
  <w:style w:type="paragraph" w:styleId="801">
    <w:name w:val="Body Text Indent"/>
    <w:basedOn w:val="783"/>
    <w:next w:val="783"/>
    <w:uiPriority w:val="99"/>
    <w:unhideWhenUsed/>
    <w:qFormat/>
    <w:pPr>
      <w:ind w:left="420"/>
      <w:spacing w:after="120"/>
    </w:pPr>
  </w:style>
  <w:style w:type="paragraph" w:styleId="802">
    <w:name w:val="List 2"/>
    <w:basedOn w:val="784"/>
    <w:next w:val="795"/>
    <w:uiPriority w:val="0"/>
    <w:qFormat/>
    <w:pPr>
      <w:ind w:left="100" w:firstLine="3640"/>
      <w:spacing w:before="0" w:after="0" w:line="240" w:lineRule="auto"/>
    </w:pPr>
    <w:rPr>
      <w:rFonts w:ascii="Times New Roman" w:hAnsi="Times New Roman" w:cs="Times New Roman"/>
    </w:rPr>
  </w:style>
  <w:style w:type="paragraph" w:styleId="803">
    <w:name w:val="toc 5"/>
    <w:basedOn w:val="783"/>
    <w:next w:val="783"/>
    <w:uiPriority w:val="39"/>
    <w:unhideWhenUsed/>
    <w:qFormat/>
    <w:pPr>
      <w:ind w:left="1134" w:right="0" w:firstLine="0"/>
      <w:spacing w:after="57"/>
    </w:pPr>
  </w:style>
  <w:style w:type="paragraph" w:styleId="804">
    <w:name w:val="toc 3"/>
    <w:basedOn w:val="783"/>
    <w:next w:val="783"/>
    <w:uiPriority w:val="39"/>
    <w:unhideWhenUsed/>
    <w:qFormat/>
    <w:pPr>
      <w:ind w:left="567" w:right="0" w:firstLine="0"/>
      <w:spacing w:after="57"/>
    </w:pPr>
  </w:style>
  <w:style w:type="paragraph" w:styleId="805">
    <w:name w:val="Plain Text"/>
    <w:basedOn w:val="783"/>
    <w:uiPriority w:val="0"/>
    <w:qFormat/>
    <w:rPr>
      <w:rFonts w:ascii="宋体" w:hAnsi="Courier New" w:eastAsia="楷体_GB2312"/>
      <w:sz w:val="26"/>
    </w:rPr>
  </w:style>
  <w:style w:type="paragraph" w:styleId="806">
    <w:name w:val="toc 8"/>
    <w:basedOn w:val="783"/>
    <w:next w:val="783"/>
    <w:uiPriority w:val="39"/>
    <w:unhideWhenUsed/>
    <w:qFormat/>
    <w:pPr>
      <w:ind w:left="1984" w:right="0" w:firstLine="0"/>
      <w:spacing w:after="57"/>
    </w:pPr>
  </w:style>
  <w:style w:type="paragraph" w:styleId="807">
    <w:name w:val="endnote text"/>
    <w:basedOn w:val="783"/>
    <w:link w:val="977"/>
    <w:uiPriority w:val="99"/>
    <w:semiHidden/>
    <w:unhideWhenUsed/>
    <w:qFormat/>
    <w:pPr>
      <w:spacing w:after="0" w:line="240" w:lineRule="auto"/>
    </w:pPr>
    <w:rPr>
      <w:sz w:val="20"/>
    </w:rPr>
  </w:style>
  <w:style w:type="paragraph" w:styleId="808">
    <w:name w:val="Footer"/>
    <w:basedOn w:val="783"/>
    <w:link w:val="850"/>
    <w:uiPriority w:val="99"/>
    <w:unhideWhenUsed/>
    <w:qFormat/>
    <w:pPr>
      <w:spacing w:after="0" w:line="240" w:lineRule="auto"/>
      <w:tabs>
        <w:tab w:val="center" w:pos="7143" w:leader="none"/>
        <w:tab w:val="right" w:pos="14287" w:leader="none"/>
      </w:tabs>
    </w:pPr>
  </w:style>
  <w:style w:type="paragraph" w:styleId="809">
    <w:name w:val="envelope return"/>
    <w:basedOn w:val="783"/>
    <w:uiPriority w:val="0"/>
    <w:qFormat/>
    <w:rPr>
      <w:rFonts w:ascii="Arial" w:hAnsi="Arial" w:eastAsia="楷体_GB2312"/>
      <w:sz w:val="26"/>
    </w:rPr>
  </w:style>
  <w:style w:type="paragraph" w:styleId="810">
    <w:name w:val="Header"/>
    <w:basedOn w:val="783"/>
    <w:link w:val="848"/>
    <w:uiPriority w:val="99"/>
    <w:unhideWhenUsed/>
    <w:qFormat/>
    <w:pPr>
      <w:spacing w:after="0" w:line="240" w:lineRule="auto"/>
      <w:tabs>
        <w:tab w:val="center" w:pos="7143" w:leader="none"/>
        <w:tab w:val="right" w:pos="14287" w:leader="none"/>
      </w:tabs>
    </w:pPr>
  </w:style>
  <w:style w:type="paragraph" w:styleId="811">
    <w:name w:val="toc 1"/>
    <w:basedOn w:val="783"/>
    <w:next w:val="783"/>
    <w:uiPriority w:val="39"/>
    <w:unhideWhenUsed/>
    <w:qFormat/>
    <w:pPr>
      <w:ind w:left="0" w:right="0" w:firstLine="0"/>
      <w:spacing w:after="57"/>
    </w:pPr>
  </w:style>
  <w:style w:type="paragraph" w:styleId="812">
    <w:name w:val="toc 4"/>
    <w:basedOn w:val="783"/>
    <w:next w:val="783"/>
    <w:uiPriority w:val="39"/>
    <w:unhideWhenUsed/>
    <w:qFormat/>
    <w:pPr>
      <w:ind w:left="850" w:right="0" w:firstLine="0"/>
      <w:spacing w:after="57"/>
    </w:pPr>
  </w:style>
  <w:style w:type="paragraph" w:styleId="813">
    <w:name w:val="Subtitle"/>
    <w:basedOn w:val="783"/>
    <w:next w:val="783"/>
    <w:link w:val="843"/>
    <w:uiPriority w:val="11"/>
    <w:qFormat/>
    <w:pPr>
      <w:spacing w:before="200" w:after="200"/>
    </w:pPr>
    <w:rPr>
      <w:sz w:val="24"/>
      <w:szCs w:val="24"/>
    </w:rPr>
  </w:style>
  <w:style w:type="paragraph" w:styleId="814">
    <w:name w:val="footnote text"/>
    <w:basedOn w:val="783"/>
    <w:link w:val="976"/>
    <w:uiPriority w:val="99"/>
    <w:semiHidden/>
    <w:unhideWhenUsed/>
    <w:qFormat/>
    <w:pPr>
      <w:spacing w:after="40" w:line="240" w:lineRule="auto"/>
    </w:pPr>
    <w:rPr>
      <w:sz w:val="18"/>
    </w:rPr>
  </w:style>
  <w:style w:type="paragraph" w:styleId="815">
    <w:name w:val="toc 6"/>
    <w:basedOn w:val="783"/>
    <w:next w:val="783"/>
    <w:uiPriority w:val="39"/>
    <w:unhideWhenUsed/>
    <w:qFormat/>
    <w:pPr>
      <w:ind w:left="1417" w:right="0" w:firstLine="0"/>
      <w:spacing w:after="57"/>
    </w:pPr>
  </w:style>
  <w:style w:type="paragraph" w:styleId="816">
    <w:name w:val="table of figures"/>
    <w:basedOn w:val="783"/>
    <w:next w:val="783"/>
    <w:uiPriority w:val="99"/>
    <w:unhideWhenUsed/>
    <w:qFormat/>
    <w:pPr>
      <w:spacing w:after="0" w:afterAutospacing="0"/>
    </w:pPr>
  </w:style>
  <w:style w:type="paragraph" w:styleId="817">
    <w:name w:val="toc 2"/>
    <w:basedOn w:val="783"/>
    <w:next w:val="783"/>
    <w:uiPriority w:val="39"/>
    <w:unhideWhenUsed/>
    <w:qFormat/>
    <w:pPr>
      <w:ind w:left="283" w:right="0" w:firstLine="0"/>
      <w:spacing w:after="57"/>
    </w:pPr>
  </w:style>
  <w:style w:type="paragraph" w:styleId="818">
    <w:name w:val="toc 9"/>
    <w:basedOn w:val="783"/>
    <w:next w:val="783"/>
    <w:uiPriority w:val="39"/>
    <w:unhideWhenUsed/>
    <w:qFormat/>
    <w:pPr>
      <w:ind w:left="2268" w:right="0" w:firstLine="0"/>
      <w:spacing w:after="57"/>
    </w:pPr>
  </w:style>
  <w:style w:type="paragraph" w:styleId="819">
    <w:name w:val="Body Text 2"/>
    <w:basedOn w:val="783"/>
    <w:uiPriority w:val="0"/>
    <w:qFormat/>
    <w:pPr>
      <w:spacing w:after="120" w:line="480" w:lineRule="auto"/>
    </w:pPr>
  </w:style>
  <w:style w:type="paragraph" w:styleId="820">
    <w:name w:val="Normal (Web)"/>
    <w:basedOn w:val="783"/>
    <w:next w:val="802"/>
    <w:uiPriority w:val="0"/>
    <w:qFormat/>
    <w:pPr>
      <w:ind w:left="15" w:right="15" w:firstLine="4608"/>
      <w:spacing w:before="60" w:after="60" w:line="312" w:lineRule="auto"/>
    </w:pPr>
    <w:rPr>
      <w:rFonts w:ascii="Times New Roman" w:hAnsi="Times New Roman" w:cs="Times New Roman"/>
    </w:rPr>
  </w:style>
  <w:style w:type="paragraph" w:styleId="821">
    <w:name w:val="Title"/>
    <w:basedOn w:val="783"/>
    <w:next w:val="783"/>
    <w:link w:val="842"/>
    <w:uiPriority w:val="10"/>
    <w:qFormat/>
    <w:pPr>
      <w:contextualSpacing/>
      <w:spacing w:before="300" w:after="200"/>
    </w:pPr>
    <w:rPr>
      <w:sz w:val="48"/>
      <w:szCs w:val="48"/>
    </w:rPr>
  </w:style>
  <w:style w:type="paragraph" w:styleId="822">
    <w:name w:val="Body Text First Indent 2"/>
    <w:basedOn w:val="801"/>
    <w:uiPriority w:val="99"/>
    <w:unhideWhenUsed/>
    <w:qFormat/>
    <w:pPr>
      <w:ind w:firstLine="420"/>
    </w:pPr>
  </w:style>
  <w:style w:type="table" w:styleId="823">
    <w:name w:val="Table Grid"/>
    <w:uiPriority w:val="59"/>
    <w:qFormat/>
    <w:pPr>
      <w:spacing w:after="0" w:line="240" w:lineRule="auto"/>
    </w:pPr>
    <w:tblPr>
      <w:tblBorders>
        <w:top w:val="single" w:color="000000" w:sz="4" w:space="0"/>
        <w:left w:val="single" w:color="000000" w:sz="4" w:space="0"/>
        <w:bottom w:val="single" w:color="000000" w:sz="4" w:space="0"/>
        <w:right w:val="single" w:color="000000" w:sz="4" w:space="0"/>
        <w:insideH w:val="single" w:color="000000" w:sz="4" w:space="0"/>
        <w:insideV w:val="single" w:color="000000" w:sz="4" w:space="0"/>
      </w:tblBorders>
      <w:tblCellMar>
        <w:left w:w="108" w:type="dxa"/>
        <w:top w:w="0" w:type="dxa"/>
        <w:right w:w="108" w:type="dxa"/>
        <w:bottom w:w="0" w:type="dxa"/>
      </w:tblCellMar>
    </w:tblPr>
  </w:style>
  <w:style w:type="character" w:styleId="824">
    <w:name w:val="Strong"/>
    <w:basedOn w:val="793"/>
    <w:uiPriority w:val="22"/>
    <w:qFormat/>
    <w:rPr>
      <w:b/>
    </w:rPr>
  </w:style>
  <w:style w:type="character" w:styleId="825">
    <w:name w:val="endnote reference"/>
    <w:uiPriority w:val="99"/>
    <w:semiHidden/>
    <w:unhideWhenUsed/>
    <w:qFormat/>
    <w:rPr>
      <w:vertAlign w:val="superscript"/>
    </w:rPr>
  </w:style>
  <w:style w:type="character" w:styleId="826">
    <w:name w:val="Hyperlink"/>
    <w:uiPriority w:val="99"/>
    <w:unhideWhenUsed/>
    <w:qFormat/>
    <w:rPr>
      <w:color w:val="0000ff" w:themeColor="hyperlink"/>
      <w:u w:val="single"/>
      <w14:textFill>
        <w14:solidFill>
          <w14:schemeClr w14:val="hlink"/>
        </w14:solidFill>
      </w14:textFill>
    </w:rPr>
  </w:style>
  <w:style w:type="character" w:styleId="827">
    <w:name w:val="footnote reference"/>
    <w:uiPriority w:val="99"/>
    <w:unhideWhenUsed/>
    <w:qFormat/>
    <w:rPr>
      <w:vertAlign w:val="superscript"/>
    </w:rPr>
  </w:style>
  <w:style w:type="paragraph" w:styleId="828" w:customStyle="1">
    <w:name w:val="正文文本1"/>
    <w:basedOn w:val="783"/>
    <w:next w:val="783"/>
    <w:uiPriority w:val="0"/>
    <w:qFormat/>
    <w:pPr>
      <w:jc w:val="center"/>
    </w:pPr>
    <w:rPr>
      <w:rFonts w:ascii="方正大黑简体" w:eastAsia="方正大黑简体"/>
      <w:position w:val="6"/>
      <w:sz w:val="30"/>
    </w:rPr>
  </w:style>
  <w:style w:type="paragraph" w:styleId="829" w:customStyle="1">
    <w:name w:val="正文1"/>
    <w:basedOn w:val="783"/>
    <w:next w:val="783"/>
    <w:uiPriority w:val="0"/>
    <w:qFormat/>
    <w:pPr>
      <w:ind w:firstLine="420"/>
      <w:spacing w:line="360" w:lineRule="auto"/>
    </w:pPr>
    <w:rPr>
      <w:rFonts w:ascii="Times New Roman" w:hAnsi="Times New Roman" w:eastAsia="宋体" w:cs="Times New Roman"/>
      <w:sz w:val="24"/>
      <w:szCs w:val="24"/>
    </w:rPr>
  </w:style>
  <w:style w:type="paragraph" w:styleId="830" w:customStyle="1">
    <w:name w:val="段"/>
    <w:next w:val="783"/>
    <w:uiPriority w:val="0"/>
    <w:qFormat/>
    <w:pPr>
      <w:ind w:firstLine="200"/>
      <w:jc w:val="both"/>
    </w:pPr>
    <w:rPr>
      <w:rFonts w:hint="default" w:ascii="宋体" w:hAnsi="Times New Roman" w:eastAsia="宋体" w:cs="Times New Roman"/>
      <w:sz w:val="21"/>
      <w:lang w:val="en-US" w:eastAsia="zh-CN" w:bidi="ar-SA"/>
    </w:rPr>
  </w:style>
  <w:style w:type="character" w:styleId="831" w:customStyle="1">
    <w:name w:val="Heading 1 Char"/>
    <w:link w:val="784"/>
    <w:uiPriority w:val="9"/>
    <w:qFormat/>
    <w:rPr>
      <w:rFonts w:ascii="Arial" w:hAnsi="Arial" w:eastAsia="Arial" w:cs="Arial"/>
      <w:sz w:val="40"/>
      <w:szCs w:val="40"/>
    </w:rPr>
  </w:style>
  <w:style w:type="character" w:styleId="832" w:customStyle="1">
    <w:name w:val="Heading 2 Char"/>
    <w:link w:val="785"/>
    <w:uiPriority w:val="9"/>
    <w:qFormat/>
    <w:rPr>
      <w:rFonts w:ascii="Arial" w:hAnsi="Arial" w:eastAsia="Arial" w:cs="Arial"/>
      <w:sz w:val="34"/>
    </w:rPr>
  </w:style>
  <w:style w:type="character" w:styleId="833" w:customStyle="1">
    <w:name w:val="Heading 3 Char"/>
    <w:link w:val="786"/>
    <w:uiPriority w:val="9"/>
    <w:qFormat/>
    <w:rPr>
      <w:rFonts w:ascii="Arial" w:hAnsi="Arial" w:eastAsia="Arial" w:cs="Arial"/>
      <w:sz w:val="30"/>
      <w:szCs w:val="30"/>
    </w:rPr>
  </w:style>
  <w:style w:type="character" w:styleId="834" w:customStyle="1">
    <w:name w:val="Heading 4 Char"/>
    <w:link w:val="787"/>
    <w:uiPriority w:val="9"/>
    <w:qFormat/>
    <w:rPr>
      <w:rFonts w:ascii="Arial" w:hAnsi="Arial" w:eastAsia="Arial" w:cs="Arial"/>
      <w:b/>
      <w:bCs/>
      <w:sz w:val="26"/>
      <w:szCs w:val="26"/>
    </w:rPr>
  </w:style>
  <w:style w:type="character" w:styleId="835" w:customStyle="1">
    <w:name w:val="Heading 5 Char"/>
    <w:link w:val="788"/>
    <w:uiPriority w:val="9"/>
    <w:qFormat/>
    <w:rPr>
      <w:rFonts w:ascii="Arial" w:hAnsi="Arial" w:eastAsia="Arial" w:cs="Arial"/>
      <w:b/>
      <w:bCs/>
      <w:sz w:val="24"/>
      <w:szCs w:val="24"/>
    </w:rPr>
  </w:style>
  <w:style w:type="character" w:styleId="836" w:customStyle="1">
    <w:name w:val="Heading 6 Char"/>
    <w:link w:val="789"/>
    <w:uiPriority w:val="9"/>
    <w:qFormat/>
    <w:rPr>
      <w:rFonts w:ascii="Arial" w:hAnsi="Arial" w:eastAsia="Arial" w:cs="Arial"/>
      <w:b/>
      <w:bCs/>
      <w:sz w:val="22"/>
      <w:szCs w:val="22"/>
    </w:rPr>
  </w:style>
  <w:style w:type="character" w:styleId="837" w:customStyle="1">
    <w:name w:val="Heading 7 Char"/>
    <w:link w:val="790"/>
    <w:uiPriority w:val="9"/>
    <w:qFormat/>
    <w:rPr>
      <w:rFonts w:ascii="Arial" w:hAnsi="Arial" w:eastAsia="Arial" w:cs="Arial"/>
      <w:b/>
      <w:bCs/>
      <w:i/>
      <w:iCs/>
      <w:sz w:val="22"/>
      <w:szCs w:val="22"/>
    </w:rPr>
  </w:style>
  <w:style w:type="character" w:styleId="838" w:customStyle="1">
    <w:name w:val="Heading 8 Char"/>
    <w:link w:val="791"/>
    <w:uiPriority w:val="9"/>
    <w:qFormat/>
    <w:rPr>
      <w:rFonts w:ascii="Arial" w:hAnsi="Arial" w:eastAsia="Arial" w:cs="Arial"/>
      <w:i/>
      <w:iCs/>
      <w:sz w:val="22"/>
      <w:szCs w:val="22"/>
    </w:rPr>
  </w:style>
  <w:style w:type="character" w:styleId="839" w:customStyle="1">
    <w:name w:val="Heading 9 Char"/>
    <w:link w:val="792"/>
    <w:uiPriority w:val="9"/>
    <w:qFormat/>
    <w:rPr>
      <w:rFonts w:ascii="Arial" w:hAnsi="Arial" w:eastAsia="Arial" w:cs="Arial"/>
      <w:i/>
      <w:iCs/>
      <w:sz w:val="21"/>
      <w:szCs w:val="21"/>
    </w:rPr>
  </w:style>
  <w:style w:type="paragraph" w:styleId="840">
    <w:name w:val="List Paragraph"/>
    <w:basedOn w:val="783"/>
    <w:uiPriority w:val="34"/>
    <w:qFormat/>
    <w:pPr>
      <w:contextualSpacing/>
      <w:ind w:left="720"/>
    </w:pPr>
  </w:style>
  <w:style w:type="paragraph" w:styleId="841">
    <w:name w:val="No Spacing"/>
    <w:uiPriority w:val="1"/>
    <w:qFormat/>
    <w:pPr>
      <w:spacing w:before="0" w:after="0" w:line="240" w:lineRule="auto"/>
    </w:pPr>
    <w:rPr>
      <w:rFonts w:hint="default" w:ascii="Times New Roman" w:hAnsi="Times New Roman" w:eastAsia="宋体" w:cs="Times New Roman"/>
    </w:rPr>
  </w:style>
  <w:style w:type="character" w:styleId="842" w:customStyle="1">
    <w:name w:val="Title Char"/>
    <w:link w:val="821"/>
    <w:uiPriority w:val="10"/>
    <w:qFormat/>
    <w:rPr>
      <w:sz w:val="48"/>
      <w:szCs w:val="48"/>
    </w:rPr>
  </w:style>
  <w:style w:type="character" w:styleId="843" w:customStyle="1">
    <w:name w:val="Subtitle Char"/>
    <w:link w:val="813"/>
    <w:uiPriority w:val="11"/>
    <w:qFormat/>
    <w:rPr>
      <w:sz w:val="24"/>
      <w:szCs w:val="24"/>
    </w:rPr>
  </w:style>
  <w:style w:type="paragraph" w:styleId="844">
    <w:name w:val="Quote"/>
    <w:basedOn w:val="783"/>
    <w:next w:val="783"/>
    <w:link w:val="845"/>
    <w:uiPriority w:val="29"/>
    <w:qFormat/>
    <w:pPr>
      <w:ind w:left="720" w:right="720"/>
    </w:pPr>
    <w:rPr>
      <w:i/>
    </w:rPr>
  </w:style>
  <w:style w:type="character" w:styleId="845" w:customStyle="1">
    <w:name w:val="Quote Char"/>
    <w:link w:val="844"/>
    <w:uiPriority w:val="29"/>
    <w:qFormat/>
    <w:rPr>
      <w:i/>
    </w:rPr>
  </w:style>
  <w:style w:type="paragraph" w:styleId="846">
    <w:name w:val="Intense Quote"/>
    <w:basedOn w:val="783"/>
    <w:next w:val="783"/>
    <w:link w:val="847"/>
    <w:uiPriority w:val="30"/>
    <w:qFormat/>
    <w:pPr>
      <w:contextualSpacing w:val="0"/>
      <w:ind w:left="720" w:right="720"/>
      <w:shd w:val="clear" w:color="auto" w:fill="f2f2f2"/>
      <w:pBdr>
        <w:top w:val="single" w:color="FFFFFF" w:sz="4" w:space="5"/>
        <w:left w:val="single" w:color="FFFFFF" w:sz="4" w:space="10"/>
        <w:bottom w:val="single" w:color="FFFFFF" w:sz="4" w:space="5"/>
        <w:right w:val="single" w:color="FFFFFF" w:sz="4" w:space="10"/>
      </w:pBdr>
    </w:pPr>
    <w:rPr>
      <w:i/>
    </w:rPr>
  </w:style>
  <w:style w:type="character" w:styleId="847" w:customStyle="1">
    <w:name w:val="Intense Quote Char"/>
    <w:link w:val="846"/>
    <w:uiPriority w:val="30"/>
    <w:qFormat/>
    <w:rPr>
      <w:i/>
    </w:rPr>
  </w:style>
  <w:style w:type="character" w:styleId="848" w:customStyle="1">
    <w:name w:val="Header Char"/>
    <w:link w:val="810"/>
    <w:uiPriority w:val="99"/>
    <w:qFormat/>
  </w:style>
  <w:style w:type="character" w:styleId="849" w:customStyle="1">
    <w:name w:val="Footer Char"/>
    <w:link w:val="808"/>
    <w:uiPriority w:val="99"/>
    <w:qFormat/>
  </w:style>
  <w:style w:type="character" w:styleId="850" w:customStyle="1">
    <w:name w:val="Caption Char"/>
    <w:link w:val="808"/>
    <w:uiPriority w:val="99"/>
    <w:qFormat/>
  </w:style>
  <w:style w:type="table" w:styleId="851" w:customStyle="1">
    <w:name w:val="Table Grid Light"/>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style>
  <w:style w:type="table" w:styleId="852" w:customStyle="1">
    <w:name w:val="Plain Table 1"/>
    <w:uiPriority w:val="59"/>
    <w:qFormat/>
    <w:pPr>
      <w:spacing w:after="0" w:line="240" w:lineRule="auto"/>
    </w:pPr>
    <w:tblPr>
      <w:tblBorders>
        <w:top w:val="single" w:color="AEAEAE" w:themeColor="text1" w:themeTint="50" w:sz="4" w:space="0"/>
        <w:left w:val="single" w:color="AEAEAE" w:themeColor="text1" w:themeTint="50" w:sz="4" w:space="0"/>
        <w:bottom w:val="single" w:color="AEAEAE" w:themeColor="text1" w:themeTint="50" w:sz="4" w:space="0"/>
        <w:right w:val="single" w:color="AEAEAE" w:themeColor="text1" w:themeTint="50" w:sz="4" w:space="0"/>
        <w:insideH w:val="single" w:color="AEAEAE" w:themeColor="text1" w:themeTint="50" w:sz="4" w:space="0"/>
        <w:insideV w:val="single" w:color="AEAEAE" w:themeColor="text1" w:themeTint="50" w:sz="4" w:space="0"/>
      </w:tblBorders>
      <w:tblCellMar>
        <w:left w:w="108" w:type="dxa"/>
        <w:top w:w="0" w:type="dxa"/>
        <w:right w:w="108" w:type="dxa"/>
        <w:bottom w:w="0" w:type="dxa"/>
      </w:tblCellMar>
    </w:tblPr>
    <w:tblStylePr w:type="band1Horz">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firstCol">
      <w:rPr>
        <w:rFonts w:ascii="Arial" w:hAnsi="Arial"/>
        <w:b/>
        <w:color w:val="404040"/>
        <w:sz w:val="22"/>
      </w:rPr>
    </w:tblStylePr>
    <w:tblStylePr w:type="firstRow">
      <w:rPr>
        <w:rFonts w:ascii="Arial" w:hAnsi="Arial"/>
        <w:b/>
        <w:color w:val="404040"/>
        <w:sz w:val="22"/>
      </w:rPr>
    </w:tblStylePr>
    <w:tblStylePr w:type="lastCol">
      <w:rPr>
        <w:rFonts w:ascii="Arial" w:hAnsi="Arial"/>
        <w:b/>
        <w:color w:val="404040"/>
        <w:sz w:val="22"/>
      </w:rPr>
    </w:tblStylePr>
    <w:tblStylePr w:type="lastRow">
      <w:rPr>
        <w:rFonts w:ascii="Arial" w:hAnsi="Arial"/>
        <w:b/>
        <w:color w:val="404040"/>
        <w:sz w:val="22"/>
      </w:rPr>
    </w:tblStylePr>
  </w:style>
  <w:style w:type="table" w:styleId="853" w:customStyle="1">
    <w:name w:val="Plain Table 2"/>
    <w:uiPriority w:val="59"/>
    <w:qFormat/>
    <w:pPr>
      <w:spacing w:after="0" w:line="240" w:lineRule="auto"/>
    </w:pPr>
    <w:tblPr>
      <w:tblBorders>
        <w:top w:val="single" w:color="000000" w:themeColor="text1" w:sz="4" w:space="0"/>
        <w:left w:val="none" w:color="000000" w:themeColor="text1" w:sz="4" w:space="0"/>
        <w:bottom w:val="single" w:color="000000" w:themeColor="text1" w:sz="4" w:space="0"/>
        <w:right w:val="none" w:color="000000" w:themeColor="text1" w:sz="4" w:space="0"/>
      </w:tblBorders>
      <w:tblCellMar>
        <w:left w:w="108" w:type="dxa"/>
        <w:top w:w="0" w:type="dxa"/>
        <w:right w:w="108" w:type="dxa"/>
        <w:bottom w:w="0" w:type="dxa"/>
      </w:tblCellMar>
    </w:tblPr>
    <w:tblStylePr w:type="band1Horz">
      <w:tcPr>
        <w:tcBorders>
          <w:top w:val="single" w:color="000000" w:themeColor="text1" w:sz="4" w:space="0"/>
          <w:bottom w:val="single" w:color="000000" w:themeColor="text1" w:sz="4" w:space="0"/>
        </w:tcBorders>
      </w:tcPr>
    </w:tblStylePr>
    <w:tblStylePr w:type="band1Vert">
      <w:tcPr>
        <w:tcBorders>
          <w:left w:val="single" w:color="000000" w:themeColor="text1" w:sz="4" w:space="0"/>
          <w:right w:val="single" w:color="000000" w:themeColor="text1" w:sz="4" w:space="0"/>
        </w:tcBorders>
      </w:tcPr>
    </w:tblStylePr>
    <w:tblStylePr w:type="band2Vert">
      <w:tcPr>
        <w:tcBorders>
          <w:left w:val="single" w:color="000000" w:themeColor="text1" w:sz="4" w:space="0"/>
          <w:right w:val="single" w:color="000000" w:themeColor="text1" w:sz="4" w:space="0"/>
        </w:tcBorders>
      </w:tcPr>
    </w:tblStylePr>
    <w:tblStylePr w:type="firstCol">
      <w:rPr>
        <w:rFonts w:ascii="Arial" w:hAnsi="Arial"/>
        <w:b/>
        <w:color w:val="404040"/>
        <w:sz w:val="22"/>
      </w:rPr>
    </w:tblStylePr>
    <w:tblStylePr w:type="firstRow">
      <w:rPr>
        <w:rFonts w:ascii="Arial" w:hAnsi="Arial"/>
        <w:b/>
        <w:color w:val="404040"/>
        <w:sz w:val="22"/>
      </w:rPr>
      <w:tcPr>
        <w:tcBorders>
          <w:top w:val="single" w:color="000000" w:themeColor="text1" w:sz="4" w:space="0"/>
          <w:bottom w:val="single" w:color="000000" w:themeColor="text1" w:sz="4" w:space="0"/>
        </w:tcBorders>
      </w:tcPr>
    </w:tblStylePr>
    <w:tblStylePr w:type="lastCol">
      <w:rPr>
        <w:rFonts w:ascii="Arial" w:hAnsi="Arial"/>
        <w:b/>
        <w:color w:val="404040"/>
        <w:sz w:val="22"/>
      </w:rPr>
    </w:tblStylePr>
    <w:tblStylePr w:type="lastRow">
      <w:rPr>
        <w:rFonts w:ascii="Arial" w:hAnsi="Arial"/>
        <w:b/>
        <w:color w:val="404040"/>
        <w:sz w:val="22"/>
      </w:rPr>
    </w:tblStylePr>
  </w:style>
  <w:style w:type="table" w:styleId="854" w:customStyle="1">
    <w:name w:val="Plain Table 3"/>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aps/>
        <w:color w:val="404040"/>
      </w:rPr>
      <w:tcPr>
        <w:tcBorders>
          <w:top w:val="none" w:color="000000" w:sz="4" w:space="0"/>
          <w:left w:val="none" w:color="000000" w:sz="4" w:space="0"/>
          <w:bottom w:val="none" w:color="000000" w:sz="4" w:space="0"/>
          <w:right w:val="single" w:color="404040" w:sz="4" w:space="0"/>
        </w:tcBorders>
      </w:tcPr>
    </w:tblStylePr>
    <w:tblStylePr w:type="firstRow">
      <w:rPr>
        <w:b/>
        <w:caps/>
        <w:color w:val="404040"/>
      </w:rPr>
      <w:tcPr>
        <w:tcBorders>
          <w:top w:val="none" w:color="000000" w:sz="4" w:space="0"/>
          <w:left w:val="none" w:color="000000" w:sz="4" w:space="0"/>
          <w:bottom w:val="single" w:color="404040" w:sz="4" w:space="0"/>
          <w:right w:val="none" w:color="000000" w:sz="4" w:space="0"/>
        </w:tcBorders>
      </w:tcPr>
    </w:tblStylePr>
    <w:tblStylePr w:type="lastCol">
      <w:rPr>
        <w:b/>
        <w:caps/>
        <w:color w:val="404040"/>
      </w:rPr>
    </w:tblStylePr>
    <w:tblStylePr w:type="lastRow">
      <w:rPr>
        <w:b/>
        <w:caps/>
        <w:color w:val="404040"/>
      </w:rPr>
    </w:tblStylePr>
  </w:style>
  <w:style w:type="table" w:styleId="855" w:customStyle="1">
    <w:name w:val="Plain Table 4"/>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b/>
        <w:color w:val="404040"/>
      </w:rPr>
    </w:tblStylePr>
    <w:tblStylePr w:type="firstRow">
      <w:rPr>
        <w:b/>
        <w:color w:val="404040"/>
      </w:rPr>
    </w:tblStylePr>
    <w:tblStylePr w:type="lastCol">
      <w:rPr>
        <w:b/>
        <w:color w:val="404040"/>
      </w:rPr>
    </w:tblStylePr>
    <w:tblStylePr w:type="lastRow">
      <w:rPr>
        <w:b/>
        <w:color w:val="404040"/>
      </w:rPr>
    </w:tblStylePr>
  </w:style>
  <w:style w:type="table" w:styleId="856" w:customStyle="1">
    <w:name w:val="Plain Table 5"/>
    <w:uiPriority w:val="99"/>
    <w:qFormat/>
    <w:pPr>
      <w:spacing w:after="0" w:line="240" w:lineRule="auto"/>
    </w:pPr>
    <w:tblPr/>
    <w:tblStylePr w:type="band1Horz">
      <w:rPr>
        <w:rFonts w:ascii="Arial" w:hAnsi="Arial"/>
        <w:color w:val="404040"/>
        <w:sz w:val="22"/>
      </w:rPr>
      <w:tcPr>
        <w:shd w:val="clear" w:color="f1f1f1" w:themeColor="text1" w:themeTint="0D" w:fill="f1f1f1" w:themeFill="text1" w:themeFillTint="0D"/>
      </w:tcPr>
    </w:tblStylePr>
    <w:tblStylePr w:type="band1Vert">
      <w:rPr>
        <w:rFonts w:ascii="Arial" w:hAnsi="Arial"/>
        <w:color w:val="404040"/>
        <w:sz w:val="22"/>
      </w:rPr>
      <w:tcPr>
        <w:shd w:val="clear" w:color="f1f1f1" w:themeColor="text1" w:themeTint="0D" w:fill="f1f1f1" w:themeFill="text1" w:themeFillTint="0D"/>
      </w:tcPr>
    </w:tblStylePr>
    <w:tblStylePr w:type="firstCol">
      <w:rPr>
        <w:i/>
        <w:color w:val="404040"/>
      </w:rPr>
      <w:pPr>
        <w:jc w:val="right"/>
      </w:pPr>
      <w:tcPr>
        <w:shd w:val="clear" w:color="ffffff" w:fill="auto"/>
        <w:tcBorders>
          <w:right w:val="single" w:color="404040" w:sz="4" w:space="0"/>
        </w:tcBorders>
      </w:tcPr>
    </w:tblStylePr>
    <w:tblStylePr w:type="firstRow">
      <w:rPr>
        <w:i/>
        <w:color w:val="404040"/>
      </w:rPr>
      <w:tcPr>
        <w:shd w:val="clear" w:color="ffffff" w:fill="auto"/>
        <w:tcBorders>
          <w:left w:val="none" w:color="000000" w:sz="4" w:space="0"/>
          <w:bottom w:val="single" w:color="404040" w:sz="4" w:space="0"/>
          <w:right w:val="none" w:color="000000" w:sz="4" w:space="0"/>
        </w:tcBorders>
      </w:tcPr>
    </w:tblStylePr>
    <w:tblStylePr w:type="lastCol">
      <w:rPr>
        <w:i/>
        <w:color w:val="404040"/>
      </w:rPr>
      <w:tcPr>
        <w:shd w:val="clear" w:color="ffffff" w:fill="auto"/>
        <w:tcBorders>
          <w:left w:val="single" w:color="404040" w:sz="4" w:space="0"/>
        </w:tcBorders>
      </w:tcPr>
    </w:tblStylePr>
    <w:tblStylePr w:type="lastRow">
      <w:rPr>
        <w:i/>
        <w:color w:val="404040"/>
      </w:rPr>
      <w:tcPr>
        <w:shd w:val="clear" w:color="ffffff" w:fill="auto"/>
        <w:tcBorders>
          <w:top w:val="single" w:color="404040" w:sz="4" w:space="0"/>
          <w:left w:val="none" w:color="000000" w:sz="4" w:space="0"/>
          <w:right w:val="none" w:color="000000" w:sz="4" w:space="0"/>
        </w:tcBorders>
      </w:tcPr>
    </w:tblStylePr>
  </w:style>
  <w:style w:type="table" w:styleId="857" w:customStyle="1">
    <w:name w:val="Grid Table 1 Light"/>
    <w:uiPriority w:val="99"/>
    <w:qFormat/>
    <w:pPr>
      <w:spacing w:after="0" w:line="240" w:lineRule="auto"/>
    </w:pPr>
    <w:tblPr>
      <w:tbl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insideH w:val="single" w:color="979797" w:themeColor="text1" w:themeTint="67" w:sz="4" w:space="0"/>
        <w:insideV w:val="single" w:color="979797" w:themeColor="text1" w:themeTint="67" w:sz="4" w:space="0"/>
      </w:tblBorders>
    </w:tblPr>
    <w:tblStylePr w:type="band1Horz">
      <w:rPr>
        <w:rFonts w:ascii="Arial" w:hAnsi="Arial"/>
        <w:color w:val="404040"/>
        <w:sz w:val="22"/>
      </w:rPr>
      <w:tcPr>
        <w:tcBorders>
          <w:top w:val="single" w:color="979797" w:themeColor="text1" w:themeTint="67" w:sz="4" w:space="0"/>
          <w:left w:val="single" w:color="979797" w:themeColor="text1" w:themeTint="67" w:sz="4" w:space="0"/>
          <w:bottom w:val="single" w:color="979797" w:themeColor="text1" w:themeTint="67" w:sz="4" w:space="0"/>
          <w:right w:val="single" w:color="979797" w:themeColor="text1" w:themeTint="67" w:sz="4" w:space="0"/>
        </w:tcBorders>
      </w:tcPr>
    </w:tblStylePr>
    <w:tblStylePr w:type="firstCol">
      <w:rPr>
        <w:b/>
        <w:color w:val="404040"/>
      </w:rPr>
    </w:tblStylePr>
    <w:tblStylePr w:type="firstRow">
      <w:rPr>
        <w:b/>
        <w:color w:val="404040"/>
      </w:rPr>
      <w:tcPr>
        <w:tcBorders>
          <w:bottom w:val="single" w:color="696969" w:themeColor="text1" w:themeTint="95" w:sz="12" w:space="0"/>
        </w:tcBorders>
      </w:tcPr>
    </w:tblStylePr>
    <w:tblStylePr w:type="lastCol">
      <w:rPr>
        <w:b/>
        <w:color w:val="404040"/>
      </w:rPr>
    </w:tblStylePr>
    <w:tblStylePr w:type="lastRow">
      <w:rPr>
        <w:b/>
        <w:color w:val="404040"/>
      </w:rPr>
    </w:tblStylePr>
  </w:style>
  <w:style w:type="table" w:styleId="858" w:customStyle="1">
    <w:name w:val="Grid Table 1 Light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b/>
        <w:color w:val="404040"/>
      </w:rPr>
    </w:tblStylePr>
    <w:tblStylePr w:type="firstRow">
      <w:rPr>
        <w:b/>
        <w:color w:val="404040"/>
      </w:rPr>
      <w:tcPr>
        <w:tcBorders>
          <w:bottom w:val="single" w:color="98B5D8" w:themeColor="accent1" w:themeTint="95" w:sz="12" w:space="0"/>
        </w:tcBorders>
      </w:tcPr>
    </w:tblStylePr>
    <w:tblStylePr w:type="lastCol">
      <w:rPr>
        <w:b/>
        <w:color w:val="404040"/>
      </w:rPr>
    </w:tblStylePr>
    <w:tblStylePr w:type="lastRow">
      <w:rPr>
        <w:b/>
        <w:color w:val="404040"/>
      </w:rPr>
    </w:tblStylePr>
  </w:style>
  <w:style w:type="table" w:styleId="859" w:customStyle="1">
    <w:name w:val="Grid Table 1 Light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b/>
        <w:color w:val="404040"/>
      </w:rPr>
    </w:tblStylePr>
    <w:tblStylePr w:type="firstRow">
      <w:rPr>
        <w:b/>
        <w:color w:val="404040"/>
      </w:rPr>
      <w:tcPr>
        <w:tcBorders>
          <w:bottom w:val="single" w:color="DA9896" w:themeColor="accent2" w:themeTint="95" w:sz="12" w:space="0"/>
        </w:tcBorders>
      </w:tcPr>
    </w:tblStylePr>
    <w:tblStylePr w:type="lastCol">
      <w:rPr>
        <w:b/>
        <w:color w:val="404040"/>
      </w:rPr>
    </w:tblStylePr>
    <w:tblStylePr w:type="lastRow">
      <w:rPr>
        <w:b/>
        <w:color w:val="404040"/>
      </w:rPr>
    </w:tblStylePr>
  </w:style>
  <w:style w:type="table" w:styleId="860" w:customStyle="1">
    <w:name w:val="Grid Table 1 Light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b/>
        <w:color w:val="404040"/>
      </w:rPr>
    </w:tblStylePr>
    <w:tblStylePr w:type="firstRow">
      <w:rPr>
        <w:b/>
        <w:color w:val="404040"/>
      </w:rPr>
      <w:tcPr>
        <w:tcBorders>
          <w:bottom w:val="single" w:color="C4D79E" w:themeColor="accent3" w:themeTint="95" w:sz="12" w:space="0"/>
        </w:tcBorders>
      </w:tcPr>
    </w:tblStylePr>
    <w:tblStylePr w:type="lastCol">
      <w:rPr>
        <w:b/>
        <w:color w:val="404040"/>
      </w:rPr>
    </w:tblStylePr>
    <w:tblStylePr w:type="lastRow">
      <w:rPr>
        <w:b/>
        <w:color w:val="404040"/>
      </w:rPr>
    </w:tblStylePr>
  </w:style>
  <w:style w:type="table" w:styleId="861" w:customStyle="1">
    <w:name w:val="Grid Table 1 Light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b/>
        <w:color w:val="404040"/>
      </w:rPr>
    </w:tblStylePr>
    <w:tblStylePr w:type="firstRow">
      <w:rPr>
        <w:b/>
        <w:color w:val="404040"/>
      </w:rPr>
      <w:tcPr>
        <w:tcBorders>
          <w:bottom w:val="single" w:color="B4A4C8" w:themeColor="accent4" w:themeTint="95" w:sz="12" w:space="0"/>
        </w:tcBorders>
      </w:tcPr>
    </w:tblStylePr>
    <w:tblStylePr w:type="lastCol">
      <w:rPr>
        <w:b/>
        <w:color w:val="404040"/>
      </w:rPr>
    </w:tblStylePr>
    <w:tblStylePr w:type="lastRow">
      <w:rPr>
        <w:b/>
        <w:color w:val="404040"/>
      </w:rPr>
    </w:tblStylePr>
  </w:style>
  <w:style w:type="table" w:styleId="862" w:customStyle="1">
    <w:name w:val="Grid Table 1 Light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b/>
        <w:color w:val="404040"/>
      </w:rPr>
    </w:tblStylePr>
    <w:tblStylePr w:type="firstRow">
      <w:rPr>
        <w:b/>
        <w:color w:val="404040"/>
      </w:rPr>
      <w:tcPr>
        <w:tcBorders>
          <w:bottom w:val="single" w:color="95CEDD" w:themeColor="accent5" w:themeTint="95" w:sz="12" w:space="0"/>
        </w:tcBorders>
      </w:tcPr>
    </w:tblStylePr>
    <w:tblStylePr w:type="lastCol">
      <w:rPr>
        <w:b/>
        <w:color w:val="404040"/>
      </w:rPr>
    </w:tblStylePr>
    <w:tblStylePr w:type="lastRow">
      <w:rPr>
        <w:b/>
        <w:color w:val="404040"/>
      </w:rPr>
    </w:tblStylePr>
  </w:style>
  <w:style w:type="table" w:styleId="863" w:customStyle="1">
    <w:name w:val="Grid Table 1 Light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b/>
        <w:color w:val="404040"/>
      </w:rPr>
    </w:tblStylePr>
    <w:tblStylePr w:type="firstRow">
      <w:rPr>
        <w:b/>
        <w:color w:val="404040"/>
      </w:rPr>
      <w:tcPr>
        <w:tcBorders>
          <w:bottom w:val="single" w:color="FAC192" w:themeColor="accent6" w:themeTint="95" w:sz="12" w:space="0"/>
        </w:tcBorders>
      </w:tcPr>
    </w:tblStylePr>
    <w:tblStylePr w:type="lastCol">
      <w:rPr>
        <w:b/>
        <w:color w:val="404040"/>
      </w:rPr>
    </w:tblStylePr>
    <w:tblStylePr w:type="lastRow">
      <w:rPr>
        <w:b/>
        <w:color w:val="404040"/>
      </w:rPr>
    </w:tblStylePr>
  </w:style>
  <w:style w:type="table" w:styleId="864" w:customStyle="1">
    <w:name w:val="Grid Table 2"/>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696969" w:themeColor="text1" w:themeTint="9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696969" w:themeColor="text1" w:themeTint="95" w:sz="4" w:space="0"/>
          <w:left w:val="none" w:color="000000" w:sz="4" w:space="0"/>
          <w:bottom w:val="none" w:color="000000" w:sz="4" w:space="0"/>
          <w:right w:val="none" w:color="000000" w:sz="4" w:space="0"/>
        </w:tcBorders>
      </w:tcPr>
    </w:tblStylePr>
  </w:style>
  <w:style w:type="table" w:styleId="865" w:customStyle="1">
    <w:name w:val="Grid Table 2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5D8BC2" w:themeColor="accent1" w:themeTint="E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5D8BC2" w:themeColor="accent1" w:themeTint="EA" w:sz="4" w:space="0"/>
          <w:left w:val="none" w:color="000000" w:sz="4" w:space="0"/>
          <w:bottom w:val="none" w:color="000000" w:sz="4" w:space="0"/>
          <w:right w:val="none" w:color="000000" w:sz="4" w:space="0"/>
        </w:tcBorders>
      </w:tcPr>
    </w:tblStylePr>
  </w:style>
  <w:style w:type="table" w:styleId="866" w:customStyle="1">
    <w:name w:val="Grid Table 2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D99795" w:themeColor="accent2" w:themeTint="97"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D99795" w:themeColor="accent2" w:themeTint="97" w:sz="4" w:space="0"/>
          <w:left w:val="none" w:color="000000" w:sz="4" w:space="0"/>
          <w:bottom w:val="none" w:color="000000" w:sz="4" w:space="0"/>
          <w:right w:val="none" w:color="000000" w:sz="4" w:space="0"/>
        </w:tcBorders>
      </w:tcPr>
    </w:tblStylePr>
  </w:style>
  <w:style w:type="table" w:styleId="867" w:customStyle="1">
    <w:name w:val="Grid Table 2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9BBB59" w:themeColor="accent3" w:themeTint="FE"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9BBB59" w:themeColor="accent3" w:themeTint="FE" w:sz="4" w:space="0"/>
          <w:left w:val="none" w:color="000000" w:sz="4" w:space="0"/>
          <w:bottom w:val="none" w:color="000000" w:sz="4" w:space="0"/>
          <w:right w:val="none" w:color="000000" w:sz="4" w:space="0"/>
        </w:tcBorders>
      </w:tcPr>
    </w:tblStylePr>
  </w:style>
  <w:style w:type="table" w:styleId="868" w:customStyle="1">
    <w:name w:val="Grid Table 2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B2A1C6" w:themeColor="accent4" w:themeTint="9A"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B2A1C6" w:themeColor="accent4" w:themeTint="9A" w:sz="4" w:space="0"/>
          <w:left w:val="none" w:color="000000" w:sz="4" w:space="0"/>
          <w:bottom w:val="none" w:color="000000" w:sz="4" w:space="0"/>
          <w:right w:val="none" w:color="000000" w:sz="4" w:space="0"/>
        </w:tcBorders>
      </w:tcPr>
    </w:tblStylePr>
  </w:style>
  <w:style w:type="table" w:styleId="869" w:customStyle="1">
    <w:name w:val="Grid Table 2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4BACC6" w:themeColor="accent5"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4BACC6" w:themeColor="accent5" w:sz="4" w:space="0"/>
          <w:left w:val="none" w:color="000000" w:sz="4" w:space="0"/>
          <w:bottom w:val="none" w:color="000000" w:sz="4" w:space="0"/>
          <w:right w:val="none" w:color="000000" w:sz="4" w:space="0"/>
        </w:tcBorders>
      </w:tcPr>
    </w:tblStylePr>
  </w:style>
  <w:style w:type="table" w:styleId="870" w:customStyle="1">
    <w:name w:val="Grid Table 2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b/>
        <w:color w:val="404040"/>
      </w:rPr>
      <w:tcPr>
        <w:shd w:val="clear" w:color="ffffff" w:fill="auto"/>
        <w:tcBorders>
          <w:top w:val="none" w:color="000000" w:sz="4" w:space="0"/>
          <w:left w:val="none" w:color="000000" w:sz="4" w:space="0"/>
          <w:bottom w:val="single" w:color="F79646" w:themeColor="accent6" w:sz="12" w:space="0"/>
          <w:right w:val="none" w:color="000000" w:sz="4" w:space="0"/>
        </w:tcBorders>
      </w:tcPr>
    </w:tblStylePr>
    <w:tblStylePr w:type="lastCol">
      <w:rPr>
        <w:b/>
        <w:color w:val="404040"/>
      </w:rPr>
    </w:tblStylePr>
    <w:tblStylePr w:type="lastRow">
      <w:rPr>
        <w:b/>
        <w:color w:val="404040"/>
      </w:rPr>
      <w:tcPr>
        <w:shd w:val="clear" w:color="ffffff" w:fill="auto"/>
        <w:tcBorders>
          <w:top w:val="single" w:color="F79646" w:themeColor="accent6" w:sz="4" w:space="0"/>
          <w:left w:val="none" w:color="000000" w:sz="4" w:space="0"/>
          <w:bottom w:val="none" w:color="000000" w:sz="4" w:space="0"/>
          <w:right w:val="none" w:color="000000" w:sz="4" w:space="0"/>
        </w:tcBorders>
      </w:tcPr>
    </w:tblStylePr>
  </w:style>
  <w:style w:type="table" w:styleId="871" w:customStyle="1">
    <w:name w:val="Grid Table 3"/>
    <w:uiPriority w:val="99"/>
    <w:qFormat/>
    <w:pPr>
      <w:spacing w:after="0" w:line="240" w:lineRule="auto"/>
    </w:pPr>
    <w:tblPr>
      <w:tblBorders>
        <w:bottom w:val="single" w:color="696969" w:themeColor="text1" w:themeTint="95" w:sz="4" w:space="0"/>
        <w:insideH w:val="single" w:color="696969" w:themeColor="text1" w:themeTint="95" w:sz="4" w:space="0"/>
        <w:insideV w:val="single" w:color="696969" w:themeColor="text1" w:themeTint="95"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2" w:customStyle="1">
    <w:name w:val="Grid Table 3 - Accent 1"/>
    <w:uiPriority w:val="99"/>
    <w:qFormat/>
    <w:pPr>
      <w:spacing w:after="0" w:line="240" w:lineRule="auto"/>
    </w:pPr>
    <w:tblPr>
      <w:tblBorders>
        <w:bottom w:val="single" w:color="5D8BC2" w:themeColor="accent1" w:themeTint="EA" w:sz="4" w:space="0"/>
        <w:insideH w:val="single" w:color="5D8BC2" w:themeColor="accent1" w:themeTint="EA" w:sz="4" w:space="0"/>
        <w:insideV w:val="single" w:color="5D8BC2" w:themeColor="accent1" w:themeTint="EA" w:sz="4" w:space="0"/>
      </w:tblBorders>
    </w:tblPr>
    <w:tblStylePr w:type="band1Horz">
      <w:rPr>
        <w:rFonts w:ascii="Arial" w:hAnsi="Arial"/>
        <w:color w:val="404040"/>
        <w:sz w:val="22"/>
      </w:rPr>
      <w:tcPr>
        <w:shd w:val="clear" w:color="dbe5f1" w:themeColor="accent1" w:themeTint="34" w:fill="dbe5f1" w:themeFill="accent1" w:themeFillTint="34"/>
      </w:tcPr>
    </w:tblStylePr>
    <w:tblStylePr w:type="band1Vert">
      <w:rPr>
        <w:rFonts w:ascii="Arial" w:hAnsi="Arial"/>
        <w:color w:val="404040"/>
        <w:sz w:val="22"/>
      </w:rPr>
      <w:tcPr>
        <w:shd w:val="clear" w:color="dbe5f1" w:themeColor="accent1" w:themeTint="34" w:fill="dbe5f1" w:themeFill="accent1"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3" w:customStyle="1">
    <w:name w:val="Grid Table 3 - Accent 2"/>
    <w:uiPriority w:val="99"/>
    <w:qFormat/>
    <w:pPr>
      <w:spacing w:after="0" w:line="240" w:lineRule="auto"/>
    </w:pPr>
    <w:tblPr>
      <w:tblBorders>
        <w:bottom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4" w:customStyle="1">
    <w:name w:val="Grid Table 3 - Accent 3"/>
    <w:uiPriority w:val="99"/>
    <w:qFormat/>
    <w:pPr>
      <w:spacing w:after="0" w:line="240" w:lineRule="auto"/>
    </w:pPr>
    <w:tblPr>
      <w:tblBorders>
        <w:bottom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5" w:customStyle="1">
    <w:name w:val="Grid Table 3 - Accent 4"/>
    <w:uiPriority w:val="99"/>
    <w:qFormat/>
    <w:pPr>
      <w:spacing w:after="0" w:line="240" w:lineRule="auto"/>
    </w:pPr>
    <w:tblPr>
      <w:tblBorders>
        <w:bottom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6" w:customStyle="1">
    <w:name w:val="Grid Table 3 - Accent 5"/>
    <w:uiPriority w:val="99"/>
    <w:qFormat/>
    <w:pPr>
      <w:spacing w:after="0" w:line="240" w:lineRule="auto"/>
    </w:pPr>
    <w:tblPr>
      <w:tblBorders>
        <w:bottom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7" w:customStyle="1">
    <w:name w:val="Grid Table 3 - Accent 6"/>
    <w:uiPriority w:val="99"/>
    <w:qFormat/>
    <w:pPr>
      <w:spacing w:after="0" w:line="240" w:lineRule="auto"/>
    </w:pPr>
    <w:tblPr>
      <w:tblBorders>
        <w:bottom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i/>
        <w:color w:val="404040"/>
      </w:rPr>
      <w:pPr>
        <w:jc w:val="right"/>
      </w:pPr>
      <w:tcPr>
        <w:shd w:val="clear" w:color="ffffff" w:fill="auto"/>
        <w:tcBorders>
          <w:top w:val="none" w:color="000000" w:sz="4" w:space="0"/>
          <w:left w:val="none" w:color="000000" w:sz="4" w:space="0"/>
          <w:bottom w:val="none" w:color="000000" w:sz="4" w:space="0"/>
          <w:right w:val="none" w:color="000000" w:sz="4" w:space="0"/>
        </w:tcBorders>
      </w:tcPr>
    </w:tblStylePr>
    <w:tblStylePr w:type="fir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Col">
      <w:rPr>
        <w:i/>
        <w:color w:val="404040"/>
      </w:rPr>
      <w:tcPr>
        <w:shd w:val="clear" w:color="ffffff" w:fill="auto"/>
        <w:tcBorders>
          <w:top w:val="none" w:color="000000" w:sz="4" w:space="0"/>
          <w:left w:val="none" w:color="000000" w:sz="4" w:space="0"/>
          <w:bottom w:val="none" w:color="000000" w:sz="4" w:space="0"/>
          <w:right w:val="none" w:color="000000" w:sz="4" w:space="0"/>
        </w:tcBorders>
      </w:tcPr>
    </w:tblStylePr>
    <w:tblStylePr w:type="lastRow">
      <w:rPr>
        <w:b/>
        <w:color w:val="404040"/>
      </w:rPr>
      <w:tcPr>
        <w:shd w:val="clear" w:color="ffffff" w:fill="auto"/>
        <w:tcBorders>
          <w:top w:val="none" w:color="000000" w:sz="4" w:space="0"/>
          <w:left w:val="none" w:color="000000" w:sz="4" w:space="0"/>
          <w:bottom w:val="none" w:color="000000" w:sz="4" w:space="0"/>
          <w:right w:val="none" w:color="000000" w:sz="4" w:space="0"/>
        </w:tcBorders>
      </w:tcPr>
    </w:tblStylePr>
  </w:style>
  <w:style w:type="table" w:styleId="878" w:customStyle="1">
    <w:name w:val="Grid Table 4"/>
    <w:uiPriority w:val="59"/>
    <w:qFormat/>
    <w:pPr>
      <w:spacing w:after="0" w:line="240" w:lineRule="auto"/>
    </w:pPr>
    <w:tblPr>
      <w:tblBorders>
        <w:top w:val="single" w:color="6E6E6E" w:themeColor="text1" w:themeTint="90" w:sz="4" w:space="0"/>
        <w:left w:val="single" w:color="6E6E6E" w:themeColor="text1" w:themeTint="90" w:sz="4" w:space="0"/>
        <w:bottom w:val="single" w:color="6E6E6E" w:themeColor="text1" w:themeTint="90" w:sz="4" w:space="0"/>
        <w:right w:val="single" w:color="6E6E6E" w:themeColor="text1" w:themeTint="90" w:sz="4" w:space="0"/>
        <w:insideH w:val="single" w:color="6E6E6E" w:themeColor="text1" w:themeTint="90" w:sz="4" w:space="0"/>
        <w:insideV w:val="single" w:color="6E6E6E" w:themeColor="text1" w:themeTint="90" w:sz="4" w:space="0"/>
      </w:tblBorders>
    </w:tblPr>
    <w:tblStylePr w:type="band1Horz">
      <w:rPr>
        <w:rFonts w:ascii="Arial" w:hAnsi="Arial"/>
        <w:color w:val="404040"/>
        <w:sz w:val="22"/>
      </w:rPr>
      <w:tcPr>
        <w:shd w:val="clear" w:color="cacaca" w:themeColor="text1" w:themeTint="34" w:fill="cacaca" w:themeFill="text1" w:themeFillTint="34"/>
      </w:tcPr>
    </w:tblStylePr>
    <w:tblStylePr w:type="band1Vert">
      <w:rPr>
        <w:rFonts w:ascii="Arial" w:hAnsi="Arial"/>
        <w:color w:val="404040"/>
        <w:sz w:val="22"/>
      </w:rPr>
      <w:tcPr>
        <w:shd w:val="clear" w:color="cacaca" w:themeColor="text1" w:themeTint="34" w:fill="cacaca" w:themeFill="text1" w:themeFillTint="34"/>
      </w:tcPr>
    </w:tblStylePr>
    <w:tblStylePr w:type="firstCol">
      <w:rPr>
        <w:b/>
        <w:color w:val="404040"/>
      </w:rPr>
    </w:tblStylePr>
    <w:tblStylePr w:type="firstRow">
      <w:rPr>
        <w:rFonts w:ascii="Arial" w:hAnsi="Arial"/>
        <w:b/>
        <w:color w:val="ffffff"/>
        <w:sz w:val="22"/>
      </w:rPr>
      <w:tcPr>
        <w:shd w:val="clear" w:color="000000" w:themeColor="text1" w:fill="000000" w:themeFill="text1"/>
        <w:tcBorders>
          <w:top w:val="single" w:color="000000" w:themeColor="text1" w:sz="4" w:space="0"/>
          <w:left w:val="single" w:color="000000" w:themeColor="text1" w:sz="4" w:space="0"/>
          <w:bottom w:val="single" w:color="000000" w:themeColor="text1" w:sz="4" w:space="0"/>
          <w:right w:val="single" w:color="000000" w:themeColor="text1" w:sz="4" w:space="0"/>
        </w:tcBorders>
      </w:tcPr>
    </w:tblStylePr>
    <w:tblStylePr w:type="lastCol">
      <w:rPr>
        <w:b/>
        <w:color w:val="404040"/>
      </w:rPr>
    </w:tblStylePr>
    <w:tblStylePr w:type="lastRow">
      <w:rPr>
        <w:b/>
        <w:color w:val="404040"/>
      </w:rPr>
      <w:tcPr>
        <w:tcBorders>
          <w:top w:val="single" w:color="000000" w:themeColor="text1" w:sz="4" w:space="0"/>
        </w:tcBorders>
      </w:tcPr>
    </w:tblStylePr>
  </w:style>
  <w:style w:type="table" w:styleId="879" w:customStyle="1">
    <w:name w:val="Grid Table 4 - Accent 1"/>
    <w:uiPriority w:val="5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insideV w:val="single" w:color="9BB7D9" w:themeColor="accent1" w:themeTint="90" w:sz="4" w:space="0"/>
      </w:tblBorders>
    </w:tblPr>
    <w:tblStylePr w:type="band1Horz">
      <w:rPr>
        <w:rFonts w:ascii="Arial" w:hAnsi="Arial"/>
        <w:color w:val="404040"/>
        <w:sz w:val="22"/>
      </w:rPr>
      <w:tcPr>
        <w:shd w:val="clear" w:color="dce6f2" w:themeColor="accent1" w:themeTint="32" w:fill="dce6f2" w:themeFill="accent1" w:themeFillTint="32"/>
      </w:tcPr>
    </w:tblStylePr>
    <w:tblStylePr w:type="band1Vert">
      <w:rPr>
        <w:rFonts w:ascii="Arial" w:hAnsi="Arial"/>
        <w:color w:val="404040"/>
        <w:sz w:val="22"/>
      </w:rPr>
      <w:tcPr>
        <w:shd w:val="clear" w:color="dce6f2" w:themeColor="accent1" w:themeTint="32" w:fill="dce6f2" w:themeFill="accent1" w:themeFillTint="32"/>
      </w:tcPr>
    </w:tblStylePr>
    <w:tblStylePr w:type="firstCol">
      <w:rPr>
        <w:b/>
        <w:color w:val="404040"/>
      </w:rPr>
    </w:tblStylePr>
    <w:tblStylePr w:type="firstRow">
      <w:rPr>
        <w:rFonts w:ascii="Arial" w:hAnsi="Arial"/>
        <w:b/>
        <w:color w:val="ffffff"/>
        <w:sz w:val="22"/>
      </w:rPr>
      <w:tcPr>
        <w:shd w:val="clear" w:color="5d8bc2" w:themeColor="accent1" w:themeTint="EA" w:fill="5d8bc2" w:themeFill="accent1" w:themeFillTint="EA"/>
        <w:tcBorders>
          <w:top w:val="single" w:color="5D8BC2" w:themeColor="accent1" w:themeTint="EA" w:sz="4" w:space="0"/>
          <w:left w:val="single" w:color="5D8BC2" w:themeColor="accent1" w:themeTint="EA" w:sz="4" w:space="0"/>
          <w:bottom w:val="single" w:color="5D8BC2" w:themeColor="accent1" w:themeTint="EA" w:sz="4" w:space="0"/>
          <w:right w:val="single" w:color="5D8BC2" w:themeColor="accent1" w:themeTint="EA" w:sz="4" w:space="0"/>
        </w:tcBorders>
      </w:tcPr>
    </w:tblStylePr>
    <w:tblStylePr w:type="lastCol">
      <w:rPr>
        <w:b/>
        <w:color w:val="404040"/>
      </w:rPr>
    </w:tblStylePr>
    <w:tblStylePr w:type="lastRow">
      <w:rPr>
        <w:b/>
        <w:color w:val="404040"/>
      </w:rPr>
      <w:tcPr>
        <w:tcBorders>
          <w:top w:val="single" w:color="5D8BC2" w:themeColor="accent1" w:themeTint="EA" w:sz="4" w:space="0"/>
        </w:tcBorders>
      </w:tcPr>
    </w:tblStylePr>
  </w:style>
  <w:style w:type="table" w:styleId="880" w:customStyle="1">
    <w:name w:val="Grid Table 4 - Accent 2"/>
    <w:uiPriority w:val="5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insideV w:val="single" w:color="DB9C9A" w:themeColor="accent2" w:themeTint="90" w:sz="4" w:space="0"/>
      </w:tblBorders>
    </w:tblPr>
    <w:tblStylePr w:type="band1Horz">
      <w:rPr>
        <w:rFonts w:ascii="Arial" w:hAnsi="Arial"/>
        <w:color w:val="404040"/>
        <w:sz w:val="22"/>
      </w:rPr>
      <w:tcPr>
        <w:shd w:val="clear" w:color="f2dcdc" w:themeColor="accent2" w:themeTint="32" w:fill="f2dcdc" w:themeFill="accent2" w:themeFillTint="32"/>
      </w:tcPr>
    </w:tblStylePr>
    <w:tblStylePr w:type="band1Vert">
      <w:rPr>
        <w:rFonts w:ascii="Arial" w:hAnsi="Arial"/>
        <w:color w:val="404040"/>
        <w:sz w:val="22"/>
      </w:rPr>
      <w:tcPr>
        <w:shd w:val="clear" w:color="f2dcdc" w:themeColor="accent2" w:themeTint="32" w:fill="f2dcdc" w:themeFill="accent2" w:themeFillTint="32"/>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cBorders>
      </w:tcPr>
    </w:tblStylePr>
    <w:tblStylePr w:type="lastCol">
      <w:rPr>
        <w:b/>
        <w:color w:val="404040"/>
      </w:rPr>
    </w:tblStylePr>
    <w:tblStylePr w:type="lastRow">
      <w:rPr>
        <w:b/>
        <w:color w:val="404040"/>
      </w:rPr>
      <w:tcPr>
        <w:tcBorders>
          <w:top w:val="single" w:color="D99795" w:themeColor="accent2" w:themeTint="97" w:sz="4" w:space="0"/>
        </w:tcBorders>
      </w:tcPr>
    </w:tblStylePr>
  </w:style>
  <w:style w:type="table" w:styleId="881" w:customStyle="1">
    <w:name w:val="Grid Table 4 - Accent 3"/>
    <w:uiPriority w:val="5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insideV w:val="single" w:color="C6D8A1" w:themeColor="accent3" w:themeTint="90" w:sz="4" w:space="0"/>
      </w:tblBorders>
    </w:tblPr>
    <w:tblStylePr w:type="band1Horz">
      <w:rPr>
        <w:rFonts w:ascii="Arial" w:hAnsi="Arial"/>
        <w:color w:val="404040"/>
        <w:sz w:val="22"/>
      </w:rPr>
      <w:tcPr>
        <w:shd w:val="clear" w:color="eaf1dd" w:themeColor="accent3" w:themeTint="34" w:fill="eaf1dd" w:themeFill="accent3" w:themeFillTint="34"/>
      </w:tcPr>
    </w:tblStylePr>
    <w:tblStylePr w:type="band1Vert">
      <w:rPr>
        <w:rFonts w:ascii="Arial" w:hAnsi="Arial"/>
        <w:color w:val="404040"/>
        <w:sz w:val="22"/>
      </w:rPr>
      <w:tcPr>
        <w:shd w:val="clear" w:color="eaf1dd" w:themeColor="accent3" w:themeTint="34" w:fill="eaf1dd" w:themeFill="accent3" w:themeFillTint="34"/>
      </w:tcPr>
    </w:tblStylePr>
    <w:tblStylePr w:type="firstCol">
      <w:rPr>
        <w:b/>
        <w:color w:val="404040"/>
      </w:rPr>
    </w:tblStylePr>
    <w:tblStylePr w:type="firstRow">
      <w:rPr>
        <w:rFonts w:ascii="Arial" w:hAnsi="Arial"/>
        <w:b/>
        <w:color w:val="ffffff"/>
        <w:sz w:val="22"/>
      </w:rPr>
      <w:tcPr>
        <w:shd w:val="clear" w:color="9bbb59" w:themeColor="accent3" w:themeTint="FE" w:fill="9bbb59" w:themeFill="accent3" w:themeFillTint="FE"/>
        <w:tc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tcBorders>
      </w:tcPr>
    </w:tblStylePr>
    <w:tblStylePr w:type="lastCol">
      <w:rPr>
        <w:b/>
        <w:color w:val="404040"/>
      </w:rPr>
    </w:tblStylePr>
    <w:tblStylePr w:type="lastRow">
      <w:rPr>
        <w:b/>
        <w:color w:val="404040"/>
      </w:rPr>
      <w:tcPr>
        <w:tcBorders>
          <w:top w:val="single" w:color="9BBB59" w:themeColor="accent3" w:themeTint="FE" w:sz="4" w:space="0"/>
        </w:tcBorders>
      </w:tcPr>
    </w:tblStylePr>
  </w:style>
  <w:style w:type="table" w:styleId="882" w:customStyle="1">
    <w:name w:val="Grid Table 4 - Accent 4"/>
    <w:uiPriority w:val="5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insideV w:val="single" w:color="B7A7CA" w:themeColor="accent4" w:themeTint="90" w:sz="4" w:space="0"/>
      </w:tblBorders>
    </w:tblPr>
    <w:tblStylePr w:type="band1Horz">
      <w:rPr>
        <w:rFonts w:ascii="Arial" w:hAnsi="Arial"/>
        <w:color w:val="404040"/>
        <w:sz w:val="22"/>
      </w:rPr>
      <w:tcPr>
        <w:shd w:val="clear" w:color="e5dfec" w:themeColor="accent4" w:themeTint="34" w:fill="e5dfec" w:themeFill="accent4" w:themeFillTint="34"/>
      </w:tcPr>
    </w:tblStylePr>
    <w:tblStylePr w:type="band1Vert">
      <w:rPr>
        <w:rFonts w:ascii="Arial" w:hAnsi="Arial"/>
        <w:color w:val="404040"/>
        <w:sz w:val="22"/>
      </w:rPr>
      <w:tcPr>
        <w:shd w:val="clear" w:color="e5dfec" w:themeColor="accent4" w:themeTint="34" w:fill="e5dfec" w:themeFill="accent4" w:themeFillTint="34"/>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cBorders>
      </w:tcPr>
    </w:tblStylePr>
    <w:tblStylePr w:type="lastCol">
      <w:rPr>
        <w:b/>
        <w:color w:val="404040"/>
      </w:rPr>
    </w:tblStylePr>
    <w:tblStylePr w:type="lastRow">
      <w:rPr>
        <w:b/>
        <w:color w:val="404040"/>
      </w:rPr>
      <w:tcPr>
        <w:tcBorders>
          <w:top w:val="single" w:color="B2A1C6" w:themeColor="accent4" w:themeTint="9A" w:sz="4" w:space="0"/>
        </w:tcBorders>
      </w:tcPr>
    </w:tblStylePr>
  </w:style>
  <w:style w:type="table" w:styleId="883" w:customStyle="1">
    <w:name w:val="Grid Table 4 - Accent 5"/>
    <w:uiPriority w:val="5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404040"/>
        <w:sz w:val="22"/>
      </w:rPr>
      <w:tcPr>
        <w:shd w:val="clear" w:color="daeef3" w:themeColor="accent5" w:themeTint="34" w:fill="daeef3" w:themeFill="accent5" w:themeFillTint="34"/>
      </w:tcPr>
    </w:tblStylePr>
    <w:tblStylePr w:type="band1Vert">
      <w:rPr>
        <w:rFonts w:ascii="Arial" w:hAnsi="Arial"/>
        <w:color w:val="404040"/>
        <w:sz w:val="22"/>
      </w:rPr>
      <w:tcPr>
        <w:shd w:val="clear" w:color="daeef3" w:themeColor="accent5" w:themeTint="34" w:fill="daeef3" w:themeFill="accent5" w:themeFillTint="34"/>
      </w:tcPr>
    </w:tblStylePr>
    <w:tblStylePr w:type="firstCol">
      <w:rPr>
        <w:b/>
        <w:color w:val="404040"/>
      </w:rPr>
    </w:tblStylePr>
    <w:tblStylePr w:type="firstRow">
      <w:rPr>
        <w:rFonts w:ascii="Arial" w:hAnsi="Arial"/>
        <w:b/>
        <w:color w:val="ffffff"/>
        <w:sz w:val="22"/>
      </w:rPr>
      <w:tcPr>
        <w:shd w:val="clear" w:color="4bacc6" w:themeColor="accent5" w:fill="4bacc6" w:themeFill="accent5"/>
        <w:tcBorders>
          <w:top w:val="single" w:color="4BACC6" w:themeColor="accent5" w:sz="4" w:space="0"/>
          <w:left w:val="single" w:color="4BACC6" w:themeColor="accent5" w:sz="4" w:space="0"/>
          <w:bottom w:val="single" w:color="4BACC6" w:themeColor="accent5" w:sz="4" w:space="0"/>
          <w:right w:val="single" w:color="4BACC6" w:themeColor="accent5" w:sz="4" w:space="0"/>
        </w:tcBorders>
      </w:tcPr>
    </w:tblStylePr>
    <w:tblStylePr w:type="lastCol">
      <w:rPr>
        <w:b/>
        <w:color w:val="404040"/>
      </w:rPr>
    </w:tblStylePr>
    <w:tblStylePr w:type="lastRow">
      <w:rPr>
        <w:b/>
        <w:color w:val="404040"/>
      </w:rPr>
      <w:tcPr>
        <w:tcBorders>
          <w:top w:val="single" w:color="4BACC6" w:themeColor="accent5" w:sz="4" w:space="0"/>
        </w:tcBorders>
      </w:tcPr>
    </w:tblStylePr>
  </w:style>
  <w:style w:type="table" w:styleId="884" w:customStyle="1">
    <w:name w:val="Grid Table 4 - Accent 6"/>
    <w:uiPriority w:val="5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404040"/>
        <w:sz w:val="22"/>
      </w:rPr>
      <w:tcPr>
        <w:shd w:val="clear" w:color="fde9d9" w:themeColor="accent6" w:themeTint="34" w:fill="fde9d9" w:themeFill="accent6" w:themeFillTint="34"/>
      </w:tcPr>
    </w:tblStylePr>
    <w:tblStylePr w:type="band1Vert">
      <w:rPr>
        <w:rFonts w:ascii="Arial" w:hAnsi="Arial"/>
        <w:color w:val="404040"/>
        <w:sz w:val="22"/>
      </w:rPr>
      <w:tcPr>
        <w:shd w:val="clear" w:color="fde9d9" w:themeColor="accent6" w:themeTint="34" w:fill="fde9d9" w:themeFill="accent6" w:themeFillTint="34"/>
      </w:tcPr>
    </w:tblStylePr>
    <w:tblStylePr w:type="firstCol">
      <w:rPr>
        <w:b/>
        <w:color w:val="404040"/>
      </w:rPr>
    </w:tblStylePr>
    <w:tblStylePr w:type="firstRow">
      <w:rPr>
        <w:rFonts w:ascii="Arial" w:hAnsi="Arial"/>
        <w:b/>
        <w:color w:val="ffffff"/>
        <w:sz w:val="22"/>
      </w:rPr>
      <w:tcPr>
        <w:shd w:val="clear" w:color="f79646" w:themeColor="accent6" w:fill="f79646" w:themeFill="accent6"/>
        <w:tcBorders>
          <w:top w:val="single" w:color="F79646" w:themeColor="accent6" w:sz="4" w:space="0"/>
          <w:left w:val="single" w:color="F79646" w:themeColor="accent6" w:sz="4" w:space="0"/>
          <w:bottom w:val="single" w:color="F79646" w:themeColor="accent6" w:sz="4" w:space="0"/>
          <w:right w:val="single" w:color="F79646" w:themeColor="accent6" w:sz="4" w:space="0"/>
        </w:tcBorders>
      </w:tcPr>
    </w:tblStylePr>
    <w:tblStylePr w:type="lastCol">
      <w:rPr>
        <w:b/>
        <w:color w:val="404040"/>
      </w:rPr>
    </w:tblStylePr>
    <w:tblStylePr w:type="lastRow">
      <w:rPr>
        <w:b/>
        <w:color w:val="404040"/>
      </w:rPr>
      <w:tcPr>
        <w:tcBorders>
          <w:top w:val="single" w:color="F79646" w:themeColor="accent6" w:sz="4" w:space="0"/>
        </w:tcBorders>
      </w:tcPr>
    </w:tblStylePr>
  </w:style>
  <w:style w:type="table" w:styleId="885" w:customStyle="1">
    <w:name w:val="Grid Table 5 Dark"/>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898989" w:themeColor="text1" w:themeTint="75" w:fill="898989" w:themeFill="text1" w:themeFillTint="75"/>
      </w:tcPr>
    </w:tblStylePr>
    <w:tblStylePr w:type="band1Vert">
      <w:tcPr>
        <w:shd w:val="clear" w:color="898989" w:themeColor="text1" w:themeTint="75" w:fill="898989" w:themeFill="text1" w:themeFillTint="75"/>
      </w:tcPr>
    </w:tblStylePr>
    <w:tblStylePr w:type="firstCol">
      <w:rPr>
        <w:rFonts w:ascii="Arial" w:hAnsi="Arial"/>
        <w:b/>
        <w:color w:val="ffffff"/>
        <w:sz w:val="22"/>
      </w:rPr>
      <w:tcPr>
        <w:shd w:val="clear" w:color="000000" w:themeColor="text1" w:fill="000000" w:themeFill="text1"/>
      </w:tcPr>
    </w:tblStylePr>
    <w:tblStylePr w:type="firstRow">
      <w:rPr>
        <w:rFonts w:ascii="Arial" w:hAnsi="Arial"/>
        <w:b/>
        <w:color w:val="ffffff"/>
        <w:sz w:val="22"/>
      </w:rPr>
      <w:tcPr>
        <w:shd w:val="clear" w:color="000000" w:themeColor="text1" w:fill="000000" w:themeFill="text1"/>
      </w:tcPr>
    </w:tblStylePr>
    <w:tblStylePr w:type="lastCol">
      <w:rPr>
        <w:rFonts w:ascii="Arial" w:hAnsi="Arial"/>
        <w:b/>
        <w:color w:val="ffffff"/>
        <w:sz w:val="22"/>
      </w:rPr>
      <w:tcPr>
        <w:shd w:val="clear" w:color="000000" w:themeColor="text1" w:fill="000000" w:themeFill="text1"/>
      </w:tcPr>
    </w:tblStylePr>
    <w:tblStylePr w:type="lastRow">
      <w:rPr>
        <w:rFonts w:ascii="Arial" w:hAnsi="Arial"/>
        <w:b/>
        <w:color w:val="ffffff"/>
        <w:sz w:val="22"/>
      </w:rPr>
      <w:tcPr>
        <w:shd w:val="clear" w:color="000000" w:themeColor="text1" w:fill="000000" w:themeFill="text1"/>
        <w:tcBorders>
          <w:top w:val="single" w:color="FFFFFF" w:themeColor="light1" w:sz="4" w:space="0"/>
        </w:tcBorders>
      </w:tcPr>
    </w:tblStylePr>
  </w:style>
  <w:style w:type="table" w:styleId="886" w:customStyle="1">
    <w:name w:val="Grid Table 5 Dark- Accent 1"/>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ec5e0" w:themeColor="accent1" w:themeTint="75" w:fill="aec5e0" w:themeFill="accent1" w:themeFillTint="75"/>
      </w:tcPr>
    </w:tblStylePr>
    <w:tblStylePr w:type="band1Vert">
      <w:tcPr>
        <w:shd w:val="clear" w:color="aec5e0" w:themeColor="accent1" w:themeTint="75" w:fill="aec5e0" w:themeFill="accent1" w:themeFillTint="75"/>
      </w:tcPr>
    </w:tblStylePr>
    <w:tblStylePr w:type="firstCol">
      <w:rPr>
        <w:rFonts w:ascii="Arial" w:hAnsi="Arial"/>
        <w:b/>
        <w:color w:val="ffffff"/>
        <w:sz w:val="22"/>
      </w:rPr>
      <w:tcPr>
        <w:shd w:val="clear" w:color="4f81bd" w:themeColor="accent1" w:fill="4f81bd" w:themeFill="accent1"/>
      </w:tcPr>
    </w:tblStylePr>
    <w:tblStylePr w:type="firstRow">
      <w:rPr>
        <w:rFonts w:ascii="Arial" w:hAnsi="Arial"/>
        <w:b/>
        <w:color w:val="ffffff"/>
        <w:sz w:val="22"/>
      </w:rPr>
      <w:tcPr>
        <w:shd w:val="clear" w:color="4f81bd" w:themeColor="accent1" w:fill="4f81bd" w:themeFill="accent1"/>
      </w:tcPr>
    </w:tblStylePr>
    <w:tblStylePr w:type="lastCol">
      <w:rPr>
        <w:rFonts w:ascii="Arial" w:hAnsi="Arial"/>
        <w:b/>
        <w:color w:val="ffffff"/>
        <w:sz w:val="22"/>
      </w:rPr>
      <w:tcPr>
        <w:shd w:val="clear" w:color="4f81bd" w:themeColor="accent1" w:fill="4f81bd" w:themeFill="accent1"/>
      </w:tcPr>
    </w:tblStylePr>
    <w:tblStylePr w:type="lastRow">
      <w:rPr>
        <w:rFonts w:ascii="Arial" w:hAnsi="Arial"/>
        <w:b/>
        <w:color w:val="ffffff"/>
        <w:sz w:val="22"/>
      </w:rPr>
      <w:tcPr>
        <w:shd w:val="clear" w:color="4f81bd" w:themeColor="accent1" w:fill="4f81bd" w:themeFill="accent1"/>
        <w:tcBorders>
          <w:top w:val="single" w:color="FFFFFF" w:themeColor="light1" w:sz="4" w:space="0"/>
        </w:tcBorders>
      </w:tcPr>
    </w:tblStylePr>
  </w:style>
  <w:style w:type="table" w:styleId="887" w:customStyle="1">
    <w:name w:val="Grid Table 5 Dark - Accent 2"/>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e2aead" w:themeColor="accent2" w:themeTint="75" w:fill="e2aead" w:themeFill="accent2" w:themeFillTint="75"/>
      </w:tcPr>
    </w:tblStylePr>
    <w:tblStylePr w:type="band1Vert">
      <w:tcPr>
        <w:shd w:val="clear" w:color="e2aead" w:themeColor="accent2" w:themeTint="75" w:fill="e2aead" w:themeFill="accent2" w:themeFillTint="75"/>
      </w:tcPr>
    </w:tblStylePr>
    <w:tblStylePr w:type="firstCol">
      <w:rPr>
        <w:rFonts w:ascii="Arial" w:hAnsi="Arial"/>
        <w:b/>
        <w:color w:val="ffffff"/>
        <w:sz w:val="22"/>
      </w:rPr>
      <w:tcPr>
        <w:shd w:val="clear" w:color="c0504d" w:themeColor="accent2" w:fill="c0504d" w:themeFill="accent2"/>
      </w:tcPr>
    </w:tblStylePr>
    <w:tblStylePr w:type="firstRow">
      <w:rPr>
        <w:rFonts w:ascii="Arial" w:hAnsi="Arial"/>
        <w:b/>
        <w:color w:val="ffffff"/>
        <w:sz w:val="22"/>
      </w:rPr>
      <w:tcPr>
        <w:shd w:val="clear" w:color="c0504d" w:themeColor="accent2" w:fill="c0504d" w:themeFill="accent2"/>
      </w:tcPr>
    </w:tblStylePr>
    <w:tblStylePr w:type="lastCol">
      <w:rPr>
        <w:rFonts w:ascii="Arial" w:hAnsi="Arial"/>
        <w:b/>
        <w:color w:val="ffffff"/>
        <w:sz w:val="22"/>
      </w:rPr>
      <w:tcPr>
        <w:shd w:val="clear" w:color="c0504d" w:themeColor="accent2" w:fill="c0504d" w:themeFill="accent2"/>
      </w:tcPr>
    </w:tblStylePr>
    <w:tblStylePr w:type="lastRow">
      <w:rPr>
        <w:rFonts w:ascii="Arial" w:hAnsi="Arial"/>
        <w:b/>
        <w:color w:val="ffffff"/>
        <w:sz w:val="22"/>
      </w:rPr>
      <w:tcPr>
        <w:shd w:val="clear" w:color="c0504d" w:themeColor="accent2" w:fill="c0504d" w:themeFill="accent2"/>
        <w:tcBorders>
          <w:top w:val="single" w:color="FFFFFF" w:themeColor="light1" w:sz="4" w:space="0"/>
        </w:tcBorders>
      </w:tcPr>
    </w:tblStylePr>
  </w:style>
  <w:style w:type="table" w:styleId="888" w:customStyle="1">
    <w:name w:val="Grid Table 5 Dark - Accent 3"/>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d1dfb2" w:themeColor="accent3" w:themeTint="75" w:fill="d1dfb2" w:themeFill="accent3" w:themeFillTint="75"/>
      </w:tcPr>
    </w:tblStylePr>
    <w:tblStylePr w:type="band1Vert">
      <w:tcPr>
        <w:shd w:val="clear" w:color="d1dfb2" w:themeColor="accent3" w:themeTint="75" w:fill="d1dfb2" w:themeFill="accent3" w:themeFillTint="75"/>
      </w:tcPr>
    </w:tblStylePr>
    <w:tblStylePr w:type="firstCol">
      <w:rPr>
        <w:rFonts w:ascii="Arial" w:hAnsi="Arial"/>
        <w:b/>
        <w:color w:val="ffffff"/>
        <w:sz w:val="22"/>
      </w:rPr>
      <w:tcPr>
        <w:shd w:val="clear" w:color="9bbb59" w:themeColor="accent3" w:fill="9bbb59" w:themeFill="accent3"/>
      </w:tcPr>
    </w:tblStylePr>
    <w:tblStylePr w:type="firstRow">
      <w:rPr>
        <w:rFonts w:ascii="Arial" w:hAnsi="Arial"/>
        <w:b/>
        <w:color w:val="ffffff"/>
        <w:sz w:val="22"/>
      </w:rPr>
      <w:tcPr>
        <w:shd w:val="clear" w:color="9bbb59" w:themeColor="accent3" w:fill="9bbb59" w:themeFill="accent3"/>
      </w:tcPr>
    </w:tblStylePr>
    <w:tblStylePr w:type="lastCol">
      <w:rPr>
        <w:rFonts w:ascii="Arial" w:hAnsi="Arial"/>
        <w:b/>
        <w:color w:val="ffffff"/>
        <w:sz w:val="22"/>
      </w:rPr>
      <w:tcPr>
        <w:shd w:val="clear" w:color="9bbb59" w:themeColor="accent3" w:fill="9bbb59" w:themeFill="accent3"/>
      </w:tcPr>
    </w:tblStylePr>
    <w:tblStylePr w:type="lastRow">
      <w:rPr>
        <w:rFonts w:ascii="Arial" w:hAnsi="Arial"/>
        <w:b/>
        <w:color w:val="ffffff"/>
        <w:sz w:val="22"/>
      </w:rPr>
      <w:tcPr>
        <w:shd w:val="clear" w:color="9bbb59" w:themeColor="accent3" w:fill="9bbb59" w:themeFill="accent3"/>
        <w:tcBorders>
          <w:top w:val="single" w:color="FFFFFF" w:themeColor="light1" w:sz="4" w:space="0"/>
        </w:tcBorders>
      </w:tcPr>
    </w:tblStylePr>
  </w:style>
  <w:style w:type="table" w:styleId="889" w:customStyle="1">
    <w:name w:val="Grid Table 5 Dark- Accent 4"/>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c4b7d4" w:themeColor="accent4" w:themeTint="75" w:fill="c4b7d4" w:themeFill="accent4" w:themeFillTint="75"/>
      </w:tcPr>
    </w:tblStylePr>
    <w:tblStylePr w:type="band1Vert">
      <w:tcPr>
        <w:shd w:val="clear" w:color="c4b7d4" w:themeColor="accent4" w:themeTint="75" w:fill="c4b7d4" w:themeFill="accent4" w:themeFillTint="75"/>
      </w:tcPr>
    </w:tblStylePr>
    <w:tblStylePr w:type="firstCol">
      <w:rPr>
        <w:rFonts w:ascii="Arial" w:hAnsi="Arial"/>
        <w:b/>
        <w:color w:val="ffffff"/>
        <w:sz w:val="22"/>
      </w:rPr>
      <w:tcPr>
        <w:shd w:val="clear" w:color="8064a2" w:themeColor="accent4" w:fill="8064a2" w:themeFill="accent4"/>
      </w:tcPr>
    </w:tblStylePr>
    <w:tblStylePr w:type="firstRow">
      <w:rPr>
        <w:rFonts w:ascii="Arial" w:hAnsi="Arial"/>
        <w:b/>
        <w:color w:val="ffffff"/>
        <w:sz w:val="22"/>
      </w:rPr>
      <w:tcPr>
        <w:shd w:val="clear" w:color="8064a2" w:themeColor="accent4" w:fill="8064a2" w:themeFill="accent4"/>
      </w:tcPr>
    </w:tblStylePr>
    <w:tblStylePr w:type="lastCol">
      <w:rPr>
        <w:rFonts w:ascii="Arial" w:hAnsi="Arial"/>
        <w:b/>
        <w:color w:val="ffffff"/>
        <w:sz w:val="22"/>
      </w:rPr>
      <w:tcPr>
        <w:shd w:val="clear" w:color="8064a2" w:themeColor="accent4" w:fill="8064a2" w:themeFill="accent4"/>
      </w:tcPr>
    </w:tblStylePr>
    <w:tblStylePr w:type="lastRow">
      <w:rPr>
        <w:rFonts w:ascii="Arial" w:hAnsi="Arial"/>
        <w:b/>
        <w:color w:val="ffffff"/>
        <w:sz w:val="22"/>
      </w:rPr>
      <w:tcPr>
        <w:shd w:val="clear" w:color="8064a2" w:themeColor="accent4" w:fill="8064a2" w:themeFill="accent4"/>
        <w:tcBorders>
          <w:top w:val="single" w:color="FFFFFF" w:themeColor="light1" w:sz="4" w:space="0"/>
        </w:tcBorders>
      </w:tcPr>
    </w:tblStylePr>
  </w:style>
  <w:style w:type="table" w:styleId="890" w:customStyle="1">
    <w:name w:val="Grid Table 5 Dark - Accent 5"/>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acd8e4" w:themeColor="accent5" w:themeTint="75" w:fill="acd8e4" w:themeFill="accent5" w:themeFillTint="75"/>
      </w:tcPr>
    </w:tblStylePr>
    <w:tblStylePr w:type="band1Vert">
      <w:tcPr>
        <w:shd w:val="clear" w:color="acd8e4" w:themeColor="accent5" w:themeTint="75" w:fill="acd8e4" w:themeFill="accent5" w:themeFillTint="75"/>
      </w:tcPr>
    </w:tblStylePr>
    <w:tblStylePr w:type="firstCol">
      <w:rPr>
        <w:rFonts w:ascii="Arial" w:hAnsi="Arial"/>
        <w:b/>
        <w:color w:val="ffffff"/>
        <w:sz w:val="22"/>
      </w:rPr>
      <w:tcPr>
        <w:shd w:val="clear" w:color="4bacc6" w:themeColor="accent5" w:fill="4bacc6" w:themeFill="accent5"/>
      </w:tcPr>
    </w:tblStylePr>
    <w:tblStylePr w:type="firstRow">
      <w:rPr>
        <w:rFonts w:ascii="Arial" w:hAnsi="Arial"/>
        <w:b/>
        <w:color w:val="ffffff"/>
        <w:sz w:val="22"/>
      </w:rPr>
      <w:tcPr>
        <w:shd w:val="clear" w:color="4bacc6" w:themeColor="accent5" w:fill="4bacc6" w:themeFill="accent5"/>
      </w:tcPr>
    </w:tblStylePr>
    <w:tblStylePr w:type="lastCol">
      <w:rPr>
        <w:rFonts w:ascii="Arial" w:hAnsi="Arial"/>
        <w:b/>
        <w:color w:val="ffffff"/>
        <w:sz w:val="22"/>
      </w:rPr>
      <w:tcPr>
        <w:shd w:val="clear" w:color="4bacc6" w:themeColor="accent5" w:fill="4bacc6" w:themeFill="accent5"/>
      </w:tcPr>
    </w:tblStylePr>
    <w:tblStylePr w:type="lastRow">
      <w:rPr>
        <w:rFonts w:ascii="Arial" w:hAnsi="Arial"/>
        <w:b/>
        <w:color w:val="ffffff"/>
        <w:sz w:val="22"/>
      </w:rPr>
      <w:tcPr>
        <w:shd w:val="clear" w:color="4bacc6" w:themeColor="accent5" w:fill="4bacc6" w:themeFill="accent5"/>
        <w:tcBorders>
          <w:top w:val="single" w:color="FFFFFF" w:themeColor="light1" w:sz="4" w:space="0"/>
        </w:tcBorders>
      </w:tcPr>
    </w:tblStylePr>
  </w:style>
  <w:style w:type="table" w:styleId="891" w:customStyle="1">
    <w:name w:val="Grid Table 5 Dark - Accent 6"/>
    <w:uiPriority w:val="99"/>
    <w:qFormat/>
    <w:pPr>
      <w:spacing w:after="0" w:line="240" w:lineRule="auto"/>
    </w:pPr>
    <w:tblPr>
      <w:tblBorders>
        <w:top w:val="single" w:color="FFFFFF" w:themeColor="light1" w:sz="4" w:space="0"/>
        <w:left w:val="single" w:color="FFFFFF" w:themeColor="light1" w:sz="4" w:space="0"/>
        <w:bottom w:val="single" w:color="FFFFFF" w:themeColor="light1" w:sz="4" w:space="0"/>
        <w:right w:val="single" w:color="FFFFFF" w:themeColor="light1" w:sz="4" w:space="0"/>
        <w:insideH w:val="single" w:color="FFFFFF" w:themeColor="light1" w:sz="4" w:space="0"/>
        <w:insideV w:val="single" w:color="FFFFFF" w:themeColor="light1" w:sz="4" w:space="0"/>
      </w:tblBorders>
    </w:tblPr>
    <w:tblStylePr w:type="band1Horz">
      <w:tcPr>
        <w:shd w:val="clear" w:color="fbceaa" w:themeColor="accent6" w:themeTint="75" w:fill="fbceaa" w:themeFill="accent6" w:themeFillTint="75"/>
      </w:tcPr>
    </w:tblStylePr>
    <w:tblStylePr w:type="band1Vert">
      <w:tcPr>
        <w:shd w:val="clear" w:color="fbceaa" w:themeColor="accent6" w:themeTint="75" w:fill="fbceaa" w:themeFill="accent6" w:themeFillTint="75"/>
      </w:tcPr>
    </w:tblStylePr>
    <w:tblStylePr w:type="firstCol">
      <w:rPr>
        <w:rFonts w:ascii="Arial" w:hAnsi="Arial"/>
        <w:b/>
        <w:color w:val="ffffff"/>
        <w:sz w:val="22"/>
      </w:rPr>
      <w:tcPr>
        <w:shd w:val="clear" w:color="f79646" w:themeColor="accent6" w:fill="f79646" w:themeFill="accent6"/>
      </w:tcPr>
    </w:tblStylePr>
    <w:tblStylePr w:type="firstRow">
      <w:rPr>
        <w:rFonts w:ascii="Arial" w:hAnsi="Arial"/>
        <w:b/>
        <w:color w:val="ffffff"/>
        <w:sz w:val="22"/>
      </w:rPr>
      <w:tcPr>
        <w:shd w:val="clear" w:color="f79646" w:themeColor="accent6" w:fill="f79646" w:themeFill="accent6"/>
      </w:tcPr>
    </w:tblStylePr>
    <w:tblStylePr w:type="lastCol">
      <w:rPr>
        <w:rFonts w:ascii="Arial" w:hAnsi="Arial"/>
        <w:b/>
        <w:color w:val="ffffff"/>
        <w:sz w:val="22"/>
      </w:rPr>
      <w:tcPr>
        <w:shd w:val="clear" w:color="f79646" w:themeColor="accent6" w:fill="f79646" w:themeFill="accent6"/>
      </w:tcPr>
    </w:tblStylePr>
    <w:tblStylePr w:type="lastRow">
      <w:rPr>
        <w:rFonts w:ascii="Arial" w:hAnsi="Arial"/>
        <w:b/>
        <w:color w:val="ffffff"/>
        <w:sz w:val="22"/>
      </w:rPr>
      <w:tcPr>
        <w:shd w:val="clear" w:color="f79646" w:themeColor="accent6" w:fill="f79646" w:themeFill="accent6"/>
        <w:tcBorders>
          <w:top w:val="single" w:color="FFFFFF" w:themeColor="light1" w:sz="4" w:space="0"/>
        </w:tcBorders>
      </w:tcPr>
    </w:tblStylePr>
  </w:style>
  <w:style w:type="table" w:styleId="892" w:customStyle="1">
    <w:name w:val="Grid Table 6 Colorful"/>
    <w:uiPriority w:val="99"/>
    <w:qFormat/>
    <w:pPr>
      <w:spacing w:after="0" w:line="240" w:lineRule="auto"/>
    </w:pPr>
    <w:tblPr>
      <w:tblBorders>
        <w:top w:val="single" w:color="7E7E7E" w:themeColor="text1" w:themeTint="80" w:sz="4" w:space="0"/>
        <w:left w:val="single" w:color="7E7E7E" w:themeColor="text1" w:themeTint="80" w:sz="4" w:space="0"/>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cacaca" w:themeColor="text1" w:themeTint="34" w:fill="cacaca" w:themeFill="text1" w:themeFillTint="34"/>
      </w:tcPr>
    </w:tblStylePr>
    <w:tblStylePr w:type="band1Vert">
      <w:tcPr>
        <w:shd w:val="clear" w:color="cacaca" w:themeColor="text1" w:themeTint="34" w:fill="cacaca" w:themeFill="text1" w:themeFillTint="34"/>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b/>
        <w:color w:val="808080" w:themeColor="text1" w:themeTint="80"/>
        <w14:textFill>
          <w14:solidFill>
            <w14:schemeClr w14:val="tx1">
              <w14:lumMod w14:val="50000"/>
              <w14:lumOff w14:val="50000"/>
            </w14:schemeClr>
          </w14:solidFill>
        </w14:textFill>
      </w:rPr>
    </w:tblStylePr>
    <w:tblStylePr w:type="firstRow">
      <w:rPr>
        <w:b/>
        <w:color w:val="808080" w:themeColor="text1" w:themeTint="80"/>
        <w14:textFill>
          <w14:solidFill>
            <w14:schemeClr w14:val="tx1">
              <w14:lumMod w14:val="50000"/>
              <w14:lumOff w14:val="50000"/>
            </w14:schemeClr>
          </w14:solidFill>
        </w14:textFill>
      </w:rPr>
      <w:tcPr>
        <w:tcBorders>
          <w:bottom w:val="single" w:color="7E7E7E" w:themeColor="text1" w:themeTint="80" w:sz="12" w:space="0"/>
        </w:tcBorders>
      </w:tcPr>
    </w:tblStylePr>
    <w:tblStylePr w:type="lastCol">
      <w:rPr>
        <w:b/>
        <w:color w:val="808080" w:themeColor="text1" w:themeTint="80"/>
        <w14:textFill>
          <w14:solidFill>
            <w14:schemeClr w14:val="tx1">
              <w14:lumMod w14:val="50000"/>
              <w14:lumOff w14:val="50000"/>
            </w14:schemeClr>
          </w14:solidFill>
        </w14:textFill>
      </w:rPr>
    </w:tblStylePr>
    <w:tblStylePr w:type="lastRow">
      <w:rPr>
        <w:b/>
        <w:color w:val="808080" w:themeColor="text1" w:themeTint="80"/>
        <w14:textFill>
          <w14:solidFill>
            <w14:schemeClr w14:val="tx1">
              <w14:lumMod w14:val="50000"/>
              <w14:lumOff w14:val="50000"/>
            </w14:schemeClr>
          </w14:solidFill>
        </w14:textFill>
      </w:rPr>
    </w:tblStylePr>
  </w:style>
  <w:style w:type="table" w:styleId="893" w:customStyle="1">
    <w:name w:val="Grid Table 6 Colorful - Accent 1"/>
    <w:uiPriority w:val="99"/>
    <w:qFormat/>
    <w:pPr>
      <w:spacing w:after="0" w:line="240" w:lineRule="auto"/>
    </w:pPr>
    <w:tblPr>
      <w:tblBorders>
        <w:top w:val="single" w:color="A6BFDD" w:themeColor="accent1" w:themeTint="80" w:sz="4" w:space="0"/>
        <w:left w:val="single" w:color="A6BFDD" w:themeColor="accent1" w:themeTint="80" w:sz="4" w:space="0"/>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b/>
        <w:color w:val="a7c0de" w:themeColor="accent1" w:themeTint="80"/>
        <w14:textFill>
          <w14:solidFill>
            <w14:schemeClr w14:val="accent1">
              <w14:lumMod w14:val="50000"/>
              <w14:lumOff w14:val="50000"/>
            </w14:schemeClr>
          </w14:solidFill>
        </w14:textFill>
      </w:rPr>
    </w:tblStylePr>
    <w:tblStylePr w:type="firstRow">
      <w:rPr>
        <w:b/>
        <w:color w:val="a7c0de" w:themeColor="accent1" w:themeTint="80"/>
        <w14:textFill>
          <w14:solidFill>
            <w14:schemeClr w14:val="accent1">
              <w14:lumMod w14:val="50000"/>
              <w14:lumOff w14:val="50000"/>
            </w14:schemeClr>
          </w14:solidFill>
        </w14:textFill>
      </w:rPr>
      <w:tcPr>
        <w:tcBorders>
          <w:bottom w:val="single" w:color="A6BFDD" w:themeColor="accent1" w:themeTint="80" w:sz="12" w:space="0"/>
        </w:tcBorders>
      </w:tcPr>
    </w:tblStylePr>
    <w:tblStylePr w:type="lastCol">
      <w:rPr>
        <w:b/>
        <w:color w:val="a7c0de" w:themeColor="accent1" w:themeTint="80"/>
        <w14:textFill>
          <w14:solidFill>
            <w14:schemeClr w14:val="accent1">
              <w14:lumMod w14:val="50000"/>
              <w14:lumOff w14:val="50000"/>
            </w14:schemeClr>
          </w14:solidFill>
        </w14:textFill>
      </w:rPr>
    </w:tblStylePr>
    <w:tblStylePr w:type="lastRow">
      <w:rPr>
        <w:b/>
        <w:color w:val="a7c0de" w:themeColor="accent1" w:themeTint="80"/>
        <w14:textFill>
          <w14:solidFill>
            <w14:schemeClr w14:val="accent1">
              <w14:lumMod w14:val="50000"/>
              <w14:lumOff w14:val="50000"/>
            </w14:schemeClr>
          </w14:solidFill>
        </w14:textFill>
      </w:rPr>
    </w:tblStylePr>
  </w:style>
  <w:style w:type="table" w:styleId="894" w:customStyle="1">
    <w:name w:val="Grid Table 6 Colorful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12"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blStylePr>
  </w:style>
  <w:style w:type="table" w:styleId="895" w:customStyle="1">
    <w:name w:val="Grid Table 6 Colorful - Accent 3"/>
    <w:uiPriority w:val="99"/>
    <w:qFormat/>
    <w:pPr>
      <w:spacing w:after="0" w:line="240" w:lineRule="auto"/>
    </w:pPr>
    <w:tblPr>
      <w:tblBorders>
        <w:top w:val="single" w:color="9BBB59" w:themeColor="accent3" w:themeTint="FE" w:sz="4" w:space="0"/>
        <w:left w:val="single" w:color="9BBB59" w:themeColor="accent3" w:themeTint="FE" w:sz="4" w:space="0"/>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b/>
        <w:color w:val="9bbb59" w:themeColor="accent3" w:themeTint="FF"/>
        <w14:textFill>
          <w14:solidFill>
            <w14:schemeClr w14:val="accent3">
              <w14:lumMod w14:val="100000"/>
              <w14:lumOff w14:val="0"/>
            </w14:schemeClr>
          </w14:solidFill>
        </w14:textFill>
      </w:rPr>
    </w:tblStylePr>
    <w:tblStylePr w:type="firstRow">
      <w:rPr>
        <w:b/>
        <w:color w:val="9bbb59" w:themeColor="accent3" w:themeTint="FF"/>
        <w14:textFill>
          <w14:solidFill>
            <w14:schemeClr w14:val="accent3">
              <w14:lumMod w14:val="100000"/>
              <w14:lumOff w14:val="0"/>
            </w14:schemeClr>
          </w14:solidFill>
        </w14:textFill>
      </w:rPr>
      <w:tcPr>
        <w:tcBorders>
          <w:bottom w:val="single" w:color="9BBB59" w:themeColor="accent3" w:themeTint="FE" w:sz="12" w:space="0"/>
        </w:tcBorders>
      </w:tcPr>
    </w:tblStylePr>
    <w:tblStylePr w:type="lastCol">
      <w:rPr>
        <w:b/>
        <w:color w:val="9bbb59" w:themeColor="accent3" w:themeTint="FF"/>
        <w14:textFill>
          <w14:solidFill>
            <w14:schemeClr w14:val="accent3">
              <w14:lumMod w14:val="100000"/>
              <w14:lumOff w14:val="0"/>
            </w14:schemeClr>
          </w14:solidFill>
        </w14:textFill>
      </w:rPr>
    </w:tblStylePr>
    <w:tblStylePr w:type="lastRow">
      <w:rPr>
        <w:b/>
        <w:color w:val="9bbb59" w:themeColor="accent3" w:themeTint="FF"/>
        <w14:textFill>
          <w14:solidFill>
            <w14:schemeClr w14:val="accent3">
              <w14:lumMod w14:val="100000"/>
              <w14:lumOff w14:val="0"/>
            </w14:schemeClr>
          </w14:solidFill>
        </w14:textFill>
      </w:rPr>
    </w:tblStylePr>
  </w:style>
  <w:style w:type="table" w:styleId="896" w:customStyle="1">
    <w:name w:val="Grid Table 6 Colorful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12"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blStylePr>
  </w:style>
  <w:style w:type="table" w:styleId="897" w:customStyle="1">
    <w:name w:val="Grid Table 6 Colorful - Accent 5"/>
    <w:uiPriority w:val="99"/>
    <w:qFormat/>
    <w:pPr>
      <w:spacing w:after="0" w:line="240" w:lineRule="auto"/>
    </w:pPr>
    <w:tblPr>
      <w:tblBorders>
        <w:top w:val="single" w:color="4BACC6" w:themeColor="accent5" w:sz="4" w:space="0"/>
        <w:left w:val="single" w:color="4BACC6" w:themeColor="accent5" w:sz="4" w:space="0"/>
        <w:bottom w:val="single" w:color="4BACC6" w:themeColor="accent5" w:sz="4" w:space="0"/>
        <w:right w:val="single" w:color="4BACC6" w:themeColor="accent5" w:sz="4" w:space="0"/>
        <w:insideH w:val="single" w:color="4BACC6" w:themeColor="accent5" w:sz="4" w:space="0"/>
        <w:insideV w:val="single" w:color="4BACC6" w:themeColor="accent5"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4BACC6" w:themeColor="accent5"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8" w:customStyle="1">
    <w:name w:val="Grid Table 6 Colorful - Accent 6"/>
    <w:uiPriority w:val="99"/>
    <w:qFormat/>
    <w:pPr>
      <w:spacing w:after="0" w:line="240" w:lineRule="auto"/>
    </w:pPr>
    <w:tblPr>
      <w:tblBorders>
        <w:top w:val="single" w:color="F79646" w:themeColor="accent6" w:sz="4" w:space="0"/>
        <w:left w:val="single" w:color="F79646" w:themeColor="accent6" w:sz="4" w:space="0"/>
        <w:bottom w:val="single" w:color="F79646" w:themeColor="accent6" w:sz="4" w:space="0"/>
        <w:right w:val="single" w:color="F79646" w:themeColor="accent6" w:sz="4" w:space="0"/>
        <w:insideH w:val="single" w:color="F79646" w:themeColor="accent6" w:sz="4" w:space="0"/>
        <w:insideV w:val="single" w:color="F79646" w:themeColor="accent6" w:sz="4" w:space="0"/>
      </w:tblBorders>
    </w:tblPr>
    <w:tblStylePr w:type="band1Horz">
      <w:rPr>
        <w:rFonts w:ascii="Arial" w:hAnsi="Arial"/>
        <w:color w:val="266778" w:themeColor="accent5"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266778" w:themeColor="accent5" w:themeShade="94"/>
        <w:sz w:val="22"/>
      </w:rPr>
    </w:tblStylePr>
    <w:tblStylePr w:type="firstCol">
      <w:rPr>
        <w:b/>
        <w:color w:val="266778" w:themeColor="accent5" w:themeShade="94"/>
      </w:rPr>
    </w:tblStylePr>
    <w:tblStylePr w:type="firstRow">
      <w:rPr>
        <w:b/>
        <w:color w:val="266778" w:themeColor="accent5" w:themeShade="94"/>
      </w:rPr>
      <w:tcPr>
        <w:tcBorders>
          <w:bottom w:val="single" w:color="F79646" w:themeColor="accent6" w:sz="12" w:space="0"/>
        </w:tcBorders>
      </w:tcPr>
    </w:tblStylePr>
    <w:tblStylePr w:type="lastCol">
      <w:rPr>
        <w:b/>
        <w:color w:val="266778" w:themeColor="accent5" w:themeShade="94"/>
      </w:rPr>
    </w:tblStylePr>
    <w:tblStylePr w:type="lastRow">
      <w:rPr>
        <w:b/>
        <w:color w:val="266778" w:themeColor="accent5" w:themeShade="94"/>
      </w:rPr>
    </w:tblStylePr>
  </w:style>
  <w:style w:type="table" w:styleId="899" w:customStyle="1">
    <w:name w:val="Grid Table 7 Colorful"/>
    <w:uiPriority w:val="99"/>
    <w:qFormat/>
    <w:pPr>
      <w:spacing w:after="0" w:line="240" w:lineRule="auto"/>
    </w:pPr>
    <w:tblPr>
      <w:tblBorders>
        <w:bottom w:val="single" w:color="7E7E7E" w:themeColor="text1" w:themeTint="80" w:sz="4" w:space="0"/>
        <w:right w:val="single" w:color="7E7E7E" w:themeColor="text1" w:themeTint="80" w:sz="4" w:space="0"/>
        <w:insideH w:val="single" w:color="7E7E7E" w:themeColor="text1" w:themeTint="80" w:sz="4" w:space="0"/>
        <w:insideV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f1f1f1" w:themeColor="text1" w:themeTint="0D" w:fill="f1f1f1" w:themeFill="text1" w:themeFillTint="0D"/>
      </w:tcPr>
    </w:tblStylePr>
    <w:tblStylePr w:type="band1Vert">
      <w:tcPr>
        <w:shd w:val="clear" w:color="f1f1f1" w:themeColor="text1" w:themeTint="0D" w:fill="f1f1f1" w:themeFill="text1" w:themeFillTint="0D"/>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b/>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00" w:customStyle="1">
    <w:name w:val="Grid Table 7 Colorful - Accent 1"/>
    <w:uiPriority w:val="99"/>
    <w:qFormat/>
    <w:pPr>
      <w:spacing w:after="0" w:line="240" w:lineRule="auto"/>
    </w:pPr>
    <w:tblPr>
      <w:tblBorders>
        <w:bottom w:val="single" w:color="A6BFDD" w:themeColor="accent1" w:themeTint="80" w:sz="4" w:space="0"/>
        <w:right w:val="single" w:color="A6BFDD" w:themeColor="accent1" w:themeTint="80" w:sz="4" w:space="0"/>
        <w:insideH w:val="single" w:color="A6BFDD" w:themeColor="accent1" w:themeTint="80" w:sz="4" w:space="0"/>
        <w:insideV w:val="single" w:color="A6BFDD" w:themeColor="accent1" w:themeTint="80" w:sz="4" w:space="0"/>
      </w:tblBorders>
    </w:tblPr>
    <w:tblStylePr w:type="band1Horz">
      <w:rPr>
        <w:rFonts w:ascii="Arial" w:hAnsi="Arial"/>
        <w:color w:val="a7c0de" w:themeColor="accent1" w:themeTint="80"/>
        <w:sz w:val="22"/>
        <w14:textFill>
          <w14:solidFill>
            <w14:schemeClr w14:val="accent1">
              <w14:lumMod w14:val="50000"/>
              <w14:lumOff w14:val="50000"/>
            </w14:schemeClr>
          </w14:solidFill>
        </w14:textFill>
      </w:rPr>
      <w:tcPr>
        <w:shd w:val="clear" w:color="dbe5f1" w:themeColor="accent1" w:themeTint="34" w:fill="dbe5f1" w:themeFill="accent1" w:themeFillTint="34"/>
      </w:tcPr>
    </w:tblStylePr>
    <w:tblStylePr w:type="band1Vert">
      <w:tcPr>
        <w:shd w:val="clear" w:color="dbe5f1" w:themeColor="accent1" w:themeTint="34" w:fill="dbe5f1" w:themeFill="accent1" w:themeFillTint="34"/>
      </w:tcPr>
    </w:tblStylePr>
    <w:tblStylePr w:type="band2Horz">
      <w:rPr>
        <w:rFonts w:ascii="Arial" w:hAnsi="Arial"/>
        <w:color w:val="a7c0de" w:themeColor="accent1" w:themeTint="80"/>
        <w:sz w:val="22"/>
        <w14:textFill>
          <w14:solidFill>
            <w14:schemeClr w14:val="accent1">
              <w14:lumMod w14:val="50000"/>
              <w14:lumOff w14:val="50000"/>
            </w14:schemeClr>
          </w14:solidFill>
        </w14:textFill>
      </w:rPr>
    </w:tblStylePr>
    <w:tblStylePr w:type="firstCol">
      <w:rPr>
        <w:rFonts w:ascii="Arial" w:hAnsi="Arial"/>
        <w:i/>
        <w:color w:val="a7c0de" w:themeColor="accent1" w:themeTint="80"/>
        <w:sz w:val="22"/>
        <w14:textFill>
          <w14:solidFill>
            <w14:schemeClr w14:val="accent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A6BFDD" w:themeColor="accent1" w:themeTint="80" w:sz="4" w:space="0"/>
        </w:tcBorders>
      </w:tcPr>
    </w:tblStylePr>
    <w:tblStylePr w:type="fir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A6BFDD" w:themeColor="accent1" w:themeTint="80" w:sz="4" w:space="0"/>
          <w:right w:val="none" w:color="000000" w:sz="4" w:space="0"/>
        </w:tcBorders>
      </w:tcPr>
    </w:tblStylePr>
    <w:tblStylePr w:type="lastCol">
      <w:rPr>
        <w:rFonts w:ascii="Arial" w:hAnsi="Arial"/>
        <w:i/>
        <w:color w:val="a7c0de" w:themeColor="accent1" w:themeTint="80"/>
        <w:sz w:val="22"/>
        <w14:textFill>
          <w14:solidFill>
            <w14:schemeClr w14:val="accent1">
              <w14:lumMod w14:val="50000"/>
              <w14:lumOff w14:val="50000"/>
            </w14:schemeClr>
          </w14:solidFill>
        </w14:textFill>
      </w:rPr>
      <w:tcPr>
        <w:shd w:val="clear" w:color="ffffff" w:fill="auto"/>
        <w:tcBorders>
          <w:top w:val="none" w:color="000000" w:sz="4" w:space="0"/>
          <w:left w:val="single" w:color="A6BFDD" w:themeColor="accent1" w:themeTint="80" w:sz="4" w:space="0"/>
          <w:bottom w:val="none" w:color="000000" w:sz="4" w:space="0"/>
          <w:right w:val="none" w:color="000000" w:sz="4" w:space="0"/>
        </w:tcBorders>
      </w:tcPr>
    </w:tblStylePr>
    <w:tblStylePr w:type="lastRow">
      <w:rPr>
        <w:rFonts w:ascii="Arial" w:hAnsi="Arial"/>
        <w:b/>
        <w:color w:val="a7c0de" w:themeColor="accent1" w:themeTint="80"/>
        <w:sz w:val="22"/>
        <w14:textFill>
          <w14:solidFill>
            <w14:schemeClr w14:val="accent1">
              <w14:lumMod w14:val="50000"/>
              <w14:lumOff w14:val="50000"/>
            </w14:schemeClr>
          </w14:solidFill>
        </w14:textFill>
      </w:rPr>
      <w:tcPr>
        <w:shd w:val="clear" w:color="ffffff" w:themeColor="light1" w:fill="ffffff" w:themeFill="light1"/>
        <w:tcBorders>
          <w:top w:val="single" w:color="A6BFDD" w:themeColor="accent1" w:themeTint="80" w:sz="4" w:space="0"/>
          <w:left w:val="none" w:color="000000" w:sz="4" w:space="0"/>
          <w:bottom w:val="none" w:color="000000" w:sz="4" w:space="0"/>
          <w:right w:val="none" w:color="000000" w:sz="4" w:space="0"/>
        </w:tcBorders>
      </w:tcPr>
    </w:tblStylePr>
  </w:style>
  <w:style w:type="table" w:styleId="901" w:customStyle="1">
    <w:name w:val="Grid Table 7 Colorful - Accent 2"/>
    <w:uiPriority w:val="99"/>
    <w:qFormat/>
    <w:pPr>
      <w:spacing w:after="0" w:line="240" w:lineRule="auto"/>
    </w:pPr>
    <w:tblPr>
      <w:tblBorders>
        <w:bottom w:val="single" w:color="D99795" w:themeColor="accent2" w:themeTint="97" w:sz="4" w:space="0"/>
        <w:right w:val="single" w:color="D99795" w:themeColor="accent2" w:themeTint="97" w:sz="4" w:space="0"/>
        <w:insideH w:val="single" w:color="D99795" w:themeColor="accent2" w:themeTint="97" w:sz="4" w:space="0"/>
        <w:insideV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f2dcdc" w:themeColor="accent2" w:themeTint="32" w:fill="f2dcdc" w:themeFill="accent2" w:themeFillTint="32"/>
      </w:tcPr>
    </w:tblStylePr>
    <w:tblStylePr w:type="band1Vert">
      <w:tcPr>
        <w:shd w:val="clear" w:color="f2dcdc" w:themeColor="accent2" w:themeTint="32" w:fill="f2dcdc" w:themeFill="accent2" w:themeFillTint="32"/>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b/>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02" w:customStyle="1">
    <w:name w:val="Grid Table 7 Colorful - Accent 3"/>
    <w:uiPriority w:val="99"/>
    <w:qFormat/>
    <w:pPr>
      <w:spacing w:after="0" w:line="240" w:lineRule="auto"/>
    </w:pPr>
    <w:tblPr>
      <w:tblBorders>
        <w:bottom w:val="single" w:color="9BBB59" w:themeColor="accent3" w:themeTint="FE" w:sz="4" w:space="0"/>
        <w:right w:val="single" w:color="9BBB59" w:themeColor="accent3" w:themeTint="FE" w:sz="4" w:space="0"/>
        <w:insideH w:val="single" w:color="9BBB59" w:themeColor="accent3" w:themeTint="FE" w:sz="4" w:space="0"/>
        <w:insideV w:val="single" w:color="9BBB59" w:themeColor="accent3" w:themeTint="FE" w:sz="4" w:space="0"/>
      </w:tblBorders>
    </w:tblPr>
    <w:tblStylePr w:type="band1Horz">
      <w:rPr>
        <w:rFonts w:ascii="Arial" w:hAnsi="Arial"/>
        <w:color w:val="9bbb59" w:themeColor="accent3" w:themeTint="FF"/>
        <w:sz w:val="22"/>
        <w14:textFill>
          <w14:solidFill>
            <w14:schemeClr w14:val="accent3">
              <w14:lumMod w14:val="100000"/>
              <w14:lumOff w14:val="0"/>
            </w14:schemeClr>
          </w14:solidFill>
        </w14:textFill>
      </w:rPr>
      <w:tcPr>
        <w:shd w:val="clear" w:color="eaf1dd" w:themeColor="accent3" w:themeTint="34" w:fill="eaf1dd" w:themeFill="accent3" w:themeFillTint="34"/>
      </w:tcPr>
    </w:tblStylePr>
    <w:tblStylePr w:type="band1Vert">
      <w:tcPr>
        <w:shd w:val="clear" w:color="eaf1dd" w:themeColor="accent3" w:themeTint="34" w:fill="eaf1dd" w:themeFill="accent3" w:themeFillTint="34"/>
      </w:tcPr>
    </w:tblStylePr>
    <w:tblStylePr w:type="band2Horz">
      <w:rPr>
        <w:rFonts w:ascii="Arial" w:hAnsi="Arial"/>
        <w:color w:val="9bbb59" w:themeColor="accent3" w:themeTint="FF"/>
        <w:sz w:val="22"/>
        <w14:textFill>
          <w14:solidFill>
            <w14:schemeClr w14:val="accent3">
              <w14:lumMod w14:val="100000"/>
              <w14:lumOff w14:val="0"/>
            </w14:schemeClr>
          </w14:solidFill>
        </w14:textFill>
      </w:rPr>
    </w:tblStylePr>
    <w:tblStylePr w:type="firstCol">
      <w:rPr>
        <w:rFonts w:ascii="Arial" w:hAnsi="Arial"/>
        <w:i/>
        <w:color w:val="9bbb59" w:themeColor="accent3" w:themeTint="FF"/>
        <w:sz w:val="22"/>
        <w14:textFill>
          <w14:solidFill>
            <w14:schemeClr w14:val="accent3">
              <w14:lumMod w14:val="100000"/>
              <w14:lumOff w14:val="0"/>
            </w14:schemeClr>
          </w14:solidFill>
        </w14:textFill>
      </w:rPr>
      <w:pPr>
        <w:jc w:val="right"/>
      </w:pPr>
      <w:tcPr>
        <w:shd w:val="clear" w:color="ffffff" w:fill="auto"/>
        <w:tcBorders>
          <w:top w:val="none" w:color="000000" w:sz="4" w:space="0"/>
          <w:left w:val="none" w:color="000000" w:sz="4" w:space="0"/>
          <w:bottom w:val="none" w:color="000000" w:sz="4" w:space="0"/>
          <w:right w:val="single" w:color="9BBB59" w:themeColor="accent3" w:themeTint="FE" w:sz="4" w:space="0"/>
        </w:tcBorders>
      </w:tcPr>
    </w:tblStylePr>
    <w:tblStylePr w:type="fir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none" w:color="000000" w:sz="4" w:space="0"/>
          <w:left w:val="none" w:color="000000" w:sz="4" w:space="0"/>
          <w:bottom w:val="single" w:color="9BBB59" w:themeColor="accent3" w:themeTint="FE" w:sz="4" w:space="0"/>
          <w:right w:val="none" w:color="000000" w:sz="4" w:space="0"/>
        </w:tcBorders>
      </w:tcPr>
    </w:tblStylePr>
    <w:tblStylePr w:type="lastCol">
      <w:rPr>
        <w:rFonts w:ascii="Arial" w:hAnsi="Arial"/>
        <w:i/>
        <w:color w:val="9bbb59" w:themeColor="accent3" w:themeTint="FF"/>
        <w:sz w:val="22"/>
        <w14:textFill>
          <w14:solidFill>
            <w14:schemeClr w14:val="accent3">
              <w14:lumMod w14:val="100000"/>
              <w14:lumOff w14:val="0"/>
            </w14:schemeClr>
          </w14:solidFill>
        </w14:textFill>
      </w:rPr>
      <w:tcPr>
        <w:shd w:val="clear" w:color="ffffff" w:fill="auto"/>
        <w:tcBorders>
          <w:top w:val="none" w:color="000000" w:sz="4" w:space="0"/>
          <w:left w:val="single" w:color="9BBB59" w:themeColor="accent3" w:themeTint="FE" w:sz="4" w:space="0"/>
          <w:bottom w:val="none" w:color="000000" w:sz="4" w:space="0"/>
          <w:right w:val="none" w:color="000000" w:sz="4" w:space="0"/>
        </w:tcBorders>
      </w:tcPr>
    </w:tblStylePr>
    <w:tblStylePr w:type="lastRow">
      <w:rPr>
        <w:rFonts w:ascii="Arial" w:hAnsi="Arial"/>
        <w:b/>
        <w:color w:val="9bbb59" w:themeColor="accent3" w:themeTint="FF"/>
        <w:sz w:val="22"/>
        <w14:textFill>
          <w14:solidFill>
            <w14:schemeClr w14:val="accent3">
              <w14:lumMod w14:val="100000"/>
              <w14:lumOff w14:val="0"/>
            </w14:schemeClr>
          </w14:solidFill>
        </w14:textFill>
      </w:rPr>
      <w:tcPr>
        <w:shd w:val="clear" w:color="ffffff" w:themeColor="light1" w:fill="ffffff" w:themeFill="light1"/>
        <w:tcBorders>
          <w:top w:val="single" w:color="9BBB59" w:themeColor="accent3" w:themeTint="FE" w:sz="4" w:space="0"/>
          <w:left w:val="none" w:color="000000" w:sz="4" w:space="0"/>
          <w:bottom w:val="none" w:color="000000" w:sz="4" w:space="0"/>
          <w:right w:val="none" w:color="000000" w:sz="4" w:space="0"/>
        </w:tcBorders>
      </w:tcPr>
    </w:tblStylePr>
  </w:style>
  <w:style w:type="table" w:styleId="903" w:customStyle="1">
    <w:name w:val="Grid Table 7 Colorful - Accent 4"/>
    <w:uiPriority w:val="99"/>
    <w:qFormat/>
    <w:pPr>
      <w:spacing w:after="0" w:line="240" w:lineRule="auto"/>
    </w:pPr>
    <w:tblPr>
      <w:tblBorders>
        <w:bottom w:val="single" w:color="B2A1C6" w:themeColor="accent4" w:themeTint="9A" w:sz="4" w:space="0"/>
        <w:right w:val="single" w:color="B2A1C6" w:themeColor="accent4" w:themeTint="9A" w:sz="4" w:space="0"/>
        <w:insideH w:val="single" w:color="B2A1C6" w:themeColor="accent4" w:themeTint="9A" w:sz="4" w:space="0"/>
        <w:insideV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e5dfec" w:themeColor="accent4" w:themeTint="34" w:fill="e5dfec" w:themeFill="accent4" w:themeFillTint="34"/>
      </w:tcPr>
    </w:tblStylePr>
    <w:tblStylePr w:type="band1Vert">
      <w:tcPr>
        <w:shd w:val="clear" w:color="e5dfec" w:themeColor="accent4" w:themeTint="34" w:fill="e5dfec" w:themeFill="accent4" w:themeFillTint="34"/>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b/>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04" w:customStyle="1">
    <w:name w:val="Grid Table 7 Colorful - Accent 5"/>
    <w:uiPriority w:val="99"/>
    <w:qFormat/>
    <w:pPr>
      <w:spacing w:after="0" w:line="240" w:lineRule="auto"/>
    </w:pPr>
    <w:tblPr>
      <w:tblBorders>
        <w:bottom w:val="single" w:color="99D0DE" w:themeColor="accent5" w:themeTint="90" w:sz="4" w:space="0"/>
        <w:right w:val="single" w:color="99D0DE" w:themeColor="accent5" w:themeTint="90" w:sz="4" w:space="0"/>
        <w:insideH w:val="single" w:color="99D0DE" w:themeColor="accent5" w:themeTint="90" w:sz="4" w:space="0"/>
        <w:insideV w:val="single" w:color="99D0DE" w:themeColor="accent5" w:themeTint="90" w:sz="4" w:space="0"/>
      </w:tblBorders>
    </w:tblPr>
    <w:tblStylePr w:type="band1Horz">
      <w:rPr>
        <w:rFonts w:ascii="Arial" w:hAnsi="Arial"/>
        <w:color w:val="266778" w:themeColor="accent5" w:themeShade="94"/>
        <w:sz w:val="22"/>
      </w:rPr>
      <w:tcPr>
        <w:shd w:val="clear" w:color="daeef3" w:themeColor="accent5" w:themeTint="34" w:fill="daeef3" w:themeFill="accent5" w:themeFillTint="34"/>
      </w:tcPr>
    </w:tblStylePr>
    <w:tblStylePr w:type="band1Vert">
      <w:tcPr>
        <w:shd w:val="clear" w:color="daeef3" w:themeColor="accent5" w:themeTint="34" w:fill="daeef3" w:themeFill="accent5" w:themeFillTint="34"/>
      </w:tcPr>
    </w:tblStylePr>
    <w:tblStylePr w:type="band2Horz">
      <w:rPr>
        <w:rFonts w:ascii="Arial" w:hAnsi="Arial"/>
        <w:color w:val="266778" w:themeColor="accent5" w:themeShade="94"/>
        <w:sz w:val="22"/>
      </w:rPr>
    </w:tblStylePr>
    <w:tblStylePr w:type="firstCol">
      <w:rPr>
        <w:rFonts w:ascii="Arial" w:hAnsi="Arial"/>
        <w:i/>
        <w:color w:val="266778" w:themeColor="accent5" w:themeShade="94"/>
        <w:sz w:val="22"/>
      </w:rPr>
      <w:pPr>
        <w:jc w:val="right"/>
      </w:pPr>
      <w:tcPr>
        <w:shd w:val="clear" w:color="ffffff" w:fill="auto"/>
        <w:tcBorders>
          <w:top w:val="none" w:color="000000" w:sz="4" w:space="0"/>
          <w:left w:val="none" w:color="000000" w:sz="4" w:space="0"/>
          <w:bottom w:val="none" w:color="000000" w:sz="4" w:space="0"/>
          <w:right w:val="single" w:color="99D0DE" w:themeColor="accent5" w:themeTint="90" w:sz="4" w:space="0"/>
        </w:tcBorders>
      </w:tcPr>
    </w:tblStylePr>
    <w:tblStylePr w:type="firstRow">
      <w:rPr>
        <w:rFonts w:ascii="Arial" w:hAnsi="Arial"/>
        <w:b/>
        <w:color w:val="266778" w:themeColor="accent5" w:themeShade="94"/>
        <w:sz w:val="22"/>
      </w:rPr>
      <w:tcPr>
        <w:shd w:val="clear" w:color="ffffff" w:themeColor="light1" w:fill="ffffff" w:themeFill="light1"/>
        <w:tcBorders>
          <w:top w:val="none" w:color="000000" w:sz="4" w:space="0"/>
          <w:left w:val="none" w:color="000000" w:sz="4" w:space="0"/>
          <w:bottom w:val="single" w:color="99D0DE" w:themeColor="accent5" w:themeTint="90" w:sz="4" w:space="0"/>
          <w:right w:val="none" w:color="000000" w:sz="4" w:space="0"/>
        </w:tcBorders>
      </w:tcPr>
    </w:tblStylePr>
    <w:tblStylePr w:type="lastCol">
      <w:rPr>
        <w:rFonts w:ascii="Arial" w:hAnsi="Arial"/>
        <w:i/>
        <w:color w:val="266778" w:themeColor="accent5" w:themeShade="94"/>
        <w:sz w:val="22"/>
      </w:rPr>
      <w:tcPr>
        <w:shd w:val="clear" w:color="ffffff" w:fill="auto"/>
        <w:tcBorders>
          <w:top w:val="none" w:color="000000" w:sz="4" w:space="0"/>
          <w:left w:val="single" w:color="99D0DE" w:themeColor="accent5" w:themeTint="90" w:sz="4" w:space="0"/>
          <w:bottom w:val="none" w:color="000000" w:sz="4" w:space="0"/>
          <w:right w:val="none" w:color="000000" w:sz="4" w:space="0"/>
        </w:tcBorders>
      </w:tcPr>
    </w:tblStylePr>
    <w:tblStylePr w:type="lastRow">
      <w:rPr>
        <w:rFonts w:ascii="Arial" w:hAnsi="Arial"/>
        <w:b/>
        <w:color w:val="266778" w:themeColor="accent5" w:themeShade="94"/>
        <w:sz w:val="22"/>
      </w:rPr>
      <w:tcPr>
        <w:shd w:val="clear" w:color="ffffff" w:themeColor="light1" w:fill="ffffff" w:themeFill="light1"/>
        <w:tcBorders>
          <w:top w:val="single" w:color="99D0DE" w:themeColor="accent5" w:themeTint="90" w:sz="4" w:space="0"/>
          <w:left w:val="none" w:color="000000" w:sz="4" w:space="0"/>
          <w:bottom w:val="none" w:color="000000" w:sz="4" w:space="0"/>
          <w:right w:val="none" w:color="000000" w:sz="4" w:space="0"/>
        </w:tcBorders>
      </w:tcPr>
    </w:tblStylePr>
  </w:style>
  <w:style w:type="table" w:styleId="905" w:customStyle="1">
    <w:name w:val="Grid Table 7 Colorful - Accent 6"/>
    <w:uiPriority w:val="99"/>
    <w:qFormat/>
    <w:pPr>
      <w:spacing w:after="0" w:line="240" w:lineRule="auto"/>
    </w:pPr>
    <w:tblPr>
      <w:tblBorders>
        <w:bottom w:val="single" w:color="FAC396" w:themeColor="accent6" w:themeTint="90" w:sz="4" w:space="0"/>
        <w:right w:val="single" w:color="FAC396" w:themeColor="accent6" w:themeTint="90" w:sz="4" w:space="0"/>
        <w:insideH w:val="single" w:color="FAC396" w:themeColor="accent6" w:themeTint="90" w:sz="4" w:space="0"/>
        <w:insideV w:val="single" w:color="FAC396" w:themeColor="accent6" w:themeTint="90" w:sz="4" w:space="0"/>
      </w:tblBorders>
    </w:tblPr>
    <w:tblStylePr w:type="band1Horz">
      <w:rPr>
        <w:rFonts w:ascii="Arial" w:hAnsi="Arial"/>
        <w:color w:val="b05408" w:themeColor="accent6" w:themeShade="94"/>
        <w:sz w:val="22"/>
      </w:rPr>
      <w:tcPr>
        <w:shd w:val="clear" w:color="fde9d9" w:themeColor="accent6" w:themeTint="34" w:fill="fde9d9" w:themeFill="accent6" w:themeFillTint="34"/>
      </w:tcPr>
    </w:tblStylePr>
    <w:tblStylePr w:type="band1Vert">
      <w:tcPr>
        <w:shd w:val="clear" w:color="fde9d9" w:themeColor="accent6" w:themeTint="34" w:fill="fde9d9" w:themeFill="accent6" w:themeFillTint="34"/>
      </w:tcPr>
    </w:tblStylePr>
    <w:tblStylePr w:type="band2Horz">
      <w:rPr>
        <w:rFonts w:ascii="Arial" w:hAnsi="Arial"/>
        <w:color w:val="b05408" w:themeColor="accent6" w:themeShade="94"/>
        <w:sz w:val="22"/>
      </w:rPr>
    </w:tblStylePr>
    <w:tblStylePr w:type="firstCol">
      <w:rPr>
        <w:rFonts w:ascii="Arial" w:hAnsi="Arial"/>
        <w:i/>
        <w:color w:val="b05408" w:themeColor="accent6" w:themeShade="94"/>
        <w:sz w:val="22"/>
      </w:rPr>
      <w:pPr>
        <w:jc w:val="right"/>
      </w:pPr>
      <w:tcPr>
        <w:shd w:val="clear" w:color="ffffff" w:fill="auto"/>
        <w:tcBorders>
          <w:top w:val="none" w:color="000000" w:sz="4" w:space="0"/>
          <w:left w:val="none" w:color="000000" w:sz="4" w:space="0"/>
          <w:bottom w:val="none" w:color="000000" w:sz="4" w:space="0"/>
          <w:right w:val="single" w:color="FAC396" w:themeColor="accent6" w:themeTint="90" w:sz="4" w:space="0"/>
        </w:tcBorders>
      </w:tcPr>
    </w:tblStylePr>
    <w:tblStylePr w:type="firstRow">
      <w:rPr>
        <w:rFonts w:ascii="Arial" w:hAnsi="Arial"/>
        <w:b/>
        <w:color w:val="b05408" w:themeColor="accent6" w:themeShade="94"/>
        <w:sz w:val="22"/>
      </w:rPr>
      <w:tcPr>
        <w:shd w:val="clear" w:color="ffffff" w:themeColor="light1" w:fill="ffffff" w:themeFill="light1"/>
        <w:tcBorders>
          <w:top w:val="none" w:color="000000" w:sz="4" w:space="0"/>
          <w:left w:val="none" w:color="000000" w:sz="4" w:space="0"/>
          <w:bottom w:val="single" w:color="FAC396" w:themeColor="accent6" w:themeTint="90" w:sz="4" w:space="0"/>
          <w:right w:val="none" w:color="000000" w:sz="4" w:space="0"/>
        </w:tcBorders>
      </w:tcPr>
    </w:tblStylePr>
    <w:tblStylePr w:type="lastCol">
      <w:rPr>
        <w:rFonts w:ascii="Arial" w:hAnsi="Arial"/>
        <w:i/>
        <w:color w:val="b05408" w:themeColor="accent6" w:themeShade="94"/>
        <w:sz w:val="22"/>
      </w:rPr>
      <w:tcPr>
        <w:shd w:val="clear" w:color="ffffff" w:fill="auto"/>
        <w:tcBorders>
          <w:top w:val="none" w:color="000000" w:sz="4" w:space="0"/>
          <w:left w:val="single" w:color="FAC396" w:themeColor="accent6" w:themeTint="90" w:sz="4" w:space="0"/>
          <w:bottom w:val="none" w:color="000000" w:sz="4" w:space="0"/>
          <w:right w:val="none" w:color="000000" w:sz="4" w:space="0"/>
        </w:tcBorders>
      </w:tcPr>
    </w:tblStylePr>
    <w:tblStylePr w:type="lastRow">
      <w:rPr>
        <w:rFonts w:ascii="Arial" w:hAnsi="Arial"/>
        <w:b/>
        <w:color w:val="b05408" w:themeColor="accent6" w:themeShade="94"/>
        <w:sz w:val="22"/>
      </w:rPr>
      <w:tcPr>
        <w:shd w:val="clear" w:color="ffffff" w:themeColor="light1" w:fill="ffffff" w:themeFill="light1"/>
        <w:tcBorders>
          <w:top w:val="single" w:color="FAC396" w:themeColor="accent6" w:themeTint="90" w:sz="4" w:space="0"/>
          <w:left w:val="none" w:color="000000" w:sz="4" w:space="0"/>
          <w:bottom w:val="none" w:color="000000" w:sz="4" w:space="0"/>
          <w:right w:val="none" w:color="000000" w:sz="4" w:space="0"/>
        </w:tcBorders>
      </w:tcPr>
    </w:tblStylePr>
  </w:style>
  <w:style w:type="table" w:styleId="906" w:customStyle="1">
    <w:name w:val="List Table 1 Light"/>
    <w:uiPriority w:val="99"/>
    <w:qFormat/>
    <w:pPr>
      <w:spacing w:after="0" w:line="240" w:lineRule="auto"/>
    </w:pPr>
    <w:tblPr/>
    <w:tblStylePr w:type="band1Horz">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000000" w:themeColor="text1" w:sz="4" w:space="0"/>
          <w:right w:val="none" w:color="000000" w:sz="4" w:space="0"/>
        </w:tcBorders>
      </w:tcPr>
    </w:tblStylePr>
    <w:tblStylePr w:type="lastCol">
      <w:rPr>
        <w:b/>
        <w:color w:val="404040"/>
      </w:rPr>
    </w:tblStylePr>
    <w:tblStylePr w:type="lastRow">
      <w:rPr>
        <w:b/>
        <w:color w:val="404040"/>
      </w:rPr>
      <w:tcPr>
        <w:tcBorders>
          <w:top w:val="single" w:color="000000" w:themeColor="text1" w:sz="4" w:space="0"/>
          <w:left w:val="none" w:color="000000" w:sz="4" w:space="0"/>
          <w:bottom w:val="none" w:color="000000" w:sz="4" w:space="0"/>
          <w:right w:val="none" w:color="000000" w:sz="4" w:space="0"/>
        </w:tcBorders>
      </w:tcPr>
    </w:tblStylePr>
  </w:style>
  <w:style w:type="table" w:styleId="907" w:customStyle="1">
    <w:name w:val="List Table 1 Light - Accent 1"/>
    <w:uiPriority w:val="99"/>
    <w:qFormat/>
    <w:pPr>
      <w:spacing w:after="0" w:line="240" w:lineRule="auto"/>
    </w:pPr>
    <w:tblPr/>
    <w:tblStylePr w:type="band1Horz">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F81BD" w:themeColor="accent1" w:sz="4" w:space="0"/>
          <w:right w:val="none" w:color="000000" w:sz="4" w:space="0"/>
        </w:tcBorders>
      </w:tcPr>
    </w:tblStylePr>
    <w:tblStylePr w:type="lastCol">
      <w:rPr>
        <w:b/>
        <w:color w:val="404040"/>
      </w:rPr>
    </w:tblStylePr>
    <w:tblStylePr w:type="lastRow">
      <w:rPr>
        <w:b/>
        <w:color w:val="404040"/>
      </w:rPr>
      <w:tcPr>
        <w:tcBorders>
          <w:top w:val="single" w:color="4F81BD" w:themeColor="accent1" w:sz="4" w:space="0"/>
          <w:left w:val="none" w:color="000000" w:sz="4" w:space="0"/>
          <w:bottom w:val="none" w:color="000000" w:sz="4" w:space="0"/>
          <w:right w:val="none" w:color="000000" w:sz="4" w:space="0"/>
        </w:tcBorders>
      </w:tcPr>
    </w:tblStylePr>
  </w:style>
  <w:style w:type="table" w:styleId="908" w:customStyle="1">
    <w:name w:val="List Table 1 Light - Accent 2"/>
    <w:uiPriority w:val="99"/>
    <w:qFormat/>
    <w:pPr>
      <w:spacing w:after="0" w:line="240" w:lineRule="auto"/>
    </w:pPr>
    <w:tblPr/>
    <w:tblStylePr w:type="band1Horz">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C0504D" w:themeColor="accent2" w:sz="4" w:space="0"/>
          <w:right w:val="none" w:color="000000" w:sz="4" w:space="0"/>
        </w:tcBorders>
      </w:tcPr>
    </w:tblStylePr>
    <w:tblStylePr w:type="lastCol">
      <w:rPr>
        <w:b/>
        <w:color w:val="404040"/>
      </w:rPr>
    </w:tblStylePr>
    <w:tblStylePr w:type="lastRow">
      <w:rPr>
        <w:b/>
        <w:color w:val="404040"/>
      </w:rPr>
      <w:tcPr>
        <w:tcBorders>
          <w:top w:val="single" w:color="C0504D" w:themeColor="accent2" w:sz="4" w:space="0"/>
          <w:left w:val="none" w:color="000000" w:sz="4" w:space="0"/>
          <w:bottom w:val="none" w:color="000000" w:sz="4" w:space="0"/>
          <w:right w:val="none" w:color="000000" w:sz="4" w:space="0"/>
        </w:tcBorders>
      </w:tcPr>
    </w:tblStylePr>
  </w:style>
  <w:style w:type="table" w:styleId="909" w:customStyle="1">
    <w:name w:val="List Table 1 Light - Accent 3"/>
    <w:uiPriority w:val="99"/>
    <w:qFormat/>
    <w:pPr>
      <w:spacing w:after="0" w:line="240" w:lineRule="auto"/>
    </w:pPr>
    <w:tblPr/>
    <w:tblStylePr w:type="band1Horz">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9BBB59" w:themeColor="accent3" w:sz="4" w:space="0"/>
          <w:right w:val="none" w:color="000000" w:sz="4" w:space="0"/>
        </w:tcBorders>
      </w:tcPr>
    </w:tblStylePr>
    <w:tblStylePr w:type="lastCol">
      <w:rPr>
        <w:b/>
        <w:color w:val="404040"/>
      </w:rPr>
    </w:tblStylePr>
    <w:tblStylePr w:type="lastRow">
      <w:rPr>
        <w:b/>
        <w:color w:val="404040"/>
      </w:rPr>
      <w:tcPr>
        <w:tcBorders>
          <w:top w:val="single" w:color="9BBB59" w:themeColor="accent3" w:sz="4" w:space="0"/>
          <w:left w:val="none" w:color="000000" w:sz="4" w:space="0"/>
          <w:bottom w:val="none" w:color="000000" w:sz="4" w:space="0"/>
          <w:right w:val="none" w:color="000000" w:sz="4" w:space="0"/>
        </w:tcBorders>
      </w:tcPr>
    </w:tblStylePr>
  </w:style>
  <w:style w:type="table" w:styleId="910" w:customStyle="1">
    <w:name w:val="List Table 1 Light - Accent 4"/>
    <w:uiPriority w:val="99"/>
    <w:qFormat/>
    <w:pPr>
      <w:spacing w:after="0" w:line="240" w:lineRule="auto"/>
    </w:pPr>
    <w:tblPr/>
    <w:tblStylePr w:type="band1Horz">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8064A2" w:themeColor="accent4" w:sz="4" w:space="0"/>
          <w:right w:val="none" w:color="000000" w:sz="4" w:space="0"/>
        </w:tcBorders>
      </w:tcPr>
    </w:tblStylePr>
    <w:tblStylePr w:type="lastCol">
      <w:rPr>
        <w:b/>
        <w:color w:val="404040"/>
      </w:rPr>
    </w:tblStylePr>
    <w:tblStylePr w:type="lastRow">
      <w:rPr>
        <w:b/>
        <w:color w:val="404040"/>
      </w:rPr>
      <w:tcPr>
        <w:tcBorders>
          <w:top w:val="single" w:color="8064A2" w:themeColor="accent4" w:sz="4" w:space="0"/>
          <w:left w:val="none" w:color="000000" w:sz="4" w:space="0"/>
          <w:bottom w:val="none" w:color="000000" w:sz="4" w:space="0"/>
          <w:right w:val="none" w:color="000000" w:sz="4" w:space="0"/>
        </w:tcBorders>
      </w:tcPr>
    </w:tblStylePr>
  </w:style>
  <w:style w:type="table" w:styleId="911" w:customStyle="1">
    <w:name w:val="List Table 1 Light - Accent 5"/>
    <w:uiPriority w:val="99"/>
    <w:qFormat/>
    <w:pPr>
      <w:spacing w:after="0" w:line="240" w:lineRule="auto"/>
    </w:pPr>
    <w:tblPr/>
    <w:tblStylePr w:type="band1Horz">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4BACC6" w:themeColor="accent5" w:sz="4" w:space="0"/>
          <w:right w:val="none" w:color="000000" w:sz="4" w:space="0"/>
        </w:tcBorders>
      </w:tcPr>
    </w:tblStylePr>
    <w:tblStylePr w:type="lastCol">
      <w:rPr>
        <w:b/>
        <w:color w:val="404040"/>
      </w:rPr>
    </w:tblStylePr>
    <w:tblStylePr w:type="lastRow">
      <w:rPr>
        <w:b/>
        <w:color w:val="404040"/>
      </w:rPr>
      <w:tcPr>
        <w:tcBorders>
          <w:top w:val="single" w:color="4BACC6" w:themeColor="accent5" w:sz="4" w:space="0"/>
          <w:left w:val="none" w:color="000000" w:sz="4" w:space="0"/>
          <w:bottom w:val="none" w:color="000000" w:sz="4" w:space="0"/>
          <w:right w:val="none" w:color="000000" w:sz="4" w:space="0"/>
        </w:tcBorders>
      </w:tcPr>
    </w:tblStylePr>
  </w:style>
  <w:style w:type="table" w:styleId="912" w:customStyle="1">
    <w:name w:val="List Table 1 Light - Accent 6"/>
    <w:uiPriority w:val="99"/>
    <w:qFormat/>
    <w:pPr>
      <w:spacing w:after="0" w:line="240" w:lineRule="auto"/>
    </w:pPr>
    <w:tblPr/>
    <w:tblStylePr w:type="band1Horz">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firstCol">
      <w:rPr>
        <w:b/>
        <w:color w:val="404040"/>
      </w:rPr>
    </w:tblStylePr>
    <w:tblStylePr w:type="firstRow">
      <w:rPr>
        <w:b/>
        <w:color w:val="404040"/>
      </w:rPr>
      <w:tcPr>
        <w:tcBorders>
          <w:top w:val="none" w:color="000000" w:sz="4" w:space="0"/>
          <w:left w:val="none" w:color="000000" w:sz="4" w:space="0"/>
          <w:bottom w:val="single" w:color="F79646" w:themeColor="accent6" w:sz="4" w:space="0"/>
          <w:right w:val="none" w:color="000000" w:sz="4" w:space="0"/>
        </w:tcBorders>
      </w:tcPr>
    </w:tblStylePr>
    <w:tblStylePr w:type="lastCol">
      <w:rPr>
        <w:b/>
        <w:color w:val="404040"/>
      </w:rPr>
    </w:tblStylePr>
    <w:tblStylePr w:type="lastRow">
      <w:rPr>
        <w:b/>
        <w:color w:val="404040"/>
      </w:rPr>
      <w:tcPr>
        <w:tcBorders>
          <w:top w:val="single" w:color="F79646" w:themeColor="accent6" w:sz="4" w:space="0"/>
          <w:left w:val="none" w:color="000000" w:sz="4" w:space="0"/>
          <w:bottom w:val="none" w:color="000000" w:sz="4" w:space="0"/>
          <w:right w:val="none" w:color="000000" w:sz="4" w:space="0"/>
        </w:tcBorders>
      </w:tcPr>
    </w:tblStylePr>
  </w:style>
  <w:style w:type="table" w:styleId="913" w:customStyle="1">
    <w:name w:val="List Table 2"/>
    <w:uiPriority w:val="99"/>
    <w:qFormat/>
    <w:pPr>
      <w:spacing w:after="0" w:line="240" w:lineRule="auto"/>
    </w:pPr>
    <w:tblPr>
      <w:tblBorders>
        <w:top w:val="single" w:color="6E6E6E" w:themeColor="text1" w:themeTint="90" w:sz="4" w:space="0"/>
        <w:bottom w:val="single" w:color="6E6E6E" w:themeColor="text1" w:themeTint="90" w:sz="4" w:space="0"/>
        <w:insideH w:val="single" w:color="6E6E6E" w:themeColor="text1" w:themeTint="90"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6E6E6E" w:themeColor="text1" w:themeTint="90" w:sz="4" w:space="0"/>
          <w:left w:val="none" w:color="000000" w:sz="4" w:space="0"/>
          <w:bottom w:val="single" w:color="6E6E6E" w:themeColor="text1" w:themeTint="90" w:sz="4" w:space="0"/>
          <w:right w:val="none" w:color="000000" w:sz="4" w:space="0"/>
        </w:tcBorders>
      </w:tcPr>
    </w:tblStylePr>
  </w:style>
  <w:style w:type="table" w:styleId="914" w:customStyle="1">
    <w:name w:val="List Table 2 - Accent 1"/>
    <w:uiPriority w:val="99"/>
    <w:qFormat/>
    <w:pPr>
      <w:spacing w:after="0" w:line="240" w:lineRule="auto"/>
    </w:pPr>
    <w:tblPr>
      <w:tblBorders>
        <w:top w:val="single" w:color="9BB7D9" w:themeColor="accent1" w:themeTint="90" w:sz="4" w:space="0"/>
        <w:bottom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BB7D9" w:themeColor="accent1" w:themeTint="90" w:sz="4" w:space="0"/>
          <w:left w:val="none" w:color="000000" w:sz="4" w:space="0"/>
          <w:bottom w:val="single" w:color="9BB7D9" w:themeColor="accent1" w:themeTint="90" w:sz="4" w:space="0"/>
          <w:right w:val="none" w:color="000000" w:sz="4" w:space="0"/>
        </w:tcBorders>
      </w:tcPr>
    </w:tblStylePr>
  </w:style>
  <w:style w:type="table" w:styleId="915" w:customStyle="1">
    <w:name w:val="List Table 2 - Accent 2"/>
    <w:uiPriority w:val="99"/>
    <w:qFormat/>
    <w:pPr>
      <w:spacing w:after="0" w:line="240" w:lineRule="auto"/>
    </w:pPr>
    <w:tblPr>
      <w:tblBorders>
        <w:top w:val="single" w:color="DB9C9A" w:themeColor="accent2" w:themeTint="90" w:sz="4" w:space="0"/>
        <w:bottom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DB9C9A" w:themeColor="accent2" w:themeTint="90" w:sz="4" w:space="0"/>
          <w:left w:val="none" w:color="000000" w:sz="4" w:space="0"/>
          <w:bottom w:val="single" w:color="DB9C9A" w:themeColor="accent2" w:themeTint="90" w:sz="4" w:space="0"/>
          <w:right w:val="none" w:color="000000" w:sz="4" w:space="0"/>
        </w:tcBorders>
      </w:tcPr>
    </w:tblStylePr>
  </w:style>
  <w:style w:type="table" w:styleId="916" w:customStyle="1">
    <w:name w:val="List Table 2 - Accent 3"/>
    <w:uiPriority w:val="99"/>
    <w:qFormat/>
    <w:pPr>
      <w:spacing w:after="0" w:line="240" w:lineRule="auto"/>
    </w:pPr>
    <w:tblPr>
      <w:tblBorders>
        <w:top w:val="single" w:color="C6D8A1" w:themeColor="accent3" w:themeTint="90" w:sz="4" w:space="0"/>
        <w:bottom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C6D8A1" w:themeColor="accent3" w:themeTint="90" w:sz="4" w:space="0"/>
          <w:left w:val="none" w:color="000000" w:sz="4" w:space="0"/>
          <w:bottom w:val="single" w:color="C6D8A1" w:themeColor="accent3" w:themeTint="90" w:sz="4" w:space="0"/>
          <w:right w:val="none" w:color="000000" w:sz="4" w:space="0"/>
        </w:tcBorders>
      </w:tcPr>
    </w:tblStylePr>
  </w:style>
  <w:style w:type="table" w:styleId="917" w:customStyle="1">
    <w:name w:val="List Table 2 - Accent 4"/>
    <w:uiPriority w:val="99"/>
    <w:qFormat/>
    <w:pPr>
      <w:spacing w:after="0" w:line="240" w:lineRule="auto"/>
    </w:pPr>
    <w:tblPr>
      <w:tblBorders>
        <w:top w:val="single" w:color="B7A7CA" w:themeColor="accent4" w:themeTint="90" w:sz="4" w:space="0"/>
        <w:bottom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B7A7CA" w:themeColor="accent4" w:themeTint="90" w:sz="4" w:space="0"/>
          <w:left w:val="none" w:color="000000" w:sz="4" w:space="0"/>
          <w:bottom w:val="single" w:color="B7A7CA" w:themeColor="accent4" w:themeTint="90" w:sz="4" w:space="0"/>
          <w:right w:val="none" w:color="000000" w:sz="4" w:space="0"/>
        </w:tcBorders>
      </w:tcPr>
    </w:tblStylePr>
  </w:style>
  <w:style w:type="table" w:styleId="918" w:customStyle="1">
    <w:name w:val="List Table 2 - Accent 5"/>
    <w:uiPriority w:val="99"/>
    <w:qFormat/>
    <w:pPr>
      <w:spacing w:after="0" w:line="240" w:lineRule="auto"/>
    </w:pPr>
    <w:tblPr>
      <w:tblBorders>
        <w:top w:val="single" w:color="99D0DE" w:themeColor="accent5" w:themeTint="90" w:sz="4" w:space="0"/>
        <w:bottom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99D0DE" w:themeColor="accent5" w:themeTint="90" w:sz="4" w:space="0"/>
          <w:left w:val="none" w:color="000000" w:sz="4" w:space="0"/>
          <w:bottom w:val="single" w:color="99D0DE" w:themeColor="accent5" w:themeTint="90" w:sz="4" w:space="0"/>
          <w:right w:val="none" w:color="000000" w:sz="4" w:space="0"/>
        </w:tcBorders>
      </w:tcPr>
    </w:tblStylePr>
  </w:style>
  <w:style w:type="table" w:styleId="919" w:customStyle="1">
    <w:name w:val="List Table 2 - Accent 6"/>
    <w:uiPriority w:val="99"/>
    <w:qFormat/>
    <w:pPr>
      <w:spacing w:after="0" w:line="240" w:lineRule="auto"/>
    </w:pPr>
    <w:tblPr>
      <w:tblBorders>
        <w:top w:val="single" w:color="FAC396" w:themeColor="accent6" w:themeTint="90" w:sz="4" w:space="0"/>
        <w:bottom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rFonts w:ascii="Arial" w:hAnsi="Arial"/>
        <w:b/>
        <w:color w:val="404040"/>
        <w:sz w:val="22"/>
      </w:rPr>
    </w:tblStylePr>
    <w:tblStylePr w:type="fir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tblStylePr w:type="lastCol">
      <w:rPr>
        <w:rFonts w:ascii="Arial" w:hAnsi="Arial"/>
        <w:b/>
        <w:color w:val="404040"/>
        <w:sz w:val="22"/>
      </w:rPr>
    </w:tblStylePr>
    <w:tblStylePr w:type="lastRow">
      <w:rPr>
        <w:rFonts w:ascii="Arial" w:hAnsi="Arial"/>
        <w:b/>
        <w:color w:val="404040"/>
        <w:sz w:val="22"/>
      </w:rPr>
      <w:tcPr>
        <w:tcBorders>
          <w:top w:val="single" w:color="FAC396" w:themeColor="accent6" w:themeTint="90" w:sz="4" w:space="0"/>
          <w:left w:val="none" w:color="000000" w:sz="4" w:space="0"/>
          <w:bottom w:val="single" w:color="FAC396" w:themeColor="accent6" w:themeTint="90" w:sz="4" w:space="0"/>
          <w:right w:val="none" w:color="000000" w:sz="4" w:space="0"/>
        </w:tcBorders>
      </w:tcPr>
    </w:tblStylePr>
  </w:style>
  <w:style w:type="table" w:styleId="920" w:customStyle="1">
    <w:name w:val="List Table 3"/>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tblBorders>
    </w:tblPr>
    <w:tblStylePr w:type="band1Horz">
      <w:rPr>
        <w:rFonts w:ascii="Arial" w:hAnsi="Arial"/>
        <w:color w:val="404040"/>
        <w:sz w:val="22"/>
      </w:rPr>
      <w:tcPr>
        <w:tcBorders>
          <w:top w:val="single" w:color="000000" w:themeColor="text1" w:sz="4" w:space="0"/>
          <w:bottom w:val="single" w:color="000000" w:themeColor="text1" w:sz="4" w:space="0"/>
        </w:tcBorders>
      </w:tcPr>
    </w:tblStylePr>
    <w:tblStylePr w:type="band1Vert">
      <w:rPr>
        <w:rFonts w:ascii="Arial" w:hAnsi="Arial"/>
        <w:color w:val="404040"/>
        <w:sz w:val="22"/>
      </w:rPr>
      <w:tcPr>
        <w:tcBorders>
          <w:left w:val="single" w:color="000000" w:themeColor="text1" w:sz="4" w:space="0"/>
          <w:right w:val="single" w:color="000000" w:themeColor="text1" w:sz="4" w:space="0"/>
        </w:tcBorders>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1" w:customStyle="1">
    <w:name w:val="List Table 3 - Accent 1"/>
    <w:uiPriority w:val="99"/>
    <w:qFormat/>
    <w:pPr>
      <w:spacing w:after="0" w:line="240" w:lineRule="auto"/>
    </w:pPr>
    <w:tblPr>
      <w:tblBorders>
        <w:top w:val="single" w:color="4F81BD" w:themeColor="accent1" w:sz="4" w:space="0"/>
        <w:left w:val="single" w:color="4F81BD" w:themeColor="accent1" w:sz="4" w:space="0"/>
        <w:bottom w:val="single" w:color="4F81BD" w:themeColor="accent1" w:sz="4" w:space="0"/>
        <w:right w:val="single" w:color="4F81BD" w:themeColor="accent1" w:sz="4" w:space="0"/>
      </w:tblBorders>
    </w:tblPr>
    <w:tblStylePr w:type="band1Horz">
      <w:rPr>
        <w:rFonts w:ascii="Arial" w:hAnsi="Arial"/>
        <w:color w:val="404040"/>
        <w:sz w:val="22"/>
      </w:rPr>
      <w:tcPr>
        <w:tcBorders>
          <w:top w:val="single" w:color="4F81BD" w:themeColor="accent1" w:sz="4" w:space="0"/>
          <w:bottom w:val="single" w:color="4F81BD" w:themeColor="accent1" w:sz="4" w:space="0"/>
        </w:tcBorders>
      </w:tcPr>
    </w:tblStylePr>
    <w:tblStylePr w:type="band1Vert">
      <w:rPr>
        <w:rFonts w:ascii="Arial" w:hAnsi="Arial"/>
        <w:color w:val="404040"/>
        <w:sz w:val="22"/>
      </w:rPr>
      <w:tcPr>
        <w:tcBorders>
          <w:left w:val="single" w:color="4F81BD" w:themeColor="accent1" w:sz="4" w:space="0"/>
          <w:right w:val="single" w:color="4F81BD" w:themeColor="accent1" w:sz="4" w:space="0"/>
        </w:tcBorders>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2" w:customStyle="1">
    <w:name w:val="List Table 3 - Accent 2"/>
    <w:uiPriority w:val="99"/>
    <w:qFormat/>
    <w:pPr>
      <w:spacing w:after="0" w:line="240" w:lineRule="auto"/>
    </w:pPr>
    <w:tblPr>
      <w:tblBorders>
        <w:top w:val="single" w:color="D99795" w:themeColor="accent2" w:themeTint="97" w:sz="4" w:space="0"/>
        <w:left w:val="single" w:color="D99795" w:themeColor="accent2" w:themeTint="97" w:sz="4" w:space="0"/>
        <w:bottom w:val="single" w:color="D99795" w:themeColor="accent2" w:themeTint="97" w:sz="4" w:space="0"/>
        <w:right w:val="single" w:color="D99795" w:themeColor="accent2" w:themeTint="97" w:sz="4" w:space="0"/>
      </w:tblBorders>
    </w:tblPr>
    <w:tblStylePr w:type="band1Horz">
      <w:rPr>
        <w:rFonts w:ascii="Arial" w:hAnsi="Arial"/>
        <w:color w:val="404040"/>
        <w:sz w:val="22"/>
      </w:rPr>
      <w:tcPr>
        <w:tcBorders>
          <w:top w:val="single" w:color="D99795" w:themeColor="accent2" w:themeTint="97" w:sz="4" w:space="0"/>
          <w:bottom w:val="single" w:color="D99795" w:themeColor="accent2" w:themeTint="97" w:sz="4" w:space="0"/>
        </w:tcBorders>
      </w:tcPr>
    </w:tblStylePr>
    <w:tblStylePr w:type="band1Vert">
      <w:rPr>
        <w:rFonts w:ascii="Arial" w:hAnsi="Arial"/>
        <w:color w:val="404040"/>
        <w:sz w:val="22"/>
      </w:rPr>
      <w:tcPr>
        <w:tcBorders>
          <w:left w:val="single" w:color="D99795" w:themeColor="accent2" w:themeTint="97" w:sz="4" w:space="0"/>
          <w:right w:val="single" w:color="D99795" w:themeColor="accent2" w:themeTint="97" w:sz="4" w:space="0"/>
        </w:tcBorders>
      </w:tcPr>
    </w:tblStylePr>
    <w:tblStylePr w:type="firstCol">
      <w:rPr>
        <w:b/>
        <w:color w:val="404040"/>
      </w:rPr>
    </w:tblStylePr>
    <w:tblStylePr w:type="firstRow">
      <w:rPr>
        <w:rFonts w:ascii="Arial" w:hAnsi="Arial"/>
        <w:b/>
        <w:color w:val="ffffff"/>
        <w:sz w:val="22"/>
      </w:rPr>
      <w:tcPr>
        <w:shd w:val="clear" w:color="d99795" w:themeColor="accent2" w:themeTint="97" w:fill="d99795" w:themeFill="accent2" w:themeFillTint="97"/>
      </w:tcPr>
    </w:tblStylePr>
    <w:tblStylePr w:type="lastCol">
      <w:rPr>
        <w:b/>
        <w:color w:val="404040"/>
      </w:rPr>
    </w:tblStylePr>
    <w:tblStylePr w:type="lastRow">
      <w:rPr>
        <w:b/>
        <w:color w:val="404040"/>
      </w:rPr>
    </w:tblStylePr>
  </w:style>
  <w:style w:type="table" w:styleId="923" w:customStyle="1">
    <w:name w:val="List Table 3 - Accent 3"/>
    <w:uiPriority w:val="99"/>
    <w:qFormat/>
    <w:pPr>
      <w:spacing w:after="0" w:line="240" w:lineRule="auto"/>
    </w:pPr>
    <w:tblPr>
      <w:tblBorders>
        <w:top w:val="single" w:color="C3D69C" w:themeColor="accent3" w:themeTint="98" w:sz="4" w:space="0"/>
        <w:left w:val="single" w:color="C3D69C" w:themeColor="accent3" w:themeTint="98" w:sz="4" w:space="0"/>
        <w:bottom w:val="single" w:color="C3D69C" w:themeColor="accent3" w:themeTint="98" w:sz="4" w:space="0"/>
        <w:right w:val="single" w:color="C3D69C" w:themeColor="accent3" w:themeTint="98" w:sz="4" w:space="0"/>
      </w:tblBorders>
    </w:tblPr>
    <w:tblStylePr w:type="band1Horz">
      <w:rPr>
        <w:rFonts w:ascii="Arial" w:hAnsi="Arial"/>
        <w:color w:val="404040"/>
        <w:sz w:val="22"/>
      </w:rPr>
      <w:tcPr>
        <w:tcBorders>
          <w:top w:val="single" w:color="C3D69C" w:themeColor="accent3" w:themeTint="98" w:sz="4" w:space="0"/>
          <w:bottom w:val="single" w:color="C3D69C" w:themeColor="accent3" w:themeTint="98" w:sz="4" w:space="0"/>
        </w:tcBorders>
      </w:tcPr>
    </w:tblStylePr>
    <w:tblStylePr w:type="band1Vert">
      <w:rPr>
        <w:rFonts w:ascii="Arial" w:hAnsi="Arial"/>
        <w:color w:val="404040"/>
        <w:sz w:val="22"/>
      </w:rPr>
      <w:tcPr>
        <w:tcBorders>
          <w:left w:val="single" w:color="C3D69C" w:themeColor="accent3" w:themeTint="98" w:sz="4" w:space="0"/>
          <w:right w:val="single" w:color="C3D69C" w:themeColor="accent3" w:themeTint="98" w:sz="4" w:space="0"/>
        </w:tcBorders>
      </w:tcPr>
    </w:tblStylePr>
    <w:tblStylePr w:type="firstCol">
      <w:rPr>
        <w:b/>
        <w:color w:val="404040"/>
      </w:rPr>
    </w:tblStylePr>
    <w:tblStylePr w:type="firstRow">
      <w:rPr>
        <w:rFonts w:ascii="Arial" w:hAnsi="Arial"/>
        <w:b/>
        <w:color w:val="ffffff"/>
        <w:sz w:val="22"/>
      </w:rPr>
      <w:tcPr>
        <w:shd w:val="clear" w:color="c3d69c" w:themeColor="accent3" w:themeTint="98" w:fill="c3d69c" w:themeFill="accent3" w:themeFillTint="98"/>
      </w:tcPr>
    </w:tblStylePr>
    <w:tblStylePr w:type="lastCol">
      <w:rPr>
        <w:b/>
        <w:color w:val="404040"/>
      </w:rPr>
    </w:tblStylePr>
    <w:tblStylePr w:type="lastRow">
      <w:rPr>
        <w:b/>
        <w:color w:val="404040"/>
      </w:rPr>
    </w:tblStylePr>
  </w:style>
  <w:style w:type="table" w:styleId="924" w:customStyle="1">
    <w:name w:val="List Table 3 - Accent 4"/>
    <w:uiPriority w:val="99"/>
    <w:qFormat/>
    <w:pPr>
      <w:spacing w:after="0" w:line="240" w:lineRule="auto"/>
    </w:pPr>
    <w:tblPr>
      <w:tblBorders>
        <w:top w:val="single" w:color="B2A1C6" w:themeColor="accent4" w:themeTint="9A" w:sz="4" w:space="0"/>
        <w:left w:val="single" w:color="B2A1C6" w:themeColor="accent4" w:themeTint="9A" w:sz="4" w:space="0"/>
        <w:bottom w:val="single" w:color="B2A1C6" w:themeColor="accent4" w:themeTint="9A" w:sz="4" w:space="0"/>
        <w:right w:val="single" w:color="B2A1C6" w:themeColor="accent4" w:themeTint="9A" w:sz="4" w:space="0"/>
      </w:tblBorders>
    </w:tblPr>
    <w:tblStylePr w:type="band1Horz">
      <w:rPr>
        <w:rFonts w:ascii="Arial" w:hAnsi="Arial"/>
        <w:color w:val="404040"/>
        <w:sz w:val="22"/>
      </w:rPr>
      <w:tcPr>
        <w:tcBorders>
          <w:top w:val="single" w:color="B2A1C6" w:themeColor="accent4" w:themeTint="9A" w:sz="4" w:space="0"/>
          <w:bottom w:val="single" w:color="B2A1C6" w:themeColor="accent4" w:themeTint="9A" w:sz="4" w:space="0"/>
        </w:tcBorders>
      </w:tcPr>
    </w:tblStylePr>
    <w:tblStylePr w:type="band1Vert">
      <w:rPr>
        <w:rFonts w:ascii="Arial" w:hAnsi="Arial"/>
        <w:color w:val="404040"/>
        <w:sz w:val="22"/>
      </w:rPr>
      <w:tcPr>
        <w:tcBorders>
          <w:left w:val="single" w:color="B2A1C6" w:themeColor="accent4" w:themeTint="9A" w:sz="4" w:space="0"/>
          <w:right w:val="single" w:color="B2A1C6" w:themeColor="accent4" w:themeTint="9A" w:sz="4" w:space="0"/>
        </w:tcBorders>
      </w:tcPr>
    </w:tblStylePr>
    <w:tblStylePr w:type="firstCol">
      <w:rPr>
        <w:b/>
        <w:color w:val="404040"/>
      </w:rPr>
    </w:tblStylePr>
    <w:tblStylePr w:type="firstRow">
      <w:rPr>
        <w:rFonts w:ascii="Arial" w:hAnsi="Arial"/>
        <w:b/>
        <w:color w:val="ffffff"/>
        <w:sz w:val="22"/>
      </w:rPr>
      <w:tcPr>
        <w:shd w:val="clear" w:color="b2a1c6" w:themeColor="accent4" w:themeTint="9A" w:fill="b2a1c6" w:themeFill="accent4" w:themeFillTint="9A"/>
      </w:tcPr>
    </w:tblStylePr>
    <w:tblStylePr w:type="lastCol">
      <w:rPr>
        <w:b/>
        <w:color w:val="404040"/>
      </w:rPr>
    </w:tblStylePr>
    <w:tblStylePr w:type="lastRow">
      <w:rPr>
        <w:b/>
        <w:color w:val="404040"/>
      </w:rPr>
    </w:tblStylePr>
  </w:style>
  <w:style w:type="table" w:styleId="925" w:customStyle="1">
    <w:name w:val="List Table 3 - Accent 5"/>
    <w:uiPriority w:val="99"/>
    <w:qFormat/>
    <w:pPr>
      <w:spacing w:after="0" w:line="240" w:lineRule="auto"/>
    </w:pPr>
    <w:tblPr>
      <w:tblBorders>
        <w:top w:val="single" w:color="92CCDC" w:themeColor="accent5" w:themeTint="9A" w:sz="4" w:space="0"/>
        <w:left w:val="single" w:color="92CCDC" w:themeColor="accent5" w:themeTint="9A" w:sz="4" w:space="0"/>
        <w:bottom w:val="single" w:color="92CCDC" w:themeColor="accent5" w:themeTint="9A" w:sz="4" w:space="0"/>
        <w:right w:val="single" w:color="92CCDC" w:themeColor="accent5" w:themeTint="9A" w:sz="4" w:space="0"/>
      </w:tblBorders>
    </w:tblPr>
    <w:tblStylePr w:type="band1Horz">
      <w:rPr>
        <w:rFonts w:ascii="Arial" w:hAnsi="Arial"/>
        <w:color w:val="404040"/>
        <w:sz w:val="22"/>
      </w:rPr>
      <w:tcPr>
        <w:tcBorders>
          <w:top w:val="single" w:color="92CCDC" w:themeColor="accent5" w:themeTint="9A" w:sz="4" w:space="0"/>
          <w:bottom w:val="single" w:color="92CCDC" w:themeColor="accent5" w:themeTint="9A" w:sz="4" w:space="0"/>
        </w:tcBorders>
      </w:tcPr>
    </w:tblStylePr>
    <w:tblStylePr w:type="band1Vert">
      <w:rPr>
        <w:rFonts w:ascii="Arial" w:hAnsi="Arial"/>
        <w:color w:val="404040"/>
        <w:sz w:val="22"/>
      </w:rPr>
      <w:tcPr>
        <w:tcBorders>
          <w:left w:val="single" w:color="92CCDC" w:themeColor="accent5" w:themeTint="9A" w:sz="4" w:space="0"/>
          <w:right w:val="single" w:color="92CCDC" w:themeColor="accent5" w:themeTint="9A" w:sz="4" w:space="0"/>
        </w:tcBorders>
      </w:tcPr>
    </w:tblStylePr>
    <w:tblStylePr w:type="firstCol">
      <w:rPr>
        <w:b/>
        <w:color w:val="404040"/>
      </w:rPr>
    </w:tblStylePr>
    <w:tblStylePr w:type="firstRow">
      <w:rPr>
        <w:rFonts w:ascii="Arial" w:hAnsi="Arial"/>
        <w:b/>
        <w:color w:val="ffffff"/>
        <w:sz w:val="22"/>
      </w:rPr>
      <w:tcPr>
        <w:shd w:val="clear" w:color="92ccdc" w:themeColor="accent5" w:themeTint="9A" w:fill="92ccdc" w:themeFill="accent5" w:themeFillTint="9A"/>
      </w:tcPr>
    </w:tblStylePr>
    <w:tblStylePr w:type="lastCol">
      <w:rPr>
        <w:b/>
        <w:color w:val="404040"/>
      </w:rPr>
    </w:tblStylePr>
    <w:tblStylePr w:type="lastRow">
      <w:rPr>
        <w:b/>
        <w:color w:val="404040"/>
      </w:rPr>
    </w:tblStylePr>
  </w:style>
  <w:style w:type="table" w:styleId="926" w:customStyle="1">
    <w:name w:val="List Table 3 - Accent 6"/>
    <w:uiPriority w:val="99"/>
    <w:qFormat/>
    <w:pPr>
      <w:spacing w:after="0" w:line="240" w:lineRule="auto"/>
    </w:pPr>
    <w:tblPr>
      <w:tblBorders>
        <w:top w:val="single" w:color="FAC090" w:themeColor="accent6" w:themeTint="98" w:sz="4" w:space="0"/>
        <w:left w:val="single" w:color="FAC090" w:themeColor="accent6" w:themeTint="98" w:sz="4" w:space="0"/>
        <w:bottom w:val="single" w:color="FAC090" w:themeColor="accent6" w:themeTint="98" w:sz="4" w:space="0"/>
        <w:right w:val="single" w:color="FAC090" w:themeColor="accent6" w:themeTint="98" w:sz="4" w:space="0"/>
      </w:tblBorders>
    </w:tblPr>
    <w:tblStylePr w:type="band1Horz">
      <w:rPr>
        <w:rFonts w:ascii="Arial" w:hAnsi="Arial"/>
        <w:color w:val="404040"/>
        <w:sz w:val="22"/>
      </w:rPr>
      <w:tcPr>
        <w:tcBorders>
          <w:top w:val="single" w:color="FAC090" w:themeColor="accent6" w:themeTint="98" w:sz="4" w:space="0"/>
          <w:bottom w:val="single" w:color="FAC090" w:themeColor="accent6" w:themeTint="98" w:sz="4" w:space="0"/>
        </w:tcBorders>
      </w:tcPr>
    </w:tblStylePr>
    <w:tblStylePr w:type="band1Vert">
      <w:rPr>
        <w:rFonts w:ascii="Arial" w:hAnsi="Arial"/>
        <w:color w:val="404040"/>
        <w:sz w:val="22"/>
      </w:rPr>
      <w:tcPr>
        <w:tcBorders>
          <w:left w:val="single" w:color="FAC090" w:themeColor="accent6" w:themeTint="98" w:sz="4" w:space="0"/>
          <w:right w:val="single" w:color="FAC090" w:themeColor="accent6" w:themeTint="98" w:sz="4" w:space="0"/>
        </w:tcBorders>
      </w:tcPr>
    </w:tblStylePr>
    <w:tblStylePr w:type="firstCol">
      <w:rPr>
        <w:b/>
        <w:color w:val="404040"/>
      </w:rPr>
    </w:tblStylePr>
    <w:tblStylePr w:type="firstRow">
      <w:rPr>
        <w:rFonts w:ascii="Arial" w:hAnsi="Arial"/>
        <w:b/>
        <w:color w:val="ffffff"/>
        <w:sz w:val="22"/>
      </w:rPr>
      <w:tcPr>
        <w:shd w:val="clear" w:color="fac090" w:themeColor="accent6" w:themeTint="98" w:fill="fac090" w:themeFill="accent6" w:themeFillTint="98"/>
      </w:tcPr>
    </w:tblStylePr>
    <w:tblStylePr w:type="lastCol">
      <w:rPr>
        <w:b/>
        <w:color w:val="404040"/>
      </w:rPr>
    </w:tblStylePr>
    <w:tblStylePr w:type="lastRow">
      <w:rPr>
        <w:b/>
        <w:color w:val="404040"/>
      </w:rPr>
    </w:tblStylePr>
  </w:style>
  <w:style w:type="table" w:styleId="927" w:customStyle="1">
    <w:name w:val="List Table 4"/>
    <w:uiPriority w:val="99"/>
    <w:qFormat/>
    <w:pPr>
      <w:spacing w:after="0" w:line="240" w:lineRule="auto"/>
    </w:pPr>
    <w:tblPr>
      <w:tblBorders>
        <w:top w:val="single" w:color="000000" w:themeColor="text1" w:sz="4" w:space="0"/>
        <w:left w:val="single" w:color="000000" w:themeColor="text1" w:sz="4" w:space="0"/>
        <w:bottom w:val="single" w:color="000000" w:themeColor="text1" w:sz="4" w:space="0"/>
        <w:right w:val="single" w:color="000000" w:themeColor="text1" w:sz="4" w:space="0"/>
        <w:insideH w:val="single" w:color="000000" w:themeColor="text1" w:sz="4" w:space="0"/>
      </w:tblBorders>
    </w:tblPr>
    <w:tblStylePr w:type="band1Horz">
      <w:rPr>
        <w:rFonts w:ascii="Arial" w:hAnsi="Arial"/>
        <w:color w:val="404040"/>
        <w:sz w:val="22"/>
      </w:rPr>
      <w:tcPr>
        <w:shd w:val="clear" w:color="bebebe" w:themeColor="text1" w:themeTint="40" w:fill="bebebe" w:themeFill="text1" w:themeFillTint="40"/>
      </w:tcPr>
    </w:tblStylePr>
    <w:tblStylePr w:type="band1Vert">
      <w:rPr>
        <w:rFonts w:ascii="Arial" w:hAnsi="Arial"/>
        <w:color w:val="404040"/>
        <w:sz w:val="22"/>
      </w:rPr>
      <w:tcPr>
        <w:shd w:val="clear" w:color="bebebe" w:themeColor="text1" w:themeTint="40" w:fill="bebebe" w:themeFill="text1" w:themeFillTint="40"/>
      </w:tcPr>
    </w:tblStylePr>
    <w:tblStylePr w:type="firstCol">
      <w:rPr>
        <w:b/>
        <w:color w:val="404040"/>
      </w:rPr>
    </w:tblStylePr>
    <w:tblStylePr w:type="firstRow">
      <w:rPr>
        <w:rFonts w:ascii="Arial" w:hAnsi="Arial"/>
        <w:b/>
        <w:color w:val="ffffff"/>
        <w:sz w:val="22"/>
      </w:rPr>
      <w:tcPr>
        <w:shd w:val="clear" w:color="000000" w:themeColor="text1" w:fill="000000" w:themeFill="text1"/>
      </w:tcPr>
    </w:tblStylePr>
    <w:tblStylePr w:type="lastCol">
      <w:rPr>
        <w:b/>
        <w:color w:val="404040"/>
      </w:rPr>
    </w:tblStylePr>
    <w:tblStylePr w:type="lastRow">
      <w:rPr>
        <w:b/>
        <w:color w:val="404040"/>
      </w:rPr>
    </w:tblStylePr>
  </w:style>
  <w:style w:type="table" w:styleId="928" w:customStyle="1">
    <w:name w:val="List Table 4 - Accent 1"/>
    <w:uiPriority w:val="99"/>
    <w:qFormat/>
    <w:pPr>
      <w:spacing w:after="0" w:line="240" w:lineRule="auto"/>
    </w:pPr>
    <w:tblPr>
      <w:tblBorders>
        <w:top w:val="single" w:color="9BB7D9" w:themeColor="accent1" w:themeTint="90" w:sz="4" w:space="0"/>
        <w:left w:val="single" w:color="9BB7D9" w:themeColor="accent1" w:themeTint="90" w:sz="4" w:space="0"/>
        <w:bottom w:val="single" w:color="9BB7D9" w:themeColor="accent1" w:themeTint="90" w:sz="4" w:space="0"/>
        <w:right w:val="single" w:color="9BB7D9" w:themeColor="accent1" w:themeTint="90" w:sz="4" w:space="0"/>
        <w:insideH w:val="single" w:color="9BB7D9" w:themeColor="accent1" w:themeTint="90" w:sz="4" w:space="0"/>
      </w:tblBorders>
    </w:tblPr>
    <w:tblStylePr w:type="band1Horz">
      <w:rPr>
        <w:rFonts w:ascii="Arial" w:hAnsi="Arial"/>
        <w:color w:val="404040"/>
        <w:sz w:val="22"/>
      </w:rPr>
      <w:tcPr>
        <w:shd w:val="clear" w:color="d2dfee" w:themeColor="accent1" w:themeTint="40" w:fill="d2dfee" w:themeFill="accent1" w:themeFillTint="40"/>
      </w:tcPr>
    </w:tblStylePr>
    <w:tblStylePr w:type="band1Vert">
      <w:rPr>
        <w:rFonts w:ascii="Arial" w:hAnsi="Arial"/>
        <w:color w:val="404040"/>
        <w:sz w:val="22"/>
      </w:rPr>
      <w:tcPr>
        <w:shd w:val="clear" w:color="d2dfee" w:themeColor="accent1" w:themeTint="40" w:fill="d2dfee" w:themeFill="accent1" w:themeFillTint="40"/>
      </w:tcPr>
    </w:tblStylePr>
    <w:tblStylePr w:type="firstCol">
      <w:rPr>
        <w:b/>
        <w:color w:val="404040"/>
      </w:rPr>
    </w:tblStylePr>
    <w:tblStylePr w:type="firstRow">
      <w:rPr>
        <w:rFonts w:ascii="Arial" w:hAnsi="Arial"/>
        <w:b/>
        <w:color w:val="ffffff"/>
        <w:sz w:val="22"/>
      </w:rPr>
      <w:tcPr>
        <w:shd w:val="clear" w:color="4f81bd" w:themeColor="accent1" w:fill="4f81bd" w:themeFill="accent1"/>
      </w:tcPr>
    </w:tblStylePr>
    <w:tblStylePr w:type="lastCol">
      <w:rPr>
        <w:b/>
        <w:color w:val="404040"/>
      </w:rPr>
    </w:tblStylePr>
    <w:tblStylePr w:type="lastRow">
      <w:rPr>
        <w:b/>
        <w:color w:val="404040"/>
      </w:rPr>
    </w:tblStylePr>
  </w:style>
  <w:style w:type="table" w:styleId="929" w:customStyle="1">
    <w:name w:val="List Table 4 - Accent 2"/>
    <w:uiPriority w:val="99"/>
    <w:qFormat/>
    <w:pPr>
      <w:spacing w:after="0" w:line="240" w:lineRule="auto"/>
    </w:pPr>
    <w:tblPr>
      <w:tblBorders>
        <w:top w:val="single" w:color="DB9C9A" w:themeColor="accent2" w:themeTint="90" w:sz="4" w:space="0"/>
        <w:left w:val="single" w:color="DB9C9A" w:themeColor="accent2" w:themeTint="90" w:sz="4" w:space="0"/>
        <w:bottom w:val="single" w:color="DB9C9A" w:themeColor="accent2" w:themeTint="90" w:sz="4" w:space="0"/>
        <w:right w:val="single" w:color="DB9C9A" w:themeColor="accent2" w:themeTint="90" w:sz="4" w:space="0"/>
        <w:insideH w:val="single" w:color="DB9C9A" w:themeColor="accent2" w:themeTint="90" w:sz="4" w:space="0"/>
      </w:tblBorders>
    </w:tblPr>
    <w:tblStylePr w:type="band1Horz">
      <w:rPr>
        <w:rFonts w:ascii="Arial" w:hAnsi="Arial"/>
        <w:color w:val="404040"/>
        <w:sz w:val="22"/>
      </w:rPr>
      <w:tcPr>
        <w:shd w:val="clear" w:color="efd3d2" w:themeColor="accent2" w:themeTint="40" w:fill="efd3d2" w:themeFill="accent2" w:themeFillTint="40"/>
      </w:tcPr>
    </w:tblStylePr>
    <w:tblStylePr w:type="band1Vert">
      <w:rPr>
        <w:rFonts w:ascii="Arial" w:hAnsi="Arial"/>
        <w:color w:val="404040"/>
        <w:sz w:val="22"/>
      </w:rPr>
      <w:tcPr>
        <w:shd w:val="clear" w:color="efd3d2" w:themeColor="accent2" w:themeTint="40" w:fill="efd3d2" w:themeFill="accent2" w:themeFillTint="40"/>
      </w:tcPr>
    </w:tblStylePr>
    <w:tblStylePr w:type="firstCol">
      <w:rPr>
        <w:b/>
        <w:color w:val="404040"/>
      </w:rPr>
    </w:tblStylePr>
    <w:tblStylePr w:type="firstRow">
      <w:rPr>
        <w:rFonts w:ascii="Arial" w:hAnsi="Arial"/>
        <w:b/>
        <w:color w:val="ffffff"/>
        <w:sz w:val="22"/>
      </w:rPr>
      <w:tcPr>
        <w:shd w:val="clear" w:color="c0504d" w:themeColor="accent2" w:fill="c0504d" w:themeFill="accent2"/>
      </w:tcPr>
    </w:tblStylePr>
    <w:tblStylePr w:type="lastCol">
      <w:rPr>
        <w:b/>
        <w:color w:val="404040"/>
      </w:rPr>
    </w:tblStylePr>
    <w:tblStylePr w:type="lastRow">
      <w:rPr>
        <w:b/>
        <w:color w:val="404040"/>
      </w:rPr>
    </w:tblStylePr>
  </w:style>
  <w:style w:type="table" w:styleId="930" w:customStyle="1">
    <w:name w:val="List Table 4 - Accent 3"/>
    <w:uiPriority w:val="99"/>
    <w:qFormat/>
    <w:pPr>
      <w:spacing w:after="0" w:line="240" w:lineRule="auto"/>
    </w:pPr>
    <w:tblPr>
      <w:tblBorders>
        <w:top w:val="single" w:color="C6D8A1" w:themeColor="accent3" w:themeTint="90" w:sz="4" w:space="0"/>
        <w:left w:val="single" w:color="C6D8A1" w:themeColor="accent3" w:themeTint="90" w:sz="4" w:space="0"/>
        <w:bottom w:val="single" w:color="C6D8A1" w:themeColor="accent3" w:themeTint="90" w:sz="4" w:space="0"/>
        <w:right w:val="single" w:color="C6D8A1" w:themeColor="accent3" w:themeTint="90" w:sz="4" w:space="0"/>
        <w:insideH w:val="single" w:color="C6D8A1" w:themeColor="accent3" w:themeTint="90" w:sz="4" w:space="0"/>
      </w:tblBorders>
    </w:tblPr>
    <w:tblStylePr w:type="band1Horz">
      <w:rPr>
        <w:rFonts w:ascii="Arial" w:hAnsi="Arial"/>
        <w:color w:val="404040"/>
        <w:sz w:val="22"/>
      </w:rPr>
      <w:tcPr>
        <w:shd w:val="clear" w:color="e5edd5" w:themeColor="accent3" w:themeTint="40" w:fill="e5edd5" w:themeFill="accent3" w:themeFillTint="40"/>
      </w:tcPr>
    </w:tblStylePr>
    <w:tblStylePr w:type="band1Vert">
      <w:rPr>
        <w:rFonts w:ascii="Arial" w:hAnsi="Arial"/>
        <w:color w:val="404040"/>
        <w:sz w:val="22"/>
      </w:rPr>
      <w:tcPr>
        <w:shd w:val="clear" w:color="e5edd5" w:themeColor="accent3" w:themeTint="40" w:fill="e5edd5" w:themeFill="accent3" w:themeFillTint="40"/>
      </w:tcPr>
    </w:tblStylePr>
    <w:tblStylePr w:type="firstCol">
      <w:rPr>
        <w:b/>
        <w:color w:val="404040"/>
      </w:rPr>
    </w:tblStylePr>
    <w:tblStylePr w:type="firstRow">
      <w:rPr>
        <w:rFonts w:ascii="Arial" w:hAnsi="Arial"/>
        <w:b/>
        <w:color w:val="ffffff"/>
        <w:sz w:val="22"/>
      </w:rPr>
      <w:tcPr>
        <w:shd w:val="clear" w:color="9bbb59" w:themeColor="accent3" w:fill="9bbb59" w:themeFill="accent3"/>
      </w:tcPr>
    </w:tblStylePr>
    <w:tblStylePr w:type="lastCol">
      <w:rPr>
        <w:b/>
        <w:color w:val="404040"/>
      </w:rPr>
    </w:tblStylePr>
    <w:tblStylePr w:type="lastRow">
      <w:rPr>
        <w:b/>
        <w:color w:val="404040"/>
      </w:rPr>
    </w:tblStylePr>
  </w:style>
  <w:style w:type="table" w:styleId="931" w:customStyle="1">
    <w:name w:val="List Table 4 - Accent 4"/>
    <w:uiPriority w:val="99"/>
    <w:qFormat/>
    <w:pPr>
      <w:spacing w:after="0" w:line="240" w:lineRule="auto"/>
    </w:pPr>
    <w:tblPr>
      <w:tblBorders>
        <w:top w:val="single" w:color="B7A7CA" w:themeColor="accent4" w:themeTint="90" w:sz="4" w:space="0"/>
        <w:left w:val="single" w:color="B7A7CA" w:themeColor="accent4" w:themeTint="90" w:sz="4" w:space="0"/>
        <w:bottom w:val="single" w:color="B7A7CA" w:themeColor="accent4" w:themeTint="90" w:sz="4" w:space="0"/>
        <w:right w:val="single" w:color="B7A7CA" w:themeColor="accent4" w:themeTint="90" w:sz="4" w:space="0"/>
        <w:insideH w:val="single" w:color="B7A7CA" w:themeColor="accent4" w:themeTint="90" w:sz="4" w:space="0"/>
      </w:tblBorders>
    </w:tblPr>
    <w:tblStylePr w:type="band1Horz">
      <w:rPr>
        <w:rFonts w:ascii="Arial" w:hAnsi="Arial"/>
        <w:color w:val="404040"/>
        <w:sz w:val="22"/>
      </w:rPr>
      <w:tcPr>
        <w:shd w:val="clear" w:color="dfd8e7" w:themeColor="accent4" w:themeTint="40" w:fill="dfd8e7" w:themeFill="accent4" w:themeFillTint="40"/>
      </w:tcPr>
    </w:tblStylePr>
    <w:tblStylePr w:type="band1Vert">
      <w:rPr>
        <w:rFonts w:ascii="Arial" w:hAnsi="Arial"/>
        <w:color w:val="404040"/>
        <w:sz w:val="22"/>
      </w:rPr>
      <w:tcPr>
        <w:shd w:val="clear" w:color="dfd8e7" w:themeColor="accent4" w:themeTint="40" w:fill="dfd8e7" w:themeFill="accent4" w:themeFillTint="40"/>
      </w:tcPr>
    </w:tblStylePr>
    <w:tblStylePr w:type="firstCol">
      <w:rPr>
        <w:b/>
        <w:color w:val="404040"/>
      </w:rPr>
    </w:tblStylePr>
    <w:tblStylePr w:type="firstRow">
      <w:rPr>
        <w:rFonts w:ascii="Arial" w:hAnsi="Arial"/>
        <w:b/>
        <w:color w:val="ffffff"/>
        <w:sz w:val="22"/>
      </w:rPr>
      <w:tcPr>
        <w:shd w:val="clear" w:color="8064a2" w:themeColor="accent4" w:fill="8064a2" w:themeFill="accent4"/>
      </w:tcPr>
    </w:tblStylePr>
    <w:tblStylePr w:type="lastCol">
      <w:rPr>
        <w:b/>
        <w:color w:val="404040"/>
      </w:rPr>
    </w:tblStylePr>
    <w:tblStylePr w:type="lastRow">
      <w:rPr>
        <w:b/>
        <w:color w:val="404040"/>
      </w:rPr>
    </w:tblStylePr>
  </w:style>
  <w:style w:type="table" w:styleId="932" w:customStyle="1">
    <w:name w:val="List Table 4 - Accent 5"/>
    <w:uiPriority w:val="99"/>
    <w:qFormat/>
    <w:pPr>
      <w:spacing w:after="0" w:line="240" w:lineRule="auto"/>
    </w:pPr>
    <w:tblPr>
      <w:tblBorders>
        <w:top w:val="single" w:color="99D0DE" w:themeColor="accent5" w:themeTint="90" w:sz="4" w:space="0"/>
        <w:left w:val="single" w:color="99D0DE" w:themeColor="accent5" w:themeTint="90" w:sz="4" w:space="0"/>
        <w:bottom w:val="single" w:color="99D0DE" w:themeColor="accent5" w:themeTint="90" w:sz="4" w:space="0"/>
        <w:right w:val="single" w:color="99D0DE" w:themeColor="accent5" w:themeTint="90" w:sz="4" w:space="0"/>
        <w:insideH w:val="single" w:color="99D0DE" w:themeColor="accent5" w:themeTint="90" w:sz="4" w:space="0"/>
      </w:tblBorders>
    </w:tblPr>
    <w:tblStylePr w:type="band1Horz">
      <w:rPr>
        <w:rFonts w:ascii="Arial" w:hAnsi="Arial"/>
        <w:color w:val="404040"/>
        <w:sz w:val="22"/>
      </w:rPr>
      <w:tcPr>
        <w:shd w:val="clear" w:color="d1eaf0" w:themeColor="accent5" w:themeTint="40" w:fill="d1eaf0" w:themeFill="accent5" w:themeFillTint="40"/>
      </w:tcPr>
    </w:tblStylePr>
    <w:tblStylePr w:type="band1Vert">
      <w:rPr>
        <w:rFonts w:ascii="Arial" w:hAnsi="Arial"/>
        <w:color w:val="404040"/>
        <w:sz w:val="22"/>
      </w:rPr>
      <w:tcPr>
        <w:shd w:val="clear" w:color="d1eaf0" w:themeColor="accent5" w:themeTint="40" w:fill="d1eaf0" w:themeFill="accent5" w:themeFillTint="40"/>
      </w:tcPr>
    </w:tblStylePr>
    <w:tblStylePr w:type="firstCol">
      <w:rPr>
        <w:b/>
        <w:color w:val="404040"/>
      </w:rPr>
    </w:tblStylePr>
    <w:tblStylePr w:type="firstRow">
      <w:rPr>
        <w:rFonts w:ascii="Arial" w:hAnsi="Arial"/>
        <w:b/>
        <w:color w:val="ffffff"/>
        <w:sz w:val="22"/>
      </w:rPr>
      <w:tcPr>
        <w:shd w:val="clear" w:color="4bacc6" w:themeColor="accent5" w:fill="4bacc6" w:themeFill="accent5"/>
      </w:tcPr>
    </w:tblStylePr>
    <w:tblStylePr w:type="lastCol">
      <w:rPr>
        <w:b/>
        <w:color w:val="404040"/>
      </w:rPr>
    </w:tblStylePr>
    <w:tblStylePr w:type="lastRow">
      <w:rPr>
        <w:b/>
        <w:color w:val="404040"/>
      </w:rPr>
    </w:tblStylePr>
  </w:style>
  <w:style w:type="table" w:styleId="933" w:customStyle="1">
    <w:name w:val="List Table 4 - Accent 6"/>
    <w:uiPriority w:val="99"/>
    <w:qFormat/>
    <w:pPr>
      <w:spacing w:after="0" w:line="240" w:lineRule="auto"/>
    </w:pPr>
    <w:tblPr>
      <w:tblBorders>
        <w:top w:val="single" w:color="FAC396" w:themeColor="accent6" w:themeTint="90" w:sz="4" w:space="0"/>
        <w:left w:val="single" w:color="FAC396" w:themeColor="accent6" w:themeTint="90" w:sz="4" w:space="0"/>
        <w:bottom w:val="single" w:color="FAC396" w:themeColor="accent6" w:themeTint="90" w:sz="4" w:space="0"/>
        <w:right w:val="single" w:color="FAC396" w:themeColor="accent6" w:themeTint="90" w:sz="4" w:space="0"/>
        <w:insideH w:val="single" w:color="FAC396" w:themeColor="accent6" w:themeTint="90" w:sz="4" w:space="0"/>
      </w:tblBorders>
    </w:tblPr>
    <w:tblStylePr w:type="band1Horz">
      <w:rPr>
        <w:rFonts w:ascii="Arial" w:hAnsi="Arial"/>
        <w:color w:val="404040"/>
        <w:sz w:val="22"/>
      </w:rPr>
      <w:tcPr>
        <w:shd w:val="clear" w:color="fce4d0" w:themeColor="accent6" w:themeTint="40" w:fill="fce4d0" w:themeFill="accent6" w:themeFillTint="40"/>
      </w:tcPr>
    </w:tblStylePr>
    <w:tblStylePr w:type="band1Vert">
      <w:rPr>
        <w:rFonts w:ascii="Arial" w:hAnsi="Arial"/>
        <w:color w:val="404040"/>
        <w:sz w:val="22"/>
      </w:rPr>
      <w:tcPr>
        <w:shd w:val="clear" w:color="fce4d0" w:themeColor="accent6" w:themeTint="40" w:fill="fce4d0" w:themeFill="accent6" w:themeFillTint="40"/>
      </w:tcPr>
    </w:tblStylePr>
    <w:tblStylePr w:type="firstCol">
      <w:rPr>
        <w:b/>
        <w:color w:val="404040"/>
      </w:rPr>
    </w:tblStylePr>
    <w:tblStylePr w:type="firstRow">
      <w:rPr>
        <w:rFonts w:ascii="Arial" w:hAnsi="Arial"/>
        <w:b/>
        <w:color w:val="ffffff"/>
        <w:sz w:val="22"/>
      </w:rPr>
      <w:tcPr>
        <w:shd w:val="clear" w:color="f79646" w:themeColor="accent6" w:fill="f79646" w:themeFill="accent6"/>
      </w:tcPr>
    </w:tblStylePr>
    <w:tblStylePr w:type="lastCol">
      <w:rPr>
        <w:b/>
        <w:color w:val="404040"/>
      </w:rPr>
    </w:tblStylePr>
    <w:tblStylePr w:type="lastRow">
      <w:rPr>
        <w:b/>
        <w:color w:val="404040"/>
      </w:rPr>
    </w:tblStylePr>
  </w:style>
  <w:style w:type="table" w:styleId="934" w:customStyle="1">
    <w:name w:val="List Table 5 Dark"/>
    <w:uiPriority w:val="99"/>
    <w:qFormat/>
    <w:pPr>
      <w:spacing w:after="0" w:line="240" w:lineRule="auto"/>
    </w:pPr>
    <w:tblPr>
      <w:tblBorders>
        <w:top w:val="single" w:color="7E7E7E" w:themeColor="text1" w:themeTint="80" w:sz="32" w:space="0"/>
        <w:left w:val="single" w:color="7E7E7E" w:themeColor="text1" w:themeTint="80" w:sz="32" w:space="0"/>
        <w:bottom w:val="single" w:color="7E7E7E" w:themeColor="text1" w:themeTint="80" w:sz="32" w:space="0"/>
        <w:right w:val="single" w:color="7E7E7E" w:themeColor="text1" w:themeTint="80" w:sz="32" w:space="0"/>
      </w:tblBorders>
    </w:tblPr>
    <w:tblStylePr w:type="band1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1Vert">
      <w:tcPr>
        <w:shd w:val="clear" w:color="7e7e7e" w:themeColor="text1" w:themeTint="80" w:fill="7e7e7e" w:themeFill="text1" w:themeFillTint="80"/>
        <w:tcBorders>
          <w:left w:val="single" w:color="FFFFFF" w:themeColor="light1" w:sz="4" w:space="0"/>
          <w:right w:val="single" w:color="FFFFFF" w:themeColor="light1" w:sz="4" w:space="0"/>
        </w:tcBorders>
      </w:tcPr>
    </w:tblStylePr>
    <w:tblStylePr w:type="band2Horz">
      <w:tcPr>
        <w:shd w:val="clear" w:color="7e7e7e" w:themeColor="text1" w:themeTint="80" w:fill="7e7e7e" w:themeFill="text1" w:themeFillTint="80"/>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7E7E7E" w:themeColor="text1" w:themeTint="80"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7e7e7e" w:themeColor="text1" w:themeTint="80" w:fill="7e7e7e" w:themeFill="text1" w:themeFillTint="80"/>
        <w:tcBorders>
          <w:top w:val="single" w:color="7E7E7E" w:themeColor="text1" w:themeTint="80" w:sz="32" w:space="0"/>
          <w:bottom w:val="single" w:color="FFFFFF" w:themeColor="light1" w:sz="12" w:space="0"/>
        </w:tcBorders>
      </w:tcPr>
    </w:tblStylePr>
    <w:tblStylePr w:type="lastCol">
      <w:tcPr>
        <w:tcBorders>
          <w:left w:val="single" w:color="FFFFFF" w:themeColor="light1" w:sz="4" w:space="0"/>
          <w:right w:val="single" w:color="7E7E7E" w:themeColor="text1" w:themeTint="80"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5" w:customStyle="1">
    <w:name w:val="List Table 5 Dark - Accent 1"/>
    <w:uiPriority w:val="99"/>
    <w:qFormat/>
    <w:pPr>
      <w:spacing w:after="0" w:line="240" w:lineRule="auto"/>
    </w:pPr>
    <w:tblPr>
      <w:tblBorders>
        <w:top w:val="single" w:color="4F81BD" w:themeColor="accent1" w:sz="32" w:space="0"/>
        <w:left w:val="single" w:color="4F81BD" w:themeColor="accent1" w:sz="32" w:space="0"/>
        <w:bottom w:val="single" w:color="4F81BD" w:themeColor="accent1" w:sz="32" w:space="0"/>
        <w:right w:val="single" w:color="4F81BD" w:themeColor="accent1" w:sz="32" w:space="0"/>
      </w:tblBorders>
    </w:tblPr>
    <w:tblStylePr w:type="band1Horz">
      <w:tcPr>
        <w:shd w:val="clear" w:color="4f81bd" w:themeColor="accent1" w:fill="4f81bd" w:themeFill="accent1"/>
        <w:tcBorders>
          <w:top w:val="single" w:color="FFFFFF" w:themeColor="light1" w:sz="4" w:space="0"/>
          <w:bottom w:val="single" w:color="FFFFFF" w:themeColor="light1" w:sz="4" w:space="0"/>
        </w:tcBorders>
      </w:tcPr>
    </w:tblStylePr>
    <w:tblStylePr w:type="band1Vert">
      <w:tcPr>
        <w:shd w:val="clear" w:color="4f81bd" w:themeColor="accent1" w:fill="4f81bd" w:themeFill="accent1"/>
        <w:tcBorders>
          <w:left w:val="single" w:color="FFFFFF" w:themeColor="light1" w:sz="4" w:space="0"/>
          <w:right w:val="single" w:color="FFFFFF" w:themeColor="light1" w:sz="4" w:space="0"/>
        </w:tcBorders>
      </w:tcPr>
    </w:tblStylePr>
    <w:tblStylePr w:type="band2Horz">
      <w:tcPr>
        <w:shd w:val="clear" w:color="4f81bd" w:themeColor="accent1" w:fill="4f81bd" w:themeFill="accent1"/>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4F81BD" w:themeColor="accent1"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4f81bd" w:themeColor="accent1" w:fill="4f81bd" w:themeFill="accent1"/>
        <w:tcBorders>
          <w:top w:val="single" w:color="4F81BD" w:themeColor="accent1" w:sz="32" w:space="0"/>
          <w:bottom w:val="single" w:color="FFFFFF" w:themeColor="light1" w:sz="12" w:space="0"/>
        </w:tcBorders>
      </w:tcPr>
    </w:tblStylePr>
    <w:tblStylePr w:type="lastCol">
      <w:tcPr>
        <w:tcBorders>
          <w:left w:val="single" w:color="FFFFFF" w:themeColor="light1" w:sz="4" w:space="0"/>
          <w:right w:val="single" w:color="4F81BD" w:themeColor="accent1"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6" w:customStyle="1">
    <w:name w:val="List Table 5 Dark - Accent 2"/>
    <w:uiPriority w:val="99"/>
    <w:qFormat/>
    <w:pPr>
      <w:spacing w:after="0" w:line="240" w:lineRule="auto"/>
    </w:pPr>
    <w:tblPr>
      <w:tblBorders>
        <w:top w:val="single" w:color="D99795" w:themeColor="accent2" w:themeTint="97" w:sz="32" w:space="0"/>
        <w:left w:val="single" w:color="D99795" w:themeColor="accent2" w:themeTint="97" w:sz="32" w:space="0"/>
        <w:bottom w:val="single" w:color="D99795" w:themeColor="accent2" w:themeTint="97" w:sz="32" w:space="0"/>
        <w:right w:val="single" w:color="D99795" w:themeColor="accent2" w:themeTint="97" w:sz="32" w:space="0"/>
      </w:tblBorders>
    </w:tblPr>
    <w:tblStylePr w:type="band1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1Vert">
      <w:tcPr>
        <w:shd w:val="clear" w:color="d99795" w:themeColor="accent2" w:themeTint="97" w:fill="d99795" w:themeFill="accent2" w:themeFillTint="97"/>
        <w:tcBorders>
          <w:left w:val="single" w:color="FFFFFF" w:themeColor="light1" w:sz="4" w:space="0"/>
          <w:right w:val="single" w:color="FFFFFF" w:themeColor="light1" w:sz="4" w:space="0"/>
        </w:tcBorders>
      </w:tcPr>
    </w:tblStylePr>
    <w:tblStylePr w:type="band2Horz">
      <w:tcPr>
        <w:shd w:val="clear" w:color="d99795" w:themeColor="accent2" w:themeTint="97" w:fill="d99795" w:themeFill="accent2" w:themeFillTint="97"/>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D99795" w:themeColor="accent2" w:themeTint="97"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d99795" w:themeColor="accent2" w:themeTint="97" w:fill="d99795" w:themeFill="accent2" w:themeFillTint="97"/>
        <w:tcBorders>
          <w:top w:val="single" w:color="D99795" w:themeColor="accent2" w:themeTint="97" w:sz="32" w:space="0"/>
          <w:bottom w:val="single" w:color="FFFFFF" w:themeColor="light1" w:sz="12" w:space="0"/>
        </w:tcBorders>
      </w:tcPr>
    </w:tblStylePr>
    <w:tblStylePr w:type="lastCol">
      <w:tcPr>
        <w:tcBorders>
          <w:left w:val="single" w:color="FFFFFF" w:themeColor="light1" w:sz="4" w:space="0"/>
          <w:right w:val="single" w:color="D99795" w:themeColor="accent2" w:themeTint="97"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7" w:customStyle="1">
    <w:name w:val="List Table 5 Dark - Accent 3"/>
    <w:uiPriority w:val="99"/>
    <w:qFormat/>
    <w:pPr>
      <w:spacing w:after="0" w:line="240" w:lineRule="auto"/>
    </w:pPr>
    <w:tblPr>
      <w:tblBorders>
        <w:top w:val="single" w:color="C3D69C" w:themeColor="accent3" w:themeTint="98" w:sz="32" w:space="0"/>
        <w:left w:val="single" w:color="C3D69C" w:themeColor="accent3" w:themeTint="98" w:sz="32" w:space="0"/>
        <w:bottom w:val="single" w:color="C3D69C" w:themeColor="accent3" w:themeTint="98" w:sz="32" w:space="0"/>
        <w:right w:val="single" w:color="C3D69C" w:themeColor="accent3" w:themeTint="98" w:sz="32" w:space="0"/>
      </w:tblBorders>
    </w:tblPr>
    <w:tblStylePr w:type="band1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1Vert">
      <w:tcPr>
        <w:shd w:val="clear" w:color="c3d69c" w:themeColor="accent3" w:themeTint="98" w:fill="c3d69c" w:themeFill="accent3" w:themeFillTint="98"/>
        <w:tcBorders>
          <w:left w:val="single" w:color="FFFFFF" w:themeColor="light1" w:sz="4" w:space="0"/>
          <w:right w:val="single" w:color="FFFFFF" w:themeColor="light1" w:sz="4" w:space="0"/>
        </w:tcBorders>
      </w:tcPr>
    </w:tblStylePr>
    <w:tblStylePr w:type="band2Horz">
      <w:tcPr>
        <w:shd w:val="clear" w:color="c3d69c" w:themeColor="accent3" w:themeTint="98" w:fill="c3d69c" w:themeFill="accent3"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C3D69C" w:themeColor="accent3"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c3d69c" w:themeColor="accent3" w:themeTint="98" w:fill="c3d69c" w:themeFill="accent3" w:themeFillTint="98"/>
        <w:tcBorders>
          <w:top w:val="single" w:color="C3D69C" w:themeColor="accent3" w:themeTint="98" w:sz="32" w:space="0"/>
          <w:bottom w:val="single" w:color="FFFFFF" w:themeColor="light1" w:sz="12" w:space="0"/>
        </w:tcBorders>
      </w:tcPr>
    </w:tblStylePr>
    <w:tblStylePr w:type="lastCol">
      <w:tcPr>
        <w:tcBorders>
          <w:left w:val="single" w:color="FFFFFF" w:themeColor="light1" w:sz="4" w:space="0"/>
          <w:right w:val="single" w:color="C3D69C" w:themeColor="accent3"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8" w:customStyle="1">
    <w:name w:val="List Table 5 Dark - Accent 4"/>
    <w:uiPriority w:val="99"/>
    <w:qFormat/>
    <w:pPr>
      <w:spacing w:after="0" w:line="240" w:lineRule="auto"/>
    </w:pPr>
    <w:tblPr>
      <w:tblBorders>
        <w:top w:val="single" w:color="B2A1C6" w:themeColor="accent4" w:themeTint="9A" w:sz="32" w:space="0"/>
        <w:left w:val="single" w:color="B2A1C6" w:themeColor="accent4" w:themeTint="9A" w:sz="32" w:space="0"/>
        <w:bottom w:val="single" w:color="B2A1C6" w:themeColor="accent4" w:themeTint="9A" w:sz="32" w:space="0"/>
        <w:right w:val="single" w:color="B2A1C6" w:themeColor="accent4" w:themeTint="9A" w:sz="32" w:space="0"/>
      </w:tblBorders>
    </w:tblPr>
    <w:tblStylePr w:type="band1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1Vert">
      <w:tcPr>
        <w:shd w:val="clear" w:color="b2a1c6" w:themeColor="accent4" w:themeTint="9A" w:fill="b2a1c6" w:themeFill="accent4" w:themeFillTint="9A"/>
        <w:tcBorders>
          <w:left w:val="single" w:color="FFFFFF" w:themeColor="light1" w:sz="4" w:space="0"/>
          <w:right w:val="single" w:color="FFFFFF" w:themeColor="light1" w:sz="4" w:space="0"/>
        </w:tcBorders>
      </w:tcPr>
    </w:tblStylePr>
    <w:tblStylePr w:type="band2Horz">
      <w:tcPr>
        <w:shd w:val="clear" w:color="b2a1c6" w:themeColor="accent4" w:themeTint="9A" w:fill="b2a1c6" w:themeFill="accent4"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B2A1C6" w:themeColor="accent4"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b2a1c6" w:themeColor="accent4" w:themeTint="9A" w:fill="b2a1c6" w:themeFill="accent4" w:themeFillTint="9A"/>
        <w:tcBorders>
          <w:top w:val="single" w:color="B2A1C6" w:themeColor="accent4" w:themeTint="9A" w:sz="32" w:space="0"/>
          <w:bottom w:val="single" w:color="FFFFFF" w:themeColor="light1" w:sz="12" w:space="0"/>
        </w:tcBorders>
      </w:tcPr>
    </w:tblStylePr>
    <w:tblStylePr w:type="lastCol">
      <w:tcPr>
        <w:tcBorders>
          <w:left w:val="single" w:color="FFFFFF" w:themeColor="light1" w:sz="4" w:space="0"/>
          <w:right w:val="single" w:color="B2A1C6" w:themeColor="accent4"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39" w:customStyle="1">
    <w:name w:val="List Table 5 Dark - Accent 5"/>
    <w:uiPriority w:val="99"/>
    <w:qFormat/>
    <w:pPr>
      <w:spacing w:after="0" w:line="240" w:lineRule="auto"/>
    </w:pPr>
    <w:tblPr>
      <w:tblBorders>
        <w:top w:val="single" w:color="92CCDC" w:themeColor="accent5" w:themeTint="9A" w:sz="32" w:space="0"/>
        <w:left w:val="single" w:color="92CCDC" w:themeColor="accent5" w:themeTint="9A" w:sz="32" w:space="0"/>
        <w:bottom w:val="single" w:color="92CCDC" w:themeColor="accent5" w:themeTint="9A" w:sz="32" w:space="0"/>
        <w:right w:val="single" w:color="92CCDC" w:themeColor="accent5" w:themeTint="9A" w:sz="32" w:space="0"/>
      </w:tblBorders>
    </w:tblPr>
    <w:tblStylePr w:type="band1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1Vert">
      <w:tcPr>
        <w:shd w:val="clear" w:color="92ccdc" w:themeColor="accent5" w:themeTint="9A" w:fill="92ccdc" w:themeFill="accent5" w:themeFillTint="9A"/>
        <w:tcBorders>
          <w:left w:val="single" w:color="FFFFFF" w:themeColor="light1" w:sz="4" w:space="0"/>
          <w:right w:val="single" w:color="FFFFFF" w:themeColor="light1" w:sz="4" w:space="0"/>
        </w:tcBorders>
      </w:tcPr>
    </w:tblStylePr>
    <w:tblStylePr w:type="band2Horz">
      <w:tcPr>
        <w:shd w:val="clear" w:color="92ccdc" w:themeColor="accent5" w:themeTint="9A" w:fill="92ccdc" w:themeFill="accent5" w:themeFillTint="9A"/>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92CCDC" w:themeColor="accent5" w:themeTint="9A"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92ccdc" w:themeColor="accent5" w:themeTint="9A" w:fill="92ccdc" w:themeFill="accent5" w:themeFillTint="9A"/>
        <w:tcBorders>
          <w:top w:val="single" w:color="92CCDC" w:themeColor="accent5" w:themeTint="9A" w:sz="32" w:space="0"/>
          <w:bottom w:val="single" w:color="FFFFFF" w:themeColor="light1" w:sz="12" w:space="0"/>
        </w:tcBorders>
      </w:tcPr>
    </w:tblStylePr>
    <w:tblStylePr w:type="lastCol">
      <w:tcPr>
        <w:tcBorders>
          <w:left w:val="single" w:color="FFFFFF" w:themeColor="light1" w:sz="4" w:space="0"/>
          <w:right w:val="single" w:color="92CCDC" w:themeColor="accent5" w:themeTint="9A"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0" w:customStyle="1">
    <w:name w:val="List Table 5 Dark - Accent 6"/>
    <w:uiPriority w:val="99"/>
    <w:qFormat/>
    <w:pPr>
      <w:spacing w:after="0" w:line="240" w:lineRule="auto"/>
    </w:pPr>
    <w:tblPr>
      <w:tblBorders>
        <w:top w:val="single" w:color="FAC090" w:themeColor="accent6" w:themeTint="98" w:sz="32" w:space="0"/>
        <w:left w:val="single" w:color="FAC090" w:themeColor="accent6" w:themeTint="98" w:sz="32" w:space="0"/>
        <w:bottom w:val="single" w:color="FAC090" w:themeColor="accent6" w:themeTint="98" w:sz="32" w:space="0"/>
        <w:right w:val="single" w:color="FAC090" w:themeColor="accent6" w:themeTint="98" w:sz="32" w:space="0"/>
      </w:tblBorders>
    </w:tblPr>
    <w:tblStylePr w:type="band1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1Vert">
      <w:tcPr>
        <w:shd w:val="clear" w:color="fac090" w:themeColor="accent6" w:themeTint="98" w:fill="fac090" w:themeFill="accent6" w:themeFillTint="98"/>
        <w:tcBorders>
          <w:left w:val="single" w:color="FFFFFF" w:themeColor="light1" w:sz="4" w:space="0"/>
          <w:right w:val="single" w:color="FFFFFF" w:themeColor="light1" w:sz="4" w:space="0"/>
        </w:tcBorders>
      </w:tcPr>
    </w:tblStylePr>
    <w:tblStylePr w:type="band2Horz">
      <w:tcPr>
        <w:shd w:val="clear" w:color="fac090" w:themeColor="accent6" w:themeTint="98" w:fill="fac090" w:themeFill="accent6" w:themeFillTint="98"/>
        <w:tcBorders>
          <w:top w:val="single" w:color="FFFFFF" w:themeColor="light1" w:sz="4" w:space="0"/>
          <w:bottom w:val="single" w:color="FFFFFF" w:themeColor="light1" w:sz="4" w:space="0"/>
        </w:tcBorders>
      </w:tcPr>
    </w:tblStylePr>
    <w:tblStylePr w:type="band2Vert">
      <w:tcPr>
        <w:tcBorders>
          <w:left w:val="single" w:color="FFFFFF" w:themeColor="light1" w:sz="4" w:space="0"/>
          <w:right w:val="single" w:color="FFFFFF" w:themeColor="light1" w:sz="4" w:space="0"/>
        </w:tcBorders>
      </w:tcPr>
    </w:tblStylePr>
    <w:tblStylePr w:type="firstCol">
      <w:rPr>
        <w:rFonts w:ascii="Arial" w:hAnsi="Arial"/>
        <w:b/>
        <w:color w:val="ffffff" w:themeColor="light1"/>
        <w:sz w:val="22"/>
        <w14:textFill>
          <w14:solidFill>
            <w14:schemeClr w14:val="lt1"/>
          </w14:solidFill>
        </w14:textFill>
      </w:rPr>
      <w:tcPr>
        <w:tcBorders>
          <w:left w:val="single" w:color="FAC090" w:themeColor="accent6" w:themeTint="98" w:sz="32" w:space="0"/>
          <w:right w:val="single" w:color="FFFFFF" w:themeColor="light1" w:sz="4" w:space="0"/>
        </w:tcBorders>
      </w:tcPr>
    </w:tblStylePr>
    <w:tblStylePr w:type="firstRow">
      <w:rPr>
        <w:rFonts w:ascii="Arial" w:hAnsi="Arial"/>
        <w:b/>
        <w:color w:val="ffffff" w:themeColor="light1"/>
        <w:sz w:val="22"/>
        <w14:textFill>
          <w14:solidFill>
            <w14:schemeClr w14:val="lt1"/>
          </w14:solidFill>
        </w14:textFill>
      </w:rPr>
      <w:tcPr>
        <w:shd w:val="clear" w:color="fac090" w:themeColor="accent6" w:themeTint="98" w:fill="fac090" w:themeFill="accent6" w:themeFillTint="98"/>
        <w:tcBorders>
          <w:top w:val="single" w:color="FAC090" w:themeColor="accent6" w:themeTint="98" w:sz="32" w:space="0"/>
          <w:bottom w:val="single" w:color="FFFFFF" w:themeColor="light1" w:sz="12" w:space="0"/>
        </w:tcBorders>
      </w:tcPr>
    </w:tblStylePr>
    <w:tblStylePr w:type="lastCol">
      <w:tcPr>
        <w:tcBorders>
          <w:left w:val="single" w:color="FFFFFF" w:themeColor="light1" w:sz="4" w:space="0"/>
          <w:right w:val="single" w:color="FAC090" w:themeColor="accent6" w:themeTint="98" w:sz="32" w:space="0"/>
        </w:tcBorders>
      </w:tcPr>
    </w:tblStylePr>
    <w:tblStylePr w:type="lastRow">
      <w:rPr>
        <w:rFonts w:ascii="Arial" w:hAnsi="Arial"/>
        <w:b/>
        <w:color w:val="ffffff" w:themeColor="light1"/>
        <w:sz w:val="22"/>
        <w14:textFill>
          <w14:solidFill>
            <w14:schemeClr w14:val="lt1"/>
          </w14:solidFill>
        </w14:textFill>
      </w:rPr>
    </w:tblStylePr>
  </w:style>
  <w:style w:type="table" w:styleId="941" w:customStyle="1">
    <w:name w:val="List Table 6 Colorful"/>
    <w:uiPriority w:val="99"/>
    <w:qFormat/>
    <w:pPr>
      <w:spacing w:after="0" w:line="240" w:lineRule="auto"/>
    </w:pPr>
    <w:tblPr>
      <w:tblBorders>
        <w:top w:val="single" w:color="7E7E7E" w:themeColor="text1" w:themeTint="80" w:sz="4" w:space="0"/>
        <w:bottom w:val="single" w:color="7E7E7E" w:themeColor="text1" w:themeTint="80" w:sz="4" w:space="0"/>
      </w:tblBorders>
    </w:tblPr>
    <w:tblStylePr w:type="band1Horz">
      <w:rPr>
        <w:rFonts w:ascii="Arial" w:hAnsi="Arial"/>
        <w:color w:val="000000" w:themeColor="text1"/>
        <w:sz w:val="22"/>
        <w14:textFill>
          <w14:solidFill>
            <w14:schemeClr w14:val="tx1"/>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000000" w:themeColor="text1"/>
        <w:sz w:val="22"/>
        <w14:textFill>
          <w14:solidFill>
            <w14:schemeClr w14:val="tx1"/>
          </w14:solidFill>
        </w14:textFill>
      </w:rPr>
    </w:tblStylePr>
    <w:tblStylePr w:type="firstCol">
      <w:rPr>
        <w:b/>
        <w:color w:val="000000" w:themeColor="text1"/>
        <w14:textFill>
          <w14:solidFill>
            <w14:schemeClr w14:val="tx1"/>
          </w14:solidFill>
        </w14:textFill>
      </w:rPr>
    </w:tblStylePr>
    <w:tblStylePr w:type="firstRow">
      <w:rPr>
        <w:b/>
        <w:color w:val="000000" w:themeColor="text1"/>
        <w14:textFill>
          <w14:solidFill>
            <w14:schemeClr w14:val="tx1"/>
          </w14:solidFill>
        </w14:textFill>
      </w:rPr>
      <w:tcPr>
        <w:tcBorders>
          <w:bottom w:val="single" w:color="7E7E7E" w:themeColor="text1" w:themeTint="80" w:sz="4" w:space="0"/>
        </w:tcBorders>
      </w:tcPr>
    </w:tblStylePr>
    <w:tblStylePr w:type="lastCol">
      <w:rPr>
        <w:b/>
        <w:color w:val="000000" w:themeColor="text1"/>
        <w14:textFill>
          <w14:solidFill>
            <w14:schemeClr w14:val="tx1"/>
          </w14:solidFill>
        </w14:textFill>
      </w:rPr>
    </w:tblStylePr>
    <w:tblStylePr w:type="lastRow">
      <w:rPr>
        <w:b/>
        <w:color w:val="000000" w:themeColor="text1"/>
        <w14:textFill>
          <w14:solidFill>
            <w14:schemeClr w14:val="tx1"/>
          </w14:solidFill>
        </w14:textFill>
      </w:rPr>
      <w:tcPr>
        <w:tcBorders>
          <w:top w:val="single" w:color="7E7E7E" w:themeColor="text1" w:themeTint="80" w:sz="4" w:space="0"/>
        </w:tcBorders>
      </w:tcPr>
    </w:tblStylePr>
  </w:style>
  <w:style w:type="table" w:styleId="942" w:customStyle="1">
    <w:name w:val="List Table 6 Colorful - Accent 1"/>
    <w:uiPriority w:val="99"/>
    <w:qFormat/>
    <w:pPr>
      <w:spacing w:after="0" w:line="240" w:lineRule="auto"/>
    </w:pPr>
    <w:tblPr>
      <w:tblBorders>
        <w:top w:val="single" w:color="4F81BD" w:themeColor="accent1" w:sz="4" w:space="0"/>
        <w:bottom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b/>
        <w:color w:val="2a4b71" w:themeColor="accent1" w:themeShade="94"/>
      </w:rPr>
    </w:tblStylePr>
    <w:tblStylePr w:type="firstRow">
      <w:rPr>
        <w:b/>
        <w:color w:val="2a4b71" w:themeColor="accent1" w:themeShade="94"/>
      </w:rPr>
      <w:tcPr>
        <w:tcBorders>
          <w:bottom w:val="single" w:color="4F81BD" w:themeColor="accent1" w:sz="4" w:space="0"/>
        </w:tcBorders>
      </w:tcPr>
    </w:tblStylePr>
    <w:tblStylePr w:type="lastCol">
      <w:rPr>
        <w:b/>
        <w:color w:val="2a4b71" w:themeColor="accent1" w:themeShade="94"/>
      </w:rPr>
    </w:tblStylePr>
    <w:tblStylePr w:type="lastRow">
      <w:rPr>
        <w:b/>
        <w:color w:val="2a4b71" w:themeColor="accent1" w:themeShade="94"/>
      </w:rPr>
      <w:tcPr>
        <w:tcBorders>
          <w:top w:val="single" w:color="4F81BD" w:themeColor="accent1" w:sz="4" w:space="0"/>
        </w:tcBorders>
      </w:tcPr>
    </w:tblStylePr>
  </w:style>
  <w:style w:type="table" w:styleId="943" w:customStyle="1">
    <w:name w:val="List Table 6 Colorful - Accent 2"/>
    <w:uiPriority w:val="99"/>
    <w:qFormat/>
    <w:pPr>
      <w:spacing w:after="0" w:line="240" w:lineRule="auto"/>
    </w:pPr>
    <w:tblPr>
      <w:tblBorders>
        <w:top w:val="single" w:color="D99795" w:themeColor="accent2" w:themeTint="97" w:sz="4" w:space="0"/>
        <w:bottom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b/>
        <w:color w:val="da9896" w:themeColor="accent2" w:themeTint="96"/>
        <w14:textFill>
          <w14:solidFill>
            <w14:schemeClr w14:val="accent2">
              <w14:lumMod w14:val="59000"/>
              <w14:lumOff w14:val="41000"/>
            </w14:schemeClr>
          </w14:solidFill>
        </w14:textFill>
      </w:rPr>
    </w:tblStylePr>
    <w:tblStylePr w:type="firstRow">
      <w:rPr>
        <w:b/>
        <w:color w:val="da9896" w:themeColor="accent2" w:themeTint="96"/>
        <w14:textFill>
          <w14:solidFill>
            <w14:schemeClr w14:val="accent2">
              <w14:lumMod w14:val="59000"/>
              <w14:lumOff w14:val="41000"/>
            </w14:schemeClr>
          </w14:solidFill>
        </w14:textFill>
      </w:rPr>
      <w:tcPr>
        <w:tcBorders>
          <w:bottom w:val="single" w:color="D99795" w:themeColor="accent2" w:themeTint="97" w:sz="4" w:space="0"/>
        </w:tcBorders>
      </w:tcPr>
    </w:tblStylePr>
    <w:tblStylePr w:type="lastCol">
      <w:rPr>
        <w:b/>
        <w:color w:val="da9896" w:themeColor="accent2" w:themeTint="96"/>
        <w14:textFill>
          <w14:solidFill>
            <w14:schemeClr w14:val="accent2">
              <w14:lumMod w14:val="59000"/>
              <w14:lumOff w14:val="41000"/>
            </w14:schemeClr>
          </w14:solidFill>
        </w14:textFill>
      </w:rPr>
    </w:tblStylePr>
    <w:tblStylePr w:type="lastRow">
      <w:rPr>
        <w:b/>
        <w:color w:val="da9896" w:themeColor="accent2" w:themeTint="96"/>
        <w14:textFill>
          <w14:solidFill>
            <w14:schemeClr w14:val="accent2">
              <w14:lumMod w14:val="59000"/>
              <w14:lumOff w14:val="41000"/>
            </w14:schemeClr>
          </w14:solidFill>
        </w14:textFill>
      </w:rPr>
      <w:tcPr>
        <w:tcBorders>
          <w:top w:val="single" w:color="D99795" w:themeColor="accent2" w:themeTint="97" w:sz="4" w:space="0"/>
        </w:tcBorders>
      </w:tcPr>
    </w:tblStylePr>
  </w:style>
  <w:style w:type="table" w:styleId="944" w:customStyle="1">
    <w:name w:val="List Table 6 Colorful - Accent 3"/>
    <w:uiPriority w:val="99"/>
    <w:qFormat/>
    <w:pPr>
      <w:spacing w:after="0" w:line="240" w:lineRule="auto"/>
    </w:pPr>
    <w:tblPr>
      <w:tblBorders>
        <w:top w:val="single" w:color="C3D69C" w:themeColor="accent3" w:themeTint="98" w:sz="4" w:space="0"/>
        <w:bottom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b/>
        <w:color w:val="c3d69b" w:themeColor="accent3" w:themeTint="99"/>
        <w14:textFill>
          <w14:solidFill>
            <w14:schemeClr w14:val="accent3">
              <w14:lumMod w14:val="60000"/>
              <w14:lumOff w14:val="40000"/>
            </w14:schemeClr>
          </w14:solidFill>
        </w14:textFill>
      </w:rPr>
    </w:tblStylePr>
    <w:tblStylePr w:type="firstRow">
      <w:rPr>
        <w:b/>
        <w:color w:val="c3d69b" w:themeColor="accent3" w:themeTint="99"/>
        <w14:textFill>
          <w14:solidFill>
            <w14:schemeClr w14:val="accent3">
              <w14:lumMod w14:val="60000"/>
              <w14:lumOff w14:val="40000"/>
            </w14:schemeClr>
          </w14:solidFill>
        </w14:textFill>
      </w:rPr>
      <w:tcPr>
        <w:tcBorders>
          <w:bottom w:val="single" w:color="C3D69C" w:themeColor="accent3" w:themeTint="98" w:sz="4" w:space="0"/>
        </w:tcBorders>
      </w:tcPr>
    </w:tblStylePr>
    <w:tblStylePr w:type="lastCol">
      <w:rPr>
        <w:b/>
        <w:color w:val="c3d69b" w:themeColor="accent3" w:themeTint="99"/>
        <w14:textFill>
          <w14:solidFill>
            <w14:schemeClr w14:val="accent3">
              <w14:lumMod w14:val="60000"/>
              <w14:lumOff w14:val="40000"/>
            </w14:schemeClr>
          </w14:solidFill>
        </w14:textFill>
      </w:rPr>
    </w:tblStylePr>
    <w:tblStylePr w:type="lastRow">
      <w:rPr>
        <w:b/>
        <w:color w:val="c3d69b" w:themeColor="accent3" w:themeTint="99"/>
        <w14:textFill>
          <w14:solidFill>
            <w14:schemeClr w14:val="accent3">
              <w14:lumMod w14:val="60000"/>
              <w14:lumOff w14:val="40000"/>
            </w14:schemeClr>
          </w14:solidFill>
        </w14:textFill>
      </w:rPr>
      <w:tcPr>
        <w:tcBorders>
          <w:top w:val="single" w:color="C3D69C" w:themeColor="accent3" w:themeTint="98" w:sz="4" w:space="0"/>
        </w:tcBorders>
      </w:tcPr>
    </w:tblStylePr>
  </w:style>
  <w:style w:type="table" w:styleId="945" w:customStyle="1">
    <w:name w:val="List Table 6 Colorful - Accent 4"/>
    <w:uiPriority w:val="99"/>
    <w:qFormat/>
    <w:pPr>
      <w:spacing w:after="0" w:line="240" w:lineRule="auto"/>
    </w:pPr>
    <w:tblPr>
      <w:tblBorders>
        <w:top w:val="single" w:color="B2A1C6" w:themeColor="accent4" w:themeTint="9A" w:sz="4" w:space="0"/>
        <w:bottom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b/>
        <w:color w:val="b3a2c7" w:themeColor="accent4" w:themeTint="99"/>
        <w14:textFill>
          <w14:solidFill>
            <w14:schemeClr w14:val="accent4">
              <w14:lumMod w14:val="60000"/>
              <w14:lumOff w14:val="40000"/>
            </w14:schemeClr>
          </w14:solidFill>
        </w14:textFill>
      </w:rPr>
    </w:tblStylePr>
    <w:tblStylePr w:type="firstRow">
      <w:rPr>
        <w:b/>
        <w:color w:val="b3a2c7" w:themeColor="accent4" w:themeTint="99"/>
        <w14:textFill>
          <w14:solidFill>
            <w14:schemeClr w14:val="accent4">
              <w14:lumMod w14:val="60000"/>
              <w14:lumOff w14:val="40000"/>
            </w14:schemeClr>
          </w14:solidFill>
        </w14:textFill>
      </w:rPr>
      <w:tcPr>
        <w:tcBorders>
          <w:bottom w:val="single" w:color="B2A1C6" w:themeColor="accent4" w:themeTint="9A" w:sz="4" w:space="0"/>
        </w:tcBorders>
      </w:tcPr>
    </w:tblStylePr>
    <w:tblStylePr w:type="lastCol">
      <w:rPr>
        <w:b/>
        <w:color w:val="b3a2c7" w:themeColor="accent4" w:themeTint="99"/>
        <w14:textFill>
          <w14:solidFill>
            <w14:schemeClr w14:val="accent4">
              <w14:lumMod w14:val="60000"/>
              <w14:lumOff w14:val="40000"/>
            </w14:schemeClr>
          </w14:solidFill>
        </w14:textFill>
      </w:rPr>
    </w:tblStylePr>
    <w:tblStylePr w:type="lastRow">
      <w:rPr>
        <w:b/>
        <w:color w:val="b3a2c7" w:themeColor="accent4" w:themeTint="99"/>
        <w14:textFill>
          <w14:solidFill>
            <w14:schemeClr w14:val="accent4">
              <w14:lumMod w14:val="60000"/>
              <w14:lumOff w14:val="40000"/>
            </w14:schemeClr>
          </w14:solidFill>
        </w14:textFill>
      </w:rPr>
      <w:tcPr>
        <w:tcBorders>
          <w:top w:val="single" w:color="B2A1C6" w:themeColor="accent4" w:themeTint="9A" w:sz="4" w:space="0"/>
        </w:tcBorders>
      </w:tcPr>
    </w:tblStylePr>
  </w:style>
  <w:style w:type="table" w:styleId="946" w:customStyle="1">
    <w:name w:val="List Table 6 Colorful - Accent 5"/>
    <w:uiPriority w:val="99"/>
    <w:qFormat/>
    <w:pPr>
      <w:spacing w:after="0" w:line="240" w:lineRule="auto"/>
    </w:pPr>
    <w:tblPr>
      <w:tblBorders>
        <w:top w:val="single" w:color="92CCDC" w:themeColor="accent5" w:themeTint="9A" w:sz="4" w:space="0"/>
        <w:bottom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b/>
        <w:color w:val="93cddd" w:themeColor="accent5" w:themeTint="99"/>
        <w14:textFill>
          <w14:solidFill>
            <w14:schemeClr w14:val="accent5">
              <w14:lumMod w14:val="60000"/>
              <w14:lumOff w14:val="40000"/>
            </w14:schemeClr>
          </w14:solidFill>
        </w14:textFill>
      </w:rPr>
    </w:tblStylePr>
    <w:tblStylePr w:type="firstRow">
      <w:rPr>
        <w:b/>
        <w:color w:val="93cddd" w:themeColor="accent5" w:themeTint="99"/>
        <w14:textFill>
          <w14:solidFill>
            <w14:schemeClr w14:val="accent5">
              <w14:lumMod w14:val="60000"/>
              <w14:lumOff w14:val="40000"/>
            </w14:schemeClr>
          </w14:solidFill>
        </w14:textFill>
      </w:rPr>
      <w:tcPr>
        <w:tcBorders>
          <w:bottom w:val="single" w:color="92CCDC" w:themeColor="accent5" w:themeTint="9A" w:sz="4" w:space="0"/>
        </w:tcBorders>
      </w:tcPr>
    </w:tblStylePr>
    <w:tblStylePr w:type="lastCol">
      <w:rPr>
        <w:b/>
        <w:color w:val="93cddd" w:themeColor="accent5" w:themeTint="99"/>
        <w14:textFill>
          <w14:solidFill>
            <w14:schemeClr w14:val="accent5">
              <w14:lumMod w14:val="60000"/>
              <w14:lumOff w14:val="40000"/>
            </w14:schemeClr>
          </w14:solidFill>
        </w14:textFill>
      </w:rPr>
    </w:tblStylePr>
    <w:tblStylePr w:type="lastRow">
      <w:rPr>
        <w:b/>
        <w:color w:val="93cddd" w:themeColor="accent5" w:themeTint="99"/>
        <w14:textFill>
          <w14:solidFill>
            <w14:schemeClr w14:val="accent5">
              <w14:lumMod w14:val="60000"/>
              <w14:lumOff w14:val="40000"/>
            </w14:schemeClr>
          </w14:solidFill>
        </w14:textFill>
      </w:rPr>
      <w:tcPr>
        <w:tcBorders>
          <w:top w:val="single" w:color="92CCDC" w:themeColor="accent5" w:themeTint="9A" w:sz="4" w:space="0"/>
        </w:tcBorders>
      </w:tcPr>
    </w:tblStylePr>
  </w:style>
  <w:style w:type="table" w:styleId="947" w:customStyle="1">
    <w:name w:val="List Table 6 Colorful - Accent 6"/>
    <w:uiPriority w:val="99"/>
    <w:qFormat/>
    <w:pPr>
      <w:spacing w:after="0" w:line="240" w:lineRule="auto"/>
    </w:pPr>
    <w:tblPr>
      <w:tblBorders>
        <w:top w:val="single" w:color="FAC090" w:themeColor="accent6" w:themeTint="98" w:sz="4" w:space="0"/>
        <w:bottom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b/>
        <w:color w:val="fac090" w:themeColor="accent6" w:themeTint="99"/>
        <w14:textFill>
          <w14:solidFill>
            <w14:schemeClr w14:val="accent6">
              <w14:lumMod w14:val="60000"/>
              <w14:lumOff w14:val="40000"/>
            </w14:schemeClr>
          </w14:solidFill>
        </w14:textFill>
      </w:rPr>
    </w:tblStylePr>
    <w:tblStylePr w:type="firstRow">
      <w:rPr>
        <w:b/>
        <w:color w:val="fac090" w:themeColor="accent6" w:themeTint="99"/>
        <w14:textFill>
          <w14:solidFill>
            <w14:schemeClr w14:val="accent6">
              <w14:lumMod w14:val="60000"/>
              <w14:lumOff w14:val="40000"/>
            </w14:schemeClr>
          </w14:solidFill>
        </w14:textFill>
      </w:rPr>
      <w:tcPr>
        <w:tcBorders>
          <w:bottom w:val="single" w:color="FAC090" w:themeColor="accent6" w:themeTint="98" w:sz="4" w:space="0"/>
        </w:tcBorders>
      </w:tcPr>
    </w:tblStylePr>
    <w:tblStylePr w:type="lastCol">
      <w:rPr>
        <w:b/>
        <w:color w:val="fac090" w:themeColor="accent6" w:themeTint="99"/>
        <w14:textFill>
          <w14:solidFill>
            <w14:schemeClr w14:val="accent6">
              <w14:lumMod w14:val="60000"/>
              <w14:lumOff w14:val="40000"/>
            </w14:schemeClr>
          </w14:solidFill>
        </w14:textFill>
      </w:rPr>
    </w:tblStylePr>
    <w:tblStylePr w:type="lastRow">
      <w:rPr>
        <w:b/>
        <w:color w:val="fac090" w:themeColor="accent6" w:themeTint="99"/>
        <w14:textFill>
          <w14:solidFill>
            <w14:schemeClr w14:val="accent6">
              <w14:lumMod w14:val="60000"/>
              <w14:lumOff w14:val="40000"/>
            </w14:schemeClr>
          </w14:solidFill>
        </w14:textFill>
      </w:rPr>
      <w:tcPr>
        <w:tcBorders>
          <w:top w:val="single" w:color="FAC090" w:themeColor="accent6" w:themeTint="98" w:sz="4" w:space="0"/>
        </w:tcBorders>
      </w:tcPr>
    </w:tblStylePr>
  </w:style>
  <w:style w:type="table" w:styleId="948" w:customStyle="1">
    <w:name w:val="List Table 7 Colorful"/>
    <w:uiPriority w:val="99"/>
    <w:qFormat/>
    <w:pPr>
      <w:spacing w:after="0" w:line="240" w:lineRule="auto"/>
    </w:pPr>
    <w:tblPr>
      <w:tblBorders>
        <w:right w:val="single" w:color="7E7E7E" w:themeColor="text1" w:themeTint="80" w:sz="4" w:space="0"/>
      </w:tblBorders>
    </w:tblPr>
    <w:tblStylePr w:type="band1Horz">
      <w:rPr>
        <w:rFonts w:ascii="Arial" w:hAnsi="Arial"/>
        <w:color w:val="808080" w:themeColor="text1" w:themeTint="80"/>
        <w:sz w:val="22"/>
        <w14:textFill>
          <w14:solidFill>
            <w14:schemeClr w14:val="tx1">
              <w14:lumMod w14:val="50000"/>
              <w14:lumOff w14:val="50000"/>
            </w14:schemeClr>
          </w14:solidFill>
        </w14:textFill>
      </w:rPr>
      <w:tcPr>
        <w:shd w:val="clear" w:color="bebebe" w:themeColor="text1" w:themeTint="40" w:fill="bebebe" w:themeFill="text1" w:themeFillTint="40"/>
      </w:tcPr>
    </w:tblStylePr>
    <w:tblStylePr w:type="band1Vert">
      <w:tcPr>
        <w:shd w:val="clear" w:color="bebebe" w:themeColor="text1" w:themeTint="40" w:fill="bebebe" w:themeFill="text1" w:themeFillTint="40"/>
      </w:tcPr>
    </w:tblStylePr>
    <w:tblStylePr w:type="band2Horz">
      <w:rPr>
        <w:rFonts w:ascii="Arial" w:hAnsi="Arial"/>
        <w:color w:val="808080" w:themeColor="text1" w:themeTint="80"/>
        <w:sz w:val="22"/>
        <w14:textFill>
          <w14:solidFill>
            <w14:schemeClr w14:val="tx1">
              <w14:lumMod w14:val="50000"/>
              <w14:lumOff w14:val="50000"/>
            </w14:schemeClr>
          </w14:solidFill>
        </w14:textFill>
      </w:rPr>
    </w:tblStylePr>
    <w:tblStylePr w:type="firstCol">
      <w:rPr>
        <w:rFonts w:ascii="Arial" w:hAnsi="Arial"/>
        <w:i/>
        <w:color w:val="808080" w:themeColor="text1" w:themeTint="80"/>
        <w:sz w:val="22"/>
        <w14:textFill>
          <w14:solidFill>
            <w14:schemeClr w14:val="tx1">
              <w14:lumMod w14:val="50000"/>
              <w14:lumOff w14:val="50000"/>
            </w14:schemeClr>
          </w14:solidFill>
        </w14:textFill>
      </w:rPr>
      <w:pPr>
        <w:jc w:val="right"/>
      </w:pPr>
      <w:tcPr>
        <w:shd w:val="clear" w:color="ffffff" w:fill="auto"/>
        <w:tcBorders>
          <w:top w:val="none" w:color="000000" w:sz="4" w:space="0"/>
          <w:left w:val="none" w:color="000000" w:sz="4" w:space="0"/>
          <w:bottom w:val="none" w:color="000000" w:sz="4" w:space="0"/>
          <w:right w:val="single" w:color="7E7E7E" w:themeColor="text1" w:themeTint="80" w:sz="4" w:space="0"/>
        </w:tcBorders>
      </w:tcPr>
    </w:tblStylePr>
    <w:tblStylePr w:type="fir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none" w:color="000000" w:sz="4" w:space="0"/>
          <w:left w:val="none" w:color="000000" w:sz="4" w:space="0"/>
          <w:bottom w:val="single" w:color="7E7E7E" w:themeColor="text1" w:themeTint="80" w:sz="4" w:space="0"/>
          <w:right w:val="none" w:color="000000" w:sz="4" w:space="0"/>
        </w:tcBorders>
      </w:tcPr>
    </w:tblStylePr>
    <w:tblStylePr w:type="lastCol">
      <w:rPr>
        <w:rFonts w:ascii="Arial" w:hAnsi="Arial"/>
        <w:i/>
        <w:color w:val="808080" w:themeColor="text1" w:themeTint="80"/>
        <w:sz w:val="22"/>
        <w14:textFill>
          <w14:solidFill>
            <w14:schemeClr w14:val="tx1">
              <w14:lumMod w14:val="50000"/>
              <w14:lumOff w14:val="50000"/>
            </w14:schemeClr>
          </w14:solidFill>
        </w14:textFill>
      </w:rPr>
      <w:tcPr>
        <w:shd w:val="clear" w:color="ffffff" w:fill="auto"/>
        <w:tcBorders>
          <w:top w:val="none" w:color="000000" w:sz="4" w:space="0"/>
          <w:left w:val="single" w:color="7E7E7E" w:themeColor="text1" w:themeTint="80" w:sz="4" w:space="0"/>
          <w:bottom w:val="none" w:color="000000" w:sz="4" w:space="0"/>
          <w:right w:val="none" w:color="000000" w:sz="4" w:space="0"/>
        </w:tcBorders>
      </w:tcPr>
    </w:tblStylePr>
    <w:tblStylePr w:type="lastRow">
      <w:rPr>
        <w:rFonts w:ascii="Arial" w:hAnsi="Arial"/>
        <w:i/>
        <w:color w:val="808080" w:themeColor="text1" w:themeTint="80"/>
        <w:sz w:val="22"/>
        <w14:textFill>
          <w14:solidFill>
            <w14:schemeClr w14:val="tx1">
              <w14:lumMod w14:val="50000"/>
              <w14:lumOff w14:val="50000"/>
            </w14:schemeClr>
          </w14:solidFill>
        </w14:textFill>
      </w:rPr>
      <w:tcPr>
        <w:shd w:val="clear" w:color="ffffff" w:themeColor="light1" w:fill="ffffff" w:themeFill="light1"/>
        <w:tcBorders>
          <w:top w:val="single" w:color="7E7E7E" w:themeColor="text1" w:themeTint="80" w:sz="4" w:space="0"/>
          <w:left w:val="none" w:color="000000" w:sz="4" w:space="0"/>
          <w:bottom w:val="none" w:color="000000" w:sz="4" w:space="0"/>
          <w:right w:val="none" w:color="000000" w:sz="4" w:space="0"/>
        </w:tcBorders>
      </w:tcPr>
    </w:tblStylePr>
  </w:style>
  <w:style w:type="table" w:styleId="949" w:customStyle="1">
    <w:name w:val="List Table 7 Colorful - Accent 1"/>
    <w:uiPriority w:val="99"/>
    <w:qFormat/>
    <w:pPr>
      <w:spacing w:after="0" w:line="240" w:lineRule="auto"/>
    </w:pPr>
    <w:tblPr>
      <w:tblBorders>
        <w:right w:val="single" w:color="4F81BD" w:themeColor="accent1" w:sz="4" w:space="0"/>
      </w:tblBorders>
    </w:tblPr>
    <w:tblStylePr w:type="band1Horz">
      <w:rPr>
        <w:rFonts w:ascii="Arial" w:hAnsi="Arial"/>
        <w:color w:val="2a4b71" w:themeColor="accent1" w:themeShade="94"/>
        <w:sz w:val="22"/>
      </w:rPr>
      <w:tcPr>
        <w:shd w:val="clear" w:color="d2dfee" w:themeColor="accent1" w:themeTint="40" w:fill="d2dfee" w:themeFill="accent1" w:themeFillTint="40"/>
      </w:tcPr>
    </w:tblStylePr>
    <w:tblStylePr w:type="band1Vert">
      <w:tcPr>
        <w:shd w:val="clear" w:color="d2dfee" w:themeColor="accent1" w:themeTint="40" w:fill="d2dfee" w:themeFill="accent1" w:themeFillTint="40"/>
      </w:tcPr>
    </w:tblStylePr>
    <w:tblStylePr w:type="band2Horz">
      <w:rPr>
        <w:rFonts w:ascii="Arial" w:hAnsi="Arial"/>
        <w:color w:val="2a4b71" w:themeColor="accent1" w:themeShade="94"/>
        <w:sz w:val="22"/>
      </w:rPr>
    </w:tblStylePr>
    <w:tblStylePr w:type="firstCol">
      <w:rPr>
        <w:rFonts w:ascii="Arial" w:hAnsi="Arial"/>
        <w:i/>
        <w:color w:val="2a4b71" w:themeColor="accent1" w:themeShade="94"/>
        <w:sz w:val="22"/>
      </w:rPr>
      <w:pPr>
        <w:jc w:val="right"/>
      </w:pPr>
      <w:tcPr>
        <w:shd w:val="clear" w:color="ffffff" w:fill="auto"/>
        <w:tcBorders>
          <w:top w:val="none" w:color="000000" w:sz="4" w:space="0"/>
          <w:left w:val="none" w:color="000000" w:sz="4" w:space="0"/>
          <w:bottom w:val="none" w:color="000000" w:sz="4" w:space="0"/>
          <w:right w:val="single" w:color="4F81BD" w:themeColor="accent1" w:sz="4" w:space="0"/>
        </w:tcBorders>
      </w:tcPr>
    </w:tblStylePr>
    <w:tblStylePr w:type="firstRow">
      <w:rPr>
        <w:rFonts w:ascii="Arial" w:hAnsi="Arial"/>
        <w:i/>
        <w:color w:val="2a4b71" w:themeColor="accent1" w:themeShade="94"/>
        <w:sz w:val="22"/>
      </w:rPr>
      <w:tcPr>
        <w:shd w:val="clear" w:color="ffffff" w:themeColor="light1" w:fill="ffffff" w:themeFill="light1"/>
        <w:tcBorders>
          <w:top w:val="none" w:color="000000" w:sz="4" w:space="0"/>
          <w:left w:val="none" w:color="000000" w:sz="4" w:space="0"/>
          <w:bottom w:val="single" w:color="4F81BD" w:themeColor="accent1" w:sz="4" w:space="0"/>
          <w:right w:val="none" w:color="000000" w:sz="4" w:space="0"/>
        </w:tcBorders>
      </w:tcPr>
    </w:tblStylePr>
    <w:tblStylePr w:type="lastCol">
      <w:rPr>
        <w:rFonts w:ascii="Arial" w:hAnsi="Arial"/>
        <w:i/>
        <w:color w:val="2a4b71" w:themeColor="accent1" w:themeShade="94"/>
        <w:sz w:val="22"/>
      </w:rPr>
      <w:tcPr>
        <w:shd w:val="clear" w:color="ffffff" w:fill="auto"/>
        <w:tcBorders>
          <w:top w:val="none" w:color="000000" w:sz="4" w:space="0"/>
          <w:left w:val="single" w:color="4F81BD" w:themeColor="accent1" w:sz="4" w:space="0"/>
          <w:bottom w:val="none" w:color="000000" w:sz="4" w:space="0"/>
          <w:right w:val="none" w:color="000000" w:sz="4" w:space="0"/>
        </w:tcBorders>
      </w:tcPr>
    </w:tblStylePr>
    <w:tblStylePr w:type="lastRow">
      <w:rPr>
        <w:rFonts w:ascii="Arial" w:hAnsi="Arial"/>
        <w:i/>
        <w:color w:val="2a4b71" w:themeColor="accent1" w:themeShade="94"/>
        <w:sz w:val="22"/>
      </w:rPr>
      <w:tcPr>
        <w:shd w:val="clear" w:color="ffffff" w:themeColor="light1" w:fill="ffffff" w:themeFill="light1"/>
        <w:tcBorders>
          <w:top w:val="single" w:color="4F81BD" w:themeColor="accent1" w:sz="4" w:space="0"/>
          <w:left w:val="none" w:color="000000" w:sz="4" w:space="0"/>
          <w:bottom w:val="none" w:color="000000" w:sz="4" w:space="0"/>
          <w:right w:val="none" w:color="000000" w:sz="4" w:space="0"/>
        </w:tcBorders>
      </w:tcPr>
    </w:tblStylePr>
  </w:style>
  <w:style w:type="table" w:styleId="950" w:customStyle="1">
    <w:name w:val="List Table 7 Colorful - Accent 2"/>
    <w:uiPriority w:val="99"/>
    <w:qFormat/>
    <w:pPr>
      <w:spacing w:after="0" w:line="240" w:lineRule="auto"/>
    </w:pPr>
    <w:tblPr>
      <w:tblBorders>
        <w:right w:val="single" w:color="D99795" w:themeColor="accent2" w:themeTint="97" w:sz="4" w:space="0"/>
      </w:tblBorders>
    </w:tblPr>
    <w:tblStylePr w:type="band1Horz">
      <w:rPr>
        <w:rFonts w:ascii="Arial" w:hAnsi="Arial"/>
        <w:color w:val="da9896" w:themeColor="accent2" w:themeTint="96"/>
        <w:sz w:val="22"/>
        <w14:textFill>
          <w14:solidFill>
            <w14:schemeClr w14:val="accent2">
              <w14:lumMod w14:val="59000"/>
              <w14:lumOff w14:val="41000"/>
            </w14:schemeClr>
          </w14:solidFill>
        </w14:textFill>
      </w:rPr>
      <w:tcPr>
        <w:shd w:val="clear" w:color="efd3d2" w:themeColor="accent2" w:themeTint="40" w:fill="efd3d2" w:themeFill="accent2" w:themeFillTint="40"/>
      </w:tcPr>
    </w:tblStylePr>
    <w:tblStylePr w:type="band1Vert">
      <w:tcPr>
        <w:shd w:val="clear" w:color="efd3d2" w:themeColor="accent2" w:themeTint="40" w:fill="efd3d2" w:themeFill="accent2" w:themeFillTint="40"/>
      </w:tcPr>
    </w:tblStylePr>
    <w:tblStylePr w:type="band2Horz">
      <w:rPr>
        <w:rFonts w:ascii="Arial" w:hAnsi="Arial"/>
        <w:color w:val="da9896" w:themeColor="accent2" w:themeTint="96"/>
        <w:sz w:val="22"/>
        <w14:textFill>
          <w14:solidFill>
            <w14:schemeClr w14:val="accent2">
              <w14:lumMod w14:val="59000"/>
              <w14:lumOff w14:val="41000"/>
            </w14:schemeClr>
          </w14:solidFill>
        </w14:textFill>
      </w:rPr>
    </w:tblStylePr>
    <w:tblStylePr w:type="firstCol">
      <w:rPr>
        <w:rFonts w:ascii="Arial" w:hAnsi="Arial"/>
        <w:i/>
        <w:color w:val="da9896" w:themeColor="accent2" w:themeTint="96"/>
        <w:sz w:val="22"/>
        <w14:textFill>
          <w14:solidFill>
            <w14:schemeClr w14:val="accent2">
              <w14:lumMod w14:val="59000"/>
              <w14:lumOff w14:val="41000"/>
            </w14:schemeClr>
          </w14:solidFill>
        </w14:textFill>
      </w:rPr>
      <w:pPr>
        <w:jc w:val="right"/>
      </w:pPr>
      <w:tcPr>
        <w:shd w:val="clear" w:color="ffffff" w:fill="auto"/>
        <w:tcBorders>
          <w:top w:val="none" w:color="000000" w:sz="4" w:space="0"/>
          <w:left w:val="none" w:color="000000" w:sz="4" w:space="0"/>
          <w:bottom w:val="none" w:color="000000" w:sz="4" w:space="0"/>
          <w:right w:val="single" w:color="D99795" w:themeColor="accent2" w:themeTint="97" w:sz="4" w:space="0"/>
        </w:tcBorders>
      </w:tcPr>
    </w:tblStylePr>
    <w:tblStylePr w:type="fir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none" w:color="000000" w:sz="4" w:space="0"/>
          <w:left w:val="none" w:color="000000" w:sz="4" w:space="0"/>
          <w:bottom w:val="single" w:color="D99795" w:themeColor="accent2" w:themeTint="97" w:sz="4" w:space="0"/>
          <w:right w:val="none" w:color="000000" w:sz="4" w:space="0"/>
        </w:tcBorders>
      </w:tcPr>
    </w:tblStylePr>
    <w:tblStylePr w:type="lastCol">
      <w:rPr>
        <w:rFonts w:ascii="Arial" w:hAnsi="Arial"/>
        <w:i/>
        <w:color w:val="da9896" w:themeColor="accent2" w:themeTint="96"/>
        <w:sz w:val="22"/>
        <w14:textFill>
          <w14:solidFill>
            <w14:schemeClr w14:val="accent2">
              <w14:lumMod w14:val="59000"/>
              <w14:lumOff w14:val="41000"/>
            </w14:schemeClr>
          </w14:solidFill>
        </w14:textFill>
      </w:rPr>
      <w:tcPr>
        <w:shd w:val="clear" w:color="ffffff" w:fill="auto"/>
        <w:tcBorders>
          <w:top w:val="none" w:color="000000" w:sz="4" w:space="0"/>
          <w:left w:val="single" w:color="D99795" w:themeColor="accent2" w:themeTint="97" w:sz="4" w:space="0"/>
          <w:bottom w:val="none" w:color="000000" w:sz="4" w:space="0"/>
          <w:right w:val="none" w:color="000000" w:sz="4" w:space="0"/>
        </w:tcBorders>
      </w:tcPr>
    </w:tblStylePr>
    <w:tblStylePr w:type="lastRow">
      <w:rPr>
        <w:rFonts w:ascii="Arial" w:hAnsi="Arial"/>
        <w:i/>
        <w:color w:val="da9896" w:themeColor="accent2" w:themeTint="96"/>
        <w:sz w:val="22"/>
        <w14:textFill>
          <w14:solidFill>
            <w14:schemeClr w14:val="accent2">
              <w14:lumMod w14:val="59000"/>
              <w14:lumOff w14:val="41000"/>
            </w14:schemeClr>
          </w14:solidFill>
        </w14:textFill>
      </w:rPr>
      <w:tcPr>
        <w:shd w:val="clear" w:color="ffffff" w:themeColor="light1" w:fill="ffffff" w:themeFill="light1"/>
        <w:tcBorders>
          <w:top w:val="single" w:color="D99795" w:themeColor="accent2" w:themeTint="97" w:sz="4" w:space="0"/>
          <w:left w:val="none" w:color="000000" w:sz="4" w:space="0"/>
          <w:bottom w:val="none" w:color="000000" w:sz="4" w:space="0"/>
          <w:right w:val="none" w:color="000000" w:sz="4" w:space="0"/>
        </w:tcBorders>
      </w:tcPr>
    </w:tblStylePr>
  </w:style>
  <w:style w:type="table" w:styleId="951" w:customStyle="1">
    <w:name w:val="List Table 7 Colorful - Accent 3"/>
    <w:uiPriority w:val="99"/>
    <w:qFormat/>
    <w:pPr>
      <w:spacing w:after="0" w:line="240" w:lineRule="auto"/>
    </w:pPr>
    <w:tblPr>
      <w:tblBorders>
        <w:right w:val="single" w:color="C3D69C" w:themeColor="accent3" w:themeTint="98" w:sz="4" w:space="0"/>
      </w:tblBorders>
    </w:tblPr>
    <w:tblStylePr w:type="band1Horz">
      <w:rPr>
        <w:rFonts w:ascii="Arial" w:hAnsi="Arial"/>
        <w:color w:val="c3d69b" w:themeColor="accent3" w:themeTint="99"/>
        <w:sz w:val="22"/>
        <w14:textFill>
          <w14:solidFill>
            <w14:schemeClr w14:val="accent3">
              <w14:lumMod w14:val="60000"/>
              <w14:lumOff w14:val="40000"/>
            </w14:schemeClr>
          </w14:solidFill>
        </w14:textFill>
      </w:rPr>
      <w:tcPr>
        <w:shd w:val="clear" w:color="e5edd5" w:themeColor="accent3" w:themeTint="40" w:fill="e5edd5" w:themeFill="accent3" w:themeFillTint="40"/>
      </w:tcPr>
    </w:tblStylePr>
    <w:tblStylePr w:type="band1Vert">
      <w:tcPr>
        <w:shd w:val="clear" w:color="e5edd5" w:themeColor="accent3" w:themeTint="40" w:fill="e5edd5" w:themeFill="accent3" w:themeFillTint="40"/>
      </w:tcPr>
    </w:tblStylePr>
    <w:tblStylePr w:type="band2Horz">
      <w:rPr>
        <w:rFonts w:ascii="Arial" w:hAnsi="Arial"/>
        <w:color w:val="c3d69b" w:themeColor="accent3" w:themeTint="99"/>
        <w:sz w:val="22"/>
        <w14:textFill>
          <w14:solidFill>
            <w14:schemeClr w14:val="accent3">
              <w14:lumMod w14:val="60000"/>
              <w14:lumOff w14:val="40000"/>
            </w14:schemeClr>
          </w14:solidFill>
        </w14:textFill>
      </w:rPr>
    </w:tblStylePr>
    <w:tblStylePr w:type="firstCol">
      <w:rPr>
        <w:rFonts w:ascii="Arial" w:hAnsi="Arial"/>
        <w:i/>
        <w:color w:val="c3d69b" w:themeColor="accent3" w:themeTint="99"/>
        <w:sz w:val="22"/>
        <w14:textFill>
          <w14:solidFill>
            <w14:schemeClr w14:val="accent3">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C3D69C" w:themeColor="accent3" w:themeTint="98" w:sz="4" w:space="0"/>
        </w:tcBorders>
      </w:tcPr>
    </w:tblStylePr>
    <w:tblStylePr w:type="fir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C3D69C" w:themeColor="accent3" w:themeTint="98" w:sz="4" w:space="0"/>
          <w:right w:val="none" w:color="000000" w:sz="4" w:space="0"/>
        </w:tcBorders>
      </w:tcPr>
    </w:tblStylePr>
    <w:tblStylePr w:type="lastCol">
      <w:rPr>
        <w:rFonts w:ascii="Arial" w:hAnsi="Arial"/>
        <w:i/>
        <w:color w:val="c3d69b" w:themeColor="accent3" w:themeTint="99"/>
        <w:sz w:val="22"/>
        <w14:textFill>
          <w14:solidFill>
            <w14:schemeClr w14:val="accent3">
              <w14:lumMod w14:val="60000"/>
              <w14:lumOff w14:val="40000"/>
            </w14:schemeClr>
          </w14:solidFill>
        </w14:textFill>
      </w:rPr>
      <w:tcPr>
        <w:shd w:val="clear" w:color="ffffff" w:fill="auto"/>
        <w:tcBorders>
          <w:top w:val="none" w:color="000000" w:sz="4" w:space="0"/>
          <w:left w:val="single" w:color="C3D69C" w:themeColor="accent3" w:themeTint="98" w:sz="4" w:space="0"/>
          <w:bottom w:val="none" w:color="000000" w:sz="4" w:space="0"/>
          <w:right w:val="none" w:color="000000" w:sz="4" w:space="0"/>
        </w:tcBorders>
      </w:tcPr>
    </w:tblStylePr>
    <w:tblStylePr w:type="lastRow">
      <w:rPr>
        <w:rFonts w:ascii="Arial" w:hAnsi="Arial"/>
        <w:i/>
        <w:color w:val="c3d69b" w:themeColor="accent3" w:themeTint="99"/>
        <w:sz w:val="22"/>
        <w14:textFill>
          <w14:solidFill>
            <w14:schemeClr w14:val="accent3">
              <w14:lumMod w14:val="60000"/>
              <w14:lumOff w14:val="40000"/>
            </w14:schemeClr>
          </w14:solidFill>
        </w14:textFill>
      </w:rPr>
      <w:tcPr>
        <w:shd w:val="clear" w:color="ffffff" w:themeColor="light1" w:fill="ffffff" w:themeFill="light1"/>
        <w:tcBorders>
          <w:top w:val="single" w:color="C3D69C" w:themeColor="accent3" w:themeTint="98" w:sz="4" w:space="0"/>
          <w:left w:val="none" w:color="000000" w:sz="4" w:space="0"/>
          <w:bottom w:val="none" w:color="000000" w:sz="4" w:space="0"/>
          <w:right w:val="none" w:color="000000" w:sz="4" w:space="0"/>
        </w:tcBorders>
      </w:tcPr>
    </w:tblStylePr>
  </w:style>
  <w:style w:type="table" w:styleId="952" w:customStyle="1">
    <w:name w:val="List Table 7 Colorful - Accent 4"/>
    <w:uiPriority w:val="99"/>
    <w:qFormat/>
    <w:pPr>
      <w:spacing w:after="0" w:line="240" w:lineRule="auto"/>
    </w:pPr>
    <w:tblPr>
      <w:tblBorders>
        <w:right w:val="single" w:color="B2A1C6" w:themeColor="accent4" w:themeTint="9A" w:sz="4" w:space="0"/>
      </w:tblBorders>
    </w:tblPr>
    <w:tblStylePr w:type="band1Horz">
      <w:rPr>
        <w:rFonts w:ascii="Arial" w:hAnsi="Arial"/>
        <w:color w:val="b3a2c7" w:themeColor="accent4" w:themeTint="99"/>
        <w:sz w:val="22"/>
        <w14:textFill>
          <w14:solidFill>
            <w14:schemeClr w14:val="accent4">
              <w14:lumMod w14:val="60000"/>
              <w14:lumOff w14:val="40000"/>
            </w14:schemeClr>
          </w14:solidFill>
        </w14:textFill>
      </w:rPr>
      <w:tcPr>
        <w:shd w:val="clear" w:color="dfd8e7" w:themeColor="accent4" w:themeTint="40" w:fill="dfd8e7" w:themeFill="accent4" w:themeFillTint="40"/>
      </w:tcPr>
    </w:tblStylePr>
    <w:tblStylePr w:type="band1Vert">
      <w:tcPr>
        <w:shd w:val="clear" w:color="dfd8e7" w:themeColor="accent4" w:themeTint="40" w:fill="dfd8e7" w:themeFill="accent4" w:themeFillTint="40"/>
      </w:tcPr>
    </w:tblStylePr>
    <w:tblStylePr w:type="band2Horz">
      <w:rPr>
        <w:rFonts w:ascii="Arial" w:hAnsi="Arial"/>
        <w:color w:val="b3a2c7" w:themeColor="accent4" w:themeTint="99"/>
        <w:sz w:val="22"/>
        <w14:textFill>
          <w14:solidFill>
            <w14:schemeClr w14:val="accent4">
              <w14:lumMod w14:val="60000"/>
              <w14:lumOff w14:val="40000"/>
            </w14:schemeClr>
          </w14:solidFill>
        </w14:textFill>
      </w:rPr>
    </w:tblStylePr>
    <w:tblStylePr w:type="firstCol">
      <w:rPr>
        <w:rFonts w:ascii="Arial" w:hAnsi="Arial"/>
        <w:i/>
        <w:color w:val="b3a2c7" w:themeColor="accent4" w:themeTint="99"/>
        <w:sz w:val="22"/>
        <w14:textFill>
          <w14:solidFill>
            <w14:schemeClr w14:val="accent4">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B2A1C6" w:themeColor="accent4" w:themeTint="9A" w:sz="4" w:space="0"/>
        </w:tcBorders>
      </w:tcPr>
    </w:tblStylePr>
    <w:tblStylePr w:type="fir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B2A1C6" w:themeColor="accent4" w:themeTint="9A" w:sz="4" w:space="0"/>
          <w:right w:val="none" w:color="000000" w:sz="4" w:space="0"/>
        </w:tcBorders>
      </w:tcPr>
    </w:tblStylePr>
    <w:tblStylePr w:type="lastCol">
      <w:rPr>
        <w:rFonts w:ascii="Arial" w:hAnsi="Arial"/>
        <w:i/>
        <w:color w:val="b3a2c7" w:themeColor="accent4" w:themeTint="99"/>
        <w:sz w:val="22"/>
        <w14:textFill>
          <w14:solidFill>
            <w14:schemeClr w14:val="accent4">
              <w14:lumMod w14:val="60000"/>
              <w14:lumOff w14:val="40000"/>
            </w14:schemeClr>
          </w14:solidFill>
        </w14:textFill>
      </w:rPr>
      <w:tcPr>
        <w:shd w:val="clear" w:color="ffffff" w:fill="auto"/>
        <w:tcBorders>
          <w:top w:val="none" w:color="000000" w:sz="4" w:space="0"/>
          <w:left w:val="single" w:color="B2A1C6" w:themeColor="accent4" w:themeTint="9A" w:sz="4" w:space="0"/>
          <w:bottom w:val="none" w:color="000000" w:sz="4" w:space="0"/>
          <w:right w:val="none" w:color="000000" w:sz="4" w:space="0"/>
        </w:tcBorders>
      </w:tcPr>
    </w:tblStylePr>
    <w:tblStylePr w:type="lastRow">
      <w:rPr>
        <w:rFonts w:ascii="Arial" w:hAnsi="Arial"/>
        <w:i/>
        <w:color w:val="b3a2c7" w:themeColor="accent4" w:themeTint="99"/>
        <w:sz w:val="22"/>
        <w14:textFill>
          <w14:solidFill>
            <w14:schemeClr w14:val="accent4">
              <w14:lumMod w14:val="60000"/>
              <w14:lumOff w14:val="40000"/>
            </w14:schemeClr>
          </w14:solidFill>
        </w14:textFill>
      </w:rPr>
      <w:tcPr>
        <w:shd w:val="clear" w:color="ffffff" w:themeColor="light1" w:fill="ffffff" w:themeFill="light1"/>
        <w:tcBorders>
          <w:top w:val="single" w:color="B2A1C6" w:themeColor="accent4" w:themeTint="9A" w:sz="4" w:space="0"/>
          <w:left w:val="none" w:color="000000" w:sz="4" w:space="0"/>
          <w:bottom w:val="none" w:color="000000" w:sz="4" w:space="0"/>
          <w:right w:val="none" w:color="000000" w:sz="4" w:space="0"/>
        </w:tcBorders>
      </w:tcPr>
    </w:tblStylePr>
  </w:style>
  <w:style w:type="table" w:styleId="953" w:customStyle="1">
    <w:name w:val="List Table 7 Colorful - Accent 5"/>
    <w:uiPriority w:val="99"/>
    <w:qFormat/>
    <w:pPr>
      <w:spacing w:after="0" w:line="240" w:lineRule="auto"/>
    </w:pPr>
    <w:tblPr>
      <w:tblBorders>
        <w:right w:val="single" w:color="92CCDC" w:themeColor="accent5" w:themeTint="9A" w:sz="4" w:space="0"/>
      </w:tblBorders>
    </w:tblPr>
    <w:tblStylePr w:type="band1Horz">
      <w:rPr>
        <w:rFonts w:ascii="Arial" w:hAnsi="Arial"/>
        <w:color w:val="93cddd" w:themeColor="accent5" w:themeTint="99"/>
        <w:sz w:val="22"/>
        <w14:textFill>
          <w14:solidFill>
            <w14:schemeClr w14:val="accent5">
              <w14:lumMod w14:val="60000"/>
              <w14:lumOff w14:val="40000"/>
            </w14:schemeClr>
          </w14:solidFill>
        </w14:textFill>
      </w:rPr>
      <w:tcPr>
        <w:shd w:val="clear" w:color="d1eaf0" w:themeColor="accent5" w:themeTint="40" w:fill="d1eaf0" w:themeFill="accent5" w:themeFillTint="40"/>
      </w:tcPr>
    </w:tblStylePr>
    <w:tblStylePr w:type="band1Vert">
      <w:tcPr>
        <w:shd w:val="clear" w:color="d1eaf0" w:themeColor="accent5" w:themeTint="40" w:fill="d1eaf0" w:themeFill="accent5" w:themeFillTint="40"/>
      </w:tcPr>
    </w:tblStylePr>
    <w:tblStylePr w:type="band2Horz">
      <w:rPr>
        <w:rFonts w:ascii="Arial" w:hAnsi="Arial"/>
        <w:color w:val="93cddd" w:themeColor="accent5" w:themeTint="99"/>
        <w:sz w:val="22"/>
        <w14:textFill>
          <w14:solidFill>
            <w14:schemeClr w14:val="accent5">
              <w14:lumMod w14:val="60000"/>
              <w14:lumOff w14:val="40000"/>
            </w14:schemeClr>
          </w14:solidFill>
        </w14:textFill>
      </w:rPr>
    </w:tblStylePr>
    <w:tblStylePr w:type="firstCol">
      <w:rPr>
        <w:rFonts w:ascii="Arial" w:hAnsi="Arial"/>
        <w:i/>
        <w:color w:val="93cddd" w:themeColor="accent5" w:themeTint="99"/>
        <w:sz w:val="22"/>
        <w14:textFill>
          <w14:solidFill>
            <w14:schemeClr w14:val="accent5">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92CCDC" w:themeColor="accent5" w:themeTint="9A" w:sz="4" w:space="0"/>
        </w:tcBorders>
      </w:tcPr>
    </w:tblStylePr>
    <w:tblStylePr w:type="fir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92CCDC" w:themeColor="accent5" w:themeTint="9A" w:sz="4" w:space="0"/>
          <w:right w:val="none" w:color="000000" w:sz="4" w:space="0"/>
        </w:tcBorders>
      </w:tcPr>
    </w:tblStylePr>
    <w:tblStylePr w:type="lastCol">
      <w:rPr>
        <w:rFonts w:ascii="Arial" w:hAnsi="Arial"/>
        <w:i/>
        <w:color w:val="93cddd" w:themeColor="accent5" w:themeTint="99"/>
        <w:sz w:val="22"/>
        <w14:textFill>
          <w14:solidFill>
            <w14:schemeClr w14:val="accent5">
              <w14:lumMod w14:val="60000"/>
              <w14:lumOff w14:val="40000"/>
            </w14:schemeClr>
          </w14:solidFill>
        </w14:textFill>
      </w:rPr>
      <w:tcPr>
        <w:shd w:val="clear" w:color="ffffff" w:fill="auto"/>
        <w:tcBorders>
          <w:top w:val="none" w:color="000000" w:sz="4" w:space="0"/>
          <w:left w:val="single" w:color="92CCDC" w:themeColor="accent5" w:themeTint="9A" w:sz="4" w:space="0"/>
          <w:bottom w:val="none" w:color="000000" w:sz="4" w:space="0"/>
          <w:right w:val="none" w:color="000000" w:sz="4" w:space="0"/>
        </w:tcBorders>
      </w:tcPr>
    </w:tblStylePr>
    <w:tblStylePr w:type="lastRow">
      <w:rPr>
        <w:rFonts w:ascii="Arial" w:hAnsi="Arial"/>
        <w:i/>
        <w:color w:val="93cddd" w:themeColor="accent5" w:themeTint="99"/>
        <w:sz w:val="22"/>
        <w14:textFill>
          <w14:solidFill>
            <w14:schemeClr w14:val="accent5">
              <w14:lumMod w14:val="60000"/>
              <w14:lumOff w14:val="40000"/>
            </w14:schemeClr>
          </w14:solidFill>
        </w14:textFill>
      </w:rPr>
      <w:tcPr>
        <w:shd w:val="clear" w:color="ffffff" w:themeColor="light1" w:fill="ffffff" w:themeFill="light1"/>
        <w:tcBorders>
          <w:top w:val="single" w:color="92CCDC" w:themeColor="accent5" w:themeTint="9A" w:sz="4" w:space="0"/>
          <w:left w:val="none" w:color="000000" w:sz="4" w:space="0"/>
          <w:bottom w:val="none" w:color="000000" w:sz="4" w:space="0"/>
          <w:right w:val="none" w:color="000000" w:sz="4" w:space="0"/>
        </w:tcBorders>
      </w:tcPr>
    </w:tblStylePr>
  </w:style>
  <w:style w:type="table" w:styleId="954" w:customStyle="1">
    <w:name w:val="List Table 7 Colorful - Accent 6"/>
    <w:uiPriority w:val="99"/>
    <w:qFormat/>
    <w:pPr>
      <w:spacing w:after="0" w:line="240" w:lineRule="auto"/>
    </w:pPr>
    <w:tblPr>
      <w:tblBorders>
        <w:right w:val="single" w:color="FAC090" w:themeColor="accent6" w:themeTint="98" w:sz="4" w:space="0"/>
      </w:tblBorders>
    </w:tblPr>
    <w:tblStylePr w:type="band1Horz">
      <w:rPr>
        <w:rFonts w:ascii="Arial" w:hAnsi="Arial"/>
        <w:color w:val="fac090" w:themeColor="accent6" w:themeTint="99"/>
        <w:sz w:val="22"/>
        <w14:textFill>
          <w14:solidFill>
            <w14:schemeClr w14:val="accent6">
              <w14:lumMod w14:val="60000"/>
              <w14:lumOff w14:val="40000"/>
            </w14:schemeClr>
          </w14:solidFill>
        </w14:textFill>
      </w:rPr>
      <w:tcPr>
        <w:shd w:val="clear" w:color="fce4d0" w:themeColor="accent6" w:themeTint="40" w:fill="fce4d0" w:themeFill="accent6" w:themeFillTint="40"/>
      </w:tcPr>
    </w:tblStylePr>
    <w:tblStylePr w:type="band1Vert">
      <w:tcPr>
        <w:shd w:val="clear" w:color="fce4d0" w:themeColor="accent6" w:themeTint="40" w:fill="fce4d0" w:themeFill="accent6" w:themeFillTint="40"/>
      </w:tcPr>
    </w:tblStylePr>
    <w:tblStylePr w:type="band2Horz">
      <w:rPr>
        <w:rFonts w:ascii="Arial" w:hAnsi="Arial"/>
        <w:color w:val="fac090" w:themeColor="accent6" w:themeTint="99"/>
        <w:sz w:val="22"/>
        <w14:textFill>
          <w14:solidFill>
            <w14:schemeClr w14:val="accent6">
              <w14:lumMod w14:val="60000"/>
              <w14:lumOff w14:val="40000"/>
            </w14:schemeClr>
          </w14:solidFill>
        </w14:textFill>
      </w:rPr>
    </w:tblStylePr>
    <w:tblStylePr w:type="firstCol">
      <w:rPr>
        <w:rFonts w:ascii="Arial" w:hAnsi="Arial"/>
        <w:i/>
        <w:color w:val="fac090" w:themeColor="accent6" w:themeTint="99"/>
        <w:sz w:val="22"/>
        <w14:textFill>
          <w14:solidFill>
            <w14:schemeClr w14:val="accent6">
              <w14:lumMod w14:val="60000"/>
              <w14:lumOff w14:val="40000"/>
            </w14:schemeClr>
          </w14:solidFill>
        </w14:textFill>
      </w:rPr>
      <w:pPr>
        <w:jc w:val="right"/>
      </w:pPr>
      <w:tcPr>
        <w:shd w:val="clear" w:color="ffffff" w:fill="auto"/>
        <w:tcBorders>
          <w:top w:val="none" w:color="000000" w:sz="4" w:space="0"/>
          <w:left w:val="none" w:color="000000" w:sz="4" w:space="0"/>
          <w:bottom w:val="none" w:color="000000" w:sz="4" w:space="0"/>
          <w:right w:val="single" w:color="FAC090" w:themeColor="accent6" w:themeTint="98" w:sz="4" w:space="0"/>
        </w:tcBorders>
      </w:tcPr>
    </w:tblStylePr>
    <w:tblStylePr w:type="fir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none" w:color="000000" w:sz="4" w:space="0"/>
          <w:left w:val="none" w:color="000000" w:sz="4" w:space="0"/>
          <w:bottom w:val="single" w:color="FAC090" w:themeColor="accent6" w:themeTint="98" w:sz="4" w:space="0"/>
          <w:right w:val="none" w:color="000000" w:sz="4" w:space="0"/>
        </w:tcBorders>
      </w:tcPr>
    </w:tblStylePr>
    <w:tblStylePr w:type="lastCol">
      <w:rPr>
        <w:rFonts w:ascii="Arial" w:hAnsi="Arial"/>
        <w:i/>
        <w:color w:val="fac090" w:themeColor="accent6" w:themeTint="99"/>
        <w:sz w:val="22"/>
        <w14:textFill>
          <w14:solidFill>
            <w14:schemeClr w14:val="accent6">
              <w14:lumMod w14:val="60000"/>
              <w14:lumOff w14:val="40000"/>
            </w14:schemeClr>
          </w14:solidFill>
        </w14:textFill>
      </w:rPr>
      <w:tcPr>
        <w:shd w:val="clear" w:color="ffffff" w:fill="auto"/>
        <w:tcBorders>
          <w:top w:val="none" w:color="000000" w:sz="4" w:space="0"/>
          <w:left w:val="single" w:color="FAC090" w:themeColor="accent6" w:themeTint="98" w:sz="4" w:space="0"/>
          <w:bottom w:val="none" w:color="000000" w:sz="4" w:space="0"/>
          <w:right w:val="none" w:color="000000" w:sz="4" w:space="0"/>
        </w:tcBorders>
      </w:tcPr>
    </w:tblStylePr>
    <w:tblStylePr w:type="lastRow">
      <w:rPr>
        <w:rFonts w:ascii="Arial" w:hAnsi="Arial"/>
        <w:i/>
        <w:color w:val="fac090" w:themeColor="accent6" w:themeTint="99"/>
        <w:sz w:val="22"/>
        <w14:textFill>
          <w14:solidFill>
            <w14:schemeClr w14:val="accent6">
              <w14:lumMod w14:val="60000"/>
              <w14:lumOff w14:val="40000"/>
            </w14:schemeClr>
          </w14:solidFill>
        </w14:textFill>
      </w:rPr>
      <w:tcPr>
        <w:shd w:val="clear" w:color="ffffff" w:themeColor="light1" w:fill="ffffff" w:themeFill="light1"/>
        <w:tcBorders>
          <w:top w:val="single" w:color="FAC090" w:themeColor="accent6" w:themeTint="98" w:sz="4" w:space="0"/>
          <w:left w:val="none" w:color="000000" w:sz="4" w:space="0"/>
          <w:bottom w:val="none" w:color="000000" w:sz="4" w:space="0"/>
          <w:right w:val="none" w:color="000000" w:sz="4" w:space="0"/>
        </w:tcBorders>
      </w:tcPr>
    </w:tblStylePr>
  </w:style>
  <w:style w:type="table" w:styleId="955" w:customStyle="1">
    <w:name w:val="Lined - Accent"/>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56" w:customStyle="1">
    <w:name w:val="Lined - Accent 1"/>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57" w:customStyle="1">
    <w:name w:val="Lined - Accent 2"/>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58" w:customStyle="1">
    <w:name w:val="Lined - Accent 3"/>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59" w:customStyle="1">
    <w:name w:val="Lined - Accent 4"/>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0" w:customStyle="1">
    <w:name w:val="Lined - Accent 5"/>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1" w:customStyle="1">
    <w:name w:val="Lined - Accent 6"/>
    <w:uiPriority w:val="99"/>
    <w:qFormat/>
    <w:pPr>
      <w:spacing w:after="0" w:line="240" w:lineRule="auto"/>
    </w:pPr>
    <w:rPr>
      <w:color w:val="404040"/>
    </w:rPr>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2" w:customStyle="1">
    <w:name w:val="Bordered &amp; Lined - Accent"/>
    <w:uiPriority w:val="99"/>
    <w:qFormat/>
    <w:pPr>
      <w:spacing w:after="0" w:line="240" w:lineRule="auto"/>
    </w:pPr>
    <w:rPr>
      <w:color w:val="404040"/>
    </w:rPr>
    <w:tblPr>
      <w:tblBorders>
        <w:top w:val="single" w:color="585858" w:themeColor="text1" w:themeTint="A6" w:sz="4" w:space="0"/>
        <w:left w:val="single" w:color="585858" w:themeColor="text1" w:themeTint="A6" w:sz="4" w:space="0"/>
        <w:bottom w:val="single" w:color="585858" w:themeColor="text1" w:themeTint="A6" w:sz="4" w:space="0"/>
        <w:right w:val="single" w:color="585858" w:themeColor="text1" w:themeTint="A6" w:sz="4" w:space="0"/>
        <w:insideH w:val="single" w:color="585858" w:themeColor="text1" w:themeTint="A6" w:sz="4" w:space="0"/>
        <w:insideV w:val="single" w:color="585858" w:themeColor="text1" w:themeTint="A6"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1f1f1" w:themeColor="text1" w:themeTint="0D" w:fill="f1f1f1" w:themeFill="text1" w:themeFillTint="0D"/>
      </w:tcPr>
    </w:tblStylePr>
    <w:tblStylePr w:type="band2Vert">
      <w:rPr>
        <w:rFonts w:ascii="Arial" w:hAnsi="Arial"/>
        <w:color w:val="404040"/>
        <w:sz w:val="22"/>
      </w:rPr>
      <w:tcPr>
        <w:shd w:val="clear" w:color="f1f1f1" w:themeColor="text1" w:themeTint="0D" w:fill="f1f1f1" w:themeFill="text1" w:themeFillTint="0D"/>
      </w:tcPr>
    </w:tblStylePr>
    <w:tblStylePr w:type="firstCol">
      <w:rPr>
        <w:rFonts w:ascii="Arial" w:hAnsi="Arial"/>
        <w:color w:val="f2f2f2"/>
        <w:sz w:val="22"/>
      </w:rPr>
      <w:tcPr>
        <w:shd w:val="clear" w:color="7e7e7e" w:themeColor="text1" w:themeTint="80" w:fill="7e7e7e" w:themeFill="text1" w:themeFillTint="80"/>
      </w:tcPr>
    </w:tblStylePr>
    <w:tblStylePr w:type="firstRow">
      <w:rPr>
        <w:rFonts w:ascii="Arial" w:hAnsi="Arial"/>
        <w:color w:val="f2f2f2"/>
        <w:sz w:val="22"/>
      </w:rPr>
      <w:tcPr>
        <w:shd w:val="clear" w:color="7e7e7e" w:themeColor="text1" w:themeTint="80" w:fill="7e7e7e" w:themeFill="text1" w:themeFillTint="80"/>
      </w:tcPr>
    </w:tblStylePr>
    <w:tblStylePr w:type="lastCol">
      <w:rPr>
        <w:rFonts w:ascii="Arial" w:hAnsi="Arial"/>
        <w:color w:val="f2f2f2"/>
        <w:sz w:val="22"/>
      </w:rPr>
      <w:tcPr>
        <w:shd w:val="clear" w:color="7e7e7e" w:themeColor="text1" w:themeTint="80" w:fill="7e7e7e" w:themeFill="text1" w:themeFillTint="80"/>
      </w:tcPr>
    </w:tblStylePr>
    <w:tblStylePr w:type="lastRow">
      <w:rPr>
        <w:rFonts w:ascii="Arial" w:hAnsi="Arial"/>
        <w:color w:val="f2f2f2"/>
        <w:sz w:val="22"/>
      </w:rPr>
      <w:tcPr>
        <w:shd w:val="clear" w:color="7e7e7e" w:themeColor="text1" w:themeTint="80" w:fill="7e7e7e" w:themeFill="text1" w:themeFillTint="80"/>
      </w:tcPr>
    </w:tblStylePr>
  </w:style>
  <w:style w:type="table" w:styleId="963" w:customStyle="1">
    <w:name w:val="Bordered &amp; Lined - Accent 1"/>
    <w:uiPriority w:val="99"/>
    <w:qFormat/>
    <w:pPr>
      <w:spacing w:after="0" w:line="240" w:lineRule="auto"/>
    </w:pPr>
    <w:rPr>
      <w:color w:val="404040"/>
    </w:rPr>
    <w:tblPr>
      <w:tblBorders>
        <w:top w:val="single" w:color="2A4B71" w:themeColor="accent1" w:themeShade="95" w:sz="4" w:space="0"/>
        <w:left w:val="single" w:color="2A4B71" w:themeColor="accent1" w:themeShade="95" w:sz="4" w:space="0"/>
        <w:bottom w:val="single" w:color="2A4B71" w:themeColor="accent1" w:themeShade="95" w:sz="4" w:space="0"/>
        <w:right w:val="single" w:color="2A4B71" w:themeColor="accent1" w:themeShade="95" w:sz="4" w:space="0"/>
        <w:insideH w:val="single" w:color="2A4B71" w:themeColor="accent1" w:themeShade="95" w:sz="4" w:space="0"/>
        <w:insideV w:val="single" w:color="2A4B71" w:themeColor="accent1"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c7d7ea" w:themeColor="accent1" w:themeTint="50" w:fill="c7d7ea" w:themeFill="accent1" w:themeFillTint="50"/>
      </w:tcPr>
    </w:tblStylePr>
    <w:tblStylePr w:type="band2Vert">
      <w:rPr>
        <w:rFonts w:ascii="Arial" w:hAnsi="Arial"/>
        <w:color w:val="404040"/>
        <w:sz w:val="22"/>
      </w:rPr>
      <w:tcPr>
        <w:shd w:val="clear" w:color="c7d7ea" w:themeColor="accent1" w:themeTint="50" w:fill="c7d7ea" w:themeFill="accent1" w:themeFillTint="50"/>
      </w:tcPr>
    </w:tblStylePr>
    <w:tblStylePr w:type="firstCol">
      <w:rPr>
        <w:rFonts w:ascii="Arial" w:hAnsi="Arial"/>
        <w:color w:val="f2f2f2"/>
        <w:sz w:val="22"/>
      </w:rPr>
      <w:tcPr>
        <w:shd w:val="clear" w:color="5d8bc2" w:themeColor="accent1" w:themeTint="EA" w:fill="5d8bc2" w:themeFill="accent1" w:themeFillTint="EA"/>
      </w:tcPr>
    </w:tblStylePr>
    <w:tblStylePr w:type="firstRow">
      <w:rPr>
        <w:rFonts w:ascii="Arial" w:hAnsi="Arial"/>
        <w:color w:val="f2f2f2"/>
        <w:sz w:val="22"/>
      </w:rPr>
      <w:tcPr>
        <w:shd w:val="clear" w:color="5d8bc2" w:themeColor="accent1" w:themeTint="EA" w:fill="5d8bc2" w:themeFill="accent1" w:themeFillTint="EA"/>
      </w:tcPr>
    </w:tblStylePr>
    <w:tblStylePr w:type="lastCol">
      <w:rPr>
        <w:rFonts w:ascii="Arial" w:hAnsi="Arial"/>
        <w:color w:val="f2f2f2"/>
        <w:sz w:val="22"/>
      </w:rPr>
      <w:tcPr>
        <w:shd w:val="clear" w:color="5d8bc2" w:themeColor="accent1" w:themeTint="EA" w:fill="5d8bc2" w:themeFill="accent1" w:themeFillTint="EA"/>
      </w:tcPr>
    </w:tblStylePr>
    <w:tblStylePr w:type="lastRow">
      <w:rPr>
        <w:rFonts w:ascii="Arial" w:hAnsi="Arial"/>
        <w:color w:val="f2f2f2"/>
        <w:sz w:val="22"/>
      </w:rPr>
      <w:tcPr>
        <w:shd w:val="clear" w:color="5d8bc2" w:themeColor="accent1" w:themeTint="EA" w:fill="5d8bc2" w:themeFill="accent1" w:themeFillTint="EA"/>
      </w:tcPr>
    </w:tblStylePr>
  </w:style>
  <w:style w:type="table" w:styleId="964" w:customStyle="1">
    <w:name w:val="Bordered &amp; Lined - Accent 2"/>
    <w:uiPriority w:val="99"/>
    <w:qFormat/>
    <w:pPr>
      <w:spacing w:after="0" w:line="240" w:lineRule="auto"/>
    </w:pPr>
    <w:rPr>
      <w:color w:val="404040"/>
    </w:rPr>
    <w:tblPr>
      <w:tblBorders>
        <w:top w:val="single" w:color="742B29" w:themeColor="accent2" w:themeShade="95" w:sz="4" w:space="0"/>
        <w:left w:val="single" w:color="742B29" w:themeColor="accent2" w:themeShade="95" w:sz="4" w:space="0"/>
        <w:bottom w:val="single" w:color="742B29" w:themeColor="accent2" w:themeShade="95" w:sz="4" w:space="0"/>
        <w:right w:val="single" w:color="742B29" w:themeColor="accent2" w:themeShade="95" w:sz="4" w:space="0"/>
        <w:insideH w:val="single" w:color="742B29" w:themeColor="accent2" w:themeShade="95" w:sz="4" w:space="0"/>
        <w:insideV w:val="single" w:color="742B29" w:themeColor="accent2"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2dcdc" w:themeColor="accent2" w:themeTint="32" w:fill="f2dcdc" w:themeFill="accent2" w:themeFillTint="32"/>
      </w:tcPr>
    </w:tblStylePr>
    <w:tblStylePr w:type="band2Vert">
      <w:rPr>
        <w:rFonts w:ascii="Arial" w:hAnsi="Arial"/>
        <w:color w:val="404040"/>
        <w:sz w:val="22"/>
      </w:rPr>
      <w:tcPr>
        <w:shd w:val="clear" w:color="f2dcdc" w:themeColor="accent2" w:themeTint="32" w:fill="f2dcdc" w:themeFill="accent2" w:themeFillTint="32"/>
      </w:tcPr>
    </w:tblStylePr>
    <w:tblStylePr w:type="firstCol">
      <w:rPr>
        <w:rFonts w:ascii="Arial" w:hAnsi="Arial"/>
        <w:color w:val="f2f2f2"/>
        <w:sz w:val="22"/>
      </w:rPr>
      <w:tcPr>
        <w:shd w:val="clear" w:color="d99795" w:themeColor="accent2" w:themeTint="97" w:fill="d99795" w:themeFill="accent2" w:themeFillTint="97"/>
      </w:tcPr>
    </w:tblStylePr>
    <w:tblStylePr w:type="firstRow">
      <w:rPr>
        <w:rFonts w:ascii="Arial" w:hAnsi="Arial"/>
        <w:color w:val="f2f2f2"/>
        <w:sz w:val="22"/>
      </w:rPr>
      <w:tcPr>
        <w:shd w:val="clear" w:color="d99795" w:themeColor="accent2" w:themeTint="97" w:fill="d99795" w:themeFill="accent2" w:themeFillTint="97"/>
      </w:tcPr>
    </w:tblStylePr>
    <w:tblStylePr w:type="lastCol">
      <w:rPr>
        <w:rFonts w:ascii="Arial" w:hAnsi="Arial"/>
        <w:color w:val="f2f2f2"/>
        <w:sz w:val="22"/>
      </w:rPr>
      <w:tcPr>
        <w:shd w:val="clear" w:color="d99795" w:themeColor="accent2" w:themeTint="97" w:fill="d99795" w:themeFill="accent2" w:themeFillTint="97"/>
      </w:tcPr>
    </w:tblStylePr>
    <w:tblStylePr w:type="lastRow">
      <w:rPr>
        <w:rFonts w:ascii="Arial" w:hAnsi="Arial"/>
        <w:color w:val="f2f2f2"/>
        <w:sz w:val="22"/>
      </w:rPr>
      <w:tcPr>
        <w:shd w:val="clear" w:color="d99795" w:themeColor="accent2" w:themeTint="97" w:fill="d99795" w:themeFill="accent2" w:themeFillTint="97"/>
      </w:tcPr>
    </w:tblStylePr>
  </w:style>
  <w:style w:type="table" w:styleId="965" w:customStyle="1">
    <w:name w:val="Bordered &amp; Lined - Accent 3"/>
    <w:uiPriority w:val="99"/>
    <w:qFormat/>
    <w:pPr>
      <w:spacing w:after="0" w:line="240" w:lineRule="auto"/>
    </w:pPr>
    <w:rPr>
      <w:color w:val="404040"/>
    </w:rPr>
    <w:tblPr>
      <w:tblBorders>
        <w:top w:val="single" w:color="5C722E" w:themeColor="accent3" w:themeShade="95" w:sz="4" w:space="0"/>
        <w:left w:val="single" w:color="5C722E" w:themeColor="accent3" w:themeShade="95" w:sz="4" w:space="0"/>
        <w:bottom w:val="single" w:color="5C722E" w:themeColor="accent3" w:themeShade="95" w:sz="4" w:space="0"/>
        <w:right w:val="single" w:color="5C722E" w:themeColor="accent3" w:themeShade="95" w:sz="4" w:space="0"/>
        <w:insideH w:val="single" w:color="5C722E" w:themeColor="accent3" w:themeShade="95" w:sz="4" w:space="0"/>
        <w:insideV w:val="single" w:color="5C722E" w:themeColor="accent3"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af1dd" w:themeColor="accent3" w:themeTint="34" w:fill="eaf1dd" w:themeFill="accent3" w:themeFillTint="34"/>
      </w:tcPr>
    </w:tblStylePr>
    <w:tblStylePr w:type="band2Vert">
      <w:rPr>
        <w:rFonts w:ascii="Arial" w:hAnsi="Arial"/>
        <w:color w:val="404040"/>
        <w:sz w:val="22"/>
      </w:rPr>
      <w:tcPr>
        <w:shd w:val="clear" w:color="eaf1dd" w:themeColor="accent3" w:themeTint="34" w:fill="eaf1dd" w:themeFill="accent3" w:themeFillTint="34"/>
      </w:tcPr>
    </w:tblStylePr>
    <w:tblStylePr w:type="firstCol">
      <w:rPr>
        <w:rFonts w:ascii="Arial" w:hAnsi="Arial"/>
        <w:color w:val="f2f2f2"/>
        <w:sz w:val="22"/>
      </w:rPr>
      <w:tcPr>
        <w:shd w:val="clear" w:color="9bbb59" w:themeColor="accent3" w:themeTint="FE" w:fill="9bbb59" w:themeFill="accent3" w:themeFillTint="FE"/>
      </w:tcPr>
    </w:tblStylePr>
    <w:tblStylePr w:type="firstRow">
      <w:rPr>
        <w:rFonts w:ascii="Arial" w:hAnsi="Arial"/>
        <w:color w:val="f2f2f2"/>
        <w:sz w:val="22"/>
      </w:rPr>
      <w:tcPr>
        <w:shd w:val="clear" w:color="9bbb59" w:themeColor="accent3" w:themeTint="FE" w:fill="9bbb59" w:themeFill="accent3" w:themeFillTint="FE"/>
      </w:tcPr>
    </w:tblStylePr>
    <w:tblStylePr w:type="lastCol">
      <w:rPr>
        <w:rFonts w:ascii="Arial" w:hAnsi="Arial"/>
        <w:color w:val="f2f2f2"/>
        <w:sz w:val="22"/>
      </w:rPr>
      <w:tcPr>
        <w:shd w:val="clear" w:color="9bbb59" w:themeColor="accent3" w:themeTint="FE" w:fill="9bbb59" w:themeFill="accent3" w:themeFillTint="FE"/>
      </w:tcPr>
    </w:tblStylePr>
    <w:tblStylePr w:type="lastRow">
      <w:rPr>
        <w:rFonts w:ascii="Arial" w:hAnsi="Arial"/>
        <w:color w:val="f2f2f2"/>
        <w:sz w:val="22"/>
      </w:rPr>
      <w:tcPr>
        <w:shd w:val="clear" w:color="9bbb59" w:themeColor="accent3" w:themeTint="FE" w:fill="9bbb59" w:themeFill="accent3" w:themeFillTint="FE"/>
      </w:tcPr>
    </w:tblStylePr>
  </w:style>
  <w:style w:type="table" w:styleId="966" w:customStyle="1">
    <w:name w:val="Bordered &amp; Lined - Accent 4"/>
    <w:uiPriority w:val="99"/>
    <w:qFormat/>
    <w:pPr>
      <w:spacing w:after="0" w:line="240" w:lineRule="auto"/>
    </w:pPr>
    <w:rPr>
      <w:color w:val="404040"/>
    </w:rPr>
    <w:tblPr>
      <w:tblBorders>
        <w:top w:val="single" w:color="4A395F" w:themeColor="accent4" w:themeShade="95" w:sz="4" w:space="0"/>
        <w:left w:val="single" w:color="4A395F" w:themeColor="accent4" w:themeShade="95" w:sz="4" w:space="0"/>
        <w:bottom w:val="single" w:color="4A395F" w:themeColor="accent4" w:themeShade="95" w:sz="4" w:space="0"/>
        <w:right w:val="single" w:color="4A395F" w:themeColor="accent4" w:themeShade="95" w:sz="4" w:space="0"/>
        <w:insideH w:val="single" w:color="4A395F" w:themeColor="accent4" w:themeShade="95" w:sz="4" w:space="0"/>
        <w:insideV w:val="single" w:color="4A395F" w:themeColor="accent4"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e5dfec" w:themeColor="accent4" w:themeTint="34" w:fill="e5dfec" w:themeFill="accent4" w:themeFillTint="34"/>
      </w:tcPr>
    </w:tblStylePr>
    <w:tblStylePr w:type="band2Vert">
      <w:rPr>
        <w:rFonts w:ascii="Arial" w:hAnsi="Arial"/>
        <w:color w:val="404040"/>
        <w:sz w:val="22"/>
      </w:rPr>
      <w:tcPr>
        <w:shd w:val="clear" w:color="e5dfec" w:themeColor="accent4" w:themeTint="34" w:fill="e5dfec" w:themeFill="accent4" w:themeFillTint="34"/>
      </w:tcPr>
    </w:tblStylePr>
    <w:tblStylePr w:type="firstCol">
      <w:rPr>
        <w:rFonts w:ascii="Arial" w:hAnsi="Arial"/>
        <w:color w:val="f2f2f2"/>
        <w:sz w:val="22"/>
      </w:rPr>
      <w:tcPr>
        <w:shd w:val="clear" w:color="b2a1c6" w:themeColor="accent4" w:themeTint="9A" w:fill="b2a1c6" w:themeFill="accent4" w:themeFillTint="9A"/>
      </w:tcPr>
    </w:tblStylePr>
    <w:tblStylePr w:type="firstRow">
      <w:rPr>
        <w:rFonts w:ascii="Arial" w:hAnsi="Arial"/>
        <w:color w:val="f2f2f2"/>
        <w:sz w:val="22"/>
      </w:rPr>
      <w:tcPr>
        <w:shd w:val="clear" w:color="b2a1c6" w:themeColor="accent4" w:themeTint="9A" w:fill="b2a1c6" w:themeFill="accent4" w:themeFillTint="9A"/>
      </w:tcPr>
    </w:tblStylePr>
    <w:tblStylePr w:type="lastCol">
      <w:rPr>
        <w:rFonts w:ascii="Arial" w:hAnsi="Arial"/>
        <w:color w:val="f2f2f2"/>
        <w:sz w:val="22"/>
      </w:rPr>
      <w:tcPr>
        <w:shd w:val="clear" w:color="b2a1c6" w:themeColor="accent4" w:themeTint="9A" w:fill="b2a1c6" w:themeFill="accent4" w:themeFillTint="9A"/>
      </w:tcPr>
    </w:tblStylePr>
    <w:tblStylePr w:type="lastRow">
      <w:rPr>
        <w:rFonts w:ascii="Arial" w:hAnsi="Arial"/>
        <w:color w:val="f2f2f2"/>
        <w:sz w:val="22"/>
      </w:rPr>
      <w:tcPr>
        <w:shd w:val="clear" w:color="b2a1c6" w:themeColor="accent4" w:themeTint="9A" w:fill="b2a1c6" w:themeFill="accent4" w:themeFillTint="9A"/>
      </w:tcPr>
    </w:tblStylePr>
  </w:style>
  <w:style w:type="table" w:styleId="967" w:customStyle="1">
    <w:name w:val="Bordered &amp; Lined - Accent 5"/>
    <w:uiPriority w:val="99"/>
    <w:qFormat/>
    <w:pPr>
      <w:spacing w:after="0" w:line="240" w:lineRule="auto"/>
    </w:pPr>
    <w:rPr>
      <w:color w:val="404040"/>
    </w:rPr>
    <w:tblPr>
      <w:tblBorders>
        <w:top w:val="single" w:color="266779" w:themeColor="accent5" w:themeShade="95" w:sz="4" w:space="0"/>
        <w:left w:val="single" w:color="266779" w:themeColor="accent5" w:themeShade="95" w:sz="4" w:space="0"/>
        <w:bottom w:val="single" w:color="266779" w:themeColor="accent5" w:themeShade="95" w:sz="4" w:space="0"/>
        <w:right w:val="single" w:color="266779" w:themeColor="accent5" w:themeShade="95" w:sz="4" w:space="0"/>
        <w:insideH w:val="single" w:color="266779" w:themeColor="accent5" w:themeShade="95" w:sz="4" w:space="0"/>
        <w:insideV w:val="single" w:color="266779" w:themeColor="accent5"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daeef3" w:themeColor="accent5" w:themeTint="34" w:fill="daeef3" w:themeFill="accent5" w:themeFillTint="34"/>
      </w:tcPr>
    </w:tblStylePr>
    <w:tblStylePr w:type="band2Vert">
      <w:rPr>
        <w:rFonts w:ascii="Arial" w:hAnsi="Arial"/>
        <w:color w:val="404040"/>
        <w:sz w:val="22"/>
      </w:rPr>
      <w:tcPr>
        <w:shd w:val="clear" w:color="daeef3" w:themeColor="accent5" w:themeTint="34" w:fill="daeef3" w:themeFill="accent5" w:themeFillTint="34"/>
      </w:tcPr>
    </w:tblStylePr>
    <w:tblStylePr w:type="firstCol">
      <w:rPr>
        <w:rFonts w:ascii="Arial" w:hAnsi="Arial"/>
        <w:color w:val="f2f2f2"/>
        <w:sz w:val="22"/>
      </w:rPr>
      <w:tcPr>
        <w:shd w:val="clear" w:color="4bacc6" w:themeColor="accent5" w:fill="4bacc6" w:themeFill="accent5"/>
      </w:tcPr>
    </w:tblStylePr>
    <w:tblStylePr w:type="firstRow">
      <w:rPr>
        <w:rFonts w:ascii="Arial" w:hAnsi="Arial"/>
        <w:color w:val="f2f2f2"/>
        <w:sz w:val="22"/>
      </w:rPr>
      <w:tcPr>
        <w:shd w:val="clear" w:color="4bacc6" w:themeColor="accent5" w:fill="4bacc6" w:themeFill="accent5"/>
      </w:tcPr>
    </w:tblStylePr>
    <w:tblStylePr w:type="lastCol">
      <w:rPr>
        <w:rFonts w:ascii="Arial" w:hAnsi="Arial"/>
        <w:color w:val="f2f2f2"/>
        <w:sz w:val="22"/>
      </w:rPr>
      <w:tcPr>
        <w:shd w:val="clear" w:color="4bacc6" w:themeColor="accent5" w:fill="4bacc6" w:themeFill="accent5"/>
      </w:tcPr>
    </w:tblStylePr>
    <w:tblStylePr w:type="lastRow">
      <w:rPr>
        <w:rFonts w:ascii="Arial" w:hAnsi="Arial"/>
        <w:color w:val="f2f2f2"/>
        <w:sz w:val="22"/>
      </w:rPr>
      <w:tcPr>
        <w:shd w:val="clear" w:color="4bacc6" w:themeColor="accent5" w:fill="4bacc6" w:themeFill="accent5"/>
      </w:tcPr>
    </w:tblStylePr>
  </w:style>
  <w:style w:type="table" w:styleId="968" w:customStyle="1">
    <w:name w:val="Bordered &amp; Lined - Accent 6"/>
    <w:uiPriority w:val="99"/>
    <w:qFormat/>
    <w:pPr>
      <w:spacing w:after="0" w:line="240" w:lineRule="auto"/>
    </w:pPr>
    <w:rPr>
      <w:color w:val="404040"/>
    </w:rPr>
    <w:tblPr>
      <w:tblBorders>
        <w:top w:val="single" w:color="B15407" w:themeColor="accent6" w:themeShade="95" w:sz="4" w:space="0"/>
        <w:left w:val="single" w:color="B15407" w:themeColor="accent6" w:themeShade="95" w:sz="4" w:space="0"/>
        <w:bottom w:val="single" w:color="B15407" w:themeColor="accent6" w:themeShade="95" w:sz="4" w:space="0"/>
        <w:right w:val="single" w:color="B15407" w:themeColor="accent6" w:themeShade="95" w:sz="4" w:space="0"/>
        <w:insideH w:val="single" w:color="B15407" w:themeColor="accent6" w:themeShade="95" w:sz="4" w:space="0"/>
        <w:insideV w:val="single" w:color="B15407" w:themeColor="accent6" w:themeShade="95" w:sz="4" w:space="0"/>
      </w:tblBorders>
    </w:tblPr>
    <w:tblStylePr w:type="band1Horz">
      <w:rPr>
        <w:rFonts w:ascii="Arial" w:hAnsi="Arial"/>
        <w:color w:val="404040"/>
        <w:sz w:val="22"/>
      </w:rPr>
    </w:tblStylePr>
    <w:tblStylePr w:type="band1Vert">
      <w:rPr>
        <w:rFonts w:ascii="Arial" w:hAnsi="Arial"/>
        <w:color w:val="404040"/>
        <w:sz w:val="22"/>
      </w:rPr>
    </w:tblStylePr>
    <w:tblStylePr w:type="band2Horz">
      <w:rPr>
        <w:rFonts w:ascii="Arial" w:hAnsi="Arial"/>
        <w:color w:val="404040"/>
        <w:sz w:val="22"/>
      </w:rPr>
      <w:tcPr>
        <w:shd w:val="clear" w:color="fde9d9" w:themeColor="accent6" w:themeTint="34" w:fill="fde9d9" w:themeFill="accent6" w:themeFillTint="34"/>
      </w:tcPr>
    </w:tblStylePr>
    <w:tblStylePr w:type="band2Vert">
      <w:rPr>
        <w:rFonts w:ascii="Arial" w:hAnsi="Arial"/>
        <w:color w:val="404040"/>
        <w:sz w:val="22"/>
      </w:rPr>
      <w:tcPr>
        <w:shd w:val="clear" w:color="fde9d9" w:themeColor="accent6" w:themeTint="34" w:fill="fde9d9" w:themeFill="accent6" w:themeFillTint="34"/>
      </w:tcPr>
    </w:tblStylePr>
    <w:tblStylePr w:type="firstCol">
      <w:rPr>
        <w:rFonts w:ascii="Arial" w:hAnsi="Arial"/>
        <w:color w:val="f2f2f2"/>
        <w:sz w:val="22"/>
      </w:rPr>
      <w:tcPr>
        <w:shd w:val="clear" w:color="f79646" w:themeColor="accent6" w:fill="f79646" w:themeFill="accent6"/>
      </w:tcPr>
    </w:tblStylePr>
    <w:tblStylePr w:type="firstRow">
      <w:rPr>
        <w:rFonts w:ascii="Arial" w:hAnsi="Arial"/>
        <w:color w:val="f2f2f2"/>
        <w:sz w:val="22"/>
      </w:rPr>
      <w:tcPr>
        <w:shd w:val="clear" w:color="f79646" w:themeColor="accent6" w:fill="f79646" w:themeFill="accent6"/>
      </w:tcPr>
    </w:tblStylePr>
    <w:tblStylePr w:type="lastCol">
      <w:rPr>
        <w:rFonts w:ascii="Arial" w:hAnsi="Arial"/>
        <w:color w:val="f2f2f2"/>
        <w:sz w:val="22"/>
      </w:rPr>
      <w:tcPr>
        <w:shd w:val="clear" w:color="f79646" w:themeColor="accent6" w:fill="f79646" w:themeFill="accent6"/>
      </w:tcPr>
    </w:tblStylePr>
    <w:tblStylePr w:type="lastRow">
      <w:rPr>
        <w:rFonts w:ascii="Arial" w:hAnsi="Arial"/>
        <w:color w:val="f2f2f2"/>
        <w:sz w:val="22"/>
      </w:rPr>
      <w:tcPr>
        <w:shd w:val="clear" w:color="f79646" w:themeColor="accent6" w:fill="f79646" w:themeFill="accent6"/>
      </w:tcPr>
    </w:tblStylePr>
  </w:style>
  <w:style w:type="table" w:styleId="969" w:customStyle="1">
    <w:name w:val="Bordered"/>
    <w:uiPriority w:val="99"/>
    <w:qFormat/>
    <w:pPr>
      <w:spacing w:after="0" w:line="240" w:lineRule="auto"/>
    </w:pPr>
    <w:tblPr>
      <w:tbl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insideH w:val="single" w:color="D8D8D8" w:themeColor="text1" w:themeTint="26" w:sz="4" w:space="0"/>
        <w:insideV w:val="single" w:color="D8D8D8" w:themeColor="text1" w:themeTint="26" w:sz="4" w:space="0"/>
      </w:tblBorders>
    </w:tblPr>
    <w:tblStylePr w:type="band1Horz">
      <w:rPr>
        <w:rFonts w:ascii="Arial" w:hAnsi="Arial"/>
        <w:color w:val="404040"/>
        <w:sz w:val="22"/>
      </w:rPr>
      <w:tcPr>
        <w:tcBorders>
          <w:top w:val="single" w:color="D8D8D8" w:themeColor="text1" w:themeTint="26" w:sz="4" w:space="0"/>
          <w:left w:val="single" w:color="D8D8D8" w:themeColor="text1" w:themeTint="26" w:sz="4" w:space="0"/>
          <w:bottom w:val="single" w:color="D8D8D8" w:themeColor="text1" w:themeTint="26" w:sz="4" w:space="0"/>
          <w:right w:val="single" w:color="D8D8D8" w:themeColor="text1" w:themeTint="26"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7E7E7E" w:themeColor="text1" w:themeTint="80" w:sz="12" w:space="0"/>
        </w:tcBorders>
      </w:tcPr>
    </w:tblStylePr>
    <w:tblStylePr w:type="lastCol">
      <w:rPr>
        <w:rFonts w:ascii="Arial" w:hAnsi="Arial"/>
        <w:color w:val="404040"/>
        <w:sz w:val="22"/>
      </w:rPr>
      <w:tcPr>
        <w:tcBorders>
          <w:left w:val="single" w:color="7E7E7E" w:themeColor="text1" w:themeTint="80" w:sz="12" w:space="0"/>
        </w:tcBorders>
      </w:tcPr>
    </w:tblStylePr>
    <w:tblStylePr w:type="lastRow">
      <w:rPr>
        <w:rFonts w:ascii="Arial" w:hAnsi="Arial"/>
        <w:color w:val="404040"/>
        <w:sz w:val="22"/>
      </w:rPr>
      <w:tcPr>
        <w:tcBorders>
          <w:top w:val="single" w:color="7E7E7E" w:themeColor="text1" w:themeTint="80" w:sz="12" w:space="0"/>
        </w:tcBorders>
      </w:tcPr>
    </w:tblStylePr>
  </w:style>
  <w:style w:type="table" w:styleId="970" w:customStyle="1">
    <w:name w:val="Bordered - Accent 1"/>
    <w:uiPriority w:val="99"/>
    <w:qFormat/>
    <w:pPr>
      <w:spacing w:after="0" w:line="240" w:lineRule="auto"/>
    </w:pPr>
    <w:tblPr>
      <w:tbl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insideH w:val="single" w:color="B7CCE4" w:themeColor="accent1" w:themeTint="67" w:sz="4" w:space="0"/>
        <w:insideV w:val="single" w:color="B7CCE4" w:themeColor="accent1" w:themeTint="67" w:sz="4" w:space="0"/>
      </w:tblBorders>
    </w:tblPr>
    <w:tblStylePr w:type="band1Horz">
      <w:rPr>
        <w:rFonts w:ascii="Arial" w:hAnsi="Arial"/>
        <w:color w:val="404040"/>
        <w:sz w:val="22"/>
      </w:rPr>
      <w:tcPr>
        <w:tcBorders>
          <w:top w:val="single" w:color="B7CCE4" w:themeColor="accent1" w:themeTint="67" w:sz="4" w:space="0"/>
          <w:left w:val="single" w:color="B7CCE4" w:themeColor="accent1" w:themeTint="67" w:sz="4" w:space="0"/>
          <w:bottom w:val="single" w:color="B7CCE4" w:themeColor="accent1" w:themeTint="67" w:sz="4" w:space="0"/>
          <w:right w:val="single" w:color="B7CCE4" w:themeColor="accent1"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4F81BD" w:themeColor="accent1" w:sz="12" w:space="0"/>
        </w:tcBorders>
      </w:tcPr>
    </w:tblStylePr>
    <w:tblStylePr w:type="lastCol">
      <w:rPr>
        <w:rFonts w:ascii="Arial" w:hAnsi="Arial"/>
        <w:color w:val="404040"/>
        <w:sz w:val="22"/>
      </w:rPr>
      <w:tcPr>
        <w:tcBorders>
          <w:left w:val="single" w:color="4F81BD" w:themeColor="accent1" w:sz="12" w:space="0"/>
        </w:tcBorders>
      </w:tcPr>
    </w:tblStylePr>
    <w:tblStylePr w:type="lastRow">
      <w:rPr>
        <w:rFonts w:ascii="Arial" w:hAnsi="Arial"/>
        <w:color w:val="404040"/>
        <w:sz w:val="22"/>
      </w:rPr>
      <w:tcPr>
        <w:tcBorders>
          <w:top w:val="single" w:color="4F81BD" w:themeColor="accent1" w:sz="12" w:space="0"/>
        </w:tcBorders>
      </w:tcPr>
    </w:tblStylePr>
  </w:style>
  <w:style w:type="table" w:styleId="971" w:customStyle="1">
    <w:name w:val="Bordered - Accent 2"/>
    <w:uiPriority w:val="99"/>
    <w:qFormat/>
    <w:pPr>
      <w:spacing w:after="0" w:line="240" w:lineRule="auto"/>
    </w:pPr>
    <w:tblPr>
      <w:tbl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insideH w:val="single" w:color="E5B8B7" w:themeColor="accent2" w:themeTint="67" w:sz="4" w:space="0"/>
        <w:insideV w:val="single" w:color="E5B8B7" w:themeColor="accent2" w:themeTint="67" w:sz="4" w:space="0"/>
      </w:tblBorders>
    </w:tblPr>
    <w:tblStylePr w:type="band1Horz">
      <w:rPr>
        <w:rFonts w:ascii="Arial" w:hAnsi="Arial"/>
        <w:color w:val="404040"/>
        <w:sz w:val="22"/>
      </w:rPr>
      <w:tcPr>
        <w:tcBorders>
          <w:top w:val="single" w:color="E5B8B7" w:themeColor="accent2" w:themeTint="67" w:sz="4" w:space="0"/>
          <w:left w:val="single" w:color="E5B8B7" w:themeColor="accent2" w:themeTint="67" w:sz="4" w:space="0"/>
          <w:bottom w:val="single" w:color="E5B8B7" w:themeColor="accent2" w:themeTint="67" w:sz="4" w:space="0"/>
          <w:right w:val="single" w:color="E5B8B7" w:themeColor="accent2"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D99795" w:themeColor="accent2" w:themeTint="97" w:sz="12" w:space="0"/>
        </w:tcBorders>
      </w:tcPr>
    </w:tblStylePr>
    <w:tblStylePr w:type="lastCol">
      <w:rPr>
        <w:rFonts w:ascii="Arial" w:hAnsi="Arial"/>
        <w:color w:val="404040"/>
        <w:sz w:val="22"/>
      </w:rPr>
      <w:tcPr>
        <w:tcBorders>
          <w:left w:val="single" w:color="D99795" w:themeColor="accent2" w:themeTint="97" w:sz="12" w:space="0"/>
        </w:tcBorders>
      </w:tcPr>
    </w:tblStylePr>
    <w:tblStylePr w:type="lastRow">
      <w:rPr>
        <w:rFonts w:ascii="Arial" w:hAnsi="Arial"/>
        <w:color w:val="404040"/>
        <w:sz w:val="22"/>
      </w:rPr>
      <w:tcPr>
        <w:tcBorders>
          <w:top w:val="single" w:color="D99795" w:themeColor="accent2" w:themeTint="97" w:sz="12" w:space="0"/>
        </w:tcBorders>
      </w:tcPr>
    </w:tblStylePr>
  </w:style>
  <w:style w:type="table" w:styleId="972" w:customStyle="1">
    <w:name w:val="Bordered - Accent 3"/>
    <w:uiPriority w:val="99"/>
    <w:qFormat/>
    <w:pPr>
      <w:spacing w:after="0" w:line="240" w:lineRule="auto"/>
    </w:pPr>
    <w:tblPr>
      <w:tbl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insideH w:val="single" w:color="D6E3BB" w:themeColor="accent3" w:themeTint="67" w:sz="4" w:space="0"/>
        <w:insideV w:val="single" w:color="D6E3BB" w:themeColor="accent3" w:themeTint="67" w:sz="4" w:space="0"/>
      </w:tblBorders>
    </w:tblPr>
    <w:tblStylePr w:type="band1Horz">
      <w:rPr>
        <w:rFonts w:ascii="Arial" w:hAnsi="Arial"/>
        <w:color w:val="404040"/>
        <w:sz w:val="22"/>
      </w:rPr>
      <w:tcPr>
        <w:tcBorders>
          <w:top w:val="single" w:color="D6E3BB" w:themeColor="accent3" w:themeTint="67" w:sz="4" w:space="0"/>
          <w:left w:val="single" w:color="D6E3BB" w:themeColor="accent3" w:themeTint="67" w:sz="4" w:space="0"/>
          <w:bottom w:val="single" w:color="D6E3BB" w:themeColor="accent3" w:themeTint="67" w:sz="4" w:space="0"/>
          <w:right w:val="single" w:color="D6E3BB" w:themeColor="accent3"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C3D69C" w:themeColor="accent3" w:themeTint="98" w:sz="12" w:space="0"/>
        </w:tcBorders>
      </w:tcPr>
    </w:tblStylePr>
    <w:tblStylePr w:type="lastCol">
      <w:rPr>
        <w:rFonts w:ascii="Arial" w:hAnsi="Arial"/>
        <w:color w:val="404040"/>
        <w:sz w:val="22"/>
      </w:rPr>
      <w:tcPr>
        <w:tcBorders>
          <w:left w:val="single" w:color="C3D69C" w:themeColor="accent3" w:themeTint="98" w:sz="12" w:space="0"/>
        </w:tcBorders>
      </w:tcPr>
    </w:tblStylePr>
    <w:tblStylePr w:type="lastRow">
      <w:rPr>
        <w:rFonts w:ascii="Arial" w:hAnsi="Arial"/>
        <w:color w:val="404040"/>
        <w:sz w:val="22"/>
      </w:rPr>
      <w:tcPr>
        <w:tcBorders>
          <w:top w:val="single" w:color="C3D69C" w:themeColor="accent3" w:themeTint="98" w:sz="12" w:space="0"/>
        </w:tcBorders>
      </w:tcPr>
    </w:tblStylePr>
  </w:style>
  <w:style w:type="table" w:styleId="973" w:customStyle="1">
    <w:name w:val="Bordered - Accent 4"/>
    <w:uiPriority w:val="99"/>
    <w:qFormat/>
    <w:pPr>
      <w:spacing w:after="0" w:line="240" w:lineRule="auto"/>
    </w:pPr>
    <w:tblPr>
      <w:tbl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insideH w:val="single" w:color="CBC0D9" w:themeColor="accent4" w:themeTint="67" w:sz="4" w:space="0"/>
        <w:insideV w:val="single" w:color="CBC0D9" w:themeColor="accent4" w:themeTint="67" w:sz="4" w:space="0"/>
      </w:tblBorders>
    </w:tblPr>
    <w:tblStylePr w:type="band1Horz">
      <w:rPr>
        <w:rFonts w:ascii="Arial" w:hAnsi="Arial"/>
        <w:color w:val="404040"/>
        <w:sz w:val="22"/>
      </w:rPr>
      <w:tcPr>
        <w:tcBorders>
          <w:top w:val="single" w:color="CBC0D9" w:themeColor="accent4" w:themeTint="67" w:sz="4" w:space="0"/>
          <w:left w:val="single" w:color="CBC0D9" w:themeColor="accent4" w:themeTint="67" w:sz="4" w:space="0"/>
          <w:bottom w:val="single" w:color="CBC0D9" w:themeColor="accent4" w:themeTint="67" w:sz="4" w:space="0"/>
          <w:right w:val="single" w:color="CBC0D9" w:themeColor="accent4"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B2A1C6" w:themeColor="accent4" w:themeTint="9A" w:sz="12" w:space="0"/>
        </w:tcBorders>
      </w:tcPr>
    </w:tblStylePr>
    <w:tblStylePr w:type="lastCol">
      <w:rPr>
        <w:rFonts w:ascii="Arial" w:hAnsi="Arial"/>
        <w:color w:val="404040"/>
        <w:sz w:val="22"/>
      </w:rPr>
      <w:tcPr>
        <w:tcBorders>
          <w:left w:val="single" w:color="B2A1C6" w:themeColor="accent4" w:themeTint="9A" w:sz="12" w:space="0"/>
        </w:tcBorders>
      </w:tcPr>
    </w:tblStylePr>
    <w:tblStylePr w:type="lastRow">
      <w:rPr>
        <w:rFonts w:ascii="Arial" w:hAnsi="Arial"/>
        <w:color w:val="404040"/>
        <w:sz w:val="22"/>
      </w:rPr>
      <w:tcPr>
        <w:tcBorders>
          <w:top w:val="single" w:color="B2A1C6" w:themeColor="accent4" w:themeTint="9A" w:sz="12" w:space="0"/>
        </w:tcBorders>
      </w:tcPr>
    </w:tblStylePr>
  </w:style>
  <w:style w:type="table" w:styleId="974" w:customStyle="1">
    <w:name w:val="Bordered - Accent 5"/>
    <w:uiPriority w:val="99"/>
    <w:qFormat/>
    <w:pPr>
      <w:spacing w:after="0" w:line="240" w:lineRule="auto"/>
    </w:pPr>
    <w:tblPr>
      <w:tbl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insideH w:val="single" w:color="B6DDE7" w:themeColor="accent5" w:themeTint="67" w:sz="4" w:space="0"/>
        <w:insideV w:val="single" w:color="B6DDE7" w:themeColor="accent5" w:themeTint="67" w:sz="4" w:space="0"/>
      </w:tblBorders>
    </w:tblPr>
    <w:tblStylePr w:type="band1Horz">
      <w:rPr>
        <w:rFonts w:ascii="Arial" w:hAnsi="Arial"/>
        <w:color w:val="404040"/>
        <w:sz w:val="22"/>
      </w:rPr>
      <w:tcPr>
        <w:tcBorders>
          <w:top w:val="single" w:color="B6DDE7" w:themeColor="accent5" w:themeTint="67" w:sz="4" w:space="0"/>
          <w:left w:val="single" w:color="B6DDE7" w:themeColor="accent5" w:themeTint="67" w:sz="4" w:space="0"/>
          <w:bottom w:val="single" w:color="B6DDE7" w:themeColor="accent5" w:themeTint="67" w:sz="4" w:space="0"/>
          <w:right w:val="single" w:color="B6DDE7" w:themeColor="accent5"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92CCDC" w:themeColor="accent5" w:themeTint="9A" w:sz="12" w:space="0"/>
        </w:tcBorders>
      </w:tcPr>
    </w:tblStylePr>
    <w:tblStylePr w:type="lastCol">
      <w:rPr>
        <w:rFonts w:ascii="Arial" w:hAnsi="Arial"/>
        <w:color w:val="404040"/>
        <w:sz w:val="22"/>
      </w:rPr>
      <w:tcPr>
        <w:tcBorders>
          <w:left w:val="single" w:color="92CCDC" w:themeColor="accent5" w:themeTint="9A" w:sz="12" w:space="0"/>
        </w:tcBorders>
      </w:tcPr>
    </w:tblStylePr>
    <w:tblStylePr w:type="lastRow">
      <w:rPr>
        <w:rFonts w:ascii="Arial" w:hAnsi="Arial"/>
        <w:color w:val="404040"/>
        <w:sz w:val="22"/>
      </w:rPr>
      <w:tcPr>
        <w:tcBorders>
          <w:top w:val="single" w:color="92CCDC" w:themeColor="accent5" w:themeTint="9A" w:sz="12" w:space="0"/>
        </w:tcBorders>
      </w:tcPr>
    </w:tblStylePr>
  </w:style>
  <w:style w:type="table" w:styleId="975" w:customStyle="1">
    <w:name w:val="Bordered - Accent 6"/>
    <w:uiPriority w:val="99"/>
    <w:qFormat/>
    <w:pPr>
      <w:spacing w:after="0" w:line="240" w:lineRule="auto"/>
    </w:pPr>
    <w:tblPr>
      <w:tbl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insideH w:val="single" w:color="FBD4B4" w:themeColor="accent6" w:themeTint="67" w:sz="4" w:space="0"/>
        <w:insideV w:val="single" w:color="FBD4B4" w:themeColor="accent6" w:themeTint="67" w:sz="4" w:space="0"/>
      </w:tblBorders>
    </w:tblPr>
    <w:tblStylePr w:type="band1Horz">
      <w:rPr>
        <w:rFonts w:ascii="Arial" w:hAnsi="Arial"/>
        <w:color w:val="404040"/>
        <w:sz w:val="22"/>
      </w:rPr>
      <w:tcPr>
        <w:tcBorders>
          <w:top w:val="single" w:color="FBD4B4" w:themeColor="accent6" w:themeTint="67" w:sz="4" w:space="0"/>
          <w:left w:val="single" w:color="FBD4B4" w:themeColor="accent6" w:themeTint="67" w:sz="4" w:space="0"/>
          <w:bottom w:val="single" w:color="FBD4B4" w:themeColor="accent6" w:themeTint="67" w:sz="4" w:space="0"/>
          <w:right w:val="single" w:color="FBD4B4" w:themeColor="accent6" w:themeTint="67" w:sz="4" w:space="0"/>
        </w:tcBorders>
      </w:tcPr>
    </w:tblStylePr>
    <w:tblStylePr w:type="firstCol">
      <w:rPr>
        <w:rFonts w:ascii="Arial" w:hAnsi="Arial"/>
        <w:color w:val="404040"/>
        <w:sz w:val="22"/>
      </w:rPr>
    </w:tblStylePr>
    <w:tblStylePr w:type="firstRow">
      <w:rPr>
        <w:rFonts w:ascii="Arial" w:hAnsi="Arial"/>
        <w:color w:val="404040"/>
        <w:sz w:val="22"/>
      </w:rPr>
      <w:tcPr>
        <w:tcBorders>
          <w:bottom w:val="single" w:color="FAC090" w:themeColor="accent6" w:themeTint="98" w:sz="12" w:space="0"/>
        </w:tcBorders>
      </w:tcPr>
    </w:tblStylePr>
    <w:tblStylePr w:type="lastCol">
      <w:rPr>
        <w:rFonts w:ascii="Arial" w:hAnsi="Arial"/>
        <w:color w:val="404040"/>
        <w:sz w:val="22"/>
      </w:rPr>
      <w:tcPr>
        <w:tcBorders>
          <w:left w:val="single" w:color="FAC090" w:themeColor="accent6" w:themeTint="98" w:sz="12" w:space="0"/>
        </w:tcBorders>
      </w:tcPr>
    </w:tblStylePr>
    <w:tblStylePr w:type="lastRow">
      <w:rPr>
        <w:rFonts w:ascii="Arial" w:hAnsi="Arial"/>
        <w:color w:val="404040"/>
        <w:sz w:val="22"/>
      </w:rPr>
      <w:tcPr>
        <w:tcBorders>
          <w:top w:val="single" w:color="FAC090" w:themeColor="accent6" w:themeTint="98" w:sz="12" w:space="0"/>
        </w:tcBorders>
      </w:tcPr>
    </w:tblStylePr>
  </w:style>
  <w:style w:type="character" w:styleId="976" w:customStyle="1">
    <w:name w:val="Footnote Text Char"/>
    <w:link w:val="814"/>
    <w:uiPriority w:val="99"/>
    <w:qFormat/>
    <w:rPr>
      <w:sz w:val="18"/>
    </w:rPr>
  </w:style>
  <w:style w:type="character" w:styleId="977" w:customStyle="1">
    <w:name w:val="Endnote Text Char"/>
    <w:link w:val="807"/>
    <w:uiPriority w:val="99"/>
    <w:qFormat/>
    <w:rPr>
      <w:sz w:val="20"/>
    </w:rPr>
  </w:style>
  <w:style w:type="paragraph" w:styleId="978" w:customStyle="1">
    <w:name w:val="TOC Heading"/>
    <w:uiPriority w:val="39"/>
    <w:unhideWhenUsed/>
    <w:qFormat/>
    <w:rPr>
      <w:rFonts w:hint="default" w:ascii="Times New Roman" w:hAnsi="Times New Roman" w:eastAsia="宋体" w:cs="Times New Roman"/>
    </w:rPr>
  </w:style>
  <w:style w:type="paragraph" w:styleId="979" w:customStyle="1">
    <w:name w:val="标题 31"/>
    <w:basedOn w:val="783"/>
    <w:next w:val="783"/>
    <w:uiPriority w:val="0"/>
    <w:qFormat/>
    <w:pPr>
      <w:ind w:left="709" w:hanging="709"/>
      <w:keepLines/>
      <w:keepNext/>
      <w:spacing w:before="260" w:after="260" w:line="413" w:lineRule="auto"/>
      <w:tabs>
        <w:tab w:val="left" w:pos="709" w:leader="none"/>
      </w:tabs>
      <w:outlineLvl w:val="2"/>
    </w:pPr>
    <w:rPr>
      <w:rFonts w:ascii="Arial" w:hAnsi="Arial"/>
      <w:b/>
      <w:bCs/>
      <w:sz w:val="32"/>
      <w:szCs w:val="32"/>
    </w:rPr>
  </w:style>
  <w:style w:type="character" w:styleId="980" w:customStyle="1">
    <w:name w:val="默认段落字体1"/>
    <w:link w:val="783"/>
    <w:uiPriority w:val="1"/>
    <w:unhideWhenUsed/>
    <w:qFormat/>
  </w:style>
  <w:style w:type="table" w:styleId="981" w:customStyle="1">
    <w:name w:val="普通表格1"/>
    <w:uiPriority w:val="99"/>
    <w:unhideWhenUsed/>
    <w:qFormat/>
    <w:tblPr/>
  </w:style>
  <w:style w:type="paragraph" w:styleId="982" w:customStyle="1">
    <w:name w:val="正文文本缩进11"/>
    <w:basedOn w:val="783"/>
    <w:link w:val="983"/>
    <w:uiPriority w:val="99"/>
    <w:unhideWhenUsed/>
    <w:qFormat/>
    <w:pPr>
      <w:ind w:left="420"/>
      <w:spacing w:after="120"/>
    </w:pPr>
  </w:style>
  <w:style w:type="character" w:styleId="983" w:customStyle="1">
    <w:name w:val="正文文本缩进 字符"/>
    <w:link w:val="982"/>
    <w:uiPriority w:val="99"/>
    <w:semiHidden/>
    <w:qFormat/>
  </w:style>
  <w:style w:type="paragraph" w:styleId="984" w:customStyle="1">
    <w:name w:val="正文缩进11"/>
    <w:basedOn w:val="783"/>
    <w:next w:val="783"/>
    <w:uiPriority w:val="99"/>
    <w:unhideWhenUsed/>
    <w:qFormat/>
    <w:pPr>
      <w:ind w:firstLine="420"/>
      <w:jc w:val="left"/>
    </w:pPr>
    <w:rPr>
      <w:rFonts w:ascii="Times New Roman" w:hAnsi="Times New Roman" w:eastAsia="楷体_GB2312" w:cs="Times New Roman"/>
      <w:sz w:val="24"/>
      <w:szCs w:val="24"/>
    </w:rPr>
  </w:style>
  <w:style w:type="paragraph" w:styleId="985" w:customStyle="1">
    <w:name w:val="批注文字1"/>
    <w:basedOn w:val="783"/>
    <w:link w:val="986"/>
    <w:uiPriority w:val="99"/>
    <w:unhideWhenUsed/>
    <w:qFormat/>
    <w:pPr>
      <w:jc w:val="left"/>
    </w:pPr>
  </w:style>
  <w:style w:type="character" w:styleId="986" w:customStyle="1">
    <w:name w:val="批注文字 字符"/>
    <w:link w:val="985"/>
    <w:uiPriority w:val="99"/>
    <w:semiHidden/>
    <w:qFormat/>
    <w:rPr>
      <w:sz w:val="21"/>
      <w:szCs w:val="22"/>
    </w:rPr>
  </w:style>
  <w:style w:type="paragraph" w:styleId="987" w:customStyle="1">
    <w:name w:val="文本块11"/>
    <w:basedOn w:val="783"/>
    <w:uiPriority w:val="99"/>
    <w:unhideWhenUsed/>
    <w:qFormat/>
    <w:pPr>
      <w:ind w:left="1440" w:right="1440"/>
      <w:spacing w:after="120"/>
    </w:pPr>
  </w:style>
  <w:style w:type="paragraph" w:styleId="988" w:customStyle="1">
    <w:name w:val="日期1"/>
    <w:basedOn w:val="783"/>
    <w:next w:val="783"/>
    <w:link w:val="989"/>
    <w:uiPriority w:val="99"/>
    <w:unhideWhenUsed/>
    <w:qFormat/>
    <w:pPr>
      <w:ind w:left="100"/>
    </w:pPr>
  </w:style>
  <w:style w:type="character" w:styleId="989" w:customStyle="1">
    <w:name w:val="日期 字符"/>
    <w:link w:val="988"/>
    <w:uiPriority w:val="99"/>
    <w:semiHidden/>
    <w:qFormat/>
    <w:rPr>
      <w:sz w:val="21"/>
      <w:szCs w:val="22"/>
    </w:rPr>
  </w:style>
  <w:style w:type="paragraph" w:styleId="990" w:customStyle="1">
    <w:name w:val="正文文本缩进 21"/>
    <w:basedOn w:val="783"/>
    <w:uiPriority w:val="0"/>
    <w:qFormat/>
    <w:pPr>
      <w:ind w:left="420"/>
      <w:spacing w:after="120" w:line="480" w:lineRule="auto"/>
    </w:pPr>
  </w:style>
  <w:style w:type="paragraph" w:styleId="991" w:customStyle="1">
    <w:name w:val="批注框文本1"/>
    <w:basedOn w:val="783"/>
    <w:link w:val="992"/>
    <w:uiPriority w:val="99"/>
    <w:unhideWhenUsed/>
    <w:qFormat/>
    <w:rPr>
      <w:sz w:val="18"/>
      <w:szCs w:val="18"/>
    </w:rPr>
  </w:style>
  <w:style w:type="character" w:styleId="992" w:customStyle="1">
    <w:name w:val="批注框文本 字符"/>
    <w:link w:val="991"/>
    <w:uiPriority w:val="99"/>
    <w:semiHidden/>
    <w:qFormat/>
    <w:rPr>
      <w:sz w:val="18"/>
      <w:szCs w:val="18"/>
    </w:rPr>
  </w:style>
  <w:style w:type="paragraph" w:styleId="993" w:customStyle="1">
    <w:name w:val="页脚1"/>
    <w:basedOn w:val="783"/>
    <w:link w:val="994"/>
    <w:uiPriority w:val="99"/>
    <w:unhideWhenUsed/>
    <w:qFormat/>
    <w:pPr>
      <w:jc w:val="left"/>
      <w:tabs>
        <w:tab w:val="center" w:pos="4153" w:leader="none"/>
        <w:tab w:val="right" w:pos="8306" w:leader="none"/>
      </w:tabs>
    </w:pPr>
    <w:rPr>
      <w:sz w:val="18"/>
      <w:szCs w:val="18"/>
    </w:rPr>
  </w:style>
  <w:style w:type="character" w:styleId="994" w:customStyle="1">
    <w:name w:val="页脚 字符"/>
    <w:link w:val="993"/>
    <w:uiPriority w:val="99"/>
    <w:qFormat/>
    <w:rPr>
      <w:sz w:val="18"/>
      <w:szCs w:val="18"/>
    </w:rPr>
  </w:style>
  <w:style w:type="paragraph" w:styleId="995" w:customStyle="1">
    <w:name w:val="寄信人地址1"/>
    <w:basedOn w:val="783"/>
    <w:uiPriority w:val="0"/>
    <w:qFormat/>
    <w:rPr>
      <w:rFonts w:ascii="Arial" w:hAnsi="Arial" w:eastAsia="楷体_GB2312"/>
      <w:sz w:val="26"/>
    </w:rPr>
  </w:style>
  <w:style w:type="paragraph" w:styleId="996" w:customStyle="1">
    <w:name w:val="页眉1"/>
    <w:basedOn w:val="783"/>
    <w:link w:val="997"/>
    <w:uiPriority w:val="99"/>
    <w:unhideWhenUsed/>
    <w:qFormat/>
    <w:pPr>
      <w:jc w:val="center"/>
      <w:tabs>
        <w:tab w:val="center" w:pos="4153" w:leader="none"/>
        <w:tab w:val="right" w:pos="8306" w:leader="none"/>
      </w:tabs>
    </w:pPr>
    <w:rPr>
      <w:sz w:val="18"/>
      <w:szCs w:val="18"/>
    </w:rPr>
  </w:style>
  <w:style w:type="character" w:styleId="997" w:customStyle="1">
    <w:name w:val="页眉 字符"/>
    <w:link w:val="996"/>
    <w:uiPriority w:val="99"/>
    <w:qFormat/>
    <w:rPr>
      <w:sz w:val="18"/>
      <w:szCs w:val="18"/>
    </w:rPr>
  </w:style>
  <w:style w:type="paragraph" w:styleId="998" w:customStyle="1">
    <w:name w:val="正文文本缩进 311"/>
    <w:basedOn w:val="783"/>
    <w:link w:val="999"/>
    <w:uiPriority w:val="99"/>
    <w:unhideWhenUsed/>
    <w:qFormat/>
    <w:pPr>
      <w:ind w:left="420"/>
      <w:spacing w:before="100" w:beforeAutospacing="1" w:after="100" w:afterAutospacing="1"/>
    </w:pPr>
    <w:rPr>
      <w:rFonts w:ascii="Times New Roman" w:hAnsi="Times New Roman" w:eastAsia="宋体" w:cs="Times New Roman"/>
      <w:sz w:val="16"/>
      <w:szCs w:val="16"/>
    </w:rPr>
  </w:style>
  <w:style w:type="character" w:styleId="999" w:customStyle="1">
    <w:name w:val="正文文本缩进 3 字符"/>
    <w:link w:val="998"/>
    <w:uiPriority w:val="99"/>
    <w:qFormat/>
    <w:rPr>
      <w:rFonts w:ascii="Times New Roman" w:hAnsi="Times New Roman" w:eastAsia="宋体" w:cs="Times New Roman"/>
      <w:sz w:val="16"/>
      <w:szCs w:val="16"/>
    </w:rPr>
  </w:style>
  <w:style w:type="paragraph" w:styleId="1000" w:customStyle="1">
    <w:name w:val="批注主题1"/>
    <w:basedOn w:val="985"/>
    <w:next w:val="985"/>
    <w:link w:val="1001"/>
    <w:uiPriority w:val="99"/>
    <w:unhideWhenUsed/>
    <w:qFormat/>
    <w:rPr>
      <w:b/>
      <w:bCs/>
    </w:rPr>
  </w:style>
  <w:style w:type="character" w:styleId="1001" w:customStyle="1">
    <w:name w:val="批注主题 字符"/>
    <w:link w:val="1000"/>
    <w:uiPriority w:val="99"/>
    <w:semiHidden/>
    <w:qFormat/>
    <w:rPr>
      <w:b/>
      <w:bCs/>
      <w:sz w:val="21"/>
      <w:szCs w:val="22"/>
    </w:rPr>
  </w:style>
  <w:style w:type="paragraph" w:styleId="1002" w:customStyle="1">
    <w:name w:val="正文首行缩进 211"/>
    <w:basedOn w:val="982"/>
    <w:next w:val="783"/>
    <w:link w:val="1003"/>
    <w:uiPriority w:val="99"/>
    <w:unhideWhenUsed/>
    <w:qFormat/>
    <w:pPr>
      <w:ind w:firstLine="420"/>
      <w:spacing w:before="100" w:beforeAutospacing="1"/>
    </w:pPr>
    <w:rPr>
      <w:rFonts w:ascii="Calibri" w:hAnsi="Calibri" w:eastAsia="宋体" w:cs="宋体"/>
      <w:sz w:val="20"/>
      <w:szCs w:val="20"/>
    </w:rPr>
  </w:style>
  <w:style w:type="character" w:styleId="1003" w:customStyle="1">
    <w:name w:val="正文文本首行缩进 2 字符"/>
    <w:link w:val="1002"/>
    <w:uiPriority w:val="99"/>
    <w:qFormat/>
    <w:rPr>
      <w:rFonts w:ascii="Calibri" w:hAnsi="Calibri" w:eastAsia="宋体" w:cs="宋体"/>
      <w:sz w:val="20"/>
      <w:szCs w:val="20"/>
    </w:rPr>
  </w:style>
  <w:style w:type="table" w:styleId="1004" w:customStyle="1">
    <w:name w:val="网格型1"/>
    <w:basedOn w:val="981"/>
    <w:uiPriority w:val="99"/>
    <w:unhideWhenUsed/>
    <w:qFormat/>
    <w:pPr>
      <w:jc w:val="both"/>
      <w:widowControl w:val="off"/>
    </w:pPr>
    <w:tblPr/>
  </w:style>
  <w:style w:type="character" w:styleId="1005" w:customStyle="1">
    <w:name w:val="页码1"/>
    <w:link w:val="783"/>
    <w:uiPriority w:val="99"/>
    <w:unhideWhenUsed/>
    <w:qFormat/>
  </w:style>
  <w:style w:type="character" w:styleId="1006" w:customStyle="1">
    <w:name w:val="超链接1"/>
    <w:link w:val="783"/>
    <w:uiPriority w:val="99"/>
    <w:qFormat/>
    <w:rPr>
      <w:color w:val="333333"/>
      <w:u w:val="none"/>
    </w:rPr>
  </w:style>
  <w:style w:type="character" w:styleId="1007" w:customStyle="1">
    <w:name w:val="批注引用1"/>
    <w:link w:val="783"/>
    <w:uiPriority w:val="99"/>
    <w:unhideWhenUsed/>
    <w:qFormat/>
    <w:rPr>
      <w:sz w:val="21"/>
      <w:szCs w:val="21"/>
    </w:rPr>
  </w:style>
  <w:style w:type="paragraph" w:styleId="1008" w:customStyle="1">
    <w:name w:val="首行缩进"/>
    <w:basedOn w:val="783"/>
    <w:uiPriority w:val="99"/>
    <w:qFormat/>
    <w:pPr>
      <w:ind w:firstLine="480"/>
    </w:pPr>
    <w:rPr>
      <w:lang w:val="zh-CN"/>
    </w:rPr>
  </w:style>
  <w:style w:type="paragraph" w:styleId="1009" w:customStyle="1">
    <w:name w:val="目录 51"/>
    <w:basedOn w:val="783"/>
    <w:next w:val="783"/>
    <w:uiPriority w:val="0"/>
    <w:qFormat/>
    <w:pPr>
      <w:ind w:left="1275"/>
      <w:spacing w:before="100" w:beforeAutospacing="1" w:after="100" w:afterAutospacing="1"/>
      <w:widowControl/>
    </w:pPr>
    <w:rPr>
      <w:rFonts w:ascii="Times New Roman" w:hAnsi="Times New Roman" w:eastAsia="宋体" w:cs="Times New Roman"/>
      <w:szCs w:val="21"/>
    </w:rPr>
  </w:style>
  <w:style w:type="paragraph" w:styleId="1010" w:customStyle="1">
    <w:name w:val="纯文本1"/>
    <w:basedOn w:val="783"/>
    <w:uiPriority w:val="0"/>
    <w:qFormat/>
    <w:rPr>
      <w:rFonts w:ascii="宋体" w:hAnsi="Courier New" w:eastAsia="楷体_GB2312" w:cs="宋体"/>
      <w:sz w:val="28"/>
      <w:szCs w:val="28"/>
    </w:rPr>
  </w:style>
  <w:style w:type="paragraph" w:styleId="1011" w:customStyle="1">
    <w:name w:val="纯文本111"/>
    <w:basedOn w:val="783"/>
    <w:uiPriority w:val="0"/>
    <w:qFormat/>
    <w:rPr>
      <w:rFonts w:ascii="宋体" w:hAnsi="Courier New" w:eastAsia="楷体_GB2312" w:cs="宋体"/>
      <w:sz w:val="28"/>
      <w:szCs w:val="28"/>
    </w:rPr>
  </w:style>
  <w:style w:type="paragraph" w:styleId="1012" w:customStyle="1">
    <w:name w:val="Normal1"/>
    <w:uiPriority w:val="0"/>
    <w:qFormat/>
    <w:pPr>
      <w:jc w:val="both"/>
    </w:pPr>
    <w:rPr>
      <w:rFonts w:hint="default" w:ascii="等线" w:hAnsi="等线" w:eastAsia="宋体" w:cs="宋体"/>
      <w:sz w:val="21"/>
      <w:szCs w:val="21"/>
      <w:lang w:val="en-US" w:eastAsia="zh-CN" w:bidi="ar-SA"/>
    </w:rPr>
  </w:style>
  <w:style w:type="paragraph" w:styleId="1013" w:customStyle="1">
    <w:name w:val="纯文本2"/>
    <w:basedOn w:val="783"/>
    <w:uiPriority w:val="0"/>
    <w:qFormat/>
    <w:rPr>
      <w:rFonts w:ascii="宋体" w:hAnsi="Courier New" w:eastAsia="楷体_GB2312"/>
      <w:sz w:val="26"/>
    </w:rPr>
  </w:style>
  <w:style w:type="paragraph" w:styleId="1014" w:customStyle="1">
    <w:name w:val="Plain Text1"/>
    <w:basedOn w:val="783"/>
    <w:uiPriority w:val="0"/>
    <w:qFormat/>
    <w:pPr>
      <w:jc w:val="both"/>
      <w:widowControl w:val="off"/>
    </w:pPr>
    <w:rPr>
      <w:rFonts w:ascii="宋体" w:hAnsi="Courier New" w:eastAsia="楷体_GB2312"/>
      <w:sz w:val="26"/>
    </w:rPr>
  </w:style>
  <w:style w:type="paragraph" w:styleId="1015" w:customStyle="1">
    <w:name w:val="纯文本5"/>
    <w:basedOn w:val="783"/>
    <w:uiPriority w:val="0"/>
    <w:qFormat/>
    <w:pPr>
      <w:jc w:val="both"/>
      <w:widowControl w:val="off"/>
    </w:pPr>
    <w:rPr>
      <w:rFonts w:ascii="宋体" w:hAnsi="Courier New" w:eastAsia="楷体_GB2312"/>
      <w:sz w:val="26"/>
    </w:rPr>
  </w:style>
  <w:style w:type="character" w:styleId="1016" w:customStyle="1">
    <w:name w:val="font81"/>
    <w:link w:val="783"/>
    <w:uiPriority w:val="0"/>
    <w:qFormat/>
    <w:rPr>
      <w:rFonts w:hint="eastAsia" w:ascii="宋体" w:hAnsi="宋体" w:eastAsia="宋体" w:cs="宋体"/>
      <w:b/>
      <w:color w:val="ff0000"/>
      <w:sz w:val="22"/>
      <w:szCs w:val="22"/>
      <w:u w:val="none"/>
    </w:rPr>
  </w:style>
  <w:style w:type="character" w:styleId="1017" w:customStyle="1">
    <w:name w:val="font71"/>
    <w:link w:val="783"/>
    <w:uiPriority w:val="0"/>
    <w:qFormat/>
    <w:rPr>
      <w:rFonts w:hint="eastAsia" w:ascii="宋体" w:hAnsi="宋体" w:eastAsia="宋体" w:cs="宋体"/>
      <w:color w:val="000000"/>
      <w:sz w:val="20"/>
      <w:szCs w:val="20"/>
      <w:u w:val="none"/>
    </w:rPr>
  </w:style>
  <w:style w:type="character" w:styleId="1018" w:customStyle="1">
    <w:name w:val="font61"/>
    <w:link w:val="783"/>
    <w:uiPriority w:val="0"/>
    <w:qFormat/>
    <w:rPr>
      <w:rFonts w:ascii="Times New Roman" w:hAnsi="Times New Roman" w:cs="Times New Roman"/>
      <w:color w:val="000000"/>
      <w:sz w:val="20"/>
      <w:szCs w:val="20"/>
      <w:u w:val="none"/>
    </w:rPr>
  </w:style>
  <w:style w:type="paragraph" w:styleId="1019" w:customStyle="1">
    <w:name w:val="纯文本3"/>
    <w:basedOn w:val="783"/>
    <w:uiPriority w:val="0"/>
    <w:qFormat/>
    <w:rPr>
      <w:rFonts w:ascii="宋体" w:hAnsi="Courier New" w:eastAsia="楷体_GB2312"/>
      <w:sz w:val="26"/>
      <w:szCs w:val="20"/>
    </w:rPr>
  </w:style>
  <w:style w:type="character" w:styleId="1020" w:customStyle="1">
    <w:name w:val="font11"/>
    <w:link w:val="783"/>
    <w:uiPriority w:val="0"/>
    <w:qFormat/>
    <w:rPr>
      <w:rFonts w:hint="eastAsia" w:ascii="宋体" w:hAnsi="宋体" w:eastAsia="宋体" w:cs="宋体"/>
      <w:color w:val="000000"/>
      <w:sz w:val="24"/>
      <w:szCs w:val="24"/>
      <w:u w:val="none"/>
    </w:rPr>
  </w:style>
  <w:style w:type="character" w:styleId="1021" w:customStyle="1">
    <w:name w:val="font41"/>
    <w:link w:val="783"/>
    <w:uiPriority w:val="0"/>
    <w:qFormat/>
    <w:rPr>
      <w:rFonts w:ascii="Times New Roman" w:hAnsi="Times New Roman" w:cs="Times New Roman"/>
      <w:color w:val="000000"/>
      <w:sz w:val="21"/>
      <w:szCs w:val="21"/>
      <w:u w:val="none"/>
    </w:rPr>
  </w:style>
  <w:style w:type="character" w:styleId="1022" w:customStyle="1">
    <w:name w:val="font51"/>
    <w:link w:val="783"/>
    <w:uiPriority w:val="0"/>
    <w:qFormat/>
    <w:rPr>
      <w:rFonts w:hint="eastAsia" w:ascii="宋体" w:hAnsi="宋体" w:eastAsia="宋体" w:cs="宋体"/>
      <w:color w:val="000000"/>
      <w:sz w:val="21"/>
      <w:szCs w:val="21"/>
      <w:u w:val="none"/>
    </w:rPr>
  </w:style>
  <w:style w:type="character" w:styleId="1023" w:customStyle="1">
    <w:name w:val="font21"/>
    <w:link w:val="783"/>
    <w:uiPriority w:val="0"/>
    <w:qFormat/>
    <w:rPr>
      <w:rFonts w:ascii="Calibri" w:hAnsi="Calibri" w:cs="Calibri"/>
      <w:color w:val="000000"/>
      <w:sz w:val="24"/>
      <w:szCs w:val="24"/>
      <w:u w:val="none"/>
    </w:rPr>
  </w:style>
  <w:style w:type="character" w:styleId="1024" w:customStyle="1">
    <w:name w:val="font31"/>
    <w:link w:val="783"/>
    <w:uiPriority w:val="0"/>
    <w:qFormat/>
    <w:rPr>
      <w:rFonts w:ascii="等线" w:hAnsi="等线" w:eastAsia="等线" w:cs="等线"/>
      <w:color w:val="000000"/>
      <w:sz w:val="21"/>
      <w:szCs w:val="21"/>
      <w:u w:val="none"/>
    </w:rPr>
  </w:style>
  <w:style w:type="character" w:styleId="1025" w:customStyle="1">
    <w:name w:val="fontstyle01"/>
    <w:link w:val="783"/>
    <w:uiPriority w:val="0"/>
    <w:qFormat/>
    <w:rPr>
      <w:rFonts w:hint="eastAsia" w:ascii="微软雅黑" w:hAnsi="微软雅黑" w:eastAsia="微软雅黑"/>
      <w:color w:val="000000"/>
      <w:sz w:val="48"/>
      <w:szCs w:val="48"/>
    </w:rPr>
  </w:style>
  <w:style w:type="paragraph" w:styleId="1026" w:customStyle="1">
    <w:name w:val="正文文本缩进 31"/>
    <w:basedOn w:val="783"/>
    <w:uiPriority w:val="0"/>
    <w:qFormat/>
    <w:pPr>
      <w:ind w:left="420"/>
    </w:pPr>
    <w:rPr>
      <w:sz w:val="16"/>
      <w:szCs w:val="20"/>
    </w:rPr>
  </w:style>
  <w:style w:type="paragraph" w:styleId="1027" w:customStyle="1">
    <w:name w:val="正文文本缩进1"/>
    <w:basedOn w:val="783"/>
    <w:uiPriority w:val="0"/>
    <w:qFormat/>
    <w:pPr>
      <w:ind w:left="420"/>
      <w:spacing w:after="120"/>
    </w:pPr>
  </w:style>
  <w:style w:type="paragraph" w:styleId="1028" w:customStyle="1">
    <w:name w:val="正文首行缩进 21"/>
    <w:basedOn w:val="1027"/>
    <w:uiPriority w:val="99"/>
    <w:unhideWhenUsed/>
    <w:qFormat/>
    <w:pPr>
      <w:ind w:firstLine="420"/>
    </w:pPr>
  </w:style>
  <w:style w:type="paragraph" w:styleId="1029" w:customStyle="1">
    <w:name w:val="正文缩进1"/>
    <w:basedOn w:val="783"/>
    <w:next w:val="783"/>
    <w:uiPriority w:val="0"/>
    <w:qFormat/>
    <w:pPr>
      <w:ind w:firstLine="420"/>
      <w:jc w:val="left"/>
    </w:pPr>
    <w:rPr>
      <w:rFonts w:eastAsia="楷体_GB2312"/>
      <w:sz w:val="24"/>
      <w:szCs w:val="20"/>
    </w:rPr>
  </w:style>
  <w:style w:type="paragraph" w:styleId="1030" w:customStyle="1">
    <w:name w:val="无间隔1"/>
    <w:basedOn w:val="783"/>
    <w:uiPriority w:val="0"/>
    <w:qFormat/>
    <w:pPr>
      <w:spacing w:line="400" w:lineRule="exact"/>
    </w:pPr>
    <w:rPr>
      <w:sz w:val="24"/>
    </w:rPr>
  </w:style>
  <w:style w:type="paragraph" w:styleId="1031" w:customStyle="1">
    <w:name w:val="正文文本11"/>
    <w:basedOn w:val="783"/>
    <w:uiPriority w:val="0"/>
    <w:unhideWhenUsed/>
    <w:qFormat/>
    <w:pPr>
      <w:spacing w:after="120"/>
    </w:pPr>
    <w:rPr>
      <w:sz w:val="20"/>
    </w:rPr>
  </w:style>
  <w:style w:type="paragraph" w:styleId="1032" w:customStyle="1">
    <w:name w:val="正文首行缩进1"/>
    <w:basedOn w:val="1031"/>
    <w:uiPriority w:val="0"/>
    <w:qFormat/>
    <w:pPr>
      <w:ind w:firstLine="420"/>
      <w:jc w:val="both"/>
    </w:pPr>
  </w:style>
  <w:style w:type="paragraph" w:styleId="1033" w:customStyle="1">
    <w:name w:val="脚注文本1"/>
    <w:basedOn w:val="1034"/>
    <w:next w:val="1035"/>
    <w:uiPriority w:val="0"/>
    <w:qFormat/>
    <w:pPr>
      <w:jc w:val="left"/>
      <w:spacing w:line="312" w:lineRule="atLeast"/>
      <w:tabs>
        <w:tab w:val="left" w:pos="200" w:leader="none"/>
      </w:tabs>
    </w:pPr>
    <w:rPr>
      <w:sz w:val="18"/>
      <w:szCs w:val="20"/>
    </w:rPr>
  </w:style>
  <w:style w:type="paragraph" w:styleId="1034" w:customStyle="1">
    <w:name w:val="标题 11"/>
    <w:basedOn w:val="783"/>
    <w:next w:val="783"/>
    <w:uiPriority w:val="0"/>
    <w:qFormat/>
    <w:pPr>
      <w:jc w:val="center"/>
      <w:keepNext/>
      <w:tabs>
        <w:tab w:val="left" w:pos="200" w:leader="none"/>
      </w:tabs>
      <w:outlineLvl w:val="0"/>
    </w:pPr>
    <w:rPr>
      <w:rFonts w:ascii="宋体" w:hAnsi="宋体"/>
      <w:b/>
      <w:sz w:val="36"/>
      <w:szCs w:val="20"/>
    </w:rPr>
  </w:style>
  <w:style w:type="paragraph" w:styleId="1035" w:customStyle="1">
    <w:name w:val="文本块1"/>
    <w:basedOn w:val="1034"/>
    <w:next w:val="783"/>
    <w:uiPriority w:val="0"/>
    <w:qFormat/>
    <w:pPr>
      <w:ind w:left="630" w:right="-609" w:firstLine="420"/>
      <w:spacing w:line="360" w:lineRule="auto"/>
    </w:pPr>
    <w:rPr>
      <w:rFonts w:hint="eastAsia" w:ascii="仿宋_GB2312" w:eastAsia="仿宋_GB2312"/>
      <w:szCs w:val="20"/>
    </w:rPr>
  </w:style>
  <w:style w:type="paragraph" w:styleId="1036" w:customStyle="1">
    <w:name w:val="[Normal]"/>
    <w:uiPriority w:val="0"/>
    <w:qFormat/>
    <w:rPr>
      <w:rFonts w:hint="default" w:ascii="宋体" w:hAnsi="宋体" w:eastAsia="宋体" w:cs="Times New Roman"/>
      <w:sz w:val="24"/>
      <w:szCs w:val="22"/>
      <w:lang w:val="zh-CN" w:eastAsia="zh-CN" w:bidi="ar-SA"/>
    </w:rPr>
  </w:style>
  <w:style w:type="paragraph" w:styleId="1037" w:customStyle="1">
    <w:name w:val="纯文本11"/>
    <w:basedOn w:val="783"/>
    <w:uiPriority w:val="0"/>
    <w:qFormat/>
    <w:rPr>
      <w:rFonts w:ascii="宋体" w:hAnsi="Courier New" w:eastAsia="楷体_GB2312" w:cs="宋体"/>
      <w:sz w:val="28"/>
      <w:szCs w:val="28"/>
    </w:rPr>
  </w:style>
  <w:style w:type="paragraph" w:styleId="1038" w:customStyle="1">
    <w:name w:val="纯文本10"/>
    <w:basedOn w:val="783"/>
    <w:uiPriority w:val="0"/>
    <w:qFormat/>
    <w:pPr>
      <w:jc w:val="left"/>
      <w:widowControl/>
    </w:pPr>
    <w:rPr>
      <w:rFonts w:ascii="宋体" w:hAnsi="Courier New"/>
      <w:sz w:val="28"/>
    </w:rPr>
  </w:style>
  <w:style w:type="character" w:styleId="1039" w:customStyle="1">
    <w:name w:val="s2"/>
    <w:basedOn w:val="793"/>
    <w:link w:val="783"/>
    <w:uiPriority w:val="0"/>
    <w:qFormat/>
    <w:rPr>
      <w:rFonts w:hint="default" w:ascii="Times New Roman" w:hAnsi="Times New Roman" w:eastAsia="宋体" w:cs="Times New Roman"/>
      <w:sz w:val="21"/>
      <w:szCs w:val="22"/>
      <w:lang w:val="en-US" w:eastAsia="zh-CN" w:bidi="ar-SA"/>
    </w:rPr>
  </w:style>
  <w:style w:type="character" w:styleId="1040" w:customStyle="1">
    <w:name w:val="超链接11"/>
    <w:link w:val="783"/>
    <w:uiPriority w:val="99"/>
    <w:unhideWhenUsed/>
    <w:qFormat/>
    <w:rPr>
      <w:color w:val="0000ff"/>
      <w:u w:val="single"/>
    </w:rPr>
  </w:style>
  <w:style w:type="numbering" w:styleId="1041" w:default="1">
    <w:name w:val="No List"/>
    <w:uiPriority w:val="99"/>
    <w:semiHidden/>
    <w:unhideWhenUsed/>
  </w:style>
</w:styles>
</file>

<file path=word/webSettings.xml><?xml version="1.0" encoding="utf-8"?>
<w:webSettings xmlns:w="http://schemas.openxmlformats.org/wordprocessingml/2006/main">
  <w:optimizeForBrowser/>
</w:webSettings>
</file>

<file path=word/_rels/comments.xml.rels><?xml version="1.0" encoding="UTF-8" standalone="yes"?><Relationships xmlns="http://schemas.openxmlformats.org/package/2006/relationships"></Relationships>
</file>

<file path=word/_rels/document.xml.rels><?xml version="1.0" encoding="UTF-8" standalone="yes"?><Relationships xmlns="http://schemas.openxmlformats.org/package/2006/relationships"><Relationship Id="rId1" Type="http://schemas.openxmlformats.org/officeDocument/2006/relationships/styles" Target="styles.xml" /><Relationship Id="rId2" Type="http://schemas.openxmlformats.org/officeDocument/2006/relationships/settings" Target="settings.xml" /><Relationship Id="rId3" Type="http://schemas.openxmlformats.org/officeDocument/2006/relationships/webSettings" Target="webSettings.xml" /><Relationship Id="rId4" Type="http://schemas.openxmlformats.org/officeDocument/2006/relationships/fontTable" Target="fontTable.xml" /><Relationship Id="rId5" Type="http://schemas.openxmlformats.org/officeDocument/2006/relationships/theme" Target="theme/theme1.xml" /><Relationship Id="rId6" Type="http://schemas.openxmlformats.org/officeDocument/2006/relationships/numbering" Target="numbering.xml" /><Relationship Id="rId7" Type="http://schemas.openxmlformats.org/officeDocument/2006/relationships/footnotes" Target="footnotes.xml" /><Relationship Id="rId8" Type="http://schemas.openxmlformats.org/officeDocument/2006/relationships/endnotes" Target="endnotes.xml" /><Relationship Id="rId9" Type="http://schemas.openxmlformats.org/officeDocument/2006/relationships/header" Target="header1.xml" /><Relationship Id="rId10" Type="http://schemas.openxmlformats.org/officeDocument/2006/relationships/header" Target="header2.xml" /><Relationship Id="rId11" Type="http://schemas.openxmlformats.org/officeDocument/2006/relationships/footer" Target="footer1.xml" /><Relationship Id="rId12" Type="http://schemas.openxmlformats.org/officeDocument/2006/relationships/footer" Target="footer2.xml" /><Relationship Id="rId13" Type="http://schemas.openxmlformats.org/officeDocument/2006/relationships/footer" Target="footer3.xml" /><Relationship Id="rId14" Type="http://schemas.openxmlformats.org/officeDocument/2006/relationships/customXml" Target="../customXml/item1.xml" /><Relationship Id="rId15" Type="http://schemas.openxmlformats.org/officeDocument/2006/relationships/customXml" Target="../customXml/item2.xml" /><Relationship Id="rId16" Type="http://schemas.openxmlformats.org/officeDocument/2006/relationships/image" Target="media/image2.png"/></Relationships>
</file>

<file path=word/_rels/endnotes.xml.rels><?xml version="1.0" encoding="UTF-8" standalone="yes"?><Relationships xmlns="http://schemas.openxmlformats.org/package/2006/relationships"></Relationships>
</file>

<file path=word/_rels/footer1.xml.rels><?xml version="1.0" encoding="UTF-8" standalone="yes"?><Relationships xmlns="http://schemas.openxmlformats.org/package/2006/relationships"></Relationships>
</file>

<file path=word/_rels/footer2.xml.rels><?xml version="1.0" encoding="UTF-8" standalone="yes"?><Relationships xmlns="http://schemas.openxmlformats.org/package/2006/relationships"></Relationships>
</file>

<file path=word/_rels/footer3.xml.rels><?xml version="1.0" encoding="UTF-8" standalone="yes"?><Relationships xmlns="http://schemas.openxmlformats.org/package/2006/relationships"></Relationships>
</file>

<file path=word/_rels/footnotes.xml.rels><?xml version="1.0" encoding="UTF-8" standalone="yes"?><Relationships xmlns="http://schemas.openxmlformats.org/package/2006/relationships"></Relationships>
</file>

<file path=word/_rels/header1.xml.rels><?xml version="1.0" encoding="UTF-8" standalone="yes"?><Relationships xmlns="http://schemas.openxmlformats.org/package/2006/relationships"><Relationship Id="rId1" Type="http://schemas.openxmlformats.org/officeDocument/2006/relationships/image" Target="media/image1.png"/></Relationships>
</file>

<file path=word/_rels/header2.xml.rels><?xml version="1.0" encoding="UTF-8" standalone="yes"?><Relationships xmlns="http://schemas.openxmlformats.org/package/2006/relationships"><Relationship Id="rId1" Type="http://schemas.openxmlformats.org/officeDocument/2006/relationships/image" Target="media/image1.png"/></Relationships>
</file>

<file path=word/theme/theme1.xml><?xml version="1.0" encoding="utf-8"?>
<a:theme xmlns:a="http://schemas.openxmlformats.org/drawingml/2006/main" xmlns:r="http://schemas.openxmlformats.org/officeDocument/2006/relationships" xmlns:p="http://schemas.openxmlformats.org/presentationml/2006/main" name="Office">
  <a:themeElements>
    <a:clrScheme name="">
      <a:dk1>
        <a:srgbClr val="000000"/>
      </a:dk1>
      <a:lt1>
        <a:srgbClr val="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
      <a:majorFont>
        <a:latin typeface="Arial"/>
        <a:ea typeface="Arial"/>
        <a:cs typeface="Arial"/>
      </a:majorFont>
      <a:minorFont>
        <a:latin typeface="Arial"/>
        <a:ea typeface="Arial"/>
        <a:cs typeface="Arial"/>
      </a:minorFont>
    </a:fontScheme>
    <a:fmtScheme name="">
      <a:fillStyleLst>
        <a:solidFill>
          <a:schemeClr val="phClr"/>
        </a:solidFill>
        <a:solidFill>
          <a:srgbClr val="FFFFFF"/>
        </a:solidFill>
        <a:solidFill>
          <a:srgbClr val="FFFFFF"/>
        </a:solidFill>
      </a:fillStyleLst>
      <a:lnStyleLst>
        <a:ln w="9525">
          <a:solidFill>
            <a:schemeClr val="phClr">
              <a:shade val="95000"/>
              <a:satMod val="105000"/>
            </a:schemeClr>
          </a:solidFill>
        </a:ln>
        <a:ln w="25400">
          <a:solidFill>
            <a:schemeClr val="phClr"/>
          </a:solidFill>
        </a:ln>
        <a:ln w="38100">
          <a:solidFill>
            <a:schemeClr val="phClr"/>
          </a:solidFill>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effectStyle>
      </a:effectStyleLst>
      <a:bgFillStyleLst>
        <a:solidFill>
          <a:schemeClr val="phClr"/>
        </a:solidFill>
        <a:solidFill>
          <a:srgbClr val="000000"/>
        </a:solidFill>
        <a:solidFill>
          <a:srgbClr val="000000"/>
        </a:solidFill>
      </a:bgFillStyleLst>
    </a:fmtScheme>
  </a:themeElements>
  <a:objectDefaults/>
</a:theme>
</file>

<file path=customXml/_rels/item1.xml.rels><?xml version="1.0" encoding="UTF-8" standalone="yes"?><Relationships xmlns="http://schemas.openxmlformats.org/package/2006/relationships"><Relationship Id="rId1" Type="http://schemas.openxmlformats.org/officeDocument/2006/relationships/customXmlProps" Target="itemProps1.xml" /></Relationships>
</file>

<file path=customXml/_rels/item2.xml.rels><?xml version="1.0" encoding="UTF-8" standalone="yes"?><Relationships xmlns="http://schemas.openxmlformats.org/package/2006/relationships"><Relationship Id="rId1" Type="http://schemas.openxmlformats.org/officeDocument/2006/relationships/customXmlProps" Target="itemProps2.xml" /></Relationships>
</file>

<file path=customXml/item1.xml><?xml version="1.0" encoding="utf-8"?>
<contractReview xmlns="http://schemas.wps.cn/vas-ai-hub/contract-review">
  <reviewItems>
    <reviewItem>
      <errorID>0603b3a5-dd54-4c0e-9942-4158868a5ee7</errorID>
      <errorWord>法律、法规</errorWord>
      <group>L1_Word</group>
      <groupName>字词问题</groupName>
      <ability>L2_Typo</ability>
      <abilityName>字词错误</abilityName>
      <candidateList>
        <item>法律法规</item>
      </candidateList>
      <explain/>
      <paraID>239CF92D</paraID>
      <start>3</start>
      <end>8</end>
      <status>unmodified</status>
      <modifiedWord/>
      <trackRevisions>false</trackRevisions>
    </reviewItem>
    <reviewItem>
      <errorID>22ecdbc3-6771-46a5-bd19-51a0dc52c4ef</errorID>
      <errorWord>1、</errorWord>
      <group>L1_Format</group>
      <groupName>格式问题</groupName>
      <ability>L2_Ordinal</ability>
      <abilityName>序号格式</abilityName>
      <candidateList>
        <item>1.</item>
      </candidateList>
      <explain>当前序号格式不规范，建议修改为规范格式[1.]。</explain>
      <paraID> BE2BED8</paraID>
      <start>0</start>
      <end>2</end>
      <status>unmodified</status>
      <modifiedWord/>
      <trackRevisions>false</trackRevisions>
    </reviewItem>
    <reviewItem>
      <errorID>0a415e54-647a-42e6-bc20-03a7568cc481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36B0BC9</paraID>
      <start>0</start>
      <end>2</end>
      <status>unmodified</status>
      <modifiedWord/>
      <trackRevisions>false</trackRevisions>
    </reviewItem>
    <reviewItem>
      <errorID>64c2ff73-7bd0-41dc-be68-d67af15b1b0b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160B3C16</paraID>
      <start>0</start>
      <end>2</end>
      <status>unmodified</status>
      <modifiedWord/>
      <trackRevisions>false</trackRevisions>
    </reviewItem>
    <reviewItem>
      <errorID>fa5be57f-1f9e-44fd-a80d-f0d15c77b0bf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4AB92BD0</paraID>
      <start>0</start>
      <end>2</end>
      <status>unmodified</status>
      <modifiedWord/>
      <trackRevisions>false</trackRevisions>
    </reviewItem>
    <reviewItem>
      <errorID>687c5d42-9170-4928-86b1-d9d779ff3f11</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3A11888B</paraID>
      <start>0</start>
      <end>2</end>
      <status>unmodified</status>
      <modifiedWord/>
      <trackRevisions>false</trackRevisions>
    </reviewItem>
    <reviewItem>
      <errorID>6bb45371-52a0-4a53-b0e1-726ade476947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184D3E02</paraID>
      <start>0</start>
      <end>2</end>
      <status>unmodified</status>
      <modifiedWord/>
      <trackRevisions>false</trackRevisions>
    </reviewItem>
    <reviewItem>
      <errorID>b8a6b1f0-cf3e-4729-9dec-b3714eae6565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9D024FD</paraID>
      <start>0</start>
      <end>2</end>
      <status>unmodified</status>
      <modifiedWord/>
      <trackRevisions>false</trackRevisions>
    </reviewItem>
    <reviewItem>
      <errorID>bc53a146-095b-44cb-92d9-ad582afc8494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6E5DEB0E</paraID>
      <start>0</start>
      <end>2</end>
      <status>unmodified</status>
      <modifiedWord/>
      <trackRevisions>false</trackRevisions>
    </reviewItem>
    <reviewItem>
      <errorID>5441fb46-5539-4538-b52f-5a5937c64342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22E624C7</paraID>
      <start>0</start>
      <end>2</end>
      <status>unmodified</status>
      <modifiedWord/>
      <trackRevisions>false</trackRevisions>
    </reviewItem>
    <reviewItem>
      <errorID>461ab14d-afe8-4390-92b0-86ddca8b333f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4E324A3C</paraID>
      <start>0</start>
      <end>2</end>
      <status>unmodified</status>
      <modifiedWord/>
      <trackRevisions>false</trackRevisions>
    </reviewItem>
    <reviewItem>
      <errorID>d4f01ba0-e216-4712-95f7-77fe331fb287</errorID>
      <errorWord>上午00:00</errorWord>
      <group>L1_Knowledge</group>
      <groupName>知识性问题</groupName>
      <ability>L2_Time</ability>
      <abilityName>日期时间</abilityName>
      <candidateList/>
      <explain>时间与前缀不匹配，可能的时间前缀有“下午、晚上、凌晨、午夜”。</explain>
      <paraID>4E324A3C</paraID>
      <start>25</start>
      <end>32</end>
      <status>unmodified</status>
      <modifiedWord/>
      <trackRevisions>false</trackRevisions>
    </reviewItem>
    <reviewItem>
      <errorID>9e2f8916-3f96-4635-9093-ae1929656766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121472C</paraID>
      <start>0</start>
      <end>2</end>
      <status>unmodified</status>
      <modifiedWord/>
      <trackRevisions>false</trackRevisions>
    </reviewItem>
    <reviewItem>
      <errorID>41ba51b7-48ca-4147-811d-218188d854a4</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1CBAA28C</paraID>
      <start>0</start>
      <end>2</end>
      <status>unmodified</status>
      <modifiedWord/>
      <trackRevisions>false</trackRevisions>
    </reviewItem>
    <reviewItem>
      <errorID>47cb7350-ac68-421a-982c-ffd1ad61d1ff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382EC7A</paraID>
      <start>0</start>
      <end>2</end>
      <status>unmodified</status>
      <modifiedWord/>
      <trackRevisions>false</trackRevisions>
    </reviewItem>
    <reviewItem>
      <errorID>72af4bf3-a903-4dd8-9b61-d80b47574c46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58D617CC</paraID>
      <start>0</start>
      <end>2</end>
      <status>unmodified</status>
      <modifiedWord/>
      <trackRevisions>false</trackRevisions>
    </reviewItem>
    <reviewItem>
      <errorID>4baf9f1c-7467-41e1-9f28-39464de03cb2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4B801D95</paraID>
      <start>0</start>
      <end>2</end>
      <status>unmodified</status>
      <modifiedWord/>
      <trackRevisions>false</trackRevisions>
    </reviewItem>
    <reviewItem>
      <errorID>de4f3132-21f8-4ce2-9418-b0c6418d8e4c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3DCB9874</paraID>
      <start>0</start>
      <end>2</end>
      <status>unmodified</status>
      <modifiedWord/>
      <trackRevisions>false</trackRevisions>
    </reviewItem>
    <reviewItem>
      <errorID>78639026-de6e-4f37-af1c-a0d85ce88e8d</errorID>
      <errorWord>“.</errorWord>
      <group>L1_Punc</group>
      <groupName>标点问题</groupName>
      <ability>L2_Punc</ability>
      <abilityName>标点符号检查</abilityName>
      <candidateList>
        <item>“</item>
      </candidateList>
      <explain/>
      <paraID>6B94E041</paraID>
      <start>64</start>
      <end>66</end>
      <status>unmodified</status>
      <modifiedWord/>
      <trackRevisions>false</trackRevisions>
    </reviewItem>
    <reviewItem>
      <errorID>c942dfa8-5bad-437d-b751-ad04c98c2d34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12AF8827</paraID>
      <start>0</start>
      <end>2</end>
      <status>unmodified</status>
      <modifiedWord/>
      <trackRevisions>false</trackRevisions>
    </reviewItem>
    <reviewItem>
      <errorID>83159dbd-91c2-4e93-bb00-07dc72d78882</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72B63C87</paraID>
      <start>0</start>
      <end>2</end>
      <status>unmodified</status>
      <modifiedWord/>
      <trackRevisions>false</trackRevisions>
    </reviewItem>
    <reviewItem>
      <errorID>3a35a552-d259-410f-ab48-7633e194359a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6BB5CD9C</paraID>
      <start>0</start>
      <end>2</end>
      <status>unmodified</status>
      <modifiedWord/>
      <trackRevisions>false</trackRevisions>
    </reviewItem>
    <reviewItem>
      <errorID>b73b2356-af5c-4cdf-92c0-e256dce6c540</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 43554A3</paraID>
      <start>3</start>
      <end>7</end>
      <status>unmodified</status>
      <modifiedWord/>
      <trackRevisions>false</trackRevisions>
    </reviewItem>
    <reviewItem>
      <errorID>b9f91a14-a3c2-46b4-8443-d9bc10cffec3</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2F2E6B6E</paraID>
      <start>52</start>
      <end>56</end>
      <status>unmodified</status>
      <modifiedWord/>
      <trackRevisions>false</trackRevisions>
    </reviewItem>
    <reviewItem>
      <errorID>5e5c8a0c-355b-420c-9bb0-667f4a1fc54a</errorID>
      <errorWord>勘察现场</errorWord>
      <group>L1_Word</group>
      <groupName>字词问题</groupName>
      <ability>L2_Alias</ability>
      <abilityName>也作/曾用词</abilityName>
      <candidateList>
        <item>勘查现场</item>
      </candidateList>
      <explain>词汇[勘察现场]为不规范表述或旧称，其规范书面表述为[勘查现场]。</explain>
      <paraID>5B7ADAC4</paraID>
      <start>62</start>
      <end>66</end>
      <status>unmodified</status>
      <modifiedWord/>
      <trackRevisions>false</trackRevisions>
    </reviewItem>
    <reviewItem>
      <errorID>ecb65541-8ba3-4f78-9b68-94c5cb2a6de1</errorID>
      <errorWord>须</errorWord>
      <group>L1_Word</group>
      <groupName>字词问题</groupName>
      <ability>L2_Typo</ability>
      <abilityName>字词错误</abilityName>
      <candidateList>
        <item>需</item>
      </candidateList>
      <explain>存在发音相同字词的误用。</explain>
      <paraID>194389DA</paraID>
      <start>13</start>
      <end>14</end>
      <status>unmodified</status>
      <modifiedWord/>
      <trackRevisions>false</trackRevisions>
    </reviewItem>
    <reviewItem>
      <errorID>ed3a5c3a-d3ee-4e66-901f-160c9da1ba7f</errorID>
      <errorWord>“.</errorWord>
      <group>L1_Punc</group>
      <groupName>标点问题</groupName>
      <ability>L2_Punc</ability>
      <abilityName>标点符号检查</abilityName>
      <candidateList>
        <item>“</item>
      </candidateList>
      <explain/>
      <paraID>55F9EC90</paraID>
      <start>52</start>
      <end>54</end>
      <status>unmodified</status>
      <modifiedWord/>
      <trackRevisions>false</trackRevisions>
    </reviewItem>
    <reviewItem>
      <errorID>8a3b5f6d-33a7-47ec-a8de-5cafb69ba438</errorID>
      <errorWord>通讯畅通</errorWord>
      <group>L1_Word</group>
      <groupName>字词问题</groupName>
      <ability>L2_Typo</ability>
      <abilityName>字词错误</abilityName>
      <candidateList>
        <item>通信畅通</item>
      </candidateList>
      <explain/>
      <paraID>1B0777F2</paraID>
      <start>102</start>
      <end>106</end>
      <status>unmodified</status>
      <modifiedWord/>
      <trackRevisions>false</trackRevisions>
    </reviewItem>
    <reviewItem>
      <errorID>c4b7f7dd-ab3a-4800-8df4-8ff79c13fa59</errorID>
      <errorWord>18、</errorWord>
      <group>L1_Format</group>
      <groupName>格式问题</groupName>
      <ability>L2_Ordinal</ability>
      <abilityName>序号格式</abilityName>
      <candidateList>
        <item>18.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42865002</paraID>
      <start>0</start>
      <end>3</end>
      <status>unmodified</status>
      <modifiedWord/>
      <trackRevisions>false</trackRevisions>
    </reviewItem>
    <reviewItem>
      <errorID>25555563-8db0-4d72-b1d8-dbc678913cf4</errorID>
      <errorWord>&lt;</errorWord>
      <group>L1_Format</group>
      <groupName>格式问题</groupName>
      <ability>L2_HalfPunc</ability>
      <abilityName>全半角检查</abilityName>
      <candidateList>
        <item>〈</item>
      </candidateList>
      <explain>文本全半角错误。</explain>
      <paraID>207D70C8</paraID>
      <start>38</start>
      <end>39</end>
      <status>unmodified</status>
      <modifiedWord/>
      <trackRevisions>false</trackRevisions>
    </reviewItem>
    <reviewItem>
      <errorID>cfe5c018-9351-4157-8157-2bf6a988cece</errorID>
      <errorWord>&lt;</errorWord>
      <group>L1_Format</group>
      <groupName>格式问题</groupName>
      <ability>L2_HalfPunc</ability>
      <abilityName>全半角检查</abilityName>
      <candidateList>
        <item>〈</item>
      </candidateList>
      <explain>文本全半角错误。</explain>
      <paraID>3E55F46B</paraID>
      <start>38</start>
      <end>39</end>
      <status>unmodified</status>
      <modifiedWord/>
      <trackRevisions>false</trackRevisions>
    </reviewItem>
    <reviewItem>
      <errorID>a1041ca2-3fa8-479b-b4ee-4fc8fa140fea</errorID>
      <errorWord>&lt;</errorWord>
      <group>L1_Format</group>
      <groupName>格式问题</groupName>
      <ability>L2_HalfPunc</ability>
      <abilityName>全半角检查</abilityName>
      <candidateList>
        <item>〈</item>
      </candidateList>
      <explain>文本全半角错误。</explain>
      <paraID>3CC0589E</paraID>
      <start>27</start>
      <end>28</end>
      <status>unmodified</status>
      <modifiedWord/>
      <trackRevisions>false</trackRevisions>
    </reviewItem>
    <reviewItem>
      <errorID>79fd79bc-11d9-4fa9-8575-7e87226a1f16</errorID>
      <errorWord>法律、法规</errorWord>
      <group>L1_Word</group>
      <groupName>字词问题</groupName>
      <ability>L2_Typo</ability>
      <abilityName>字词错误</abilityName>
      <candidateList>
        <item>法律法规</item>
      </candidateList>
      <explain/>
      <paraID>171ECFC0</paraID>
      <start>6</start>
      <end>11</end>
      <status>unmodified</status>
      <modifiedWord/>
      <trackRevisions>false</trackRevisions>
    </reviewItem>
    <reviewItem>
      <errorID>69bc69d9-5b97-4302-b7f7-6a75d9cf828a</errorID>
      <errorWord>》</errorWord>
      <group>L1_Word</group>
      <groupName>字词问题</groupName>
      <ability>L2_Typo</ability>
      <abilityName>字词错误</abilityName>
      <candidateList>
        <item>》和</item>
      </candidateList>
      <explain/>
      <paraID>52014CB1</paraID>
      <start>133</start>
      <end>134</end>
      <status>unmodified</status>
      <modifiedWord/>
      <trackRevisions>false</trackRevisions>
    </reviewItem>
    <reviewItem>
      <errorID>76f94d48-4ad8-4fc4-a131-9259defd95ff</errorID>
      <errorWord>和</errorWord>
      <group>L1_Word</group>
      <groupName>字词问题</groupName>
      <ability>L2_Typo</ability>
      <abilityName>字词错误</abilityName>
      <candidateList>
        <item>和加</item>
      </candidateList>
      <explain/>
      <paraID>52014CB1</paraID>
      <start>230</start>
      <end>231</end>
      <status>unmodified</status>
      <modifiedWord/>
      <trackRevisions>false</trackRevisions>
    </reviewItem>
    <reviewItem>
      <errorID>49c3372b-0dd1-4171-9320-098dbb94030a</errorID>
      <errorWord>供应商则</errorWord>
      <group>L1_Word</group>
      <groupName>字词问题</groupName>
      <ability>L2_Typo</ability>
      <abilityName>字词错误</abilityName>
      <candidateList>
        <item>供应商</item>
      </candidateList>
      <explain/>
      <paraID>1BE395CB</paraID>
      <start>12</start>
      <end>16</end>
      <status>unmodified</status>
      <modifiedWord/>
      <trackRevisions>false</trackRevisions>
    </reviewItem>
    <reviewItem>
      <errorID>870bcc89-403f-4f5c-891b-f993c1cd207d</errorID>
      <errorWord>。】</errorWord>
      <group>L1_Punc</group>
      <groupName>标点问题</groupName>
      <ability>L2_Punc</ability>
      <abilityName>标点符号检查</abilityName>
      <candidateList>
        <item>】</item>
      </candidateList>
      <explain/>
      <paraID>1BE395CB</paraID>
      <start>94</start>
      <end>96</end>
      <status>unmodified</status>
      <modifiedWord/>
      <trackRevisions>false</trackRevisions>
    </reviewItem>
    <reviewItem>
      <errorID>688edde7-381a-4ee2-b1b3-df8f52d3691e</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22E7CB15</paraID>
      <start>0</start>
      <end>2</end>
      <status>unmodified</status>
      <modifiedWord/>
      <trackRevisions>false</trackRevisions>
    </reviewItem>
    <reviewItem>
      <errorID>bb437c10-4c60-4414-a97c-9b007b9ade06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43F0C47F</paraID>
      <start>1</start>
      <end>3</end>
      <status>unmodified</status>
      <modifiedWord/>
      <trackRevisions>false</trackRevisions>
    </reviewItem>
    <reviewItem>
      <errorID>1e182326-0813-42e4-9d79-8281dfed8794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56A9A58B</paraID>
      <start>0</start>
      <end>2</end>
      <status>unmodified</status>
      <modifiedWord/>
      <trackRevisions>false</trackRevisions>
    </reviewItem>
    <reviewItem>
      <errorID>d477190b-12f2-4e07-91c5-e84c4910508a</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625A3C84</paraID>
      <start>4</start>
      <end>6</end>
      <status>unmodified</status>
      <modifiedWord/>
      <trackRevisions>false</trackRevisions>
    </reviewItem>
    <reviewItem>
      <errorID>923307a0-908a-4527-bc72-98c42917789a</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3E0D5CD2</paraID>
      <start>0</start>
      <end>2</end>
      <status>unmodified</status>
      <modifiedWord/>
      <trackRevisions>false</trackRevisions>
    </reviewItem>
    <reviewItem>
      <errorID>89f54412-8550-48eb-9b43-5b55ca1071d7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654D8CB1</paraID>
      <start>0</start>
      <end>2</end>
      <status>unmodified</status>
      <modifiedWord/>
      <trackRevisions>false</trackRevisions>
    </reviewItem>
    <reviewItem>
      <errorID>0f50a393-fde7-45e8-b388-d47a68728b0f</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25804CBE</paraID>
      <start>0</start>
      <end>2</end>
      <status>unmodified</status>
      <modifiedWord/>
      <trackRevisions>false</trackRevisions>
    </reviewItem>
    <reviewItem>
      <errorID>1c1a3608-6801-46cd-9c73-4962f9ca4d3d</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865DDAB</paraID>
      <start>0</start>
      <end>2</end>
      <status>unmodified</status>
      <modifiedWord/>
      <trackRevisions>false</trackRevisions>
    </reviewItem>
    <reviewItem>
      <errorID>7762a52b-9411-4353-85cd-a986b2ceb53b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1044E17</paraID>
      <start>0</start>
      <end>2</end>
      <status>unmodified</status>
      <modifiedWord/>
      <trackRevisions>false</trackRevisions>
    </reviewItem>
    <reviewItem>
      <errorID>12727c43-47a1-432d-8e9e-b720a8aff8c5</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1AC0A392</paraID>
      <start>0</start>
      <end>2</end>
      <status>unmodified</status>
      <modifiedWord/>
      <trackRevisions>false</trackRevisions>
    </reviewItem>
    <reviewItem>
      <errorID>bd03aecc-22bb-43ba-bf9b-bd294c8cadfd</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1106B75E</paraID>
      <start>0</start>
      <end>2</end>
      <status>unmodified</status>
      <modifiedWord/>
      <trackRevisions>false</trackRevisions>
    </reviewItem>
    <reviewItem>
      <errorID>0872e90d-eb59-44e2-897f-7ef46b32a7be</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680C529B</paraID>
      <start>0</start>
      <end>3</end>
      <status>unmodified</status>
      <modifiedWord/>
      <trackRevisions>false</trackRevisions>
    </reviewItem>
    <reviewItem>
      <errorID>dbe4d412-3033-4f32-bf88-1e8a1dfe9eac</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60A1E168</paraID>
      <start>0</start>
      <end>3</end>
      <status>unmodified</status>
      <modifiedWord/>
      <trackRevisions>false</trackRevisions>
    </reviewItem>
    <reviewItem>
      <errorID>fceb3a7a-084e-4b02-a641-9cbb2497ea6c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343E1D9F</paraID>
      <start>0</start>
      <end>2</end>
      <status>unmodified</status>
      <modifiedWord/>
      <trackRevisions>false</trackRevisions>
    </reviewItem>
    <reviewItem>
      <errorID>4db4a6a4-63a0-4d61-8cf0-aeb393283ff0</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7A90F880</paraID>
      <start>0</start>
      <end>2</end>
      <status>unmodified</status>
      <modifiedWord/>
      <trackRevisions>false</trackRevisions>
    </reviewItem>
    <reviewItem>
      <errorID>d5ece542-1236-4645-bc6e-03685ef03ba5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3EA6FA5B</paraID>
      <start>0</start>
      <end>2</end>
      <status>unmodified</status>
      <modifiedWord/>
      <trackRevisions>false</trackRevisions>
    </reviewItem>
    <reviewItem>
      <errorID>c10eb139-5b5a-4c44-8101-cb0183d842f2</errorID>
      <errorWord>格</errorWord>
      <group>L1_Word</group>
      <groupName>字词问题</groupName>
      <ability>L2_Typo</ability>
      <abilityName>字词错误</abilityName>
      <candidateList>
        <item>格由</item>
      </candidateList>
      <explain/>
      <paraID>1D530EF2</paraID>
      <start>46</start>
      <end>47</end>
      <status>unmodified</status>
      <modifiedWord/>
      <trackRevisions>false</trackRevisions>
    </reviewItem>
    <reviewItem>
      <errorID>d4ed4a5e-402c-4abe-b624-3da0eb230472</errorID>
      <errorWord>，</errorWord>
      <group>L1_Word</group>
      <groupName>字词问题</groupName>
      <ability>L2_Typo</ability>
      <abilityName>字词错误</abilityName>
      <candidateList>
        <item>，并</item>
      </candidateList>
      <explain/>
      <paraID>7D3B277D</paraID>
      <start>177</start>
      <end>178</end>
      <status>unmodified</status>
      <modifiedWord/>
      <trackRevisions>false</trackRevisions>
    </reviewItem>
    <reviewItem>
      <errorID>cd637328-11c2-4906-aab3-ce58b7230e73</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1E05AD63</paraID>
      <start>0</start>
      <end>2</end>
      <status>unmodified</status>
      <modifiedWord/>
      <trackRevisions>false</trackRevisions>
    </reviewItem>
    <reviewItem>
      <errorID>51f8b7d5-2041-4bda-ab3c-73e56203b8fc</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529624B3</paraID>
      <start>1</start>
      <end>3</end>
      <status>unmodified</status>
      <modifiedWord/>
      <trackRevisions>false</trackRevisions>
    </reviewItem>
    <reviewItem>
      <errorID>58f092c9-3637-45c0-b453-a7c817dccdd0</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7AE4CCD1</paraID>
      <start>1</start>
      <end>3</end>
      <status>unmodified</status>
      <modifiedWord/>
      <trackRevisions>false</trackRevisions>
    </reviewItem>
    <reviewItem>
      <errorID>ad996059-3fe5-4a52-a404-3f15f4b6e8bf</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4A3B39AD</paraID>
      <start>1</start>
      <end>3</end>
      <status>unmodified</status>
      <modifiedWord/>
      <trackRevisions>false</trackRevisions>
    </reviewItem>
    <reviewItem>
      <errorID>e9036184-0a2e-4d2f-802d-36a42ce2fe0f</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1A85855A</paraID>
      <start>0</start>
      <end>2</end>
      <status>unmodified</status>
      <modifiedWord/>
      <trackRevisions>false</trackRevisions>
    </reviewItem>
    <reviewItem>
      <errorID>32925673-7e6d-41b2-b2b9-2c5e395e4277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6C3C3C90</paraID>
      <start>0</start>
      <end>2</end>
      <status>unmodified</status>
      <modifiedWord/>
      <trackRevisions>false</trackRevisions>
    </reviewItem>
    <reviewItem>
      <errorID>ac8cdf35-7d01-4063-aed3-9749246b99af</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3D2288FF</paraID>
      <start>0</start>
      <end>2</end>
      <status>unmodified</status>
      <modifiedWord/>
      <trackRevisions>false</trackRevisions>
    </reviewItem>
    <reviewItem>
      <errorID>c01823d2-79a9-41a8-b9f2-2433bda258f3</errorID>
      <errorWord>9、</errorWord>
      <group>L1_Format</group>
      <groupName>格式问题</groupName>
      <ability>L2_Ordinal</ability>
      <abilityName>序号格式</abilityName>
      <candidateList>
        <item>9.</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7B5CCD54</paraID>
      <start>1</start>
      <end>3</end>
      <status>unmodified</status>
      <modifiedWord/>
      <trackRevisions>false</trackRevisions>
    </reviewItem>
    <reviewItem>
      <errorID>be7dc9f7-2277-430e-9a4f-d0870d022c70</errorID>
      <errorWord>10、</errorWord>
      <group>L1_Format</group>
      <groupName>格式问题</groupName>
      <ability>L2_Ordinal</ability>
      <abilityName>序号格式</abilityName>
      <candidateList>
        <item>10.</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21B953EC</paraID>
      <start>0</start>
      <end>3</end>
      <status>unmodified</status>
      <modifiedWord/>
      <trackRevisions>false</trackRevisions>
    </reviewItem>
    <reviewItem>
      <errorID>7a57b9a2-da6b-4362-ae67-36935ac6eb60</errorID>
      <errorWord>11、</errorWord>
      <group>L1_Format</group>
      <groupName>格式问题</groupName>
      <ability>L2_Ordinal</ability>
      <abilityName>序号格式</abilityName>
      <candidateList>
        <item>11.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1BF1F6AC</paraID>
      <start>0</start>
      <end>3</end>
      <status>unmodified</status>
      <modifiedWord/>
      <trackRevisions>false</trackRevisions>
    </reviewItem>
    <reviewItem>
      <errorID>477ab711-7018-4d81-a124-d87465703c36</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499DA82B</paraID>
      <start>0</start>
      <end>2</end>
      <status>unmodified</status>
      <modifiedWord/>
      <trackRevisions>false</trackRevisions>
    </reviewItem>
    <reviewItem>
      <errorID>85ae5c50-b2f7-4ac2-8235-1eec9a7ad034</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7E532537</paraID>
      <start>0</start>
      <end>2</end>
      <status>unmodified</status>
      <modifiedWord/>
      <trackRevisions>false</trackRevisions>
    </reviewItem>
    <reviewItem>
      <errorID>9031787c-d467-4bfe-a45f-c9af0414751c</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7CB74006</paraID>
      <start>0</start>
      <end>2</end>
      <status>unmodified</status>
      <modifiedWord/>
      <trackRevisions>false</trackRevisions>
    </reviewItem>
    <reviewItem>
      <errorID>a10b9ce3-b35d-4008-b60d-98b6e5ef147f</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14C64A28</paraID>
      <start>0</start>
      <end>2</end>
      <status>unmodified</status>
      <modifiedWord/>
      <trackRevisions>false</trackRevisions>
    </reviewItem>
    <reviewItem>
      <errorID>35d481f6-f4ee-4fc1-9948-8ca2ee1f0114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353EA345</paraID>
      <start>0</start>
      <end>2</end>
      <status>unmodified</status>
      <modifiedWord/>
      <trackRevisions>false</trackRevisions>
    </reviewItem>
    <reviewItem>
      <errorID>f6be28ac-c22f-4f9e-91ad-319cb666bac6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25C44869</paraID>
      <start>0</start>
      <end>2</end>
      <status>unmodified</status>
      <modifiedWord/>
      <trackRevisions>false</trackRevisions>
    </reviewItem>
    <reviewItem>
      <errorID>6f7a9d3c-c83d-4974-bd2d-1f77541630eb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18B608CC</paraID>
      <start>0</start>
      <end>2</end>
      <status>unmodified</status>
      <modifiedWord/>
      <trackRevisions>false</trackRevisions>
    </reviewItem>
    <reviewItem>
      <errorID>bd213dd2-76f3-4744-a8e5-d5e1fa9b20d6</errorID>
      <errorWord>卫生部</errorWord>
      <group>L1_Knowledge</group>
      <groupName>知识性问题</groupName>
      <ability>L2_Organization</ability>
      <abilityName>机构检查</abilityName>
      <candidateList/>
      <explain>2013年3月，根据《国务院关于提请审议国务院机构改革和职能转变方案》的议案，组建国家卫生和计划生育委员会，不再保留卫生部。2018年3月，中共中央印发了《深化党和国家机构改革方案》，组建国家卫生健康委员会，不再保留国家卫生和计划生育委员会。</explain>
      <paraID>18B608CC</paraID>
      <start>132</start>
      <end>135</end>
      <status>unmodified</status>
      <modifiedWord/>
      <trackRevisions>false</trackRevisions>
    </reviewItem>
    <reviewItem>
      <errorID>57743255-e53f-4a45-bf53-8b2e9f9b5b23</errorID>
      <errorWord>分检</errorWord>
      <group>L1_Word</group>
      <groupName>字词问题</groupName>
      <ability>L2_Typo</ability>
      <abilityName>字词错误</abilityName>
      <candidateList>
        <item>分拣</item>
      </candidateList>
      <explain/>
      <paraID>18B608CC</paraID>
      <start>201</start>
      <end>203</end>
      <status>unmodified</status>
      <modifiedWord/>
      <trackRevisions>false</trackRevisions>
    </reviewItem>
    <reviewItem>
      <errorID>53247d52-e48a-4a16-ba34-b97b578ecda5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1A813AA9</paraID>
      <start>0</start>
      <end>2</end>
      <status>unmodified</status>
      <modifiedWord/>
      <trackRevisions>false</trackRevisions>
    </reviewItem>
    <reviewItem>
      <errorID>c3bfb78b-ec87-43e1-9e40-7174f175ee85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436AE6F3</paraID>
      <start>0</start>
      <end>2</end>
      <status>unmodified</status>
      <modifiedWord/>
      <trackRevisions>false</trackRevisions>
    </reviewItem>
    <reviewItem>
      <errorID>50c1ad4e-f3a6-4795-9e0e-d4b7f7a28cd1</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17DB620A</paraID>
      <start>0</start>
      <end>2</end>
      <status>unmodified</status>
      <modifiedWord/>
      <trackRevisions>false</trackRevisions>
    </reviewItem>
    <reviewItem>
      <errorID>16d5643f-b4f4-4152-8681-b87d3fa911cf</errorID>
      <errorWord>钮扣</errorWord>
      <group>L1_Word</group>
      <groupName>字词问题</groupName>
      <ability>L2_Typo</ability>
      <abilityName>字词错误</abilityName>
      <candidateList>
        <item>纽扣</item>
      </candidateList>
      <explain>（～儿）〈名〉可以把衣服等扣起来的小形球状物或片状物。</explain>
      <paraID>17DB620A</paraID>
      <start>46</start>
      <end>48</end>
      <status>unmodified</status>
      <modifiedWord/>
      <trackRevisions>false</trackRevisions>
    </reviewItem>
    <reviewItem>
      <errorID>d5cb2772-7468-4533-8571-d8a74608935b</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53A09469</paraID>
      <start>0</start>
      <end>2</end>
      <status>unmodified</status>
      <modifiedWord/>
      <trackRevisions>false</trackRevisions>
    </reviewItem>
    <reviewItem>
      <errorID>cb487ab0-bc32-449d-9383-ef64333749c7</errorID>
      <errorWord>由</errorWord>
      <group>L1_Word</group>
      <groupName>字词问题</groupName>
      <ability>L2_Typo</ability>
      <abilityName>字词错误</abilityName>
      <candidateList>
        <item>由于</item>
      </candidateList>
      <explain>❶〈介〉表示原因或理由：～老师傅的耐心教导，他很快就掌握了这门技术。❷〈连〉表示原因，多与“所以”、“因此”等配合：～他工作成绩显著，因此受到了领导的表扬。</explain>
      <paraID>53A09469</paraID>
      <start>3</start>
      <end>4</end>
      <status>unmodified</status>
      <modifiedWord/>
      <trackRevisions>false</trackRevisions>
    </reviewItem>
    <reviewItem>
      <errorID>a2151809-5c25-4167-9425-613951e6d310</errorID>
      <errorWord>8、</errorWord>
      <group>L1_Format</group>
      <groupName>格式问题</groupName>
      <ability>L2_Ordinal</ability>
      <abilityName>序号格式</abilityName>
      <candidateList>
        <item>8.</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58250A68</paraID>
      <start>0</start>
      <end>2</end>
      <status>unmodified</status>
      <modifiedWord/>
      <trackRevisions>false</trackRevisions>
    </reviewItem>
    <reviewItem>
      <errorID>9a3798bf-b6b4-41f8-8b24-41d95c678e65</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29C07293</paraID>
      <start>0</start>
      <end>2</end>
      <status>unmodified</status>
      <modifiedWord/>
      <trackRevisions>false</trackRevisions>
    </reviewItem>
    <reviewItem>
      <errorID>4c02a341-ac12-4437-8932-e6dd441870fc</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370B760A</paraID>
      <start>0</start>
      <end>2</end>
      <status>unmodified</status>
      <modifiedWord/>
      <trackRevisions>false</trackRevisions>
    </reviewItem>
    <reviewItem>
      <errorID>459d9fb4-1eb0-476c-802b-edcf0de2adc4</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78C0B9DA</paraID>
      <start>0</start>
      <end>2</end>
      <status>unmodified</status>
      <modifiedWord/>
      <trackRevisions>false</trackRevisions>
    </reviewItem>
    <reviewItem>
      <errorID>010b9b68-3c9d-4435-9294-b92d7d75f0f1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54B0B631</paraID>
      <start>0</start>
      <end>2</end>
      <status>unmodified</status>
      <modifiedWord/>
      <trackRevisions>false</trackRevisions>
    </reviewItem>
    <reviewItem>
      <errorID>d7e827a6-34c4-4c2b-b6fc-0c9c48fc125e</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58BFD3F7</paraID>
      <start>0</start>
      <end>2</end>
      <status>unmodified</status>
      <modifiedWord/>
      <trackRevisions>false</trackRevisions>
    </reviewItem>
    <reviewItem>
      <errorID>7d1f7d32-5345-4e4c-a788-6601e32a569d</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6BA6C764</paraID>
      <start>0</start>
      <end>2</end>
      <status>unmodified</status>
      <modifiedWord/>
      <trackRevisions>false</trackRevisions>
    </reviewItem>
    <reviewItem>
      <errorID>c8e67c6a-0ff2-441c-85cb-08ccdd91de6b</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2154F8E0</paraID>
      <start>0</start>
      <end>2</end>
      <status>unmodified</status>
      <modifiedWord/>
      <trackRevisions>false</trackRevisions>
    </reviewItem>
    <reviewItem>
      <errorID>aa82e045-f8de-4b77-8ac1-dc775ffe9665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52BAD4E0</paraID>
      <start>0</start>
      <end>2</end>
      <status>unmodified</status>
      <modifiedWord/>
      <trackRevisions>false</trackRevisions>
    </reviewItem>
    <reviewItem>
      <errorID>a5e6610b-df18-490b-be01-dd988e21f009</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3E9C961D</paraID>
      <start>0</start>
      <end>2</end>
      <status>unmodified</status>
      <modifiedWord/>
      <trackRevisions>false</trackRevisions>
    </reviewItem>
    <reviewItem>
      <errorID>4ec58c3a-3480-4ead-9c85-a468b3a8e36a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263ACAA8</paraID>
      <start>0</start>
      <end>2</end>
      <status>unmodified</status>
      <modifiedWord/>
      <trackRevisions>false</trackRevisions>
    </reviewItem>
    <reviewItem>
      <errorID>c8b7025f-017c-4fb8-9f47-bdbc541a27c6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1B0EBD7C</paraID>
      <start>0</start>
      <end>2</end>
      <status>unmodified</status>
      <modifiedWord/>
      <trackRevisions>false</trackRevisions>
    </reviewItem>
    <reviewItem>
      <errorID>1355412a-6c2b-4215-98ff-2d416b5b7858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483F8601</paraID>
      <start>0</start>
      <end>2</end>
      <status>unmodified</status>
      <modifiedWord/>
      <trackRevisions>false</trackRevisions>
    </reviewItem>
    <reviewItem>
      <errorID>c661a768-ce18-4e5c-88f2-9ccc97eb07b5</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459F8280</paraID>
      <start>0</start>
      <end>2</end>
      <status>unmodified</status>
      <modifiedWord/>
      <trackRevisions>false</trackRevisions>
    </reviewItem>
    <reviewItem>
      <errorID>11a7d82d-3bad-466f-b561-2897a21d1585</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78F3C550</paraID>
      <start>0</start>
      <end>2</end>
      <status>unmodified</status>
      <modifiedWord/>
      <trackRevisions>false</trackRevisions>
    </reviewItem>
    <reviewItem>
      <errorID>21dd399c-ae94-4527-b3ea-7cc5409d8e79</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1119F48B</paraID>
      <start>0</start>
      <end>2</end>
      <status>unmodified</status>
      <modifiedWord/>
      <trackRevisions>false</trackRevisions>
    </reviewItem>
    <reviewItem>
      <errorID>a6a83d56-10b7-4a9e-90e8-0890837ec315</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576447A4</paraID>
      <start>0</start>
      <end>2</end>
      <status>unmodified</status>
      <modifiedWord/>
      <trackRevisions>false</trackRevisions>
    </reviewItem>
    <reviewItem>
      <errorID>ed1b6ec8-6fed-476c-abba-b11d9c08c408</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4FA459C6</paraID>
      <start>0</start>
      <end>2</end>
      <status>unmodified</status>
      <modifiedWord/>
      <trackRevisions>false</trackRevisions>
    </reviewItem>
    <reviewItem>
      <errorID>df0195a3-db76-4ee6-99ed-936333ba9287</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5AC596E8</paraID>
      <start>0</start>
      <end>2</end>
      <status>unmodified</status>
      <modifiedWord/>
      <trackRevisions>false</trackRevisions>
    </reviewItem>
    <reviewItem>
      <errorID>0e2ea945-b46b-415c-b732-a9e9fb54d77e</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31BFD00A</paraID>
      <start>0</start>
      <end>2</end>
      <status>unmodified</status>
      <modifiedWord/>
      <trackRevisions>false</trackRevisions>
    </reviewItem>
    <reviewItem>
      <errorID>51d091fa-0ce6-4b08-b089-58cfbcff062b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3E363D40</paraID>
      <start>0</start>
      <end>2</end>
      <status>unmodified</status>
      <modifiedWord/>
      <trackRevisions>false</trackRevisions>
    </reviewItem>
    <reviewItem>
      <errorID>8bd720ae-70de-499b-80c6-fc20318cb9e2</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6B1AD3B2</paraID>
      <start>0</start>
      <end>2</end>
      <status>unmodified</status>
      <modifiedWord/>
      <trackRevisions>false</trackRevisions>
    </reviewItem>
    <reviewItem>
      <errorID>37df3063-5a75-4fc0-9374-9b827096838e</errorID>
      <errorWord>第49条</errorWord>
      <group>L1_Knowledge</group>
      <groupName>知识性问题</groupName>
      <ability>L2_Knowledge</ability>
      <abilityName>其他知识</abilityName>
      <candidateList>
        <item>第四十九条</item>
      </candidateList>
      <explain/>
      <paraID>48301ADE</paraID>
      <start>17</start>
      <end>21</end>
      <status>unmodified</status>
      <modifiedWord/>
      <trackRevisions>false</trackRevisions>
    </reviewItem>
    <reviewItem>
      <errorID>c10638d0-966d-4f23-a66b-55ff1e5af2b4</errorID>
      <errorWord>害</errorWord>
      <group>L1_Word</group>
      <groupName>字词问题</groupName>
      <ability>L2_Typo</ability>
      <abilityName>字词错误</abilityName>
      <candidateList>
        <item>害保</item>
      </candidateList>
      <explain/>
      <paraID>40113CBF</paraID>
      <start>61</start>
      <end>62</end>
      <status>unmodified</status>
      <modifiedWord/>
      <trackRevisions>false</trackRevisions>
    </reviewItem>
    <reviewItem>
      <errorID>338530e9-3915-42c6-b467-2280da2998de</errorID>
      <errorWord>法律、法规</errorWord>
      <group>L1_Word</group>
      <groupName>字词问题</groupName>
      <ability>L2_Typo</ability>
      <abilityName>字词错误</abilityName>
      <candidateList>
        <item>法律法规</item>
      </candidateList>
      <explain/>
      <paraID>6C0A0902</paraID>
      <start>48</start>
      <end>53</end>
      <status>unmodified</status>
      <modifiedWord/>
      <trackRevisions>false</trackRevisions>
    </reviewItem>
    <reviewItem>
      <errorID>53c156c4-50ab-4750-949d-70c7421dc838</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4FD2BFA7</paraID>
      <start>0</start>
      <end>2</end>
      <status>unmodified</status>
      <modifiedWord/>
      <trackRevisions>false</trackRevisions>
    </reviewItem>
    <reviewItem>
      <errorID>1bce321a-2402-42ad-83a7-6cab070e9c81</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 763DDFC</paraID>
      <start>0</start>
      <end>2</end>
      <status>unmodified</status>
      <modifiedWord/>
      <trackRevisions>false</trackRevisions>
    </reviewItem>
    <reviewItem>
      <errorID>dc098e17-e170-4d93-9096-6d0c11ca724a</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56E280D4</paraID>
      <start>0</start>
      <end>2</end>
      <status>unmodified</status>
      <modifiedWord/>
      <trackRevisions>false</trackRevisions>
    </reviewItem>
    <reviewItem>
      <errorID>fb37d277-db81-458d-a80f-12487d959a86</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10AD5F9B</paraID>
      <start>0</start>
      <end>2</end>
      <status>unmodified</status>
      <modifiedWord/>
      <trackRevisions>false</trackRevisions>
    </reviewItem>
    <reviewItem>
      <errorID>9a808141-6bff-434f-a54d-5290babffddb</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5AA70042</paraID>
      <start>0</start>
      <end>2</end>
      <status>unmodified</status>
      <modifiedWord/>
      <trackRevisions>false</trackRevisions>
    </reviewItem>
    <reviewItem>
      <errorID>bb3efa59-4c7c-48f4-80db-605aa09b0b97</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7A4F91F4</paraID>
      <start>0</start>
      <end>2</end>
      <status>unmodified</status>
      <modifiedWord/>
      <trackRevisions>false</trackRevisions>
    </reviewItem>
    <reviewItem>
      <errorID>1b84bbca-293e-460b-9a30-f8a63bab09db</errorID>
      <errorWord>5、</errorWord>
      <group>L1_Format</group>
      <groupName>格式问题</groupName>
      <ability>L2_Ordinal</ability>
      <abilityName>序号格式</abilityName>
      <candidateList>
        <item>5.</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5483C92A</paraID>
      <start>0</start>
      <end>2</end>
      <status>unmodified</status>
      <modifiedWord/>
      <trackRevisions>false</trackRevisions>
    </reviewItem>
    <reviewItem>
      <errorID>b7a07b6b-55de-4802-a846-e7f3a4595f68</errorID>
      <errorWord>，</errorWord>
      <group>L1_Word</group>
      <groupName>字词问题</groupName>
      <ability>L2_Typo</ability>
      <abilityName>字词错误</abilityName>
      <candidateList>
        <item>，具</item>
      </candidateList>
      <explain/>
      <paraID>7167A689</paraID>
      <start>20</start>
      <end>21</end>
      <status>unmodified</status>
      <modifiedWord/>
      <trackRevisions>false</trackRevisions>
    </reviewItem>
    <reviewItem>
      <errorID>fcbba90e-f36d-49dc-b0af-81b86db215ec</errorID>
      <errorWord>6、</errorWord>
      <group>L1_Format</group>
      <groupName>格式问题</groupName>
      <ability>L2_Ordinal</ability>
      <abilityName>序号格式</abilityName>
      <candidateList>
        <item>6.</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39BCB3C5</paraID>
      <start>0</start>
      <end>2</end>
      <status>unmodified</status>
      <modifiedWord/>
      <trackRevisions>false</trackRevisions>
    </reviewItem>
    <reviewItem>
      <errorID>d94b77e9-0d2c-4539-ba6f-35ad7a7bdb66</errorID>
      <errorWord>7、</errorWord>
      <group>L1_Format</group>
      <groupName>格式问题</groupName>
      <ability>L2_Ordinal</ability>
      <abilityName>序号格式</abilityName>
      <candidateList>
        <item>7.</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27AB7A7B</paraID>
      <start>0</start>
      <end>2</end>
      <status>unmodified</status>
      <modifiedWord/>
      <trackRevisions>false</trackRevisions>
    </reviewItem>
    <reviewItem>
      <errorID>0caa9ade-e97d-4c86-899c-3aad1db1ed51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5297AA3A</paraID>
      <start>1</start>
      <end>3</end>
      <status>unmodified</status>
      <modifiedWord/>
      <trackRevisions>false</trackRevisions>
    </reviewItem>
    <reviewItem>
      <errorID>627d3457-f7f1-4f6b-b14f-823b59332970</errorID>
      <errorWord>（</errorWord>
      <group>L1_Word</group>
      <groupName>字词问题</groupName>
      <ability>L2_Typo</ability>
      <abilityName>字词错误</abilityName>
      <candidateList>
        <item>（在</item>
      </candidateList>
      <explain/>
      <paraID>5297AA3A</paraID>
      <start>21</start>
      <end>22</end>
      <status>unmodified</status>
      <modifiedWord/>
      <trackRevisions>false</trackRevisions>
    </reviewItem>
    <reviewItem>
      <errorID>28fb93f2-6dde-4b59-9fd3-ddaa3e4ba357</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13DFA272</paraID>
      <start>0</start>
      <end>2</end>
      <status>unmodified</status>
      <modifiedWord/>
      <trackRevisions>false</trackRevisions>
    </reviewItem>
    <reviewItem>
      <errorID>bcf473b6-01cc-41d1-bcd2-d793f7bc82b1</errorID>
      <errorWord>3、</errorWord>
      <group>L1_Format</group>
      <groupName>格式问题</groupName>
      <ability>L2_Ordinal</ability>
      <abilityName>序号格式</abilityName>
      <candidateList>
        <item>3.</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1753551E</paraID>
      <start>0</start>
      <end>2</end>
      <status>unmodified</status>
      <modifiedWord/>
      <trackRevisions>false</trackRevisions>
    </reviewItem>
    <reviewItem>
      <errorID>e007b902-3b37-4020-a3e8-30f6cf49faf6</errorID>
      <errorWord>4、</errorWord>
      <group>L1_Format</group>
      <groupName>格式问题</groupName>
      <ability>L2_Ordinal</ability>
      <abilityName>序号格式</abilityName>
      <candidateList>
        <item>4.</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52F76876</paraID>
      <start>0</start>
      <end>2</end>
      <status>unmodified</status>
      <modifiedWord/>
      <trackRevisions>false</trackRevisions>
    </reviewItem>
    <reviewItem>
      <errorID>114dc1cf-eb1f-4a14-b547-409073bd8311</errorID>
      <errorWord>1、</errorWord>
      <group>L1_Format</group>
      <groupName>格式问题</groupName>
      <ability>L2_Ordinal</ability>
      <abilityName>序号格式</abilityName>
      <candidateList>
        <item>1.</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628B92C8</paraID>
      <start>0</start>
      <end>2</end>
      <status>unmodified</status>
      <modifiedWord/>
      <trackRevisions>false</trackRevisions>
    </reviewItem>
    <reviewItem>
      <errorID>5ffcab6f-c5b8-461f-a06f-701656db63e9</errorID>
      <errorWord>2、</errorWord>
      <group>L1_Format</group>
      <groupName>格式问题</groupName>
      <ability>L2_Ordinal</ability>
      <abilityName>序号格式</abilityName>
      <candidateList>
        <item>2.</item>
      </candidateList>
      <explain>中文书写环境建议使用国标要求书写序次语。根据标点符号用法（GB/T 15834—2011）序次语书写要求，通常第一层是带有顿号的汉字数字，如“一、”；第二层是带括号（全角）的汉字数字，如“（一）”；第三层是带下脚点（半角）的阿拉伯数字，如“1.”；第四层是带括号（全角）的阿拉伯数字，如“（1）”“1）”；其后可以按照书写者意愿输入带圈的阿拉伯数字或大小写拉丁字母，如“①”“ a.”。</explain>
      <paraID>51C1962D</paraID>
      <start>0</start>
      <end>2</end>
      <status>unmodified</status>
      <modifiedWord/>
      <trackRevisions>false</trackRevisions>
    </reviewItem>
  </reviewItems>
  <config/>
</contractReview>
</file>

<file path=customXml/item2.xml><?xml version="1.0" encoding="utf-8"?>
<s:customData xmlns="http://www.wps.cn/officeDocument/2013/wpsCustomData" xmlns:s="http://www.wps.cn/officeDocument/2013/wpsCustomData">
  <customSectProps>
    <customSectPr/>
    <customSectPr/>
    <customSectPr/>
  </customSectProps>
  <customShpExts>
    <customShpInfo spid="_x0000_s1026" textRotate="1"/>
  </customShpExts>
</s:customData>
</file>

<file path=customXml/itemProps1.xml><?xml version="1.0" encoding="utf-8"?>
<ds:datastoreItem xmlns:ds="http://schemas.openxmlformats.org/officeDocument/2006/customXml" ds:itemID="{642C7FD0-1044-409A-9C6E-FBE28E822993}"/>
</file>

<file path=customXml/itemProps2.xml><?xml version="1.0" encoding="utf-8"?>
<ds:datastoreItem xmlns:ds="http://schemas.openxmlformats.org/officeDocument/2006/customXml" ds:itemID="{B1977F7D-205B-4081-913C-38D41E755F92}">
  <ds:schemaRefs>
    <ds:schemaRef ds:uri="http://www.wps.cn/officeDocument/2013/wpsCustomData"/>
  </ds:schemaRefs>
</ds:datastoreItem>
</file>

<file path=docProps/app.xml><?xml version="1.0" encoding="utf-8"?>
<Properties xmlns="http://schemas.openxmlformats.org/officeDocument/2006/extended-properties" xmlns:vt="http://schemas.openxmlformats.org/officeDocument/2006/docPropsVTypes">
  <Application>ONLYOFFICE/7.2.1.34</Application>
  <Company>Len</Company>
  <DocSecurity>0</DocSecurity>
  <LinksUpToDate>false</LinksUpToDate>
  <ScaleCrop>false</ScaleCrop>
  <Template>Nor</Template>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苏州时代招投</dc:creator>
  <cp:lastModifiedBy>储竹秀</cp:lastModifiedBy>
  <cp:revision>29</cp:revision>
  <dcterms:created xsi:type="dcterms:W3CDTF">2023-11-01T00:28:00Z</dcterms:created>
  <dcterms:modified xsi:type="dcterms:W3CDTF">2026-05-20T02:13:32Z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2052-12.1.0.26375</vt:lpwstr>
  </property>
  <property fmtid="{D5CDD505-2E9C-101B-9397-08002B2CF9AE}" pid="3" name="ICV">
    <vt:lpwstr>43A50EB2FFD74C8C8C091455A609FC10_13</vt:lpwstr>
  </property>
  <property fmtid="{D5CDD505-2E9C-101B-9397-08002B2CF9AE}" pid="4" name="KSOTemplateDocerSaveRecord">
    <vt:lpwstr>eyJoZGlkIjoiOTlhNDliM2I1ODI1ZDA2NDllOGVkY2I2ZTkwYjJiZTYiLCJ1c2VySWQiOiIzODU3NzkzMjgifQ==</vt:lpwstr>
  </property>
</Properties>
</file>