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sz w:val="84"/>
          <w:szCs w:val="84"/>
          <w:highlight w:val="none"/>
        </w:rPr>
      </w:pPr>
      <w:r>
        <w:rPr>
          <w:rFonts w:hint="eastAsia" w:ascii="宋体" w:hAnsi="宋体" w:eastAsia="宋体" w:cs="宋体"/>
          <w:b/>
          <w:sz w:val="84"/>
          <w:szCs w:val="84"/>
          <w:highlight w:val="none"/>
        </w:rPr>
        <w:t xml:space="preserve">竞争性磋商文件</w:t>
      </w:r>
      <w:r/>
    </w:p>
    <w:p>
      <w:pPr>
        <w:ind w:firstLine="643"/>
        <w:jc w:val="left"/>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643"/>
        <w:jc w:val="left"/>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jc w:val="left"/>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643"/>
        <w:jc w:val="left"/>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643"/>
        <w:jc w:val="left"/>
        <w:spacing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643"/>
        <w:spacing w:line="360" w:lineRule="auto"/>
        <w:rPr>
          <w:rFonts w:hint="eastAsia" w:ascii="宋体" w:hAnsi="宋体" w:eastAsia="宋体" w:cs="宋体"/>
          <w:b/>
          <w:color w:val="000000"/>
          <w:sz w:val="44"/>
          <w:szCs w:val="21"/>
          <w:highlight w:val="none"/>
          <w:lang w:eastAsia="zh-CN"/>
        </w:rPr>
      </w:pPr>
      <w:r>
        <w:rPr>
          <w:rFonts w:hint="eastAsia" w:ascii="宋体" w:hAnsi="宋体" w:eastAsia="宋体" w:cs="宋体"/>
          <w:b/>
          <w:bCs/>
          <w:color w:val="000000"/>
          <w:sz w:val="32"/>
          <w:szCs w:val="24"/>
          <w:highlight w:val="none"/>
        </w:rPr>
        <w:t xml:space="preserve">项目名称：</w:t>
      </w:r>
      <w:r>
        <w:rPr>
          <w:rFonts w:hint="eastAsia" w:ascii="宋体" w:hAnsi="宋体" w:eastAsia="宋体" w:cs="宋体"/>
          <w:b/>
          <w:bCs/>
          <w:color w:val="000000"/>
          <w:sz w:val="32"/>
          <w:szCs w:val="24"/>
          <w:highlight w:val="none"/>
          <w:lang w:eastAsia="zh-CN"/>
        </w:rPr>
        <w:t xml:space="preserve">2026年徐圩新区特种设备安全第三方技术服务</w:t>
      </w:r>
      <w:r/>
    </w:p>
    <w:p>
      <w:pPr>
        <w:ind w:firstLine="643"/>
        <w:spacing w:line="360" w:lineRule="auto"/>
        <w:rPr>
          <w:rFonts w:hint="eastAsia" w:ascii="宋体" w:hAnsi="宋体" w:eastAsia="宋体" w:cs="宋体"/>
          <w:b/>
          <w:color w:val="000000"/>
          <w:sz w:val="44"/>
          <w:szCs w:val="21"/>
          <w:highlight w:val="none"/>
        </w:rPr>
      </w:pPr>
      <w:r>
        <w:rPr>
          <w:rFonts w:hint="eastAsia" w:ascii="宋体" w:hAnsi="宋体" w:eastAsia="宋体" w:cs="宋体"/>
          <w:b/>
          <w:bCs/>
          <w:sz w:val="32"/>
          <w:szCs w:val="24"/>
          <w:highlight w:val="none"/>
        </w:rPr>
        <w:t xml:space="preserve">项目编号：JSZC-320700-SQYX-C2026-0001</w:t>
      </w:r>
      <w:r/>
    </w:p>
    <w:p>
      <w:pPr>
        <w:ind w:firstLine="883"/>
        <w:jc w:val="center"/>
        <w:spacing w:line="360" w:lineRule="auto"/>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ind w:firstLine="883"/>
        <w:jc w:val="center"/>
        <w:spacing w:line="360" w:lineRule="auto"/>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ind w:firstLine="883"/>
        <w:jc w:val="center"/>
        <w:spacing w:line="360" w:lineRule="auto"/>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ind w:firstLine="883"/>
        <w:jc w:val="center"/>
        <w:spacing w:line="360" w:lineRule="auto"/>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ind w:left="1928" w:hanging="1928"/>
        <w:jc w:val="left"/>
        <w:spacing w:before="120" w:after="120" w:line="36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 xml:space="preserve">采  购  人：</w:t>
      </w:r>
      <w:r>
        <w:rPr>
          <w:rFonts w:hint="eastAsia" w:ascii="宋体" w:hAnsi="宋体" w:eastAsia="宋体" w:cs="宋体"/>
          <w:b/>
          <w:bCs/>
          <w:color w:val="000000"/>
          <w:sz w:val="32"/>
          <w:szCs w:val="24"/>
          <w:highlight w:val="none"/>
          <w:lang w:eastAsia="zh-CN"/>
        </w:rPr>
        <w:t xml:space="preserve">国家东中西区域合作示范区（连云港徐圩新区）市场监督管理局</w:t>
      </w:r>
      <w:r/>
    </w:p>
    <w:p>
      <w:pPr>
        <w:ind w:firstLine="643"/>
        <w:jc w:val="left"/>
        <w:spacing w:before="120" w:after="120" w:line="360" w:lineRule="auto"/>
        <w:rPr>
          <w:highlight w:val="none"/>
        </w:rPr>
      </w:pPr>
      <w:r>
        <w:rPr>
          <w:rFonts w:hint="eastAsia" w:ascii="宋体" w:hAnsi="宋体" w:eastAsia="宋体" w:cs="宋体"/>
          <w:b/>
          <w:bCs/>
          <w:color w:val="000000"/>
          <w:sz w:val="32"/>
          <w:szCs w:val="24"/>
          <w:highlight w:val="none"/>
        </w:rPr>
        <w:t xml:space="preserve">采购代理机构：中阜势起科技（江苏）有限公司</w:t>
      </w:r>
      <w:r/>
    </w:p>
    <w:p>
      <w:pPr>
        <w:ind w:firstLine="643"/>
        <w:jc w:val="center"/>
        <w:spacing w:line="360" w:lineRule="auto"/>
        <w:widowControl/>
        <w:rPr>
          <w:rFonts w:hint="eastAsia" w:ascii="宋体" w:hAnsi="宋体" w:eastAsia="宋体" w:cs="宋体"/>
          <w:highlight w:val="none"/>
        </w:rPr>
      </w:pPr>
      <w:r>
        <w:rPr>
          <w:rFonts w:hint="eastAsia" w:ascii="宋体" w:hAnsi="宋体" w:eastAsia="宋体" w:cs="宋体"/>
          <w:b/>
          <w:bCs/>
          <w:color w:val="000000"/>
          <w:sz w:val="32"/>
          <w:szCs w:val="24"/>
          <w:highlight w:val="none"/>
        </w:rPr>
        <w:t xml:space="preserve">202</w:t>
      </w:r>
      <w:r>
        <w:rPr>
          <w:rFonts w:hint="eastAsia" w:ascii="宋体" w:hAnsi="宋体" w:eastAsia="宋体" w:cs="宋体"/>
          <w:b/>
          <w:bCs/>
          <w:color w:val="000000"/>
          <w:sz w:val="32"/>
          <w:szCs w:val="24"/>
          <w:highlight w:val="none"/>
          <w:lang w:val="en-US" w:eastAsia="zh-CN"/>
        </w:rPr>
        <w:t xml:space="preserve">6</w:t>
      </w:r>
      <w:r>
        <w:rPr>
          <w:rFonts w:hint="eastAsia" w:ascii="宋体" w:hAnsi="宋体" w:eastAsia="宋体" w:cs="宋体"/>
          <w:b/>
          <w:bCs/>
          <w:color w:val="000000"/>
          <w:sz w:val="32"/>
          <w:szCs w:val="24"/>
          <w:highlight w:val="none"/>
        </w:rPr>
        <w:t xml:space="preserve">年</w:t>
      </w:r>
      <w:r>
        <w:rPr>
          <w:rFonts w:hint="eastAsia" w:ascii="宋体" w:hAnsi="宋体" w:eastAsia="宋体" w:cs="宋体"/>
          <w:b/>
          <w:bCs/>
          <w:color w:val="000000"/>
          <w:sz w:val="32"/>
          <w:szCs w:val="24"/>
          <w:highlight w:val="none"/>
          <w:lang w:val="en-US" w:eastAsia="zh-CN"/>
        </w:rPr>
        <w:t xml:space="preserve">6</w:t>
      </w:r>
      <w:r>
        <w:rPr>
          <w:rFonts w:hint="eastAsia" w:ascii="宋体" w:hAnsi="宋体" w:eastAsia="宋体" w:cs="宋体"/>
          <w:b/>
          <w:bCs/>
          <w:color w:val="000000"/>
          <w:sz w:val="32"/>
          <w:szCs w:val="24"/>
          <w:highlight w:val="none"/>
        </w:rPr>
        <w:t xml:space="preserve">月</w:t>
      </w:r>
      <w:r>
        <w:rPr>
          <w:rFonts w:hint="eastAsia" w:ascii="宋体" w:hAnsi="宋体" w:eastAsia="宋体" w:cs="宋体"/>
          <w:highlight w:val="none"/>
        </w:rPr>
        <w:br w:type="page" w:clear="all"/>
      </w:r>
      <w:r/>
    </w:p>
    <w:p>
      <w:pPr>
        <w:pStyle w:val="662"/>
        <w:tabs>
          <w:tab w:val="clear" w:pos="8296" w:leader="none"/>
          <w:tab w:val="right" w:pos="8306" w:leader="dot"/>
        </w:tabs>
        <w:rPr>
          <w:rFonts w:hint="eastAsia" w:ascii="宋体" w:hAnsi="宋体" w:eastAsia="宋体" w:cs="宋体"/>
          <w:b w:val="0"/>
          <w:bCs w:val="0"/>
          <w:sz w:val="36"/>
          <w:szCs w:val="36"/>
          <w:highlight w:val="none"/>
          <w:lang w:val="en-US" w:eastAsia="zh-CN"/>
        </w:rPr>
      </w:pPr>
      <w:r>
        <w:rPr>
          <w:rFonts w:hint="eastAsia" w:ascii="宋体" w:hAnsi="宋体" w:eastAsia="宋体" w:cs="宋体"/>
          <w:b w:val="0"/>
          <w:bCs w:val="0"/>
          <w:sz w:val="36"/>
          <w:szCs w:val="36"/>
          <w:highlight w:val="none"/>
          <w:lang w:val="en-US" w:eastAsia="zh-CN"/>
        </w:rPr>
        <w:t xml:space="preserve">目  录</w:t>
      </w:r>
      <w:r/>
    </w:p>
    <w:p>
      <w:pPr>
        <w:pStyle w:val="662"/>
        <w:tabs>
          <w:tab w:val="clear" w:pos="8296" w:leader="none"/>
          <w:tab w:val="right" w:pos="8306" w:leader="dot"/>
        </w:tabs>
        <w:rPr>
          <w:rFonts w:hint="eastAsia" w:asciiTheme="minorEastAsia" w:hAnsiTheme="minorEastAsia" w:eastAsiaTheme="minorEastAsia" w:cstheme="minorEastAsia"/>
          <w:sz w:val="28"/>
          <w:szCs w:val="28"/>
        </w:rPr>
      </w:pPr>
      <w:r>
        <w:fldChar w:fldCharType="begin"/>
      </w:r>
      <w:r>
        <w:instrText xml:space="preserve">TOC \o "1-1" \h \u </w:instrText>
      </w:r>
      <w:r>
        <w:fldChar w:fldCharType="separate"/>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_Toc12849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bCs w:val="0"/>
          <w:sz w:val="28"/>
          <w:szCs w:val="28"/>
          <w:highlight w:val="none"/>
        </w:rPr>
        <w:t xml:space="preserve">第一章  磋商邀请</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_Toc12849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662"/>
        <w:tabs>
          <w:tab w:val="clear" w:pos="8296" w:leader="none"/>
          <w:tab w:val="right" w:pos="830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_Toc8196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bCs w:val="0"/>
          <w:sz w:val="28"/>
          <w:szCs w:val="28"/>
          <w:highlight w:val="none"/>
        </w:rPr>
        <w:t xml:space="preserve">第二章  供应商须知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_Toc8196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662"/>
        <w:tabs>
          <w:tab w:val="clear" w:pos="8296" w:leader="none"/>
          <w:tab w:val="right" w:pos="830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_Toc24084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bCs w:val="0"/>
          <w:sz w:val="28"/>
          <w:szCs w:val="28"/>
          <w:highlight w:val="none"/>
        </w:rPr>
        <w:t xml:space="preserve">第三章  合同文本</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_Toc24084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22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662"/>
        <w:tabs>
          <w:tab w:val="clear" w:pos="8296" w:leader="none"/>
          <w:tab w:val="right" w:pos="830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_Toc27643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bCs w:val="0"/>
          <w:sz w:val="28"/>
          <w:szCs w:val="28"/>
          <w:highlight w:val="none"/>
        </w:rPr>
        <w:t xml:space="preserve">第四章  采购需求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_Toc27643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29</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662"/>
        <w:tabs>
          <w:tab w:val="clear" w:pos="8296" w:leader="none"/>
          <w:tab w:val="right" w:pos="830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_Toc3565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bCs w:val="0"/>
          <w:sz w:val="28"/>
          <w:szCs w:val="28"/>
          <w:highlight w:val="none"/>
        </w:rPr>
        <w:t xml:space="preserve">第五章  评审方法与评审标准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_Toc3565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36</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pPr>
        <w:pStyle w:val="662"/>
        <w:tabs>
          <w:tab w:val="clear" w:pos="8296" w:leader="none"/>
          <w:tab w:val="right" w:pos="8306" w:leader="dot"/>
        </w:tabs>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HYPERLINK \l _Toc6483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bCs w:val="0"/>
          <w:sz w:val="28"/>
          <w:szCs w:val="28"/>
          <w:highlight w:val="none"/>
        </w:rPr>
        <w:t xml:space="preserve">第六章  响应文件格式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_Toc6483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39</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fldChar w:fldCharType="end"/>
      </w:r>
      <w:r/>
    </w:p>
    <w:p>
      <w:r>
        <w:fldChar w:fldCharType="end"/>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br w:type="page" w:clear="all"/>
      </w:r>
      <w:r/>
    </w:p>
    <w:p>
      <w:pPr>
        <w:pStyle w:val="647"/>
        <w:ind w:firstLine="880"/>
        <w:jc w:val="center"/>
        <w:spacing w:before="156" w:after="156" w:line="360" w:lineRule="auto"/>
        <w:rPr>
          <w:rFonts w:hint="eastAsia" w:ascii="宋体" w:hAnsi="宋体" w:eastAsia="宋体" w:cs="宋体"/>
          <w:b w:val="0"/>
          <w:highlight w:val="none"/>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val="0"/>
          <w:highlight w:val="none"/>
        </w:rPr>
      </w:r>
      <w:r/>
    </w:p>
    <w:p>
      <w:pPr>
        <w:pStyle w:val="647"/>
        <w:ind w:firstLine="883"/>
        <w:jc w:val="center"/>
        <w:spacing w:before="156" w:after="156" w:line="360" w:lineRule="auto"/>
        <w:rPr>
          <w:rFonts w:hint="eastAsia" w:ascii="宋体" w:hAnsi="宋体" w:eastAsia="宋体" w:cs="宋体"/>
          <w:b/>
          <w:bCs w:val="0"/>
          <w:highlight w:val="none"/>
        </w:rPr>
      </w:pPr>
      <w:r/>
      <w:bookmarkStart w:id="0" w:name="_Toc161932691"/>
      <w:r/>
      <w:bookmarkStart w:id="1" w:name="_Toc12849"/>
      <w:r/>
      <w:bookmarkStart w:id="2" w:name="_Toc24405"/>
      <w:r>
        <w:rPr>
          <w:rFonts w:hint="eastAsia" w:ascii="宋体" w:hAnsi="宋体" w:eastAsia="宋体" w:cs="宋体"/>
          <w:b/>
          <w:bCs w:val="0"/>
          <w:highlight w:val="none"/>
        </w:rPr>
        <w:t xml:space="preserve">第一章  磋商邀请</w:t>
      </w:r>
      <w:bookmarkEnd w:id="0"/>
      <w:r/>
      <w:bookmarkEnd w:id="1"/>
      <w:r/>
      <w:bookmarkEnd w:id="2"/>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u w:val="single"/>
          <w:lang w:eastAsia="zh-CN"/>
        </w:rPr>
        <w:t xml:space="preserve">国家东中西区域合作示范区（连云港徐圩新区）市场监督管理局</w:t>
      </w:r>
      <w:r>
        <w:rPr>
          <w:rFonts w:hint="eastAsia" w:ascii="宋体" w:hAnsi="宋体" w:eastAsia="宋体" w:cs="宋体"/>
          <w:sz w:val="24"/>
          <w:szCs w:val="24"/>
          <w:highlight w:val="none"/>
        </w:rPr>
        <w:t xml:space="preserve">的委托，</w:t>
      </w:r>
      <w:r>
        <w:rPr>
          <w:rFonts w:hint="eastAsia" w:ascii="宋体" w:hAnsi="宋体" w:eastAsia="宋体" w:cs="宋体"/>
          <w:sz w:val="24"/>
          <w:szCs w:val="24"/>
          <w:highlight w:val="none"/>
          <w:u w:val="single"/>
        </w:rPr>
        <w:t xml:space="preserve">中阜势起科技（江苏）有限公司</w:t>
      </w:r>
      <w:r>
        <w:rPr>
          <w:rFonts w:hint="eastAsia" w:ascii="宋体" w:hAnsi="宋体" w:eastAsia="宋体" w:cs="宋体"/>
          <w:sz w:val="24"/>
          <w:szCs w:val="24"/>
          <w:highlight w:val="none"/>
        </w:rPr>
        <w:t xml:space="preserve">就</w:t>
      </w:r>
      <w:r>
        <w:rPr>
          <w:rFonts w:hint="eastAsia" w:ascii="宋体" w:hAnsi="宋体" w:eastAsia="宋体" w:cs="宋体"/>
          <w:sz w:val="24"/>
          <w:szCs w:val="24"/>
          <w:highlight w:val="none"/>
          <w:u w:val="single"/>
          <w:lang w:eastAsia="zh-CN"/>
        </w:rPr>
        <w:t xml:space="preserve">2026年徐圩新区特种设备安全第三方技术服务</w:t>
      </w:r>
      <w:r>
        <w:rPr>
          <w:rFonts w:hint="eastAsia" w:ascii="宋体" w:hAnsi="宋体" w:eastAsia="宋体" w:cs="宋体"/>
          <w:sz w:val="24"/>
          <w:szCs w:val="24"/>
          <w:highlight w:val="none"/>
        </w:rPr>
        <w:t xml:space="preserve">项目（项目编号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JSZC-320700-SQYX-C2026-0001</w:t>
      </w:r>
      <w:r>
        <w:rPr>
          <w:rFonts w:hint="eastAsia" w:ascii="宋体" w:hAnsi="宋体" w:eastAsia="宋体" w:cs="宋体"/>
          <w:sz w:val="24"/>
          <w:szCs w:val="24"/>
          <w:highlight w:val="none"/>
        </w:rPr>
        <w:t xml:space="preserve">）进行竞争性磋商采购，欢迎符合条件的供应商参加磋商。</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项目概况</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eastAsia="zh-CN"/>
              </w:rPr>
              <w:t xml:space="preserve">2026年徐圩新区特种设备安全第三方技术服务</w:t>
            </w:r>
            <w:r>
              <w:rPr>
                <w:rFonts w:hint="eastAsia" w:ascii="宋体" w:hAnsi="宋体" w:eastAsia="宋体" w:cs="宋体"/>
                <w:sz w:val="24"/>
                <w:szCs w:val="24"/>
                <w:highlight w:val="none"/>
              </w:rPr>
              <w:t xml:space="preserve">采购项目的潜在供应商应在江苏政府采购网自行免费下载采购文件，并于</w:t>
            </w:r>
            <w:r>
              <w:rPr>
                <w:rFonts w:hint="eastAsia" w:ascii="宋体" w:hAnsi="宋体" w:eastAsia="宋体" w:cs="宋体"/>
                <w:i w:val="0"/>
                <w:iCs w:val="0"/>
                <w:sz w:val="24"/>
                <w:szCs w:val="24"/>
                <w:highlight w:val="none"/>
                <w:u w:val="single"/>
                <w:lang w:val="en-US" w:eastAsia="zh-CN"/>
              </w:rPr>
              <w:t xml:space="preserve">2026</w:t>
            </w:r>
            <w:r>
              <w:rPr>
                <w:rFonts w:hint="eastAsia" w:ascii="宋体" w:hAnsi="宋体" w:eastAsia="宋体" w:cs="宋体"/>
                <w:i w:val="0"/>
                <w:iCs w:val="0"/>
                <w:sz w:val="24"/>
                <w:szCs w:val="24"/>
                <w:highlight w:val="none"/>
                <w:u w:val="single"/>
              </w:rPr>
              <w:t xml:space="preserve">年</w:t>
            </w:r>
            <w:r>
              <w:rPr>
                <w:rFonts w:hint="eastAsia" w:ascii="宋体" w:hAnsi="宋体" w:eastAsia="宋体" w:cs="宋体"/>
                <w:i w:val="0"/>
                <w:iCs w:val="0"/>
                <w:sz w:val="24"/>
                <w:szCs w:val="24"/>
                <w:highlight w:val="none"/>
                <w:u w:val="single"/>
                <w:lang w:val="en-US" w:eastAsia="zh-CN"/>
              </w:rPr>
              <w:t xml:space="preserve">6</w:t>
            </w:r>
            <w:r>
              <w:rPr>
                <w:rFonts w:hint="eastAsia" w:ascii="宋体" w:hAnsi="宋体" w:eastAsia="宋体" w:cs="宋体"/>
                <w:i w:val="0"/>
                <w:iCs w:val="0"/>
                <w:sz w:val="24"/>
                <w:szCs w:val="24"/>
                <w:highlight w:val="none"/>
                <w:u w:val="single"/>
              </w:rPr>
              <w:t xml:space="preserve">月</w:t>
            </w:r>
            <w:r>
              <w:rPr>
                <w:rFonts w:hint="eastAsia" w:ascii="宋体" w:hAnsi="宋体" w:eastAsia="宋体" w:cs="宋体"/>
                <w:i w:val="0"/>
                <w:iCs w:val="0"/>
                <w:sz w:val="24"/>
                <w:szCs w:val="24"/>
                <w:highlight w:val="none"/>
                <w:u w:val="single"/>
                <w:lang w:val="en-US" w:eastAsia="zh-CN"/>
              </w:rPr>
              <w:t xml:space="preserve">22</w:t>
            </w:r>
            <w:r>
              <w:rPr>
                <w:rFonts w:hint="eastAsia" w:ascii="宋体" w:hAnsi="宋体" w:eastAsia="宋体" w:cs="宋体"/>
                <w:i w:val="0"/>
                <w:iCs w:val="0"/>
                <w:sz w:val="24"/>
                <w:szCs w:val="24"/>
                <w:highlight w:val="none"/>
                <w:u w:val="single"/>
              </w:rPr>
              <w:t xml:space="preserve">日</w:t>
            </w:r>
            <w:r>
              <w:rPr>
                <w:rFonts w:hint="eastAsia" w:ascii="宋体" w:hAnsi="宋体" w:eastAsia="宋体" w:cs="宋体"/>
                <w:i w:val="0"/>
                <w:iCs w:val="0"/>
                <w:sz w:val="24"/>
                <w:szCs w:val="24"/>
                <w:highlight w:val="none"/>
                <w:u w:val="single"/>
                <w:lang w:val="en-US" w:eastAsia="zh-CN"/>
              </w:rPr>
              <w:t xml:space="preserve">09</w:t>
            </w:r>
            <w:r>
              <w:rPr>
                <w:rFonts w:hint="eastAsia" w:ascii="宋体" w:hAnsi="宋体" w:eastAsia="宋体" w:cs="宋体"/>
                <w:i w:val="0"/>
                <w:iCs w:val="0"/>
                <w:sz w:val="24"/>
                <w:szCs w:val="24"/>
                <w:highlight w:val="none"/>
                <w:u w:val="single"/>
                <w:lang w:eastAsia="zh-CN"/>
              </w:rPr>
              <w:t xml:space="preserve">：</w:t>
            </w:r>
            <w:r>
              <w:rPr>
                <w:rFonts w:hint="eastAsia" w:ascii="宋体" w:hAnsi="宋体" w:eastAsia="宋体" w:cs="宋体"/>
                <w:i w:val="0"/>
                <w:iCs w:val="0"/>
                <w:sz w:val="24"/>
                <w:szCs w:val="24"/>
                <w:highlight w:val="none"/>
                <w:u w:val="single"/>
                <w:lang w:val="en-US" w:eastAsia="zh-CN"/>
              </w:rPr>
              <w:t xml:space="preserve">00</w:t>
            </w:r>
            <w:r>
              <w:rPr>
                <w:rFonts w:hint="eastAsia" w:ascii="宋体" w:hAnsi="宋体" w:eastAsia="宋体" w:cs="宋体"/>
                <w:i w:val="0"/>
                <w:iCs w:val="0"/>
                <w:sz w:val="24"/>
                <w:szCs w:val="24"/>
                <w:highlight w:val="none"/>
                <w:u w:val="single"/>
                <w:lang w:eastAsia="zh-CN"/>
              </w:rPr>
              <w:t xml:space="preserve">：</w:t>
            </w:r>
            <w:r>
              <w:rPr>
                <w:rFonts w:hint="eastAsia" w:ascii="宋体" w:hAnsi="宋体" w:eastAsia="宋体" w:cs="宋体"/>
                <w:i w:val="0"/>
                <w:iCs w:val="0"/>
                <w:sz w:val="24"/>
                <w:szCs w:val="24"/>
                <w:highlight w:val="none"/>
                <w:u w:val="single"/>
                <w:lang w:val="en-US" w:eastAsia="zh-CN"/>
              </w:rPr>
              <w:t xml:space="preserve">00</w:t>
            </w:r>
            <w:r>
              <w:rPr>
                <w:rFonts w:hint="eastAsia" w:ascii="宋体" w:hAnsi="宋体" w:eastAsia="宋体" w:cs="宋体"/>
                <w:sz w:val="24"/>
                <w:szCs w:val="24"/>
                <w:highlight w:val="none"/>
              </w:rPr>
              <w:t xml:space="preserve">（北京时间）前提交（上传）响应文件。</w:t>
            </w:r>
            <w:r/>
          </w:p>
        </w:tc>
      </w:tr>
    </w:tbl>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一、项目基本情况</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val="en-US" w:eastAsia="zh-CN"/>
        </w:rPr>
        <w:t xml:space="preserve">JSZC-320700-SQYX-C2026-0001</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2026年徐圩新区特种设备安全第三方技术服务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预算金额：人民币</w:t>
      </w:r>
      <w:r>
        <w:rPr>
          <w:rFonts w:hint="eastAsia" w:ascii="宋体" w:hAnsi="宋体" w:eastAsia="宋体" w:cs="宋体"/>
          <w:sz w:val="24"/>
          <w:szCs w:val="24"/>
          <w:highlight w:val="none"/>
          <w:lang w:val="en-US" w:eastAsia="zh-CN"/>
        </w:rPr>
        <w:t xml:space="preserve">185</w:t>
      </w:r>
      <w:r>
        <w:rPr>
          <w:rFonts w:hint="eastAsia" w:ascii="宋体" w:hAnsi="宋体" w:eastAsia="宋体" w:cs="宋体"/>
          <w:sz w:val="24"/>
          <w:szCs w:val="24"/>
          <w:highlight w:val="none"/>
        </w:rPr>
        <w:t xml:space="preserve">万元，报价超出预算金额的按无效响应处理。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采购方式：竞争性磋商</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需求：委托第三方专业机构为特种设备隐患排查提供技术咨询服务，包括日常特种设备技术咨询服务、指导应急演练服务、教育培训服务以及专家会诊等，开展无损检测质量监督抽检，实施特种设备全覆盖安全风险防控，对特种设备企业风险进行评定，完善特种设备企业信用体系，</w:t>
      </w:r>
      <w:r>
        <w:rPr>
          <w:rStyle w:val="680"/>
          <w:rFonts w:hint="eastAsia" w:ascii="宋体" w:hAnsi="宋体" w:eastAsia="宋体" w:cs="宋体"/>
          <w:b/>
          <w:bCs/>
          <w:sz w:val="24"/>
          <w:szCs w:val="28"/>
          <w:highlight w:val="none"/>
        </w:rPr>
        <w:t xml:space="preserve">具体详见采购文件第四</w:t>
      </w:r>
      <w:r>
        <w:rPr>
          <w:rStyle w:val="680"/>
          <w:rFonts w:hint="eastAsia" w:ascii="宋体" w:hAnsi="宋体" w:eastAsia="宋体" w:cs="宋体"/>
          <w:b/>
          <w:bCs/>
          <w:sz w:val="24"/>
          <w:szCs w:val="28"/>
          <w:highlight w:val="none"/>
          <w:lang w:val="en-US" w:eastAsia="zh-CN"/>
        </w:rPr>
        <w:t xml:space="preserve">章</w:t>
      </w:r>
      <w:r>
        <w:rPr>
          <w:rStyle w:val="680"/>
          <w:rFonts w:hint="eastAsia" w:ascii="宋体" w:hAnsi="宋体" w:eastAsia="宋体" w:cs="宋体"/>
          <w:b/>
          <w:bCs/>
          <w:sz w:val="24"/>
          <w:szCs w:val="28"/>
          <w:highlight w:val="none"/>
        </w:rPr>
        <w:t xml:space="preserve">“</w:t>
      </w:r>
      <w:r>
        <w:rPr>
          <w:rStyle w:val="680"/>
          <w:rFonts w:hint="eastAsia" w:ascii="宋体" w:hAnsi="宋体" w:eastAsia="宋体" w:cs="宋体"/>
          <w:b/>
          <w:bCs/>
          <w:sz w:val="24"/>
          <w:szCs w:val="28"/>
          <w:highlight w:val="none"/>
          <w:lang w:val="en-US" w:eastAsia="zh-CN"/>
        </w:rPr>
        <w:t xml:space="preserve">采购</w:t>
      </w:r>
      <w:r>
        <w:rPr>
          <w:rStyle w:val="680"/>
          <w:rFonts w:hint="eastAsia" w:ascii="宋体" w:hAnsi="宋体" w:eastAsia="宋体" w:cs="宋体"/>
          <w:b/>
          <w:bCs/>
          <w:sz w:val="24"/>
          <w:szCs w:val="28"/>
          <w:highlight w:val="none"/>
        </w:rPr>
        <w:t xml:space="preserve">需求”</w:t>
      </w:r>
      <w:r>
        <w:rPr>
          <w:rFonts w:hint="eastAsia" w:ascii="宋体" w:hAnsi="宋体" w:eastAsia="宋体" w:cs="宋体"/>
          <w:sz w:val="24"/>
          <w:highlight w:val="none"/>
        </w:rPr>
        <w:t xml:space="preserve">。</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对本项目资格要求、采购需求、评审方法与评审标准等部分的询问、质疑请与采购人联系，由采购人负责答复。</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合同履行期限：自合同签订起一年</w:t>
      </w:r>
      <w:r>
        <w:rPr>
          <w:rFonts w:hint="eastAsia" w:ascii="宋体" w:hAnsi="宋体" w:eastAsia="宋体" w:cs="宋体"/>
          <w:sz w:val="24"/>
          <w:szCs w:val="24"/>
          <w:highlight w:val="none"/>
          <w:lang w:eastAsia="zh-CN"/>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本项目（是/否）接受联合体投标：不接受联合体。</w:t>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二、申请人的资格要求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（一）满足《中华人民共和国政府采购法》第二十二条规定，并提供下列材料：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1.法人或者其他组织的营业执照等证明文件，自然人的身份证明；</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2.上一年度的财务状况报告；（成立不满一年无需提供）</w:t>
      </w:r>
      <w:r>
        <w:rPr>
          <w:rFonts w:hint="eastAsia" w:ascii="宋体" w:hAnsi="宋体" w:eastAsia="宋体" w:cs="宋体"/>
          <w:sz w:val="24"/>
          <w:szCs w:val="24"/>
          <w:highlight w:val="none"/>
          <w:lang w:eastAsia="zh-CN"/>
        </w:rPr>
        <w:t xml:space="preserve">；</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highlight w:val="none"/>
          <w:lang w:eastAsia="zh-CN"/>
        </w:rPr>
        <w:t xml:space="preserve">；</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（根据连财购〔2023〕4号文件精神，2、3项可以提供《财务状况报告及税收、社会保障资金缴纳情况承诺函》，详见响应文件格式）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4.具备履行合同所必需的设备和专业技术能力的声明及证明材料；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5.参加政府采购活动前3年内在经营活动中没有重大违法记录的书面声明；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（二）落实政府采购政策需满足的资格要求：无。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（三）本项目的特定资格要求：</w:t>
      </w:r>
      <w:r>
        <w:rPr>
          <w:rFonts w:hint="eastAsia" w:ascii="宋体" w:hAnsi="宋体" w:eastAsia="宋体" w:cs="宋体"/>
          <w:sz w:val="24"/>
          <w:szCs w:val="24"/>
          <w:highlight w:val="none"/>
          <w:lang w:val="en-US" w:eastAsia="zh-CN"/>
        </w:rPr>
        <w:t xml:space="preserve">如中标单位为特种设备检验检测机构，</w:t>
      </w:r>
      <w:r>
        <w:rPr>
          <w:rFonts w:hint="eastAsia" w:ascii="宋体" w:hAnsi="宋体" w:eastAsia="宋体" w:cs="宋体"/>
          <w:sz w:val="24"/>
          <w:szCs w:val="24"/>
          <w:highlight w:val="none"/>
        </w:rPr>
        <w:t xml:space="preserve">服务期内不得在新区</w:t>
      </w:r>
      <w:r>
        <w:rPr>
          <w:rFonts w:hint="eastAsia" w:ascii="宋体" w:hAnsi="宋体" w:eastAsia="宋体" w:cs="宋体"/>
          <w:sz w:val="24"/>
          <w:szCs w:val="24"/>
          <w:highlight w:val="none"/>
          <w:lang w:val="en-US" w:eastAsia="zh-CN"/>
        </w:rPr>
        <w:t xml:space="preserve">范围</w:t>
      </w:r>
      <w:r>
        <w:rPr>
          <w:rFonts w:hint="eastAsia" w:ascii="宋体" w:hAnsi="宋体" w:eastAsia="宋体" w:cs="宋体"/>
          <w:sz w:val="24"/>
          <w:szCs w:val="24"/>
          <w:highlight w:val="none"/>
        </w:rPr>
        <w:t xml:space="preserve">从事</w:t>
      </w:r>
      <w:r>
        <w:rPr>
          <w:rFonts w:hint="eastAsia" w:ascii="宋体" w:hAnsi="宋体" w:eastAsia="宋体" w:cs="宋体"/>
          <w:sz w:val="24"/>
          <w:szCs w:val="24"/>
          <w:highlight w:val="none"/>
          <w:lang w:val="en-US" w:eastAsia="zh-CN"/>
        </w:rPr>
        <w:t xml:space="preserve">特种设备检验检测业务</w:t>
      </w:r>
      <w:r>
        <w:rPr>
          <w:rFonts w:hint="eastAsia" w:ascii="宋体" w:hAnsi="宋体" w:eastAsia="宋体" w:cs="宋体"/>
          <w:sz w:val="24"/>
          <w:szCs w:val="24"/>
          <w:highlight w:val="none"/>
        </w:rPr>
        <w:t xml:space="preserve">（需承诺，格式自拟）。</w:t>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三、获取采购文件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日 至 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日，每天上午0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00-12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00，12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00-23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59（北京时间，法定节假日除外）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地点：江苏政府采购网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方式：供应商办理江苏省政府采购交易系统CA数字证书，登录“苏采云”政府采购交易系统，自行下载。</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售价：0.00元</w:t>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四、提交响应文件截止时间、开启时间和地点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提交响应文件截止时间：202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22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09</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（北京时间）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开启时间：提交响应文件截止时间</w:t>
      </w:r>
      <w:r/>
    </w:p>
    <w:p>
      <w:pPr>
        <w:ind w:firstLine="480"/>
        <w:jc w:val="left"/>
        <w:spacing w:line="360" w:lineRule="auto"/>
        <w:rPr>
          <w:rFonts w:hint="eastAsia" w:ascii="宋体" w:hAnsi="宋体" w:eastAsia="宋体" w:cs="宋体"/>
          <w:highlight w:val="none"/>
        </w:rPr>
      </w:pPr>
      <w:r>
        <w:rPr>
          <w:rFonts w:hint="eastAsia" w:ascii="宋体" w:hAnsi="宋体" w:eastAsia="宋体" w:cs="宋体"/>
          <w:sz w:val="24"/>
          <w:szCs w:val="24"/>
          <w:highlight w:val="none"/>
        </w:rPr>
        <w:t xml:space="preserve">开启地点：“苏采云”政府采购交易系统网上开标大厅</w:t>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五、公告期限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自本公告发布之日起3个工作日。</w:t>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六、其他补充事宜</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1.本次磋商采购不收取磋商保证金。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auto"/>
          <w:sz w:val="24"/>
          <w:szCs w:val="24"/>
          <w:highlight w:val="none"/>
        </w:rPr>
        <w:t xml:space="preserve">本磋商文件中标注★为实质性要求和条件</w:t>
      </w:r>
      <w:r>
        <w:rPr>
          <w:rFonts w:hint="eastAsia" w:ascii="宋体" w:hAnsi="宋体" w:eastAsia="宋体" w:cs="宋体"/>
          <w:sz w:val="24"/>
          <w:szCs w:val="24"/>
          <w:highlight w:val="none"/>
        </w:rPr>
        <w:t xml:space="preserve">，由采购人根据实际情况设置，供应商须逐条明确作出满足实质性要求和条件的响应，否则将按无效响应处理。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ascii="宋体" w:hAnsi="宋体" w:eastAsia="宋体" w:cs="宋体"/>
          <w:sz w:val="24"/>
          <w:szCs w:val="24"/>
          <w:highlight w:val="none"/>
        </w:rPr>
        <w:t xml:space="preserve">或者</w:t>
      </w:r>
      <w:r>
        <w:rPr>
          <w:rFonts w:hint="eastAsia" w:ascii="宋体" w:hAnsi="宋体" w:eastAsia="宋体" w:cs="宋体"/>
          <w:sz w:val="24"/>
          <w:szCs w:val="24"/>
          <w:highlight w:val="none"/>
        </w:rPr>
        <w:t xml:space="preserve">提交失误，由此造成的一切损失由供应商自行承担。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http</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//www.ccgp-jiangsu.gov.cn/jiangsu/zlxz/ee/ee3a4bc5a3454aa2b0d9312230633ce9.html</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七、对本次采购提出询问，请按以下方式联系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highlight w:val="none"/>
          <w:lang w:eastAsia="zh-CN"/>
        </w:rPr>
        <w:t xml:space="preserve">国家东中西区域合作示范区（连云港徐圩新区）市场监督管理局</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highlight w:val="none"/>
        </w:rPr>
        <w:t xml:space="preserve">江苏省连云港市徐圩新区徐圩大道66号产业服务中心</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 系 人：</w:t>
      </w:r>
      <w:r>
        <w:rPr>
          <w:rFonts w:hint="eastAsia" w:ascii="宋体" w:hAnsi="宋体" w:eastAsia="宋体" w:cs="宋体"/>
          <w:sz w:val="24"/>
          <w:highlight w:val="none"/>
          <w:lang w:val="en-US" w:eastAsia="zh-CN"/>
        </w:rPr>
        <w:t xml:space="preserve">张先生</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联系电话：</w:t>
      </w:r>
      <w:r>
        <w:rPr>
          <w:rFonts w:hint="eastAsia" w:ascii="宋体" w:hAnsi="宋体" w:eastAsia="宋体" w:cs="宋体"/>
          <w:sz w:val="24"/>
          <w:highlight w:val="none"/>
          <w:lang w:eastAsia="zh-CN"/>
        </w:rPr>
        <w:t xml:space="preserve">18352829051</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none"/>
        </w:rPr>
        <w:t xml:space="preserve">中阜势起科技（江苏）有限公司</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none"/>
          <w:lang w:val="zh-CN" w:eastAsia="zh-CN"/>
        </w:rPr>
        <w:t xml:space="preserve">连云港市海州区科苑路壹品国际写字楼88-B号811-815号</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 系 人：</w:t>
      </w:r>
      <w:r>
        <w:rPr>
          <w:rFonts w:hint="eastAsia" w:ascii="宋体" w:hAnsi="宋体" w:eastAsia="宋体" w:cs="宋体"/>
          <w:sz w:val="24"/>
          <w:szCs w:val="24"/>
          <w:highlight w:val="none"/>
          <w:lang w:val="en-US" w:eastAsia="zh-CN"/>
        </w:rPr>
        <w:t xml:space="preserve">张工</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val="en-US" w:eastAsia="zh-CN"/>
        </w:rPr>
        <w:t xml:space="preserve">0518-81889106</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highlight w:val="none"/>
          <w:lang w:val="en-US" w:eastAsia="zh-CN"/>
        </w:rPr>
        <w:t xml:space="preserve">张先生</w:t>
      </w:r>
      <w:r/>
    </w:p>
    <w:p>
      <w:pPr>
        <w:ind w:firstLine="480"/>
        <w:jc w:val="left"/>
        <w:spacing w:line="360" w:lineRule="auto"/>
        <w:rPr>
          <w:rFonts w:hint="eastAsia" w:ascii="宋体" w:hAnsi="宋体" w:eastAsia="宋体" w:cs="宋体"/>
          <w:bCs/>
          <w:sz w:val="44"/>
          <w:szCs w:val="4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highlight w:val="none"/>
          <w:lang w:eastAsia="zh-CN"/>
        </w:rPr>
        <w:t xml:space="preserve">18352829051</w:t>
      </w:r>
      <w:r/>
    </w:p>
    <w:p>
      <w:pPr>
        <w:ind w:firstLine="422"/>
        <w:jc w:val="left"/>
        <w:spacing w:line="360" w:lineRule="auto"/>
        <w:widowControl/>
        <w:rPr>
          <w:rFonts w:hint="eastAsia" w:ascii="宋体" w:hAnsi="宋体" w:eastAsia="宋体" w:cs="宋体"/>
          <w:bCs/>
          <w:sz w:val="44"/>
          <w:szCs w:val="44"/>
          <w:highlight w:val="none"/>
        </w:rPr>
      </w:pPr>
      <w:r/>
      <w:bookmarkStart w:id="3" w:name="_Toc161932692"/>
      <w:r>
        <w:rPr>
          <w:rFonts w:hint="eastAsia" w:ascii="宋体" w:hAnsi="宋体" w:eastAsia="宋体" w:cs="宋体"/>
          <w:b/>
          <w:highlight w:val="none"/>
        </w:rPr>
        <w:br w:type="page" w:clear="all"/>
      </w:r>
      <w:r/>
    </w:p>
    <w:p>
      <w:pPr>
        <w:pStyle w:val="647"/>
        <w:ind w:firstLine="883"/>
        <w:jc w:val="center"/>
        <w:spacing w:before="156" w:after="156" w:line="360" w:lineRule="auto"/>
        <w:rPr>
          <w:rFonts w:hint="eastAsia" w:ascii="宋体" w:hAnsi="宋体" w:eastAsia="宋体" w:cs="宋体"/>
          <w:b/>
          <w:bCs w:val="0"/>
          <w:highlight w:val="none"/>
        </w:rPr>
      </w:pPr>
      <w:r/>
      <w:bookmarkStart w:id="4" w:name="_Toc8196"/>
      <w:r/>
      <w:bookmarkStart w:id="5" w:name="_Toc14729"/>
      <w:r>
        <w:rPr>
          <w:rFonts w:hint="eastAsia" w:ascii="宋体" w:hAnsi="宋体" w:eastAsia="宋体" w:cs="宋体"/>
          <w:b/>
          <w:bCs w:val="0"/>
          <w:highlight w:val="none"/>
        </w:rPr>
        <w:t xml:space="preserve">第二章  供应商须知</w:t>
      </w:r>
      <w:bookmarkEnd w:id="3"/>
      <w:r/>
      <w:bookmarkEnd w:id="4"/>
      <w:r/>
      <w:bookmarkEnd w:id="5"/>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一、总则</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采购方式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本次政府采购活动采取竞争性磋商（以下简称磋商）方式，本磋商文件仅适用于磋商公告中所述项目。</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合格的供应商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满足磋商公告中申请人的资格要求的规定。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满足本磋商文件全部实质性要求和条件的规定。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符合上述条件的供应商应承担参与磋商采购及履约过</w:t>
      </w:r>
      <w:r>
        <w:rPr>
          <w:rFonts w:hint="eastAsia" w:ascii="宋体" w:hAnsi="宋体" w:eastAsia="宋体" w:cs="宋体"/>
          <w:sz w:val="24"/>
          <w:szCs w:val="24"/>
          <w:highlight w:val="none"/>
          <w:lang w:eastAsia="zh-CN"/>
        </w:rPr>
        <w:t xml:space="preserve">程中</w:t>
      </w:r>
      <w:r>
        <w:rPr>
          <w:rFonts w:hint="eastAsia" w:ascii="宋体" w:hAnsi="宋体" w:eastAsia="宋体" w:cs="宋体"/>
          <w:sz w:val="24"/>
          <w:szCs w:val="24"/>
          <w:highlight w:val="none"/>
        </w:rPr>
        <w:t xml:space="preserve">应承担的全部责任与义务。</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适用法律</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本次磋商采购及由此产生的合同受中华人民共和国有关的法律法规制约和保护。</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磋商费用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w:t>
      </w:r>
      <w:bookmarkStart w:id="6" w:name="OLE_LINK1"/>
      <w:r>
        <w:rPr>
          <w:rFonts w:hint="eastAsia" w:ascii="宋体" w:hAnsi="宋体" w:eastAsia="宋体" w:cs="宋体"/>
          <w:sz w:val="24"/>
          <w:szCs w:val="24"/>
          <w:highlight w:val="none"/>
        </w:rPr>
        <w:t xml:space="preserve">供应商</w:t>
      </w:r>
      <w:bookmarkEnd w:id="6"/>
      <w:r>
        <w:rPr>
          <w:rFonts w:hint="eastAsia" w:ascii="宋体" w:hAnsi="宋体" w:eastAsia="宋体" w:cs="宋体"/>
          <w:sz w:val="24"/>
          <w:szCs w:val="24"/>
          <w:highlight w:val="none"/>
        </w:rPr>
        <w:t xml:space="preserve">应自行承担所有与参与磋商采购活动有关的费用，无论磋商采购过程中的做法和结果如何，采购人和中阜势起科技（江苏）有限公司（以下</w:t>
      </w:r>
      <w:r>
        <w:rPr>
          <w:rFonts w:hint="eastAsia" w:ascii="宋体" w:hAnsi="宋体" w:eastAsia="宋体" w:cs="宋体"/>
          <w:sz w:val="24"/>
          <w:szCs w:val="24"/>
          <w:highlight w:val="none"/>
          <w:lang w:val="en-US" w:eastAsia="zh-CN"/>
        </w:rPr>
        <w:t xml:space="preserve">简称代理机构</w:t>
      </w:r>
      <w:r>
        <w:rPr>
          <w:rFonts w:hint="eastAsia" w:ascii="宋体" w:hAnsi="宋体" w:eastAsia="宋体" w:cs="宋体"/>
          <w:sz w:val="24"/>
          <w:szCs w:val="24"/>
          <w:highlight w:val="none"/>
        </w:rPr>
        <w:t xml:space="preserve">）在任何情况下均无义务和责任承担这些费用。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本次磋商采购，采购代理费按苏招协【2022】002号规定的收费标准的55%计取，由</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供应商支付，供应商在报价时应综合考虑以上相关费用，但不得单列。相关费用必须在</w:t>
      </w:r>
      <w:r>
        <w:rPr>
          <w:rFonts w:hint="eastAsia" w:ascii="宋体" w:hAnsi="宋体" w:eastAsia="宋体" w:cs="宋体"/>
          <w:sz w:val="24"/>
          <w:szCs w:val="24"/>
          <w:highlight w:val="none"/>
          <w:lang w:val="en-US" w:eastAsia="zh-CN"/>
        </w:rPr>
        <w:t xml:space="preserve">成交结果</w:t>
      </w:r>
      <w:r>
        <w:rPr>
          <w:rFonts w:hint="eastAsia" w:ascii="宋体" w:hAnsi="宋体" w:eastAsia="宋体" w:cs="宋体"/>
          <w:sz w:val="24"/>
          <w:szCs w:val="24"/>
          <w:highlight w:val="none"/>
        </w:rPr>
        <w:t xml:space="preserve">公示后</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通知书发出前由</w:t>
      </w:r>
      <w:r>
        <w:rPr>
          <w:rFonts w:hint="eastAsia" w:ascii="宋体" w:hAnsi="宋体" w:eastAsia="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一次性付清。</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磋商文件的约束力</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供应商一旦参与本项目采购活动，即被认为接受了本磋商文件的规定和约束。</w:t>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二、磋商文件</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磋商文件的构成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磋商文件由以下部分构成：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（1）磋商邀请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（2）供应商须知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（5）评审方法与评审标准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（6）响应文件格式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请仔细检查磋商文件是否齐全，如有缺漏请立即与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联系解决。</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磋商文件的澄清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任何要求对磋商文件进行澄清的供应商，应在提交响应文件截止时间五日前按磋商公告中的通讯地址，以书面形式通知采购人或者</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磋商文件的修改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在响应文件提交截止时间前，采购人和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可以对磋商文件进行修改。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有权按照法定的要求推迟提交响应文件截止时间和开启时间。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 磋商文件的修改将在江苏政府采购网公布，补充文件将作为磋商文件的组成部分，并对供应商具有约束力。</w:t>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三、响应文件编制</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响应文件编写注意事项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响应文件的语言及度量衡单位</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除专用术语外，供应商提交的响应文件以及供应商与采购人和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除技术性能另有规定外，响应文件所使用的度量衡单位，均须采用国家法定计量单位。</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响应文件的构成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如响应文件制作工具中格式和内容与江苏政府采购网发布的磋商文件不一致，请以江苏政府采购网发布的磋商文件为准。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特别提醒供应商，混乱的编排导致响应文件被误读或竞争性磋商小组（以下简称磋商小组）查找不到有效文件是供应商的风险。</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证明供应商及响应标的符合磋商文件规定的文件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 供应商应按照磋商文件要求提交证明文件，证明其及响应标的符合磋商文件规定。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磋商文件对证明文件无明确形式要求的，证明文件可以以文字资料、图纸和数据等形式提交。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供应商委托代理时应当提交授权委托书，请按磋商文件第六章给定格式及要求填写并附法定代表人（单位负责人）与委托代理人身份证明。</w:t>
      </w:r>
      <w:r/>
    </w:p>
    <w:p>
      <w:pPr>
        <w:pStyle w:val="649"/>
        <w:ind w:firstLine="562"/>
        <w:jc w:val="left"/>
        <w:spacing w:before="0" w:after="0" w:line="360" w:lineRule="auto"/>
        <w:rPr>
          <w:rFonts w:hint="eastAsia" w:ascii="宋体" w:hAnsi="宋体" w:eastAsia="宋体" w:cs="宋体"/>
          <w:highlight w:val="none"/>
        </w:rPr>
      </w:pPr>
      <w:r>
        <w:rPr>
          <w:rFonts w:hint="eastAsia" w:ascii="宋体" w:hAnsi="宋体" w:eastAsia="宋体" w:cs="宋体"/>
          <w:sz w:val="28"/>
          <w:szCs w:val="28"/>
          <w:highlight w:val="none"/>
        </w:rPr>
        <w:t xml:space="preserve">13</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分项报价表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供应商应根据响应报价要求在分项报价表中列明各项单价、总价等，未全部列示的作无效响应处理。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响应文件中的单价和总价无特殊规定的采用人民币报价，以元为单位标注。磋商文件中另有规定的按规定执行。</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技术要求响应及偏离表、商务要求响应及偏离表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供应商可在响应文件中提供认为需要的其他技术文件或说明。</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服务承诺、培训计划、人员安排及其他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供应商应根据磋商文件要求提供培训计划、人员安排等。</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供应商应根据磋商文件要求提供响应标的的主要组成部分、功能设计、实现思路及关键技术等。</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磋商响应函</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供应商应按照磋商文件提供的格式完整、正确填写磋商响应函。</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磋商有效期</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磋商有效期为磋商文件规定的开启之日后六十（60）天。磋商有效期比规定短的将被视为未实质性响应磋商文件而予以拒绝。</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在特殊情况下，</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的这一要求而放弃磋商响应，同意延长磋商有效期的供应商既不能要求也不允许修改其响应文件。受磋商有效期约束的所有权利与义务均延长至新的有效期。</w:t>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四、响应文件提交</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电子响应文件的提交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供应商应当按照《操作手册》规定，在响应文件提交截止时间前制作并提交（上传）电子响应文件。</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19</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提交响应文件截止时间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供应商提交（上传）电子响应文件的时间不得迟于磋商公告中规定的截止时间。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可以按照规定，通过修改磋商文件酌情延长响应文件提交截止时间，在此情况下，供应商的所有权利和义务以及供应商受制的截止时间均应以延长后新的截止时间为准。</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20</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响应文件的拒收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拒绝接收在磋商文件规定的截止时间后提交（上传）的任何响应文件。</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响应文件的撤回和修改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 在提交（上传）响应文件截止时间至磋商文件规定的磋商有效期满之间的这段时间内，供应商不得撤回其电子响应文件。</w:t>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五、响应文件开启（解密）与评审</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响应文件开启（解密）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将在磋商公告中规定的时间和地点组织响应文件开启。供应商应当按时参加，并在“苏采云”系统规定的时间内对其电子响应文件进行解密。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 供应商在开启（解密）过程中涉及到的响应文件解密、开启结果确认等工作，应当按照《操作手册》规定执行。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供应商未参加开启（解密）的，视同认可开启（解密）结果。</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供应商在开启（解密）、澄清、磋商、最后报价、评审全过程中应保持通讯畅通，及时登录“苏采云”系统查阅、答复相关信息，并安排专人与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及磋商小组联系。</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23</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磋商小组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 响应文件开启（解密）后，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将组织磋商小组进行评审。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 磋商小组由采购人代表和有关技术、经济等方面的评审专家组成，且人员构成符合政府采购有关规定。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 磋商小组按照磋商文件规定的评审程序、评审方法和评审标准进行独立评审并确定成交候选人。</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24</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评审过程的保密与公正</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 凡是与审查、澄清、评价和比较有关的资料以及成交建议等，采购人、评审专家、</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均不得向供应商或与评审无关的其他人员透露。</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 在评审过程中，供应商不得以任何行为影响评审过程，否则其响应文件将被作为无效响应文件。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和磋商小组不向未成交的供应商解释未成交原因，也不公布评审过程中的相关细节。</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25</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响应文件的澄清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磋商小组并非对每个供应商都提出澄清、说明或者补正要求。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 接到磋商小组澄清、说明或者补正要求的供应商如未按要求响应，其风险由供应商自行承担。</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26</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对响应文件的审查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 响应文件审查分为资格审查和符合性审查。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未通过资格审查或符合性审查的供应商，将通过“苏采云”</w:t>
      </w:r>
      <w:r>
        <w:rPr>
          <w:rFonts w:hint="eastAsia" w:ascii="宋体" w:hAnsi="宋体" w:eastAsia="宋体" w:cs="宋体"/>
          <w:sz w:val="24"/>
          <w:szCs w:val="24"/>
          <w:highlight w:val="none"/>
          <w:lang w:eastAsia="zh-CN"/>
        </w:rPr>
        <w:t xml:space="preserve">系统</w:t>
      </w:r>
      <w:r>
        <w:rPr>
          <w:rFonts w:hint="eastAsia" w:ascii="宋体" w:hAnsi="宋体" w:eastAsia="宋体" w:cs="宋体"/>
          <w:sz w:val="24"/>
          <w:szCs w:val="24"/>
          <w:highlight w:val="none"/>
        </w:rPr>
        <w:t xml:space="preserve">告知其未通过的原因，评审结束后，将不再告知。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26.3</w:t>
      </w:r>
      <w:r>
        <w:rPr>
          <w:rFonts w:hint="eastAsia" w:ascii="宋体" w:hAnsi="宋体" w:eastAsia="宋体" w:cs="宋体"/>
          <w:sz w:val="24"/>
          <w:szCs w:val="24"/>
          <w:highlight w:val="none"/>
        </w:rPr>
        <w:t xml:space="preserve">政府采购异常低价审查：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（一）政府采购评审中出现下列情形之一的，评审委员会应当启动异常低价投标（响应）审查程序：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投标（响应）报价低于全部通过符合性审查供应商投标（响应）报价平均值50％的，即投标（响应）报价＜全部通过符合性审查供应商投标（响应）报价平均值×50％；</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投标（响应）报价低于通过符合性审查的次低报价供应商投标（响应）报价50％的，即投标（响应）报价＜通过符合性审查的次低报价供应商投标（响应）报价×50％；</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投标（响应）报价低于采购项目最高限价45％的，即投标（响应）报价＜采购项目最高限价×45％；</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评审委员会基于专业判断，认为供应商报价过低，有可能影响产品质量或者不能诚信履约的其他情形。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r/>
    </w:p>
    <w:p>
      <w:pPr>
        <w:ind w:firstLine="480"/>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如果响应文件实质上没有响应磋商文件的要求，磋商小组将予以拒绝，供应商不得通过修改或撤销不符合要求的偏离或保留而使其成为实质性响应。</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27</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磋商程序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 对于通过资格审查和符合性审查的供应商，磋商小组将集中与单一供应商分别进行磋商。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已提交响应文件的供应商，在提交最后报价之前，可以根据磋商情况退出磋商采购，应在“苏采云”系统中提交“退出磋商函”，并加盖CA电子公章。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rPr>
        <w:t xml:space="preserve">在“苏采云”系统中向其发出“最后报价要求函”及最后报价格式表，要求其在规定的时间内提交最后报价。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最后报价是供应商响应文件的有效组成部分。符合《</w:t>
      </w:r>
      <w:bookmarkStart w:id="7" w:name="OLE_LINK3"/>
      <w:r>
        <w:rPr>
          <w:rFonts w:hint="eastAsia" w:ascii="宋体" w:hAnsi="宋体" w:eastAsia="宋体" w:cs="宋体"/>
          <w:sz w:val="24"/>
          <w:szCs w:val="24"/>
          <w:highlight w:val="none"/>
        </w:rPr>
        <w:t xml:space="preserve">政府采购竞争性磋商采购方</w:t>
      </w:r>
      <w:r>
        <w:rPr>
          <w:rFonts w:hint="eastAsia" w:ascii="宋体" w:hAnsi="宋体" w:eastAsia="宋体" w:cs="宋体"/>
          <w:sz w:val="24"/>
          <w:szCs w:val="24"/>
          <w:highlight w:val="none"/>
          <w:lang w:eastAsia="zh-CN"/>
        </w:rPr>
        <w:t xml:space="preserve">式管</w:t>
      </w:r>
      <w:r>
        <w:rPr>
          <w:rFonts w:hint="eastAsia" w:ascii="宋体" w:hAnsi="宋体" w:eastAsia="宋体" w:cs="宋体"/>
          <w:sz w:val="24"/>
          <w:szCs w:val="24"/>
          <w:highlight w:val="none"/>
        </w:rPr>
        <w:t xml:space="preserve">理暂行办法</w:t>
      </w:r>
      <w:bookmarkEnd w:id="7"/>
      <w:r>
        <w:rPr>
          <w:rFonts w:hint="eastAsia" w:ascii="宋体" w:hAnsi="宋体" w:eastAsia="宋体" w:cs="宋体"/>
          <w:sz w:val="24"/>
          <w:szCs w:val="24"/>
          <w:highlight w:val="none"/>
        </w:rPr>
        <w:t xml:space="preserve">》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供应商未在磋商小组规定的时间内在“苏采云”系统中提交最后报价的视为放弃磋商，其响应文件按无效响应处理。</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28</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评审方法与评审标准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评审方法。详见本磋商文件第五章。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 评审标准。详见本磋商文件第五章。</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29</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未实质性响应磋商文件的情形和采购活动终止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 未实质性响应磋商文件的情形：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（1）供应商未按照磋商文件要求提交（上传）电子响应文件的。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（2）供应商在“苏采云”系统规定的时间内未成功解密电子响应文件的。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（3）供应商不具备磋商文件中规定的资格要求的。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（5）不符合磋商文件规定的实质性要求和条件的。（本磋商文件中斜体且有下划线部分为实质性要求和条件）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（7）供应商未通过符合性审查的。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（8）供应商未按照要求对磋商或者最后报价作出响应的。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（9）供应商提交两个（含两个）以上不同的最后报价的。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（10）供应商的最后报价超过了采购预算或者最高限价的。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（12）响应文件含有采购人不能接受的附加条件的。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（13）响应文件未按照磋商文件要求加盖公章（CA电子公章）的。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（14）其他法律、法规及本磋商文件规定的属于未实质性响应磋商文件的情形。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 有下列情形之一的，视为供应商串通，响应无效：</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（1）不同供应商的响应文件由同一单位或者个人编制。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（2）不同供应商委托同一单位或者个人办理磋商事宜。</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（3）不同供应商的响应文件载明的项目管理成员或者联系人员为同一人。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（4）不同供应商的响应文件异常一致或者最后报价呈规律性差异。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（5）不同供应商的响应文件相互混装。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 采购活动终止的情形：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（1）因“苏采云”系统故障原因造成开启（解密）不成功的，或者至磋商文件规定的截止时间成功解密电子响应文件的供应商不足三家的。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（2）磋商小组认定磋商文件存在歧义、重大缺陷导致评审工作无法进行，或者磋商文件内容违反国家有关强制性规定的。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（3）除本磋商文件第二章第27.2条第三款规定的情形外，符合专业条件的供应商或者对磋商文件作实质响应的供应商不足三家的。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（4）出现影响采购公正的违法、违规行为的。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（5）因重大变故，采购任务取消的。</w:t>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六、成交</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30</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确定成交单位</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 采购人从评审报告提出的成交候选供应商中，按照排序由高到低的原则确定成交供应商。采购人确定成交供应商后，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将在江苏政府采购网发布成交结果公告，公告期限为1个工作日。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 若有充分证据证明，成交供应商存在下列情形之一的，一经查实，将被取消成交资格：</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（1）提供虚假材料谋取中标、成交的。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（2）采取不正当手段诋毁、排挤其他供应商的。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（3）与采购人、其他供应商或者</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恶意串通的。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（5）属于本磋商文件规定的无效情形，但在评审过程中又未被磋商小组发现的。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（6）成交后无正当理由拒不与采购人签订政府采购合同或者未按照磋商文件确定的事项签订政府采购合同的。</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（7）将政府采购合同转包的。</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成交通知书</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 成交结果确定后，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 成交供应商应在成交后七个工作日内，向</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提供</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份与电子响应文件一致的纸质打印胶装响应文件，封面、骑缝需加盖公章。</w:t>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七、授予合同</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签订合同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成交供应商应当在成交通知书发出之日起三十日内，按照磋商文件和成交供应商响应文件的规定，与采购人签订政府采购合同。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 磋商文件、成交供应商的响应文件及磋商采购过程中有关澄清、承诺、磋商响应等文件均应作为合同附件。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32.4采购人应当在合同签订后2</w:t>
      </w:r>
      <w:r>
        <w:rPr>
          <w:rFonts w:hint="eastAsia" w:ascii="宋体" w:hAnsi="宋体" w:eastAsia="宋体" w:cs="宋体"/>
          <w:sz w:val="24"/>
          <w:szCs w:val="24"/>
          <w:highlight w:val="none"/>
          <w:lang w:val="en-US" w:eastAsia="zh-CN"/>
        </w:rPr>
        <w:t xml:space="preserve">个工作</w:t>
      </w:r>
      <w:r>
        <w:rPr>
          <w:rFonts w:hint="eastAsia" w:ascii="宋体" w:hAnsi="宋体" w:eastAsia="宋体" w:cs="宋体"/>
          <w:sz w:val="24"/>
          <w:szCs w:val="24"/>
          <w:highlight w:val="none"/>
        </w:rPr>
        <w:t xml:space="preserve">日内上传合同至苏采云公示。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32.5履约保证金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32.5.2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32.5.3 履约保证金自合同生效之日起至合同约定的成交供应商主要义务履行完毕止，采购人应当按合同约定及时退还履约保证金。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32.5.4 逾期退还履约保证金的采购人承担违约责任，按照中国人民银行同期贷款基准利率向成交供应商支付超期资金占用费。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32.5.5 本项目履约保证金要求详见</w:t>
      </w:r>
      <w:r>
        <w:rPr>
          <w:rFonts w:hint="eastAsia" w:ascii="宋体" w:hAnsi="宋体" w:eastAsia="宋体" w:cs="宋体"/>
          <w:sz w:val="24"/>
          <w:szCs w:val="24"/>
          <w:highlight w:val="none"/>
          <w:lang w:eastAsia="zh-CN"/>
        </w:rPr>
        <w:t xml:space="preserve">磋商文件</w:t>
      </w:r>
      <w:r>
        <w:rPr>
          <w:rFonts w:hint="eastAsia" w:ascii="宋体" w:hAnsi="宋体" w:eastAsia="宋体" w:cs="宋体"/>
          <w:sz w:val="24"/>
          <w:szCs w:val="24"/>
          <w:highlight w:val="none"/>
        </w:rPr>
        <w:t xml:space="preserve">第四章 采购需求。</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33</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合同标的的追加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34</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政府采购履约资金扶持政策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34.1 成交供应商可凭政府采购合同办理融资贷款，详情请见江苏政府采购网“政采贷”专栏。</w:t>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八、询问与质疑</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35</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询问</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35.1 供应商对政府采购活动事项有疑问的，可以提出询问，采购人或者</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应当在3个工作日内对供应商依法提出的询问作出答复，但答复的内容不得涉及商业秘密。供应商提出的询问超出采购人对</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委托授权范围的，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应当告知其向采购人提出。</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36</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质疑提出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36.1 提出质疑的供应商应当是参与所质疑项目采购活动的供应商。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将只对供应商第一次质疑作出答复。</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不具有法定调查、认定权限。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36.4 质疑函的接收方式为供应商书面原件提交。联系部门、联系电话和通讯地址详见磋商文件第一章。质疑实行实名制，不得进行虚假、恶意质疑。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36.5 质疑函应当使用范本，详见磋商文件第六章。供应商提出质疑应当提交质疑函和必要的证明材料，应当包括下列内容：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（1）供应商的姓名或者名称、地址、邮编、联系人及联系电话；</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（3）具体、明确的质疑事项和与质疑事项相关的请求；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（6）提出质疑的日期；</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（7）必要的证明材料；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（8）营业执照复印件及授权委托书原件、法定代表人（单位负责人）身份证复印件、委托代理人身份证复印件。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49"/>
        <w:ind w:firstLine="562"/>
        <w:jc w:val="left"/>
        <w:spacing w:before="0" w:after="0" w:line="360" w:lineRule="auto"/>
        <w:rPr>
          <w:rFonts w:hint="eastAsia" w:ascii="宋体" w:hAnsi="宋体" w:eastAsia="宋体" w:cs="宋体"/>
          <w:sz w:val="24"/>
          <w:szCs w:val="24"/>
          <w:highlight w:val="none"/>
        </w:rPr>
      </w:pPr>
      <w:r>
        <w:rPr>
          <w:rFonts w:hint="eastAsia" w:ascii="宋体" w:hAnsi="宋体" w:eastAsia="宋体" w:cs="宋体"/>
          <w:sz w:val="28"/>
          <w:szCs w:val="28"/>
          <w:highlight w:val="none"/>
        </w:rPr>
        <w:t xml:space="preserve">37</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质疑函的受理和答复</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不负责搜集必要的证明材料等工作。</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37.2 对符合法定要求的质疑，采购人、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37.3 对不符合质疑要求的，采购人、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有权要求其补充必要的证明材料，质疑供应商未在法定时间内补充必要的证明材料的，视同放弃质疑。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37.4 以下情形的质疑依法不予受理：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（1）内容不符合《政府采购质疑和投诉办法》第十二条规定的质疑。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（2）超出政府采购法定期限的质疑。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（3）以传真、电子邮件等方式提交的非原件形式的质疑。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（4）未参与采购活动或在采购活动中自身权益未受到损害的供应商提出的质疑。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（5）供应商组成联合体，联合体中任何一方或多方未按要求签字（盖章）、加盖公章的质疑。</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37.5 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依法受理的质疑，将按照政府采购有关规定，在法定期限内作出答复。</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38</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质疑处理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38.1 质疑供应商未按照法定程序进行质疑投诉的，视为一般失信行为。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38.2 质疑供应商不配合或者采取不正当手段干扰政府采购质疑、投诉处理工作的，视为一般失信行为。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38.3 质疑供应商投诉受理期间，就同一事项多头举报，干扰财政部门投诉处理的，视为一般失信行为。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38.4 质疑供应商在全国范围12个月内三次以上质疑查无实据的，视为一般失信行为。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38.6 质疑供应商在全国范围12个月内三次以上投诉查无实据的，视为严重失信行为。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38.7 未尽事宜，依照有关法律、法规执行。</w:t>
      </w:r>
      <w:r/>
    </w:p>
    <w:p>
      <w:pPr>
        <w:pStyle w:val="648"/>
        <w:ind w:firstLine="643"/>
        <w:spacing w:before="0" w:after="0"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九、政府采购政策功能</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39</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促进中小企业发展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 本项目对提供的服务全部由小型企业、微型企业、残疾人福利性单位和监狱企业承接的报价给予10%的扣除，用扣除后的价格参与评审。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.3 参加本项目政府采购活动的供应商享受价格评审优惠的应当提供的材料：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（1）供应商为小型企业、微型企业的，提供《中小企业声明函》（第六章 响应文件格式）。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.4残疾人福利单位、监狱企业属于小型、微型企业的，不重复享受政策。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.5享受扶持政策获得政府采购合同的，小微型企业不得将合同分包给大中型企业，中型企业不得将合同分包给大型企业。</w:t>
      </w:r>
      <w:r/>
    </w:p>
    <w:p>
      <w:pPr>
        <w:pStyle w:val="649"/>
        <w:ind w:firstLine="562"/>
        <w:jc w:val="left"/>
        <w:spacing w:before="0" w:after="0"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40</w:t>
      </w:r>
      <w:r>
        <w:rPr>
          <w:rFonts w:hint="eastAsia" w:ascii="宋体" w:hAnsi="宋体" w:eastAsia="宋体" w:cs="宋体"/>
          <w:sz w:val="28"/>
          <w:szCs w:val="28"/>
          <w:highlight w:val="none"/>
          <w:lang w:val="en-US" w:eastAsia="zh-CN"/>
        </w:rPr>
        <w:t xml:space="preserve">.采购本国产品的支持政策</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根据《国务院办公厅关于在政府采购中实施本国产品标准及相关政策的通知》（国办发〔2025〕34号），本项目不涉及货物，不执行本国产品价格评审优惠。</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41</w:t>
      </w:r>
      <w:r>
        <w:rPr>
          <w:rFonts w:hint="eastAsia" w:ascii="宋体" w:hAnsi="宋体" w:eastAsia="宋体" w:cs="宋体"/>
          <w:sz w:val="28"/>
          <w:szCs w:val="28"/>
          <w:highlight w:val="none"/>
        </w:rPr>
        <w:t xml:space="preserve">.支持绿色发展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.1 本项目执行《关于印发环境标志</w:t>
      </w:r>
      <w:bookmarkStart w:id="36" w:name="_GoBack"/>
      <w:r/>
      <w:bookmarkEnd w:id="36"/>
      <w:r>
        <w:rPr>
          <w:rFonts w:hint="eastAsia" w:ascii="宋体" w:hAnsi="宋体" w:eastAsia="宋体" w:cs="宋体"/>
          <w:sz w:val="24"/>
          <w:szCs w:val="24"/>
          <w:highlight w:val="none"/>
        </w:rPr>
        <w:t xml:space="preserve">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快递包装政府采购需求标准（试行）》。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.3落实挥发性有机化合物（VOCs）治理要求，政府采购项目中涉及涂料、胶黏剂、油墨、清洗剂等挥发性有机物产品的，属于强制性标准的，</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须执行国家和我省 VOCs含量限制标准；</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优先使用低挥发性原辅材料，将使用低 VOCs 含量的涂料、胶黏剂等纳入政府采购合同条款。</w:t>
      </w:r>
      <w:r/>
    </w:p>
    <w:p>
      <w:pPr>
        <w:pStyle w:val="649"/>
        <w:ind w:firstLine="562"/>
        <w:jc w:val="left"/>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政府采购需求标准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 本项目执行《绿色数据中心政府采购需求标准（试行）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台式计算机政府采购需求标准（2023年版）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便携式计算机政府采购需求标准（2023年版）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一体式计算机政府采购需求标准（2023年版）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工作站政府采购需求标准（2023年版）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通用服务器政府采购需求标准（2023年版）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操作系统政府采购需求标准（2023年版）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sz w:val="24"/>
          <w:szCs w:val="24"/>
          <w:highlight w:val="none"/>
        </w:rPr>
        <w:br w:type="page" w:clear="all"/>
      </w:r>
      <w:r/>
    </w:p>
    <w:p>
      <w:pPr>
        <w:pStyle w:val="647"/>
        <w:ind w:firstLine="883"/>
        <w:jc w:val="center"/>
        <w:spacing w:before="156" w:after="156" w:line="360" w:lineRule="auto"/>
        <w:rPr>
          <w:rFonts w:hint="eastAsia" w:ascii="宋体" w:hAnsi="宋体" w:eastAsia="宋体" w:cs="宋体"/>
          <w:b/>
          <w:bCs w:val="0"/>
          <w:highlight w:val="none"/>
        </w:rPr>
      </w:pPr>
      <w:r/>
      <w:bookmarkStart w:id="8" w:name="_Toc25012"/>
      <w:r/>
      <w:bookmarkStart w:id="9" w:name="_Toc24084"/>
      <w:r/>
      <w:bookmarkStart w:id="10" w:name="_Toc161932693"/>
      <w:r>
        <w:rPr>
          <w:rFonts w:hint="eastAsia" w:ascii="宋体" w:hAnsi="宋体" w:eastAsia="宋体" w:cs="宋体"/>
          <w:b/>
          <w:bCs w:val="0"/>
          <w:highlight w:val="none"/>
        </w:rPr>
        <w:t xml:space="preserve">第三章  合同文本</w:t>
      </w:r>
      <w:bookmarkEnd w:id="8"/>
      <w:r/>
      <w:bookmarkEnd w:id="9"/>
      <w:r/>
      <w:bookmarkEnd w:id="10"/>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1000" w:lineRule="exact"/>
        <w:rPr>
          <w:rFonts w:hint="eastAsia" w:ascii="宋体" w:hAnsi="宋体" w:eastAsia="宋体" w:cs="宋体"/>
          <w:b/>
          <w:bCs/>
          <w:spacing w:val="11"/>
          <w:sz w:val="40"/>
          <w:szCs w:val="40"/>
          <w:highlight w:val="none"/>
        </w:rPr>
      </w:pPr>
      <w:r>
        <w:rPr>
          <w:rFonts w:hint="eastAsia" w:ascii="宋体" w:hAnsi="宋体" w:eastAsia="宋体" w:cs="宋体"/>
          <w:b/>
          <w:bCs/>
          <w:spacing w:val="11"/>
          <w:sz w:val="40"/>
          <w:szCs w:val="40"/>
          <w:highlight w:val="none"/>
          <w:lang w:eastAsia="zh-CN"/>
        </w:rPr>
        <w:t xml:space="preserve">2026年徐圩新区特种设备安全第三方技术服务</w:t>
      </w:r>
      <w:r>
        <w:rPr>
          <w:rFonts w:hint="eastAsia" w:ascii="宋体" w:hAnsi="宋体" w:eastAsia="宋体" w:cs="宋体"/>
          <w:b/>
          <w:bCs/>
          <w:spacing w:val="11"/>
          <w:sz w:val="40"/>
          <w:szCs w:val="40"/>
          <w:highlight w:val="none"/>
        </w:rPr>
        <w:t xml:space="preserve">合同</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7"/>
        <w:rPr>
          <w:rFonts w:hint="eastAsia" w:eastAsia="宋体" w:cs="宋体"/>
          <w:highlight w:val="none"/>
        </w:rPr>
      </w:pPr>
      <w:r>
        <w:rPr>
          <w:rFonts w:hint="eastAsia" w:eastAsia="宋体" w:cs="宋体"/>
          <w:highlight w:val="none"/>
        </w:rPr>
      </w:r>
      <w:r/>
    </w:p>
    <w:p>
      <w:pPr>
        <w:pStyle w:val="682"/>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pStyle w:val="682"/>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pStyle w:val="682"/>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pStyle w:val="682"/>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pStyle w:val="682"/>
        <w:ind w:firstLine="0"/>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pStyle w:val="682"/>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pStyle w:val="682"/>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pStyle w:val="682"/>
        <w:jc w:val="both"/>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spacing w:line="800" w:lineRule="exact"/>
        <w:rPr>
          <w:rFonts w:hint="eastAsia" w:ascii="宋体" w:hAnsi="宋体" w:eastAsia="宋体" w:cs="宋体"/>
          <w:b/>
          <w:bCs/>
          <w:color w:val="000000"/>
          <w:spacing w:val="-20"/>
          <w:sz w:val="32"/>
          <w:szCs w:val="20"/>
          <w:highlight w:val="none"/>
        </w:rPr>
      </w:pPr>
      <w:r>
        <w:rPr>
          <w:rFonts w:hint="eastAsia" w:ascii="宋体" w:hAnsi="宋体" w:eastAsia="宋体" w:cs="宋体"/>
          <w:b/>
          <w:bCs/>
          <w:color w:val="000000"/>
          <w:sz w:val="32"/>
          <w:szCs w:val="20"/>
          <w:highlight w:val="none"/>
        </w:rPr>
        <w:t xml:space="preserve">甲方：</w:t>
      </w:r>
      <w:r>
        <w:rPr>
          <w:rFonts w:hint="eastAsia" w:ascii="宋体" w:hAnsi="宋体" w:eastAsia="宋体" w:cs="宋体"/>
          <w:b/>
          <w:bCs/>
          <w:color w:val="000000"/>
          <w:spacing w:val="-20"/>
          <w:sz w:val="32"/>
          <w:szCs w:val="20"/>
          <w:highlight w:val="none"/>
        </w:rPr>
        <w:t xml:space="preserve"> </w:t>
      </w:r>
      <w:r/>
    </w:p>
    <w:p>
      <w:pPr>
        <w:spacing w:line="800" w:lineRule="exact"/>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t xml:space="preserve">乙方：</w:t>
      </w:r>
      <w:r>
        <w:rPr>
          <w:rFonts w:hint="eastAsia" w:ascii="宋体" w:hAnsi="宋体" w:eastAsia="宋体" w:cs="宋体"/>
          <w:b/>
          <w:bCs/>
          <w:color w:val="000000"/>
          <w:spacing w:val="-6"/>
          <w:sz w:val="32"/>
          <w:szCs w:val="20"/>
          <w:highlight w:val="none"/>
        </w:rPr>
        <w:t xml:space="preserve"> </w:t>
      </w:r>
      <w:r/>
    </w:p>
    <w:p>
      <w:pPr>
        <w:jc w:val="center"/>
        <w:spacing w:line="800" w:lineRule="exact"/>
        <w:rPr>
          <w:rFonts w:hint="eastAsia" w:ascii="宋体" w:hAnsi="宋体" w:eastAsia="宋体" w:cs="宋体"/>
          <w:b/>
          <w:bCs/>
          <w:color w:val="000000"/>
          <w:sz w:val="32"/>
          <w:szCs w:val="20"/>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b/>
          <w:bCs/>
          <w:color w:val="000000"/>
          <w:sz w:val="32"/>
          <w:szCs w:val="20"/>
          <w:highlight w:val="none"/>
        </w:rPr>
        <w:t xml:space="preserve">年  月  日</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以下为成交后签订本项目合同的通用条款，成交供应商不得提出实质性的修改，关于专用条款将由采购人与成交供应商结合本项目具体情况协商后签订。</w:t>
      </w:r>
      <w:bookmarkStart w:id="11" w:name="_Hlt16619369"/>
      <w:r/>
      <w:bookmarkEnd w:id="11"/>
      <w:r/>
      <w:r/>
    </w:p>
    <w:p>
      <w:pPr>
        <w:ind w:firstLine="643"/>
        <w:jc w:val="left"/>
        <w:keepLines w:val="0"/>
        <w:keepNext w:val="0"/>
        <w:pageBreakBefore w:val="0"/>
        <w:spacing w:line="360" w:lineRule="auto"/>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643"/>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color w:val="000000"/>
          <w:sz w:val="32"/>
          <w:szCs w:val="32"/>
          <w:highlight w:val="none"/>
        </w:rPr>
        <w:t xml:space="preserve">政府采购合同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甲方：【采购单位】</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月</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color w:val="000000"/>
          <w:sz w:val="24"/>
          <w:szCs w:val="24"/>
          <w:highlight w:val="none"/>
        </w:rPr>
        <w:t xml:space="preserve">【标段名称】项目（标段编号：【标段编号】）竞争性磋商采购的结果，签订本合同。</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 服务内容：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服务要求：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1.3 服务标准：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 补充条款：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本合同金额为人民币（大写）：_________________元整（¥__________）。</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乙方应按磋商文件规定的时间向甲方提供有关技术资料。</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w:t>
      </w:r>
      <w:r>
        <w:rPr>
          <w:rFonts w:hint="eastAsia" w:ascii="宋体" w:hAnsi="宋体" w:eastAsia="宋体" w:cs="宋体"/>
          <w:color w:val="000000"/>
          <w:sz w:val="24"/>
          <w:szCs w:val="24"/>
          <w:highlight w:val="none"/>
          <w:lang w:eastAsia="zh-CN"/>
        </w:rPr>
        <w:t xml:space="preserve">给</w:t>
      </w:r>
      <w:r>
        <w:rPr>
          <w:rFonts w:hint="eastAsia" w:ascii="宋体" w:hAnsi="宋体" w:eastAsia="宋体" w:cs="宋体"/>
          <w:color w:val="000000"/>
          <w:sz w:val="24"/>
          <w:szCs w:val="24"/>
          <w:highlight w:val="none"/>
          <w:lang w:val="en-US" w:eastAsia="zh-CN"/>
        </w:rPr>
        <w:t xml:space="preserve">与</w:t>
      </w:r>
      <w:r>
        <w:rPr>
          <w:rFonts w:hint="eastAsia" w:ascii="宋体" w:hAnsi="宋体" w:eastAsia="宋体" w:cs="宋体"/>
          <w:color w:val="000000"/>
          <w:sz w:val="24"/>
          <w:szCs w:val="24"/>
          <w:highlight w:val="none"/>
        </w:rPr>
        <w:t xml:space="preserve">履行本合同无关的任何其他人。即使向履行本合同有关的人员提供，也应注意保密并限于履行合同的必需范围。</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五、产权担保</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 乙方保证所交付标的的所有权完全属于乙方且无任何抵押、查封等产权瑕疵。</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6.1本项目不收取履约保证金。</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七、转包或分包</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本合同范围内产品或服务，</w:t>
      </w:r>
      <w:r>
        <w:rPr>
          <w:rFonts w:hint="eastAsia" w:ascii="宋体" w:hAnsi="宋体" w:eastAsia="宋体" w:cs="宋体"/>
          <w:color w:val="000000"/>
          <w:sz w:val="24"/>
          <w:highlight w:val="none"/>
        </w:rPr>
        <w:t xml:space="preserve">应由乙方直接供应，不得转让他人供应或部分分包给他人供应。</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如有转让和未经甲方同意的分包行为，甲方有权终止合同。</w:t>
      </w:r>
      <w:r/>
    </w:p>
    <w:p>
      <w:pPr>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八、服务时间</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服务时间：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九、交付期、交付方式及交付地点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9.1 交 付 期：</w:t>
      </w:r>
      <w:r>
        <w:rPr>
          <w:rFonts w:hint="eastAsia" w:ascii="宋体" w:hAnsi="宋体" w:eastAsia="宋体" w:cs="宋体"/>
          <w:color w:val="000000"/>
          <w:sz w:val="24"/>
          <w:szCs w:val="24"/>
          <w:highlight w:val="none"/>
        </w:rPr>
        <w:t xml:space="preserve">_________。   </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9.2 交付方式：</w:t>
      </w:r>
      <w:r>
        <w:rPr>
          <w:rFonts w:hint="eastAsia" w:ascii="宋体" w:hAnsi="宋体" w:eastAsia="宋体" w:cs="宋体"/>
          <w:color w:val="000000"/>
          <w:sz w:val="24"/>
          <w:szCs w:val="24"/>
          <w:highlight w:val="none"/>
        </w:rPr>
        <w:t xml:space="preserve">_________。</w:t>
      </w:r>
      <w:r/>
    </w:p>
    <w:p>
      <w:pPr>
        <w:ind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9.3 交付地点：</w:t>
      </w:r>
      <w:r>
        <w:rPr>
          <w:rFonts w:hint="eastAsia" w:ascii="宋体" w:hAnsi="宋体" w:eastAsia="宋体" w:cs="宋体"/>
          <w:color w:val="000000"/>
          <w:sz w:val="24"/>
          <w:szCs w:val="24"/>
          <w:highlight w:val="none"/>
        </w:rPr>
        <w:t xml:space="preserve">_________。</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十、合同款支付</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10.1付款方式</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本项目无预付款，服务费分四期支付，各期款项支付均以当次履约考核为前提。</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10.1.1 进度款支付与当期考核扣减</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（1）前三季度：乙方每季度提交工作进度总结后，甲方组织当次履约考核，确认当期处罚金额。双方书面确认后，当期支付金额=（暂定合同总价×25%）-当期处罚金额。甲方支付该净额。</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（2）第四期（最终结算）：乙方提交全部最终成果并经甲方最终验收考核，双方确认全部处罚金额（含此前已扣及本次新产生的处罚金额）及最终结算价款后，甲方支付剩余款项，付至最终结算价款的100%。</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每次付款前，乙方均须向甲方提供等额、合法有效的发票。</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10.1.2 考核扣款确认原则</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任一期款项支付，均以双方书面确认处罚金额为前提。甲方仅在处罚金额确认后，按扣减后净额支付，无需另行通知或同意。</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十一、税费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本合同执行中相关的一切税费均由乙方负担。</w:t>
      </w:r>
      <w:r/>
    </w:p>
    <w:p>
      <w:pPr>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十二、质量保证及售后服务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乙方应按磋商文件规定和响应文件承诺的性能、技术要求、质量标准向甲方提供产品或服务。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乙方提供的产品或服务在服务期内因其本身出现质量问题，</w:t>
      </w:r>
      <w:r>
        <w:rPr>
          <w:rFonts w:hint="eastAsia" w:ascii="宋体" w:hAnsi="宋体" w:cs="宋体"/>
          <w:color w:val="000000"/>
          <w:sz w:val="24"/>
          <w:szCs w:val="24"/>
          <w:highlight w:val="none"/>
          <w:lang w:val="en-US" w:eastAsia="zh-CN"/>
        </w:rPr>
        <w:t xml:space="preserve">甲方可选择</w:t>
      </w:r>
      <w:r>
        <w:rPr>
          <w:rFonts w:hint="eastAsia" w:ascii="宋体" w:hAnsi="宋体" w:eastAsia="宋体" w:cs="宋体"/>
          <w:color w:val="000000"/>
          <w:sz w:val="24"/>
          <w:szCs w:val="24"/>
          <w:highlight w:val="none"/>
        </w:rPr>
        <w:t xml:space="preserve">以下办法处理：</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（1）更换：由乙方承担所产生的全部费用。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（2）合同终止处理：合同终止，乙方退还甲方支付的合同款，同时承担由此产生的全部费用，甲方不承担任何产生费用。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如在使用过程中发生质量问题，乙方在接到甲方通知后在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小时内到达甲方现场。</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在服务期内，乙方应对产品或服务出现的质量及安全问题负责处理解决并承担一切费用。</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十三、验收</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甲方对乙方交付的产品或服务依据磋商文件中的项目需求要求、乙方响应文件及国家有关质量标准进行验收。</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乙方交付前应对产品或服务</w:t>
      </w:r>
      <w:r>
        <w:rPr>
          <w:rFonts w:hint="eastAsia" w:ascii="宋体" w:hAnsi="宋体" w:eastAsia="宋体" w:cs="宋体"/>
          <w:color w:val="000000"/>
          <w:sz w:val="24"/>
          <w:szCs w:val="24"/>
          <w:highlight w:val="none"/>
          <w:lang w:eastAsia="zh-CN"/>
        </w:rPr>
        <w:t xml:space="preserve">做出</w:t>
      </w:r>
      <w:r>
        <w:rPr>
          <w:rFonts w:hint="eastAsia" w:ascii="宋体" w:hAnsi="宋体" w:eastAsia="宋体" w:cs="宋体"/>
          <w:color w:val="000000"/>
          <w:sz w:val="24"/>
          <w:szCs w:val="24"/>
          <w:highlight w:val="none"/>
        </w:rPr>
        <w:t xml:space="preserve">全面检查和对验收文件进行整理，并列出清单，作为甲方验收和使用的技术条件依据，检验的结果应随交付内容一并提交甲方。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甲方对乙方提供的产品或服务在使用前，乙方需负责培训甲方的使用操作人员，并协助甲方一起试用，直到符合技术要求，甲方才做最终验收。</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对技术复杂的产品或服务，甲方可请国家认可的专业检测机构参与初步验收及最终验收，并由其出具质量检测报告。</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 验收时乙方必须在现场，验收完毕后做出验收结果报告，磋商文件规定以外的验收费用由甲乙双方协商解决。</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十四、合同内容的交付</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乙方应保证合同标的安全运达甲方指定地点。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使用说明书、质量检验证明书等一并提交甲方。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乙方在合同标的交付甲方48小时前通知甲方准备接收。</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合同标的在交付甲方前发生的风险均由乙方负责。</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 合同标的在规定的交付期限内由乙方送达甲方指定的地点视为交付，乙方同时需通知甲方已送达。</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十五、违约责任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15.1发现乙方人员有收受被管理方财物、违规接受吃请且未造成严重影响的，要求乙方退还违规所得，并扣除服务机构1万元/人·次的费用；情节严重的，上报至管委会纪检监察部门。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15.2因乙方未能依法依规及时开展工作导致监管项目后期发生质量问题或事故，且属地政府被认定履职不到位的，对一般事故或造成不良社会影响的处以10万元/次的罚款；对较大事故或造成严重不良影响的，处以25万元/次的罚款；对重大及以上事故的，处以50万元/次的罚款。在盛虹炼化专项期间，若发生因质量管控失职导致重大检验质量事故或虚假报告未被发现，参照条款中的较大事故或重大事故标准进行顶格处罚。</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15.3乙方需在合同签订之日起5日内提供响应文件中承诺及配备的人员，并在10日内开展检查检测工作。因乙方原因导致符合项目要求的人员进场滞后的，每延后一天处800元/人·日的罚款。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15.4甲方将根据项目实施情况，每3个月对乙方技术人员进行能力评估，评估以磋商文件约定的</w:t>
      </w:r>
      <w:r>
        <w:rPr>
          <w:rFonts w:hint="eastAsia" w:ascii="宋体" w:hAnsi="宋体" w:eastAsia="宋体" w:cs="宋体"/>
          <w:color w:val="auto"/>
          <w:sz w:val="24"/>
          <w:szCs w:val="24"/>
          <w:highlight w:val="none"/>
          <w:lang w:val="en-US" w:eastAsia="zh-CN"/>
        </w:rPr>
        <w:t xml:space="preserve">服务内容和服务要求为依据，经评估认定乙方技术人员存在专业资质不符、技术能力不满足服务需求、履职不到位、服务质量不达标等情形，导致无法正常开展技术服务工作的，经甲方项目负责人、分管副局长、局长共同审核确认并出具书面评估意见后，乙方应在接到书面通知之日起10日内，更换符合本项目要求的人员并经甲方验收合格。逾期未更换或更换后仍不符合要求的，甲方有权按照合同约定追究相应违约责任。如出现乙方人员因能力不合格被甲方强制更换的，每更换 1 人，将对乙方处以5000元/人的罚款。人员更换流程及滞后处罚依据本项第15.3条。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15.5乙方应按照响应文件承诺投入的人员提供检查检测服务，如乙方未经甲方同意擅自更换人员的，除本项第15.3条补充提供资格不低于原投标承诺的人员外，还应处以5000元/人的罚款。</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综上，乙方若发生上述行为之一的，甲方也有权选择解除本合同。甲方解除合同的，乙方还应向甲方支付合同总金额5%的违约金，退回已收费用，如造成甲方的损失超过违约金的，超出部分由乙方继续承担赔偿责任。</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十六、不可抗力事件处理</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在合同有效期内，任何一方因不可抗力事件导致不能履行合同，则合同履行期延长，其延长期与不可抗力影响期相同。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不可抗力事件发生后，应立即通知对方，并寄送有关权威机构出具的证明。</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不可抗力事件延续120天以上，双方应通过友好协商，确定是否继续履行合同。</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十七、争议解决</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甲、乙双方在执行合同中所发生的一切争议，应通过协商解决。如协商不成，按下列第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种方式解决：</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（1）向连云港仲裁委员会申请仲裁。</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（2）向合同签订地法院起诉，合同签订地在此约定为连云港市</w:t>
      </w:r>
      <w:r>
        <w:rPr>
          <w:rFonts w:hint="eastAsia" w:ascii="宋体" w:hAnsi="宋体" w:cs="宋体"/>
          <w:color w:val="000000"/>
          <w:sz w:val="24"/>
          <w:szCs w:val="24"/>
          <w:highlight w:val="none"/>
          <w:lang w:val="en-US" w:eastAsia="zh-CN"/>
        </w:rPr>
        <w:t xml:space="preserve">徐圩新区</w:t>
      </w:r>
      <w:r>
        <w:rPr>
          <w:rFonts w:hint="eastAsia" w:ascii="宋体" w:hAnsi="宋体" w:eastAsia="宋体" w:cs="宋体"/>
          <w:color w:val="000000"/>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十八、合同生效及其他</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本合同经双方法定代表人或委托代理人签名并加盖单位公章后生效。</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本合同未尽事宜，遵照《中华人民共和国民法典》有关条文执行。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本合同一式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份，具有同等法律效力，甲方、乙方</w:t>
      </w:r>
      <w:r>
        <w:rPr>
          <w:rFonts w:hint="eastAsia" w:ascii="宋体" w:hAnsi="宋体" w:eastAsia="宋体" w:cs="宋体"/>
          <w:color w:val="000000"/>
          <w:sz w:val="24"/>
          <w:szCs w:val="24"/>
          <w:highlight w:val="none"/>
          <w:lang w:val="en-US" w:eastAsia="zh-CN"/>
        </w:rPr>
        <w:t xml:space="preserve">各执二份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及财政监督管理部门各执一份。</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委托代理人：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传真：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见证方：</w:t>
      </w:r>
      <w:r/>
    </w:p>
    <w:p>
      <w:pPr>
        <w:ind w:firstLine="480"/>
        <w:jc w:val="left"/>
        <w:keepLines w:val="0"/>
        <w:keepNext w:val="0"/>
        <w:pageBreakBefore w:val="0"/>
        <w:spacing w:line="360" w:lineRule="auto"/>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日期：</w:t>
      </w:r>
      <w:r/>
    </w:p>
    <w:p>
      <w:r/>
      <w:r/>
    </w:p>
    <w:p>
      <w:pPr>
        <w:jc w:val="center"/>
        <w:spacing w:line="800" w:lineRule="exact"/>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r>
      <w:r/>
    </w:p>
    <w:p>
      <w:pPr>
        <w:ind w:firstLine="640"/>
        <w:jc w:val="center"/>
        <w:spacing w:line="360" w:lineRule="auto"/>
        <w:rPr>
          <w:rFonts w:hint="eastAsia" w:ascii="宋体" w:hAnsi="宋体" w:eastAsia="宋体" w:cs="宋体"/>
          <w:sz w:val="32"/>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32"/>
          <w:szCs w:val="24"/>
          <w:highlight w:val="none"/>
        </w:rPr>
      </w:r>
      <w:r/>
    </w:p>
    <w:p>
      <w:pPr>
        <w:pStyle w:val="647"/>
        <w:ind w:firstLine="883"/>
        <w:jc w:val="center"/>
        <w:spacing w:before="156" w:after="156" w:line="360" w:lineRule="auto"/>
        <w:rPr>
          <w:rFonts w:hint="eastAsia" w:ascii="宋体" w:hAnsi="宋体" w:eastAsia="宋体" w:cs="宋体"/>
          <w:b/>
          <w:bCs w:val="0"/>
          <w:highlight w:val="none"/>
        </w:rPr>
      </w:pPr>
      <w:r/>
      <w:bookmarkStart w:id="12" w:name="_Toc161932694"/>
      <w:r/>
      <w:bookmarkStart w:id="13" w:name="_Toc27643"/>
      <w:r/>
      <w:bookmarkStart w:id="14" w:name="_Toc22419"/>
      <w:r>
        <w:rPr>
          <w:rFonts w:hint="eastAsia" w:ascii="宋体" w:hAnsi="宋体" w:eastAsia="宋体" w:cs="宋体"/>
          <w:b/>
          <w:bCs w:val="0"/>
          <w:highlight w:val="none"/>
        </w:rPr>
        <w:t xml:space="preserve">第四章  采购需求</w:t>
      </w:r>
      <w:bookmarkEnd w:id="12"/>
      <w:r/>
      <w:bookmarkEnd w:id="13"/>
      <w:r/>
      <w:bookmarkEnd w:id="14"/>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说明：本项目属性为</w:t>
      </w:r>
      <w:r>
        <w:rPr>
          <w:rFonts w:hint="eastAsia" w:ascii="宋体" w:hAnsi="宋体" w:eastAsia="宋体" w:cs="宋体"/>
          <w:b/>
          <w:sz w:val="24"/>
          <w:szCs w:val="24"/>
          <w:highlight w:val="none"/>
        </w:rPr>
        <w:t xml:space="preserve">服务</w:t>
      </w:r>
      <w:r>
        <w:rPr>
          <w:rFonts w:hint="eastAsia" w:ascii="宋体" w:hAnsi="宋体" w:eastAsia="宋体" w:cs="宋体"/>
          <w:sz w:val="24"/>
          <w:szCs w:val="24"/>
          <w:highlight w:val="none"/>
        </w:rPr>
        <w:t xml:space="preserve">，采购标的对应的中小企业划分标准所属行业为：</w:t>
      </w:r>
      <w:r>
        <w:rPr>
          <w:rFonts w:hint="eastAsia" w:ascii="宋体" w:hAnsi="宋体" w:eastAsia="宋体" w:cs="宋体"/>
          <w:sz w:val="24"/>
          <w:szCs w:val="24"/>
          <w:highlight w:val="none"/>
          <w:u w:val="single"/>
        </w:rPr>
        <w:t xml:space="preserve">其他未列明行业</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注：本项目标的所属行业为其他未列明行业。从业人员300人以下的为中小微型企业。其中，从业人员100人及以上的为中型企业；从业人员10人及以上的为小型企业；从业人员10人以下的为微型企业。</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本项目需求中</w:t>
      </w:r>
      <w:r>
        <w:rPr>
          <w:rFonts w:hint="eastAsia" w:ascii="宋体" w:hAnsi="宋体" w:eastAsia="宋体" w:cs="宋体"/>
          <w:b/>
          <w:bCs/>
          <w:color w:val="auto"/>
          <w:sz w:val="24"/>
          <w:szCs w:val="24"/>
          <w:highlight w:val="none"/>
          <w:lang w:val="en-US" w:eastAsia="zh-CN"/>
        </w:rPr>
        <w:t xml:space="preserve">标注</w:t>
      </w:r>
      <w:r>
        <w:rPr>
          <w:rFonts w:hint="eastAsia" w:ascii="宋体" w:hAnsi="宋体" w:eastAsia="宋体" w:cs="宋体"/>
          <w:b/>
          <w:bCs/>
          <w:color w:val="auto"/>
          <w:sz w:val="24"/>
          <w:szCs w:val="24"/>
          <w:highlight w:val="none"/>
        </w:rPr>
        <w:t xml:space="preserve">★为实质性要求和条件</w:t>
      </w:r>
      <w:r>
        <w:rPr>
          <w:rFonts w:hint="eastAsia" w:ascii="宋体" w:hAnsi="宋体" w:eastAsia="宋体" w:cs="宋体"/>
          <w:b/>
          <w:bCs/>
          <w:sz w:val="24"/>
          <w:szCs w:val="24"/>
          <w:highlight w:val="none"/>
        </w:rPr>
        <w:t xml:space="preserve">（由采购人根据实际情况设置），</w:t>
      </w:r>
      <w:r>
        <w:rPr>
          <w:rFonts w:hint="eastAsia" w:ascii="宋体" w:hAnsi="宋体" w:eastAsia="宋体" w:cs="宋体"/>
          <w:b/>
          <w:bCs/>
          <w:color w:val="ff0000"/>
          <w:sz w:val="24"/>
          <w:szCs w:val="24"/>
          <w:highlight w:val="none"/>
        </w:rPr>
        <w:t xml:space="preserve">供应商必须逐条明确作出满足实质性要求和条件的响应，否则响应无效。</w:t>
      </w:r>
      <w:r/>
    </w:p>
    <w:p>
      <w:pPr>
        <w:ind w:firstLine="562"/>
        <w:keepLines w:val="0"/>
        <w:keepNext w:val="0"/>
        <w:pageBreakBefore w:val="0"/>
        <w:spacing w:line="360" w:lineRule="auto"/>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一、项目背景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目前新区现有特种设备使用单位215家，在用特种设备1.83万台套，其中压力容器1.66万台，锅炉60台，电梯683台，起重机械612台，厂内机动车辆406辆；在用工业压力管道8100公里，占全市的80%。此外，2026年盛虹炼化迎来投产后的首次全覆盖定期检验，涉及压力容器3807台、压力管道2101.5公里，具有任务重、工况复杂、技术标准高、协同环节多的特点。为确保此次大规模检验质量可靠、数据真实、合规有效，需在年度技术服务框架下，针对该专项工作实施重点、高强度的检验过程质量管控。</w:t>
      </w:r>
      <w:r/>
    </w:p>
    <w:p>
      <w:pPr>
        <w:ind w:firstLine="562"/>
        <w:keepLines w:val="0"/>
        <w:keepNext w:val="0"/>
        <w:pageBreakBefore w:val="0"/>
        <w:spacing w:line="360" w:lineRule="auto"/>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二、服务范围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1.对公共管廊内压力管道的工程质量、施工安全、检验检测等环节开展监督工作提供技术支持。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2.配合监督管理部门开展法律法规的宣贯、质量安全宣讲等培训工作。</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3.配合监督管理部门开展特种设备事故应急预案审查及指导应急演练。</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4.配合监督管理部门开展重大节日、重点时段安全巡查以及夜间施工突击检查等。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5.协助监督管理部门处理特种设备事故隐患、事故调查等。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6.结合徐圩新区实际情况，建立特种设备质量安全监督工作指导手册，将日常巡查和季度专项检查形成周报、月报、季报、年报，整理形成纸质和电子档案，提交采购人。</w:t>
      </w:r>
      <w:r/>
    </w:p>
    <w:p>
      <w:pPr>
        <w:ind w:firstLine="562"/>
        <w:keepLines w:val="0"/>
        <w:keepNext w:val="0"/>
        <w:pageBreakBefore w:val="0"/>
        <w:spacing w:line="360" w:lineRule="auto"/>
        <w:widowControl w:val="off"/>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三、</w:t>
      </w:r>
      <w:r>
        <w:rPr>
          <w:rFonts w:hint="eastAsia" w:ascii="宋体" w:hAnsi="宋体" w:eastAsia="宋体" w:cs="宋体"/>
          <w:b/>
          <w:sz w:val="28"/>
          <w:szCs w:val="28"/>
          <w:highlight w:val="none"/>
        </w:rPr>
        <w:t xml:space="preserve">服务</w:t>
      </w:r>
      <w:r>
        <w:rPr>
          <w:rFonts w:hint="eastAsia" w:ascii="宋体" w:hAnsi="宋体" w:eastAsia="宋体" w:cs="宋体"/>
          <w:b/>
          <w:sz w:val="28"/>
          <w:szCs w:val="28"/>
          <w:highlight w:val="none"/>
          <w:lang w:val="en-US" w:eastAsia="zh-CN"/>
        </w:rPr>
        <w:t xml:space="preserve">内容及成果要求</w:t>
      </w:r>
      <w:r/>
    </w:p>
    <w:tbl>
      <w:tblPr>
        <w:tblStyle w:val="651"/>
        <w:tblpPr w:horzAnchor="page" w:tblpX="902" w:vertAnchor="text" w:tblpY="237" w:leftFromText="180" w:topFromText="0" w:rightFromText="180" w:bottomFromText="0"/>
        <w:tblW w:w="104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1245"/>
        <w:gridCol w:w="4284"/>
        <w:gridCol w:w="1792"/>
        <w:gridCol w:w="1684"/>
        <w:gridCol w:w="766"/>
      </w:tblGrid>
      <w:tr>
        <w:trPr>
          <w:trHeight w:val="823"/>
        </w:trPr>
        <w:tc>
          <w:tcPr>
            <w:tcW w:w="679" w:type="dxa"/>
            <w:vAlign w:val="center"/>
            <w:textDirection w:val="lrTb"/>
            <w:noWrap w:val="false"/>
          </w:tcPr>
          <w:p>
            <w:pPr>
              <w:jc w:val="left"/>
              <w:keepLines w:val="0"/>
              <w:keepNext w:val="0"/>
              <w:pageBreakBefore w:val="0"/>
              <w:spacing w:line="240" w:lineRule="atLeast"/>
              <w:widowControl w:val="off"/>
              <w:tabs>
                <w:tab w:val="left" w:pos="3264" w:leader="none"/>
              </w:tabs>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序号</w:t>
            </w:r>
            <w:r>
              <w:rPr>
                <w:rFonts w:hint="eastAsia" w:asciiTheme="minorEastAsia" w:hAnsiTheme="minorEastAsia" w:eastAsiaTheme="minorEastAsia" w:cstheme="minorEastAsia"/>
                <w:sz w:val="21"/>
                <w:szCs w:val="21"/>
                <w:highlight w:val="none"/>
                <w:lang w:eastAsia="zh-CN"/>
              </w:rPr>
              <w:tab/>
            </w:r>
            <w:r/>
          </w:p>
        </w:tc>
        <w:tc>
          <w:tcPr>
            <w:tcW w:w="1245" w:type="dxa"/>
            <w:vAlign w:val="center"/>
            <w:textDirection w:val="lrTb"/>
            <w:noWrap w:val="false"/>
          </w:tcPr>
          <w:p>
            <w:pPr>
              <w:jc w:val="center"/>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服务</w:t>
            </w:r>
            <w:r>
              <w:rPr>
                <w:rFonts w:hint="eastAsia" w:asciiTheme="minorEastAsia" w:hAnsiTheme="minorEastAsia" w:eastAsiaTheme="minorEastAsia" w:cstheme="minorEastAsia"/>
                <w:color w:val="000000"/>
                <w:sz w:val="21"/>
                <w:szCs w:val="21"/>
                <w:highlight w:val="none"/>
              </w:rPr>
              <w:t xml:space="preserve">名称</w:t>
            </w:r>
            <w:r/>
          </w:p>
        </w:tc>
        <w:tc>
          <w:tcPr>
            <w:tcW w:w="4284" w:type="dxa"/>
            <w:vAlign w:val="center"/>
            <w:textDirection w:val="lrTb"/>
            <w:noWrap w:val="false"/>
          </w:tcPr>
          <w:p>
            <w:pPr>
              <w:jc w:val="center"/>
              <w:keepLines w:val="0"/>
              <w:keepNext w:val="0"/>
              <w:pageBreakBefore w:val="0"/>
              <w:spacing w:line="240" w:lineRule="atLeast"/>
              <w:widowControl w:val="off"/>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cstheme="minorEastAsia"/>
                <w:color w:val="000000"/>
                <w:sz w:val="21"/>
                <w:szCs w:val="21"/>
                <w:highlight w:val="none"/>
                <w:lang w:val="en-US" w:eastAsia="zh-CN"/>
              </w:rPr>
              <w:t xml:space="preserve">服务内容</w:t>
            </w:r>
            <w:r/>
          </w:p>
        </w:tc>
        <w:tc>
          <w:tcPr>
            <w:tcW w:w="1792" w:type="dxa"/>
            <w:vAlign w:val="center"/>
            <w:textDirection w:val="lrTb"/>
            <w:noWrap w:val="false"/>
          </w:tcPr>
          <w:p>
            <w:pPr>
              <w:jc w:val="center"/>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工作成果</w:t>
            </w:r>
            <w:r/>
          </w:p>
        </w:tc>
        <w:tc>
          <w:tcPr>
            <w:tcW w:w="1684" w:type="dxa"/>
            <w:vAlign w:val="center"/>
            <w:textDirection w:val="lrTb"/>
            <w:noWrap w:val="false"/>
          </w:tcPr>
          <w:p>
            <w:pPr>
              <w:jc w:val="center"/>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开展频次（自合同签订起）</w:t>
            </w:r>
            <w:r/>
          </w:p>
        </w:tc>
        <w:tc>
          <w:tcPr>
            <w:tcW w:w="766" w:type="dxa"/>
            <w:vAlign w:val="center"/>
            <w:textDirection w:val="lrTb"/>
            <w:noWrap w:val="false"/>
          </w:tcPr>
          <w:p>
            <w:pPr>
              <w:jc w:val="center"/>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备注</w:t>
            </w:r>
            <w:r/>
          </w:p>
        </w:tc>
      </w:tr>
      <w:tr>
        <w:trPr>
          <w:trHeight w:val="2177"/>
        </w:trPr>
        <w:tc>
          <w:tcPr>
            <w:tcW w:w="679"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w:t>
            </w:r>
            <w:r/>
          </w:p>
        </w:tc>
        <w:tc>
          <w:tcPr>
            <w:tcW w:w="1245"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特种设备智慧监管平台数据清查</w:t>
            </w:r>
            <w:r/>
          </w:p>
        </w:tc>
        <w:tc>
          <w:tcPr>
            <w:tcW w:w="42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对特种设备监管平台数据进行全面梳理，厘清新区特种设备底数，通过使用单位收集汇总特种设备相关的检验报告、使用登记证等数据，开展数据清查，与江苏省特种设备企业服务云平台数据进行核对，解决在系统录入过程中出现的数据不一致问题。确保企业的特种设备数据与监管平台数据保持一致，保障数据的完整性及更新的及时性。</w:t>
            </w:r>
            <w:r/>
          </w:p>
        </w:tc>
        <w:tc>
          <w:tcPr>
            <w:tcW w:w="1792"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确保企业的特种设备数据与监管平台数据保持一致，保障数据的完整性及更新的及时性</w:t>
            </w:r>
            <w:r/>
          </w:p>
        </w:tc>
        <w:tc>
          <w:tcPr>
            <w:tcW w:w="16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w:t>
            </w:r>
            <w:r/>
          </w:p>
        </w:tc>
        <w:tc>
          <w:tcPr>
            <w:tcW w:w="766"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r>
            <w:r/>
          </w:p>
        </w:tc>
      </w:tr>
      <w:tr>
        <w:trPr>
          <w:trHeight w:val="1636"/>
        </w:trPr>
        <w:tc>
          <w:tcPr>
            <w:tcW w:w="679"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2</w:t>
            </w:r>
            <w:r/>
          </w:p>
        </w:tc>
        <w:tc>
          <w:tcPr>
            <w:tcW w:w="1245"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lang w:val="en-US" w:eastAsia="zh-CN"/>
              </w:rPr>
              <w:t xml:space="preserve">特种设备主体责任落实</w:t>
            </w:r>
            <w:r/>
          </w:p>
        </w:tc>
        <w:tc>
          <w:tcPr>
            <w:tcW w:w="42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企业进一步落实主体责任，为新区规模以上企业管理制度、应急预案、岗位职责、操作规程、风险清单、隐患排查等管理制度性文件修订、评审工作提供指导服务，组织专业团队对企业特种设备的管理作业人员进行系统的安全管理培训，提高企业特种设备管理水平。</w:t>
            </w:r>
            <w:r/>
          </w:p>
        </w:tc>
        <w:tc>
          <w:tcPr>
            <w:tcW w:w="1792"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lang w:val="en-US" w:eastAsia="zh-CN" w:bidi="ar-SA"/>
              </w:rPr>
              <w:t xml:space="preserve">服务企业落实主体责任，对管理作业人员进行培训教育</w:t>
            </w:r>
            <w:r/>
          </w:p>
        </w:tc>
        <w:tc>
          <w:tcPr>
            <w:tcW w:w="16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培训不少于两次</w:t>
            </w:r>
            <w:r/>
          </w:p>
        </w:tc>
        <w:tc>
          <w:tcPr>
            <w:tcW w:w="766"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r>
      <w:tr>
        <w:trPr>
          <w:trHeight w:val="1906"/>
        </w:trPr>
        <w:tc>
          <w:tcPr>
            <w:tcW w:w="679"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3</w:t>
            </w:r>
            <w:r/>
          </w:p>
        </w:tc>
        <w:tc>
          <w:tcPr>
            <w:tcW w:w="1245"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在用特种设备技术咨询服务</w:t>
            </w:r>
            <w:r/>
          </w:p>
        </w:tc>
        <w:tc>
          <w:tcPr>
            <w:tcW w:w="42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根据新区市场监管部门工作安排，配合开展针对性工作，为市场监管局人员开展监督检查（巡查）、在用特种设备进行拉网式排查提供技术支持和指导。每月整理汇总特种设备企业隐患排查问题情况，进行系统性统计分析，形成隐患排查治理月报，并及时提出意见建议。</w:t>
            </w:r>
            <w:r/>
          </w:p>
        </w:tc>
        <w:tc>
          <w:tcPr>
            <w:tcW w:w="1792"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根据需要为检查提供技术支持和指导，每月汇总隐患问题数据，形成月报</w:t>
            </w:r>
            <w:r/>
          </w:p>
        </w:tc>
        <w:tc>
          <w:tcPr>
            <w:tcW w:w="16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特种设备全面覆盖4次，每季度1次；专项检查5次，每次约15天</w:t>
            </w:r>
            <w:r/>
          </w:p>
        </w:tc>
        <w:tc>
          <w:tcPr>
            <w:tcW w:w="766"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r>
      <w:tr>
        <w:trPr>
          <w:trHeight w:val="2448"/>
        </w:trPr>
        <w:tc>
          <w:tcPr>
            <w:tcW w:w="679"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4</w:t>
            </w:r>
            <w:r/>
          </w:p>
        </w:tc>
        <w:tc>
          <w:tcPr>
            <w:tcW w:w="1245"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lang w:val="en-US" w:eastAsia="zh-CN" w:bidi="ar-SA"/>
              </w:rPr>
              <w:t xml:space="preserve">特种设备检验检测质量监督服务</w:t>
            </w:r>
            <w:r/>
          </w:p>
        </w:tc>
        <w:tc>
          <w:tcPr>
            <w:tcW w:w="42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定期配合市场监管部门开展检验检测专项检查，提供专业技术支持，随机抽取设备检验检测档案，对所抽取设备的检验检测质量进行检查，重点抽取高参数、高危介质的压力容器、压力管道等特种设备。对照《省发改委省财政厅关于进一步规范特种设备检验检测收费管理有关事项的通知》的收费标准，对于服务价格明显低于实际成本的，要重点检查是否存在虚假检验、降低检验标准等违法违规行为。</w:t>
            </w:r>
            <w:r/>
          </w:p>
        </w:tc>
        <w:tc>
          <w:tcPr>
            <w:tcW w:w="1792"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lang w:val="en-US" w:eastAsia="zh-CN"/>
              </w:rPr>
              <w:t xml:space="preserve">掌握新区内特种设备检验检测工作总体情况，优化特种设备检验检测市场，提升检验检测质量。</w:t>
            </w:r>
            <w:r/>
          </w:p>
        </w:tc>
        <w:tc>
          <w:tcPr>
            <w:tcW w:w="16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lang w:val="en-US" w:eastAsia="zh-CN"/>
              </w:rPr>
              <w:t xml:space="preserve">半年</w:t>
            </w:r>
            <w:r>
              <w:rPr>
                <w:rFonts w:hint="eastAsia" w:asciiTheme="minorEastAsia" w:hAnsiTheme="minorEastAsia" w:eastAsiaTheme="minorEastAsia" w:cstheme="minorEastAsia"/>
                <w:color w:val="000000"/>
                <w:sz w:val="21"/>
                <w:szCs w:val="21"/>
                <w:highlight w:val="none"/>
              </w:rPr>
              <w:t xml:space="preserve">一次</w:t>
            </w:r>
            <w:r/>
          </w:p>
        </w:tc>
        <w:tc>
          <w:tcPr>
            <w:tcW w:w="766"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r>
            <w:r/>
          </w:p>
        </w:tc>
      </w:tr>
      <w:tr>
        <w:trPr>
          <w:trHeight w:val="2177"/>
        </w:trPr>
        <w:tc>
          <w:tcPr>
            <w:tcW w:w="679"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5</w:t>
            </w:r>
            <w:r/>
          </w:p>
        </w:tc>
        <w:tc>
          <w:tcPr>
            <w:tcW w:w="1245"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lang w:val="en-US" w:eastAsia="zh-CN" w:bidi="ar-SA"/>
              </w:rPr>
              <w:t xml:space="preserve">特种设备全面安全风险诊断</w:t>
            </w:r>
            <w:r/>
          </w:p>
        </w:tc>
        <w:tc>
          <w:tcPr>
            <w:tcW w:w="4284" w:type="dxa"/>
            <w:vAlign w:val="center"/>
            <w:textDirection w:val="lrTb"/>
            <w:noWrap w:val="false"/>
          </w:tcPr>
          <w:p>
            <w:pPr>
              <w:pStyle w:val="654"/>
              <w:numPr>
                <w:ilvl w:val="0"/>
                <w:numId w:val="0"/>
              </w:numPr>
              <w:jc w:val="left"/>
              <w:keepLines w:val="0"/>
              <w:keepNext w:val="0"/>
              <w:pageBreakBefore w:val="0"/>
              <w:spacing w:after="0" w:line="240" w:lineRule="atLeast"/>
              <w:widowControl w:val="off"/>
              <w:rPr>
                <w:rFonts w:hint="eastAsia" w:asciiTheme="minorEastAsia" w:hAnsiTheme="minorEastAsia" w:eastAsiaTheme="minorEastAsia" w:cstheme="minorEastAsia"/>
                <w:color w:val="000000"/>
                <w:sz w:val="21"/>
                <w:szCs w:val="21"/>
                <w:highlight w:val="none"/>
              </w:rPr>
            </w:pPr>
            <w:r>
              <w:rPr>
                <w:rFonts w:hint="eastAsia" w:ascii="宋体" w:hAnsi="宋体" w:eastAsia="宋体" w:cs="宋体"/>
                <w:color w:val="auto"/>
                <w:sz w:val="21"/>
                <w:szCs w:val="21"/>
                <w:highlight w:val="none"/>
                <w:lang w:val="en-US" w:eastAsia="zh-CN" w:bidi="ar-SA"/>
              </w:rPr>
              <w:t xml:space="preserve">结合园区和企业发展，瞄准世界一流化工园区建设目标，从项目源头把控、企业本质安全、配套设施能力、管理体制机制、规章制度建设、安全文化建设等方面，出具诊断报告，及时跟踪整改进度，进行闭环管理，并对每次综合性安全诊断检查出的共性问题、突出问题，开展问题情况说明及剖析会。</w:t>
            </w:r>
            <w:r/>
          </w:p>
        </w:tc>
        <w:tc>
          <w:tcPr>
            <w:tcW w:w="1792"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1.对</w:t>
            </w:r>
            <w:r>
              <w:rPr>
                <w:rFonts w:hint="eastAsia" w:asciiTheme="minorEastAsia" w:hAnsiTheme="minorEastAsia" w:eastAsiaTheme="minorEastAsia" w:cstheme="minorEastAsia"/>
                <w:color w:val="000000"/>
                <w:sz w:val="21"/>
                <w:szCs w:val="21"/>
                <w:highlight w:val="none"/>
                <w:lang w:val="en-US" w:eastAsia="zh-CN"/>
              </w:rPr>
              <w:t xml:space="preserve">园区重点</w:t>
            </w:r>
            <w:r>
              <w:rPr>
                <w:rFonts w:hint="eastAsia" w:asciiTheme="minorEastAsia" w:hAnsiTheme="minorEastAsia" w:eastAsiaTheme="minorEastAsia" w:cstheme="minorEastAsia"/>
                <w:color w:val="000000"/>
                <w:sz w:val="21"/>
                <w:szCs w:val="21"/>
                <w:highlight w:val="none"/>
              </w:rPr>
              <w:t xml:space="preserve">企业开展</w:t>
            </w:r>
            <w:r>
              <w:rPr>
                <w:rFonts w:hint="eastAsia" w:asciiTheme="minorEastAsia" w:hAnsiTheme="minorEastAsia" w:eastAsiaTheme="minorEastAsia" w:cstheme="minorEastAsia"/>
                <w:color w:val="000000"/>
                <w:sz w:val="21"/>
                <w:szCs w:val="21"/>
                <w:highlight w:val="none"/>
                <w:lang w:val="en-US" w:eastAsia="zh-CN"/>
              </w:rPr>
              <w:t xml:space="preserve">特种设备</w:t>
            </w:r>
            <w:r>
              <w:rPr>
                <w:rFonts w:hint="eastAsia" w:asciiTheme="minorEastAsia" w:hAnsiTheme="minorEastAsia" w:eastAsiaTheme="minorEastAsia" w:cstheme="minorEastAsia"/>
                <w:color w:val="000000"/>
                <w:sz w:val="21"/>
                <w:szCs w:val="21"/>
                <w:highlight w:val="none"/>
              </w:rPr>
              <w:t xml:space="preserve">深度安全诊断；</w:t>
            </w:r>
            <w:r/>
          </w:p>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rPr>
              <w:t xml:space="preserve">2.开展问题情况说明及剖析会</w:t>
            </w:r>
            <w:r>
              <w:rPr>
                <w:rFonts w:hint="eastAsia" w:asciiTheme="minorEastAsia" w:hAnsiTheme="minorEastAsia" w:eastAsiaTheme="minorEastAsia" w:cstheme="minorEastAsia"/>
                <w:color w:val="000000"/>
                <w:sz w:val="21"/>
                <w:szCs w:val="21"/>
                <w:highlight w:val="none"/>
                <w:lang w:eastAsia="zh-CN"/>
              </w:rPr>
              <w:t xml:space="preserve">。</w:t>
            </w:r>
            <w:r/>
          </w:p>
        </w:tc>
        <w:tc>
          <w:tcPr>
            <w:tcW w:w="16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重点企业数不少于20家</w:t>
            </w:r>
            <w:r/>
          </w:p>
        </w:tc>
        <w:tc>
          <w:tcPr>
            <w:tcW w:w="766"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r>
            <w:r/>
          </w:p>
        </w:tc>
      </w:tr>
      <w:tr>
        <w:trPr>
          <w:trHeight w:val="1636"/>
        </w:trPr>
        <w:tc>
          <w:tcPr>
            <w:tcW w:w="679"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6</w:t>
            </w:r>
            <w:r/>
          </w:p>
        </w:tc>
        <w:tc>
          <w:tcPr>
            <w:tcW w:w="1245"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lang w:val="en-US" w:eastAsia="zh-CN" w:bidi="ar-SA"/>
              </w:rPr>
              <w:t xml:space="preserve">更新完善特种设备企业信用体系</w:t>
            </w:r>
            <w:r/>
          </w:p>
        </w:tc>
        <w:tc>
          <w:tcPr>
            <w:tcW w:w="42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按照隐患分类、分级、分原因、分时段的标准，对企业的各类隐患排查情况（包括临时性检查、常规性检查、综合安全诊断、政府部门检查、第三方安全审计等），科学研判园区特种设备企业违法失信的风险高低，对企业信用等级进行更新，实施差异化、精准化监管。</w:t>
            </w:r>
            <w:r/>
          </w:p>
        </w:tc>
        <w:tc>
          <w:tcPr>
            <w:tcW w:w="1792"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lang w:val="en-US" w:eastAsia="zh-CN" w:bidi="ar-SA"/>
              </w:rPr>
              <w:t xml:space="preserve">根据特种设备企业的各类隐患排查情况，更新企业信用等级，充实企业信用等级库，实施差异化、精准化监管</w:t>
            </w:r>
            <w:r/>
          </w:p>
        </w:tc>
        <w:tc>
          <w:tcPr>
            <w:tcW w:w="16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一年一次，根据运行情况，动态评估</w:t>
            </w:r>
            <w:r/>
          </w:p>
        </w:tc>
        <w:tc>
          <w:tcPr>
            <w:tcW w:w="766"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r>
            <w:r/>
          </w:p>
        </w:tc>
      </w:tr>
      <w:tr>
        <w:trPr>
          <w:trHeight w:val="1636"/>
        </w:trPr>
        <w:tc>
          <w:tcPr>
            <w:tcW w:w="679"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7</w:t>
            </w:r>
            <w:r/>
          </w:p>
        </w:tc>
        <w:tc>
          <w:tcPr>
            <w:tcW w:w="1245"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lang w:val="zh-CN"/>
              </w:rPr>
              <w:t xml:space="preserve">指导</w:t>
            </w:r>
            <w:r>
              <w:rPr>
                <w:rFonts w:hint="eastAsia" w:asciiTheme="minorEastAsia" w:hAnsiTheme="minorEastAsia" w:eastAsiaTheme="minorEastAsia" w:cstheme="minorEastAsia"/>
                <w:color w:val="000000"/>
                <w:sz w:val="21"/>
                <w:szCs w:val="21"/>
                <w:highlight w:val="none"/>
                <w:lang w:val="en-US" w:eastAsia="zh-CN"/>
              </w:rPr>
              <w:t xml:space="preserve">新区</w:t>
            </w:r>
            <w:r>
              <w:rPr>
                <w:rFonts w:hint="eastAsia" w:asciiTheme="minorEastAsia" w:hAnsiTheme="minorEastAsia" w:eastAsiaTheme="minorEastAsia" w:cstheme="minorEastAsia"/>
                <w:color w:val="000000"/>
                <w:sz w:val="21"/>
                <w:szCs w:val="21"/>
                <w:highlight w:val="none"/>
                <w:lang w:val="zh-CN"/>
              </w:rPr>
              <w:t xml:space="preserve">开展</w:t>
            </w:r>
            <w:r>
              <w:rPr>
                <w:rFonts w:hint="eastAsia" w:asciiTheme="minorEastAsia" w:hAnsiTheme="minorEastAsia" w:eastAsiaTheme="minorEastAsia" w:cstheme="minorEastAsia"/>
                <w:color w:val="000000"/>
                <w:sz w:val="21"/>
                <w:szCs w:val="21"/>
                <w:highlight w:val="none"/>
                <w:lang w:val="en-US" w:eastAsia="zh-CN"/>
              </w:rPr>
              <w:t xml:space="preserve">特种设备</w:t>
            </w:r>
            <w:r>
              <w:rPr>
                <w:rFonts w:hint="eastAsia" w:asciiTheme="minorEastAsia" w:hAnsiTheme="minorEastAsia" w:eastAsiaTheme="minorEastAsia" w:cstheme="minorEastAsia"/>
                <w:color w:val="000000"/>
                <w:sz w:val="21"/>
                <w:szCs w:val="21"/>
                <w:highlight w:val="none"/>
                <w:lang w:val="zh-CN"/>
              </w:rPr>
              <w:t xml:space="preserve">应急演练</w:t>
            </w:r>
            <w:r/>
          </w:p>
        </w:tc>
        <w:tc>
          <w:tcPr>
            <w:tcW w:w="42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每年指导新区开展特种设备应急演练，检验应急预案编制情况、应急响应情况、应急队伍能力，形成有效的联动响应机制，并对预案修订、能力建设等方面提出意见和建议。</w:t>
            </w:r>
            <w:r/>
          </w:p>
        </w:tc>
        <w:tc>
          <w:tcPr>
            <w:tcW w:w="1792"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lang w:val="en-US" w:eastAsia="zh-CN"/>
              </w:rPr>
              <w:t xml:space="preserve">参与指导</w:t>
            </w:r>
            <w:r>
              <w:rPr>
                <w:rFonts w:hint="eastAsia" w:asciiTheme="minorEastAsia" w:hAnsiTheme="minorEastAsia" w:eastAsiaTheme="minorEastAsia" w:cstheme="minorEastAsia"/>
                <w:color w:val="000000"/>
                <w:sz w:val="21"/>
                <w:szCs w:val="21"/>
                <w:highlight w:val="none"/>
              </w:rPr>
              <w:t xml:space="preserve">新区</w:t>
            </w:r>
            <w:r>
              <w:rPr>
                <w:rFonts w:hint="eastAsia" w:asciiTheme="minorEastAsia" w:hAnsiTheme="minorEastAsia" w:eastAsiaTheme="minorEastAsia" w:cstheme="minorEastAsia"/>
                <w:color w:val="000000"/>
                <w:sz w:val="21"/>
                <w:szCs w:val="21"/>
                <w:highlight w:val="none"/>
                <w:lang w:val="en-US" w:eastAsia="zh-CN"/>
              </w:rPr>
              <w:t xml:space="preserve">特种设备</w:t>
            </w:r>
            <w:r>
              <w:rPr>
                <w:rFonts w:hint="eastAsia" w:asciiTheme="minorEastAsia" w:hAnsiTheme="minorEastAsia" w:eastAsiaTheme="minorEastAsia" w:cstheme="minorEastAsia"/>
                <w:color w:val="000000"/>
                <w:sz w:val="21"/>
                <w:szCs w:val="21"/>
                <w:highlight w:val="none"/>
              </w:rPr>
              <w:t xml:space="preserve">应急演练</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rPr>
              <w:t xml:space="preserve">就应急预案修订等方面提出意见和建议</w:t>
            </w:r>
            <w:r/>
          </w:p>
        </w:tc>
        <w:tc>
          <w:tcPr>
            <w:tcW w:w="16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val="en-US" w:eastAsia="zh-CN"/>
              </w:rPr>
              <w:t xml:space="preserve">/</w:t>
            </w:r>
            <w:r/>
          </w:p>
        </w:tc>
        <w:tc>
          <w:tcPr>
            <w:tcW w:w="766"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r>
            <w:r/>
          </w:p>
        </w:tc>
      </w:tr>
      <w:tr>
        <w:trPr>
          <w:trHeight w:val="2177"/>
        </w:trPr>
        <w:tc>
          <w:tcPr>
            <w:tcW w:w="679"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8</w:t>
            </w:r>
            <w:r/>
          </w:p>
        </w:tc>
        <w:tc>
          <w:tcPr>
            <w:tcW w:w="1245"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zh-CN"/>
              </w:rPr>
            </w:pPr>
            <w:r>
              <w:rPr>
                <w:rFonts w:hint="eastAsia" w:asciiTheme="minorEastAsia" w:hAnsiTheme="minorEastAsia" w:eastAsiaTheme="minorEastAsia" w:cstheme="minorEastAsia"/>
                <w:color w:val="000000"/>
                <w:sz w:val="21"/>
                <w:szCs w:val="21"/>
                <w:highlight w:val="none"/>
                <w:lang w:val="zh-CN" w:eastAsia="zh-CN"/>
              </w:rPr>
              <w:t xml:space="preserve">管道编码、撬装设备及短接管隐患治理</w:t>
            </w:r>
            <w:r/>
          </w:p>
        </w:tc>
        <w:tc>
          <w:tcPr>
            <w:tcW w:w="42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根据管道编码体系，对每条管道进行唯一标识与电子化建档，实现全生命周期可追溯管理。全面排查撬装式承压设备的使用登记、定期检验、安全附件及运行状态，整治未注册、超期未检等隐患。开展短接管隐患治理，重点排查支管连接、仪表接管等短接管的腐蚀、老化、泄漏风险，制定整改方案并指导落实，消除承压薄弱环节，提升整体安全水平。</w:t>
            </w:r>
            <w:r/>
          </w:p>
        </w:tc>
        <w:tc>
          <w:tcPr>
            <w:tcW w:w="1792"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实现管道全生命周期可追溯管理，整治未注册、超期未检等隐患，消除承压薄弱环节</w:t>
            </w:r>
            <w:r/>
          </w:p>
        </w:tc>
        <w:tc>
          <w:tcPr>
            <w:tcW w:w="16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w:t>
            </w:r>
            <w:r/>
          </w:p>
        </w:tc>
        <w:tc>
          <w:tcPr>
            <w:tcW w:w="766"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r>
            <w:r/>
          </w:p>
        </w:tc>
      </w:tr>
      <w:tr>
        <w:trPr>
          <w:trHeight w:val="4625"/>
        </w:trPr>
        <w:tc>
          <w:tcPr>
            <w:tcW w:w="679"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9</w:t>
            </w:r>
            <w:r/>
          </w:p>
        </w:tc>
        <w:tc>
          <w:tcPr>
            <w:tcW w:w="1245"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 xml:space="preserve">盛虹炼化大修检验专项质量管控</w:t>
            </w:r>
            <w:r/>
          </w:p>
        </w:tc>
        <w:tc>
          <w:tcPr>
            <w:tcW w:w="4284" w:type="dxa"/>
            <w:vAlign w:val="center"/>
            <w:textDirection w:val="lrTb"/>
            <w:noWrap w:val="false"/>
          </w:tcPr>
          <w:p>
            <w:pPr>
              <w:numPr>
                <w:ilvl w:val="0"/>
                <w:numId w:val="0"/>
              </w:num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针对盛虹炼化2026年全厂首次定期检验工作，提供全过程驻场式检验质量管控服务。人员资质核验：每周不少于3次对各装置检验现场的人员资质进行抽查（人员抽查比例不低于50%</w:t>
            </w:r>
            <w:r>
              <w:rPr>
                <w:rFonts w:hint="eastAsia" w:ascii="宋体" w:hAnsi="宋体" w:eastAsia="宋体" w:cs="宋体"/>
                <w:color w:val="auto"/>
                <w:sz w:val="21"/>
                <w:szCs w:val="21"/>
                <w:highlight w:val="none"/>
                <w:lang w:val="en-US" w:eastAsia="zh-CN" w:bidi="ar-SA"/>
              </w:rPr>
              <w:t xml:space="preserve">），核查机构核准资质及人员持证情况，杜绝无证上岗。检验比例与流程监督：全程监督检验流程规范性，按既定比例对压力容器（I/II/III类分别抽1%/2%/3%）、压力管道（GC1/GC2/GCD类分别抽条数3%/2%/1%）进行抽检复核。数据真实性核查：按上述比例抽查检验原始记录及无损检测数据，重点核验数据真实性与可追溯性。报告合规性审查：按不低于1%的比例抽查检验报告，核对结论与检测数据的一致性，杜绝虚假报告。隐患整改闭环跟踪：对评定为4级或5级安全状况的设备整改进行100%比例跟踪核查，确保隐患闭环管理。</w:t>
            </w:r>
            <w:r/>
          </w:p>
        </w:tc>
        <w:tc>
          <w:tcPr>
            <w:tcW w:w="1792"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1.每周提交《质量抽查周报》；</w:t>
            </w:r>
            <w:r/>
          </w:p>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2.提交《参检人员资质审核报告》与《检验比例与记录真实性核验报告》；</w:t>
            </w:r>
            <w:r/>
          </w:p>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3.专项结束后提交《项目服务总结报告及成果汇编手册》。</w:t>
            </w:r>
            <w:r/>
          </w:p>
        </w:tc>
        <w:tc>
          <w:tcPr>
            <w:tcW w:w="1684"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每日/每周</w:t>
            </w:r>
            <w:r/>
          </w:p>
        </w:tc>
        <w:tc>
          <w:tcPr>
            <w:tcW w:w="766" w:type="dxa"/>
            <w:vAlign w:val="center"/>
            <w:textDirection w:val="lrTb"/>
            <w:noWrap w:val="false"/>
          </w:tcPr>
          <w:p>
            <w:pPr>
              <w:jc w:val="left"/>
              <w:keepLines w:val="0"/>
              <w:keepNext w:val="0"/>
              <w:pageBreakBefore w:val="0"/>
              <w:spacing w:line="240" w:lineRule="atLeas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r>
            <w:r/>
          </w:p>
        </w:tc>
      </w:tr>
    </w:tbl>
    <w:p>
      <w:pPr>
        <w:ind w:firstLine="562"/>
        <w:keepLines w:val="0"/>
        <w:keepNext w:val="0"/>
        <w:pageBreakBefore w:val="0"/>
        <w:spacing w:line="360" w:lineRule="auto"/>
        <w:widowControl w:val="off"/>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四、服务要求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本次采购要求第三方机构成立项目组，明确1名项目负责人，负责项目综合协调、工作进展总结汇报等工作。除日常服务外，服务期内须针对盛虹炼化大修检验设立专项管控小组。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（一）办公场所要求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供应商办公场所自理，但为了便于日常沟通和协调事项，供应商办公场所应与采购人办公场所相邻。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（二）人员及设备要求</w:t>
      </w:r>
      <w:r/>
    </w:p>
    <w:p>
      <w:pPr>
        <w:ind w:firstLine="56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sz w:val="28"/>
          <w:szCs w:val="28"/>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1.项目团队成员不少于4人，其中项目负责人1人，常驻专家2人（不含项目负责人），常驻助理1人，日常在岗人数不少于3人，具有相关从业证书，周末节假日期间不少于1人可供应急调度。项目组负责人每月在岗天数不少于20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2.开展现场检查检验安排技术专家不少于4人，在重大项目建设投产保障及开展专项检查期间，安排的专家不少于6人。</w:t>
      </w:r>
      <w:r/>
    </w:p>
    <w:p>
      <w:pPr>
        <w:ind w:firstLine="56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sz w:val="28"/>
          <w:szCs w:val="28"/>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3.项目团队成员具有良好的工作身体条件，具备化工机械工程或机械工程、过程装备与控制工程、石油工程、化学工程与工艺、能源与动力工程、仪表自动化、焊接技术与工程、材料科学与工程、金属材料工程等设备类相关专业背景，或特种设备检验师证书，相近专业须经采购人书面同意。项目团队成员应从事特种设备安全相关领域工作不少于5年，项目团队中应有不少于2人熟悉特种设备领域国内外科技发展动态，能够满足本项目工作需要。</w:t>
      </w:r>
      <w:r/>
    </w:p>
    <w:p>
      <w:pPr>
        <w:ind w:firstLine="56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sz w:val="28"/>
          <w:szCs w:val="28"/>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4.盛虹炼化检验管控专项期间，除满足日常4人驻场需求外，须额外增派不少于8人的专业团队（含辅助人员1人）全程驻场，专门负责本项目需求三、服务内容及成果要求第9款工作。专项项目负责人须具备5年以上大型石化检验或质量管控经验。专项质量管控人员（6人）须具备3年以上石化行业压力管道或容器检验管控经验，能熟练核验检测数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5.工作中涉及的涉密和敏感图文资料、电子数据，项目服务单位应严格执行保密的相关规定，不得以任何方式向任何第三人披露、泄露或许可第三人使用。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6.服务期内，供应商应提供能充分满足检查检测需求的自备工作车辆不少于2辆。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7.如项目服务期间有临时变动，可随时根据新区市场监管局需求对工作计划进行调整。</w:t>
      </w:r>
      <w:r/>
    </w:p>
    <w:p>
      <w:pPr>
        <w:ind w:firstLine="562"/>
        <w:keepLines w:val="0"/>
        <w:keepNext w:val="0"/>
        <w:pageBreakBefore w:val="0"/>
        <w:spacing w:line="360" w:lineRule="auto"/>
        <w:widowControl w:val="off"/>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★五、服务期限</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本次技术服务期限为1年，自双方签订合同之日起算。其中盛虹炼化大修检验质量管控专项服务期限预计为60天（包含在1年服务期内），具体起止时间根据盛虹炼化实际检验排期确定。</w:t>
      </w:r>
      <w:r/>
    </w:p>
    <w:p>
      <w:pPr>
        <w:ind w:firstLine="562"/>
        <w:keepLines w:val="0"/>
        <w:keepNext w:val="0"/>
        <w:pageBreakBefore w:val="0"/>
        <w:spacing w:line="360" w:lineRule="auto"/>
        <w:widowControl w:val="off"/>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六、质量要求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1.不得收受被管理方财物和违规接受吃请。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2.成交供应商需在合同签订之日起5日内提供响应文件中承诺及配备的人员，并在10日内开展工作。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3.项目负责人和组员一经确定不得中途更换，如确需更换，应经甲方书面同意并确保替换人员资格不低于原承诺人员。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4.建立健全安全技术服务项目台账资料，每月提交所有与服务项目相关的工作资料（各种检查记录、培训资料、会议纪要、报告、制度、标准、培训材料等文件资料），所有资料应签章齐全、真实有效。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5.保证在每次抽检过程中严守各项工作纪律，忠于职守，坚持原则，认真负责，不弄虚作假，保证抽检结果的真实、科学、公正。不得在园区企业兼职，不得向园区企业推广产品和服务。</w:t>
      </w:r>
      <w:r/>
    </w:p>
    <w:p>
      <w:pPr>
        <w:ind w:firstLine="562"/>
        <w:keepLines w:val="0"/>
        <w:keepNext w:val="0"/>
        <w:pageBreakBefore w:val="0"/>
        <w:spacing w:line="360" w:lineRule="auto"/>
        <w:widowControl w:val="off"/>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七、监督考核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为保证成交供应商工作质量，采购人将对成交供应商进行履约考核，并不定期对人员检查检测服务情况进行抽查考核。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1.发现成交供应商人员有收受被管理方财物、违规接受吃请且未造成严重影响的，要求成交供应商退还违规所得，并扣除服务机构1万元/人·次的费用；情节严重的，上报至管委会纪检监察部门。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因成交供应商未能依法依规及时开展工作导致监管项目后期发生质量问题或事故，且属地政府被认定履职不到位的，对一般事故或造成不良社会影响的处以10万元/次的罚款；对较大事故或造成严重不良影响的，处以25万元/次的罚款；对重大及以上事故的，处以50万元/次的罚款。在盛虹炼化专项期间，若发生因质量管控失职导致重大检验质量事故或虚假报告未被发现，参照条款中的较大事故或重大事故标准进行顶格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3.成交供应商需在合同签订之日起5日内提供响应文件中承诺及配备的人员，并在10日内开展检查检测工作。因成交供应商原因导致符合项目要求的人员进场滞后的，每延后一天处800元/人·日的罚款。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4.采购人将根据项目实施情况，每3个月对成交供应商技术人员进行能力评估，评估以磋商文件约定的服务内容和服务要求为依</w:t>
      </w:r>
      <w:r>
        <w:rPr>
          <w:rFonts w:hint="eastAsia" w:ascii="宋体" w:hAnsi="宋体" w:eastAsia="宋体" w:cs="宋体"/>
          <w:color w:val="auto"/>
          <w:sz w:val="24"/>
          <w:szCs w:val="24"/>
          <w:highlight w:val="none"/>
          <w:lang w:val="en-US" w:eastAsia="zh-CN" w:bidi="ar-SA"/>
        </w:rPr>
        <w:t xml:space="preserve">据，经评估认定成交供应商技术人员存在专业资质不符、技术能力不满足服务需求、履职不到位、服务质量不达标等情形，导致无法正常开展技术服务工作的，经采购人项目负责人、分管副局长、局长共同审核确认并出具书面评估意见后，成交供应商应在接到书面通知之日起10日内，更换符合本项目要求的人员并经采购人验收合格。逾期未更换或更换后仍不符合要求的，采购人有权按照合同约定追究相应违约责任。如出现成交供应商人员因能力不合格被采购人强制更换的，每更换1人，将对成交供应商处以5000元/人的罚款。人员更换流程及滞后处罚依据本项第3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5.成交供应商应按照响应文件承诺投入的人员提供检查检测服务，如成交供应商未经采购人同意擅自更换人员的，除按本项第3条补充提供资格不低于原投标承诺的人员外，还应处以5000元/人的罚款。</w:t>
      </w:r>
      <w:r/>
    </w:p>
    <w:p>
      <w:pPr>
        <w:ind w:firstLine="562"/>
        <w:keepLines w:val="0"/>
        <w:keepNext w:val="0"/>
        <w:pageBreakBefore w:val="0"/>
        <w:spacing w:line="360" w:lineRule="auto"/>
        <w:widowControl w:val="off"/>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八、履约验收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1.采购人依据竞争性磋商文件上的采购需求、成交供应商响应文件及国家有关行业标准，对成交供应商提交的服务进行验收。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2.成交供应商应对服务进行全面检查，并对验收文件进行整理，列出清单，作为采购人验收的技术条件依据。</w:t>
      </w:r>
      <w:r/>
    </w:p>
    <w:p>
      <w:pPr>
        <w:ind w:firstLine="562"/>
        <w:keepLines w:val="0"/>
        <w:keepNext w:val="0"/>
        <w:pageBreakBefore w:val="0"/>
        <w:spacing w:line="360" w:lineRule="auto"/>
        <w:widowControl w:val="off"/>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★九、付款方式与履约保证金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1.本项目无预付款，服务费分四期支付，各期款项支付均以当次履约考核为前提。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1.1进度款支付与当期考核扣减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（1）前三季度：成交供应商每季度提交工作进度总结后，采购人组织当次履约考核，确认当期处罚金额。双方书面确认后，当期支付金额=（暂定合同总价×25%）-当期处罚金额。采购人支付该净额。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第四期（最终结算）：成交供应商提交全部最终成果并经采购人最终验收考核，双方确认全部处罚金额（含此前已扣及本次新产生的处罚金额）及最终结算价款后，采购人支付剩余款项，付至最终结算价款的100%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每次付款前，成交供应商均须向采购人提供等额、合法有效的发票。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1.2考核扣款确认原则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任一期款项支付，均以双方书面确认处罚金额为前提。采购人仅在处罚金额确认后，按扣减后净额支付，无需另行通知或同意。</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2.本项目不收取履约保证金。</w:t>
      </w:r>
      <w:r/>
    </w:p>
    <w:p>
      <w:pPr>
        <w:ind w:firstLine="562"/>
        <w:keepLines w:val="0"/>
        <w:keepNext w:val="0"/>
        <w:pageBreakBefore w:val="0"/>
        <w:spacing w:line="360" w:lineRule="auto"/>
        <w:widowControl w:val="off"/>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十、报价要求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本项目采取总价包干，响应报价包含与本项目有关的所有费用，除本合同另有约定外采购人无需再向成交人支付任何其他费用。 </w:t>
      </w:r>
      <w:r/>
    </w:p>
    <w:p>
      <w:pPr>
        <w:ind w:firstLine="562"/>
        <w:keepLines w:val="0"/>
        <w:keepNext w:val="0"/>
        <w:pageBreakBefore w:val="0"/>
        <w:spacing w:line="360" w:lineRule="auto"/>
        <w:widowControl w:val="off"/>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十一、其他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本项目报价不得超过预算价（最高限价）。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特别提醒供应商：应根据国家收费标准并结合市场实际进行报价。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工作中涉及的敏感资料、电子数据等相关信息，成交供应商应严格执行保密的相关规定，不得以任何方式向任何第三人披露、泄露或许可第三人使用，否则追究其相应法律责任。</w:t>
      </w:r>
      <w:r/>
    </w:p>
    <w:p>
      <w:pPr>
        <w:ind w:firstLine="422"/>
        <w:jc w:val="left"/>
        <w:spacing w:line="360" w:lineRule="auto"/>
        <w:widowControl/>
        <w:rPr>
          <w:rFonts w:hint="eastAsia" w:ascii="宋体" w:hAnsi="宋体" w:eastAsia="宋体" w:cs="宋体"/>
          <w:bCs/>
          <w:sz w:val="44"/>
          <w:szCs w:val="44"/>
          <w:highlight w:val="none"/>
        </w:rPr>
      </w:pPr>
      <w:r>
        <w:rPr>
          <w:rFonts w:hint="eastAsia" w:ascii="宋体" w:hAnsi="宋体" w:eastAsia="宋体" w:cs="宋体"/>
          <w:b/>
          <w:highlight w:val="none"/>
        </w:rPr>
        <w:br w:type="page" w:clear="all"/>
      </w:r>
      <w:r/>
    </w:p>
    <w:p>
      <w:pPr>
        <w:pStyle w:val="647"/>
        <w:ind w:firstLine="883"/>
        <w:jc w:val="center"/>
        <w:spacing w:before="156" w:after="156" w:line="360" w:lineRule="auto"/>
        <w:rPr>
          <w:rFonts w:hint="eastAsia" w:ascii="宋体" w:hAnsi="宋体" w:eastAsia="宋体" w:cs="宋体"/>
          <w:b/>
          <w:bCs w:val="0"/>
          <w:highlight w:val="none"/>
        </w:rPr>
      </w:pPr>
      <w:r/>
      <w:bookmarkStart w:id="15" w:name="_Toc12994"/>
      <w:r/>
      <w:bookmarkStart w:id="16" w:name="_Toc3565"/>
      <w:r/>
      <w:bookmarkStart w:id="17" w:name="_Toc161932695"/>
      <w:r>
        <w:rPr>
          <w:rFonts w:hint="eastAsia" w:ascii="宋体" w:hAnsi="宋体" w:eastAsia="宋体" w:cs="宋体"/>
          <w:b/>
          <w:bCs w:val="0"/>
          <w:highlight w:val="none"/>
        </w:rPr>
        <w:t xml:space="preserve">第五章  评审方法与评审标准</w:t>
      </w:r>
      <w:bookmarkEnd w:id="15"/>
      <w:r/>
      <w:bookmarkEnd w:id="16"/>
      <w:r/>
      <w:bookmarkEnd w:id="17"/>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一、评审方法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二、评审标准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（2）本项目评分总分为100分，按四舍五入取至小数点后两位。</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（3）总得分=价格分+技术分+商务分。</w:t>
      </w:r>
      <w:r/>
    </w:p>
    <w:p>
      <w:pPr>
        <w:ind w:firstLine="640"/>
        <w:jc w:val="center"/>
        <w:spacing w:line="360" w:lineRule="auto"/>
        <w:rPr>
          <w:rFonts w:hint="eastAsia" w:ascii="宋体" w:hAnsi="宋体" w:eastAsia="宋体" w:cs="宋体"/>
          <w:sz w:val="32"/>
          <w:szCs w:val="24"/>
          <w:highlight w:val="none"/>
        </w:rPr>
      </w:pPr>
      <w:r>
        <w:rPr>
          <w:rFonts w:hint="eastAsia" w:ascii="宋体" w:hAnsi="宋体" w:eastAsia="宋体" w:cs="宋体"/>
          <w:sz w:val="32"/>
          <w:szCs w:val="24"/>
          <w:highlight w:val="none"/>
        </w:rPr>
        <w:t xml:space="preserve">综合评分法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（1）价格分（10分）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磋商报价得分=（磋商基准价／最后磋商报价）×10分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因落实政府采购政策进行价格调整的，以调整后的价格计算磋商基准价和最后磋商报价，小数点后保留两位。</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（2）技术分（</w:t>
      </w:r>
      <w:r>
        <w:rPr>
          <w:rFonts w:hint="eastAsia" w:ascii="宋体" w:hAnsi="宋体" w:eastAsia="宋体" w:cs="宋体"/>
          <w:sz w:val="24"/>
          <w:szCs w:val="24"/>
          <w:highlight w:val="none"/>
          <w:lang w:val="en-US" w:eastAsia="zh-CN"/>
        </w:rPr>
        <w:t xml:space="preserve">42</w:t>
      </w:r>
      <w:r>
        <w:rPr>
          <w:rFonts w:hint="eastAsia" w:ascii="宋体" w:hAnsi="宋体" w:eastAsia="宋体" w:cs="宋体"/>
          <w:sz w:val="24"/>
          <w:szCs w:val="24"/>
          <w:highlight w:val="none"/>
        </w:rPr>
        <w:t xml:space="preserve">分）</w:t>
      </w:r>
      <w:r/>
    </w:p>
    <w:tbl>
      <w:tblPr>
        <w:tblStyle w:val="651"/>
        <w:tblW w:w="9285" w:type="dxa"/>
        <w:tblInd w:w="-3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2"/>
        <w:gridCol w:w="7783"/>
      </w:tblGrid>
      <w:tr>
        <w:trPr>
          <w:trHeight w:val="621"/>
        </w:trPr>
        <w:tc>
          <w:tcPr>
            <w:tcW w:w="15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W w:w="778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tc>
      </w:tr>
      <w:tr>
        <w:trPr>
          <w:trHeight w:val="621"/>
        </w:trPr>
        <w:tc>
          <w:tcPr>
            <w:tcW w:w="1502"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项目了解情况</w:t>
            </w:r>
            <w:r/>
          </w:p>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（8分）</w:t>
            </w:r>
            <w:r/>
          </w:p>
        </w:tc>
        <w:tc>
          <w:tcPr>
            <w:tcW w:w="7783" w:type="dxa"/>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根据供应商对本项目实施的目的、意义、难点理解程度和分析进行评分，内容包括但不限于安全检查、安全培训、应急救援体系建设等。</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1.内容全面、科学合理、能完全响应项目需求的，得8分；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2.内容较全面、较合理、对项目需求响应度较高的，得6分；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3.内容一般、合理性一般、基本响应项目需求的，得3分；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4.内容不全面、不科学不合理、对项目需求响应度较低，得1分；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5.未见阐述不得分。</w:t>
            </w:r>
            <w:r/>
          </w:p>
        </w:tc>
      </w:tr>
      <w:tr>
        <w:trPr>
          <w:trHeight w:val="386"/>
        </w:trPr>
        <w:tc>
          <w:tcPr>
            <w:tcW w:w="1502"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服务方案</w:t>
            </w:r>
            <w:r/>
          </w:p>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（9分）</w:t>
            </w:r>
            <w:r/>
          </w:p>
        </w:tc>
        <w:tc>
          <w:tcPr>
            <w:tcW w:w="7783" w:type="dxa"/>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根据供应商针对本项目提供的服务方案进行评分，方案内容包括但不限于与采购人的对接情况、对安全检查、安全培训、应急救援体系建设的服务质量保证、质检措施等内容。</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1.内容全面、科学合理、能完全响应项目需求的，得9分；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2.内容较全面、较合理、对项目需求响应度较高的，得6分；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3.内容一般、合理性一般、基本响应项目需求的，得3分；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4.内容不全面、不科学不合理、对项目需求响应度较低，得1分；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5.未见阐述不得分。</w:t>
            </w:r>
            <w:r/>
          </w:p>
        </w:tc>
      </w:tr>
      <w:tr>
        <w:trPr>
          <w:trHeight w:val="1806"/>
        </w:trPr>
        <w:tc>
          <w:tcPr>
            <w:tcW w:w="1502"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检查实施方案（9分）</w:t>
            </w:r>
            <w:r/>
          </w:p>
        </w:tc>
        <w:tc>
          <w:tcPr>
            <w:tcW w:w="7783" w:type="dxa"/>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根据供应商针对本项目提供的检查实施方案进行评分。方案包括但不限于检查工作进度计划安排、各种类特种设备检查的重点、现场隐患管理处置等内容。</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1.内容全面、科学合理、能完全响应项目需求的，得9分；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2.内容较全面、较合理、对项目需求响应度较高的，得6分；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3.内容一般、合理性一般、基本响应项目需求的，得3分；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4.内容不全面、不科学不合理、对项目需求响应度较低，得1分；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5.未见阐述不得分。</w:t>
            </w:r>
            <w:r/>
          </w:p>
        </w:tc>
      </w:tr>
      <w:tr>
        <w:trPr>
          <w:trHeight w:val="621"/>
        </w:trPr>
        <w:tc>
          <w:tcPr>
            <w:tcW w:w="1502"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隐患整改方案</w:t>
            </w:r>
            <w:r/>
          </w:p>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（9分）</w:t>
            </w:r>
            <w:r/>
          </w:p>
        </w:tc>
        <w:tc>
          <w:tcPr>
            <w:tcW w:w="7783" w:type="dxa"/>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根据供应商针对本项目提供的隐患整改相关方案进行评分，方案内容包括但不限于：被检单位隐患整改复查方案、被检单位安全管理建议、现场检查应急处置方案等。</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1.内容全面、科学合理、能完全响应项目需求的，得9分；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2.内容较全面、较合理、对项目需求响应度较高的，得6分；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3.内容一般、合理性一般、基本响应项目需求的，得3分；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4.内容不全面、不科学不合理、对项目需求响应度较低，得1分；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5.未见阐述不得分。</w:t>
            </w:r>
            <w:r/>
          </w:p>
        </w:tc>
      </w:tr>
      <w:tr>
        <w:trPr>
          <w:trHeight w:val="621"/>
        </w:trPr>
        <w:tc>
          <w:tcPr>
            <w:tcW w:w="1502"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b w:val="0"/>
                <w:bCs w:val="0"/>
                <w:color w:val="000000"/>
                <w:spacing w:val="0"/>
                <w:sz w:val="24"/>
                <w:szCs w:val="24"/>
                <w:highlight w:val="none"/>
                <w:vertAlign w:val="baseline"/>
                <w:lang w:val="en-US" w:eastAsia="zh-CN"/>
              </w:rPr>
              <w:t xml:space="preserve">质量保证方案（7分）</w:t>
            </w:r>
            <w:r/>
          </w:p>
        </w:tc>
        <w:tc>
          <w:tcPr>
            <w:tcW w:w="7783" w:type="dxa"/>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根据供应商针对本项目提供的质量保证方案进行评分，方案内容包括但不限于：质量管理制度、服务反馈制度、服务质量考核与奖惩机制、档案管理制度、工作人员守则等。</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1.内容全面、科学合理、能完全响应项目需求的，得7分；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2.内容较全面、较合理、对项目需求响应度较高的，得5分；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3.内容一般、合理性一般、基本响应项目需求的，得3分；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4.内容不全面、不科学不合理、对项目需求响应度较低，得1分；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5.未见阐述不得分。</w:t>
            </w:r>
            <w:r/>
          </w:p>
        </w:tc>
      </w:tr>
    </w:tbl>
    <w:p>
      <w:pPr>
        <w:rPr>
          <w:rFonts w:hint="eastAsia"/>
          <w:sz w:val="24"/>
          <w:szCs w:val="24"/>
          <w:highlight w:val="none"/>
        </w:rPr>
      </w:pPr>
      <w:r>
        <w:rPr>
          <w:rFonts w:hint="eastAsia"/>
          <w:sz w:val="24"/>
          <w:szCs w:val="24"/>
          <w:highlight w:val="none"/>
        </w:rPr>
        <w:t xml:space="preserve">（3）商务分（</w:t>
      </w:r>
      <w:r>
        <w:rPr>
          <w:rFonts w:hint="eastAsia"/>
          <w:sz w:val="24"/>
          <w:szCs w:val="24"/>
          <w:highlight w:val="none"/>
          <w:lang w:val="en-US" w:eastAsia="zh-CN"/>
        </w:rPr>
        <w:t xml:space="preserve">48</w:t>
      </w:r>
      <w:r>
        <w:rPr>
          <w:rFonts w:hint="eastAsia"/>
          <w:sz w:val="24"/>
          <w:szCs w:val="24"/>
          <w:highlight w:val="none"/>
        </w:rPr>
        <w:t xml:space="preserve">分）</w:t>
      </w:r>
      <w:r/>
    </w:p>
    <w:tbl>
      <w:tblPr>
        <w:tblStyle w:val="651"/>
        <w:tblW w:w="92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7929"/>
      </w:tblGrid>
      <w:tr>
        <w:trPr>
          <w:jc w:val="center"/>
          <w:trHeight w:val="621"/>
        </w:trPr>
        <w:tc>
          <w:tcPr>
            <w:tcW w:w="135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评审因素</w:t>
            </w:r>
            <w:r/>
          </w:p>
        </w:tc>
        <w:tc>
          <w:tcPr>
            <w:tcW w:w="7929"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评审标准</w:t>
            </w:r>
            <w:r/>
          </w:p>
        </w:tc>
      </w:tr>
      <w:tr>
        <w:trPr>
          <w:jc w:val="center"/>
          <w:trHeight w:val="621"/>
        </w:trPr>
        <w:tc>
          <w:tcPr>
            <w:tcW w:w="135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企业业绩</w:t>
            </w:r>
            <w:r/>
          </w:p>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分）</w:t>
            </w:r>
            <w:r/>
          </w:p>
        </w:tc>
        <w:tc>
          <w:tcPr>
            <w:tcW w:w="7929" w:type="dxa"/>
            <w:vAlign w:val="center"/>
            <w:textDirection w:val="lrTb"/>
            <w:noWrap w:val="false"/>
          </w:tcPr>
          <w:p>
            <w:pPr>
              <w:jc w:val="left"/>
              <w:rPr>
                <w:rFonts w:hint="eastAsia" w:asciiTheme="minorEastAsia" w:hAnsiTheme="minorEastAsia" w:eastAsiaTheme="minorEastAsia" w:cstheme="minorEastAsia"/>
                <w:sz w:val="24"/>
                <w:szCs w:val="24"/>
                <w:highlight w:val="none"/>
              </w:rPr>
            </w:pPr>
            <w:r/>
            <w:bookmarkStart w:id="18" w:name="OLE_LINK7"/>
            <w:r>
              <w:rPr>
                <w:rFonts w:hint="eastAsia" w:asciiTheme="minorEastAsia" w:hAnsiTheme="minorEastAsia" w:eastAsiaTheme="minorEastAsia" w:cstheme="minorEastAsia"/>
                <w:sz w:val="24"/>
                <w:szCs w:val="24"/>
                <w:highlight w:val="none"/>
              </w:rPr>
              <w:t xml:space="preserve">供应商自202</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年1月1日以来（以合同签订时间为准）承担过类似特种设备</w:t>
            </w:r>
            <w:r>
              <w:rPr>
                <w:rFonts w:hint="eastAsia" w:asciiTheme="minorEastAsia" w:hAnsiTheme="minorEastAsia" w:cstheme="minorEastAsia"/>
                <w:sz w:val="24"/>
                <w:szCs w:val="24"/>
                <w:highlight w:val="none"/>
              </w:rPr>
              <w:t xml:space="preserve">隐患排查</w:t>
            </w:r>
            <w:r>
              <w:rPr>
                <w:rFonts w:hint="eastAsia" w:asciiTheme="minorEastAsia" w:hAnsiTheme="minorEastAsia" w:cstheme="minorEastAsia"/>
                <w:sz w:val="24"/>
                <w:szCs w:val="24"/>
                <w:highlight w:val="none"/>
                <w:lang w:val="en-US" w:eastAsia="zh-CN"/>
              </w:rPr>
              <w:t xml:space="preserve">或</w:t>
            </w:r>
            <w:r>
              <w:rPr>
                <w:rFonts w:hint="eastAsia" w:asciiTheme="minorEastAsia" w:hAnsiTheme="minorEastAsia" w:cstheme="minorEastAsia"/>
                <w:sz w:val="24"/>
                <w:szCs w:val="24"/>
                <w:highlight w:val="none"/>
              </w:rPr>
              <w:t xml:space="preserve">安全培训</w:t>
            </w:r>
            <w:r>
              <w:rPr>
                <w:rFonts w:hint="eastAsia" w:asciiTheme="minorEastAsia" w:hAnsiTheme="minorEastAsia" w:cstheme="minorEastAsia"/>
                <w:sz w:val="24"/>
                <w:szCs w:val="24"/>
                <w:highlight w:val="none"/>
                <w:lang w:val="en-US" w:eastAsia="zh-CN"/>
              </w:rPr>
              <w:t xml:space="preserve">或</w:t>
            </w:r>
            <w:r>
              <w:rPr>
                <w:rFonts w:hint="eastAsia" w:asciiTheme="minorEastAsia" w:hAnsiTheme="minorEastAsia" w:cstheme="minorEastAsia"/>
                <w:sz w:val="24"/>
                <w:szCs w:val="24"/>
                <w:highlight w:val="none"/>
              </w:rPr>
              <w:t xml:space="preserve">技术咨询</w:t>
            </w:r>
            <w:r>
              <w:rPr>
                <w:rFonts w:hint="eastAsia" w:asciiTheme="minorEastAsia" w:hAnsiTheme="minorEastAsia" w:cstheme="minorEastAsia"/>
                <w:sz w:val="24"/>
                <w:szCs w:val="24"/>
                <w:highlight w:val="none"/>
                <w:lang w:val="en-US" w:eastAsia="zh-CN"/>
              </w:rPr>
              <w:t xml:space="preserve">或</w:t>
            </w:r>
            <w:r>
              <w:rPr>
                <w:rFonts w:hint="eastAsia" w:asciiTheme="minorEastAsia" w:hAnsiTheme="minorEastAsia" w:cstheme="minorEastAsia"/>
                <w:sz w:val="24"/>
                <w:szCs w:val="24"/>
                <w:highlight w:val="none"/>
              </w:rPr>
              <w:t xml:space="preserve">检验检测辅助</w:t>
            </w:r>
            <w:r>
              <w:rPr>
                <w:rFonts w:ascii="宋体" w:hAnsi="宋体" w:eastAsia="宋体" w:cs="宋体"/>
                <w:sz w:val="24"/>
                <w:szCs w:val="24"/>
                <w:highlight w:val="none"/>
              </w:rPr>
              <w:t xml:space="preserve">等相关项目</w:t>
            </w:r>
            <w:r>
              <w:rPr>
                <w:rFonts w:hint="eastAsia" w:asciiTheme="minorEastAsia" w:hAnsiTheme="minorEastAsia" w:eastAsiaTheme="minorEastAsia" w:cstheme="minorEastAsia"/>
                <w:sz w:val="24"/>
                <w:szCs w:val="24"/>
                <w:highlight w:val="none"/>
              </w:rPr>
              <w:t xml:space="preserve">的，每有1个得</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分，最高得</w:t>
            </w:r>
            <w:r>
              <w:rPr>
                <w:rFonts w:hint="eastAsia" w:asciiTheme="minorEastAsia" w:hAnsi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rPr>
              <w:t xml:space="preserve">分。</w:t>
            </w:r>
            <w:bookmarkEnd w:id="18"/>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注：时间以合同签订时间为准，须提供中标通知书（或成交通知书）及合同</w:t>
            </w:r>
            <w:r>
              <w:rPr>
                <w:rFonts w:hint="eastAsia" w:asciiTheme="minorEastAsia" w:hAnsiTheme="minorEastAsia" w:eastAsiaTheme="minorEastAsia" w:cstheme="minorEastAsia"/>
                <w:b/>
                <w:bCs/>
                <w:sz w:val="24"/>
                <w:szCs w:val="24"/>
                <w:highlight w:val="none"/>
                <w:lang w:eastAsia="zh-CN"/>
              </w:rPr>
              <w:t xml:space="preserve">扫描件</w:t>
            </w:r>
            <w:r>
              <w:rPr>
                <w:rFonts w:hint="eastAsia" w:asciiTheme="minorEastAsia" w:hAnsiTheme="minorEastAsia" w:eastAsiaTheme="minorEastAsia" w:cstheme="minorEastAsia"/>
                <w:b/>
                <w:bCs/>
                <w:sz w:val="24"/>
                <w:szCs w:val="24"/>
                <w:highlight w:val="none"/>
                <w:lang w:val="en-US" w:eastAsia="zh-CN"/>
              </w:rPr>
              <w:t xml:space="preserve">并加盖</w:t>
            </w:r>
            <w:r>
              <w:rPr>
                <w:rFonts w:hint="eastAsia" w:asciiTheme="minorEastAsia" w:hAnsiTheme="minorEastAsia" w:eastAsiaTheme="minorEastAsia" w:cstheme="minorEastAsia"/>
                <w:b/>
                <w:bCs/>
                <w:sz w:val="24"/>
                <w:szCs w:val="24"/>
                <w:highlight w:val="none"/>
              </w:rPr>
              <w:t xml:space="preserve">单位公章，</w:t>
            </w:r>
            <w:r>
              <w:rPr>
                <w:rFonts w:hint="eastAsia" w:asciiTheme="minorEastAsia" w:hAnsiTheme="minorEastAsia" w:eastAsiaTheme="minorEastAsia" w:cstheme="minorEastAsia"/>
                <w:b/>
                <w:bCs/>
                <w:sz w:val="24"/>
                <w:szCs w:val="24"/>
                <w:highlight w:val="none"/>
                <w:lang w:val="en-US" w:eastAsia="zh-CN"/>
              </w:rPr>
              <w:t xml:space="preserve">合同需体现</w:t>
            </w:r>
            <w:r>
              <w:rPr>
                <w:rFonts w:hint="eastAsia" w:asciiTheme="minorEastAsia" w:hAnsiTheme="minorEastAsia" w:eastAsiaTheme="minorEastAsia" w:cstheme="minorEastAsia"/>
                <w:b/>
                <w:bCs/>
                <w:sz w:val="24"/>
                <w:szCs w:val="24"/>
                <w:highlight w:val="none"/>
              </w:rPr>
              <w:t xml:space="preserve">供应商名称、项目内容等主要信息，未按要求提供的不得分。</w:t>
            </w:r>
            <w:r/>
          </w:p>
        </w:tc>
      </w:tr>
      <w:tr>
        <w:trPr>
          <w:jc w:val="center"/>
          <w:trHeight w:val="428"/>
        </w:trPr>
        <w:tc>
          <w:tcPr>
            <w:tcW w:w="135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拟派项目负责人</w:t>
            </w:r>
            <w:r/>
          </w:p>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分）</w:t>
            </w:r>
            <w:r/>
          </w:p>
        </w:tc>
        <w:tc>
          <w:tcPr>
            <w:tcW w:w="7929" w:type="dxa"/>
            <w:vAlign w:val="center"/>
            <w:textDirection w:val="lrTb"/>
            <w:noWrap w:val="false"/>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拟派项目负责人具有高级工程师及以上职称的</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得</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具有中级职称的，得2分；</w:t>
            </w:r>
            <w:r>
              <w:rPr>
                <w:rFonts w:hint="eastAsia" w:asciiTheme="minorEastAsia" w:hAnsiTheme="minorEastAsia" w:eastAsiaTheme="minorEastAsia" w:cstheme="minorEastAsia"/>
                <w:sz w:val="24"/>
                <w:szCs w:val="24"/>
                <w:highlight w:val="none"/>
                <w:lang w:val="en-US" w:eastAsia="zh-CN"/>
              </w:rPr>
              <w:t xml:space="preserve">本项</w:t>
            </w:r>
            <w:r>
              <w:rPr>
                <w:rFonts w:hint="eastAsia" w:asciiTheme="minorEastAsia" w:hAnsiTheme="minorEastAsia" w:eastAsiaTheme="minorEastAsia" w:cstheme="minorEastAsia"/>
                <w:sz w:val="24"/>
                <w:szCs w:val="24"/>
                <w:highlight w:val="none"/>
              </w:rPr>
              <w:t xml:space="preserve">最高得</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拟派项目负责人具有特种设备高级检验师资格证书的</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分，具有锅炉检验师或压力容器检验师或压力管道检验师资格证书的</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每</w:t>
            </w:r>
            <w:r>
              <w:rPr>
                <w:rFonts w:hint="eastAsia" w:asciiTheme="minorEastAsia" w:hAnsiTheme="minorEastAsia" w:eastAsiaTheme="minorEastAsia" w:cstheme="minorEastAsia"/>
                <w:sz w:val="24"/>
                <w:szCs w:val="24"/>
                <w:highlight w:val="none"/>
                <w:lang w:val="en-US" w:eastAsia="zh-CN"/>
              </w:rPr>
              <w:t xml:space="preserve">有1</w:t>
            </w:r>
            <w:r>
              <w:rPr>
                <w:rFonts w:hint="eastAsia" w:asciiTheme="minorEastAsia" w:hAnsiTheme="minorEastAsia" w:eastAsiaTheme="minorEastAsia" w:cstheme="minorEastAsia"/>
                <w:sz w:val="24"/>
                <w:szCs w:val="24"/>
                <w:highlight w:val="none"/>
              </w:rPr>
              <w:t xml:space="preserve">个证书得</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val="en-US" w:eastAsia="zh-CN"/>
              </w:rPr>
              <w:t xml:space="preserve">本项</w:t>
            </w:r>
            <w:r>
              <w:rPr>
                <w:rFonts w:hint="eastAsia" w:asciiTheme="minorEastAsia" w:hAnsiTheme="minorEastAsia" w:eastAsiaTheme="minorEastAsia" w:cstheme="minorEastAsia"/>
                <w:sz w:val="24"/>
                <w:szCs w:val="24"/>
                <w:highlight w:val="none"/>
              </w:rPr>
              <w:t xml:space="preserve">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p>
            <w:pPr>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注：</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1</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须提供</w:t>
            </w:r>
            <w:r>
              <w:rPr>
                <w:rFonts w:hint="eastAsia" w:asciiTheme="minorEastAsia" w:hAnsiTheme="minorEastAsia" w:eastAsiaTheme="minorEastAsia" w:cstheme="minorEastAsia"/>
                <w:b/>
                <w:bCs/>
                <w:sz w:val="24"/>
                <w:szCs w:val="24"/>
                <w:highlight w:val="none"/>
                <w:lang w:val="en-US" w:eastAsia="zh-CN"/>
              </w:rPr>
              <w:t xml:space="preserve">项目负责人相关</w:t>
            </w:r>
            <w:r>
              <w:rPr>
                <w:rFonts w:hint="eastAsia" w:asciiTheme="minorEastAsia" w:hAnsiTheme="minorEastAsia" w:eastAsiaTheme="minorEastAsia" w:cstheme="minorEastAsia"/>
                <w:b/>
                <w:bCs/>
                <w:sz w:val="24"/>
                <w:szCs w:val="24"/>
                <w:highlight w:val="none"/>
              </w:rPr>
              <w:t xml:space="preserve">证书</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供应商</w:t>
            </w:r>
            <w:r>
              <w:rPr>
                <w:rFonts w:hint="eastAsia" w:asciiTheme="minorEastAsia" w:hAnsiTheme="minorEastAsia" w:eastAsiaTheme="minorEastAsia" w:cstheme="minorEastAsia"/>
                <w:b/>
                <w:bCs/>
                <w:sz w:val="24"/>
                <w:szCs w:val="24"/>
                <w:highlight w:val="none"/>
              </w:rPr>
              <w:t xml:space="preserve">为其缴纳的社保证明（</w:t>
            </w:r>
            <w:r>
              <w:rPr>
                <w:rFonts w:hint="eastAsia" w:asciiTheme="minorEastAsia" w:hAnsiTheme="minorEastAsia" w:eastAsiaTheme="minorEastAsia" w:cstheme="minorEastAsia"/>
                <w:b/>
                <w:bCs/>
                <w:sz w:val="24"/>
                <w:szCs w:val="24"/>
                <w:highlight w:val="none"/>
                <w:lang w:val="en-US" w:eastAsia="zh-CN"/>
              </w:rPr>
              <w:t xml:space="preserve">2025</w:t>
            </w:r>
            <w:r>
              <w:rPr>
                <w:rFonts w:hint="eastAsia" w:asciiTheme="minorEastAsia" w:hAnsiTheme="minorEastAsia" w:eastAsiaTheme="minorEastAsia" w:cstheme="minorEastAsia"/>
                <w:b/>
                <w:bCs/>
                <w:sz w:val="24"/>
                <w:szCs w:val="24"/>
                <w:highlight w:val="none"/>
                <w:lang w:eastAsia="zh-CN"/>
              </w:rPr>
              <w:t xml:space="preserve">年11月至今任意1个月</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eastAsia="zh-CN"/>
              </w:rPr>
              <w:t xml:space="preserve">扫描件</w:t>
            </w:r>
            <w:r>
              <w:rPr>
                <w:rFonts w:hint="eastAsia" w:asciiTheme="minorEastAsia" w:hAnsiTheme="minorEastAsia" w:eastAsiaTheme="minorEastAsia" w:cstheme="minorEastAsia"/>
                <w:b/>
                <w:bCs/>
                <w:sz w:val="24"/>
                <w:szCs w:val="24"/>
                <w:highlight w:val="none"/>
                <w:lang w:val="en-US" w:eastAsia="zh-CN"/>
              </w:rPr>
              <w:t xml:space="preserve">并加盖</w:t>
            </w:r>
            <w:r>
              <w:rPr>
                <w:rFonts w:hint="eastAsia" w:asciiTheme="minorEastAsia" w:hAnsiTheme="minorEastAsia" w:eastAsiaTheme="minorEastAsia" w:cstheme="minorEastAsia"/>
                <w:b/>
                <w:bCs/>
                <w:sz w:val="24"/>
                <w:szCs w:val="24"/>
                <w:highlight w:val="none"/>
              </w:rPr>
              <w:t xml:space="preserve">单位公章上传至电子响应文件中，否则不得分。</w:t>
            </w:r>
            <w:r/>
          </w:p>
          <w:p>
            <w:pPr>
              <w:jc w:val="left"/>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若为退休返聘人员，须提供退休证及返聘证书且年龄不得超过65周岁。</w:t>
            </w:r>
            <w:r/>
          </w:p>
        </w:tc>
      </w:tr>
      <w:tr>
        <w:trPr>
          <w:jc w:val="center"/>
          <w:trHeight w:val="943"/>
        </w:trPr>
        <w:tc>
          <w:tcPr>
            <w:tcW w:w="135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拟派</w:t>
            </w:r>
            <w:r>
              <w:rPr>
                <w:rFonts w:hint="eastAsia" w:asciiTheme="minorEastAsia" w:hAnsiTheme="minorEastAsia" w:eastAsiaTheme="minorEastAsia" w:cstheme="minorEastAsia"/>
                <w:sz w:val="24"/>
                <w:szCs w:val="24"/>
                <w:highlight w:val="none"/>
                <w:lang w:val="en-US" w:eastAsia="zh-CN"/>
              </w:rPr>
              <w:t xml:space="preserve">项目</w:t>
            </w:r>
            <w:r>
              <w:rPr>
                <w:rFonts w:hint="eastAsia" w:asciiTheme="minorEastAsia" w:hAnsiTheme="minorEastAsia" w:cstheme="minorEastAsia"/>
                <w:sz w:val="24"/>
                <w:szCs w:val="24"/>
                <w:highlight w:val="none"/>
                <w:lang w:val="en-US" w:eastAsia="zh-CN"/>
              </w:rPr>
              <w:t xml:space="preserve">常驻</w:t>
            </w:r>
            <w:r>
              <w:rPr>
                <w:rFonts w:hint="eastAsia" w:asciiTheme="minorEastAsia" w:hAnsiTheme="minorEastAsia" w:eastAsiaTheme="minorEastAsia" w:cstheme="minorEastAsia"/>
                <w:sz w:val="24"/>
                <w:szCs w:val="24"/>
                <w:highlight w:val="none"/>
                <w:lang w:val="en-US" w:eastAsia="zh-CN"/>
              </w:rPr>
              <w:t xml:space="preserve">团队成员</w:t>
            </w:r>
            <w:r>
              <w:rPr>
                <w:rFonts w:hint="eastAsia" w:asciiTheme="minorEastAsia" w:hAnsiTheme="minorEastAsia" w:eastAsiaTheme="minorEastAsia" w:cstheme="minorEastAsia"/>
                <w:sz w:val="24"/>
                <w:szCs w:val="24"/>
                <w:highlight w:val="none"/>
              </w:rPr>
              <w:t xml:space="preserve">（项目负责人除外）</w:t>
            </w:r>
            <w:r/>
          </w:p>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cstheme="minorEastAsia"/>
                <w:sz w:val="24"/>
                <w:szCs w:val="24"/>
                <w:highlight w:val="none"/>
                <w:lang w:val="en-US" w:eastAsia="zh-CN"/>
              </w:rPr>
              <w:t xml:space="preserve">16</w:t>
            </w:r>
            <w:r>
              <w:rPr>
                <w:rFonts w:hint="eastAsia" w:asciiTheme="minorEastAsia" w:hAnsiTheme="minorEastAsia" w:eastAsiaTheme="minorEastAsia" w:cstheme="minorEastAsia"/>
                <w:sz w:val="24"/>
                <w:szCs w:val="24"/>
                <w:highlight w:val="none"/>
              </w:rPr>
              <w:t xml:space="preserve">分）</w:t>
            </w:r>
            <w:r/>
          </w:p>
        </w:tc>
        <w:tc>
          <w:tcPr>
            <w:tcW w:w="7929" w:type="dxa"/>
            <w:vAlign w:val="center"/>
            <w:textDirection w:val="lrTb"/>
            <w:noWrap w:val="false"/>
          </w:tcPr>
          <w:p>
            <w:pPr>
              <w:numPr>
                <w:ilvl w:val="0"/>
                <w:numId w:val="0"/>
              </w:num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bidi="ar-SA"/>
              </w:rPr>
              <w:t xml:space="preserve">1.</w:t>
            </w:r>
            <w:r>
              <w:rPr>
                <w:rFonts w:hint="eastAsia" w:asciiTheme="minorEastAsia" w:hAnsiTheme="minorEastAsia" w:eastAsiaTheme="minorEastAsia" w:cstheme="minorEastAsia"/>
                <w:sz w:val="24"/>
                <w:szCs w:val="24"/>
                <w:highlight w:val="none"/>
                <w:lang w:val="en-US" w:eastAsia="zh-CN"/>
              </w:rPr>
              <w:t xml:space="preserve">拟派项目团队成员（不含项目负责人）中，具有射线胶片照相检测 Ⅱ 级及以上、脉冲反射法超声检测 Ⅱ 级及以上、磁粉检测 Ⅱ 级及以上、渗透检测 Ⅱ 级及以上无损检测资格证书的，</w:t>
            </w:r>
            <w:r>
              <w:rPr>
                <w:rFonts w:hint="eastAsia" w:asciiTheme="minorEastAsia" w:hAnsiTheme="minorEastAsia" w:eastAsiaTheme="minorEastAsia" w:cstheme="minorEastAsia"/>
                <w:b/>
                <w:bCs/>
                <w:sz w:val="24"/>
                <w:szCs w:val="24"/>
                <w:highlight w:val="none"/>
                <w:lang w:val="en-US" w:eastAsia="zh-CN"/>
              </w:rPr>
              <w:t xml:space="preserve">每有一个得</w:t>
            </w:r>
            <w:r>
              <w:rPr>
                <w:rFonts w:hint="eastAsia" w:asciiTheme="minorEastAsia" w:hAnsi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lang w:val="en-US" w:eastAsia="zh-CN"/>
              </w:rPr>
              <w:t xml:space="preserve">分，同一证书由多人持有的，不重复计分。本项最高得</w:t>
            </w:r>
            <w:r>
              <w:rPr>
                <w:rFonts w:hint="eastAsia" w:asciiTheme="minorEastAsia" w:hAnsiTheme="minorEastAsia" w:cstheme="minorEastAsia"/>
                <w:b/>
                <w:bCs/>
                <w:sz w:val="24"/>
                <w:szCs w:val="24"/>
                <w:highlight w:val="none"/>
                <w:lang w:val="en-US" w:eastAsia="zh-CN"/>
              </w:rPr>
              <w:t xml:space="preserve">8</w:t>
            </w:r>
            <w:r>
              <w:rPr>
                <w:rFonts w:hint="eastAsia" w:asciiTheme="minorEastAsia" w:hAnsiTheme="minorEastAsia" w:eastAsiaTheme="minorEastAsia" w:cstheme="minorEastAsia"/>
                <w:b/>
                <w:bCs/>
                <w:sz w:val="24"/>
                <w:szCs w:val="24"/>
                <w:highlight w:val="none"/>
                <w:lang w:val="en-US" w:eastAsia="zh-CN"/>
              </w:rPr>
              <w:t xml:space="preserve">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2.拟派项目团队成员（不含项目负责人）中，具有</w:t>
            </w:r>
            <w:r>
              <w:rPr>
                <w:rFonts w:hint="eastAsia" w:asciiTheme="minorEastAsia" w:hAnsiTheme="minorEastAsia" w:eastAsiaTheme="minorEastAsia" w:cstheme="minorEastAsia"/>
                <w:sz w:val="24"/>
                <w:szCs w:val="24"/>
                <w:highlight w:val="none"/>
              </w:rPr>
              <w:t xml:space="preserve">锅炉检验师或</w:t>
            </w:r>
            <w:r>
              <w:rPr>
                <w:rFonts w:hint="eastAsia" w:asciiTheme="minorEastAsia" w:hAnsiTheme="minorEastAsia" w:eastAsiaTheme="minorEastAsia" w:cstheme="minorEastAsia"/>
                <w:sz w:val="24"/>
                <w:szCs w:val="24"/>
                <w:highlight w:val="none"/>
                <w:lang w:val="en-US" w:eastAsia="zh-CN"/>
              </w:rPr>
              <w:t xml:space="preserve">压力容器检验师或压力管道检验师</w:t>
            </w:r>
            <w:r>
              <w:rPr>
                <w:rFonts w:hint="eastAsia" w:asciiTheme="minorEastAsia" w:hAnsiTheme="minorEastAsia" w:cstheme="minorEastAsia"/>
                <w:sz w:val="24"/>
                <w:szCs w:val="24"/>
                <w:highlight w:val="none"/>
                <w:lang w:val="en-US" w:eastAsia="zh-CN"/>
              </w:rPr>
              <w:t xml:space="preserve">或机电类检验师</w:t>
            </w:r>
            <w:r>
              <w:rPr>
                <w:rFonts w:hint="eastAsia" w:asciiTheme="minorEastAsia" w:hAnsiTheme="minorEastAsia" w:eastAsiaTheme="minorEastAsia" w:cstheme="minorEastAsia"/>
                <w:sz w:val="24"/>
                <w:szCs w:val="24"/>
                <w:highlight w:val="none"/>
                <w:lang w:val="en-US" w:eastAsia="zh-CN"/>
              </w:rPr>
              <w:t xml:space="preserve">资格证书的，每有一人得</w:t>
            </w: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eastAsia="zh-CN"/>
              </w:rPr>
              <w:t xml:space="preserve">分；本项最高得</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分。</w:t>
            </w:r>
            <w:r>
              <w:rPr>
                <w:rFonts w:hint="eastAsia" w:asciiTheme="minorEastAsia" w:hAnsiTheme="minorEastAsia" w:cstheme="minorEastAsia"/>
                <w:sz w:val="24"/>
                <w:szCs w:val="24"/>
                <w:highlight w:val="none"/>
                <w:lang w:val="en-US" w:eastAsia="zh-CN"/>
              </w:rPr>
              <w:t xml:space="preserve">（机电类检验师不超过一人）</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3.拟派项目团队成员（不含项目负责人）中，具有高级工程师及以上职称的，每有一人得</w:t>
            </w: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eastAsia="zh-CN"/>
              </w:rPr>
              <w:t xml:space="preserve">分；具有</w:t>
            </w:r>
            <w:r>
              <w:rPr>
                <w:rFonts w:hint="eastAsia" w:asciiTheme="minorEastAsia" w:hAnsiTheme="minorEastAsia" w:cstheme="minorEastAsia"/>
                <w:sz w:val="24"/>
                <w:szCs w:val="24"/>
                <w:highlight w:val="none"/>
                <w:lang w:val="en-US" w:eastAsia="zh-CN"/>
              </w:rPr>
              <w:t xml:space="preserve">中级</w:t>
            </w:r>
            <w:r>
              <w:rPr>
                <w:rFonts w:hint="eastAsia" w:asciiTheme="minorEastAsia" w:hAnsiTheme="minorEastAsia" w:eastAsiaTheme="minorEastAsia" w:cstheme="minorEastAsia"/>
                <w:sz w:val="24"/>
                <w:szCs w:val="24"/>
                <w:highlight w:val="none"/>
                <w:lang w:val="en-US" w:eastAsia="zh-CN"/>
              </w:rPr>
              <w:t xml:space="preserve">职称的，每有一人得</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val="en-US" w:eastAsia="zh-CN"/>
              </w:rPr>
              <w:t xml:space="preserve">分</w:t>
            </w:r>
            <w:r>
              <w:rPr>
                <w:rFonts w:hint="eastAsia" w:asciiTheme="minorEastAsia" w:hAnsi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本项最高得</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分。</w:t>
            </w:r>
            <w:r/>
          </w:p>
          <w:p>
            <w:pPr>
              <w:numPr>
                <w:ilvl w:val="0"/>
                <w:numId w:val="0"/>
              </w:numPr>
              <w:jc w:val="left"/>
              <w:rPr>
                <w:rFonts w:hint="eastAsia" w:asciiTheme="minorEastAsia" w:hAnsi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rPr>
              <w:t xml:space="preserve">注：</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1</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color w:val="000000"/>
                <w:spacing w:val="0"/>
                <w:sz w:val="24"/>
                <w:szCs w:val="24"/>
                <w:highlight w:val="none"/>
                <w:vertAlign w:val="baseline"/>
                <w:lang w:val="en-US" w:eastAsia="zh-CN"/>
              </w:rPr>
              <w:t xml:space="preserve">上述人员</w:t>
            </w:r>
            <w:r>
              <w:rPr>
                <w:rFonts w:hint="eastAsia" w:asciiTheme="minorEastAsia" w:hAnsiTheme="minorEastAsia" w:eastAsiaTheme="minorEastAsia" w:cstheme="minorEastAsia"/>
                <w:b/>
                <w:bCs/>
                <w:sz w:val="24"/>
                <w:szCs w:val="24"/>
                <w:highlight w:val="none"/>
                <w:lang w:eastAsia="zh-CN"/>
              </w:rPr>
              <w:t xml:space="preserve">须提供</w:t>
            </w:r>
            <w:r>
              <w:rPr>
                <w:rFonts w:hint="eastAsia" w:asciiTheme="minorEastAsia" w:hAnsiTheme="minorEastAsia" w:eastAsiaTheme="minorEastAsia" w:cstheme="minorEastAsia"/>
                <w:b/>
                <w:bCs/>
                <w:sz w:val="24"/>
                <w:szCs w:val="24"/>
                <w:highlight w:val="none"/>
                <w:lang w:val="en-US" w:eastAsia="zh-CN"/>
              </w:rPr>
              <w:t xml:space="preserve">项目团队成员</w:t>
            </w:r>
            <w:r>
              <w:rPr>
                <w:rFonts w:hint="eastAsia" w:asciiTheme="minorEastAsia" w:hAnsiTheme="minorEastAsia" w:eastAsiaTheme="minorEastAsia" w:cstheme="minorEastAsia"/>
                <w:b/>
                <w:bCs/>
                <w:sz w:val="24"/>
                <w:szCs w:val="24"/>
                <w:highlight w:val="none"/>
                <w:lang w:eastAsia="zh-CN"/>
              </w:rPr>
              <w:t xml:space="preserve">相关证书、供应商为其缴纳的社保证明（2025年11月至今任意1个月）扫描件并加盖单位公章上传至电子</w:t>
            </w:r>
            <w:r>
              <w:rPr>
                <w:rFonts w:hint="eastAsia" w:asciiTheme="minorEastAsia" w:hAnsiTheme="minorEastAsia" w:cstheme="minorEastAsia"/>
                <w:b/>
                <w:bCs/>
                <w:sz w:val="24"/>
                <w:szCs w:val="24"/>
                <w:highlight w:val="none"/>
                <w:lang w:val="en-US" w:eastAsia="zh-CN"/>
              </w:rPr>
              <w:t xml:space="preserve">响应文件中，否则不得分。</w:t>
            </w:r>
            <w:r/>
          </w:p>
          <w:p>
            <w:pPr>
              <w:numPr>
                <w:ilvl w:val="0"/>
                <w:numId w:val="0"/>
              </w:numPr>
              <w:jc w:val="left"/>
              <w:rPr>
                <w:rFonts w:hint="eastAsia" w:asciiTheme="minorEastAsia" w:hAnsi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bidi="ar-SA"/>
              </w:rPr>
              <w:t xml:space="preserve">（</w:t>
            </w:r>
            <w:r>
              <w:rPr>
                <w:rFonts w:hint="eastAsia" w:asciiTheme="minorEastAsia" w:hAnsiTheme="minorEastAsia" w:cstheme="minorEastAsia"/>
                <w:b/>
                <w:bCs/>
                <w:sz w:val="24"/>
                <w:szCs w:val="24"/>
                <w:highlight w:val="none"/>
                <w:lang w:val="en-US" w:eastAsia="zh-CN" w:bidi="ar-SA"/>
              </w:rPr>
              <w:t xml:space="preserve">2</w:t>
            </w:r>
            <w:r>
              <w:rPr>
                <w:rFonts w:hint="eastAsia" w:asciiTheme="minorEastAsia" w:hAnsiTheme="minorEastAsia" w:eastAsiaTheme="minorEastAsia" w:cstheme="minorEastAsia"/>
                <w:b/>
                <w:bCs/>
                <w:sz w:val="24"/>
                <w:szCs w:val="24"/>
                <w:highlight w:val="none"/>
                <w:lang w:val="en-US" w:eastAsia="zh-CN" w:bidi="ar-SA"/>
              </w:rPr>
              <w:t xml:space="preserve">）</w:t>
            </w:r>
            <w:r>
              <w:rPr>
                <w:rFonts w:hint="eastAsia" w:asciiTheme="minorEastAsia" w:hAnsiTheme="minorEastAsia" w:cstheme="minorEastAsia"/>
                <w:b/>
                <w:bCs/>
                <w:sz w:val="24"/>
                <w:szCs w:val="24"/>
                <w:highlight w:val="none"/>
                <w:lang w:val="en-US" w:eastAsia="zh-CN"/>
              </w:rPr>
              <w:t xml:space="preserve">若为退休返聘人员，须提供退休证及返聘证书且年龄不得超过65周岁。</w:t>
            </w:r>
            <w:r/>
          </w:p>
          <w:p>
            <w:pPr>
              <w:numPr>
                <w:ilvl w:val="0"/>
                <w:numId w:val="0"/>
              </w:numPr>
              <w:jc w:val="left"/>
              <w:rPr>
                <w:rFonts w:hint="default" w:asciiTheme="minorEastAsia" w:hAnsi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bidi="ar-SA"/>
              </w:rPr>
              <w:t xml:space="preserve">（</w:t>
            </w:r>
            <w:r>
              <w:rPr>
                <w:rFonts w:hint="eastAsia" w:asciiTheme="minorEastAsia" w:hAnsiTheme="minorEastAsia" w:cstheme="minorEastAsia"/>
                <w:b/>
                <w:bCs/>
                <w:sz w:val="24"/>
                <w:szCs w:val="24"/>
                <w:highlight w:val="none"/>
                <w:lang w:val="en-US" w:eastAsia="zh-CN" w:bidi="ar-SA"/>
              </w:rPr>
              <w:t xml:space="preserve">3</w:t>
            </w:r>
            <w:r>
              <w:rPr>
                <w:rFonts w:hint="eastAsia" w:asciiTheme="minorEastAsia" w:hAnsiTheme="minorEastAsia" w:eastAsiaTheme="minorEastAsia" w:cstheme="minorEastAsia"/>
                <w:b/>
                <w:bCs/>
                <w:sz w:val="24"/>
                <w:szCs w:val="24"/>
                <w:highlight w:val="none"/>
                <w:lang w:val="en-US" w:eastAsia="zh-CN" w:bidi="ar-SA"/>
              </w:rPr>
              <w:t xml:space="preserve">）</w:t>
            </w:r>
            <w:r>
              <w:rPr>
                <w:rFonts w:hint="eastAsia" w:asciiTheme="minorEastAsia" w:hAnsiTheme="minorEastAsia" w:cstheme="minorEastAsia"/>
                <w:b/>
                <w:bCs/>
                <w:sz w:val="24"/>
                <w:szCs w:val="24"/>
                <w:highlight w:val="none"/>
                <w:lang w:val="en-US" w:eastAsia="zh-CN"/>
              </w:rPr>
              <w:t xml:space="preserve">拟派项目常驻团队成员（项目负责人除外）与盛虹炼化检验管控专班成员不可重复计分。</w:t>
            </w:r>
            <w:r/>
          </w:p>
        </w:tc>
      </w:tr>
      <w:tr>
        <w:trPr>
          <w:jc w:val="center"/>
          <w:trHeight w:val="943"/>
        </w:trPr>
        <w:tc>
          <w:tcPr>
            <w:tcW w:w="1352" w:type="dxa"/>
            <w:vAlign w:val="center"/>
            <w:textDirection w:val="lrTb"/>
            <w:noWrap w:val="false"/>
          </w:tcPr>
          <w:p>
            <w:pPr>
              <w:jc w:val="center"/>
              <w:rPr>
                <w:rFonts w:hint="eastAsia" w:asciiTheme="minorEastAsia" w:hAnsiTheme="minorEastAsia" w:cstheme="minorEastAsia"/>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盛虹炼化检验管控</w:t>
            </w:r>
            <w:r>
              <w:rPr>
                <w:rFonts w:hint="eastAsia" w:asciiTheme="minorEastAsia" w:hAnsiTheme="minorEastAsia" w:cstheme="minorEastAsia"/>
                <w:sz w:val="24"/>
                <w:szCs w:val="24"/>
                <w:highlight w:val="none"/>
                <w:lang w:val="en-US" w:eastAsia="zh-CN"/>
              </w:rPr>
              <w:t xml:space="preserve">专班成员</w:t>
            </w:r>
            <w:r/>
          </w:p>
          <w:p>
            <w:pPr>
              <w:jc w:val="center"/>
              <w:rPr>
                <w:rFonts w:hint="default" w:asciiTheme="minorEastAsia" w:hAnsi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分）</w:t>
            </w:r>
            <w:r/>
          </w:p>
        </w:tc>
        <w:tc>
          <w:tcPr>
            <w:tcW w:w="7929" w:type="dxa"/>
            <w:vAlign w:val="center"/>
            <w:textDirection w:val="lrTb"/>
            <w:noWrap w:val="false"/>
          </w:tcPr>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b w:val="0"/>
                <w:bCs w:val="0"/>
                <w:color w:val="000000"/>
                <w:spacing w:val="0"/>
                <w:sz w:val="24"/>
                <w:szCs w:val="24"/>
                <w:highlight w:val="none"/>
                <w:vertAlign w:val="baseline"/>
                <w:lang w:val="en-US" w:eastAsia="zh-CN"/>
              </w:rPr>
              <w:t xml:space="preserve">1.专班项目负责人持有</w:t>
            </w:r>
            <w:r>
              <w:rPr>
                <w:rFonts w:hint="eastAsia" w:asciiTheme="minorEastAsia" w:hAnsiTheme="minorEastAsia" w:eastAsiaTheme="minorEastAsia" w:cstheme="minorEastAsia"/>
                <w:b w:val="0"/>
                <w:bCs w:val="0"/>
                <w:sz w:val="24"/>
                <w:szCs w:val="24"/>
                <w:highlight w:val="none"/>
                <w:lang w:val="en-US" w:eastAsia="zh-CN"/>
              </w:rPr>
              <w:t xml:space="preserve">具</w:t>
            </w:r>
            <w:r>
              <w:rPr>
                <w:rFonts w:hint="eastAsia" w:asciiTheme="minorEastAsia" w:hAnsiTheme="minorEastAsia" w:eastAsiaTheme="minorEastAsia" w:cstheme="minorEastAsia"/>
                <w:sz w:val="24"/>
                <w:szCs w:val="24"/>
                <w:highlight w:val="none"/>
                <w:lang w:val="en-US" w:eastAsia="zh-CN"/>
              </w:rPr>
              <w:t xml:space="preserve">有</w:t>
            </w:r>
            <w:r>
              <w:rPr>
                <w:rFonts w:hint="eastAsia" w:asciiTheme="minorEastAsia" w:hAnsiTheme="minorEastAsia" w:eastAsiaTheme="minorEastAsia" w:cstheme="minorEastAsia"/>
                <w:sz w:val="24"/>
                <w:szCs w:val="24"/>
                <w:highlight w:val="none"/>
              </w:rPr>
              <w:t xml:space="preserve">锅炉检验师或</w:t>
            </w:r>
            <w:r>
              <w:rPr>
                <w:rFonts w:hint="eastAsia" w:asciiTheme="minorEastAsia" w:hAnsiTheme="minorEastAsia" w:eastAsiaTheme="minorEastAsia" w:cstheme="minorEastAsia"/>
                <w:sz w:val="24"/>
                <w:szCs w:val="24"/>
                <w:highlight w:val="none"/>
                <w:lang w:val="en-US" w:eastAsia="zh-CN"/>
              </w:rPr>
              <w:t xml:space="preserve">压力容器检验师或压力管道检验师资格证书的，得</w:t>
            </w: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eastAsia="zh-CN"/>
              </w:rPr>
              <w:t xml:space="preserve">分。</w:t>
            </w:r>
            <w:r/>
          </w:p>
          <w:p>
            <w:pPr>
              <w:jc w:val="lef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2.专班团队成员（</w:t>
            </w:r>
            <w:r>
              <w:rPr>
                <w:rFonts w:hint="eastAsia" w:asciiTheme="minorEastAsia" w:hAnsiTheme="minorEastAsia" w:eastAsiaTheme="minorEastAsia" w:cstheme="minorEastAsia"/>
                <w:sz w:val="24"/>
                <w:szCs w:val="24"/>
                <w:highlight w:val="none"/>
                <w:lang w:val="en-US" w:eastAsia="zh-CN"/>
              </w:rPr>
              <w:t xml:space="preserve">不含</w:t>
            </w:r>
            <w:r>
              <w:rPr>
                <w:rFonts w:hint="eastAsia" w:asciiTheme="minorEastAsia" w:hAnsiTheme="minorEastAsia" w:cstheme="minorEastAsia"/>
                <w:sz w:val="24"/>
                <w:szCs w:val="24"/>
                <w:highlight w:val="none"/>
                <w:lang w:val="en-US" w:eastAsia="zh-CN"/>
              </w:rPr>
              <w:t xml:space="preserve">专班项目负责人）</w:t>
            </w:r>
            <w:r>
              <w:rPr>
                <w:rFonts w:hint="eastAsia" w:asciiTheme="minorEastAsia" w:hAnsiTheme="minorEastAsia" w:eastAsiaTheme="minorEastAsia" w:cstheme="minorEastAsia"/>
                <w:sz w:val="24"/>
                <w:szCs w:val="24"/>
                <w:highlight w:val="none"/>
                <w:lang w:val="en-US" w:eastAsia="zh-CN"/>
              </w:rPr>
              <w:t xml:space="preserve">具有射线胶片照相检测 Ⅱ 级及以上、脉冲反射法超声检测 Ⅱ 级及以上、磁粉检测 Ⅱ 级及以上、渗透检测 Ⅱ 级及以</w:t>
            </w:r>
            <w:r>
              <w:rPr>
                <w:rFonts w:hint="eastAsia" w:asciiTheme="minorEastAsia" w:hAnsiTheme="minorEastAsia" w:eastAsiaTheme="minorEastAsia" w:cstheme="minorEastAsia"/>
                <w:b w:val="0"/>
                <w:bCs w:val="0"/>
                <w:sz w:val="24"/>
                <w:szCs w:val="24"/>
                <w:highlight w:val="none"/>
                <w:lang w:val="en-US" w:eastAsia="zh-CN"/>
              </w:rPr>
              <w:t xml:space="preserve">上无损检测资格证书的，每有一</w:t>
            </w:r>
            <w:r>
              <w:rPr>
                <w:rFonts w:hint="eastAsia" w:asciiTheme="minorEastAsia" w:hAnsiTheme="minorEastAsia" w:cstheme="minorEastAsia"/>
                <w:b w:val="0"/>
                <w:bCs w:val="0"/>
                <w:sz w:val="24"/>
                <w:szCs w:val="24"/>
                <w:highlight w:val="none"/>
                <w:lang w:val="en-US" w:eastAsia="zh-CN"/>
              </w:rPr>
              <w:t xml:space="preserve">人</w:t>
            </w:r>
            <w:r>
              <w:rPr>
                <w:rFonts w:hint="eastAsia" w:asciiTheme="minorEastAsia" w:hAnsiTheme="minorEastAsia" w:eastAsiaTheme="minorEastAsia" w:cstheme="minorEastAsia"/>
                <w:b w:val="0"/>
                <w:bCs w:val="0"/>
                <w:sz w:val="24"/>
                <w:szCs w:val="24"/>
                <w:highlight w:val="none"/>
                <w:lang w:val="en-US" w:eastAsia="zh-CN"/>
              </w:rPr>
              <w:t xml:space="preserve">得</w:t>
            </w:r>
            <w:r>
              <w:rPr>
                <w:rFonts w:hint="eastAsia" w:asciiTheme="minorEastAsia" w:hAnsiTheme="minorEastAsia" w:cstheme="minorEastAsia"/>
                <w:b w:val="0"/>
                <w:bCs w:val="0"/>
                <w:sz w:val="24"/>
                <w:szCs w:val="24"/>
                <w:highlight w:val="none"/>
                <w:lang w:val="en-US" w:eastAsia="zh-CN"/>
              </w:rPr>
              <w:t xml:space="preserve">1</w:t>
            </w:r>
            <w:r>
              <w:rPr>
                <w:rFonts w:hint="eastAsia" w:asciiTheme="minorEastAsia" w:hAnsiTheme="minorEastAsia" w:eastAsiaTheme="minorEastAsia" w:cstheme="minorEastAsia"/>
                <w:b w:val="0"/>
                <w:bCs w:val="0"/>
                <w:sz w:val="24"/>
                <w:szCs w:val="24"/>
                <w:highlight w:val="none"/>
                <w:lang w:val="en-US" w:eastAsia="zh-CN"/>
              </w:rPr>
              <w:t xml:space="preserve">分，同一</w:t>
            </w:r>
            <w:r>
              <w:rPr>
                <w:rFonts w:hint="eastAsia" w:asciiTheme="minorEastAsia" w:hAnsiTheme="minorEastAsia" w:cstheme="minorEastAsia"/>
                <w:b w:val="0"/>
                <w:bCs w:val="0"/>
                <w:sz w:val="24"/>
                <w:szCs w:val="24"/>
                <w:highlight w:val="none"/>
                <w:lang w:val="en-US" w:eastAsia="zh-CN"/>
              </w:rPr>
              <w:t xml:space="preserve">人员</w:t>
            </w:r>
            <w:r>
              <w:rPr>
                <w:rFonts w:hint="eastAsia" w:asciiTheme="minorEastAsia" w:hAnsiTheme="minorEastAsia" w:eastAsiaTheme="minorEastAsia" w:cstheme="minorEastAsia"/>
                <w:b w:val="0"/>
                <w:bCs w:val="0"/>
                <w:sz w:val="24"/>
                <w:szCs w:val="24"/>
                <w:highlight w:val="none"/>
                <w:lang w:val="en-US" w:eastAsia="zh-CN"/>
              </w:rPr>
              <w:t xml:space="preserve">不重复计分。本项最高得</w:t>
            </w:r>
            <w:r>
              <w:rPr>
                <w:rFonts w:hint="eastAsia" w:asciiTheme="minorEastAsia" w:hAnsiTheme="minorEastAsia" w:cstheme="minorEastAsia"/>
                <w:b w:val="0"/>
                <w:bCs w:val="0"/>
                <w:sz w:val="24"/>
                <w:szCs w:val="24"/>
                <w:highlight w:val="none"/>
                <w:lang w:val="en-US" w:eastAsia="zh-CN"/>
              </w:rPr>
              <w:t xml:space="preserve">6</w:t>
            </w:r>
            <w:r>
              <w:rPr>
                <w:rFonts w:hint="eastAsia" w:asciiTheme="minorEastAsia" w:hAnsiTheme="minorEastAsia" w:eastAsiaTheme="minorEastAsia" w:cstheme="minorEastAsia"/>
                <w:b w:val="0"/>
                <w:bCs w:val="0"/>
                <w:sz w:val="24"/>
                <w:szCs w:val="24"/>
                <w:highlight w:val="none"/>
                <w:lang w:val="en-US" w:eastAsia="zh-CN"/>
              </w:rPr>
              <w:t xml:space="preserve">分。</w:t>
            </w:r>
            <w:r/>
          </w:p>
          <w:p>
            <w:pPr>
              <w:jc w:val="left"/>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rPr>
              <w:t xml:space="preserve">注：</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1</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color w:val="000000"/>
                <w:spacing w:val="0"/>
                <w:sz w:val="24"/>
                <w:szCs w:val="24"/>
                <w:highlight w:val="none"/>
                <w:vertAlign w:val="baseline"/>
                <w:lang w:val="en-US" w:eastAsia="zh-CN"/>
              </w:rPr>
              <w:t xml:space="preserve">上述人员</w:t>
            </w:r>
            <w:r>
              <w:rPr>
                <w:rFonts w:hint="eastAsia" w:asciiTheme="minorEastAsia" w:hAnsiTheme="minorEastAsia" w:eastAsiaTheme="minorEastAsia" w:cstheme="minorEastAsia"/>
                <w:b/>
                <w:bCs/>
                <w:sz w:val="24"/>
                <w:szCs w:val="24"/>
                <w:highlight w:val="none"/>
                <w:lang w:eastAsia="zh-CN"/>
              </w:rPr>
              <w:t xml:space="preserve">须提供</w:t>
            </w:r>
            <w:r>
              <w:rPr>
                <w:rFonts w:hint="eastAsia" w:asciiTheme="minorEastAsia" w:hAnsiTheme="minorEastAsia" w:eastAsiaTheme="minorEastAsia" w:cstheme="minorEastAsia"/>
                <w:b/>
                <w:bCs/>
                <w:sz w:val="24"/>
                <w:szCs w:val="24"/>
                <w:highlight w:val="none"/>
                <w:lang w:val="en-US" w:eastAsia="zh-CN"/>
              </w:rPr>
              <w:t xml:space="preserve">项目团队成员</w:t>
            </w:r>
            <w:r>
              <w:rPr>
                <w:rFonts w:hint="eastAsia" w:asciiTheme="minorEastAsia" w:hAnsiTheme="minorEastAsia" w:eastAsiaTheme="minorEastAsia" w:cstheme="minorEastAsia"/>
                <w:b/>
                <w:bCs/>
                <w:sz w:val="24"/>
                <w:szCs w:val="24"/>
                <w:highlight w:val="none"/>
                <w:lang w:eastAsia="zh-CN"/>
              </w:rPr>
              <w:t xml:space="preserve">相关证书、供应商为其缴纳的社保证明（2025年11月至今任意1个月）扫描件并加盖单位公章上传至电子响应文件中，否则不得分。</w:t>
            </w:r>
            <w:r/>
          </w:p>
          <w:p>
            <w:pPr>
              <w:numPr>
                <w:ilvl w:val="0"/>
                <w:numId w:val="0"/>
              </w:numPr>
              <w:jc w:val="left"/>
              <w:rPr>
                <w:rFonts w:hint="eastAsia" w:asciiTheme="minorEastAsia" w:hAnsi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bidi="ar-SA"/>
              </w:rPr>
              <w:t xml:space="preserve">（2）</w:t>
            </w:r>
            <w:r>
              <w:rPr>
                <w:rFonts w:hint="eastAsia" w:asciiTheme="minorEastAsia" w:hAnsiTheme="minorEastAsia" w:cstheme="minorEastAsia"/>
                <w:b/>
                <w:bCs/>
                <w:sz w:val="24"/>
                <w:szCs w:val="24"/>
                <w:highlight w:val="none"/>
                <w:lang w:val="en-US" w:eastAsia="zh-CN"/>
              </w:rPr>
              <w:t xml:space="preserve">若为退休返聘人员，须提供退休证及返聘证书且年龄不得超过65周岁。</w:t>
            </w:r>
            <w:r/>
          </w:p>
          <w:p>
            <w:pPr>
              <w:numPr>
                <w:ilvl w:val="-1"/>
                <w:numId w:val="0"/>
              </w:numPr>
              <w:jc w:val="left"/>
              <w:rPr>
                <w:rFonts w:hint="eastAsia" w:asciiTheme="minorEastAsia" w:hAnsi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（3）专班团队成员</w:t>
            </w:r>
            <w:r>
              <w:rPr>
                <w:rFonts w:hint="eastAsia" w:asciiTheme="minorEastAsia" w:hAnsiTheme="minorEastAsia" w:cstheme="minorEastAsia"/>
                <w:b/>
                <w:bCs/>
                <w:sz w:val="24"/>
                <w:szCs w:val="24"/>
                <w:highlight w:val="none"/>
              </w:rPr>
              <w:t xml:space="preserve">需同时具备上述四类检测资格</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cstheme="minorEastAsia"/>
                <w:b/>
                <w:bCs/>
                <w:sz w:val="24"/>
                <w:szCs w:val="24"/>
                <w:highlight w:val="none"/>
              </w:rPr>
              <w:t xml:space="preserve">每缺少上述任意一类证书，扣</w:t>
            </w:r>
            <w:r>
              <w:rPr>
                <w:rFonts w:hint="eastAsia" w:asciiTheme="minorEastAsia" w:hAnsiTheme="minorEastAsia" w:cstheme="minorEastAsia"/>
                <w:b/>
                <w:bCs/>
                <w:sz w:val="24"/>
                <w:szCs w:val="24"/>
                <w:highlight w:val="none"/>
                <w:lang w:val="en-US" w:eastAsia="zh-CN"/>
              </w:rPr>
              <w:t xml:space="preserve">1</w:t>
            </w:r>
            <w:r>
              <w:rPr>
                <w:rFonts w:hint="eastAsia" w:asciiTheme="minorEastAsia" w:hAnsiTheme="minorEastAsia" w:cstheme="minorEastAsia"/>
                <w:b/>
                <w:bCs/>
                <w:sz w:val="24"/>
                <w:szCs w:val="24"/>
                <w:highlight w:val="none"/>
              </w:rPr>
              <w:t xml:space="preserve"> 分。</w:t>
            </w:r>
            <w:r/>
          </w:p>
          <w:p>
            <w:pPr>
              <w:numPr>
                <w:ilvl w:val="-1"/>
                <w:numId w:val="0"/>
              </w:numPr>
              <w:jc w:val="lef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4</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拟派项目常驻团队成员（项目负责人除外）与盛虹炼化检验管控专班成员不可重复计分。</w:t>
            </w:r>
            <w:r/>
          </w:p>
        </w:tc>
      </w:tr>
    </w:tbl>
    <w:p>
      <w:pPr>
        <w:pStyle w:val="681"/>
        <w:ind w:firstLine="482"/>
        <w:keepLines w:val="0"/>
        <w:keepNext w:val="0"/>
        <w:pageBreakBefore w:val="0"/>
        <w:spacing w:line="360" w:lineRule="auto"/>
        <w:widowControl/>
        <w:tabs>
          <w:tab w:val="left" w:pos="7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五、成交标准：</w:t>
      </w:r>
      <w:r/>
    </w:p>
    <w:p>
      <w:pPr>
        <w:ind w:firstLine="480"/>
        <w:keepLines w:val="0"/>
        <w:keepNext w:val="0"/>
        <w:pageBreakBefore w:val="0"/>
        <w:spacing w:line="360" w:lineRule="auto"/>
        <w:widowControl w:val="off"/>
        <w:rPr>
          <w:highlight w:val="none"/>
        </w:rPr>
      </w:pPr>
      <w:r>
        <w:rPr>
          <w:rFonts w:hint="eastAsia" w:ascii="宋体" w:hAnsi="宋体" w:eastAsia="宋体" w:cs="宋体"/>
          <w:bCs/>
          <w:color w:val="000000"/>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681"/>
        <w:ind w:firstLine="480"/>
        <w:spacing w:line="360" w:lineRule="auto"/>
        <w:tabs>
          <w:tab w:val="left" w:pos="7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47"/>
        <w:jc w:val="center"/>
        <w:keepLines/>
        <w:keepNext/>
        <w:pageBreakBefore/>
        <w:spacing w:before="156" w:after="156" w:line="360" w:lineRule="auto"/>
        <w:widowControl w:val="off"/>
        <w:rPr>
          <w:rFonts w:hint="eastAsia" w:ascii="宋体" w:hAnsi="宋体" w:eastAsia="宋体" w:cs="宋体"/>
          <w:b/>
          <w:bCs w:val="0"/>
          <w:highlight w:val="none"/>
        </w:rPr>
      </w:pPr>
      <w:r/>
      <w:bookmarkStart w:id="19" w:name="_Toc161932696"/>
      <w:r/>
      <w:bookmarkStart w:id="20" w:name="_Toc6483"/>
      <w:r/>
      <w:bookmarkStart w:id="21" w:name="_Toc4866"/>
      <w:r>
        <w:rPr>
          <w:rFonts w:hint="eastAsia" w:ascii="宋体" w:hAnsi="宋体" w:eastAsia="宋体" w:cs="宋体"/>
          <w:b/>
          <w:bCs w:val="0"/>
          <w:highlight w:val="none"/>
        </w:rPr>
        <w:t xml:space="preserve">第六章  响应文件格式</w:t>
      </w:r>
      <w:bookmarkEnd w:id="19"/>
      <w:r/>
      <w:bookmarkEnd w:id="20"/>
      <w:r/>
      <w:bookmarkEnd w:id="21"/>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1446"/>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ind w:firstLine="1446"/>
        <w:jc w:val="both"/>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  应  文  件</w:t>
      </w:r>
      <w:r/>
    </w:p>
    <w:p>
      <w:pPr>
        <w:ind w:firstLine="1446"/>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ind w:firstLine="1446"/>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ind w:firstLine="723"/>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ind w:firstLine="723"/>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ind w:firstLine="723"/>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ind w:firstLine="723"/>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t xml:space="preserve">项 目 名 称：</w:t>
      </w:r>
      <w:r>
        <w:rPr>
          <w:rFonts w:hint="eastAsia" w:ascii="宋体" w:hAnsi="宋体" w:eastAsia="宋体" w:cs="宋体"/>
          <w:b/>
          <w:color w:val="000000"/>
          <w:sz w:val="36"/>
          <w:szCs w:val="21"/>
          <w:highlight w:val="none"/>
          <w:u w:val="single"/>
        </w:rPr>
        <w:t xml:space="preserve">                   </w:t>
      </w:r>
      <w:r/>
    </w:p>
    <w:p>
      <w:pPr>
        <w:ind w:firstLine="723"/>
        <w:spacing w:line="360" w:lineRule="auto"/>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项 目 编 号：</w:t>
      </w:r>
      <w:r>
        <w:rPr>
          <w:rFonts w:hint="eastAsia" w:ascii="宋体" w:hAnsi="宋体" w:eastAsia="宋体" w:cs="宋体"/>
          <w:b/>
          <w:color w:val="000000"/>
          <w:sz w:val="36"/>
          <w:szCs w:val="21"/>
          <w:highlight w:val="none"/>
          <w:u w:val="single"/>
        </w:rPr>
        <w:t xml:space="preserve">                   </w:t>
      </w:r>
      <w:r/>
    </w:p>
    <w:p>
      <w:pPr>
        <w:ind w:firstLine="723"/>
        <w:spacing w:line="360" w:lineRule="auto"/>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供应商名称 ：</w:t>
      </w:r>
      <w:r>
        <w:rPr>
          <w:rFonts w:hint="eastAsia" w:ascii="宋体" w:hAnsi="宋体" w:eastAsia="宋体" w:cs="宋体"/>
          <w:b/>
          <w:color w:val="000000"/>
          <w:sz w:val="36"/>
          <w:szCs w:val="21"/>
          <w:highlight w:val="none"/>
          <w:u w:val="single"/>
        </w:rPr>
        <w:t xml:space="preserve">（加盖CA电子公章）</w:t>
      </w:r>
      <w:r/>
    </w:p>
    <w:p>
      <w:pPr>
        <w:ind w:firstLine="723"/>
        <w:spacing w:line="360" w:lineRule="auto"/>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日      期 ：</w:t>
      </w:r>
      <w:r>
        <w:rPr>
          <w:rFonts w:hint="eastAsia" w:ascii="宋体" w:hAnsi="宋体" w:eastAsia="宋体" w:cs="宋体"/>
          <w:b/>
          <w:color w:val="000000"/>
          <w:sz w:val="36"/>
          <w:szCs w:val="21"/>
          <w:highlight w:val="none"/>
          <w:u w:val="single"/>
        </w:rPr>
        <w:t xml:space="preserve">                   </w:t>
      </w:r>
      <w:r/>
    </w:p>
    <w:p>
      <w:pPr>
        <w:ind w:firstLine="640"/>
        <w:jc w:val="left"/>
        <w:keepLines/>
        <w:keepNext/>
        <w:spacing w:before="360" w:after="200" w:line="360" w:lineRule="auto"/>
        <w:rPr>
          <w:rFonts w:hint="eastAsia" w:ascii="宋体" w:hAnsi="宋体" w:eastAsia="宋体" w:cs="宋体"/>
          <w:i/>
          <w:sz w:val="36"/>
          <w:szCs w:val="36"/>
          <w:highlight w:val="none"/>
          <w:u w:val="single"/>
        </w:rPr>
        <w:outlineLvl w:val="1"/>
      </w:pPr>
      <w:r>
        <w:rPr>
          <w:rFonts w:hint="eastAsia" w:ascii="宋体" w:hAnsi="宋体" w:eastAsia="宋体" w:cs="宋体"/>
          <w:i/>
          <w:sz w:val="32"/>
          <w:szCs w:val="32"/>
          <w:highlight w:val="none"/>
          <w:u w:val="single"/>
        </w:rPr>
        <w:t xml:space="preserve">一、法人或者其他组织的营业执照等证明文件，自然人的身份证明</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二、上一年度的财务状况报告</w:t>
      </w:r>
      <w:r>
        <w:rPr>
          <w:rFonts w:hint="eastAsia" w:ascii="宋体" w:hAnsi="宋体" w:eastAsia="宋体" w:cs="宋体"/>
          <w:i/>
          <w:sz w:val="32"/>
          <w:szCs w:val="32"/>
          <w:highlight w:val="none"/>
          <w:u w:val="single"/>
          <w:lang w:eastAsia="zh-CN"/>
        </w:rPr>
        <w:t xml:space="preserve">（</w:t>
      </w:r>
      <w:r>
        <w:rPr>
          <w:rFonts w:hint="eastAsia" w:ascii="宋体" w:hAnsi="宋体" w:eastAsia="宋体" w:cs="宋体"/>
          <w:i/>
          <w:sz w:val="32"/>
          <w:szCs w:val="32"/>
          <w:highlight w:val="none"/>
          <w:u w:val="single"/>
        </w:rPr>
        <w:t xml:space="preserve">成立不满一年无需提供）</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4"/>
          <w:highlight w:val="none"/>
        </w:rPr>
        <w:t xml:space="preserve">根据连财购〔2023〕4号文件精神，可以提供《财务状况报告及税收、社会保障资金缴纳情况承诺函》。</w:t>
      </w:r>
      <w:r/>
    </w:p>
    <w:p>
      <w:pPr>
        <w:ind w:firstLine="72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财务状况报告及税收、社会保障资金缴纳情况承诺函</w:t>
      </w:r>
      <w:r/>
    </w:p>
    <w:p>
      <w:pPr>
        <w:ind w:firstLine="420"/>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i/>
          <w:sz w:val="24"/>
          <w:szCs w:val="24"/>
          <w:highlight w:val="none"/>
          <w:u w:val="single"/>
        </w:rPr>
        <w:t xml:space="preserve">采购人名称</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w:t>
      </w:r>
      <w:r>
        <w:rPr>
          <w:rFonts w:hint="eastAsia" w:ascii="宋体" w:hAnsi="宋体" w:eastAsia="宋体" w:cs="宋体"/>
          <w:i/>
          <w:sz w:val="24"/>
          <w:szCs w:val="24"/>
          <w:highlight w:val="none"/>
          <w:u w:val="single"/>
        </w:rPr>
        <w:t xml:space="preserve">供应商名称</w:t>
      </w:r>
      <w:r>
        <w:rPr>
          <w:rFonts w:hint="eastAsia" w:ascii="宋体" w:hAnsi="宋体" w:eastAsia="宋体" w:cs="宋体"/>
          <w:sz w:val="24"/>
          <w:szCs w:val="24"/>
          <w:highlight w:val="none"/>
        </w:rPr>
        <w:t xml:space="preserve">参加</w:t>
      </w:r>
      <w:r>
        <w:rPr>
          <w:rFonts w:hint="eastAsia" w:ascii="宋体" w:hAnsi="宋体" w:eastAsia="宋体" w:cs="宋体"/>
          <w:i/>
          <w:sz w:val="24"/>
          <w:szCs w:val="24"/>
          <w:highlight w:val="none"/>
          <w:u w:val="single"/>
        </w:rPr>
        <w:t xml:space="preserve">项目名称</w:t>
      </w:r>
      <w:r>
        <w:rPr>
          <w:rFonts w:hint="eastAsia" w:ascii="宋体" w:hAnsi="宋体" w:eastAsia="宋体" w:cs="宋体"/>
          <w:sz w:val="24"/>
          <w:szCs w:val="24"/>
          <w:highlight w:val="none"/>
        </w:rPr>
        <w:t xml:space="preserve">（项目编号：</w:t>
      </w:r>
      <w:r>
        <w:rPr>
          <w:rFonts w:hint="eastAsia" w:ascii="宋体" w:hAnsi="宋体" w:eastAsia="宋体" w:cs="宋体"/>
          <w:i/>
          <w:sz w:val="24"/>
          <w:szCs w:val="24"/>
          <w:highlight w:val="none"/>
          <w:u w:val="single"/>
        </w:rPr>
        <w:t xml:space="preserve">项目编号</w:t>
      </w:r>
      <w:r>
        <w:rPr>
          <w:rFonts w:hint="eastAsia" w:ascii="宋体" w:hAnsi="宋体" w:eastAsia="宋体" w:cs="宋体"/>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（1）具有良好的商业信誉和健全的财务会计制度（财务状况报告）；</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（2）有依法缴纳税收和社会保障资金的良好记录。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法定代表人（单位负责人）或委托代理人（</w:t>
      </w:r>
      <w:r>
        <w:rPr>
          <w:rFonts w:hint="eastAsia" w:ascii="宋体" w:hAnsi="宋体" w:eastAsia="宋体" w:cs="宋体"/>
          <w:sz w:val="24"/>
          <w:szCs w:val="24"/>
          <w:highlight w:val="none"/>
          <w:lang w:eastAsia="zh-CN"/>
        </w:rPr>
        <w:t xml:space="preserve">签字或盖章</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三、依法缴纳税收和社会保障资金的相关材料</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4"/>
          <w:highlight w:val="none"/>
        </w:rPr>
        <w:t xml:space="preserve">提供提交响应文件截止时间前一年内至少一个月依法缴纳税收及缴纳社会保障资金的证明材料，供应商依法享受缓缴、免缴税收、社会保障资金的提供证明材料，也可根据连财购〔2023〕4号文件精神，提供《财务状况报告及税收、社会保障资金缴纳情况承诺函》。</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72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财务状况报告及税收、社会保障资金缴纳情况承诺函</w:t>
      </w:r>
      <w:r/>
    </w:p>
    <w:p>
      <w:pPr>
        <w:ind w:firstLine="420"/>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i/>
          <w:sz w:val="24"/>
          <w:szCs w:val="24"/>
          <w:highlight w:val="none"/>
          <w:u w:val="single"/>
        </w:rPr>
        <w:t xml:space="preserve">采购人名称</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w:t>
      </w:r>
      <w:r>
        <w:rPr>
          <w:rFonts w:hint="eastAsia" w:ascii="宋体" w:hAnsi="宋体" w:eastAsia="宋体" w:cs="宋体"/>
          <w:i/>
          <w:sz w:val="24"/>
          <w:szCs w:val="24"/>
          <w:highlight w:val="none"/>
          <w:u w:val="single"/>
        </w:rPr>
        <w:t xml:space="preserve">供应商名称</w:t>
      </w:r>
      <w:r>
        <w:rPr>
          <w:rFonts w:hint="eastAsia" w:ascii="宋体" w:hAnsi="宋体" w:eastAsia="宋体" w:cs="宋体"/>
          <w:sz w:val="24"/>
          <w:szCs w:val="24"/>
          <w:highlight w:val="none"/>
        </w:rPr>
        <w:t xml:space="preserve">参加</w:t>
      </w:r>
      <w:r>
        <w:rPr>
          <w:rFonts w:hint="eastAsia" w:ascii="宋体" w:hAnsi="宋体" w:eastAsia="宋体" w:cs="宋体"/>
          <w:i/>
          <w:sz w:val="24"/>
          <w:szCs w:val="24"/>
          <w:highlight w:val="none"/>
          <w:u w:val="single"/>
        </w:rPr>
        <w:t xml:space="preserve">项目名称</w:t>
      </w:r>
      <w:r>
        <w:rPr>
          <w:rFonts w:hint="eastAsia" w:ascii="宋体" w:hAnsi="宋体" w:eastAsia="宋体" w:cs="宋体"/>
          <w:sz w:val="24"/>
          <w:szCs w:val="24"/>
          <w:highlight w:val="none"/>
        </w:rPr>
        <w:t xml:space="preserve">（项目编号：</w:t>
      </w:r>
      <w:r>
        <w:rPr>
          <w:rFonts w:hint="eastAsia" w:ascii="宋体" w:hAnsi="宋体" w:eastAsia="宋体" w:cs="宋体"/>
          <w:i/>
          <w:sz w:val="24"/>
          <w:szCs w:val="24"/>
          <w:highlight w:val="none"/>
          <w:u w:val="single"/>
        </w:rPr>
        <w:t xml:space="preserve">项目编号</w:t>
      </w:r>
      <w:r>
        <w:rPr>
          <w:rFonts w:hint="eastAsia" w:ascii="宋体" w:hAnsi="宋体" w:eastAsia="宋体" w:cs="宋体"/>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（1）具有良好的商业信誉和健全的财务会计制度（财务状况报告）；</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（2）有依法缴纳税收和社会保障资金的良好记录。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法定代表人（单位负责人）或委托代理人（</w:t>
      </w:r>
      <w:r>
        <w:rPr>
          <w:rFonts w:hint="eastAsia" w:ascii="宋体" w:hAnsi="宋体" w:eastAsia="宋体" w:cs="宋体"/>
          <w:sz w:val="24"/>
          <w:szCs w:val="24"/>
          <w:highlight w:val="none"/>
          <w:lang w:eastAsia="zh-CN"/>
        </w:rPr>
        <w:t xml:space="preserve">签字或盖章</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四、具备履行合同所必需的设备和专业技术能力的声明及证明材料</w:t>
      </w:r>
      <w:r/>
    </w:p>
    <w:p>
      <w:pPr>
        <w:ind w:firstLine="720"/>
        <w:jc w:val="center"/>
        <w:spacing w:line="360" w:lineRule="auto"/>
        <w:rPr>
          <w:rFonts w:hint="eastAsia" w:ascii="宋体" w:hAnsi="宋体" w:eastAsia="宋体" w:cs="宋体"/>
          <w:sz w:val="24"/>
          <w:szCs w:val="24"/>
          <w:highlight w:val="none"/>
        </w:rPr>
      </w:pPr>
      <w:r>
        <w:rPr>
          <w:rFonts w:hint="eastAsia" w:ascii="宋体" w:hAnsi="宋体" w:eastAsia="宋体" w:cs="宋体"/>
          <w:bCs/>
          <w:sz w:val="36"/>
          <w:szCs w:val="28"/>
          <w:highlight w:val="none"/>
        </w:rPr>
        <w:t xml:space="preserve">具备履行合同所必需的设备和专业技术能力的声明及证明材料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。（须附证明材料）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。（须附证明材料）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en-US" w:eastAsia="zh-CN"/>
        </w:rPr>
        <w:t xml:space="preserve">公</w:t>
      </w:r>
      <w:r>
        <w:rPr>
          <w:rFonts w:hint="eastAsia" w:ascii="宋体" w:hAnsi="宋体" w:eastAsia="宋体" w:cs="宋体"/>
          <w:sz w:val="24"/>
          <w:szCs w:val="24"/>
          <w:highlight w:val="none"/>
        </w:rPr>
        <w:t xml:space="preserve">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20"/>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附主要设备和主要专业技术能力的证明材料如下：</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五、参加政府采购活动前3年内在经营活动中没有重大违法记录的书面声明</w:t>
      </w:r>
      <w:r/>
    </w:p>
    <w:p>
      <w:pPr>
        <w:ind w:firstLine="720"/>
        <w:jc w:val="center"/>
        <w:spacing w:line="360" w:lineRule="auto"/>
        <w:rPr>
          <w:rFonts w:hint="eastAsia" w:ascii="宋体" w:hAnsi="宋体" w:eastAsia="宋体" w:cs="宋体"/>
          <w:b/>
          <w:bCs/>
          <w:color w:val="000000"/>
          <w:sz w:val="44"/>
          <w:szCs w:val="44"/>
          <w:highlight w:val="none"/>
        </w:rPr>
      </w:pPr>
      <w:r>
        <w:rPr>
          <w:rFonts w:hint="eastAsia" w:ascii="宋体" w:hAnsi="宋体" w:eastAsia="宋体" w:cs="宋体"/>
          <w:bCs/>
          <w:sz w:val="36"/>
          <w:szCs w:val="28"/>
          <w:highlight w:val="none"/>
        </w:rPr>
        <w:t xml:space="preserve">声  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en-US" w:eastAsia="zh-CN"/>
        </w:rPr>
        <w:t xml:space="preserve">公章</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法定代表人（单位负责人）或委托代理人（签字或盖章）：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六、法律、行政法规规定的其他条件的证明文件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（如有，请按要求提供）</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七 、落实政府采购政策需满足的资格要求的证明文件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（如有，请按要求提供）</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八、特定资格要求的证明文件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（如有，请按要求提供）</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九、授权委托书与法定代表人（单位负责人）身份证明</w:t>
      </w:r>
      <w:r/>
    </w:p>
    <w:p>
      <w:pPr>
        <w:ind w:firstLine="723"/>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授权委托书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采购单位</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本人</w:t>
      </w:r>
      <w:r>
        <w:rPr>
          <w:rFonts w:hint="eastAsia" w:ascii="宋体" w:hAnsi="宋体" w:eastAsia="宋体" w:cs="宋体"/>
          <w:sz w:val="24"/>
          <w:szCs w:val="24"/>
          <w:highlight w:val="none"/>
          <w:u w:val="single"/>
        </w:rPr>
        <w:t xml:space="preserve"> （姓名） </w:t>
      </w: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（供应商名称） </w:t>
      </w:r>
      <w:r>
        <w:rPr>
          <w:rFonts w:hint="eastAsia" w:ascii="宋体" w:hAnsi="宋体" w:eastAsia="宋体" w:cs="宋体"/>
          <w:sz w:val="24"/>
          <w:szCs w:val="24"/>
          <w:highlight w:val="none"/>
        </w:rPr>
        <w:t xml:space="preserve">的法定代表人（单位负责人），现委托</w:t>
      </w:r>
      <w:r>
        <w:rPr>
          <w:rFonts w:hint="eastAsia" w:ascii="宋体" w:hAnsi="宋体" w:eastAsia="宋体" w:cs="宋体"/>
          <w:sz w:val="24"/>
          <w:szCs w:val="24"/>
          <w:highlight w:val="none"/>
          <w:u w:val="single"/>
        </w:rPr>
        <w:t xml:space="preserve"> （姓名） </w:t>
      </w:r>
      <w:r>
        <w:rPr>
          <w:rFonts w:hint="eastAsia" w:ascii="宋体" w:hAnsi="宋体" w:eastAsia="宋体" w:cs="宋体"/>
          <w:sz w:val="24"/>
          <w:szCs w:val="24"/>
          <w:highlight w:val="none"/>
        </w:rPr>
        <w:t xml:space="preserve">为我方代理人。代理人根据授权，以我方名义签署、澄清确认、提交、撤回、修改</w:t>
      </w:r>
      <w:r>
        <w:rPr>
          <w:rFonts w:hint="eastAsia" w:ascii="宋体" w:hAnsi="宋体" w:eastAsia="宋体" w:cs="宋体"/>
          <w:sz w:val="24"/>
          <w:szCs w:val="24"/>
          <w:highlight w:val="none"/>
          <w:u w:val="single"/>
        </w:rPr>
        <w:t xml:space="preserve"> （项目名称） </w:t>
      </w:r>
      <w:r>
        <w:rPr>
          <w:rFonts w:hint="eastAsia" w:ascii="宋体" w:hAnsi="宋体" w:eastAsia="宋体" w:cs="宋体"/>
          <w:sz w:val="24"/>
          <w:szCs w:val="24"/>
          <w:highlight w:val="none"/>
        </w:rPr>
        <w:t xml:space="preserve">项目（项目编号：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）响应文件和处理有关事宜，其法律后果由我方承担。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委托期限：自本授权委托书签署之日起至响应有效期届满之日止。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代理人无转委托权。</w:t>
      </w:r>
      <w:r>
        <w:rPr>
          <w:rFonts w:hint="eastAsia" w:ascii="宋体" w:hAnsi="宋体" w:eastAsia="宋体" w:cs="宋体"/>
          <w:sz w:val="24"/>
          <w:szCs w:val="24"/>
          <w:highlight w:val="none"/>
        </w:rPr>
        <w:b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供应商名称（加盖公章）：</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法定代表人（单位负责人）（签字、签章或印鉴）：</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委托代理人（签字/签章）：</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color w:val="000000"/>
          <w:sz w:val="24"/>
          <w:szCs w:val="20"/>
          <w:highlight w:val="none"/>
        </w:rPr>
      </w:pPr>
      <w:r>
        <w:rPr>
          <w:rFonts w:hint="eastAsia" w:ascii="宋体" w:hAnsi="宋体" w:eastAsia="宋体" w:cs="宋体"/>
          <w:sz w:val="24"/>
          <w:szCs w:val="24"/>
          <w:highlight w:val="none"/>
        </w:rPr>
        <w:t xml:space="preserve">日期：    年     月     日</w:t>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法定代表人（单位负责人）有效期内的身份证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p>
    <w:tbl>
      <w:tblPr>
        <w:tblStyle w:val="6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委托代理人有效期内的身份证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p>
    <w:tbl>
      <w:tblPr>
        <w:tblStyle w:val="6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firstLine="480"/>
        <w:jc w:val="left"/>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若供应商为事业单位或其他组织或分支机构（仅当磋商文件注明允许分支机构参与磋商的），则法定代表人（单位负责人）处的签署人可为单位负责人。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若响应文件中全部签字之处均为法定代表人（单位负责人）本人签署，则可不提供本《授权委托书》，但须提供《法定代表人（单位负责人）身份证明》。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供应商为自然人的情形，可不提供本《授权委托书》。</w:t>
      </w:r>
      <w:r/>
    </w:p>
    <w:p>
      <w:pPr>
        <w:ind w:firstLine="723"/>
        <w:jc w:val="center"/>
        <w:keepLines w:val="0"/>
        <w:keepNext w:val="0"/>
        <w:pageBreakBefore/>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法定代表人（单位负责人）身份证明</w:t>
      </w:r>
      <w:r/>
    </w:p>
    <w:p>
      <w:pPr>
        <w:ind w:firstLine="400"/>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ind w:firstLine="480"/>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p>
    <w:p>
      <w:pPr>
        <w:ind w:firstLine="480"/>
        <w:spacing w:before="12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before="12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（供应商名称） </w:t>
      </w:r>
      <w:r>
        <w:rPr>
          <w:rFonts w:hint="eastAsia" w:ascii="宋体" w:hAnsi="宋体" w:eastAsia="宋体" w:cs="宋体"/>
          <w:sz w:val="24"/>
          <w:szCs w:val="24"/>
          <w:highlight w:val="none"/>
        </w:rPr>
        <w:t xml:space="preserve">的法定代表人（单位负责人）。</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6" w:firstLine="468"/>
        <w:spacing w:before="120" w:line="360"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w:t>
      </w:r>
      <w:r>
        <w:rPr>
          <w:rFonts w:hint="eastAsia" w:ascii="宋体" w:hAnsi="宋体" w:eastAsia="宋体" w:cs="宋体"/>
          <w:sz w:val="24"/>
          <w:szCs w:val="24"/>
          <w:highlight w:val="none"/>
        </w:rPr>
        <w:t xml:space="preserve">（</w:t>
      </w:r>
      <w:r>
        <w:rPr>
          <w:rFonts w:hint="eastAsia" w:ascii="宋体" w:hAnsi="宋体" w:eastAsia="宋体" w:cs="宋体"/>
          <w:spacing w:val="-3"/>
          <w:sz w:val="24"/>
          <w:szCs w:val="24"/>
          <w:highlight w:val="none"/>
        </w:rPr>
        <w:t xml:space="preserve">单</w:t>
      </w:r>
      <w:r>
        <w:rPr>
          <w:rFonts w:hint="eastAsia" w:ascii="宋体" w:hAnsi="宋体" w:eastAsia="宋体" w:cs="宋体"/>
          <w:sz w:val="24"/>
          <w:szCs w:val="24"/>
          <w:highlight w:val="none"/>
        </w:rPr>
        <w:t xml:space="preserve">位</w:t>
      </w:r>
      <w:r>
        <w:rPr>
          <w:rFonts w:hint="eastAsia" w:ascii="宋体" w:hAnsi="宋体" w:eastAsia="宋体" w:cs="宋体"/>
          <w:spacing w:val="-3"/>
          <w:sz w:val="24"/>
          <w:szCs w:val="24"/>
          <w:highlight w:val="none"/>
        </w:rPr>
        <w:t xml:space="preserve">负</w:t>
      </w:r>
      <w:r>
        <w:rPr>
          <w:rFonts w:hint="eastAsia" w:ascii="宋体" w:hAnsi="宋体" w:eastAsia="宋体" w:cs="宋体"/>
          <w:sz w:val="24"/>
          <w:szCs w:val="24"/>
          <w:highlight w:val="none"/>
        </w:rPr>
        <w:t xml:space="preserve">责人</w:t>
      </w:r>
      <w:r>
        <w:rPr>
          <w:rFonts w:hint="eastAsia" w:ascii="宋体" w:hAnsi="宋体" w:eastAsia="宋体" w:cs="宋体"/>
          <w:spacing w:val="-3"/>
          <w:sz w:val="24"/>
          <w:szCs w:val="24"/>
          <w:highlight w:val="none"/>
        </w:rPr>
        <w:t xml:space="preserve">）有效期内的身份证正反面电子件：</w:t>
      </w:r>
      <w:r/>
    </w:p>
    <w:tbl>
      <w:tblPr>
        <w:tblStyle w:val="6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80"/>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right="4305" w:firstLine="468"/>
        <w:spacing w:before="120" w:line="360"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供应商名称（加盖公章）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p>
    <w:p>
      <w:pPr>
        <w:ind w:firstLine="468"/>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w:t>
      </w:r>
      <w:r>
        <w:rPr>
          <w:rFonts w:hint="eastAsia" w:ascii="宋体" w:hAnsi="宋体" w:eastAsia="宋体" w:cs="宋体"/>
          <w:sz w:val="24"/>
          <w:szCs w:val="24"/>
          <w:highlight w:val="none"/>
        </w:rPr>
        <w:t xml:space="preserve">单位负责人</w:t>
      </w:r>
      <w:r>
        <w:rPr>
          <w:rFonts w:hint="eastAsia" w:ascii="宋体" w:hAnsi="宋体" w:eastAsia="宋体" w:cs="宋体"/>
          <w:spacing w:val="-3"/>
          <w:sz w:val="24"/>
          <w:szCs w:val="24"/>
          <w:highlight w:val="none"/>
        </w:rPr>
        <w:t xml:space="preserve">）（签字、签章或印鉴）：</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十、磋商响应函</w:t>
      </w:r>
      <w:r/>
    </w:p>
    <w:p>
      <w:pPr>
        <w:ind w:firstLine="720"/>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bCs/>
          <w:sz w:val="36"/>
          <w:szCs w:val="28"/>
          <w:highlight w:val="none"/>
        </w:rPr>
        <w:t xml:space="preserve">磋商响应函</w:t>
      </w:r>
      <w:r/>
    </w:p>
    <w:p>
      <w:pPr>
        <w:ind w:firstLine="480"/>
        <w:jc w:val="left"/>
        <w:spacing w:line="360"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致：</w:t>
      </w:r>
      <w:r>
        <w:rPr>
          <w:rFonts w:hint="eastAsia" w:ascii="宋体" w:hAnsi="宋体" w:eastAsia="宋体" w:cs="宋体"/>
          <w:color w:val="000000"/>
          <w:sz w:val="24"/>
          <w:szCs w:val="21"/>
          <w:highlight w:val="none"/>
          <w:lang w:eastAsia="zh-CN"/>
        </w:rPr>
        <w:t xml:space="preserve">国家东中西区域合作示范区（连云港徐圩新区）市场监督管理局</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根据贵方的JSZC-_________________号磋商文件，正式授权下述签字人_________________</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姓名</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代表我方______________（供应商的名称），全权处理本次项目磋商采购的有关事宜。</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据此函，__________签字人兹宣布同意如下：</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1.按磋商文件规定的各项要求，向买方提供所需服务（包含与服务相关的货物、工程）。</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2.我们完全理解贵方不一定将合同授予最低报价的供应商。</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4.我们同意从规定的开启日期起遵循本响应文件，并在规定的磋商有效期期满之前均具有约束力。</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5.同意向贵方提供贵方可能另外要求的与磋商采购有关的任何证据或资料，并保证我方已提供和将要提供的文件是真实的、准确的。</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6.一旦我方成交</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我方将根据磋商文件的规定，严格履行合同的责任和义务</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并保证在磋商文件规定的时</w:t>
      </w:r>
      <w:r>
        <w:rPr>
          <w:rFonts w:hint="eastAsia" w:ascii="宋体" w:hAnsi="宋体" w:eastAsia="宋体" w:cs="宋体"/>
          <w:color w:val="000000"/>
          <w:sz w:val="24"/>
          <w:szCs w:val="21"/>
          <w:highlight w:val="none"/>
          <w:lang w:eastAsia="zh-CN"/>
        </w:rPr>
        <w:t xml:space="preserve">间内</w:t>
      </w:r>
      <w:r>
        <w:rPr>
          <w:rFonts w:hint="eastAsia" w:ascii="宋体" w:hAnsi="宋体" w:eastAsia="宋体" w:cs="宋体"/>
          <w:color w:val="000000"/>
          <w:sz w:val="24"/>
          <w:szCs w:val="21"/>
          <w:highlight w:val="none"/>
        </w:rPr>
        <w:t xml:space="preserve">完成项目，交付买方验收、使用。</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7.与本磋商有关的正式通讯地址为：</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地        址：</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        编：</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        话：</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传        真：</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供应商开户行：</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账        号： </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sz w:val="24"/>
          <w:szCs w:val="24"/>
          <w:highlight w:val="none"/>
        </w:rPr>
        <w:t xml:space="preserve">（单位负责人）</w:t>
      </w:r>
      <w:r>
        <w:rPr>
          <w:rFonts w:hint="eastAsia" w:ascii="宋体" w:hAnsi="宋体" w:eastAsia="宋体" w:cs="宋体"/>
          <w:color w:val="000000"/>
          <w:sz w:val="24"/>
          <w:szCs w:val="24"/>
          <w:highlight w:val="none"/>
        </w:rPr>
        <w:t xml:space="preserve">或委托代理人（签字或盖章）：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十一、中小企业声明函（服务）</w:t>
      </w:r>
      <w:r/>
    </w:p>
    <w:p>
      <w:pPr>
        <w:ind w:firstLine="720"/>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bCs/>
          <w:sz w:val="36"/>
          <w:szCs w:val="28"/>
          <w:highlight w:val="none"/>
        </w:rPr>
        <w:t xml:space="preserve">中小企业声明函</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财库〔2020〕46号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，分包号：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）采购活动，提供的</w:t>
      </w:r>
      <w:r>
        <w:rPr>
          <w:rFonts w:hint="eastAsia" w:ascii="宋体" w:hAnsi="宋体" w:eastAsia="宋体" w:cs="宋体"/>
          <w:sz w:val="24"/>
          <w:highlight w:val="none"/>
        </w:rPr>
        <w:t xml:space="preserve">服务全部由符合政策要求的中小企业承接。</w:t>
      </w:r>
      <w:r/>
    </w:p>
    <w:p>
      <w:pPr>
        <w:ind w:firstLine="480"/>
        <w:spacing w:line="360" w:lineRule="auto"/>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right="162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162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w:t>
      </w:r>
      <w:r>
        <w:rPr>
          <w:rFonts w:hint="eastAsia" w:ascii="宋体" w:hAnsi="宋体" w:eastAsia="宋体" w:cs="宋体"/>
          <w:color w:val="000000"/>
          <w:sz w:val="24"/>
          <w:szCs w:val="24"/>
          <w:highlight w:val="none"/>
          <w:lang w:val="en-US" w:eastAsia="zh-CN"/>
        </w:rPr>
        <w:t xml:space="preserve">公</w:t>
      </w:r>
      <w:r>
        <w:rPr>
          <w:rFonts w:hint="eastAsia" w:ascii="宋体" w:hAnsi="宋体" w:eastAsia="宋体" w:cs="宋体"/>
          <w:color w:val="000000"/>
          <w:sz w:val="24"/>
          <w:szCs w:val="24"/>
          <w:highlight w:val="none"/>
        </w:rPr>
        <w:t xml:space="preserve">章）：</w:t>
      </w:r>
      <w:r/>
    </w:p>
    <w:p>
      <w:pPr>
        <w:ind w:right="114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p>
    <w:p>
      <w:pPr>
        <w:ind w:right="48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填报说明：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请供应商如实填写，</w:t>
      </w:r>
      <w:r>
        <w:rPr>
          <w:rFonts w:hint="eastAsia" w:ascii="宋体" w:hAnsi="宋体" w:eastAsia="宋体" w:cs="宋体"/>
          <w:sz w:val="24"/>
          <w:highlight w:val="none"/>
        </w:rPr>
        <w:t xml:space="preserve">所填内容将作为评审的依据</w:t>
      </w:r>
      <w:r>
        <w:rPr>
          <w:rFonts w:hint="eastAsia" w:ascii="宋体" w:hAnsi="宋体" w:eastAsia="宋体" w:cs="宋体"/>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成交供应商的《中小企业声明函》随成交结果公开，接受社会监督。</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十二、残疾人福利性单位声明函</w:t>
      </w:r>
      <w:r/>
    </w:p>
    <w:p>
      <w:pPr>
        <w:ind w:firstLine="720"/>
        <w:jc w:val="center"/>
        <w:spacing w:line="360" w:lineRule="auto"/>
        <w:tabs>
          <w:tab w:val="left" w:pos="360" w:leader="none"/>
        </w:tabs>
        <w:rPr>
          <w:rFonts w:hint="eastAsia" w:ascii="宋体" w:hAnsi="宋体" w:eastAsia="宋体" w:cs="宋体"/>
          <w:color w:val="000000"/>
          <w:sz w:val="24"/>
          <w:szCs w:val="21"/>
          <w:highlight w:val="none"/>
        </w:rPr>
      </w:pPr>
      <w:r>
        <w:rPr>
          <w:rFonts w:hint="eastAsia" w:ascii="宋体" w:hAnsi="宋体" w:eastAsia="宋体" w:cs="宋体"/>
          <w:bCs/>
          <w:sz w:val="36"/>
          <w:szCs w:val="28"/>
          <w:highlight w:val="none"/>
        </w:rPr>
        <w:t xml:space="preserve">残疾人福利性单位声明函</w:t>
      </w:r>
      <w:r/>
    </w:p>
    <w:p>
      <w:pPr>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rPr>
        <w:t xml:space="preserve">〔2017〕</w:t>
      </w:r>
      <w:r>
        <w:rPr>
          <w:rFonts w:hint="eastAsia" w:ascii="宋体" w:hAnsi="宋体" w:eastAsia="宋体" w:cs="宋体"/>
          <w:color w:val="000000"/>
          <w:sz w:val="24"/>
          <w:szCs w:val="21"/>
          <w:highlight w:val="none"/>
        </w:rPr>
        <w:t xml:space="preserve">141号）的规定，本单位为符合条件的残疾人福利性单位，且本单位参加</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单位的</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，分包号：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1"/>
          <w:highlight w:val="none"/>
        </w:rPr>
        <w:t xml:space="preserve">）采购活动由本单位提供全部服务。</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right="162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lang w:val="en-US" w:eastAsia="zh-CN"/>
        </w:rPr>
        <w:t xml:space="preserve">公</w:t>
      </w:r>
      <w:r>
        <w:rPr>
          <w:rFonts w:hint="eastAsia" w:ascii="宋体" w:hAnsi="宋体" w:eastAsia="宋体" w:cs="宋体"/>
          <w:color w:val="000000"/>
          <w:sz w:val="24"/>
          <w:szCs w:val="24"/>
          <w:highlight w:val="none"/>
        </w:rPr>
        <w:t xml:space="preserve">章）：</w:t>
      </w:r>
      <w:r/>
    </w:p>
    <w:p>
      <w:pPr>
        <w:ind w:right="114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填报说明：</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1.</w:t>
      </w:r>
      <w:r>
        <w:rPr>
          <w:rFonts w:hint="eastAsia" w:ascii="宋体" w:hAnsi="宋体" w:eastAsia="宋体" w:cs="宋体"/>
          <w:sz w:val="24"/>
          <w:szCs w:val="24"/>
          <w:highlight w:val="none"/>
        </w:rPr>
        <w:t xml:space="preserve">请供应商如实填写，</w:t>
      </w:r>
      <w:r>
        <w:rPr>
          <w:rFonts w:hint="eastAsia" w:ascii="宋体" w:hAnsi="宋体" w:eastAsia="宋体" w:cs="宋体"/>
          <w:bCs/>
          <w:sz w:val="24"/>
          <w:highlight w:val="none"/>
        </w:rPr>
        <w:t xml:space="preserve">所填内容将作为评审的依据</w:t>
      </w:r>
      <w:r>
        <w:rPr>
          <w:rFonts w:hint="eastAsia" w:ascii="宋体" w:hAnsi="宋体" w:eastAsia="宋体" w:cs="宋体"/>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 xml:space="preserve">2.</w:t>
      </w:r>
      <w:r>
        <w:rPr>
          <w:rFonts w:hint="eastAsia" w:ascii="宋体" w:hAnsi="宋体" w:eastAsia="宋体" w:cs="宋体"/>
          <w:bCs/>
          <w:sz w:val="24"/>
          <w:szCs w:val="24"/>
          <w:highlight w:val="none"/>
        </w:rPr>
        <w:t xml:space="preserve">成交供应商的《残疾人福利性单位声明函》随成交结果公开</w:t>
      </w:r>
      <w:r>
        <w:rPr>
          <w:rFonts w:hint="eastAsia" w:ascii="宋体" w:hAnsi="宋体" w:eastAsia="宋体" w:cs="宋体"/>
          <w:sz w:val="24"/>
          <w:szCs w:val="24"/>
          <w:highlight w:val="none"/>
        </w:rPr>
        <w:t xml:space="preserve">，接受社会监督</w:t>
      </w:r>
      <w:r>
        <w:rPr>
          <w:rFonts w:hint="eastAsia" w:ascii="宋体" w:hAnsi="宋体" w:eastAsia="宋体" w:cs="宋体"/>
          <w:bCs/>
          <w:sz w:val="24"/>
          <w:szCs w:val="24"/>
          <w:highlight w:val="none"/>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十三、联合体协议（参考格式）</w:t>
      </w:r>
      <w:r/>
    </w:p>
    <w:p>
      <w:pPr>
        <w:ind w:firstLine="720"/>
        <w:jc w:val="center"/>
        <w:spacing w:line="360" w:lineRule="auto"/>
        <w:tabs>
          <w:tab w:val="left" w:pos="360" w:leader="none"/>
        </w:tabs>
        <w:rPr>
          <w:rFonts w:hint="eastAsia" w:ascii="宋体" w:hAnsi="宋体" w:eastAsia="宋体" w:cs="宋体"/>
          <w:color w:val="000000"/>
          <w:sz w:val="24"/>
          <w:szCs w:val="21"/>
          <w:highlight w:val="none"/>
          <w:u w:val="single"/>
        </w:rPr>
      </w:pPr>
      <w:r>
        <w:rPr>
          <w:rFonts w:hint="eastAsia" w:ascii="宋体" w:hAnsi="宋体" w:eastAsia="宋体" w:cs="宋体"/>
          <w:bCs/>
          <w:sz w:val="36"/>
          <w:szCs w:val="28"/>
          <w:highlight w:val="none"/>
        </w:rPr>
        <w:t xml:space="preserve">联合体协议</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u w:val="single"/>
        </w:rPr>
        <w:t xml:space="preserve">（联合体中各供应商全称）</w:t>
      </w:r>
      <w:r>
        <w:rPr>
          <w:rFonts w:hint="eastAsia" w:ascii="宋体" w:hAnsi="宋体" w:eastAsia="宋体" w:cs="宋体"/>
          <w:color w:val="000000"/>
          <w:sz w:val="24"/>
          <w:szCs w:val="21"/>
          <w:highlight w:val="none"/>
        </w:rPr>
        <w:t xml:space="preserve">在此达成以下协议：</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eastAsia="zh-CN"/>
        </w:rPr>
        <w:t xml:space="preserve">1.</w:t>
      </w:r>
      <w:r>
        <w:rPr>
          <w:rFonts w:hint="eastAsia" w:ascii="宋体" w:hAnsi="宋体" w:eastAsia="宋体" w:cs="宋体"/>
          <w:color w:val="000000"/>
          <w:sz w:val="24"/>
          <w:szCs w:val="21"/>
          <w:highlight w:val="none"/>
        </w:rPr>
        <w:t xml:space="preserve">我们</w:t>
      </w:r>
      <w:r>
        <w:rPr>
          <w:rFonts w:hint="eastAsia" w:ascii="宋体" w:hAnsi="宋体" w:eastAsia="宋体" w:cs="宋体"/>
          <w:color w:val="000000"/>
          <w:sz w:val="24"/>
          <w:szCs w:val="21"/>
          <w:highlight w:val="none"/>
          <w:u w:val="single"/>
        </w:rPr>
        <w:t xml:space="preserve"> （供应商1），（供应商2） ，……</w:t>
      </w:r>
      <w:r>
        <w:rPr>
          <w:rFonts w:hint="eastAsia" w:ascii="宋体" w:hAnsi="宋体" w:eastAsia="宋体" w:cs="宋体"/>
          <w:color w:val="000000"/>
          <w:sz w:val="24"/>
          <w:szCs w:val="21"/>
          <w:highlight w:val="none"/>
        </w:rPr>
        <w:t xml:space="preserve">自愿组成联</w:t>
      </w:r>
      <w:r>
        <w:rPr>
          <w:rFonts w:hint="eastAsia" w:ascii="宋体" w:hAnsi="宋体" w:eastAsia="宋体" w:cs="宋体"/>
          <w:color w:val="auto"/>
          <w:sz w:val="24"/>
          <w:szCs w:val="21"/>
          <w:highlight w:val="none"/>
        </w:rPr>
        <w:t xml:space="preserve">合体，参加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1"/>
          <w:highlight w:val="none"/>
        </w:rPr>
        <w:t xml:space="preserve">组织的</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，分包号：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1"/>
          <w:highlight w:val="none"/>
        </w:rPr>
        <w:t xml:space="preserve">的政府采购活动，我联合体指定</w:t>
      </w:r>
      <w:r>
        <w:rPr>
          <w:rFonts w:hint="eastAsia" w:ascii="宋体" w:hAnsi="宋体" w:eastAsia="宋体" w:cs="宋体"/>
          <w:color w:val="000000"/>
          <w:sz w:val="24"/>
          <w:szCs w:val="21"/>
          <w:highlight w:val="none"/>
          <w:u w:val="single"/>
        </w:rPr>
        <w:t xml:space="preserve">（供应商*）</w:t>
      </w:r>
      <w:r>
        <w:rPr>
          <w:rFonts w:hint="eastAsia" w:ascii="宋体" w:hAnsi="宋体" w:eastAsia="宋体" w:cs="宋体"/>
          <w:color w:val="000000"/>
          <w:sz w:val="24"/>
          <w:szCs w:val="21"/>
          <w:highlight w:val="none"/>
        </w:rPr>
        <w:t xml:space="preserve">为牵头单位（牵头单位必须为联合体成员）。</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eastAsia="zh-CN"/>
        </w:rPr>
        <w:t xml:space="preserve">2.</w:t>
      </w:r>
      <w:r>
        <w:rPr>
          <w:rFonts w:hint="eastAsia" w:ascii="宋体" w:hAnsi="宋体" w:eastAsia="宋体" w:cs="宋体"/>
          <w:color w:val="000000"/>
          <w:sz w:val="24"/>
          <w:szCs w:val="21"/>
          <w:highlight w:val="none"/>
        </w:rPr>
        <w:t xml:space="preserve">若我们联合中标、成交，</w:t>
      </w:r>
      <w:r>
        <w:rPr>
          <w:rFonts w:hint="eastAsia" w:ascii="宋体" w:hAnsi="宋体" w:eastAsia="宋体" w:cs="宋体"/>
          <w:color w:val="000000"/>
          <w:sz w:val="24"/>
          <w:szCs w:val="21"/>
          <w:highlight w:val="none"/>
          <w:u w:val="single"/>
        </w:rPr>
        <w:t xml:space="preserve">（供应商单位1全称）</w:t>
      </w:r>
      <w:r>
        <w:rPr>
          <w:rFonts w:hint="eastAsia" w:ascii="宋体" w:hAnsi="宋体" w:eastAsia="宋体" w:cs="宋体"/>
          <w:color w:val="000000"/>
          <w:sz w:val="24"/>
          <w:szCs w:val="21"/>
          <w:highlight w:val="none"/>
        </w:rPr>
        <w:t xml:space="preserve">实施项目中</w:t>
      </w:r>
      <w:r>
        <w:rPr>
          <w:rFonts w:hint="eastAsia" w:ascii="宋体" w:hAnsi="宋体" w:eastAsia="宋体" w:cs="宋体"/>
          <w:color w:val="000000"/>
          <w:sz w:val="24"/>
          <w:szCs w:val="21"/>
          <w:highlight w:val="none"/>
          <w:u w:val="single"/>
        </w:rPr>
        <w:t xml:space="preserve">（工作内容）</w:t>
      </w:r>
      <w:r>
        <w:rPr>
          <w:rFonts w:hint="eastAsia" w:ascii="宋体" w:hAnsi="宋体" w:eastAsia="宋体" w:cs="宋体"/>
          <w:color w:val="000000"/>
          <w:sz w:val="24"/>
          <w:szCs w:val="21"/>
          <w:highlight w:val="none"/>
        </w:rPr>
        <w:t xml:space="preserve">部分工作，并承担相应的责任。</w:t>
      </w:r>
      <w:r>
        <w:rPr>
          <w:rFonts w:hint="eastAsia" w:ascii="宋体" w:hAnsi="宋体" w:eastAsia="宋体" w:cs="宋体"/>
          <w:color w:val="000000"/>
          <w:sz w:val="24"/>
          <w:szCs w:val="21"/>
          <w:highlight w:val="none"/>
          <w:u w:val="single"/>
        </w:rPr>
        <w:t xml:space="preserve">（供应商单位2全称）</w:t>
      </w:r>
      <w:r>
        <w:rPr>
          <w:rFonts w:hint="eastAsia" w:ascii="宋体" w:hAnsi="宋体" w:eastAsia="宋体" w:cs="宋体"/>
          <w:color w:val="000000"/>
          <w:sz w:val="24"/>
          <w:szCs w:val="21"/>
          <w:highlight w:val="none"/>
        </w:rPr>
        <w:t xml:space="preserve">实施项目中</w:t>
      </w:r>
      <w:r>
        <w:rPr>
          <w:rFonts w:hint="eastAsia" w:ascii="宋体" w:hAnsi="宋体" w:eastAsia="宋体" w:cs="宋体"/>
          <w:color w:val="000000"/>
          <w:sz w:val="24"/>
          <w:szCs w:val="21"/>
          <w:highlight w:val="none"/>
          <w:u w:val="single"/>
        </w:rPr>
        <w:t xml:space="preserve">（工作内容）</w:t>
      </w:r>
      <w:r>
        <w:rPr>
          <w:rFonts w:hint="eastAsia" w:ascii="宋体" w:hAnsi="宋体" w:eastAsia="宋体" w:cs="宋体"/>
          <w:color w:val="000000"/>
          <w:sz w:val="24"/>
          <w:szCs w:val="21"/>
          <w:highlight w:val="none"/>
        </w:rPr>
        <w:t xml:space="preserve">部分工作，并承担相应的责任……。（注：联合体中各供应商都应明示所承担的工作和相应的责任）。</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eastAsia="zh-CN"/>
        </w:rPr>
        <w:t xml:space="preserve">3.</w:t>
      </w:r>
      <w:r>
        <w:rPr>
          <w:rFonts w:hint="eastAsia" w:ascii="宋体" w:hAnsi="宋体" w:eastAsia="宋体" w:cs="宋体"/>
          <w:color w:val="000000"/>
          <w:sz w:val="24"/>
          <w:szCs w:val="21"/>
          <w:highlight w:val="none"/>
        </w:rPr>
        <w:t xml:space="preserve">其中</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（小型、微型企业/残疾人福利性单位/监狱企业全称）为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%。（可选）</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供应商1全称（公章）：     </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法定代表人（单位负责人）或委托代理人（签字或盖章）：  </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日期：     年   月   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供应商2全称（公章）：     </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法定代表人（单位负责人）或委托代理人（签字或盖章）：  </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日期：     年   月   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szCs w:val="21"/>
          <w:highlight w:val="none"/>
        </w:rPr>
        <w:t xml:space="preserve">备注：本磋商文件中要求加盖公章的内容，仅需加盖牵头单位的公章。</w:t>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i/>
          <w:sz w:val="32"/>
          <w:szCs w:val="32"/>
          <w:highlight w:val="none"/>
          <w:u w:val="singl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lang w:val="en-US" w:eastAsia="zh-CN"/>
        </w:rPr>
        <w:t xml:space="preserve">十四</w:t>
      </w:r>
      <w:r>
        <w:rPr>
          <w:rFonts w:hint="eastAsia" w:ascii="宋体" w:hAnsi="宋体" w:eastAsia="宋体" w:cs="宋体"/>
          <w:i/>
          <w:sz w:val="32"/>
          <w:szCs w:val="32"/>
          <w:highlight w:val="none"/>
          <w:u w:val="single"/>
        </w:rPr>
        <w:t xml:space="preserve">、分项报价表</w:t>
      </w:r>
      <w:r/>
    </w:p>
    <w:p>
      <w:pPr>
        <w:ind w:firstLine="720"/>
        <w:jc w:val="center"/>
        <w:spacing w:line="360" w:lineRule="auto"/>
        <w:tabs>
          <w:tab w:val="left" w:pos="360" w:leader="none"/>
        </w:tabs>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分项报价表</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r/>
    </w:p>
    <w:p>
      <w:pPr>
        <w:ind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单位：元</w:t>
      </w:r>
      <w:r/>
    </w:p>
    <w:tbl>
      <w:tblPr>
        <w:tblStyle w:val="651"/>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jc w:val="center"/>
              <w:rPr>
                <w:rFonts w:hint="eastAsia"/>
                <w:sz w:val="24"/>
                <w:szCs w:val="24"/>
                <w:highlight w:val="none"/>
              </w:rPr>
            </w:pPr>
            <w:r>
              <w:rPr>
                <w:rFonts w:hint="eastAsia"/>
                <w:sz w:val="24"/>
                <w:szCs w:val="24"/>
                <w:highlight w:val="none"/>
              </w:rPr>
              <w:t xml:space="preserve">序号</w:t>
            </w:r>
            <w:r/>
          </w:p>
        </w:tc>
        <w:tc>
          <w:tcPr>
            <w:tcW w:w="1756" w:type="dxa"/>
            <w:vAlign w:val="center"/>
            <w:textDirection w:val="lrTb"/>
            <w:noWrap w:val="false"/>
          </w:tcPr>
          <w:p>
            <w:pPr>
              <w:jc w:val="center"/>
              <w:rPr>
                <w:rFonts w:hint="eastAsia"/>
                <w:sz w:val="24"/>
                <w:szCs w:val="24"/>
                <w:highlight w:val="none"/>
              </w:rPr>
            </w:pPr>
            <w:r>
              <w:rPr>
                <w:rFonts w:hint="eastAsia"/>
                <w:sz w:val="24"/>
                <w:szCs w:val="24"/>
                <w:highlight w:val="none"/>
              </w:rPr>
              <w:t xml:space="preserve">产品、服务（标的）名称</w:t>
            </w:r>
            <w:r/>
          </w:p>
        </w:tc>
        <w:tc>
          <w:tcPr>
            <w:tcW w:w="1417" w:type="dxa"/>
            <w:vAlign w:val="center"/>
            <w:textDirection w:val="lrTb"/>
            <w:noWrap w:val="false"/>
          </w:tcPr>
          <w:p>
            <w:pPr>
              <w:jc w:val="center"/>
              <w:rPr>
                <w:rFonts w:hint="eastAsia"/>
                <w:sz w:val="24"/>
                <w:szCs w:val="24"/>
                <w:highlight w:val="none"/>
              </w:rPr>
            </w:pPr>
            <w:r>
              <w:rPr>
                <w:rFonts w:hint="eastAsia"/>
                <w:sz w:val="24"/>
                <w:szCs w:val="24"/>
                <w:highlight w:val="none"/>
              </w:rPr>
              <w:t xml:space="preserve">分项单位</w:t>
            </w:r>
            <w:r/>
          </w:p>
        </w:tc>
        <w:tc>
          <w:tcPr>
            <w:tcW w:w="993" w:type="dxa"/>
            <w:vAlign w:val="center"/>
            <w:textDirection w:val="lrTb"/>
            <w:noWrap w:val="false"/>
          </w:tcPr>
          <w:p>
            <w:pPr>
              <w:jc w:val="center"/>
              <w:rPr>
                <w:rFonts w:hint="eastAsia"/>
                <w:sz w:val="24"/>
                <w:szCs w:val="24"/>
                <w:highlight w:val="none"/>
              </w:rPr>
            </w:pPr>
            <w:r>
              <w:rPr>
                <w:rFonts w:hint="eastAsia"/>
                <w:sz w:val="24"/>
                <w:szCs w:val="24"/>
                <w:highlight w:val="none"/>
              </w:rPr>
              <w:t xml:space="preserve">数量</w:t>
            </w:r>
            <w:r/>
          </w:p>
        </w:tc>
        <w:tc>
          <w:tcPr>
            <w:tcW w:w="1093" w:type="dxa"/>
            <w:vAlign w:val="center"/>
            <w:textDirection w:val="lrTb"/>
            <w:noWrap w:val="false"/>
          </w:tcPr>
          <w:p>
            <w:pPr>
              <w:jc w:val="center"/>
              <w:rPr>
                <w:rFonts w:hint="eastAsia"/>
                <w:sz w:val="24"/>
                <w:szCs w:val="24"/>
                <w:highlight w:val="none"/>
              </w:rPr>
            </w:pPr>
            <w:r>
              <w:rPr>
                <w:rFonts w:hint="eastAsia"/>
                <w:sz w:val="24"/>
                <w:szCs w:val="24"/>
                <w:highlight w:val="none"/>
              </w:rPr>
              <w:t xml:space="preserve">单价</w:t>
            </w:r>
            <w:r/>
          </w:p>
        </w:tc>
        <w:tc>
          <w:tcPr>
            <w:tcW w:w="2350" w:type="dxa"/>
            <w:vAlign w:val="center"/>
            <w:textDirection w:val="lrTb"/>
            <w:noWrap w:val="false"/>
          </w:tcPr>
          <w:p>
            <w:pPr>
              <w:jc w:val="center"/>
              <w:rPr>
                <w:rFonts w:hint="eastAsia"/>
                <w:sz w:val="24"/>
                <w:szCs w:val="24"/>
                <w:highlight w:val="none"/>
              </w:rPr>
            </w:pPr>
            <w:r>
              <w:rPr>
                <w:rFonts w:hint="eastAsia"/>
                <w:sz w:val="24"/>
                <w:szCs w:val="24"/>
                <w:highlight w:val="none"/>
              </w:rPr>
              <w:t xml:space="preserve">单项</w:t>
            </w:r>
            <w:r/>
          </w:p>
          <w:p>
            <w:pPr>
              <w:jc w:val="center"/>
              <w:rPr>
                <w:rFonts w:hint="eastAsia"/>
                <w:sz w:val="24"/>
                <w:szCs w:val="24"/>
                <w:highlight w:val="none"/>
              </w:rPr>
            </w:pPr>
            <w:r>
              <w:rPr>
                <w:rFonts w:hint="eastAsia"/>
                <w:sz w:val="24"/>
                <w:szCs w:val="24"/>
                <w:highlight w:val="none"/>
              </w:rPr>
              <w:t xml:space="preserve">合计价</w:t>
            </w:r>
            <w:r/>
          </w:p>
        </w:tc>
      </w:tr>
      <w:tr>
        <w:trPr>
          <w:cantSplit/>
          <w:trHeight w:val="501"/>
        </w:trPr>
        <w:tc>
          <w:tcPr>
            <w:tcW w:w="896"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756"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417"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99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09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350"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trHeight w:val="501"/>
        </w:trPr>
        <w:tc>
          <w:tcPr>
            <w:tcW w:w="896"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756"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417"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99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09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350"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trHeight w:val="501"/>
        </w:trPr>
        <w:tc>
          <w:tcPr>
            <w:tcW w:w="896"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756"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417"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99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09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350"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trHeight w:val="501"/>
        </w:trPr>
        <w:tc>
          <w:tcPr>
            <w:gridSpan w:val="5"/>
            <w:tcW w:w="6155" w:type="dxa"/>
            <w:vAlign w:val="center"/>
            <w:textDirection w:val="lrTb"/>
            <w:noWrap w:val="false"/>
          </w:tcPr>
          <w:p>
            <w:pPr>
              <w:jc w:val="center"/>
              <w:rPr>
                <w:rFonts w:hint="eastAsia"/>
                <w:sz w:val="24"/>
                <w:szCs w:val="24"/>
                <w:highlight w:val="none"/>
              </w:rPr>
            </w:pPr>
            <w:r>
              <w:rPr>
                <w:rFonts w:hint="eastAsia"/>
                <w:sz w:val="24"/>
                <w:szCs w:val="24"/>
                <w:highlight w:val="none"/>
              </w:rPr>
              <w:t xml:space="preserve">总计（元）</w:t>
            </w:r>
            <w:r/>
          </w:p>
        </w:tc>
        <w:tc>
          <w:tcPr>
            <w:tcW w:w="2350" w:type="dxa"/>
            <w:vAlign w:val="center"/>
            <w:textDirection w:val="lrTb"/>
            <w:noWrap w:val="false"/>
          </w:tcPr>
          <w:p>
            <w:pPr>
              <w:jc w:val="center"/>
              <w:rPr>
                <w:rFonts w:hint="eastAsia"/>
                <w:sz w:val="24"/>
                <w:szCs w:val="24"/>
                <w:highlight w:val="none"/>
              </w:rPr>
            </w:pPr>
            <w:r>
              <w:rPr>
                <w:rFonts w:hint="eastAsia"/>
                <w:sz w:val="24"/>
                <w:szCs w:val="24"/>
                <w:highlight w:val="none"/>
              </w:rPr>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公章</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十</w:t>
      </w:r>
      <w:r>
        <w:rPr>
          <w:rFonts w:hint="default" w:ascii="宋体" w:hAnsi="宋体" w:eastAsia="宋体" w:cs="宋体"/>
          <w:i/>
          <w:sz w:val="32"/>
          <w:szCs w:val="32"/>
          <w:highlight w:val="none"/>
          <w:u w:val="single"/>
          <w:lang w:val="en-US" w:eastAsia="zh-CN"/>
        </w:rPr>
        <w:t xml:space="preserve">五</w:t>
      </w:r>
      <w:r>
        <w:rPr>
          <w:rFonts w:hint="eastAsia" w:ascii="宋体" w:hAnsi="宋体" w:eastAsia="宋体" w:cs="宋体"/>
          <w:i/>
          <w:sz w:val="32"/>
          <w:szCs w:val="32"/>
          <w:highlight w:val="none"/>
          <w:u w:val="single"/>
        </w:rPr>
        <w:t xml:space="preserve">、技术要求响应及偏离表</w:t>
      </w:r>
      <w:r/>
    </w:p>
    <w:p>
      <w:pPr>
        <w:ind w:firstLine="720"/>
        <w:jc w:val="center"/>
        <w:spacing w:line="360" w:lineRule="auto"/>
        <w:tabs>
          <w:tab w:val="left" w:pos="360" w:leader="none"/>
        </w:tabs>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技术要求响应及偏离表</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bCs/>
          <w:color w:val="000000"/>
          <w:sz w:val="24"/>
          <w:szCs w:val="24"/>
          <w:highlight w:val="none"/>
        </w:rPr>
        <w:t xml:space="preserve"> </w:t>
      </w:r>
      <w:r/>
    </w:p>
    <w:tbl>
      <w:tblPr>
        <w:tblStyle w:val="6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序号</w:t>
            </w:r>
            <w:r/>
          </w:p>
        </w:tc>
        <w:tc>
          <w:tcPr>
            <w:tcW w:w="3273" w:type="dxa"/>
            <w:vAlign w:val="center"/>
            <w:textDirection w:val="lrTb"/>
            <w:noWrap w:val="false"/>
          </w:tcPr>
          <w:p>
            <w:pPr>
              <w:jc w:val="center"/>
              <w:rPr>
                <w:rFonts w:hint="eastAsia"/>
                <w:sz w:val="24"/>
                <w:szCs w:val="24"/>
                <w:highlight w:val="none"/>
              </w:rPr>
            </w:pPr>
            <w:r>
              <w:rPr>
                <w:rFonts w:hint="eastAsia"/>
                <w:sz w:val="24"/>
                <w:szCs w:val="24"/>
                <w:highlight w:val="none"/>
              </w:rPr>
              <w:t xml:space="preserve">磋商文件要求</w:t>
            </w:r>
            <w:r/>
          </w:p>
        </w:tc>
        <w:tc>
          <w:tcPr>
            <w:tcW w:w="3024" w:type="dxa"/>
            <w:vAlign w:val="center"/>
            <w:textDirection w:val="lrTb"/>
            <w:noWrap w:val="false"/>
          </w:tcPr>
          <w:p>
            <w:pPr>
              <w:jc w:val="center"/>
              <w:rPr>
                <w:rFonts w:hint="eastAsia"/>
                <w:sz w:val="24"/>
                <w:szCs w:val="24"/>
                <w:highlight w:val="none"/>
              </w:rPr>
            </w:pPr>
            <w:r>
              <w:rPr>
                <w:rFonts w:hint="eastAsia"/>
                <w:sz w:val="24"/>
                <w:szCs w:val="24"/>
                <w:highlight w:val="none"/>
              </w:rPr>
              <w:t xml:space="preserve">响应情况</w:t>
            </w:r>
            <w:r/>
          </w:p>
        </w:tc>
        <w:tc>
          <w:tcPr>
            <w:tcW w:w="139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1</w:t>
            </w:r>
            <w:r/>
          </w:p>
        </w:tc>
        <w:tc>
          <w:tcPr>
            <w:tcW w:w="327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2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9"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jc w:val="center"/>
          <w:trHeight w:val="640"/>
        </w:trPr>
        <w:tc>
          <w:tcPr>
            <w:tcW w:w="80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2</w:t>
            </w:r>
            <w:r/>
          </w:p>
        </w:tc>
        <w:tc>
          <w:tcPr>
            <w:tcW w:w="327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2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9"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jc w:val="center"/>
          <w:trHeight w:val="640"/>
        </w:trPr>
        <w:tc>
          <w:tcPr>
            <w:tcW w:w="80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3</w:t>
            </w:r>
            <w:r/>
          </w:p>
        </w:tc>
        <w:tc>
          <w:tcPr>
            <w:tcW w:w="327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2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9"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jc w:val="center"/>
          <w:trHeight w:val="640"/>
        </w:trPr>
        <w:tc>
          <w:tcPr>
            <w:tcW w:w="80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w:t>
            </w:r>
            <w:r/>
          </w:p>
        </w:tc>
        <w:tc>
          <w:tcPr>
            <w:tcW w:w="327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2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9" w:type="dxa"/>
            <w:vAlign w:val="center"/>
            <w:textDirection w:val="lrTb"/>
            <w:noWrap w:val="false"/>
          </w:tcPr>
          <w:p>
            <w:pPr>
              <w:jc w:val="center"/>
              <w:rPr>
                <w:rFonts w:hint="eastAsia"/>
                <w:sz w:val="24"/>
                <w:szCs w:val="24"/>
                <w:highlight w:val="none"/>
              </w:rPr>
            </w:pPr>
            <w:r>
              <w:rPr>
                <w:rFonts w:hint="eastAsia"/>
                <w:sz w:val="24"/>
                <w:szCs w:val="24"/>
                <w:highlight w:val="none"/>
              </w:rPr>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公章</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sz w:val="24"/>
          <w:szCs w:val="24"/>
          <w:highlight w:val="none"/>
        </w:rPr>
        <w:t xml:space="preserve">（单位负责人）</w:t>
      </w:r>
      <w:r>
        <w:rPr>
          <w:rFonts w:hint="eastAsia" w:ascii="宋体" w:hAnsi="宋体" w:eastAsia="宋体" w:cs="宋体"/>
          <w:color w:val="000000"/>
          <w:sz w:val="24"/>
          <w:szCs w:val="24"/>
          <w:highlight w:val="none"/>
        </w:rPr>
        <w:t xml:space="preserve">或委托代理人（签字或盖章）：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bookmarkStart w:id="22" w:name="_Hlt26955054"/>
      <w:r/>
      <w:bookmarkEnd w:id="22"/>
      <w:r>
        <w:rPr>
          <w:rFonts w:hint="eastAsia" w:ascii="宋体" w:hAnsi="宋体" w:eastAsia="宋体" w:cs="宋体"/>
          <w:i/>
          <w:sz w:val="32"/>
          <w:szCs w:val="32"/>
          <w:highlight w:val="none"/>
          <w:u w:val="single"/>
        </w:rPr>
        <w:t xml:space="preserve">十</w:t>
      </w:r>
      <w:r>
        <w:rPr>
          <w:rFonts w:hint="default" w:ascii="宋体" w:hAnsi="宋体" w:eastAsia="宋体" w:cs="宋体"/>
          <w:i/>
          <w:sz w:val="32"/>
          <w:szCs w:val="32"/>
          <w:highlight w:val="none"/>
          <w:u w:val="single"/>
          <w:lang w:val="en-US" w:eastAsia="zh-CN"/>
        </w:rPr>
        <w:t xml:space="preserve">六</w:t>
      </w:r>
      <w:r>
        <w:rPr>
          <w:rFonts w:hint="eastAsia" w:ascii="宋体" w:hAnsi="宋体" w:eastAsia="宋体" w:cs="宋体"/>
          <w:i/>
          <w:sz w:val="32"/>
          <w:szCs w:val="32"/>
          <w:highlight w:val="none"/>
          <w:u w:val="single"/>
        </w:rPr>
        <w:t xml:space="preserve">、商务要求响应及偏离表</w:t>
      </w:r>
      <w:r/>
    </w:p>
    <w:p>
      <w:pPr>
        <w:ind w:firstLine="720"/>
        <w:jc w:val="center"/>
        <w:spacing w:line="360" w:lineRule="auto"/>
        <w:tabs>
          <w:tab w:val="left" w:pos="360" w:leader="none"/>
        </w:tabs>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商务要求响应及偏离表</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bCs/>
          <w:color w:val="000000"/>
          <w:sz w:val="24"/>
          <w:szCs w:val="24"/>
          <w:highlight w:val="none"/>
        </w:rPr>
        <w:t xml:space="preserve"> </w:t>
      </w:r>
      <w:r/>
    </w:p>
    <w:tbl>
      <w:tblPr>
        <w:tblStyle w:val="65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sz w:val="24"/>
                <w:szCs w:val="24"/>
                <w:highlight w:val="none"/>
              </w:rPr>
            </w:pPr>
            <w:r/>
            <w:bookmarkStart w:id="23" w:name="_Hlt26671343"/>
            <w:r/>
            <w:bookmarkEnd w:id="23"/>
            <w:r/>
            <w:bookmarkStart w:id="24" w:name="_Hlt26671372"/>
            <w:r/>
            <w:bookmarkEnd w:id="24"/>
            <w:r/>
            <w:bookmarkStart w:id="25" w:name="_Hlt26580838"/>
            <w:r/>
            <w:bookmarkEnd w:id="25"/>
            <w:r/>
            <w:bookmarkStart w:id="26" w:name="_Hlt26955064"/>
            <w:r/>
            <w:bookmarkEnd w:id="26"/>
            <w:r/>
            <w:bookmarkStart w:id="27" w:name="_Hlt24879081"/>
            <w:r/>
            <w:bookmarkEnd w:id="27"/>
            <w:r/>
            <w:bookmarkStart w:id="28" w:name="_Hlt26782999"/>
            <w:r/>
            <w:bookmarkEnd w:id="28"/>
            <w:r/>
            <w:bookmarkStart w:id="29" w:name="_Hlt26955056"/>
            <w:r/>
            <w:bookmarkEnd w:id="29"/>
            <w:r/>
            <w:bookmarkStart w:id="30" w:name="_Hlt26609391"/>
            <w:r/>
            <w:bookmarkEnd w:id="30"/>
            <w:r>
              <w:rPr>
                <w:rFonts w:hint="eastAsia"/>
                <w:sz w:val="24"/>
                <w:szCs w:val="24"/>
                <w:highlight w:val="none"/>
              </w:rPr>
              <w:t xml:space="preserve">序号</w:t>
            </w:r>
            <w:r/>
          </w:p>
        </w:tc>
        <w:tc>
          <w:tcPr>
            <w:tcW w:w="3263" w:type="dxa"/>
            <w:vAlign w:val="center"/>
            <w:textDirection w:val="lrTb"/>
            <w:noWrap w:val="false"/>
          </w:tcPr>
          <w:p>
            <w:pPr>
              <w:jc w:val="center"/>
              <w:rPr>
                <w:rFonts w:hint="eastAsia"/>
                <w:sz w:val="24"/>
                <w:szCs w:val="24"/>
                <w:highlight w:val="none"/>
              </w:rPr>
            </w:pPr>
            <w:r>
              <w:rPr>
                <w:rFonts w:hint="eastAsia"/>
                <w:sz w:val="24"/>
                <w:szCs w:val="24"/>
                <w:highlight w:val="none"/>
              </w:rPr>
              <w:t xml:space="preserve">磋商文件要求</w:t>
            </w:r>
            <w:r/>
          </w:p>
        </w:tc>
        <w:tc>
          <w:tcPr>
            <w:tcW w:w="3034" w:type="dxa"/>
            <w:vAlign w:val="center"/>
            <w:textDirection w:val="lrTb"/>
            <w:noWrap w:val="false"/>
          </w:tcPr>
          <w:p>
            <w:pPr>
              <w:jc w:val="center"/>
              <w:rPr>
                <w:rFonts w:hint="eastAsia"/>
                <w:sz w:val="24"/>
                <w:szCs w:val="24"/>
                <w:highlight w:val="none"/>
              </w:rPr>
            </w:pPr>
            <w:r>
              <w:rPr>
                <w:rFonts w:hint="eastAsia"/>
                <w:sz w:val="24"/>
                <w:szCs w:val="24"/>
                <w:highlight w:val="none"/>
              </w:rPr>
              <w:t xml:space="preserve">响应情况</w:t>
            </w:r>
            <w:r/>
          </w:p>
        </w:tc>
        <w:tc>
          <w:tcPr>
            <w:tcW w:w="1391" w:type="dxa"/>
            <w:vAlign w:val="center"/>
            <w:textDirection w:val="lrTb"/>
            <w:noWrap w:val="false"/>
          </w:tcPr>
          <w:p>
            <w:pPr>
              <w:jc w:val="center"/>
              <w:rPr>
                <w:rFonts w:hint="eastAsia"/>
                <w:sz w:val="24"/>
                <w:szCs w:val="24"/>
                <w:highlight w:val="none"/>
              </w:rPr>
            </w:pPr>
            <w:r>
              <w:rPr>
                <w:rFonts w:hint="eastAsia"/>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hint="eastAsia"/>
                <w:sz w:val="24"/>
                <w:szCs w:val="24"/>
                <w:highlight w:val="none"/>
              </w:rPr>
            </w:pPr>
            <w:r>
              <w:rPr>
                <w:rFonts w:hint="eastAsia"/>
                <w:sz w:val="24"/>
                <w:szCs w:val="24"/>
                <w:highlight w:val="none"/>
              </w:rPr>
              <w:t xml:space="preserve">1</w:t>
            </w:r>
            <w:r/>
          </w:p>
        </w:tc>
        <w:tc>
          <w:tcPr>
            <w:tcW w:w="326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3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1"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trHeight w:val="640"/>
        </w:trPr>
        <w:tc>
          <w:tcPr>
            <w:tcW w:w="817" w:type="dxa"/>
            <w:vAlign w:val="center"/>
            <w:textDirection w:val="lrTb"/>
            <w:noWrap w:val="false"/>
          </w:tcPr>
          <w:p>
            <w:pPr>
              <w:jc w:val="center"/>
              <w:rPr>
                <w:rFonts w:hint="eastAsia"/>
                <w:sz w:val="24"/>
                <w:szCs w:val="24"/>
                <w:highlight w:val="none"/>
              </w:rPr>
            </w:pPr>
            <w:r>
              <w:rPr>
                <w:rFonts w:hint="eastAsia"/>
                <w:sz w:val="24"/>
                <w:szCs w:val="24"/>
                <w:highlight w:val="none"/>
              </w:rPr>
              <w:t xml:space="preserve">2</w:t>
            </w:r>
            <w:r/>
          </w:p>
        </w:tc>
        <w:tc>
          <w:tcPr>
            <w:tcW w:w="326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3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1"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trHeight w:val="640"/>
        </w:trPr>
        <w:tc>
          <w:tcPr>
            <w:tcW w:w="817" w:type="dxa"/>
            <w:vAlign w:val="center"/>
            <w:textDirection w:val="lrTb"/>
            <w:noWrap w:val="false"/>
          </w:tcPr>
          <w:p>
            <w:pPr>
              <w:jc w:val="center"/>
              <w:rPr>
                <w:rFonts w:hint="eastAsia"/>
                <w:sz w:val="24"/>
                <w:szCs w:val="24"/>
                <w:highlight w:val="none"/>
              </w:rPr>
            </w:pPr>
            <w:r>
              <w:rPr>
                <w:rFonts w:hint="eastAsia"/>
                <w:sz w:val="24"/>
                <w:szCs w:val="24"/>
                <w:highlight w:val="none"/>
              </w:rPr>
              <w:t xml:space="preserve">3</w:t>
            </w:r>
            <w:r/>
          </w:p>
        </w:tc>
        <w:tc>
          <w:tcPr>
            <w:tcW w:w="326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3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1"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trHeight w:val="640"/>
        </w:trPr>
        <w:tc>
          <w:tcPr>
            <w:tcW w:w="817" w:type="dxa"/>
            <w:vAlign w:val="center"/>
            <w:textDirection w:val="lrTb"/>
            <w:noWrap w:val="false"/>
          </w:tcPr>
          <w:p>
            <w:pPr>
              <w:jc w:val="center"/>
              <w:rPr>
                <w:rFonts w:hint="eastAsia"/>
                <w:sz w:val="24"/>
                <w:szCs w:val="24"/>
                <w:highlight w:val="none"/>
              </w:rPr>
            </w:pPr>
            <w:r>
              <w:rPr>
                <w:rFonts w:hint="eastAsia"/>
                <w:sz w:val="24"/>
                <w:szCs w:val="24"/>
                <w:highlight w:val="none"/>
              </w:rPr>
              <w:t xml:space="preserve">…</w:t>
            </w:r>
            <w:r/>
          </w:p>
        </w:tc>
        <w:tc>
          <w:tcPr>
            <w:tcW w:w="3263"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303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91" w:type="dxa"/>
            <w:vAlign w:val="center"/>
            <w:textDirection w:val="lrTb"/>
            <w:noWrap w:val="false"/>
          </w:tcPr>
          <w:p>
            <w:pPr>
              <w:jc w:val="center"/>
              <w:rPr>
                <w:rFonts w:hint="eastAsia"/>
                <w:sz w:val="24"/>
                <w:szCs w:val="24"/>
                <w:highlight w:val="none"/>
              </w:rPr>
            </w:pPr>
            <w:r>
              <w:rPr>
                <w:rFonts w:hint="eastAsia"/>
                <w:sz w:val="24"/>
                <w:szCs w:val="24"/>
                <w:highlight w:val="none"/>
              </w:rPr>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公章</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sz w:val="24"/>
          <w:szCs w:val="24"/>
          <w:highlight w:val="none"/>
        </w:rPr>
        <w:t xml:space="preserve">（单位负责人）</w:t>
      </w:r>
      <w:r>
        <w:rPr>
          <w:rFonts w:hint="eastAsia" w:ascii="宋体" w:hAnsi="宋体" w:eastAsia="宋体" w:cs="宋体"/>
          <w:color w:val="000000"/>
          <w:sz w:val="24"/>
          <w:szCs w:val="24"/>
          <w:highlight w:val="none"/>
        </w:rPr>
        <w:t xml:space="preserve">或委托代理人（签字或盖章）：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十</w:t>
      </w:r>
      <w:r>
        <w:rPr>
          <w:rFonts w:hint="default" w:ascii="宋体" w:hAnsi="宋体" w:eastAsia="宋体" w:cs="宋体"/>
          <w:i/>
          <w:sz w:val="32"/>
          <w:szCs w:val="32"/>
          <w:highlight w:val="none"/>
          <w:u w:val="single"/>
          <w:lang w:val="en-US" w:eastAsia="zh-CN"/>
        </w:rPr>
        <w:t xml:space="preserve">七</w:t>
      </w:r>
      <w:r>
        <w:rPr>
          <w:rFonts w:hint="eastAsia" w:ascii="宋体" w:hAnsi="宋体" w:eastAsia="宋体" w:cs="宋体"/>
          <w:i/>
          <w:sz w:val="32"/>
          <w:szCs w:val="32"/>
          <w:highlight w:val="none"/>
          <w:u w:val="single"/>
        </w:rPr>
        <w:t xml:space="preserve">、类似项目业绩一览表</w:t>
      </w:r>
      <w:r/>
    </w:p>
    <w:p>
      <w:pPr>
        <w:ind w:firstLine="720"/>
        <w:jc w:val="center"/>
        <w:spacing w:line="360" w:lineRule="auto"/>
        <w:tabs>
          <w:tab w:val="left" w:pos="360" w:leader="none"/>
        </w:tabs>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类似项目业绩一览表</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p>
    <w:p>
      <w:pPr>
        <w:ind w:firstLine="480"/>
        <w:jc w:val="left"/>
        <w:spacing w:line="360" w:lineRule="auto"/>
        <w:rPr>
          <w:rFonts w:hint="eastAsia" w:ascii="宋体" w:hAnsi="宋体" w:eastAsia="宋体" w:cs="宋体"/>
          <w:highlight w:val="none"/>
        </w:rPr>
      </w:pPr>
      <w:r>
        <w:rPr>
          <w:rFonts w:hint="eastAsia" w:ascii="宋体" w:hAnsi="宋体" w:eastAsia="宋体" w:cs="宋体"/>
          <w:color w:val="000000"/>
          <w:sz w:val="24"/>
          <w:szCs w:val="24"/>
          <w:highlight w:val="none"/>
        </w:rPr>
        <w:t xml:space="preserve">项目编号：</w:t>
      </w:r>
      <w:r/>
    </w:p>
    <w:tbl>
      <w:tblPr>
        <w:tblStyle w:val="651"/>
        <w:tblW w:w="8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686"/>
        <w:gridCol w:w="1850"/>
        <w:gridCol w:w="1985"/>
        <w:gridCol w:w="1309"/>
      </w:tblGrid>
      <w:tr>
        <w:trPr>
          <w:cantSplit/>
          <w:jc w:val="center"/>
          <w:trHeight w:val="602"/>
        </w:trPr>
        <w:tc>
          <w:tcPr>
            <w:tcW w:w="785" w:type="dxa"/>
            <w:vAlign w:val="center"/>
            <w:textDirection w:val="lrTb"/>
            <w:noWrap w:val="false"/>
          </w:tcPr>
          <w:p>
            <w:pPr>
              <w:jc w:val="center"/>
              <w:rPr>
                <w:rFonts w:hint="eastAsia"/>
                <w:sz w:val="24"/>
                <w:szCs w:val="24"/>
                <w:highlight w:val="none"/>
              </w:rPr>
            </w:pPr>
            <w:r>
              <w:rPr>
                <w:rFonts w:hint="eastAsia"/>
                <w:sz w:val="24"/>
                <w:szCs w:val="24"/>
                <w:highlight w:val="none"/>
              </w:rPr>
              <w:t xml:space="preserve">序号</w:t>
            </w:r>
            <w:r/>
          </w:p>
        </w:tc>
        <w:tc>
          <w:tcPr>
            <w:tcW w:w="2686" w:type="dxa"/>
            <w:vAlign w:val="center"/>
            <w:textDirection w:val="lrTb"/>
            <w:noWrap w:val="false"/>
          </w:tcPr>
          <w:p>
            <w:pPr>
              <w:jc w:val="center"/>
              <w:rPr>
                <w:rFonts w:hint="eastAsia"/>
                <w:sz w:val="24"/>
                <w:szCs w:val="24"/>
                <w:highlight w:val="none"/>
              </w:rPr>
            </w:pPr>
            <w:r>
              <w:rPr>
                <w:rFonts w:hint="eastAsia"/>
                <w:sz w:val="24"/>
                <w:szCs w:val="24"/>
                <w:highlight w:val="none"/>
              </w:rPr>
              <w:t xml:space="preserve">项目名称</w:t>
            </w:r>
            <w:r/>
          </w:p>
        </w:tc>
        <w:tc>
          <w:tcPr>
            <w:tcW w:w="1850" w:type="dxa"/>
            <w:vAlign w:val="center"/>
            <w:textDirection w:val="lrTb"/>
            <w:noWrap w:val="false"/>
          </w:tcPr>
          <w:p>
            <w:pPr>
              <w:jc w:val="center"/>
              <w:rPr>
                <w:rFonts w:hint="eastAsia"/>
                <w:sz w:val="24"/>
                <w:szCs w:val="24"/>
                <w:highlight w:val="none"/>
              </w:rPr>
            </w:pPr>
            <w:r>
              <w:rPr>
                <w:rFonts w:hint="eastAsia"/>
                <w:sz w:val="24"/>
                <w:szCs w:val="24"/>
                <w:highlight w:val="none"/>
              </w:rPr>
              <w:t xml:space="preserve">签订时间</w:t>
            </w:r>
            <w:r/>
          </w:p>
        </w:tc>
        <w:tc>
          <w:tcPr>
            <w:tcW w:w="1985" w:type="dxa"/>
            <w:vAlign w:val="center"/>
            <w:textDirection w:val="lrTb"/>
            <w:noWrap w:val="false"/>
          </w:tcPr>
          <w:p>
            <w:pPr>
              <w:jc w:val="center"/>
              <w:rPr>
                <w:rFonts w:hint="eastAsia"/>
                <w:sz w:val="24"/>
                <w:szCs w:val="24"/>
                <w:highlight w:val="none"/>
              </w:rPr>
            </w:pPr>
            <w:r>
              <w:rPr>
                <w:rFonts w:hint="eastAsia"/>
                <w:sz w:val="24"/>
                <w:szCs w:val="24"/>
                <w:highlight w:val="none"/>
              </w:rPr>
              <w:t xml:space="preserve">采购单位</w:t>
            </w:r>
            <w:r/>
          </w:p>
        </w:tc>
        <w:tc>
          <w:tcPr>
            <w:tcW w:w="1309" w:type="dxa"/>
            <w:vAlign w:val="center"/>
            <w:textDirection w:val="lrTb"/>
            <w:noWrap w:val="false"/>
          </w:tcPr>
          <w:p>
            <w:pPr>
              <w:jc w:val="center"/>
              <w:rPr>
                <w:rFonts w:hint="eastAsia"/>
                <w:sz w:val="24"/>
                <w:szCs w:val="24"/>
                <w:highlight w:val="none"/>
              </w:rPr>
            </w:pPr>
            <w:r>
              <w:rPr>
                <w:rFonts w:hint="eastAsia"/>
                <w:sz w:val="24"/>
                <w:szCs w:val="24"/>
                <w:highlight w:val="none"/>
              </w:rPr>
              <w:t xml:space="preserve">主要标的</w:t>
            </w:r>
            <w:r/>
          </w:p>
        </w:tc>
      </w:tr>
      <w:tr>
        <w:trPr>
          <w:cantSplit/>
          <w:jc w:val="center"/>
          <w:trHeight w:val="640"/>
        </w:trPr>
        <w:tc>
          <w:tcPr>
            <w:tcW w:w="78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686"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50"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98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09"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jc w:val="center"/>
          <w:trHeight w:val="640"/>
        </w:trPr>
        <w:tc>
          <w:tcPr>
            <w:tcW w:w="78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686"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50"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98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09"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jc w:val="center"/>
          <w:trHeight w:val="640"/>
        </w:trPr>
        <w:tc>
          <w:tcPr>
            <w:tcW w:w="78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686"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50"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98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309" w:type="dxa"/>
            <w:vAlign w:val="center"/>
            <w:textDirection w:val="lrTb"/>
            <w:noWrap w:val="false"/>
          </w:tcPr>
          <w:p>
            <w:pPr>
              <w:jc w:val="center"/>
              <w:rPr>
                <w:rFonts w:hint="eastAsia"/>
                <w:sz w:val="24"/>
                <w:szCs w:val="24"/>
                <w:highlight w:val="none"/>
              </w:rPr>
            </w:pPr>
            <w:r>
              <w:rPr>
                <w:rFonts w:hint="eastAsia"/>
                <w:sz w:val="24"/>
                <w:szCs w:val="24"/>
                <w:highlight w:val="none"/>
              </w:rPr>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bookmarkStart w:id="31" w:name="OLE_LINK5"/>
      <w:r>
        <w:rPr>
          <w:rFonts w:hint="eastAsia" w:ascii="宋体" w:hAnsi="宋体" w:eastAsia="宋体" w:cs="宋体"/>
          <w:color w:val="000000"/>
          <w:sz w:val="24"/>
          <w:szCs w:val="24"/>
          <w:highlight w:val="none"/>
          <w:lang w:val="en-US" w:eastAsia="zh-CN"/>
        </w:rPr>
        <w:t xml:space="preserve">公章</w:t>
      </w:r>
      <w:bookmarkEnd w:id="31"/>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sz w:val="24"/>
          <w:szCs w:val="24"/>
          <w:highlight w:val="none"/>
        </w:rPr>
        <w:t xml:space="preserve">（单位负责人）</w:t>
      </w:r>
      <w:r>
        <w:rPr>
          <w:rFonts w:hint="eastAsia" w:ascii="宋体" w:hAnsi="宋体" w:eastAsia="宋体" w:cs="宋体"/>
          <w:color w:val="000000"/>
          <w:sz w:val="24"/>
          <w:szCs w:val="24"/>
          <w:highlight w:val="none"/>
        </w:rPr>
        <w:t xml:space="preserve">或委托代理人（签字或盖章）：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0"/>
        <w:jc w:val="left"/>
        <w:keepLines/>
        <w:keepNext/>
        <w:pageBreakBefore/>
        <w:spacing w:before="360" w:after="200" w:line="360" w:lineRule="auto"/>
        <w:widowControl w:val="off"/>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十</w:t>
      </w:r>
      <w:r>
        <w:rPr>
          <w:rFonts w:hint="default" w:ascii="宋体" w:hAnsi="宋体" w:eastAsia="宋体" w:cs="宋体"/>
          <w:i/>
          <w:sz w:val="32"/>
          <w:szCs w:val="32"/>
          <w:highlight w:val="none"/>
          <w:u w:val="single"/>
          <w:lang w:val="en-US" w:eastAsia="zh-CN"/>
        </w:rPr>
        <w:t xml:space="preserve">八</w:t>
      </w:r>
      <w:r>
        <w:rPr>
          <w:rFonts w:hint="eastAsia" w:ascii="宋体" w:hAnsi="宋体" w:eastAsia="宋体" w:cs="宋体"/>
          <w:i/>
          <w:sz w:val="32"/>
          <w:szCs w:val="32"/>
          <w:highlight w:val="none"/>
          <w:u w:val="single"/>
        </w:rPr>
        <w:t xml:space="preserve">、项目团队人员一览表</w:t>
      </w:r>
      <w:r/>
    </w:p>
    <w:p>
      <w:pPr>
        <w:ind w:firstLine="720"/>
        <w:jc w:val="center"/>
        <w:spacing w:line="360" w:lineRule="auto"/>
        <w:tabs>
          <w:tab w:val="left" w:pos="360" w:leader="none"/>
        </w:tabs>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项目团队人员一览表</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p>
    <w:p>
      <w:pPr>
        <w:ind w:firstLine="480"/>
        <w:jc w:val="left"/>
        <w:spacing w:line="360" w:lineRule="auto"/>
        <w:rPr>
          <w:rFonts w:hint="eastAsia" w:ascii="宋体" w:hAnsi="宋体" w:eastAsia="宋体" w:cs="宋体"/>
          <w:highlight w:val="none"/>
        </w:rPr>
      </w:pPr>
      <w:r>
        <w:rPr>
          <w:rFonts w:hint="eastAsia" w:ascii="宋体" w:hAnsi="宋体" w:eastAsia="宋体" w:cs="宋体"/>
          <w:color w:val="000000"/>
          <w:sz w:val="24"/>
          <w:szCs w:val="24"/>
          <w:highlight w:val="none"/>
        </w:rPr>
        <w:t xml:space="preserve">项目编号：</w:t>
      </w:r>
      <w:r/>
    </w:p>
    <w:tbl>
      <w:tblPr>
        <w:tblStyle w:val="651"/>
        <w:tblW w:w="7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1844"/>
        <w:gridCol w:w="2514"/>
        <w:gridCol w:w="1873"/>
      </w:tblGrid>
      <w:tr>
        <w:trPr>
          <w:cantSplit/>
          <w:jc w:val="center"/>
        </w:trPr>
        <w:tc>
          <w:tcPr>
            <w:tcW w:w="1695" w:type="dxa"/>
            <w:vAlign w:val="center"/>
            <w:textDirection w:val="lrTb"/>
            <w:noWrap w:val="false"/>
          </w:tcPr>
          <w:p>
            <w:pPr>
              <w:jc w:val="center"/>
              <w:rPr>
                <w:rFonts w:hint="eastAsia"/>
                <w:sz w:val="24"/>
                <w:szCs w:val="24"/>
                <w:highlight w:val="none"/>
              </w:rPr>
            </w:pPr>
            <w:r>
              <w:rPr>
                <w:rFonts w:hint="eastAsia"/>
                <w:sz w:val="24"/>
                <w:szCs w:val="24"/>
                <w:highlight w:val="none"/>
              </w:rPr>
              <w:t xml:space="preserve">姓名</w:t>
            </w:r>
            <w:r/>
          </w:p>
        </w:tc>
        <w:tc>
          <w:tcPr>
            <w:tcW w:w="1844" w:type="dxa"/>
            <w:vAlign w:val="center"/>
            <w:textDirection w:val="lrTb"/>
            <w:noWrap w:val="false"/>
          </w:tcPr>
          <w:p>
            <w:pPr>
              <w:jc w:val="center"/>
              <w:rPr>
                <w:rFonts w:hint="eastAsia"/>
                <w:sz w:val="24"/>
                <w:szCs w:val="24"/>
                <w:highlight w:val="none"/>
              </w:rPr>
            </w:pPr>
            <w:r>
              <w:rPr>
                <w:rFonts w:hint="eastAsia"/>
                <w:sz w:val="24"/>
                <w:szCs w:val="24"/>
                <w:highlight w:val="none"/>
              </w:rPr>
              <w:t xml:space="preserve">本项目拟担任职务</w:t>
            </w:r>
            <w:r/>
          </w:p>
        </w:tc>
        <w:tc>
          <w:tcPr>
            <w:tcW w:w="2514" w:type="dxa"/>
            <w:vAlign w:val="center"/>
            <w:textDirection w:val="lrTb"/>
            <w:noWrap w:val="false"/>
          </w:tcPr>
          <w:p>
            <w:pPr>
              <w:jc w:val="center"/>
              <w:rPr>
                <w:rFonts w:hint="eastAsia"/>
                <w:sz w:val="24"/>
                <w:szCs w:val="24"/>
                <w:highlight w:val="none"/>
              </w:rPr>
            </w:pPr>
            <w:r>
              <w:rPr>
                <w:rFonts w:hint="eastAsia"/>
                <w:sz w:val="24"/>
                <w:szCs w:val="24"/>
                <w:highlight w:val="none"/>
              </w:rPr>
              <w:t xml:space="preserve">技术职称、专业资质</w:t>
            </w:r>
            <w:r/>
          </w:p>
        </w:tc>
        <w:tc>
          <w:tcPr>
            <w:tcW w:w="1873" w:type="dxa"/>
            <w:vAlign w:val="center"/>
            <w:textDirection w:val="lrTb"/>
            <w:noWrap w:val="false"/>
          </w:tcPr>
          <w:p>
            <w:pPr>
              <w:jc w:val="center"/>
              <w:rPr>
                <w:rFonts w:hint="eastAsia"/>
                <w:sz w:val="24"/>
                <w:szCs w:val="24"/>
                <w:highlight w:val="none"/>
              </w:rPr>
            </w:pPr>
            <w:r>
              <w:rPr>
                <w:rFonts w:hint="eastAsia"/>
                <w:sz w:val="24"/>
                <w:szCs w:val="24"/>
                <w:highlight w:val="none"/>
              </w:rPr>
              <w:t xml:space="preserve">主要资历及担任过的职务</w:t>
            </w:r>
            <w:r/>
          </w:p>
        </w:tc>
      </w:tr>
      <w:tr>
        <w:trPr>
          <w:cantSplit/>
          <w:jc w:val="center"/>
          <w:trHeight w:val="640"/>
        </w:trPr>
        <w:tc>
          <w:tcPr>
            <w:tcW w:w="169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4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51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73"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jc w:val="center"/>
          <w:trHeight w:val="640"/>
        </w:trPr>
        <w:tc>
          <w:tcPr>
            <w:tcW w:w="169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4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51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73" w:type="dxa"/>
            <w:vAlign w:val="center"/>
            <w:textDirection w:val="lrTb"/>
            <w:noWrap w:val="false"/>
          </w:tcPr>
          <w:p>
            <w:pPr>
              <w:jc w:val="center"/>
              <w:rPr>
                <w:rFonts w:hint="eastAsia"/>
                <w:sz w:val="24"/>
                <w:szCs w:val="24"/>
                <w:highlight w:val="none"/>
              </w:rPr>
            </w:pPr>
            <w:r>
              <w:rPr>
                <w:rFonts w:hint="eastAsia"/>
                <w:sz w:val="24"/>
                <w:szCs w:val="24"/>
                <w:highlight w:val="none"/>
              </w:rPr>
            </w:r>
            <w:r/>
          </w:p>
        </w:tc>
      </w:tr>
      <w:tr>
        <w:trPr>
          <w:cantSplit/>
          <w:jc w:val="center"/>
          <w:trHeight w:val="640"/>
        </w:trPr>
        <w:tc>
          <w:tcPr>
            <w:tcW w:w="1695"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4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2514" w:type="dxa"/>
            <w:vAlign w:val="center"/>
            <w:textDirection w:val="lrTb"/>
            <w:noWrap w:val="false"/>
          </w:tcPr>
          <w:p>
            <w:pPr>
              <w:jc w:val="center"/>
              <w:rPr>
                <w:rFonts w:hint="eastAsia"/>
                <w:sz w:val="24"/>
                <w:szCs w:val="24"/>
                <w:highlight w:val="none"/>
              </w:rPr>
            </w:pPr>
            <w:r>
              <w:rPr>
                <w:rFonts w:hint="eastAsia"/>
                <w:sz w:val="24"/>
                <w:szCs w:val="24"/>
                <w:highlight w:val="none"/>
              </w:rPr>
            </w:r>
            <w:r/>
          </w:p>
        </w:tc>
        <w:tc>
          <w:tcPr>
            <w:tcW w:w="1873" w:type="dxa"/>
            <w:vAlign w:val="center"/>
            <w:textDirection w:val="lrTb"/>
            <w:noWrap w:val="false"/>
          </w:tcPr>
          <w:p>
            <w:pPr>
              <w:jc w:val="center"/>
              <w:rPr>
                <w:rFonts w:hint="eastAsia"/>
                <w:sz w:val="24"/>
                <w:szCs w:val="24"/>
                <w:highlight w:val="none"/>
              </w:rPr>
            </w:pPr>
            <w:r>
              <w:rPr>
                <w:rFonts w:hint="eastAsia"/>
                <w:sz w:val="24"/>
                <w:szCs w:val="24"/>
                <w:highlight w:val="none"/>
              </w:rPr>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公章</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sz w:val="24"/>
          <w:szCs w:val="24"/>
          <w:highlight w:val="none"/>
        </w:rPr>
        <w:t xml:space="preserve">（单位负责人）</w:t>
      </w:r>
      <w:r>
        <w:rPr>
          <w:rFonts w:hint="eastAsia" w:ascii="宋体" w:hAnsi="宋体" w:eastAsia="宋体" w:cs="宋体"/>
          <w:color w:val="000000"/>
          <w:sz w:val="24"/>
          <w:szCs w:val="24"/>
          <w:highlight w:val="none"/>
        </w:rPr>
        <w:t xml:space="preserve">或委托代理人（签字或盖章）：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800"/>
        <w:jc w:val="left"/>
        <w:spacing w:line="360" w:lineRule="auto"/>
        <w:widowControl/>
        <w:rPr>
          <w:rFonts w:hint="eastAsia" w:ascii="宋体" w:hAnsi="宋体" w:eastAsia="宋体" w:cs="宋体"/>
          <w:bCs/>
          <w:color w:val="000000"/>
          <w:sz w:val="40"/>
          <w:szCs w:val="32"/>
          <w:highlight w:val="none"/>
        </w:rPr>
      </w:pPr>
      <w:r/>
      <w:bookmarkStart w:id="32" w:name="_格式2__法定代表人授权书"/>
      <w:r/>
      <w:bookmarkEnd w:id="32"/>
      <w:r/>
      <w:bookmarkStart w:id="33" w:name="_Hlt26955066"/>
      <w:r/>
      <w:bookmarkEnd w:id="33"/>
      <w:r/>
      <w:bookmarkStart w:id="34" w:name="_Hlt26671374"/>
      <w:r/>
      <w:bookmarkEnd w:id="34"/>
      <w:r/>
      <w:bookmarkStart w:id="35" w:name="_Hlt26609389"/>
      <w:r/>
      <w:bookmarkEnd w:id="35"/>
      <w:r>
        <w:rPr>
          <w:rFonts w:hint="eastAsia" w:ascii="宋体" w:hAnsi="宋体" w:eastAsia="宋体" w:cs="宋体"/>
          <w:bCs/>
          <w:color w:val="000000"/>
          <w:sz w:val="40"/>
          <w:szCs w:val="32"/>
          <w:highlight w:val="none"/>
        </w:rPr>
        <w:br w:type="page" w:clear="all"/>
      </w:r>
      <w:r/>
    </w:p>
    <w:p>
      <w:pPr>
        <w:ind w:firstLine="800"/>
        <w:jc w:val="center"/>
        <w:spacing w:line="360" w:lineRule="auto"/>
        <w:rPr>
          <w:rFonts w:hint="eastAsia" w:ascii="宋体" w:hAnsi="宋体" w:eastAsia="宋体" w:cs="宋体"/>
          <w:bCs/>
          <w:color w:val="000000"/>
          <w:sz w:val="40"/>
          <w:szCs w:val="32"/>
          <w:highlight w:val="none"/>
        </w:rPr>
      </w:pPr>
      <w:r>
        <w:rPr>
          <w:rFonts w:hint="eastAsia" w:ascii="宋体" w:hAnsi="宋体" w:eastAsia="宋体" w:cs="宋体"/>
          <w:bCs/>
          <w:color w:val="000000"/>
          <w:sz w:val="40"/>
          <w:szCs w:val="32"/>
          <w:highlight w:val="none"/>
        </w:rPr>
        <w:t xml:space="preserve">质疑函范本</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p>
    <w:p>
      <w:pPr>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p>
    <w:p>
      <w:pPr>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MS Mincho">
    <w:panose1 w:val="02020603050405090304"/>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center"/>
    </w:pPr>
    <w:r/>
    <w:r/>
  </w:p>
  <w:p>
    <w:pPr>
      <w:pStyle w:val="6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6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7"/>
    <w:uiPriority w:val="9"/>
    <w:rPr>
      <w:rFonts w:ascii="Arial" w:hAnsi="Arial" w:eastAsia="Arial" w:cs="Arial"/>
      <w:sz w:val="40"/>
      <w:szCs w:val="40"/>
    </w:rPr>
  </w:style>
  <w:style w:type="character" w:styleId="15">
    <w:name w:val="Heading 2 Char"/>
    <w:basedOn w:val="650"/>
    <w:link w:val="648"/>
    <w:uiPriority w:val="9"/>
    <w:rPr>
      <w:rFonts w:ascii="Arial" w:hAnsi="Arial" w:eastAsia="Arial" w:cs="Arial"/>
      <w:sz w:val="34"/>
    </w:rPr>
  </w:style>
  <w:style w:type="character" w:styleId="17">
    <w:name w:val="Heading 3 Char"/>
    <w:basedOn w:val="650"/>
    <w:link w:val="649"/>
    <w:uiPriority w:val="9"/>
    <w:rPr>
      <w:rFonts w:ascii="Arial" w:hAnsi="Arial" w:eastAsia="Arial" w:cs="Arial"/>
      <w:sz w:val="30"/>
      <w:szCs w:val="30"/>
    </w:rPr>
  </w:style>
  <w:style w:type="paragraph" w:styleId="18">
    <w:name w:val="Heading 4"/>
    <w:basedOn w:val="646"/>
    <w:next w:val="6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0"/>
    <w:link w:val="18"/>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0"/>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0"/>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0"/>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0"/>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0"/>
    <w:link w:val="28"/>
    <w:uiPriority w:val="9"/>
    <w:rPr>
      <w:rFonts w:ascii="Arial" w:hAnsi="Arial" w:eastAsia="Arial" w:cs="Arial"/>
      <w:i/>
      <w:iCs/>
      <w:sz w:val="21"/>
      <w:szCs w:val="21"/>
    </w:rPr>
  </w:style>
  <w:style w:type="paragraph" w:styleId="30">
    <w:name w:val="List Paragraph"/>
    <w:basedOn w:val="6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6"/>
    <w:next w:val="646"/>
    <w:link w:val="34"/>
    <w:uiPriority w:val="10"/>
    <w:qFormat/>
    <w:pPr>
      <w:contextualSpacing/>
      <w:spacing w:before="300" w:after="200"/>
    </w:pPr>
    <w:rPr>
      <w:sz w:val="48"/>
      <w:szCs w:val="48"/>
    </w:rPr>
  </w:style>
  <w:style w:type="character" w:styleId="34">
    <w:name w:val="Title Char"/>
    <w:basedOn w:val="650"/>
    <w:link w:val="33"/>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650"/>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0"/>
    <w:link w:val="655"/>
    <w:uiPriority w:val="99"/>
  </w:style>
  <w:style w:type="character" w:styleId="44">
    <w:name w:val="Footer Char"/>
    <w:basedOn w:val="650"/>
    <w:link w:val="661"/>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8">
    <w:name w:val="Table Grid Light"/>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0"/>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0"/>
    <w:uiPriority w:val="99"/>
    <w:semiHidden/>
    <w:unhideWhenUsed/>
    <w:rPr>
      <w:vertAlign w:val="superscript"/>
    </w:rPr>
  </w:style>
  <w:style w:type="paragraph" w:styleId="181">
    <w:name w:val="toc 2"/>
    <w:basedOn w:val="646"/>
    <w:next w:val="646"/>
    <w:uiPriority w:val="39"/>
    <w:unhideWhenUsed/>
    <w:pPr>
      <w:ind w:left="283" w:right="0" w:firstLine="0"/>
      <w:spacing w:after="57"/>
    </w:pPr>
  </w:style>
  <w:style w:type="paragraph" w:styleId="182">
    <w:name w:val="toc 3"/>
    <w:basedOn w:val="646"/>
    <w:next w:val="646"/>
    <w:uiPriority w:val="39"/>
    <w:unhideWhenUsed/>
    <w:pPr>
      <w:ind w:left="567" w:right="0" w:firstLine="0"/>
      <w:spacing w:after="57"/>
    </w:pPr>
  </w:style>
  <w:style w:type="paragraph" w:styleId="183">
    <w:name w:val="toc 4"/>
    <w:basedOn w:val="646"/>
    <w:next w:val="646"/>
    <w:uiPriority w:val="39"/>
    <w:unhideWhenUsed/>
    <w:pPr>
      <w:ind w:left="850" w:right="0" w:firstLine="0"/>
      <w:spacing w:after="57"/>
    </w:pPr>
  </w:style>
  <w:style w:type="paragraph" w:styleId="184">
    <w:name w:val="toc 5"/>
    <w:basedOn w:val="646"/>
    <w:next w:val="646"/>
    <w:uiPriority w:val="39"/>
    <w:unhideWhenUsed/>
    <w:pPr>
      <w:ind w:left="1134" w:right="0" w:firstLine="0"/>
      <w:spacing w:after="57"/>
    </w:pPr>
  </w:style>
  <w:style w:type="paragraph" w:styleId="185">
    <w:name w:val="toc 6"/>
    <w:basedOn w:val="646"/>
    <w:next w:val="646"/>
    <w:uiPriority w:val="39"/>
    <w:unhideWhenUsed/>
    <w:pPr>
      <w:ind w:left="1417" w:right="0" w:firstLine="0"/>
      <w:spacing w:after="57"/>
    </w:pPr>
  </w:style>
  <w:style w:type="paragraph" w:styleId="186">
    <w:name w:val="toc 7"/>
    <w:basedOn w:val="646"/>
    <w:next w:val="646"/>
    <w:uiPriority w:val="39"/>
    <w:unhideWhenUsed/>
    <w:pPr>
      <w:ind w:left="1701" w:right="0" w:firstLine="0"/>
      <w:spacing w:after="57"/>
    </w:pPr>
  </w:style>
  <w:style w:type="paragraph" w:styleId="187">
    <w:name w:val="toc 8"/>
    <w:basedOn w:val="646"/>
    <w:next w:val="646"/>
    <w:uiPriority w:val="39"/>
    <w:unhideWhenUsed/>
    <w:pPr>
      <w:ind w:left="1984" w:right="0" w:firstLine="0"/>
      <w:spacing w:after="57"/>
    </w:pPr>
  </w:style>
  <w:style w:type="paragraph" w:styleId="188">
    <w:name w:val="toc 9"/>
    <w:basedOn w:val="646"/>
    <w:next w:val="6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7">
    <w:name w:val="Heading 1"/>
    <w:basedOn w:val="646"/>
    <w:next w:val="646"/>
    <w:link w:val="671"/>
    <w:uiPriority w:val="9"/>
    <w:qFormat/>
    <w:pPr>
      <w:keepLines/>
      <w:keepNext/>
      <w:spacing w:before="340" w:after="330" w:line="578" w:lineRule="auto"/>
      <w:outlineLvl w:val="0"/>
    </w:pPr>
    <w:rPr>
      <w:b/>
      <w:bCs/>
      <w:sz w:val="44"/>
      <w:szCs w:val="44"/>
    </w:rPr>
  </w:style>
  <w:style w:type="paragraph" w:styleId="648">
    <w:name w:val="Heading 2"/>
    <w:basedOn w:val="646"/>
    <w:next w:val="646"/>
    <w:link w:val="67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9">
    <w:name w:val="Heading 3"/>
    <w:basedOn w:val="646"/>
    <w:next w:val="646"/>
    <w:link w:val="674"/>
    <w:uiPriority w:val="9"/>
    <w:unhideWhenUsed/>
    <w:qFormat/>
    <w:pPr>
      <w:keepLines/>
      <w:keepNext/>
      <w:spacing w:before="260" w:after="260" w:line="416" w:lineRule="auto"/>
      <w:outlineLvl w:val="2"/>
    </w:pPr>
    <w:rPr>
      <w:b/>
      <w:bCs/>
      <w:sz w:val="32"/>
      <w:szCs w:val="32"/>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Document Map"/>
    <w:basedOn w:val="646"/>
    <w:link w:val="672"/>
    <w:uiPriority w:val="99"/>
    <w:semiHidden/>
    <w:unhideWhenUsed/>
    <w:qFormat/>
    <w:rPr>
      <w:rFonts w:ascii="宋体" w:eastAsia="宋体"/>
      <w:sz w:val="18"/>
      <w:szCs w:val="18"/>
    </w:rPr>
  </w:style>
  <w:style w:type="paragraph" w:styleId="653">
    <w:name w:val="annotation text"/>
    <w:basedOn w:val="646"/>
    <w:link w:val="676"/>
    <w:uiPriority w:val="0"/>
    <w:qFormat/>
    <w:pPr>
      <w:ind w:firstLine="922"/>
      <w:jc w:val="left"/>
      <w:spacing w:line="360" w:lineRule="auto"/>
    </w:pPr>
    <w:rPr>
      <w:rFonts w:ascii="Times New Roman" w:hAnsi="Times New Roman" w:eastAsia="宋体" w:cs="Times New Roman"/>
      <w:szCs w:val="24"/>
    </w:rPr>
  </w:style>
  <w:style w:type="paragraph" w:styleId="654">
    <w:name w:val="Body Text"/>
    <w:basedOn w:val="646"/>
    <w:next w:val="655"/>
    <w:uiPriority w:val="99"/>
    <w:semiHidden/>
    <w:unhideWhenUsed/>
    <w:qFormat/>
    <w:pPr>
      <w:spacing w:after="120" w:afterAutospacing="0"/>
    </w:pPr>
  </w:style>
  <w:style w:type="paragraph" w:styleId="655">
    <w:name w:val="Header"/>
    <w:basedOn w:val="646"/>
    <w:next w:val="656"/>
    <w:link w:val="6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6" w:customStyle="1">
    <w:name w:val="Quote1"/>
    <w:basedOn w:val="646"/>
    <w:next w:val="646"/>
    <w:uiPriority w:val="99"/>
    <w:qFormat/>
    <w:pPr>
      <w:ind w:left="864" w:right="864"/>
      <w:jc w:val="center"/>
      <w:spacing w:before="200" w:after="160"/>
      <w:widowControl/>
    </w:pPr>
    <w:rPr>
      <w:rFonts w:ascii="宋体"/>
      <w:i/>
      <w:color w:val="404040"/>
    </w:rPr>
  </w:style>
  <w:style w:type="paragraph" w:styleId="657">
    <w:name w:val="Body Text Indent"/>
    <w:uiPriority w:val="0"/>
    <w:qFormat/>
    <w:pPr>
      <w:ind w:firstLine="552"/>
      <w:jc w:val="both"/>
      <w:spacing w:before="240" w:line="360" w:lineRule="auto"/>
      <w:widowControl w:val="off"/>
    </w:pPr>
    <w:rPr>
      <w:rFonts w:ascii="宋体" w:hAnsi="宋体" w:eastAsia="宋体" w:cs="Times New Roman"/>
      <w:sz w:val="21"/>
      <w:szCs w:val="20"/>
      <w:lang w:val="en-US" w:eastAsia="zh-CN" w:bidi="ar-SA"/>
    </w:rPr>
  </w:style>
  <w:style w:type="paragraph" w:styleId="658">
    <w:name w:val="Plain Text"/>
    <w:basedOn w:val="646"/>
    <w:link w:val="679"/>
    <w:uiPriority w:val="0"/>
    <w:qFormat/>
    <w:rPr>
      <w:rFonts w:ascii="宋体" w:hAnsi="Courier New" w:eastAsia="宋体" w:cs="Times New Roman"/>
      <w:szCs w:val="20"/>
    </w:rPr>
  </w:style>
  <w:style w:type="paragraph" w:styleId="659">
    <w:name w:val="Date"/>
    <w:basedOn w:val="646"/>
    <w:next w:val="646"/>
    <w:link w:val="675"/>
    <w:uiPriority w:val="99"/>
    <w:semiHidden/>
    <w:unhideWhenUsed/>
    <w:qFormat/>
    <w:pPr>
      <w:ind w:left="100"/>
    </w:pPr>
  </w:style>
  <w:style w:type="paragraph" w:styleId="660">
    <w:name w:val="Balloon Text"/>
    <w:basedOn w:val="646"/>
    <w:link w:val="677"/>
    <w:uiPriority w:val="99"/>
    <w:semiHidden/>
    <w:unhideWhenUsed/>
    <w:qFormat/>
    <w:rPr>
      <w:sz w:val="18"/>
      <w:szCs w:val="18"/>
    </w:rPr>
  </w:style>
  <w:style w:type="paragraph" w:styleId="661">
    <w:name w:val="Footer"/>
    <w:basedOn w:val="646"/>
    <w:link w:val="670"/>
    <w:uiPriority w:val="99"/>
    <w:unhideWhenUsed/>
    <w:qFormat/>
    <w:pPr>
      <w:jc w:val="left"/>
      <w:tabs>
        <w:tab w:val="center" w:pos="4153" w:leader="none"/>
        <w:tab w:val="right" w:pos="8306" w:leader="none"/>
      </w:tabs>
    </w:pPr>
    <w:rPr>
      <w:sz w:val="18"/>
      <w:szCs w:val="18"/>
    </w:rPr>
  </w:style>
  <w:style w:type="paragraph" w:styleId="662">
    <w:name w:val="toc 1"/>
    <w:basedOn w:val="646"/>
    <w:next w:val="646"/>
    <w:uiPriority w:val="39"/>
    <w:unhideWhenUsed/>
    <w:qFormat/>
    <w:pPr>
      <w:jc w:val="center"/>
      <w:tabs>
        <w:tab w:val="right" w:pos="8296" w:leader="dot"/>
      </w:tabs>
    </w:pPr>
    <w:rPr>
      <w:rFonts w:ascii="黑体" w:hAnsi="黑体" w:eastAsia="黑体"/>
      <w:sz w:val="36"/>
      <w:szCs w:val="32"/>
    </w:rPr>
  </w:style>
  <w:style w:type="paragraph" w:styleId="663">
    <w:name w:val="Normal (Web)"/>
    <w:basedOn w:val="646"/>
    <w:uiPriority w:val="99"/>
    <w:semiHidden/>
    <w:unhideWhenUsed/>
    <w:qFormat/>
    <w:pPr>
      <w:ind w:left="0" w:right="0"/>
      <w:jc w:val="left"/>
      <w:spacing w:before="0" w:beforeAutospacing="1" w:after="0" w:afterAutospacing="1"/>
    </w:pPr>
    <w:rPr>
      <w:sz w:val="24"/>
      <w:lang w:val="en-US" w:eastAsia="zh-CN" w:bidi="ar"/>
    </w:rPr>
  </w:style>
  <w:style w:type="table" w:styleId="664">
    <w:name w:val="Table Grid"/>
    <w:basedOn w:val="6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5">
    <w:name w:val="Strong"/>
    <w:basedOn w:val="650"/>
    <w:uiPriority w:val="22"/>
    <w:qFormat/>
    <w:rPr>
      <w:b/>
    </w:rPr>
  </w:style>
  <w:style w:type="character" w:styleId="666">
    <w:name w:val="Hyperlink"/>
    <w:uiPriority w:val="99"/>
    <w:qFormat/>
    <w:rPr>
      <w:color w:val="0000ff"/>
      <w:u w:val="none"/>
    </w:rPr>
  </w:style>
  <w:style w:type="character" w:styleId="667">
    <w:name w:val="annotation reference"/>
    <w:uiPriority w:val="0"/>
    <w:qFormat/>
    <w:rPr>
      <w:sz w:val="21"/>
      <w:szCs w:val="21"/>
    </w:rPr>
  </w:style>
  <w:style w:type="paragraph" w:styleId="668" w:customStyle="1">
    <w:name w:val="Default"/>
    <w:link w:val="678"/>
    <w:uiPriority w:val="99"/>
    <w:qFormat/>
    <w:pPr>
      <w:widowControl w:val="off"/>
    </w:pPr>
    <w:rPr>
      <w:rFonts w:ascii="MS Mincho" w:hAnsi="Calibri" w:eastAsia="宋体" w:cs="Times New Roman"/>
      <w:color w:val="000000"/>
      <w:sz w:val="21"/>
      <w:szCs w:val="24"/>
      <w:lang w:val="en-US" w:eastAsia="zh-CN" w:bidi="ar-SA"/>
    </w:rPr>
  </w:style>
  <w:style w:type="character" w:styleId="669" w:customStyle="1">
    <w:name w:val="页眉 字符"/>
    <w:basedOn w:val="650"/>
    <w:link w:val="655"/>
    <w:uiPriority w:val="99"/>
    <w:qFormat/>
    <w:rPr>
      <w:sz w:val="18"/>
      <w:szCs w:val="18"/>
    </w:rPr>
  </w:style>
  <w:style w:type="character" w:styleId="670" w:customStyle="1">
    <w:name w:val="页脚 字符"/>
    <w:basedOn w:val="650"/>
    <w:link w:val="661"/>
    <w:uiPriority w:val="99"/>
    <w:qFormat/>
    <w:rPr>
      <w:sz w:val="18"/>
      <w:szCs w:val="18"/>
    </w:rPr>
  </w:style>
  <w:style w:type="character" w:styleId="671" w:customStyle="1">
    <w:name w:val="标题 1 字符"/>
    <w:basedOn w:val="650"/>
    <w:link w:val="647"/>
    <w:uiPriority w:val="9"/>
    <w:qFormat/>
    <w:rPr>
      <w:b/>
      <w:bCs/>
      <w:sz w:val="44"/>
      <w:szCs w:val="44"/>
    </w:rPr>
  </w:style>
  <w:style w:type="character" w:styleId="672" w:customStyle="1">
    <w:name w:val="文档结构图 字符"/>
    <w:basedOn w:val="650"/>
    <w:link w:val="652"/>
    <w:uiPriority w:val="99"/>
    <w:semiHidden/>
    <w:qFormat/>
    <w:rPr>
      <w:rFonts w:ascii="宋体" w:eastAsia="宋体"/>
      <w:sz w:val="18"/>
      <w:szCs w:val="18"/>
    </w:rPr>
  </w:style>
  <w:style w:type="character" w:styleId="673" w:customStyle="1">
    <w:name w:val="标题 2 字符"/>
    <w:basedOn w:val="650"/>
    <w:link w:val="648"/>
    <w:uiPriority w:val="9"/>
    <w:qFormat/>
    <w:rPr>
      <w:rFonts w:asciiTheme="majorHAnsi" w:hAnsiTheme="majorHAnsi" w:eastAsiaTheme="majorEastAsia" w:cstheme="majorBidi"/>
      <w:b/>
      <w:bCs/>
      <w:sz w:val="32"/>
      <w:szCs w:val="32"/>
    </w:rPr>
  </w:style>
  <w:style w:type="character" w:styleId="674" w:customStyle="1">
    <w:name w:val="标题 3 字符"/>
    <w:basedOn w:val="650"/>
    <w:link w:val="649"/>
    <w:uiPriority w:val="9"/>
    <w:qFormat/>
    <w:rPr>
      <w:b/>
      <w:bCs/>
      <w:sz w:val="32"/>
      <w:szCs w:val="32"/>
    </w:rPr>
  </w:style>
  <w:style w:type="character" w:styleId="675" w:customStyle="1">
    <w:name w:val="日期 字符"/>
    <w:basedOn w:val="650"/>
    <w:link w:val="659"/>
    <w:uiPriority w:val="99"/>
    <w:semiHidden/>
    <w:qFormat/>
  </w:style>
  <w:style w:type="character" w:styleId="676" w:customStyle="1">
    <w:name w:val="批注文字 字符"/>
    <w:basedOn w:val="650"/>
    <w:link w:val="653"/>
    <w:uiPriority w:val="0"/>
    <w:qFormat/>
    <w:rPr>
      <w:rFonts w:ascii="Times New Roman" w:hAnsi="Times New Roman" w:eastAsia="宋体" w:cs="Times New Roman"/>
      <w:szCs w:val="24"/>
    </w:rPr>
  </w:style>
  <w:style w:type="character" w:styleId="677" w:customStyle="1">
    <w:name w:val="批注框文本 字符"/>
    <w:basedOn w:val="650"/>
    <w:link w:val="660"/>
    <w:uiPriority w:val="99"/>
    <w:semiHidden/>
    <w:qFormat/>
    <w:rPr>
      <w:sz w:val="18"/>
      <w:szCs w:val="18"/>
    </w:rPr>
  </w:style>
  <w:style w:type="character" w:styleId="678" w:customStyle="1">
    <w:name w:val="Default Char"/>
    <w:link w:val="668"/>
    <w:uiPriority w:val="99"/>
    <w:qFormat/>
    <w:rPr>
      <w:rFonts w:ascii="MS Mincho" w:hAnsi="Calibri" w:eastAsia="宋体" w:cs="Times New Roman"/>
      <w:color w:val="000000"/>
      <w:szCs w:val="24"/>
    </w:rPr>
  </w:style>
  <w:style w:type="character" w:styleId="679" w:customStyle="1">
    <w:name w:val="纯文本 字符"/>
    <w:basedOn w:val="650"/>
    <w:link w:val="658"/>
    <w:uiPriority w:val="0"/>
    <w:qFormat/>
    <w:rPr>
      <w:rFonts w:ascii="宋体" w:hAnsi="Courier New" w:eastAsia="宋体" w:cs="Times New Roman"/>
      <w:szCs w:val="20"/>
    </w:rPr>
  </w:style>
  <w:style w:type="character" w:styleId="680" w:customStyle="1">
    <w:name w:val="NormalCharacter"/>
    <w:uiPriority w:val="0"/>
    <w:qFormat/>
  </w:style>
  <w:style w:type="paragraph" w:styleId="681" w:customStyle="1">
    <w:name w:val="HTML 预设格式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黑体" w:hAnsi="Courier New" w:eastAsia="黑体" w:cs="Times New Roman"/>
      <w:sz w:val="20"/>
      <w:szCs w:val="20"/>
      <w:lang w:val="en-US" w:eastAsia="zh-CN" w:bidi="ar-SA"/>
    </w:rPr>
  </w:style>
  <w:style w:type="paragraph" w:styleId="682" w:customStyle="1">
    <w:name w:val="普通正文"/>
    <w:uiPriority w:val="0"/>
    <w:qFormat/>
    <w:pPr>
      <w:ind w:firstLine="480"/>
      <w:jc w:val="left"/>
      <w:spacing w:before="120" w:after="120" w:line="360" w:lineRule="auto"/>
      <w:widowControl w:val="off"/>
    </w:pPr>
    <w:rPr>
      <w:rFonts w:ascii="Arial" w:hAnsi="Arial" w:eastAsia="宋体" w:cs="Times New Roman"/>
      <w:sz w:val="24"/>
      <w:szCs w:val="24"/>
      <w:lang w:val="en-US" w:eastAsia="zh-CN" w:bidi="ar-SA"/>
    </w:rPr>
  </w:style>
  <w:style w:type="table" w:styleId="683" w:customStyle="1">
    <w:name w:val="Table Grid"/>
    <w:uiPriority w:val="0"/>
    <w:qFormat/>
    <w:pPr>
      <w:spacing w:after="0" w:line="240" w:lineRule="auto"/>
    </w:pPr>
    <w:tblPr>
      <w:tblCellMar>
        <w:left w:w="0" w:type="dxa"/>
        <w:top w:w="0" w:type="dxa"/>
        <w:right w:w="0" w:type="dxa"/>
        <w:bottom w:w="0" w:type="dxa"/>
      </w:tblCellMar>
    </w:tblPr>
  </w:style>
  <w:style w:type="table" w:styleId="684" w:customStyle="1">
    <w:name w:val="网格型1"/>
    <w:basedOn w:val="685"/>
    <w:uiPriority w:val="0"/>
    <w:unhideWhenUsed/>
    <w:qFormat/>
    <w:pPr>
      <w:jc w:val="both"/>
      <w:widowControl w:val="off"/>
    </w:pPr>
    <w:tblPr/>
  </w:style>
  <w:style w:type="table" w:styleId="685" w:customStyle="1">
    <w:name w:val="普通表格1"/>
    <w:uiPriority w:val="99"/>
    <w:unhideWhenUsed/>
    <w:qFormat/>
    <w:tblPr/>
  </w:style>
  <w:style w:type="numbering" w:styleId="7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34872f1d-2d5c-494c-a4b1-3bc6bc72013b</errorID>
      <errorWord>(</errorWord>
      <group>L1_Format</group>
      <groupName>格式问题</groupName>
      <ability>L2_HalfPunc</ability>
      <abilityName>全半角检查</abilityName>
      <candidateList>
        <item>（</item>
      </candidateList>
      <explain>文本全半角错误。</explain>
      <paraID> 37DC7F0</paraID>
      <start>20</start>
      <end>21</end>
      <status>modified</status>
      <modifiedWord>（</modifiedWord>
      <trackRevisions>false</trackRevisions>
    </reviewItem>
    <reviewItem>
      <errorID>9df8f16a-3482-45bf-b125-31884399459b</errorID>
      <errorWord>)</errorWord>
      <group>L1_Format</group>
      <groupName>格式问题</groupName>
      <ability>L2_HalfPunc</ability>
      <abilityName>全半角检查</abilityName>
      <candidateList>
        <item>）</item>
      </candidateList>
      <explain>文本全半角错误。</explain>
      <paraID> 37DC7F0</paraID>
      <start>28</start>
      <end>29</end>
      <status>modified</status>
      <modifiedWord>）</modifiedWord>
      <trackRevisions>false</trackRevisions>
    </reviewItem>
    <reviewItem>
      <errorID>058a9b72-7012-4b60-8f32-7c2f528ed968</errorID>
      <errorWord>上午0：00</errorWord>
      <group>L1_Knowledge</group>
      <groupName>知识性问题</groupName>
      <ability>L2_Time</ability>
      <abilityName>日期时间</abilityName>
      <candidateList/>
      <explain>时间与前缀不匹配，可能的时间前缀有“下午、晚上、凌晨、午夜”。</explain>
      <paraID>440CFD82</paraID>
      <start>27</start>
      <end>33</end>
      <status>ignored</status>
      <modifiedWord/>
      <trackRevisions>false</trackRevisions>
    </reviewItem>
    <reviewItem>
      <errorID>9a678195-a134-471e-9717-ff7b6ecee3d6</errorID>
      <errorWord>【2022】002号</errorWord>
      <group>L1_Knowledge</group>
      <groupName>知识性问题</groupName>
      <ability>L2_Knowledge</ability>
      <abilityName>其他知识</abilityName>
      <candidateList>
        <item>〔2022〕2号</item>
      </candidateList>
      <explain>发文字号格式错误。</explain>
      <paraID>6AA77655</paraID>
      <start>20</start>
      <end>30</end>
      <status>ignored</status>
      <modifiedWord/>
      <trackRevisions>false</trackRevisions>
    </reviewItem>
    <reviewItem>
      <errorID>758a6258-8f03-4e8c-b5c9-f1291609538e</errorID>
      <errorWord>间</errorWord>
      <group>L1_Word</group>
      <groupName>字词问题</groupName>
      <ability>L2_Typo</ability>
      <abilityName>字词错误</abilityName>
      <candidateList>
        <item>间之</item>
      </candidateList>
      <explain/>
      <paraID>7363EC21</paraID>
      <start>14</start>
      <end>15</end>
      <status>ignored</status>
      <modifiedWord/>
      <trackRevisions>false</trackRevisions>
    </reviewItem>
    <reviewItem>
      <errorID>107e4a13-a731-491a-a672-f55cea3e8312</errorID>
      <errorWord>过程中涉及到</errorWord>
      <group>L1_Word</group>
      <groupName>字词问题</groupName>
      <ability>L2_Typo</ability>
      <abilityName>字词错误</abilityName>
      <candidateList>
        <item>过程中涉及</item>
      </candidateList>
      <explain/>
      <paraID>45F4B157</paraID>
      <start>15</start>
      <end>21</end>
      <status>ignored</status>
      <modifiedWord/>
      <trackRevisions>false</trackRevisions>
    </reviewItem>
    <reviewItem>
      <errorID>dcf2efd6-f95f-4b84-a910-7ba5b0f0e7c9</errorID>
      <errorWord>保持通讯畅通</errorWord>
      <group>L1_Word</group>
      <groupName>字词问题</groupName>
      <ability>L2_Typo</ability>
      <abilityName>字词错误</abilityName>
      <candidateList>
        <item>保持通信畅通</item>
      </candidateList>
      <explain/>
      <paraID>5DB24401</paraID>
      <start>34</start>
      <end>40</end>
      <status>ignored</status>
      <modifiedWord/>
      <trackRevisions>false</trackRevisions>
    </reviewItem>
    <reviewItem>
      <errorID>61f8461f-ae7e-429a-b3ea-5d6eebefc43a</errorID>
      <errorWord>国家发改委</errorWord>
      <group>L1_Knowledge</group>
      <groupName>知识性问题</groupName>
      <ability>L2_Knowledge</ability>
      <abilityName>其他知识</abilityName>
      <candidateList>
        <item>国家发展改革委</item>
      </candidateList>
      <explain/>
      <paraID>23A294C1</paraID>
      <start>19</start>
      <end>24</end>
      <status>ignored</status>
      <modifiedWord/>
      <trackRevisions>false</trackRevisions>
    </reviewItem>
    <reviewItem>
      <errorID>12fb7c66-6c67-45d4-9423-98d30a27e4de</errorID>
      <errorWord>法律、法规</errorWord>
      <group>L1_Word</group>
      <groupName>字词问题</groupName>
      <ability>L2_Typo</ability>
      <abilityName>字词错误</abilityName>
      <candidateList>
        <item>法律法规</item>
      </candidateList>
      <explain/>
      <paraID>56DF8846</paraID>
      <start>6</start>
      <end>11</end>
      <status>ignored</status>
      <modifiedWord/>
      <trackRevisions>false</trackRevisions>
    </reviewItem>
    <reviewItem>
      <errorID>c8c8b23e-e6ed-4e9f-a40a-c1d6301ecab9</errorID>
      <errorWord>法律、法规</errorWord>
      <group>L1_Word</group>
      <groupName>字词问题</groupName>
      <ability>L2_Typo</ability>
      <abilityName>字词错误</abilityName>
      <candidateList>
        <item>法律法规</item>
      </candidateList>
      <explain/>
      <paraID> 35A3689</paraID>
      <start>14</start>
      <end>19</end>
      <status>ignored</status>
      <modifiedWord/>
      <trackRevisions>false</trackRevisions>
    </reviewItem>
    <reviewItem>
      <errorID>4a102a91-1ec6-48eb-955b-4b431463d039</errorID>
      <errorWord>&lt;</errorWord>
      <group>L1_Format</group>
      <groupName>格式问题</groupName>
      <ability>L2_HalfPunc</ability>
      <abilityName>全半角检查</abilityName>
      <candidateList>
        <item>〈</item>
      </candidateList>
      <explain>文本全半角错误。</explain>
      <paraID>52E34C30</paraID>
      <start>15</start>
      <end>16</end>
      <status>ignored</status>
      <modifiedWord/>
      <trackRevisions>false</trackRevisions>
    </reviewItem>
    <reviewItem>
      <errorID>fba3de94-8817-4677-a209-5c05307d3213</errorID>
      <errorWord>&gt;的通知》</errorWord>
      <group>L1_Punc</group>
      <groupName>标点问题</groupName>
      <ability>L2_Punc</ability>
      <abilityName>标点符号检查</abilityName>
      <candidateList>
        <item>〉的通知》</item>
      </candidateList>
      <explain/>
      <paraID>52E34C30</paraID>
      <start>32</start>
      <end>37</end>
      <status>ignored</status>
      <modifiedWord/>
      <trackRevisions>false</trackRevisions>
    </reviewItem>
    <reviewItem>
      <errorID>a3676486-a6c9-4b46-a8de-872796ea0fc1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3101D23C</paraID>
      <start>96</start>
      <end>98</end>
      <status>modified</status>
      <modifiedWord>》《</modifiedWord>
      <trackRevisions>false</trackRevisions>
    </reviewItem>
    <reviewItem>
      <errorID>7d2aedea-e49a-4502-b2be-d0809f355af0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29</start>
      <end>31</end>
      <status>modified</status>
      <modifiedWord>》《</modifiedWord>
      <trackRevisions>false</trackRevisions>
    </reviewItem>
    <reviewItem>
      <errorID>3758f97f-a992-4c0a-a660-c4600fb0c5e7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52</start>
      <end>54</end>
      <status>modified</status>
      <modifiedWord>》《</modifiedWord>
      <trackRevisions>false</trackRevisions>
    </reviewItem>
    <reviewItem>
      <errorID>475c72dd-b004-4ac0-9d11-284ae4e948ec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76</start>
      <end>78</end>
      <status>modified</status>
      <modifiedWord>》《</modifiedWord>
      <trackRevisions>false</trackRevisions>
    </reviewItem>
    <reviewItem>
      <errorID>7fbd941a-a260-4b8d-9f1f-af5accd3ba1b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100</start>
      <end>102</end>
      <status>modified</status>
      <modifiedWord>》《</modifiedWord>
      <trackRevisions>false</trackRevisions>
    </reviewItem>
    <reviewItem>
      <errorID>c8613720-8e3f-4bb3-8148-3548374a2487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121</start>
      <end>123</end>
      <status>modified</status>
      <modifiedWord>》《</modifiedWord>
      <trackRevisions>false</trackRevisions>
    </reviewItem>
    <reviewItem>
      <errorID>5d9ccf31-0243-473f-a3f3-956a6139b262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144</start>
      <end>146</end>
      <status>modified</status>
      <modifiedWord>》《</modifiedWord>
      <trackRevisions>false</trackRevisions>
    </reviewItem>
    <reviewItem>
      <errorID>88266f45-8e5c-48b0-ae3d-3885eb2026de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166</start>
      <end>168</end>
      <status>modified</status>
      <modifiedWord>》《</modifiedWord>
      <trackRevisions>false</trackRevisions>
    </reviewItem>
    <reviewItem>
      <errorID>d1c6c27a-a863-4043-898e-a5347a6694eb</errorID>
      <errorWord>方</errorWord>
      <group>L1_Word</group>
      <groupName>字词问题</groupName>
      <ability>L2_Typo</ability>
      <abilityName>字词错误</abilityName>
      <candidateList>
        <item>方在</item>
      </candidateList>
      <explain/>
      <paraID>4E0AAEAA</paraID>
      <start>6</start>
      <end>7</end>
      <status>ignored</status>
      <modifiedWord/>
      <trackRevisions>false</trackRevisions>
    </reviewItem>
    <reviewItem>
      <errorID>17e48945-4171-476f-82d8-ca32a0ba2de7</errorID>
      <errorWord>作出</errorWord>
      <group>L1_Word</group>
      <groupName>字词问题</groupName>
      <ability>L2_Typo</ability>
      <abilityName>字词错误</abilityName>
      <candidateList>
        <item>做出</item>
      </candidateList>
      <explain/>
      <paraID>4E0AAEAA</paraID>
      <start>17</start>
      <end>19</end>
      <status>modified</status>
      <modifiedWord>做出</modifiedWord>
      <trackRevisions>false</trackRevisions>
    </reviewItem>
    <reviewItem>
      <errorID>81edd5f7-de79-48dd-9308-cc93ef552bdd</errorID>
      <errorWord>III</errorWord>
      <group>L1_Word</group>
      <groupName>字词问题</groupName>
      <ability>L2_Typo</ability>
      <abilityName>字词错误</abilityName>
      <candidateList>
        <item>Ⅲ</item>
      </candidateList>
      <explain/>
      <paraID> 1B4C0E2</paraID>
      <start>146</start>
      <end>149</end>
      <status>ignored</status>
      <modifiedWord/>
      <trackRevisions>false</trackRevisions>
    </reviewItem>
    <reviewItem>
      <errorID>097d4bbe-715a-4e7b-bd17-ebd8b6ce863a</errorID>
      <errorWord>、对</errorWord>
      <group>L1_Word</group>
      <groupName>字词问题</groupName>
      <ability>L2_Typo</ability>
      <abilityName>字词错误</abilityName>
      <candidateList>
        <item>、</item>
      </candidateList>
      <explain/>
      <paraID>68367886</paraID>
      <start>41</start>
      <end>43</end>
      <status>ignored</status>
      <modifiedWord/>
      <trackRevisions>false</trackRevisions>
    </reviewItem>
    <reviewItem>
      <errorID>c81217bf-1b35-47b8-acda-ca54bc91d824</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6FD0016</paraID>
      <start>5</start>
      <end>7</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A183021-630A-4306-8B20-DADD092B2E6B}"/>
</file>

<file path=customXml/itemProps2.xml><?xml version="1.0" encoding="utf-8"?>
<ds:datastoreItem xmlns:ds="http://schemas.openxmlformats.org/officeDocument/2006/customXml" ds:itemID="{1ACF87AE-9FD5-431C-A523-DCF71D81B41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徐工</cp:lastModifiedBy>
  <cp:revision>5</cp:revision>
  <dcterms:created xsi:type="dcterms:W3CDTF">2024-01-04T03:50:00Z</dcterms:created>
  <dcterms:modified xsi:type="dcterms:W3CDTF">2026-06-09T02:19:29Z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3121FBBF524643EFBAA40A37C44853B8_13</vt:lpwstr>
  </property>
  <property fmtid="{D5CDD505-2E9C-101B-9397-08002B2CF9AE}" pid="4" name="KSOTemplateDocerSaveRecord">
    <vt:lpwstr>eyJoZGlkIjoiZmZlZTVhMzMzMjAwOWU1ZWFjY2NlMDMwMzNjNmU4NGYiLCJ1c2VySWQiOiI0MjcwNjY3NzQifQ==</vt:lpwstr>
  </property>
</Properties>
</file>